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312E" w:rsidRPr="008A28E4" w:rsidRDefault="0077312E" w:rsidP="008A28E4">
      <w:pPr>
        <w:spacing w:after="0" w:line="360" w:lineRule="auto"/>
        <w:jc w:val="both"/>
        <w:rPr>
          <w:rFonts w:ascii="Book Antiqua" w:eastAsia="Arial Unicode MS" w:hAnsi="Book Antiqua" w:cs="Times New Roman"/>
          <w:b/>
          <w:sz w:val="24"/>
          <w:szCs w:val="24"/>
          <w:lang w:eastAsia="zh-CN"/>
        </w:rPr>
      </w:pPr>
      <w:r w:rsidRPr="008A28E4">
        <w:rPr>
          <w:rFonts w:ascii="Book Antiqua" w:eastAsia="Arial Unicode MS" w:hAnsi="Book Antiqua" w:cs="Times New Roman"/>
          <w:b/>
          <w:sz w:val="24"/>
          <w:szCs w:val="24"/>
          <w:lang w:eastAsia="zh-CN"/>
        </w:rPr>
        <w:t>Name of journal: World Journal of Clinical Cases</w:t>
      </w:r>
    </w:p>
    <w:p w:rsidR="0077312E" w:rsidRPr="008A28E4" w:rsidRDefault="0077312E" w:rsidP="008A28E4">
      <w:pPr>
        <w:spacing w:after="0" w:line="360" w:lineRule="auto"/>
        <w:jc w:val="both"/>
        <w:rPr>
          <w:rFonts w:ascii="Book Antiqua" w:eastAsia="Arial Unicode MS" w:hAnsi="Book Antiqua" w:cs="Times New Roman"/>
          <w:b/>
          <w:sz w:val="24"/>
          <w:szCs w:val="24"/>
          <w:lang w:eastAsia="zh-CN"/>
        </w:rPr>
      </w:pPr>
      <w:r w:rsidRPr="008A28E4">
        <w:rPr>
          <w:rFonts w:ascii="Book Antiqua" w:eastAsia="Arial Unicode MS" w:hAnsi="Book Antiqua" w:cs="Times New Roman"/>
          <w:b/>
          <w:sz w:val="24"/>
          <w:szCs w:val="24"/>
          <w:lang w:eastAsia="zh-CN"/>
        </w:rPr>
        <w:t>ESPS Manuscript NO: 12826</w:t>
      </w:r>
    </w:p>
    <w:p w:rsidR="0077312E" w:rsidRPr="008A28E4" w:rsidRDefault="0077312E" w:rsidP="008A28E4">
      <w:pPr>
        <w:spacing w:after="0" w:line="360" w:lineRule="auto"/>
        <w:jc w:val="both"/>
        <w:rPr>
          <w:rFonts w:ascii="Book Antiqua" w:eastAsia="Arial Unicode MS" w:hAnsi="Book Antiqua" w:cs="Times New Roman"/>
          <w:b/>
          <w:sz w:val="24"/>
          <w:szCs w:val="24"/>
          <w:lang w:eastAsia="zh-CN"/>
        </w:rPr>
      </w:pPr>
      <w:r w:rsidRPr="008A28E4">
        <w:rPr>
          <w:rFonts w:ascii="Book Antiqua" w:eastAsia="Arial Unicode MS" w:hAnsi="Book Antiqua" w:cs="Times New Roman"/>
          <w:b/>
          <w:sz w:val="24"/>
          <w:szCs w:val="24"/>
          <w:lang w:eastAsia="zh-CN"/>
        </w:rPr>
        <w:t>Columns: REVIEW</w:t>
      </w:r>
    </w:p>
    <w:p w:rsidR="0077312E" w:rsidRPr="008A28E4" w:rsidRDefault="0077312E" w:rsidP="008A28E4">
      <w:pPr>
        <w:spacing w:after="0" w:line="360" w:lineRule="auto"/>
        <w:jc w:val="both"/>
        <w:rPr>
          <w:rFonts w:ascii="Book Antiqua" w:eastAsia="Arial Unicode MS" w:hAnsi="Book Antiqua" w:cs="Times New Roman"/>
          <w:b/>
          <w:sz w:val="24"/>
          <w:szCs w:val="24"/>
          <w:lang w:eastAsia="zh-CN"/>
        </w:rPr>
      </w:pPr>
    </w:p>
    <w:p w:rsidR="0077312E" w:rsidRPr="008A28E4" w:rsidRDefault="0077312E" w:rsidP="008A28E4">
      <w:pPr>
        <w:spacing w:after="0" w:line="360" w:lineRule="auto"/>
        <w:jc w:val="both"/>
        <w:rPr>
          <w:rFonts w:ascii="Book Antiqua" w:eastAsia="Arial Unicode MS" w:hAnsi="Book Antiqua" w:cs="Times New Roman"/>
          <w:b/>
          <w:bCs/>
          <w:sz w:val="24"/>
          <w:szCs w:val="24"/>
          <w:lang w:eastAsia="zh-CN"/>
        </w:rPr>
      </w:pPr>
      <w:r w:rsidRPr="008A28E4">
        <w:rPr>
          <w:rFonts w:ascii="Book Antiqua" w:eastAsia="Arial Unicode MS" w:hAnsi="Book Antiqua" w:cs="Times New Roman"/>
          <w:b/>
          <w:bCs/>
          <w:sz w:val="24"/>
          <w:szCs w:val="24"/>
          <w:lang w:eastAsia="zh-CN"/>
        </w:rPr>
        <w:t>Fluoroscopy guided percutaneous renal access in prone position</w:t>
      </w:r>
    </w:p>
    <w:p w:rsidR="0077312E" w:rsidRPr="008A28E4" w:rsidRDefault="0077312E" w:rsidP="008A28E4">
      <w:pPr>
        <w:spacing w:after="0" w:line="360" w:lineRule="auto"/>
        <w:jc w:val="both"/>
        <w:rPr>
          <w:rFonts w:ascii="Book Antiqua" w:hAnsi="Book Antiqua" w:cs="Times New Roman"/>
          <w:bCs/>
          <w:sz w:val="24"/>
          <w:szCs w:val="24"/>
          <w:lang w:eastAsia="zh-CN"/>
        </w:rPr>
      </w:pPr>
    </w:p>
    <w:p w:rsidR="0077312E" w:rsidRPr="008A28E4" w:rsidRDefault="0077312E" w:rsidP="008A28E4">
      <w:pPr>
        <w:spacing w:after="0" w:line="360" w:lineRule="auto"/>
        <w:jc w:val="both"/>
        <w:rPr>
          <w:rFonts w:ascii="Book Antiqua" w:eastAsia="Arial Unicode MS" w:hAnsi="Book Antiqua" w:cs="Times New Roman"/>
          <w:bCs/>
          <w:sz w:val="24"/>
          <w:szCs w:val="24"/>
        </w:rPr>
      </w:pPr>
      <w:r w:rsidRPr="008A28E4">
        <w:rPr>
          <w:rFonts w:ascii="Book Antiqua" w:hAnsi="Book Antiqua" w:cs="Times New Roman"/>
          <w:bCs/>
          <w:sz w:val="24"/>
          <w:szCs w:val="24"/>
        </w:rPr>
        <w:t>Sharma</w:t>
      </w:r>
      <w:r w:rsidRPr="008A28E4">
        <w:rPr>
          <w:rFonts w:ascii="Book Antiqua" w:eastAsia="Arial Unicode MS" w:hAnsi="Book Antiqua" w:cs="Times New Roman"/>
          <w:bCs/>
          <w:sz w:val="24"/>
          <w:szCs w:val="24"/>
        </w:rPr>
        <w:t xml:space="preserve"> </w:t>
      </w:r>
      <w:r w:rsidRPr="008A28E4">
        <w:rPr>
          <w:rFonts w:ascii="Book Antiqua" w:eastAsia="Arial Unicode MS" w:hAnsi="Book Antiqua" w:cs="Times New Roman"/>
          <w:bCs/>
          <w:sz w:val="24"/>
          <w:szCs w:val="24"/>
          <w:lang w:eastAsia="zh-CN"/>
        </w:rPr>
        <w:t>GR</w:t>
      </w:r>
      <w:r w:rsidRPr="008A28E4">
        <w:rPr>
          <w:rFonts w:ascii="Book Antiqua" w:eastAsia="Arial Unicode MS" w:hAnsi="Book Antiqua" w:cs="Times New Roman"/>
          <w:bCs/>
          <w:i/>
          <w:sz w:val="24"/>
          <w:szCs w:val="24"/>
          <w:lang w:eastAsia="zh-CN"/>
        </w:rPr>
        <w:t xml:space="preserve"> et al.</w:t>
      </w:r>
      <w:r w:rsidRPr="008A28E4">
        <w:rPr>
          <w:rFonts w:ascii="Book Antiqua" w:eastAsia="Arial Unicode MS" w:hAnsi="Book Antiqua" w:cs="Times New Roman"/>
          <w:bCs/>
          <w:sz w:val="24"/>
          <w:szCs w:val="24"/>
          <w:lang w:eastAsia="zh-CN"/>
        </w:rPr>
        <w:t xml:space="preserve"> </w:t>
      </w:r>
      <w:r w:rsidRPr="008A28E4">
        <w:rPr>
          <w:rFonts w:ascii="Book Antiqua" w:eastAsia="Arial Unicode MS" w:hAnsi="Book Antiqua" w:cs="Times New Roman"/>
          <w:bCs/>
          <w:sz w:val="24"/>
          <w:szCs w:val="24"/>
        </w:rPr>
        <w:t>Percutaneous renal access</w:t>
      </w:r>
    </w:p>
    <w:p w:rsidR="0077312E" w:rsidRPr="008A28E4" w:rsidRDefault="0077312E" w:rsidP="008A28E4">
      <w:pPr>
        <w:pStyle w:val="ListParagraph"/>
        <w:spacing w:after="0" w:line="360" w:lineRule="auto"/>
        <w:ind w:left="0"/>
        <w:jc w:val="both"/>
        <w:rPr>
          <w:rFonts w:ascii="Book Antiqua" w:eastAsia="Arial Unicode MS" w:hAnsi="Book Antiqua" w:cs="Times New Roman"/>
          <w:bCs/>
          <w:sz w:val="24"/>
          <w:szCs w:val="24"/>
        </w:rPr>
      </w:pPr>
    </w:p>
    <w:p w:rsidR="0077312E" w:rsidRPr="008A28E4" w:rsidRDefault="0077312E" w:rsidP="008A28E4">
      <w:pPr>
        <w:spacing w:after="0" w:line="360" w:lineRule="auto"/>
        <w:jc w:val="both"/>
        <w:rPr>
          <w:rFonts w:ascii="Book Antiqua" w:hAnsi="Book Antiqua" w:cs="Times New Roman"/>
          <w:bCs/>
          <w:sz w:val="24"/>
          <w:szCs w:val="24"/>
          <w:lang w:eastAsia="zh-CN"/>
        </w:rPr>
      </w:pPr>
      <w:r w:rsidRPr="008A28E4">
        <w:rPr>
          <w:rFonts w:ascii="Book Antiqua" w:hAnsi="Book Antiqua" w:cs="Times New Roman"/>
          <w:bCs/>
          <w:sz w:val="24"/>
          <w:szCs w:val="24"/>
        </w:rPr>
        <w:t xml:space="preserve">Gyanendra R Sharma, Pankaj Maheshwari, Anshu G Sharma, Reeta </w:t>
      </w:r>
      <w:r w:rsidRPr="008A28E4">
        <w:rPr>
          <w:rFonts w:ascii="Book Antiqua" w:hAnsi="Book Antiqua" w:cs="Times New Roman"/>
          <w:bCs/>
          <w:sz w:val="24"/>
          <w:szCs w:val="24"/>
          <w:lang w:eastAsia="zh-CN"/>
        </w:rPr>
        <w:t xml:space="preserve">P </w:t>
      </w:r>
      <w:r w:rsidRPr="008A28E4">
        <w:rPr>
          <w:rFonts w:ascii="Book Antiqua" w:hAnsi="Book Antiqua" w:cs="Times New Roman"/>
          <w:bCs/>
          <w:sz w:val="24"/>
          <w:szCs w:val="24"/>
        </w:rPr>
        <w:t xml:space="preserve">Maheshwari, Ritwik </w:t>
      </w:r>
      <w:r w:rsidRPr="008A28E4">
        <w:rPr>
          <w:rFonts w:ascii="Book Antiqua" w:hAnsi="Book Antiqua" w:cs="Times New Roman"/>
          <w:bCs/>
          <w:sz w:val="24"/>
          <w:szCs w:val="24"/>
          <w:lang w:eastAsia="zh-CN"/>
        </w:rPr>
        <w:t xml:space="preserve">S </w:t>
      </w:r>
      <w:r w:rsidRPr="008A28E4">
        <w:rPr>
          <w:rFonts w:ascii="Book Antiqua" w:hAnsi="Book Antiqua" w:cs="Times New Roman"/>
          <w:bCs/>
          <w:sz w:val="24"/>
          <w:szCs w:val="24"/>
        </w:rPr>
        <w:t xml:space="preserve">Heda, Sakshi </w:t>
      </w:r>
      <w:r w:rsidRPr="008A28E4">
        <w:rPr>
          <w:rFonts w:ascii="Book Antiqua" w:hAnsi="Book Antiqua" w:cs="Times New Roman"/>
          <w:bCs/>
          <w:sz w:val="24"/>
          <w:szCs w:val="24"/>
          <w:lang w:eastAsia="zh-CN"/>
        </w:rPr>
        <w:t xml:space="preserve">P </w:t>
      </w:r>
      <w:r w:rsidR="004D3195" w:rsidRPr="008A28E4">
        <w:rPr>
          <w:rFonts w:ascii="Book Antiqua" w:hAnsi="Book Antiqua" w:cs="Times New Roman"/>
          <w:bCs/>
          <w:sz w:val="24"/>
          <w:szCs w:val="24"/>
        </w:rPr>
        <w:t>Maheshwari</w:t>
      </w:r>
    </w:p>
    <w:p w:rsidR="0077312E" w:rsidRPr="008A28E4" w:rsidRDefault="0077312E" w:rsidP="008A28E4">
      <w:pPr>
        <w:spacing w:after="0" w:line="360" w:lineRule="auto"/>
        <w:jc w:val="both"/>
        <w:rPr>
          <w:rFonts w:ascii="Book Antiqua" w:hAnsi="Book Antiqua" w:cs="Times New Roman"/>
          <w:bCs/>
          <w:sz w:val="24"/>
          <w:szCs w:val="24"/>
          <w:lang w:eastAsia="zh-CN"/>
        </w:rPr>
      </w:pPr>
    </w:p>
    <w:p w:rsidR="0077312E" w:rsidRPr="008A28E4" w:rsidRDefault="0077312E" w:rsidP="008A28E4">
      <w:pPr>
        <w:spacing w:after="0" w:line="360" w:lineRule="auto"/>
        <w:jc w:val="both"/>
        <w:rPr>
          <w:rFonts w:ascii="Book Antiqua" w:hAnsi="Book Antiqua" w:cs="Times New Roman"/>
          <w:bCs/>
          <w:sz w:val="24"/>
          <w:szCs w:val="24"/>
          <w:lang w:eastAsia="zh-CN"/>
        </w:rPr>
      </w:pPr>
      <w:r w:rsidRPr="008A28E4">
        <w:rPr>
          <w:rFonts w:ascii="Book Antiqua" w:hAnsi="Book Antiqua" w:cs="Times New Roman"/>
          <w:b/>
          <w:bCs/>
          <w:sz w:val="24"/>
          <w:szCs w:val="24"/>
        </w:rPr>
        <w:t>Gyanendra</w:t>
      </w:r>
      <w:r w:rsidRPr="008A28E4">
        <w:rPr>
          <w:rFonts w:ascii="Book Antiqua" w:hAnsi="Book Antiqua" w:cs="Times New Roman"/>
          <w:b/>
          <w:bCs/>
          <w:sz w:val="24"/>
          <w:szCs w:val="24"/>
          <w:lang w:eastAsia="zh-CN"/>
        </w:rPr>
        <w:t xml:space="preserve"> R</w:t>
      </w:r>
      <w:r w:rsidRPr="008A28E4">
        <w:rPr>
          <w:rFonts w:ascii="Book Antiqua" w:hAnsi="Book Antiqua" w:cs="Times New Roman"/>
          <w:b/>
          <w:bCs/>
          <w:sz w:val="24"/>
          <w:szCs w:val="24"/>
        </w:rPr>
        <w:t xml:space="preserve"> Sharma,</w:t>
      </w:r>
      <w:r w:rsidRPr="008A28E4">
        <w:rPr>
          <w:rFonts w:ascii="Book Antiqua" w:hAnsi="Book Antiqua" w:cs="Times New Roman"/>
          <w:bCs/>
          <w:sz w:val="24"/>
          <w:szCs w:val="24"/>
        </w:rPr>
        <w:t xml:space="preserve"> Depart</w:t>
      </w:r>
      <w:r w:rsidR="006B0543" w:rsidRPr="008A28E4">
        <w:rPr>
          <w:rFonts w:ascii="Book Antiqua" w:hAnsi="Book Antiqua" w:cs="Times New Roman"/>
          <w:bCs/>
          <w:sz w:val="24"/>
          <w:szCs w:val="24"/>
        </w:rPr>
        <w:t>m</w:t>
      </w:r>
      <w:r w:rsidRPr="008A28E4">
        <w:rPr>
          <w:rFonts w:ascii="Book Antiqua" w:hAnsi="Book Antiqua" w:cs="Times New Roman"/>
          <w:bCs/>
          <w:sz w:val="24"/>
          <w:szCs w:val="24"/>
        </w:rPr>
        <w:t>ent of Urology,</w:t>
      </w:r>
      <w:r w:rsidR="00323B78" w:rsidRPr="008A28E4">
        <w:rPr>
          <w:rFonts w:ascii="Book Antiqua" w:hAnsi="Book Antiqua" w:cs="Times New Roman"/>
          <w:bCs/>
          <w:sz w:val="24"/>
          <w:szCs w:val="24"/>
          <w:lang w:eastAsia="zh-CN"/>
        </w:rPr>
        <w:t xml:space="preserve"> </w:t>
      </w:r>
      <w:r w:rsidR="004D3195" w:rsidRPr="008A28E4">
        <w:rPr>
          <w:rFonts w:ascii="Book Antiqua" w:hAnsi="Book Antiqua" w:cs="Times New Roman"/>
          <w:bCs/>
          <w:sz w:val="24"/>
          <w:szCs w:val="24"/>
        </w:rPr>
        <w:t>Chitale Clinic Private Limited</w:t>
      </w:r>
      <w:r w:rsidRPr="008A28E4">
        <w:rPr>
          <w:rFonts w:ascii="Book Antiqua" w:hAnsi="Book Antiqua" w:cs="Times New Roman"/>
          <w:bCs/>
          <w:sz w:val="24"/>
          <w:szCs w:val="24"/>
        </w:rPr>
        <w:t xml:space="preserve">, Solapur, </w:t>
      </w:r>
      <w:r w:rsidR="004D3195" w:rsidRPr="008A28E4">
        <w:rPr>
          <w:rFonts w:ascii="Book Antiqua" w:hAnsi="Book Antiqua" w:cs="Times New Roman"/>
          <w:bCs/>
          <w:sz w:val="24"/>
          <w:szCs w:val="24"/>
        </w:rPr>
        <w:t>Maharashtra 413001, India</w:t>
      </w:r>
    </w:p>
    <w:p w:rsidR="006239C6" w:rsidRPr="008A28E4" w:rsidRDefault="006239C6" w:rsidP="008A28E4">
      <w:pPr>
        <w:spacing w:after="0" w:line="360" w:lineRule="auto"/>
        <w:jc w:val="both"/>
        <w:rPr>
          <w:rFonts w:ascii="Book Antiqua" w:hAnsi="Book Antiqua" w:cs="Times New Roman"/>
          <w:b/>
          <w:bCs/>
          <w:sz w:val="24"/>
          <w:szCs w:val="24"/>
          <w:lang w:eastAsia="zh-CN"/>
        </w:rPr>
      </w:pPr>
    </w:p>
    <w:p w:rsidR="006239C6" w:rsidRPr="008A28E4" w:rsidRDefault="0077312E" w:rsidP="008A28E4">
      <w:pPr>
        <w:spacing w:after="0" w:line="360" w:lineRule="auto"/>
        <w:jc w:val="both"/>
        <w:rPr>
          <w:rFonts w:ascii="Book Antiqua" w:hAnsi="Book Antiqua" w:cs="Times New Roman"/>
          <w:bCs/>
          <w:sz w:val="24"/>
          <w:szCs w:val="24"/>
          <w:lang w:eastAsia="zh-CN"/>
        </w:rPr>
      </w:pPr>
      <w:r w:rsidRPr="008A28E4">
        <w:rPr>
          <w:rFonts w:ascii="Book Antiqua" w:hAnsi="Book Antiqua" w:cs="Times New Roman"/>
          <w:b/>
          <w:bCs/>
          <w:sz w:val="24"/>
          <w:szCs w:val="24"/>
        </w:rPr>
        <w:t>Pankaj Maheshwari,</w:t>
      </w:r>
      <w:r w:rsidRPr="008A28E4">
        <w:rPr>
          <w:rFonts w:ascii="Book Antiqua" w:hAnsi="Book Antiqua" w:cs="Times New Roman"/>
          <w:bCs/>
          <w:sz w:val="24"/>
          <w:szCs w:val="24"/>
        </w:rPr>
        <w:t xml:space="preserve"> </w:t>
      </w:r>
      <w:r w:rsidR="003E5A19" w:rsidRPr="008A28E4">
        <w:rPr>
          <w:rFonts w:ascii="Book Antiqua" w:eastAsia="Times New Roman" w:hAnsi="Book Antiqua" w:cs="Arial"/>
          <w:b/>
          <w:color w:val="222222"/>
          <w:sz w:val="24"/>
          <w:szCs w:val="24"/>
          <w:lang w:bidi="hi-IN"/>
        </w:rPr>
        <w:t>Reeta P Maheshwari,</w:t>
      </w:r>
      <w:r w:rsidR="003E5A19" w:rsidRPr="008A28E4">
        <w:rPr>
          <w:rFonts w:ascii="Book Antiqua" w:eastAsia="Times New Roman" w:hAnsi="Book Antiqua" w:cs="Arial"/>
          <w:color w:val="222222"/>
          <w:sz w:val="24"/>
          <w:szCs w:val="24"/>
          <w:lang w:bidi="hi-IN"/>
        </w:rPr>
        <w:t xml:space="preserve"> </w:t>
      </w:r>
      <w:r w:rsidR="003E5A19" w:rsidRPr="008A28E4">
        <w:rPr>
          <w:rFonts w:ascii="Book Antiqua" w:eastAsia="Times New Roman" w:hAnsi="Book Antiqua" w:cs="Arial"/>
          <w:b/>
          <w:color w:val="222222"/>
          <w:sz w:val="24"/>
          <w:szCs w:val="24"/>
          <w:lang w:bidi="hi-IN"/>
        </w:rPr>
        <w:t>Ritwik S Heda, Sakshi P Maheshwari,</w:t>
      </w:r>
      <w:r w:rsidR="003E5A19">
        <w:rPr>
          <w:rFonts w:ascii="Book Antiqua" w:hAnsi="Book Antiqua" w:cs="Times New Roman" w:hint="eastAsia"/>
          <w:bCs/>
          <w:sz w:val="24"/>
          <w:szCs w:val="24"/>
          <w:lang w:eastAsia="zh-CN"/>
        </w:rPr>
        <w:t xml:space="preserve"> </w:t>
      </w:r>
      <w:r w:rsidRPr="008A28E4">
        <w:rPr>
          <w:rFonts w:ascii="Book Antiqua" w:hAnsi="Book Antiqua" w:cs="Times New Roman"/>
          <w:bCs/>
          <w:sz w:val="24"/>
          <w:szCs w:val="24"/>
        </w:rPr>
        <w:t xml:space="preserve">Fortis Hospital Mulund, </w:t>
      </w:r>
      <w:r w:rsidR="004D3195" w:rsidRPr="008A28E4">
        <w:rPr>
          <w:rFonts w:ascii="Book Antiqua" w:hAnsi="Book Antiqua" w:cs="Times New Roman"/>
          <w:bCs/>
          <w:sz w:val="24"/>
          <w:szCs w:val="24"/>
        </w:rPr>
        <w:t>Maharashtra 413001, India</w:t>
      </w:r>
    </w:p>
    <w:p w:rsidR="004D3195" w:rsidRPr="008A28E4" w:rsidRDefault="004D3195" w:rsidP="008A28E4">
      <w:pPr>
        <w:spacing w:after="0" w:line="360" w:lineRule="auto"/>
        <w:jc w:val="both"/>
        <w:rPr>
          <w:rFonts w:ascii="Book Antiqua" w:hAnsi="Book Antiqua" w:cs="Times New Roman"/>
          <w:b/>
          <w:bCs/>
          <w:sz w:val="24"/>
          <w:szCs w:val="24"/>
          <w:lang w:eastAsia="zh-CN"/>
        </w:rPr>
      </w:pPr>
    </w:p>
    <w:p w:rsidR="006239C6" w:rsidRPr="008A28E4" w:rsidRDefault="0077312E" w:rsidP="008A28E4">
      <w:pPr>
        <w:spacing w:after="0" w:line="360" w:lineRule="auto"/>
        <w:jc w:val="both"/>
        <w:rPr>
          <w:rFonts w:ascii="Book Antiqua" w:hAnsi="Book Antiqua" w:cs="Times New Roman"/>
          <w:bCs/>
          <w:sz w:val="24"/>
          <w:szCs w:val="24"/>
          <w:lang w:eastAsia="zh-CN"/>
        </w:rPr>
      </w:pPr>
      <w:r w:rsidRPr="008A28E4">
        <w:rPr>
          <w:rFonts w:ascii="Book Antiqua" w:hAnsi="Book Antiqua" w:cs="Times New Roman"/>
          <w:b/>
          <w:bCs/>
          <w:sz w:val="24"/>
          <w:szCs w:val="24"/>
        </w:rPr>
        <w:t xml:space="preserve">Anshu </w:t>
      </w:r>
      <w:r w:rsidRPr="008A28E4">
        <w:rPr>
          <w:rFonts w:ascii="Book Antiqua" w:hAnsi="Book Antiqua" w:cs="Times New Roman"/>
          <w:b/>
          <w:bCs/>
          <w:sz w:val="24"/>
          <w:szCs w:val="24"/>
          <w:lang w:eastAsia="zh-CN"/>
        </w:rPr>
        <w:t xml:space="preserve">G </w:t>
      </w:r>
      <w:r w:rsidRPr="008A28E4">
        <w:rPr>
          <w:rFonts w:ascii="Book Antiqua" w:hAnsi="Book Antiqua" w:cs="Times New Roman"/>
          <w:b/>
          <w:bCs/>
          <w:sz w:val="24"/>
          <w:szCs w:val="24"/>
        </w:rPr>
        <w:t>Sharma,</w:t>
      </w:r>
      <w:r w:rsidRPr="008A28E4">
        <w:rPr>
          <w:rFonts w:ascii="Book Antiqua" w:hAnsi="Book Antiqua" w:cs="Times New Roman"/>
          <w:bCs/>
          <w:sz w:val="24"/>
          <w:szCs w:val="24"/>
        </w:rPr>
        <w:t xml:space="preserve"> Department of Radiology,</w:t>
      </w:r>
      <w:r w:rsidR="004D3195" w:rsidRPr="008A28E4">
        <w:rPr>
          <w:rFonts w:ascii="Book Antiqua" w:hAnsi="Book Antiqua" w:cs="Times New Roman"/>
          <w:bCs/>
          <w:sz w:val="24"/>
          <w:szCs w:val="24"/>
        </w:rPr>
        <w:t xml:space="preserve"> Chitale Clinic Private Limited</w:t>
      </w:r>
      <w:r w:rsidRPr="008A28E4">
        <w:rPr>
          <w:rFonts w:ascii="Book Antiqua" w:hAnsi="Book Antiqua" w:cs="Times New Roman"/>
          <w:bCs/>
          <w:sz w:val="24"/>
          <w:szCs w:val="24"/>
        </w:rPr>
        <w:t xml:space="preserve">, </w:t>
      </w:r>
      <w:r w:rsidR="004D3195" w:rsidRPr="008A28E4">
        <w:rPr>
          <w:rFonts w:ascii="Book Antiqua" w:hAnsi="Book Antiqua" w:cs="Times New Roman"/>
          <w:bCs/>
          <w:sz w:val="24"/>
          <w:szCs w:val="24"/>
        </w:rPr>
        <w:t>Solapur, Maharashtra 413001, India</w:t>
      </w:r>
    </w:p>
    <w:p w:rsidR="0077312E" w:rsidRPr="003E5A19" w:rsidRDefault="0077312E" w:rsidP="008A28E4">
      <w:pPr>
        <w:spacing w:after="0" w:line="360" w:lineRule="auto"/>
        <w:jc w:val="both"/>
        <w:rPr>
          <w:rFonts w:ascii="Book Antiqua" w:hAnsi="Book Antiqua" w:cs="Times New Roman"/>
          <w:b/>
          <w:sz w:val="24"/>
          <w:szCs w:val="24"/>
          <w:lang w:eastAsia="zh-CN"/>
        </w:rPr>
      </w:pPr>
    </w:p>
    <w:p w:rsidR="0077312E" w:rsidRPr="008A28E4" w:rsidRDefault="0077312E" w:rsidP="008A28E4">
      <w:pPr>
        <w:spacing w:after="0" w:line="360" w:lineRule="auto"/>
        <w:jc w:val="both"/>
        <w:rPr>
          <w:rFonts w:ascii="Book Antiqua" w:hAnsi="Book Antiqua" w:cs="Times New Roman"/>
          <w:bCs/>
          <w:sz w:val="24"/>
          <w:szCs w:val="24"/>
        </w:rPr>
      </w:pPr>
      <w:r w:rsidRPr="008A28E4">
        <w:rPr>
          <w:rFonts w:ascii="Book Antiqua" w:eastAsia="MS Mincho" w:hAnsi="Book Antiqua" w:cs="Times New Roman"/>
          <w:b/>
          <w:sz w:val="24"/>
          <w:szCs w:val="24"/>
          <w:lang w:eastAsia="ja-JP"/>
        </w:rPr>
        <w:t>Author contributions</w:t>
      </w:r>
      <w:r w:rsidRPr="008A28E4">
        <w:rPr>
          <w:rFonts w:ascii="Book Antiqua" w:eastAsia="MS Mincho" w:hAnsi="Book Antiqua" w:cs="Times New Roman"/>
          <w:b/>
          <w:bCs/>
          <w:sz w:val="24"/>
          <w:szCs w:val="24"/>
          <w:lang w:eastAsia="ja-JP"/>
        </w:rPr>
        <w:t>:</w:t>
      </w:r>
      <w:r w:rsidRPr="008A28E4">
        <w:rPr>
          <w:rFonts w:ascii="Book Antiqua" w:hAnsi="Book Antiqua" w:cs="Times New Roman"/>
          <w:b/>
          <w:bCs/>
          <w:sz w:val="24"/>
          <w:szCs w:val="24"/>
          <w:lang w:eastAsia="zh-CN"/>
        </w:rPr>
        <w:t xml:space="preserve"> </w:t>
      </w:r>
      <w:r w:rsidRPr="008A28E4">
        <w:rPr>
          <w:rFonts w:ascii="Book Antiqua" w:eastAsia="MS Mincho" w:hAnsi="Book Antiqua" w:cs="Times New Roman"/>
          <w:bCs/>
          <w:sz w:val="24"/>
          <w:szCs w:val="24"/>
          <w:lang w:eastAsia="ja-JP"/>
        </w:rPr>
        <w:t>All the authors were involved in the collection of data, analyzing it, preparing the manuscript and revising it and have seen the final version of the article.</w:t>
      </w:r>
    </w:p>
    <w:p w:rsidR="0077312E" w:rsidRDefault="0077312E" w:rsidP="008A28E4">
      <w:pPr>
        <w:spacing w:after="0" w:line="360" w:lineRule="auto"/>
        <w:jc w:val="both"/>
        <w:rPr>
          <w:rFonts w:ascii="Book Antiqua" w:hAnsi="Book Antiqua" w:cs="Times New Roman"/>
          <w:b/>
          <w:color w:val="000000"/>
          <w:sz w:val="24"/>
          <w:szCs w:val="24"/>
          <w:lang w:eastAsia="zh-CN"/>
        </w:rPr>
      </w:pPr>
    </w:p>
    <w:p w:rsidR="003E5A19" w:rsidRPr="001615F0" w:rsidRDefault="003E5A19" w:rsidP="003E5A19">
      <w:pPr>
        <w:pStyle w:val="BodyTextIndent"/>
        <w:spacing w:line="360" w:lineRule="auto"/>
        <w:ind w:leftChars="0" w:left="0"/>
        <w:rPr>
          <w:rFonts w:eastAsia="宋体"/>
          <w:sz w:val="24"/>
          <w:szCs w:val="24"/>
          <w:lang w:eastAsia="zh-CN"/>
        </w:rPr>
      </w:pPr>
      <w:r w:rsidRPr="001615F0">
        <w:rPr>
          <w:rFonts w:eastAsia="Times New Roman" w:cs="Gulim"/>
          <w:b/>
          <w:color w:val="000000"/>
          <w:sz w:val="24"/>
          <w:szCs w:val="24"/>
        </w:rPr>
        <w:t>Conflict-of-interest</w:t>
      </w:r>
      <w:r w:rsidRPr="001615F0">
        <w:rPr>
          <w:rFonts w:cs="Gulim"/>
          <w:b/>
          <w:color w:val="000000"/>
          <w:sz w:val="24"/>
          <w:szCs w:val="24"/>
          <w:lang w:eastAsia="zh-CN"/>
        </w:rPr>
        <w:t>:</w:t>
      </w:r>
      <w:r w:rsidRPr="001615F0">
        <w:rPr>
          <w:rFonts w:eastAsia="宋体" w:cs="Gulim"/>
          <w:b/>
          <w:color w:val="000000"/>
          <w:sz w:val="24"/>
          <w:szCs w:val="24"/>
          <w:lang w:eastAsia="zh-CN"/>
        </w:rPr>
        <w:t xml:space="preserve"> </w:t>
      </w:r>
      <w:r w:rsidRPr="001615F0">
        <w:rPr>
          <w:sz w:val="24"/>
          <w:szCs w:val="24"/>
        </w:rPr>
        <w:t>The authors declare that they have no competing interests.</w:t>
      </w:r>
    </w:p>
    <w:p w:rsidR="003E5A19" w:rsidRPr="001615F0" w:rsidRDefault="003E5A19" w:rsidP="003E5A19">
      <w:pPr>
        <w:pStyle w:val="CommentText"/>
        <w:adjustRightInd w:val="0"/>
        <w:snapToGrid w:val="0"/>
        <w:spacing w:line="360" w:lineRule="auto"/>
        <w:jc w:val="both"/>
        <w:rPr>
          <w:rFonts w:cs="Gulim"/>
          <w:b/>
          <w:color w:val="000000"/>
          <w:sz w:val="24"/>
          <w:szCs w:val="24"/>
          <w:lang w:eastAsia="zh-CN"/>
        </w:rPr>
      </w:pPr>
      <w:r w:rsidRPr="001615F0">
        <w:rPr>
          <w:rFonts w:eastAsia="Times New Roman" w:cs="Gulim"/>
          <w:b/>
          <w:color w:val="000000"/>
          <w:sz w:val="24"/>
          <w:szCs w:val="24"/>
        </w:rPr>
        <w:t xml:space="preserve"> </w:t>
      </w:r>
    </w:p>
    <w:p w:rsidR="003E5A19" w:rsidRPr="001615F0" w:rsidRDefault="003E5A19" w:rsidP="003E5A19">
      <w:pPr>
        <w:spacing w:line="360" w:lineRule="auto"/>
        <w:jc w:val="both"/>
        <w:rPr>
          <w:rFonts w:ascii="Book Antiqua" w:hAnsi="Book Antiqua" w:cs="宋体"/>
          <w:sz w:val="24"/>
        </w:rPr>
      </w:pPr>
      <w:r w:rsidRPr="001615F0">
        <w:rPr>
          <w:rFonts w:ascii="Book Antiqua" w:hAnsi="Book Antiqua"/>
          <w:b/>
          <w:color w:val="000000"/>
          <w:sz w:val="24"/>
        </w:rPr>
        <w:t xml:space="preserve">Open-Access: </w:t>
      </w:r>
      <w:r w:rsidRPr="001615F0">
        <w:rPr>
          <w:rFonts w:ascii="Book Antiqua" w:hAnsi="Book Antiqua"/>
          <w:color w:val="000000"/>
          <w:sz w:val="24"/>
        </w:rPr>
        <w:t xml:space="preserve">This article is an </w:t>
      </w:r>
      <w:r w:rsidRPr="001615F0">
        <w:rPr>
          <w:rFonts w:ascii="Book Antiqua" w:hAnsi="Book Antiqua" w:cs="宋体"/>
          <w:sz w:val="24"/>
        </w:rPr>
        <w:t xml:space="preserve">open-access article which </w:t>
      </w:r>
      <w:r w:rsidRPr="001615F0">
        <w:rPr>
          <w:rFonts w:ascii="Book Antiqua" w:hAnsi="Book Antiqua"/>
          <w:sz w:val="24"/>
        </w:rPr>
        <w:t xml:space="preserve">selected by an in-house editor and fully peer-reviewed by external reviewers. It </w:t>
      </w:r>
      <w:r w:rsidRPr="001615F0">
        <w:rPr>
          <w:rFonts w:ascii="Book Antiqua" w:hAnsi="Book Antiqua" w:cs="宋体"/>
          <w:sz w:val="24"/>
        </w:rPr>
        <w:t xml:space="preserve">distributed in accordance with </w:t>
      </w:r>
      <w:r w:rsidRPr="001615F0">
        <w:rPr>
          <w:rFonts w:ascii="Book Antiqua" w:hAnsi="Book Antiqua"/>
          <w:sz w:val="24"/>
        </w:rPr>
        <w:t xml:space="preserve">the Creative Commons Attribution Non Commercial (CC BY-NC 4.0) license, which permits others to distribute, remix, adapt, build upon this work non-commercially, and </w:t>
      </w:r>
      <w:r w:rsidRPr="001615F0">
        <w:rPr>
          <w:rFonts w:ascii="Book Antiqua" w:hAnsi="Book Antiqua"/>
          <w:sz w:val="24"/>
        </w:rPr>
        <w:lastRenderedPageBreak/>
        <w:t>license their derivative works on different terms, provided the original work is properly cited and the use is non-commercial. See: http://creativecommons.org/licenses/by-nc/4.0/</w:t>
      </w:r>
    </w:p>
    <w:p w:rsidR="003E5A19" w:rsidRPr="008A28E4" w:rsidRDefault="003E5A19" w:rsidP="008A28E4">
      <w:pPr>
        <w:spacing w:after="0" w:line="360" w:lineRule="auto"/>
        <w:jc w:val="both"/>
        <w:rPr>
          <w:rFonts w:ascii="Book Antiqua" w:hAnsi="Book Antiqua" w:cs="Times New Roman"/>
          <w:b/>
          <w:color w:val="000000"/>
          <w:sz w:val="24"/>
          <w:szCs w:val="24"/>
          <w:lang w:eastAsia="zh-CN"/>
        </w:rPr>
      </w:pPr>
    </w:p>
    <w:p w:rsidR="0077312E" w:rsidRPr="008A28E4" w:rsidRDefault="0077312E" w:rsidP="008A28E4">
      <w:pPr>
        <w:spacing w:after="0" w:line="360" w:lineRule="auto"/>
        <w:jc w:val="both"/>
        <w:rPr>
          <w:rFonts w:ascii="Book Antiqua" w:hAnsi="Book Antiqua" w:cs="Times New Roman"/>
          <w:bCs/>
          <w:sz w:val="24"/>
          <w:szCs w:val="24"/>
          <w:lang w:eastAsia="zh-CN"/>
        </w:rPr>
      </w:pPr>
      <w:r w:rsidRPr="008A28E4">
        <w:rPr>
          <w:rFonts w:ascii="Book Antiqua" w:hAnsi="Book Antiqua" w:cs="Times New Roman"/>
          <w:b/>
          <w:color w:val="000000"/>
          <w:sz w:val="24"/>
          <w:szCs w:val="24"/>
        </w:rPr>
        <w:t>Correspondence to</w:t>
      </w:r>
      <w:r w:rsidRPr="008A28E4">
        <w:rPr>
          <w:rFonts w:ascii="Book Antiqua" w:hAnsi="Book Antiqua" w:cs="Times New Roman"/>
          <w:bCs/>
          <w:color w:val="000000"/>
          <w:sz w:val="24"/>
          <w:szCs w:val="24"/>
        </w:rPr>
        <w:t xml:space="preserve">: </w:t>
      </w:r>
      <w:r w:rsidRPr="008A28E4">
        <w:rPr>
          <w:rFonts w:ascii="Book Antiqua" w:hAnsi="Book Antiqua" w:cs="Times New Roman"/>
          <w:b/>
          <w:bCs/>
          <w:color w:val="000000"/>
          <w:sz w:val="24"/>
          <w:szCs w:val="24"/>
        </w:rPr>
        <w:t xml:space="preserve">Gyanendra </w:t>
      </w:r>
      <w:r w:rsidR="004D3195" w:rsidRPr="008A28E4">
        <w:rPr>
          <w:rFonts w:ascii="Book Antiqua" w:hAnsi="Book Antiqua" w:cs="Times New Roman"/>
          <w:b/>
          <w:bCs/>
          <w:color w:val="000000"/>
          <w:sz w:val="24"/>
          <w:szCs w:val="24"/>
          <w:lang w:eastAsia="zh-CN"/>
        </w:rPr>
        <w:t xml:space="preserve">R </w:t>
      </w:r>
      <w:r w:rsidRPr="008A28E4">
        <w:rPr>
          <w:rFonts w:ascii="Book Antiqua" w:hAnsi="Book Antiqua" w:cs="Times New Roman"/>
          <w:b/>
          <w:bCs/>
          <w:color w:val="000000"/>
          <w:sz w:val="24"/>
          <w:szCs w:val="24"/>
        </w:rPr>
        <w:t>Sharma,</w:t>
      </w:r>
      <w:r w:rsidRPr="008A28E4">
        <w:rPr>
          <w:rFonts w:ascii="Book Antiqua" w:hAnsi="Book Antiqua" w:cs="Times New Roman"/>
          <w:b/>
          <w:bCs/>
          <w:color w:val="000000"/>
          <w:sz w:val="24"/>
          <w:szCs w:val="24"/>
          <w:lang w:eastAsia="zh-CN"/>
        </w:rPr>
        <w:t xml:space="preserve"> </w:t>
      </w:r>
      <w:r w:rsidRPr="008A28E4">
        <w:rPr>
          <w:rFonts w:ascii="Book Antiqua" w:hAnsi="Book Antiqua" w:cs="Times New Roman"/>
          <w:b/>
          <w:bCs/>
          <w:sz w:val="24"/>
          <w:szCs w:val="24"/>
        </w:rPr>
        <w:t>MS, MCh, DNB</w:t>
      </w:r>
      <w:r w:rsidRPr="008A28E4">
        <w:rPr>
          <w:rFonts w:ascii="Book Antiqua" w:hAnsi="Book Antiqua" w:cs="Times New Roman"/>
          <w:b/>
          <w:bCs/>
          <w:sz w:val="24"/>
          <w:szCs w:val="24"/>
          <w:lang w:eastAsia="zh-CN"/>
        </w:rPr>
        <w:t>,</w:t>
      </w:r>
      <w:r w:rsidRPr="008A28E4">
        <w:rPr>
          <w:rFonts w:ascii="Book Antiqua" w:hAnsi="Book Antiqua" w:cs="Times New Roman"/>
          <w:b/>
          <w:bCs/>
          <w:color w:val="000000"/>
          <w:sz w:val="24"/>
          <w:szCs w:val="24"/>
        </w:rPr>
        <w:t xml:space="preserve"> </w:t>
      </w:r>
      <w:r w:rsidRPr="008A28E4">
        <w:rPr>
          <w:rFonts w:ascii="Book Antiqua" w:hAnsi="Book Antiqua" w:cs="Times New Roman"/>
          <w:bCs/>
          <w:sz w:val="24"/>
          <w:szCs w:val="24"/>
        </w:rPr>
        <w:t xml:space="preserve">Department of Urologist, </w:t>
      </w:r>
      <w:r w:rsidR="004D3195" w:rsidRPr="008A28E4">
        <w:rPr>
          <w:rFonts w:ascii="Book Antiqua" w:hAnsi="Book Antiqua" w:cs="Times New Roman"/>
          <w:bCs/>
          <w:sz w:val="24"/>
          <w:szCs w:val="24"/>
        </w:rPr>
        <w:t>Chitale Clinic Private Limited</w:t>
      </w:r>
      <w:r w:rsidR="004D3195" w:rsidRPr="008A28E4">
        <w:rPr>
          <w:rFonts w:ascii="Book Antiqua" w:hAnsi="Book Antiqua" w:cs="Times New Roman"/>
          <w:bCs/>
          <w:color w:val="000000"/>
          <w:sz w:val="24"/>
          <w:szCs w:val="24"/>
          <w:lang w:eastAsia="zh-CN"/>
        </w:rPr>
        <w:t>,</w:t>
      </w:r>
      <w:r w:rsidR="00774A3F" w:rsidRPr="008A28E4">
        <w:rPr>
          <w:rFonts w:ascii="Book Antiqua" w:hAnsi="Book Antiqua" w:cs="Times New Roman"/>
          <w:bCs/>
          <w:color w:val="000000"/>
          <w:sz w:val="24"/>
          <w:szCs w:val="24"/>
        </w:rPr>
        <w:t xml:space="preserve"> 165 D Railway Lines</w:t>
      </w:r>
      <w:r w:rsidR="004D3195" w:rsidRPr="008A28E4">
        <w:rPr>
          <w:rFonts w:ascii="Book Antiqua" w:hAnsi="Book Antiqua" w:cs="Times New Roman"/>
          <w:bCs/>
          <w:color w:val="000000"/>
          <w:sz w:val="24"/>
          <w:szCs w:val="24"/>
          <w:lang w:eastAsia="zh-CN"/>
        </w:rPr>
        <w:t>,</w:t>
      </w:r>
      <w:r w:rsidR="00774A3F" w:rsidRPr="008A28E4">
        <w:rPr>
          <w:rFonts w:ascii="Book Antiqua" w:hAnsi="Book Antiqua" w:cs="Times New Roman"/>
          <w:bCs/>
          <w:color w:val="000000"/>
          <w:sz w:val="24"/>
          <w:szCs w:val="24"/>
        </w:rPr>
        <w:t xml:space="preserve"> </w:t>
      </w:r>
      <w:r w:rsidR="004D3195" w:rsidRPr="008A28E4">
        <w:rPr>
          <w:rFonts w:ascii="Book Antiqua" w:hAnsi="Book Antiqua" w:cs="Times New Roman"/>
          <w:bCs/>
          <w:sz w:val="24"/>
          <w:szCs w:val="24"/>
        </w:rPr>
        <w:t>Solapur, Maharashtra 413001, India</w:t>
      </w:r>
      <w:r w:rsidRPr="008A28E4">
        <w:rPr>
          <w:rFonts w:ascii="Book Antiqua" w:hAnsi="Book Antiqua" w:cs="Times New Roman"/>
          <w:bCs/>
          <w:color w:val="000000"/>
          <w:sz w:val="24"/>
          <w:szCs w:val="24"/>
          <w:lang w:eastAsia="zh-CN"/>
        </w:rPr>
        <w:t>.</w:t>
      </w:r>
      <w:r w:rsidR="00774A3F" w:rsidRPr="008A28E4">
        <w:rPr>
          <w:rFonts w:ascii="Book Antiqua" w:hAnsi="Book Antiqua"/>
          <w:sz w:val="24"/>
          <w:szCs w:val="24"/>
        </w:rPr>
        <w:t xml:space="preserve"> </w:t>
      </w:r>
      <w:r w:rsidR="00774A3F" w:rsidRPr="008A28E4">
        <w:rPr>
          <w:rFonts w:ascii="Book Antiqua" w:hAnsi="Book Antiqua" w:cs="Times New Roman"/>
          <w:bCs/>
          <w:color w:val="000000"/>
          <w:sz w:val="24"/>
          <w:szCs w:val="24"/>
          <w:lang w:eastAsia="zh-CN"/>
        </w:rPr>
        <w:t>drgrsharma@gmail.com</w:t>
      </w:r>
    </w:p>
    <w:p w:rsidR="0077312E" w:rsidRPr="008A28E4" w:rsidRDefault="0077312E" w:rsidP="008A28E4">
      <w:pPr>
        <w:spacing w:after="0" w:line="360" w:lineRule="auto"/>
        <w:jc w:val="both"/>
        <w:rPr>
          <w:rFonts w:ascii="Book Antiqua" w:hAnsi="Book Antiqua" w:cs="Times New Roman"/>
          <w:bCs/>
          <w:color w:val="000000"/>
          <w:sz w:val="24"/>
          <w:szCs w:val="24"/>
          <w:lang w:eastAsia="zh-CN"/>
        </w:rPr>
      </w:pPr>
    </w:p>
    <w:p w:rsidR="0077312E" w:rsidRPr="008A28E4" w:rsidRDefault="0077312E" w:rsidP="008A28E4">
      <w:pPr>
        <w:spacing w:after="0" w:line="360" w:lineRule="auto"/>
        <w:jc w:val="both"/>
        <w:rPr>
          <w:rFonts w:ascii="Book Antiqua" w:hAnsi="Book Antiqua" w:cs="Times New Roman"/>
          <w:bCs/>
          <w:color w:val="000000"/>
          <w:sz w:val="24"/>
          <w:szCs w:val="24"/>
        </w:rPr>
      </w:pPr>
      <w:r w:rsidRPr="008A28E4">
        <w:rPr>
          <w:rFonts w:ascii="Book Antiqua" w:hAnsi="Book Antiqua" w:cs="Times New Roman"/>
          <w:b/>
          <w:color w:val="000000"/>
          <w:sz w:val="24"/>
          <w:szCs w:val="24"/>
        </w:rPr>
        <w:t>Telephone</w:t>
      </w:r>
      <w:r w:rsidR="006B0543">
        <w:rPr>
          <w:rFonts w:ascii="Book Antiqua" w:hAnsi="Book Antiqua" w:cs="Times New Roman"/>
          <w:bCs/>
          <w:color w:val="000000"/>
          <w:sz w:val="24"/>
          <w:szCs w:val="24"/>
        </w:rPr>
        <w:t xml:space="preserve">: </w:t>
      </w:r>
      <w:r w:rsidRPr="008A28E4">
        <w:rPr>
          <w:rFonts w:ascii="Book Antiqua" w:hAnsi="Book Antiqua" w:cs="Times New Roman"/>
          <w:bCs/>
          <w:color w:val="000000"/>
          <w:sz w:val="24"/>
          <w:szCs w:val="24"/>
          <w:lang w:eastAsia="zh-CN"/>
        </w:rPr>
        <w:t>+</w:t>
      </w:r>
      <w:r w:rsidRPr="008A28E4">
        <w:rPr>
          <w:rFonts w:ascii="Book Antiqua" w:hAnsi="Book Antiqua" w:cs="Times New Roman"/>
          <w:bCs/>
          <w:color w:val="000000"/>
          <w:sz w:val="24"/>
          <w:szCs w:val="24"/>
        </w:rPr>
        <w:t xml:space="preserve">91-217-2319251       </w:t>
      </w:r>
      <w:r w:rsidRPr="008A28E4">
        <w:rPr>
          <w:rFonts w:ascii="Book Antiqua" w:hAnsi="Book Antiqua" w:cs="Times New Roman"/>
          <w:b/>
          <w:color w:val="000000"/>
          <w:sz w:val="24"/>
          <w:szCs w:val="24"/>
        </w:rPr>
        <w:t>Fax:</w:t>
      </w:r>
      <w:r w:rsidRPr="008A28E4">
        <w:rPr>
          <w:rFonts w:ascii="Book Antiqua" w:hAnsi="Book Antiqua" w:cs="Times New Roman"/>
          <w:b/>
          <w:color w:val="000000"/>
          <w:sz w:val="24"/>
          <w:szCs w:val="24"/>
          <w:lang w:eastAsia="zh-CN"/>
        </w:rPr>
        <w:t xml:space="preserve"> </w:t>
      </w:r>
      <w:r w:rsidRPr="008A28E4">
        <w:rPr>
          <w:rFonts w:ascii="Book Antiqua" w:hAnsi="Book Antiqua" w:cs="Times New Roman"/>
          <w:bCs/>
          <w:color w:val="000000"/>
          <w:sz w:val="24"/>
          <w:szCs w:val="24"/>
          <w:lang w:eastAsia="zh-CN"/>
        </w:rPr>
        <w:t>+</w:t>
      </w:r>
      <w:r w:rsidRPr="008A28E4">
        <w:rPr>
          <w:rFonts w:ascii="Book Antiqua" w:hAnsi="Book Antiqua" w:cs="Times New Roman"/>
          <w:bCs/>
          <w:color w:val="000000"/>
          <w:sz w:val="24"/>
          <w:szCs w:val="24"/>
        </w:rPr>
        <w:t>91-217-2319253</w:t>
      </w:r>
    </w:p>
    <w:p w:rsidR="004D3195" w:rsidRPr="008A28E4" w:rsidRDefault="00E503CC" w:rsidP="008A28E4">
      <w:pPr>
        <w:spacing w:after="0" w:line="360" w:lineRule="auto"/>
        <w:jc w:val="both"/>
        <w:rPr>
          <w:rFonts w:ascii="Book Antiqua" w:hAnsi="Book Antiqua"/>
          <w:b/>
          <w:sz w:val="24"/>
          <w:szCs w:val="24"/>
          <w:lang w:eastAsia="zh-CN"/>
        </w:rPr>
      </w:pPr>
      <w:r w:rsidRPr="008A28E4">
        <w:rPr>
          <w:rFonts w:ascii="Book Antiqua" w:hAnsi="Book Antiqua"/>
          <w:b/>
          <w:sz w:val="24"/>
          <w:szCs w:val="24"/>
        </w:rPr>
        <w:t xml:space="preserve">Received: </w:t>
      </w:r>
      <w:r w:rsidR="004D3195" w:rsidRPr="008A28E4">
        <w:rPr>
          <w:rFonts w:ascii="Book Antiqua" w:hAnsi="Book Antiqua"/>
          <w:b/>
          <w:sz w:val="24"/>
          <w:szCs w:val="24"/>
        </w:rPr>
        <w:t xml:space="preserve"> </w:t>
      </w:r>
      <w:r w:rsidRPr="008A28E4">
        <w:rPr>
          <w:rFonts w:ascii="Book Antiqua" w:hAnsi="Book Antiqua"/>
          <w:sz w:val="24"/>
          <w:szCs w:val="24"/>
          <w:lang w:eastAsia="zh-CN"/>
        </w:rPr>
        <w:t>July 27, 2014</w:t>
      </w:r>
    </w:p>
    <w:p w:rsidR="004D3195" w:rsidRPr="008A28E4" w:rsidRDefault="004D3195" w:rsidP="008A28E4">
      <w:pPr>
        <w:spacing w:after="0" w:line="360" w:lineRule="auto"/>
        <w:jc w:val="both"/>
        <w:rPr>
          <w:rFonts w:ascii="Book Antiqua" w:hAnsi="Book Antiqua"/>
          <w:b/>
          <w:sz w:val="24"/>
          <w:szCs w:val="24"/>
          <w:lang w:eastAsia="zh-CN"/>
        </w:rPr>
      </w:pPr>
      <w:r w:rsidRPr="008A28E4">
        <w:rPr>
          <w:rFonts w:ascii="Book Antiqua" w:hAnsi="Book Antiqua"/>
          <w:b/>
          <w:sz w:val="24"/>
          <w:szCs w:val="24"/>
        </w:rPr>
        <w:t>Peer-review started:</w:t>
      </w:r>
      <w:r w:rsidR="00E503CC" w:rsidRPr="008A28E4">
        <w:rPr>
          <w:rFonts w:ascii="Book Antiqua" w:hAnsi="Book Antiqua"/>
          <w:b/>
          <w:sz w:val="24"/>
          <w:szCs w:val="24"/>
          <w:lang w:eastAsia="zh-CN"/>
        </w:rPr>
        <w:t xml:space="preserve"> </w:t>
      </w:r>
      <w:r w:rsidR="00E503CC" w:rsidRPr="008A28E4">
        <w:rPr>
          <w:rFonts w:ascii="Book Antiqua" w:hAnsi="Book Antiqua"/>
          <w:sz w:val="24"/>
          <w:szCs w:val="24"/>
          <w:lang w:eastAsia="zh-CN"/>
        </w:rPr>
        <w:t>July 27, 2014</w:t>
      </w:r>
    </w:p>
    <w:p w:rsidR="004D3195" w:rsidRPr="008A28E4" w:rsidRDefault="004D3195" w:rsidP="008A28E4">
      <w:pPr>
        <w:spacing w:after="0" w:line="360" w:lineRule="auto"/>
        <w:jc w:val="both"/>
        <w:rPr>
          <w:rFonts w:ascii="Book Antiqua" w:hAnsi="Book Antiqua"/>
          <w:b/>
          <w:sz w:val="24"/>
          <w:szCs w:val="24"/>
          <w:lang w:eastAsia="zh-CN"/>
        </w:rPr>
      </w:pPr>
      <w:r w:rsidRPr="008A28E4">
        <w:rPr>
          <w:rFonts w:ascii="Book Antiqua" w:hAnsi="Book Antiqua"/>
          <w:b/>
          <w:sz w:val="24"/>
          <w:szCs w:val="24"/>
        </w:rPr>
        <w:t>First decision:</w:t>
      </w:r>
      <w:r w:rsidR="00E503CC" w:rsidRPr="008A28E4">
        <w:rPr>
          <w:rFonts w:ascii="Book Antiqua" w:hAnsi="Book Antiqua"/>
          <w:b/>
          <w:sz w:val="24"/>
          <w:szCs w:val="24"/>
          <w:lang w:eastAsia="zh-CN"/>
        </w:rPr>
        <w:t xml:space="preserve"> </w:t>
      </w:r>
      <w:r w:rsidR="00E503CC" w:rsidRPr="008A28E4">
        <w:rPr>
          <w:rFonts w:ascii="Book Antiqua" w:hAnsi="Book Antiqua"/>
          <w:sz w:val="24"/>
          <w:szCs w:val="24"/>
          <w:lang w:eastAsia="zh-CN"/>
        </w:rPr>
        <w:t xml:space="preserve">September </w:t>
      </w:r>
      <w:r w:rsidR="00487BD6" w:rsidRPr="008A28E4">
        <w:rPr>
          <w:rFonts w:ascii="Book Antiqua" w:hAnsi="Book Antiqua"/>
          <w:sz w:val="24"/>
          <w:szCs w:val="24"/>
          <w:lang w:eastAsia="zh-CN"/>
        </w:rPr>
        <w:t>17, 2014</w:t>
      </w:r>
    </w:p>
    <w:p w:rsidR="004D3195" w:rsidRPr="008A28E4" w:rsidRDefault="004D3195" w:rsidP="008A28E4">
      <w:pPr>
        <w:spacing w:after="0" w:line="360" w:lineRule="auto"/>
        <w:jc w:val="both"/>
        <w:rPr>
          <w:rFonts w:ascii="Book Antiqua" w:hAnsi="Book Antiqua"/>
          <w:sz w:val="24"/>
          <w:szCs w:val="24"/>
          <w:lang w:eastAsia="zh-CN"/>
        </w:rPr>
      </w:pPr>
      <w:r w:rsidRPr="008A28E4">
        <w:rPr>
          <w:rFonts w:ascii="Book Antiqua" w:hAnsi="Book Antiqua"/>
          <w:b/>
          <w:sz w:val="24"/>
          <w:szCs w:val="24"/>
        </w:rPr>
        <w:t xml:space="preserve">Revised:  </w:t>
      </w:r>
      <w:r w:rsidR="00487BD6" w:rsidRPr="008A28E4">
        <w:rPr>
          <w:rFonts w:ascii="Book Antiqua" w:hAnsi="Book Antiqua"/>
          <w:sz w:val="24"/>
          <w:szCs w:val="24"/>
          <w:lang w:eastAsia="zh-CN"/>
        </w:rPr>
        <w:t>September 24, 2014</w:t>
      </w:r>
    </w:p>
    <w:p w:rsidR="004D3195" w:rsidRPr="004B6E8A" w:rsidRDefault="004D3195" w:rsidP="004B6E8A">
      <w:pPr>
        <w:rPr>
          <w:rFonts w:ascii="Book Antiqua" w:hAnsi="Book Antiqua"/>
          <w:iCs/>
          <w:sz w:val="24"/>
        </w:rPr>
      </w:pPr>
      <w:r w:rsidRPr="008A28E4">
        <w:rPr>
          <w:rFonts w:ascii="Book Antiqua" w:hAnsi="Book Antiqua"/>
          <w:b/>
          <w:sz w:val="24"/>
          <w:szCs w:val="24"/>
        </w:rPr>
        <w:t xml:space="preserve">Accepted:  </w:t>
      </w:r>
      <w:bookmarkStart w:id="0" w:name="OLE_LINK1"/>
      <w:bookmarkStart w:id="1" w:name="OLE_LINK2"/>
      <w:bookmarkStart w:id="2" w:name="OLE_LINK3"/>
      <w:bookmarkStart w:id="3" w:name="OLE_LINK4"/>
      <w:bookmarkStart w:id="4" w:name="OLE_LINK5"/>
      <w:bookmarkStart w:id="5" w:name="OLE_LINK6"/>
      <w:bookmarkStart w:id="6" w:name="OLE_LINK7"/>
      <w:bookmarkStart w:id="7" w:name="OLE_LINK9"/>
      <w:bookmarkStart w:id="8" w:name="OLE_LINK10"/>
      <w:bookmarkStart w:id="9" w:name="OLE_LINK17"/>
      <w:bookmarkStart w:id="10" w:name="OLE_LINK18"/>
      <w:bookmarkStart w:id="11" w:name="OLE_LINK19"/>
      <w:bookmarkStart w:id="12" w:name="OLE_LINK22"/>
      <w:bookmarkStart w:id="13" w:name="OLE_LINK24"/>
      <w:bookmarkStart w:id="14" w:name="OLE_LINK25"/>
      <w:bookmarkStart w:id="15" w:name="OLE_LINK26"/>
      <w:bookmarkStart w:id="16" w:name="OLE_LINK27"/>
      <w:bookmarkStart w:id="17" w:name="OLE_LINK28"/>
      <w:bookmarkStart w:id="18" w:name="OLE_LINK29"/>
      <w:bookmarkStart w:id="19" w:name="OLE_LINK30"/>
      <w:bookmarkStart w:id="20" w:name="OLE_LINK31"/>
      <w:bookmarkStart w:id="21" w:name="OLE_LINK32"/>
      <w:bookmarkStart w:id="22" w:name="OLE_LINK34"/>
      <w:bookmarkStart w:id="23" w:name="OLE_LINK36"/>
      <w:bookmarkStart w:id="24" w:name="OLE_LINK37"/>
      <w:bookmarkStart w:id="25" w:name="OLE_LINK38"/>
      <w:bookmarkStart w:id="26" w:name="OLE_LINK41"/>
      <w:bookmarkStart w:id="27" w:name="OLE_LINK42"/>
      <w:bookmarkStart w:id="28" w:name="OLE_LINK44"/>
      <w:bookmarkStart w:id="29" w:name="OLE_LINK45"/>
      <w:bookmarkStart w:id="30" w:name="OLE_LINK46"/>
      <w:bookmarkStart w:id="31" w:name="OLE_LINK47"/>
      <w:bookmarkStart w:id="32" w:name="OLE_LINK52"/>
      <w:bookmarkStart w:id="33" w:name="OLE_LINK43"/>
      <w:bookmarkStart w:id="34" w:name="OLE_LINK57"/>
      <w:bookmarkStart w:id="35" w:name="OLE_LINK58"/>
      <w:bookmarkStart w:id="36" w:name="OLE_LINK8"/>
      <w:bookmarkStart w:id="37" w:name="OLE_LINK62"/>
      <w:bookmarkStart w:id="38" w:name="OLE_LINK66"/>
      <w:bookmarkStart w:id="39" w:name="OLE_LINK68"/>
      <w:bookmarkStart w:id="40" w:name="OLE_LINK69"/>
      <w:bookmarkStart w:id="41" w:name="OLE_LINK71"/>
      <w:bookmarkStart w:id="42" w:name="OLE_LINK74"/>
      <w:bookmarkStart w:id="43" w:name="OLE_LINK77"/>
      <w:bookmarkStart w:id="44" w:name="OLE_LINK78"/>
      <w:bookmarkStart w:id="45" w:name="OLE_LINK72"/>
      <w:bookmarkStart w:id="46" w:name="OLE_LINK73"/>
      <w:bookmarkStart w:id="47" w:name="OLE_LINK79"/>
      <w:bookmarkStart w:id="48" w:name="OLE_LINK81"/>
      <w:bookmarkStart w:id="49" w:name="OLE_LINK86"/>
      <w:bookmarkStart w:id="50" w:name="OLE_LINK87"/>
      <w:bookmarkStart w:id="51" w:name="OLE_LINK88"/>
      <w:bookmarkStart w:id="52" w:name="OLE_LINK89"/>
      <w:bookmarkStart w:id="53" w:name="OLE_LINK92"/>
      <w:bookmarkStart w:id="54" w:name="OLE_LINK94"/>
      <w:bookmarkStart w:id="55" w:name="OLE_LINK95"/>
      <w:r w:rsidR="004B6E8A" w:rsidRPr="00A63FB9">
        <w:rPr>
          <w:rStyle w:val="Emphasis"/>
          <w:rFonts w:ascii="Book Antiqua" w:hAnsi="Book Antiqua"/>
          <w:i w:val="0"/>
          <w:sz w:val="24"/>
        </w:rPr>
        <w:t xml:space="preserve">November </w:t>
      </w:r>
      <w:r w:rsidR="004B6E8A">
        <w:rPr>
          <w:rStyle w:val="Emphasis"/>
          <w:rFonts w:ascii="Book Antiqua" w:hAnsi="Book Antiqua"/>
          <w:i w:val="0"/>
          <w:sz w:val="24"/>
        </w:rPr>
        <w:t>2</w:t>
      </w:r>
      <w:r w:rsidR="004B6E8A" w:rsidRPr="00A63FB9">
        <w:rPr>
          <w:rStyle w:val="Emphasis"/>
          <w:rFonts w:ascii="Book Antiqua" w:hAnsi="Book Antiqua"/>
          <w:i w:val="0"/>
          <w:sz w:val="24"/>
        </w:rPr>
        <w:t>7, 2014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rsidR="004D3195" w:rsidRPr="008A28E4" w:rsidRDefault="004D3195" w:rsidP="008A28E4">
      <w:pPr>
        <w:spacing w:after="0" w:line="360" w:lineRule="auto"/>
        <w:jc w:val="both"/>
        <w:rPr>
          <w:rFonts w:ascii="Book Antiqua" w:hAnsi="Book Antiqua"/>
          <w:b/>
          <w:sz w:val="24"/>
          <w:szCs w:val="24"/>
        </w:rPr>
      </w:pPr>
      <w:r w:rsidRPr="008A28E4">
        <w:rPr>
          <w:rFonts w:ascii="Book Antiqua" w:hAnsi="Book Antiqua"/>
          <w:b/>
          <w:sz w:val="24"/>
          <w:szCs w:val="24"/>
        </w:rPr>
        <w:t>Article in press:</w:t>
      </w:r>
    </w:p>
    <w:p w:rsidR="004D3195" w:rsidRPr="008A28E4" w:rsidRDefault="004D3195" w:rsidP="008A28E4">
      <w:pPr>
        <w:spacing w:after="0" w:line="360" w:lineRule="auto"/>
        <w:jc w:val="both"/>
        <w:rPr>
          <w:rFonts w:ascii="Book Antiqua" w:hAnsi="Book Antiqua"/>
          <w:b/>
          <w:sz w:val="24"/>
          <w:szCs w:val="24"/>
        </w:rPr>
      </w:pPr>
      <w:r w:rsidRPr="008A28E4">
        <w:rPr>
          <w:rFonts w:ascii="Book Antiqua" w:hAnsi="Book Antiqua"/>
          <w:b/>
          <w:sz w:val="24"/>
          <w:szCs w:val="24"/>
        </w:rPr>
        <w:t xml:space="preserve">Published online: </w:t>
      </w:r>
    </w:p>
    <w:p w:rsidR="0077312E" w:rsidRPr="008A28E4" w:rsidRDefault="0077312E" w:rsidP="008A28E4">
      <w:pPr>
        <w:spacing w:after="0" w:line="360" w:lineRule="auto"/>
        <w:jc w:val="both"/>
        <w:rPr>
          <w:rFonts w:ascii="Book Antiqua" w:hAnsi="Book Antiqua"/>
          <w:b/>
          <w:sz w:val="24"/>
          <w:szCs w:val="24"/>
          <w:lang w:eastAsia="zh-CN"/>
        </w:rPr>
      </w:pPr>
    </w:p>
    <w:p w:rsidR="0077312E" w:rsidRPr="008A28E4" w:rsidRDefault="00C2014D" w:rsidP="008A28E4">
      <w:pPr>
        <w:spacing w:after="0" w:line="360" w:lineRule="auto"/>
        <w:jc w:val="both"/>
        <w:rPr>
          <w:rFonts w:ascii="Book Antiqua" w:hAnsi="Book Antiqua" w:cs="Times New Roman"/>
          <w:bCs/>
          <w:color w:val="000000"/>
          <w:sz w:val="24"/>
          <w:szCs w:val="24"/>
          <w:lang w:eastAsia="zh-CN"/>
        </w:rPr>
      </w:pPr>
      <w:bookmarkStart w:id="56" w:name="OLE_LINK334"/>
      <w:r w:rsidRPr="008A28E4">
        <w:rPr>
          <w:rFonts w:ascii="Book Antiqua" w:hAnsi="Book Antiqua" w:cs="Times New Roman"/>
          <w:b/>
          <w:color w:val="000000"/>
          <w:sz w:val="24"/>
          <w:szCs w:val="24"/>
        </w:rPr>
        <w:t>Abstract</w:t>
      </w:r>
      <w:bookmarkEnd w:id="56"/>
    </w:p>
    <w:p w:rsidR="00C2014D" w:rsidRPr="008A28E4" w:rsidRDefault="00C2014D" w:rsidP="008A28E4">
      <w:pPr>
        <w:spacing w:after="0" w:line="360" w:lineRule="auto"/>
        <w:jc w:val="both"/>
        <w:rPr>
          <w:rFonts w:ascii="Book Antiqua" w:hAnsi="Book Antiqua"/>
          <w:sz w:val="24"/>
          <w:szCs w:val="24"/>
        </w:rPr>
      </w:pPr>
      <w:r w:rsidRPr="008A28E4">
        <w:rPr>
          <w:rFonts w:ascii="Book Antiqua" w:hAnsi="Book Antiqua" w:cs="Times New Roman"/>
          <w:bCs/>
          <w:color w:val="000000"/>
          <w:sz w:val="24"/>
          <w:szCs w:val="24"/>
        </w:rPr>
        <w:t xml:space="preserve"> </w:t>
      </w:r>
      <w:r w:rsidRPr="008A28E4">
        <w:rPr>
          <w:rFonts w:ascii="Book Antiqua" w:hAnsi="Book Antiqua"/>
          <w:sz w:val="24"/>
          <w:szCs w:val="24"/>
        </w:rPr>
        <w:t xml:space="preserve">Percutaneous nephrolithotomy is a very commonly done procedure for management of renal calculus disease. Establishing a good access is the first and probably the most crucial step of this procedure. A proper access is the gateway to success. However, this crucial step has the steepest learning curve for, in a fluoroscopy guided access, it involves visualizing a three dimensional anatomy on a two dimensional fluoroscopy screen. This review describes the anatomical basis of the renal access. It provides a literature review of all aspects of percutaneous renal access along with the advances that have taken place in this field over the years. The article describes a technique to determine the site of skin puncture, the angle and depth of puncture using a simple mathematical principle. It also reviews the common problems faced during the process of puncture and dilatation and describes the ways to overcome them. The aim of this article is to provide the reader a step by step guide for percutaneous renal access. </w:t>
      </w:r>
    </w:p>
    <w:p w:rsidR="00C2014D" w:rsidRPr="008A28E4" w:rsidRDefault="00C2014D" w:rsidP="008A28E4">
      <w:pPr>
        <w:pStyle w:val="ListParagraph"/>
        <w:spacing w:after="0" w:line="360" w:lineRule="auto"/>
        <w:ind w:left="0"/>
        <w:jc w:val="both"/>
        <w:rPr>
          <w:rFonts w:ascii="Book Antiqua" w:hAnsi="Book Antiqua" w:cs="Times New Roman"/>
          <w:bCs/>
          <w:color w:val="000000"/>
          <w:sz w:val="24"/>
          <w:szCs w:val="24"/>
          <w:lang w:eastAsia="zh-CN"/>
        </w:rPr>
      </w:pPr>
    </w:p>
    <w:p w:rsidR="004D3195" w:rsidRPr="008A28E4" w:rsidRDefault="004D3195" w:rsidP="008A28E4">
      <w:pPr>
        <w:spacing w:after="0" w:line="360" w:lineRule="auto"/>
        <w:jc w:val="both"/>
        <w:rPr>
          <w:rFonts w:ascii="Book Antiqua" w:hAnsi="Book Antiqua" w:cs="宋体"/>
          <w:sz w:val="24"/>
          <w:szCs w:val="24"/>
        </w:rPr>
      </w:pPr>
      <w:bookmarkStart w:id="57" w:name="OLE_LINK475"/>
      <w:r w:rsidRPr="008A28E4">
        <w:rPr>
          <w:rFonts w:ascii="Book Antiqua" w:hAnsi="Book Antiqua"/>
          <w:sz w:val="24"/>
          <w:szCs w:val="24"/>
        </w:rPr>
        <w:t xml:space="preserve">© </w:t>
      </w:r>
      <w:r w:rsidRPr="008A28E4">
        <w:rPr>
          <w:rFonts w:ascii="Book Antiqua" w:hAnsi="Book Antiqua" w:cs="宋体"/>
          <w:sz w:val="24"/>
          <w:szCs w:val="24"/>
        </w:rPr>
        <w:t xml:space="preserve">2014 Baishideng Publishing Group Inc. All rights reserved. </w:t>
      </w:r>
    </w:p>
    <w:bookmarkEnd w:id="57"/>
    <w:p w:rsidR="004D3195" w:rsidRPr="008A28E4" w:rsidRDefault="004D3195" w:rsidP="008A28E4">
      <w:pPr>
        <w:pStyle w:val="ListParagraph"/>
        <w:spacing w:after="0" w:line="360" w:lineRule="auto"/>
        <w:ind w:left="0"/>
        <w:jc w:val="both"/>
        <w:rPr>
          <w:rFonts w:ascii="Book Antiqua" w:hAnsi="Book Antiqua" w:cs="Times New Roman"/>
          <w:bCs/>
          <w:color w:val="000000"/>
          <w:sz w:val="24"/>
          <w:szCs w:val="24"/>
          <w:lang w:eastAsia="zh-CN"/>
        </w:rPr>
      </w:pPr>
    </w:p>
    <w:p w:rsidR="00C2014D" w:rsidRPr="008A28E4" w:rsidRDefault="00C2014D" w:rsidP="008A28E4">
      <w:pPr>
        <w:spacing w:after="0" w:line="360" w:lineRule="auto"/>
        <w:jc w:val="both"/>
        <w:rPr>
          <w:rFonts w:ascii="Book Antiqua" w:eastAsia="Arial Unicode MS" w:hAnsi="Book Antiqua" w:cs="Times New Roman"/>
          <w:bCs/>
          <w:sz w:val="24"/>
          <w:szCs w:val="24"/>
          <w:lang w:eastAsia="zh-CN"/>
        </w:rPr>
      </w:pPr>
      <w:bookmarkStart w:id="58" w:name="OLE_LINK191"/>
      <w:bookmarkStart w:id="59" w:name="OLE_LINK192"/>
      <w:r w:rsidRPr="008A28E4">
        <w:rPr>
          <w:rFonts w:ascii="Book Antiqua" w:eastAsia="Arial Unicode MS" w:hAnsi="Book Antiqua" w:cs="Times New Roman"/>
          <w:b/>
          <w:sz w:val="24"/>
          <w:szCs w:val="24"/>
        </w:rPr>
        <w:t>Key words:</w:t>
      </w:r>
      <w:r w:rsidRPr="008A28E4">
        <w:rPr>
          <w:rFonts w:ascii="Book Antiqua" w:eastAsia="Arial Unicode MS" w:hAnsi="Book Antiqua" w:cs="Times New Roman"/>
          <w:bCs/>
          <w:sz w:val="24"/>
          <w:szCs w:val="24"/>
        </w:rPr>
        <w:t xml:space="preserve"> Fluoroscopy</w:t>
      </w:r>
      <w:r w:rsidR="0077312E" w:rsidRPr="008A28E4">
        <w:rPr>
          <w:rFonts w:ascii="Book Antiqua" w:eastAsia="Arial Unicode MS" w:hAnsi="Book Antiqua" w:cs="Times New Roman"/>
          <w:bCs/>
          <w:sz w:val="24"/>
          <w:szCs w:val="24"/>
          <w:lang w:eastAsia="zh-CN"/>
        </w:rPr>
        <w:t>;</w:t>
      </w:r>
      <w:r w:rsidRPr="008A28E4">
        <w:rPr>
          <w:rFonts w:ascii="Book Antiqua" w:eastAsia="Arial Unicode MS" w:hAnsi="Book Antiqua" w:cs="Times New Roman"/>
          <w:bCs/>
          <w:sz w:val="24"/>
          <w:szCs w:val="24"/>
        </w:rPr>
        <w:t xml:space="preserve"> </w:t>
      </w:r>
      <w:r w:rsidR="0077312E" w:rsidRPr="008A28E4">
        <w:rPr>
          <w:rFonts w:ascii="Book Antiqua" w:eastAsia="Arial Unicode MS" w:hAnsi="Book Antiqua" w:cs="Times New Roman"/>
          <w:bCs/>
          <w:sz w:val="24"/>
          <w:szCs w:val="24"/>
        </w:rPr>
        <w:t xml:space="preserve">Percutaneous </w:t>
      </w:r>
      <w:r w:rsidRPr="008A28E4">
        <w:rPr>
          <w:rFonts w:ascii="Book Antiqua" w:eastAsia="Arial Unicode MS" w:hAnsi="Book Antiqua" w:cs="Times New Roman"/>
          <w:bCs/>
          <w:sz w:val="24"/>
          <w:szCs w:val="24"/>
        </w:rPr>
        <w:t>nephrolithotomy</w:t>
      </w:r>
      <w:r w:rsidR="0077312E" w:rsidRPr="008A28E4">
        <w:rPr>
          <w:rFonts w:ascii="Book Antiqua" w:eastAsia="Arial Unicode MS" w:hAnsi="Book Antiqua" w:cs="Times New Roman"/>
          <w:bCs/>
          <w:sz w:val="24"/>
          <w:szCs w:val="24"/>
          <w:lang w:eastAsia="zh-CN"/>
        </w:rPr>
        <w:t>;</w:t>
      </w:r>
      <w:r w:rsidRPr="008A28E4">
        <w:rPr>
          <w:rFonts w:ascii="Book Antiqua" w:eastAsia="Arial Unicode MS" w:hAnsi="Book Antiqua" w:cs="Times New Roman"/>
          <w:bCs/>
          <w:sz w:val="24"/>
          <w:szCs w:val="24"/>
        </w:rPr>
        <w:t xml:space="preserve"> </w:t>
      </w:r>
      <w:r w:rsidR="0077312E" w:rsidRPr="008A28E4">
        <w:rPr>
          <w:rFonts w:ascii="Book Antiqua" w:eastAsia="Arial Unicode MS" w:hAnsi="Book Antiqua" w:cs="Times New Roman"/>
          <w:bCs/>
          <w:sz w:val="24"/>
          <w:szCs w:val="24"/>
        </w:rPr>
        <w:t xml:space="preserve">Percutaneous </w:t>
      </w:r>
      <w:r w:rsidRPr="008A28E4">
        <w:rPr>
          <w:rFonts w:ascii="Book Antiqua" w:eastAsia="Arial Unicode MS" w:hAnsi="Book Antiqua" w:cs="Times New Roman"/>
          <w:bCs/>
          <w:sz w:val="24"/>
          <w:szCs w:val="24"/>
        </w:rPr>
        <w:t>renal access</w:t>
      </w:r>
      <w:r w:rsidR="0077312E" w:rsidRPr="008A28E4">
        <w:rPr>
          <w:rFonts w:ascii="Book Antiqua" w:eastAsia="Arial Unicode MS" w:hAnsi="Book Antiqua" w:cs="Times New Roman"/>
          <w:bCs/>
          <w:sz w:val="24"/>
          <w:szCs w:val="24"/>
          <w:lang w:eastAsia="zh-CN"/>
        </w:rPr>
        <w:t>;</w:t>
      </w:r>
      <w:r w:rsidRPr="008A28E4">
        <w:rPr>
          <w:rFonts w:ascii="Book Antiqua" w:eastAsia="Arial Unicode MS" w:hAnsi="Book Antiqua" w:cs="Times New Roman"/>
          <w:bCs/>
          <w:sz w:val="24"/>
          <w:szCs w:val="24"/>
        </w:rPr>
        <w:t xml:space="preserve"> </w:t>
      </w:r>
      <w:r w:rsidR="0077312E" w:rsidRPr="008A28E4">
        <w:rPr>
          <w:rFonts w:ascii="Book Antiqua" w:eastAsia="Arial Unicode MS" w:hAnsi="Book Antiqua" w:cs="Times New Roman"/>
          <w:bCs/>
          <w:sz w:val="24"/>
          <w:szCs w:val="24"/>
        </w:rPr>
        <w:t xml:space="preserve">Learning </w:t>
      </w:r>
      <w:r w:rsidRPr="008A28E4">
        <w:rPr>
          <w:rFonts w:ascii="Book Antiqua" w:eastAsia="Arial Unicode MS" w:hAnsi="Book Antiqua" w:cs="Times New Roman"/>
          <w:bCs/>
          <w:sz w:val="24"/>
          <w:szCs w:val="24"/>
        </w:rPr>
        <w:t>curve</w:t>
      </w:r>
      <w:r w:rsidR="0077312E" w:rsidRPr="008A28E4">
        <w:rPr>
          <w:rFonts w:ascii="Book Antiqua" w:eastAsia="Arial Unicode MS" w:hAnsi="Book Antiqua" w:cs="Times New Roman"/>
          <w:bCs/>
          <w:sz w:val="24"/>
          <w:szCs w:val="24"/>
          <w:lang w:eastAsia="zh-CN"/>
        </w:rPr>
        <w:t xml:space="preserve">; </w:t>
      </w:r>
      <w:r w:rsidR="0077312E" w:rsidRPr="008A28E4">
        <w:rPr>
          <w:rFonts w:ascii="Book Antiqua" w:eastAsia="Arial Unicode MS" w:hAnsi="Book Antiqua" w:cs="Times New Roman"/>
          <w:bCs/>
          <w:sz w:val="24"/>
          <w:szCs w:val="24"/>
        </w:rPr>
        <w:t>Kidney</w:t>
      </w:r>
    </w:p>
    <w:p w:rsidR="0077312E" w:rsidRPr="008A28E4" w:rsidRDefault="0077312E" w:rsidP="008A28E4">
      <w:pPr>
        <w:spacing w:after="0" w:line="360" w:lineRule="auto"/>
        <w:jc w:val="both"/>
        <w:rPr>
          <w:rFonts w:ascii="Book Antiqua" w:eastAsia="Arial Unicode MS" w:hAnsi="Book Antiqua" w:cs="Times New Roman"/>
          <w:bCs/>
          <w:sz w:val="24"/>
          <w:szCs w:val="24"/>
          <w:lang w:eastAsia="zh-CN"/>
        </w:rPr>
      </w:pPr>
    </w:p>
    <w:p w:rsidR="00C2014D" w:rsidRPr="008A28E4" w:rsidRDefault="00C2014D" w:rsidP="008A28E4">
      <w:pPr>
        <w:spacing w:after="0" w:line="360" w:lineRule="auto"/>
        <w:jc w:val="both"/>
        <w:rPr>
          <w:rFonts w:ascii="Book Antiqua" w:hAnsi="Book Antiqua"/>
          <w:sz w:val="24"/>
          <w:szCs w:val="24"/>
        </w:rPr>
      </w:pPr>
      <w:bookmarkStart w:id="60" w:name="OLE_LINK332"/>
      <w:bookmarkStart w:id="61" w:name="OLE_LINK333"/>
      <w:bookmarkStart w:id="62" w:name="OLE_LINK436"/>
      <w:bookmarkEnd w:id="58"/>
      <w:bookmarkEnd w:id="59"/>
      <w:r w:rsidRPr="008A28E4">
        <w:rPr>
          <w:rFonts w:ascii="Book Antiqua" w:eastAsia="Arial Unicode MS" w:hAnsi="Book Antiqua" w:cs="Times New Roman"/>
          <w:b/>
          <w:sz w:val="24"/>
          <w:szCs w:val="24"/>
        </w:rPr>
        <w:t xml:space="preserve">Core tip: </w:t>
      </w:r>
      <w:r w:rsidRPr="008A28E4">
        <w:rPr>
          <w:rFonts w:ascii="Book Antiqua" w:hAnsi="Book Antiqua"/>
          <w:sz w:val="24"/>
          <w:szCs w:val="24"/>
        </w:rPr>
        <w:t>This is article is a review of the various fluoroscopic guided renal access techniques. It provides an in depth description of the technique with the aim that the urologist can have a step by step guide of the procedure. It gives an anatomical basis of percutaneous renal access and gives description of determining the skin site, angle and depth of puncture. It also describes the difficulties faced and incorporates suggestions to prevent and overcome them.</w:t>
      </w:r>
    </w:p>
    <w:p w:rsidR="004D3195" w:rsidRPr="008A28E4" w:rsidRDefault="004D3195" w:rsidP="008A28E4">
      <w:pPr>
        <w:pStyle w:val="ListParagraph"/>
        <w:spacing w:after="0" w:line="360" w:lineRule="auto"/>
        <w:ind w:left="0"/>
        <w:jc w:val="both"/>
        <w:rPr>
          <w:rFonts w:ascii="Book Antiqua" w:eastAsia="Arial Unicode MS" w:hAnsi="Book Antiqua" w:cs="Times New Roman"/>
          <w:bCs/>
          <w:sz w:val="24"/>
          <w:szCs w:val="24"/>
          <w:lang w:eastAsia="zh-CN"/>
        </w:rPr>
      </w:pPr>
    </w:p>
    <w:p w:rsidR="00841E8F" w:rsidRPr="008A28E4" w:rsidRDefault="004D3195" w:rsidP="008A28E4">
      <w:pPr>
        <w:spacing w:after="0" w:line="360" w:lineRule="auto"/>
        <w:jc w:val="both"/>
        <w:rPr>
          <w:rFonts w:ascii="Book Antiqua" w:eastAsia="Arial Unicode MS" w:hAnsi="Book Antiqua" w:cs="Times New Roman"/>
          <w:bCs/>
          <w:sz w:val="24"/>
          <w:szCs w:val="24"/>
          <w:lang w:eastAsia="zh-CN"/>
        </w:rPr>
      </w:pPr>
      <w:r w:rsidRPr="008A28E4">
        <w:rPr>
          <w:rFonts w:ascii="Book Antiqua" w:hAnsi="Book Antiqua" w:cs="Times New Roman"/>
          <w:bCs/>
          <w:sz w:val="24"/>
          <w:szCs w:val="24"/>
        </w:rPr>
        <w:t>Sharma</w:t>
      </w:r>
      <w:r w:rsidRPr="008A28E4">
        <w:rPr>
          <w:rFonts w:ascii="Book Antiqua" w:hAnsi="Book Antiqua" w:cs="Times New Roman"/>
          <w:bCs/>
          <w:sz w:val="24"/>
          <w:szCs w:val="24"/>
          <w:lang w:eastAsia="zh-CN"/>
        </w:rPr>
        <w:t xml:space="preserve"> GR</w:t>
      </w:r>
      <w:r w:rsidRPr="008A28E4">
        <w:rPr>
          <w:rFonts w:ascii="Book Antiqua" w:hAnsi="Book Antiqua" w:cs="Times New Roman"/>
          <w:bCs/>
          <w:sz w:val="24"/>
          <w:szCs w:val="24"/>
        </w:rPr>
        <w:t>, Maheshwari</w:t>
      </w:r>
      <w:r w:rsidRPr="008A28E4">
        <w:rPr>
          <w:rFonts w:ascii="Book Antiqua" w:hAnsi="Book Antiqua" w:cs="Times New Roman"/>
          <w:bCs/>
          <w:sz w:val="24"/>
          <w:szCs w:val="24"/>
          <w:lang w:eastAsia="zh-CN"/>
        </w:rPr>
        <w:t xml:space="preserve"> P</w:t>
      </w:r>
      <w:r w:rsidRPr="008A28E4">
        <w:rPr>
          <w:rFonts w:ascii="Book Antiqua" w:hAnsi="Book Antiqua" w:cs="Times New Roman"/>
          <w:bCs/>
          <w:sz w:val="24"/>
          <w:szCs w:val="24"/>
        </w:rPr>
        <w:t>, Sharma</w:t>
      </w:r>
      <w:r w:rsidRPr="008A28E4">
        <w:rPr>
          <w:rFonts w:ascii="Book Antiqua" w:hAnsi="Book Antiqua" w:cs="Times New Roman"/>
          <w:bCs/>
          <w:sz w:val="24"/>
          <w:szCs w:val="24"/>
          <w:lang w:eastAsia="zh-CN"/>
        </w:rPr>
        <w:t xml:space="preserve"> AG</w:t>
      </w:r>
      <w:r w:rsidRPr="008A28E4">
        <w:rPr>
          <w:rFonts w:ascii="Book Antiqua" w:hAnsi="Book Antiqua" w:cs="Times New Roman"/>
          <w:bCs/>
          <w:sz w:val="24"/>
          <w:szCs w:val="24"/>
        </w:rPr>
        <w:t>, Maheshwari</w:t>
      </w:r>
      <w:r w:rsidRPr="008A28E4">
        <w:rPr>
          <w:rFonts w:ascii="Book Antiqua" w:hAnsi="Book Antiqua" w:cs="Times New Roman"/>
          <w:bCs/>
          <w:sz w:val="24"/>
          <w:szCs w:val="24"/>
          <w:lang w:eastAsia="zh-CN"/>
        </w:rPr>
        <w:t xml:space="preserve"> RP</w:t>
      </w:r>
      <w:r w:rsidRPr="008A28E4">
        <w:rPr>
          <w:rFonts w:ascii="Book Antiqua" w:hAnsi="Book Antiqua" w:cs="Times New Roman"/>
          <w:bCs/>
          <w:sz w:val="24"/>
          <w:szCs w:val="24"/>
        </w:rPr>
        <w:t>,</w:t>
      </w:r>
      <w:r w:rsidRPr="008A28E4">
        <w:rPr>
          <w:rFonts w:ascii="Book Antiqua" w:hAnsi="Book Antiqua" w:cs="Times New Roman"/>
          <w:bCs/>
          <w:sz w:val="24"/>
          <w:szCs w:val="24"/>
          <w:lang w:eastAsia="zh-CN"/>
        </w:rPr>
        <w:t xml:space="preserve"> </w:t>
      </w:r>
      <w:r w:rsidRPr="008A28E4">
        <w:rPr>
          <w:rFonts w:ascii="Book Antiqua" w:hAnsi="Book Antiqua" w:cs="Times New Roman"/>
          <w:bCs/>
          <w:sz w:val="24"/>
          <w:szCs w:val="24"/>
        </w:rPr>
        <w:t>Heda</w:t>
      </w:r>
      <w:r w:rsidRPr="008A28E4">
        <w:rPr>
          <w:rFonts w:ascii="Book Antiqua" w:hAnsi="Book Antiqua" w:cs="Times New Roman"/>
          <w:bCs/>
          <w:sz w:val="24"/>
          <w:szCs w:val="24"/>
          <w:lang w:eastAsia="zh-CN"/>
        </w:rPr>
        <w:t xml:space="preserve"> RS</w:t>
      </w:r>
      <w:r w:rsidRPr="008A28E4">
        <w:rPr>
          <w:rFonts w:ascii="Book Antiqua" w:hAnsi="Book Antiqua" w:cs="Times New Roman"/>
          <w:bCs/>
          <w:sz w:val="24"/>
          <w:szCs w:val="24"/>
        </w:rPr>
        <w:t xml:space="preserve">, </w:t>
      </w:r>
      <w:r w:rsidR="00841E8F" w:rsidRPr="008A28E4">
        <w:rPr>
          <w:rFonts w:ascii="Book Antiqua" w:hAnsi="Book Antiqua" w:cs="Times New Roman"/>
          <w:bCs/>
          <w:sz w:val="24"/>
          <w:szCs w:val="24"/>
        </w:rPr>
        <w:t>Maheshwari</w:t>
      </w:r>
      <w:r w:rsidR="00841E8F" w:rsidRPr="008A28E4">
        <w:rPr>
          <w:rFonts w:ascii="Book Antiqua" w:hAnsi="Book Antiqua" w:cs="Times New Roman"/>
          <w:bCs/>
          <w:sz w:val="24"/>
          <w:szCs w:val="24"/>
          <w:lang w:eastAsia="zh-CN"/>
        </w:rPr>
        <w:t xml:space="preserve"> SP. </w:t>
      </w:r>
      <w:r w:rsidR="00841E8F" w:rsidRPr="008A28E4">
        <w:rPr>
          <w:rFonts w:ascii="Book Antiqua" w:eastAsia="Arial Unicode MS" w:hAnsi="Book Antiqua" w:cs="Times New Roman"/>
          <w:bCs/>
          <w:sz w:val="24"/>
          <w:szCs w:val="24"/>
          <w:lang w:eastAsia="zh-CN"/>
        </w:rPr>
        <w:t xml:space="preserve">Fluoroscopy guided percutaneous renal access in prone position. </w:t>
      </w:r>
      <w:r w:rsidR="00841E8F" w:rsidRPr="008A28E4">
        <w:rPr>
          <w:rFonts w:ascii="Book Antiqua" w:hAnsi="Book Antiqua"/>
          <w:i/>
          <w:iCs/>
          <w:sz w:val="24"/>
          <w:szCs w:val="24"/>
        </w:rPr>
        <w:t>World J Clin Cases</w:t>
      </w:r>
      <w:r w:rsidR="00841E8F" w:rsidRPr="008A28E4">
        <w:rPr>
          <w:rFonts w:ascii="Book Antiqua" w:hAnsi="Book Antiqua"/>
          <w:i/>
          <w:iCs/>
          <w:sz w:val="24"/>
          <w:szCs w:val="24"/>
          <w:lang w:eastAsia="zh-CN"/>
        </w:rPr>
        <w:t xml:space="preserve"> </w:t>
      </w:r>
      <w:r w:rsidR="00841E8F" w:rsidRPr="008A28E4">
        <w:rPr>
          <w:rFonts w:ascii="Book Antiqua" w:hAnsi="Book Antiqua"/>
          <w:iCs/>
          <w:sz w:val="24"/>
          <w:szCs w:val="24"/>
          <w:lang w:eastAsia="zh-CN"/>
        </w:rPr>
        <w:t>2014</w:t>
      </w:r>
      <w:r w:rsidR="00E10A0B">
        <w:rPr>
          <w:rFonts w:ascii="Book Antiqua" w:hAnsi="Book Antiqua" w:hint="eastAsia"/>
          <w:iCs/>
          <w:sz w:val="24"/>
          <w:szCs w:val="24"/>
          <w:lang w:eastAsia="zh-CN"/>
        </w:rPr>
        <w:t>;</w:t>
      </w:r>
      <w:r w:rsidR="00841E8F" w:rsidRPr="008A28E4">
        <w:rPr>
          <w:rFonts w:ascii="Book Antiqua" w:hAnsi="Book Antiqua"/>
          <w:iCs/>
          <w:sz w:val="24"/>
          <w:szCs w:val="24"/>
          <w:lang w:eastAsia="zh-CN"/>
        </w:rPr>
        <w:t xml:space="preserve"> In press</w:t>
      </w:r>
    </w:p>
    <w:p w:rsidR="004D3195" w:rsidRPr="008A28E4" w:rsidRDefault="004D3195" w:rsidP="008A28E4">
      <w:pPr>
        <w:pStyle w:val="ListParagraph"/>
        <w:spacing w:after="0" w:line="360" w:lineRule="auto"/>
        <w:ind w:left="0"/>
        <w:jc w:val="both"/>
        <w:rPr>
          <w:rFonts w:ascii="Book Antiqua" w:eastAsia="Arial Unicode MS" w:hAnsi="Book Antiqua" w:cs="Times New Roman"/>
          <w:bCs/>
          <w:sz w:val="24"/>
          <w:szCs w:val="24"/>
          <w:lang w:eastAsia="zh-CN"/>
        </w:rPr>
      </w:pPr>
    </w:p>
    <w:bookmarkEnd w:id="60"/>
    <w:bookmarkEnd w:id="61"/>
    <w:bookmarkEnd w:id="62"/>
    <w:p w:rsidR="00C2014D" w:rsidRPr="008A28E4" w:rsidRDefault="00505DA4" w:rsidP="008A28E4">
      <w:pPr>
        <w:spacing w:after="0" w:line="360" w:lineRule="auto"/>
        <w:jc w:val="both"/>
        <w:rPr>
          <w:rFonts w:ascii="Book Antiqua" w:hAnsi="Book Antiqua" w:cs="Times New Roman"/>
          <w:b/>
          <w:sz w:val="24"/>
          <w:szCs w:val="24"/>
        </w:rPr>
      </w:pPr>
      <w:r w:rsidRPr="008A28E4">
        <w:rPr>
          <w:rFonts w:ascii="Book Antiqua" w:hAnsi="Book Antiqua" w:cs="Times New Roman"/>
          <w:b/>
          <w:sz w:val="24"/>
          <w:szCs w:val="24"/>
        </w:rPr>
        <w:t>INTRODUCTION</w:t>
      </w:r>
    </w:p>
    <w:p w:rsidR="00C2014D" w:rsidRPr="008A28E4" w:rsidRDefault="00C2014D" w:rsidP="008A28E4">
      <w:pPr>
        <w:pStyle w:val="NormalWeb"/>
        <w:spacing w:before="0" w:beforeAutospacing="0" w:after="0" w:afterAutospacing="0" w:line="360" w:lineRule="auto"/>
        <w:jc w:val="both"/>
        <w:rPr>
          <w:rFonts w:ascii="Book Antiqua" w:hAnsi="Book Antiqua"/>
        </w:rPr>
      </w:pPr>
      <w:r w:rsidRPr="008A28E4">
        <w:rPr>
          <w:rFonts w:ascii="Book Antiqua" w:hAnsi="Book Antiqua"/>
        </w:rPr>
        <w:t>Rupel and Brown first reported Percutaneous nephrolithotomy in 1941</w:t>
      </w:r>
      <w:r w:rsidR="0098134D" w:rsidRPr="008A28E4">
        <w:rPr>
          <w:rFonts w:ascii="Book Antiqua" w:hAnsi="Book Antiqua"/>
          <w:vertAlign w:val="superscript"/>
        </w:rPr>
        <w:fldChar w:fldCharType="begin" w:fldLock="1"/>
      </w:r>
      <w:r w:rsidRPr="008A28E4">
        <w:rPr>
          <w:rFonts w:ascii="Book Antiqua" w:hAnsi="Book Antiqua"/>
          <w:vertAlign w:val="superscript"/>
        </w:rPr>
        <w:instrText>ADDIN CSL_CITATION { "citationItems" : [ { "id" : "ITEM-1", "itemData" : { "author" : [ { "dropping-particle" : "", "family" : "Javanmard", "given" : "Babak", "non-dropping-particle" : "", "parse-names" : false, "suffix" : "" }, { "dropping-particle" : "", "family" : "Mazloomfard", "given" : "Mohsen", "non-dropping-particle" : "", "parse-names" : false, "suffix" : "" }, { "dropping-particle" : "", "family" : "Lotfi", "given" : "Behzad", "non-dropping-particle" : "", "parse-names" : false, "suffix" : "" } ], "id" : "ITEM-1", "issue" : "8", "issued" : { "date-parts" : [ [ "2010" ] ] }, "page" : "1357-1361", "title" : "in the Flank Position Versus Fluoroscopy-Guided Percutaneous Nephrolithotomy in the Prone Position : A Comparative Study", "type" : "article-journal", "volume" : "24" }, "uris" : [ "http://www.mendeley.com/documents/?uuid=0ae4da49-6745-4f14-b30c-3f0b5210126c" ] } ], "mendeley" : { "previouslyFormattedCitation" : "(1)" }, "properties" : { "noteIndex" : 0 }, "schema" : "https://github.com/citation-style-language/schema/raw/master/csl-citation.json" }</w:instrText>
      </w:r>
      <w:r w:rsidR="0098134D" w:rsidRPr="008A28E4">
        <w:rPr>
          <w:rFonts w:ascii="Book Antiqua" w:hAnsi="Book Antiqua"/>
          <w:vertAlign w:val="superscript"/>
        </w:rPr>
        <w:fldChar w:fldCharType="separate"/>
      </w:r>
      <w:r w:rsidR="00742B85" w:rsidRPr="008A28E4">
        <w:rPr>
          <w:rFonts w:ascii="Book Antiqua" w:hAnsi="Book Antiqua"/>
          <w:noProof/>
          <w:vertAlign w:val="superscript"/>
        </w:rPr>
        <w:t>[</w:t>
      </w:r>
      <w:r w:rsidRPr="008A28E4">
        <w:rPr>
          <w:rFonts w:ascii="Book Antiqua" w:hAnsi="Book Antiqua"/>
          <w:noProof/>
          <w:vertAlign w:val="superscript"/>
        </w:rPr>
        <w:t>1</w:t>
      </w:r>
      <w:r w:rsidR="0098134D" w:rsidRPr="008A28E4">
        <w:rPr>
          <w:rFonts w:ascii="Book Antiqua" w:hAnsi="Book Antiqua"/>
          <w:vertAlign w:val="superscript"/>
        </w:rPr>
        <w:fldChar w:fldCharType="end"/>
      </w:r>
      <w:r w:rsidR="00742B85" w:rsidRPr="008A28E4">
        <w:rPr>
          <w:rFonts w:ascii="Book Antiqua" w:hAnsi="Book Antiqua"/>
          <w:vertAlign w:val="superscript"/>
        </w:rPr>
        <w:t>]</w:t>
      </w:r>
      <w:r w:rsidR="0077312E" w:rsidRPr="008A28E4">
        <w:rPr>
          <w:rFonts w:ascii="Book Antiqua" w:hAnsi="Book Antiqua"/>
        </w:rPr>
        <w:t>. Goodwin et al described</w:t>
      </w:r>
      <w:r w:rsidR="0077312E" w:rsidRPr="008A28E4">
        <w:rPr>
          <w:rFonts w:ascii="Book Antiqua" w:hAnsi="Book Antiqua"/>
          <w:lang w:eastAsia="zh-CN"/>
        </w:rPr>
        <w:t xml:space="preserve"> </w:t>
      </w:r>
      <w:r w:rsidRPr="008A28E4">
        <w:rPr>
          <w:rFonts w:ascii="Book Antiqua" w:hAnsi="Book Antiqua"/>
        </w:rPr>
        <w:t>percutaneous trocar nephrostomy in a hydronephrotic kidney in 1955</w:t>
      </w:r>
      <w:r w:rsidR="0098134D" w:rsidRPr="008A28E4">
        <w:rPr>
          <w:rFonts w:ascii="Book Antiqua" w:hAnsi="Book Antiqua"/>
          <w:vertAlign w:val="superscript"/>
        </w:rPr>
        <w:fldChar w:fldCharType="begin" w:fldLock="1"/>
      </w:r>
      <w:r w:rsidRPr="008A28E4">
        <w:rPr>
          <w:rFonts w:ascii="Book Antiqua" w:hAnsi="Book Antiqua"/>
          <w:vertAlign w:val="superscript"/>
        </w:rPr>
        <w:instrText>ADDIN CSL_CITATION { "citationItems" : [ { "id" : "ITEM-1", "itemData" : { "DOI" : "10.7860/JCDR/2013/7038.3509", "ISSN" : "2249-782X", "PMID" : "24298514", "abstract" : "Percutaneous Nephrolithotomy (PCNL) is a surgical procedure which is used to extract renal pelvic stones. An optimum access tract, without traumatizing the surrounding structures, is essential for the surgery. Trauma to the surrounding structures and extra-vasation of the irrigating fluid may result in complications like hydrothorax, pneumothorax, hydro pneumothorax etc. These complications may produce intra- operative respiratory compromise leading on to arterial hypoxemia and its sequelae. A series of three case reports with review is presented here. First case is accumulation of irrigating fluid in the pleura causing hydrothorax and oxygen desaturation. Second case is extra-vasation of fluid in the abdominal wall and the patient was ventilated artificially for 24 hours. Third patient developed pneumothorax and he needed chest drainage.PCNL is done under general anaesthesia in prone position. The anaesthesiologist should be vigil enough to identify the situation and take appropriate measures to correct it.", "author" : [ { "dropping-particle" : "", "family" : "Namasivayam S", "given" : "Ponnambala", "non-dropping-particle" : "", "parse-names" : false, "suffix" : "" }, { "dropping-particle" : "", "family" : "Gayathri", "given" : "", "non-dropping-particle" : "", "parse-names" : false, "suffix" : "" }, { "dropping-particle" : "", "family" : "Indu", "given" : "", "non-dropping-particle" : "", "parse-names" : false, "suffix" : "" } ], "container-title" : "Journal of clinical and diagnostic research : JCDR", "id" : "ITEM-1", "issue" : "10", "issued" : { "date-parts" : [ [ "2013", "10" ] ] }, "page" : "2310-2", "title" : "Perioperative Respiratory Compromise in Patients Undergoing PCNL-A Case Series.", "type" : "article-journal", "volume" : "7" }, "uris" : [ "http://www.mendeley.com/documents/?uuid=44641b88-4ed7-4897-a279-7edb49e621b2" ] } ], "mendeley" : { "previouslyFormattedCitation" : "(2)" }, "properties" : { "noteIndex" : 0 }, "schema" : "https://github.com/citation-style-language/schema/raw/master/csl-citation.json" }</w:instrText>
      </w:r>
      <w:r w:rsidR="0098134D" w:rsidRPr="008A28E4">
        <w:rPr>
          <w:rFonts w:ascii="Book Antiqua" w:hAnsi="Book Antiqua"/>
          <w:vertAlign w:val="superscript"/>
        </w:rPr>
        <w:fldChar w:fldCharType="separate"/>
      </w:r>
      <w:r w:rsidR="00742B85" w:rsidRPr="008A28E4">
        <w:rPr>
          <w:rFonts w:ascii="Book Antiqua" w:hAnsi="Book Antiqua"/>
          <w:vertAlign w:val="superscript"/>
        </w:rPr>
        <w:t>[</w:t>
      </w:r>
      <w:r w:rsidRPr="008A28E4">
        <w:rPr>
          <w:rFonts w:ascii="Book Antiqua" w:hAnsi="Book Antiqua"/>
          <w:noProof/>
          <w:vertAlign w:val="superscript"/>
        </w:rPr>
        <w:t>2</w:t>
      </w:r>
      <w:r w:rsidR="0098134D" w:rsidRPr="008A28E4">
        <w:rPr>
          <w:rFonts w:ascii="Book Antiqua" w:hAnsi="Book Antiqua"/>
          <w:vertAlign w:val="superscript"/>
        </w:rPr>
        <w:fldChar w:fldCharType="end"/>
      </w:r>
      <w:r w:rsidR="00742B85" w:rsidRPr="008A28E4">
        <w:rPr>
          <w:rFonts w:ascii="Book Antiqua" w:hAnsi="Book Antiqua"/>
          <w:vertAlign w:val="superscript"/>
        </w:rPr>
        <w:t>]</w:t>
      </w:r>
      <w:r w:rsidRPr="008A28E4">
        <w:rPr>
          <w:rFonts w:ascii="Book Antiqua" w:hAnsi="Book Antiqua"/>
        </w:rPr>
        <w:t>. The technique gained popularity especially after the description by Fernstrom and Johansson in 1976</w:t>
      </w:r>
      <w:r w:rsidR="0098134D" w:rsidRPr="008A28E4">
        <w:rPr>
          <w:rFonts w:ascii="Book Antiqua" w:hAnsi="Book Antiqua"/>
          <w:vertAlign w:val="superscript"/>
        </w:rPr>
        <w:fldChar w:fldCharType="begin" w:fldLock="1"/>
      </w:r>
      <w:r w:rsidRPr="008A28E4">
        <w:rPr>
          <w:rFonts w:ascii="Book Antiqua" w:hAnsi="Book Antiqua"/>
          <w:vertAlign w:val="superscript"/>
        </w:rPr>
        <w:instrText>ADDIN CSL_CITATION { "citationItems" : [ { "id" : "ITEM-1", "itemData" : { "DOI" : "10.1016/S1726-4901(09)70198-4", "ISSN" : "1726-4901", "PMID" : "16689197", "abstract" : "BACKGROUND: Percutaneous nephrostomy is almost a daily routine procedure in clinical urologic practice. Tract bleeding and urine leakage along the percutaneous tract is a common event and bothersome to both patients and the surgeon. Herein we introduce a simple technique of gelatin packing for stopping subsequent bleeding and urine leakage immediately after a percutaneous nephrostomy lithotripsy (PCNL) procedure.\n\nMETHODS: PCNL, using a tubeless technique, was performed in 15 patients with renal calculi. In all cases, stones were removed using grasping forceps after the stones were disintegrated with a lithoclast. In all patients, a retrograde internal ureteral stent was put in place before the PCNL procedure, as was a Foley catheter for bladder drainage. A gelatin patch sealant was placed in the nephrostomy cortical tract under nephroscopic vision, immediately after the PCNL procedure. Another 15 patients, treated using a standard PCNL with tube drainage post-PCNL, were enrolled as a control group.\n\nRESULTS: The stone burden, mean operative time, and stone-free rate (67% versus 73%, p = 0.33) were not statistically different between the 2 groups. In the 15 patients who received tubeless PCNL treatment, there were no severe complications related to the gelatin packing in the nephrostomy tract, and no significant bleeding or urine leakage occurred after the packing. The necessity for blood transfusion was much lower in the tubeless group as compared with the tube-drainage group (6.6% versus 26.7%; 0.2 +/- 0.1 units versus 0.9 +/- 0.5 units, p = 0.013). Tubeless patients began ambulation and were discharged from the hospital earlier (3.4 days versus 5.1 days, p = 0.035) than those in the tube-drainage group. Analgesic requirement was significantly less with the gelatin sealant technique when compared with the tube drainage group (85 +/- 20 mg versus 185 +/- 25 mg, p = 0.008).\n\nCONCLUSION: Gelatin sealant packing is an alternative, available, and feasible method for preventing bleeding and urine leakage postoperatively in selected patients receiving tubeless PCNL.", "author" : [ { "dropping-particle" : "", "family" : "Yu", "given" : "Dah-Shyong", "non-dropping-particle" : "", "parse-names" : false, "suffix" : "" } ], "container-title" : "Journal of the Chinese Medical Association : JCMA", "id" : "ITEM-1", "issue" : "4", "issued" : { "date-parts" : [ [ "2006", "4" ] ] }, "page" : "162-5", "title" : "Gelatin packing of intracortical tract after percutaneous nephrostomy lithotripsy for decreasing bleeding and urine leakage.", "type" : "article-journal", "volume" : "69" }, "uris" : [ "http://www.mendeley.com/documents/?uuid=25a1a0b6-34da-478b-b982-83235a2eca0f" ] } ], "mendeley" : { "previouslyFormattedCitation" : "(3)" }, "properties" : { "noteIndex" : 0 }, "schema" : "https://github.com/citation-style-language/schema/raw/master/csl-citation.json" }</w:instrText>
      </w:r>
      <w:r w:rsidR="0098134D" w:rsidRPr="008A28E4">
        <w:rPr>
          <w:rFonts w:ascii="Book Antiqua" w:hAnsi="Book Antiqua"/>
          <w:vertAlign w:val="superscript"/>
        </w:rPr>
        <w:fldChar w:fldCharType="separate"/>
      </w:r>
      <w:r w:rsidR="00742B85" w:rsidRPr="008A28E4">
        <w:rPr>
          <w:rFonts w:ascii="Book Antiqua" w:hAnsi="Book Antiqua"/>
          <w:noProof/>
          <w:vertAlign w:val="superscript"/>
        </w:rPr>
        <w:t>[</w:t>
      </w:r>
      <w:r w:rsidRPr="008A28E4">
        <w:rPr>
          <w:rFonts w:ascii="Book Antiqua" w:hAnsi="Book Antiqua"/>
          <w:noProof/>
          <w:vertAlign w:val="superscript"/>
        </w:rPr>
        <w:t>3</w:t>
      </w:r>
      <w:r w:rsidR="0098134D" w:rsidRPr="008A28E4">
        <w:rPr>
          <w:rFonts w:ascii="Book Antiqua" w:hAnsi="Book Antiqua"/>
          <w:vertAlign w:val="superscript"/>
        </w:rPr>
        <w:fldChar w:fldCharType="end"/>
      </w:r>
      <w:r w:rsidR="0077312E" w:rsidRPr="008A28E4">
        <w:rPr>
          <w:rFonts w:ascii="Book Antiqua" w:hAnsi="Book Antiqua"/>
          <w:vertAlign w:val="superscript"/>
          <w:lang w:eastAsia="zh-CN"/>
        </w:rPr>
        <w:t>-</w:t>
      </w:r>
      <w:r w:rsidRPr="008A28E4">
        <w:rPr>
          <w:rFonts w:ascii="Book Antiqua" w:hAnsi="Book Antiqua"/>
          <w:vertAlign w:val="superscript"/>
        </w:rPr>
        <w:t>5</w:t>
      </w:r>
      <w:r w:rsidR="00742B85" w:rsidRPr="008A28E4">
        <w:rPr>
          <w:rFonts w:ascii="Book Antiqua" w:hAnsi="Book Antiqua"/>
          <w:vertAlign w:val="superscript"/>
        </w:rPr>
        <w:t>]</w:t>
      </w:r>
      <w:r w:rsidRPr="008A28E4">
        <w:rPr>
          <w:rFonts w:ascii="Book Antiqua" w:hAnsi="Book Antiqua"/>
        </w:rPr>
        <w:t>.</w:t>
      </w:r>
      <w:r w:rsidR="0077312E" w:rsidRPr="008A28E4">
        <w:rPr>
          <w:rFonts w:ascii="Book Antiqua" w:hAnsi="Book Antiqua"/>
          <w:lang w:eastAsia="zh-CN"/>
        </w:rPr>
        <w:t xml:space="preserve"> </w:t>
      </w:r>
      <w:r w:rsidRPr="008A28E4">
        <w:rPr>
          <w:rFonts w:ascii="Book Antiqua" w:hAnsi="Book Antiqua"/>
        </w:rPr>
        <w:t>The improvement in endourological equipment and the advancement in techniques resulted in percutaneous nephrolithotomy(PCNL) getting accepted as the gold standard for the treatment of patients with renal stone</w:t>
      </w:r>
      <w:r w:rsidR="00742B85" w:rsidRPr="008A28E4">
        <w:rPr>
          <w:rFonts w:ascii="Book Antiqua" w:hAnsi="Book Antiqua"/>
        </w:rPr>
        <w:t>s larger than 20 mm in diameter</w:t>
      </w:r>
      <w:r w:rsidR="00742B85" w:rsidRPr="008A28E4">
        <w:rPr>
          <w:rFonts w:ascii="Book Antiqua" w:hAnsi="Book Antiqua"/>
          <w:vertAlign w:val="superscript"/>
        </w:rPr>
        <w:t>[</w:t>
      </w:r>
      <w:r w:rsidRPr="008A28E4">
        <w:rPr>
          <w:rFonts w:ascii="Book Antiqua" w:hAnsi="Book Antiqua"/>
          <w:vertAlign w:val="superscript"/>
        </w:rPr>
        <w:t>6</w:t>
      </w:r>
      <w:r w:rsidR="00742B85" w:rsidRPr="008A28E4">
        <w:rPr>
          <w:rFonts w:ascii="Book Antiqua" w:hAnsi="Book Antiqua"/>
          <w:vertAlign w:val="superscript"/>
        </w:rPr>
        <w:t>]</w:t>
      </w:r>
      <w:r w:rsidRPr="008A28E4">
        <w:rPr>
          <w:rFonts w:ascii="Book Antiqua" w:hAnsi="Book Antiqua"/>
        </w:rPr>
        <w:t>. Its popularity and acceptance amongst urologists and patients is largely due to the fact that it is minimally invasive and i</w:t>
      </w:r>
      <w:r w:rsidR="0077312E" w:rsidRPr="008A28E4">
        <w:rPr>
          <w:rFonts w:ascii="Book Antiqua" w:hAnsi="Book Antiqua"/>
        </w:rPr>
        <w:t>s associated with low morbidity</w:t>
      </w:r>
      <w:r w:rsidR="00742B85" w:rsidRPr="008A28E4">
        <w:rPr>
          <w:rFonts w:ascii="Book Antiqua" w:hAnsi="Book Antiqua"/>
          <w:vertAlign w:val="superscript"/>
        </w:rPr>
        <w:t>[</w:t>
      </w:r>
      <w:r w:rsidR="0098134D" w:rsidRPr="008A28E4">
        <w:rPr>
          <w:rFonts w:ascii="Book Antiqua" w:hAnsi="Book Antiqua"/>
          <w:vertAlign w:val="superscript"/>
        </w:rPr>
        <w:fldChar w:fldCharType="begin" w:fldLock="1"/>
      </w:r>
      <w:r w:rsidRPr="008A28E4">
        <w:rPr>
          <w:rFonts w:ascii="Book Antiqua" w:hAnsi="Book Antiqua"/>
          <w:vertAlign w:val="superscript"/>
        </w:rPr>
        <w:instrText>ADDIN CSL_CITATION { "citationItems" : [ { "id" : "ITEM-1", "itemData" : { "DOI" : "10.1089/end.2010.0424", "ISBN" : "1557-900X (Electronic)\\r0892-7790 (Linking)", "ISSN" : "0892-7790", "PMID" : "21247286", "abstract" : "To assess the current indications, perioperative morbidity, and stone-free outcomes for percutaneous nephrolithotomy (PCNL) worldwide.", "author" : [ { "dropping-particle" : "", "family" : "la Rosette", "given" : "Jean", "non-dropping-particle" : "de", "parse-names" : false, "suffix" : "" }, { "dropping-particle" : "", "family" : "Assimos", "given" : "Dean", "non-dropping-particle" : "", "parse-names" : false, "suffix" : "" }, { "dropping-particle" : "", "family" : "Desai", "given" : "Mahesh", "non-dropping-particle" : "", "parse-names" : false, "suffix" : "" }, { "dropping-particle" : "", "family" : "Gutierrez", "given" : "Jorge", "non-dropping-particle" : "", "parse-names" : false, "suffix" : "" }, { "dropping-particle" : "", "family" : "Lingeman", "given" : "James", "non-dropping-particle" : "", "parse-names" : false, "suffix" : "" }, { "dropping-particle" : "", "family" : "Scarpa", "given" : "Roberto", "non-dropping-particle" : "", "parse-names" : false, "suffix" : "" }, { "dropping-particle" : "", "family" : "Tefekli", "given" : "Ahmet", "non-dropping-particle" : "", "parse-names" : false, "suffix" : "" } ], "container-title" : "Journal of endourology / Endourological Society", "id" : "ITEM-1", "issued" : { "date-parts" : [ [ "2011" ] ] }, "page" : "11-17", "title" : "The Clinical Research Office of the Endourological Society Percutaneous Nephrolithotomy Global Study: indications, complications, and outcomes in 5803 patients.", "type" : "article-journal", "volume" : "25" }, "uris" : [ "http://www.mendeley.com/documents/?uuid=d2093e97-03a9-49ba-a915-c83ba451a7e2" ] } ], "mendeley" : { "manualFormatting" : "7", "previouslyFormattedCitation" : "(4)" }, "properties" : { "noteIndex" : 0 }, "schema" : "https://github.com/citation-style-language/schema/raw/master/csl-citation.json" }</w:instrText>
      </w:r>
      <w:r w:rsidR="0098134D" w:rsidRPr="008A28E4">
        <w:rPr>
          <w:rFonts w:ascii="Book Antiqua" w:hAnsi="Book Antiqua"/>
          <w:vertAlign w:val="superscript"/>
        </w:rPr>
        <w:fldChar w:fldCharType="separate"/>
      </w:r>
      <w:r w:rsidRPr="008A28E4">
        <w:rPr>
          <w:rFonts w:ascii="Book Antiqua" w:hAnsi="Book Antiqua"/>
          <w:noProof/>
          <w:vertAlign w:val="superscript"/>
        </w:rPr>
        <w:t>7</w:t>
      </w:r>
      <w:r w:rsidR="0098134D" w:rsidRPr="008A28E4">
        <w:rPr>
          <w:rFonts w:ascii="Book Antiqua" w:hAnsi="Book Antiqua"/>
          <w:vertAlign w:val="superscript"/>
        </w:rPr>
        <w:fldChar w:fldCharType="end"/>
      </w:r>
      <w:r w:rsidR="00742B85" w:rsidRPr="008A28E4">
        <w:rPr>
          <w:rFonts w:ascii="Book Antiqua" w:hAnsi="Book Antiqua"/>
          <w:vertAlign w:val="superscript"/>
        </w:rPr>
        <w:t>]</w:t>
      </w:r>
      <w:r w:rsidRPr="008A28E4">
        <w:rPr>
          <w:rFonts w:ascii="Book Antiqua" w:hAnsi="Book Antiqua"/>
        </w:rPr>
        <w:t>. Initially the procedure was done only in prone position using fluoroscopy guidance. However, in the last couple of decades use of ultrasonography alone or along with fluoroscopy has been use</w:t>
      </w:r>
      <w:r w:rsidR="0077312E" w:rsidRPr="008A28E4">
        <w:rPr>
          <w:rFonts w:ascii="Book Antiqua" w:hAnsi="Book Antiqua"/>
        </w:rPr>
        <w:t>d for percutaneous renal access</w:t>
      </w:r>
      <w:r w:rsidR="00742B85" w:rsidRPr="008A28E4">
        <w:rPr>
          <w:rFonts w:ascii="Book Antiqua" w:hAnsi="Book Antiqua"/>
          <w:vertAlign w:val="superscript"/>
        </w:rPr>
        <w:t>[</w:t>
      </w:r>
      <w:r w:rsidR="0098134D" w:rsidRPr="008A28E4">
        <w:rPr>
          <w:rFonts w:ascii="Book Antiqua" w:hAnsi="Book Antiqua"/>
          <w:vertAlign w:val="superscript"/>
        </w:rPr>
        <w:fldChar w:fldCharType="begin" w:fldLock="1"/>
      </w:r>
      <w:r w:rsidRPr="008A28E4">
        <w:rPr>
          <w:rFonts w:ascii="Book Antiqua" w:hAnsi="Book Antiqua"/>
          <w:vertAlign w:val="superscript"/>
        </w:rPr>
        <w:instrText>ADDIN CSL_CITATION { "citationItems" : [ { "id" : "ITEM-1", "itemData" : { "DOI" : "10.1111/j.1464-410X.2010.10002.x", "ISSN" : "1464-410X", "PMID" : "21251187", "abstract" : "OBJECTIVE: \u2022 To evaluate the safety and efficacy of ultrasonography (US)-guided renal access in percutaneous nephrolithotomy (PCNL), as compared with conventional fluoroscopy-guided renal access in a prospective randomized trial.\\n\\nPATIENTS AND METHODS: \u2022 From January 2008 to October 2009, 224 patients with renal calculi undergoing PCNL were randomized into two groups. \u2022 Group 1 (112 patients) underwent PCNL using only fluoroscopy-guided renal access; while in group 2 (112 patients), US guidance for puncture was used in addition to fluoroscopy. \u2022 The inclusion criteria were: normal renal functions, American Society of Anesthesiology scores 1 or 2, absence of congenital abnormalities, aged 15-70 years, and anticipated single-tract procedure. The patients in both groups were matched for age, sex, and stone characteristics. \u2022 The Student t-test was used for statistical analysis with an allowable error of 5%.\\n\\nRESULTS: \u2022 The mean time to successful puncture was 3.2 min and 1.8 min in group 1 and group 2, respectively (P &lt; 0.01). \u2022 The mean duration of radiation exposure to successful puncture was 28.6 s in group 1 and 14.4 s in group 2 (P &lt; 0.01). \u2022 The mean numbers of attempts for successful puncture in the desired calyx was 3.3 in group 1 as compared with 1.5 in group 2 (P &lt; 0.01). \u2022 The meantime taken for tract formation in group 1 was 7.4 min with radiation exposure of 82 s, while in group 2 it took 4.8 min with radiation exposure of 58 s (P &lt; 0.01). \u2022 Successful access was achieved in all patients. All patients were stone-free at the end of the operation. The hospital stay (2-3 days) was same in both groups. There was no incidence of significant bleeding requiring transfusion during or after surgery. All the patients were followed-up for a \u2265 6 months.\\n\\nCONCLUSION: \u2022 US-guided puncture in PCNL helps in increasing accuracy of puncture and decreasing radiation exposure for the surgical team and the patients.", "author" : [ { "dropping-particle" : "", "family" : "Agarwal", "given" : "Mayank", "non-dropping-particle" : "", "parse-names" : false, "suffix" : "" }, { "dropping-particle" : "", "family" : "Agrawal", "given" : "Madhu S", "non-dropping-particle" : "", "parse-names" : false, "suffix" : "" }, { "dropping-particle" : "", "family" : "Jaiswal", "given" : "Abhinav", "non-dropping-particle" : "", "parse-names" : false, "suffix" : "" }, { "dropping-particle" : "", "family" : "Kumar", "given" : "Deepak", "non-dropping-particle" : "", "parse-names" : false, "suffix" : "" }, { "dropping-particle" : "", "family" : "Yadav", "given" : "Himanshu", "non-dropping-particle" : "", "parse-names" : false, "suffix" : "" }, { "dropping-particle" : "", "family" : "Lavania", "given" : "Prashant", "non-dropping-particle" : "", "parse-names" : false, "suffix" : "" } ], "container-title" : "BJU international", "id" : "ITEM-1", "issue" : "8", "issued" : { "date-parts" : [ [ "2011", "10" ] ] }, "page" : "1346-9", "title" : "Safety and efficacy of ultrasonography as an adjunct to fluoroscopy for renal access in percutaneous nephrolithotomy (PCNL).", "type" : "article-journal", "volume" : "108" }, "uris" : [ "http://www.mendeley.com/documents/?uuid=2b9b8438-f5af-4715-b276-0e23e3739ab5" ] } ], "mendeley" : { "manualFormatting" : "8", "previouslyFormattedCitation" : "(5)" }, "properties" : { "noteIndex" : 0 }, "schema" : "https://github.com/citation-style-language/schema/raw/master/csl-citation.json" }</w:instrText>
      </w:r>
      <w:r w:rsidR="0098134D" w:rsidRPr="008A28E4">
        <w:rPr>
          <w:rFonts w:ascii="Book Antiqua" w:hAnsi="Book Antiqua"/>
          <w:vertAlign w:val="superscript"/>
        </w:rPr>
        <w:fldChar w:fldCharType="separate"/>
      </w:r>
      <w:r w:rsidRPr="008A28E4">
        <w:rPr>
          <w:rFonts w:ascii="Book Antiqua" w:hAnsi="Book Antiqua"/>
          <w:noProof/>
          <w:vertAlign w:val="superscript"/>
        </w:rPr>
        <w:t>8</w:t>
      </w:r>
      <w:r w:rsidR="0098134D" w:rsidRPr="008A28E4">
        <w:rPr>
          <w:rFonts w:ascii="Book Antiqua" w:hAnsi="Book Antiqua"/>
          <w:vertAlign w:val="superscript"/>
        </w:rPr>
        <w:fldChar w:fldCharType="end"/>
      </w:r>
      <w:r w:rsidR="00742B85" w:rsidRPr="008A28E4">
        <w:rPr>
          <w:rFonts w:ascii="Book Antiqua" w:hAnsi="Book Antiqua"/>
          <w:vertAlign w:val="superscript"/>
        </w:rPr>
        <w:t>]</w:t>
      </w:r>
      <w:r w:rsidRPr="008A28E4">
        <w:rPr>
          <w:rFonts w:ascii="Book Antiqua" w:hAnsi="Book Antiqua"/>
        </w:rPr>
        <w:t>. Various modifications in the position of patient have also been described to overcome some limitations and drawbacks of the percutaneous renal access in prone position</w:t>
      </w:r>
      <w:r w:rsidR="00742B85" w:rsidRPr="008A28E4">
        <w:rPr>
          <w:rFonts w:ascii="Book Antiqua" w:hAnsi="Book Antiqua"/>
          <w:vertAlign w:val="superscript"/>
        </w:rPr>
        <w:t>[</w:t>
      </w:r>
      <w:r w:rsidR="0098134D" w:rsidRPr="008A28E4">
        <w:rPr>
          <w:rFonts w:ascii="Book Antiqua" w:hAnsi="Book Antiqua"/>
          <w:vertAlign w:val="superscript"/>
        </w:rPr>
        <w:fldChar w:fldCharType="begin" w:fldLock="1"/>
      </w:r>
      <w:r w:rsidRPr="008A28E4">
        <w:rPr>
          <w:rFonts w:ascii="Book Antiqua" w:hAnsi="Book Antiqua"/>
          <w:vertAlign w:val="superscript"/>
        </w:rPr>
        <w:instrText>ADDIN CSL_CITATION { "citationItems" : [ { "id" : "ITEM-1", "itemData" : { "DOI" : "10.1089/end.2009.0294", "ISSN" : "0892-7790", "PMID" : "19630486", "abstract" : "OBJECTIVES: Percutaneous nephrolithotomy is commonly performed in the prone position. Knowledge of renal anatomy and the relationship of adjacent organs is essential to minimize patient morbidity and iatrogenic organ injury. We present the anatomical basis for a prone-flexed modification to patient positioning and review the advantages and disadvantages of alternate positions. METHODS: Triphasic computed tomography was conducted with the patient in supine, prone, and prone-flexed positions, and an anatomical survey was conducted. A 30 degrees angle was used to approximate the plane of nephrostomy access and the risk of organ injury. RESULTS: For upper pole punctures, the liver and spleen were more medially situated, and thus more likely to be injured with supine positioning, compared with either prone or prone-flexed positioning (p &lt; 0.001). In contrast, for lower pole punctures, the colon was more medially situated in the prone and prone-flexed positions compared to supine (p &lt; 0.001). With prone-flexed positioning, the left kidney was displaced lower than the right in 92.3% of cases. The prone-flexed modification increased the distance from the posterior iliac crest to the 12th and 11th ribs by 2.9 and 3.0 cm, respectively (p &lt; 0.001). If access was performed in the most superior calyx, this would have converted an upper pole access above the 11th rib to one above the 12th rib in 5 of 11 patients (45.5%). CONCLUSIONS: Prone-flexed positioning is a simple modification that provides improved access to the upper pole and more mobility for lower pole percutaneous nephrolithotomy. This position is well tolerated and has several advantages over other patient positions, including the supine position.", "author" : [ { "dropping-particle" : "", "family" : "Ray", "given" : "A Andrew", "non-dropping-particle" : "", "parse-names" : false, "suffix" : "" }, { "dropping-particle" : "", "family" : "Chung", "given" : "Dae-Gyun", "non-dropping-particle" : "", "parse-names" : false, "suffix" : "" }, { "dropping-particle" : "", "family" : "Honey", "given" : "R John D'A", "non-dropping-particle" : "", "parse-names" : false, "suffix" : "" } ], "container-title" : "Journal of endourology / Endourological Society", "id" : "ITEM-1", "issued" : { "date-parts" : [ [ "2009" ] ] }, "page" : "1607-1614", "title" : "Percutaneous nephrolithotomy in the prone and prone-flexed positions: anatomic considerations.", "type" : "article-journal", "volume" : "23" }, "uris" : [ "http://www.mendeley.com/documents/?uuid=0127efae-acc0-4384-93e8-cfccd7d9c808" ] } ], "mendeley" : { "manualFormatting" : "9", "previouslyFormattedCitation" : "(6)" }, "properties" : { "noteIndex" : 0 }, "schema" : "https://github.com/citation-style-language/schema/raw/master/csl-citation.json" }</w:instrText>
      </w:r>
      <w:r w:rsidR="0098134D" w:rsidRPr="008A28E4">
        <w:rPr>
          <w:rFonts w:ascii="Book Antiqua" w:hAnsi="Book Antiqua"/>
          <w:vertAlign w:val="superscript"/>
        </w:rPr>
        <w:fldChar w:fldCharType="separate"/>
      </w:r>
      <w:r w:rsidRPr="008A28E4">
        <w:rPr>
          <w:rFonts w:ascii="Book Antiqua" w:hAnsi="Book Antiqua"/>
          <w:noProof/>
          <w:vertAlign w:val="superscript"/>
        </w:rPr>
        <w:t>9</w:t>
      </w:r>
      <w:r w:rsidR="0098134D" w:rsidRPr="008A28E4">
        <w:rPr>
          <w:rFonts w:ascii="Book Antiqua" w:hAnsi="Book Antiqua"/>
          <w:vertAlign w:val="superscript"/>
        </w:rPr>
        <w:fldChar w:fldCharType="end"/>
      </w:r>
      <w:r w:rsidR="00742B85" w:rsidRPr="008A28E4">
        <w:rPr>
          <w:rFonts w:ascii="Book Antiqua" w:hAnsi="Book Antiqua"/>
          <w:vertAlign w:val="superscript"/>
        </w:rPr>
        <w:t>]</w:t>
      </w:r>
      <w:r w:rsidRPr="008A28E4">
        <w:rPr>
          <w:rFonts w:ascii="Book Antiqua" w:hAnsi="Book Antiqua"/>
        </w:rPr>
        <w:t>. Despite these changes fluoroscopy guided access in prone position is still the most commonly used technique for PCNL</w:t>
      </w:r>
      <w:r w:rsidR="00742B85" w:rsidRPr="008A28E4">
        <w:rPr>
          <w:rFonts w:ascii="Book Antiqua" w:hAnsi="Book Antiqua"/>
          <w:vertAlign w:val="superscript"/>
        </w:rPr>
        <w:t>[10]</w:t>
      </w:r>
      <w:r w:rsidR="00742B85" w:rsidRPr="008A28E4">
        <w:rPr>
          <w:rFonts w:ascii="Book Antiqua" w:hAnsi="Book Antiqua"/>
        </w:rPr>
        <w:t>. T</w:t>
      </w:r>
      <w:r w:rsidRPr="008A28E4">
        <w:rPr>
          <w:rFonts w:ascii="Book Antiqua" w:hAnsi="Book Antiqua"/>
          <w:color w:val="000000"/>
          <w:shd w:val="clear" w:color="auto" w:fill="FFFFFF"/>
        </w:rPr>
        <w:t>he</w:t>
      </w:r>
      <w:r w:rsidRPr="008A28E4">
        <w:rPr>
          <w:rStyle w:val="apple-converted-space"/>
          <w:rFonts w:ascii="Book Antiqua" w:hAnsi="Book Antiqua"/>
          <w:color w:val="000000"/>
          <w:shd w:val="clear" w:color="auto" w:fill="FFFFFF"/>
        </w:rPr>
        <w:t> </w:t>
      </w:r>
      <w:r w:rsidRPr="008A28E4">
        <w:rPr>
          <w:rStyle w:val="highlight"/>
          <w:rFonts w:ascii="Book Antiqua" w:hAnsi="Book Antiqua"/>
          <w:color w:val="000000"/>
          <w:shd w:val="clear" w:color="auto" w:fill="FFFFFF"/>
        </w:rPr>
        <w:t>prone position</w:t>
      </w:r>
      <w:r w:rsidRPr="008A28E4">
        <w:rPr>
          <w:rStyle w:val="apple-converted-space"/>
          <w:rFonts w:ascii="Book Antiqua" w:hAnsi="Book Antiqua"/>
          <w:color w:val="000000"/>
          <w:shd w:val="clear" w:color="auto" w:fill="FFFFFF"/>
        </w:rPr>
        <w:t> </w:t>
      </w:r>
      <w:r w:rsidRPr="008A28E4">
        <w:rPr>
          <w:rFonts w:ascii="Book Antiqua" w:hAnsi="Book Antiqua"/>
          <w:color w:val="000000"/>
          <w:shd w:val="clear" w:color="auto" w:fill="FFFFFF"/>
        </w:rPr>
        <w:t>is associated with a significantly shorter nephrostomy tract length and more potential access sites, which may improve ease and safety of percutaneous renal access</w:t>
      </w:r>
      <w:r w:rsidR="0098134D" w:rsidRPr="008A28E4">
        <w:rPr>
          <w:rFonts w:ascii="Book Antiqua" w:hAnsi="Book Antiqua"/>
          <w:color w:val="000000"/>
          <w:shd w:val="clear" w:color="auto" w:fill="FFFFFF"/>
          <w:vertAlign w:val="superscript"/>
        </w:rPr>
        <w:fldChar w:fldCharType="begin" w:fldLock="1"/>
      </w:r>
      <w:r w:rsidRPr="008A28E4">
        <w:rPr>
          <w:rFonts w:ascii="Book Antiqua" w:hAnsi="Book Antiqua"/>
          <w:color w:val="000000"/>
          <w:shd w:val="clear" w:color="auto" w:fill="FFFFFF"/>
          <w:vertAlign w:val="superscript"/>
        </w:rPr>
        <w:instrText>ADDIN CSL_CITATION { "citationItems" : [ { "id" : "ITEM-1", "itemData" : { "DOI" : "10.1016/j.urology.2011.06.019", "ISSN" : "00904295", "PMID" : "21820700", "abstract" : "To determine anatomical variations between the prone, supine, and supine oblique positions that are likely to affect percutaneous renal access. Twenty patients underwent computed tomography urograms in the supine and prone positions. Twenty patients underwent supine oblique and prone scans. Mean nephrostomy tract length, maximum access angle, and anteriorposterior renal position were calculated. Mean nephrostomy tract length was shorter in the prone position (82.6 mm right kidney, 85.4 mm left kidney) compared with the supine position (108.3 mm right kidney, P &lt;.001; 103.7 mm left kidney, P &lt;.001). Prone tract length was also shorter than supine oblique tract length (86.1 mm vs 96.5 mm; P =.048). Mean maximum access angle was significantly greater (P =.018 right kidney; P =.007 left kidney) in the prone position (right kidney 99.7??, left kidney 104.0??) compared with the supine position (right kidney 87.7??, left kidney 89.4??). The same was true for the prone compared with the supine oblique position (75.8?? vs 58.7??; P =.004). No difference was noted in anteriorposterior renal position between the supine and prone positions (20.3 mm vs 26.7 mm; P =.094) or supine oblique and prone positions (22.8 mm vs 15.6 mm; P =.45). The prone position is associated with a significantly shorter nephrostomy tract length and more potential access sites, which may improve ease and safety of percutaneous renal access. ?? 2012 Elsevier Inc.", "author" : [ { "dropping-particle" : "", "family" : "Duty", "given" : "Brian", "non-dropping-particle" : "", "parse-names" : false, "suffix" : "" }, { "dropping-particle" : "", "family" : "Waingankar", "given" : "Nikhil", "non-dropping-particle" : "", "parse-names" : false, "suffix" : "" }, { "dropping-particle" : "", "family" : "Okhunov", "given" : "Zhamshid", "non-dropping-particle" : "", "parse-names" : false, "suffix" : "" }, { "dropping-particle" : "", "family" : "Levi", "given" : "Eran", "non-dropping-particle" : "Ben", "parse-names" : false, "suffix" : "" }, { "dropping-particle" : "", "family" : "Smith", "given" : "Arthur", "non-dropping-particle" : "", "parse-names" : false, "suffix" : "" }, { "dropping-particle" : "", "family" : "Okeke", "given" : "Zeph", "non-dropping-particle" : "", "parse-names" : false, "suffix" : "" } ], "container-title" : "Urology", "id" : "ITEM-1", "issued" : { "date-parts" : [ [ "2012" ] ] }, "page" : "67-71", "title" : "Anatomical variation between the prone, supine, and supine oblique positions on computed tomography: Implications for percutaneous nephrolithotomy access", "type" : "article-journal", "volume" : "79" }, "uris" : [ "http://www.mendeley.com/documents/?uuid=8546b7d6-72e2-4e88-90b9-a046bdab3e52" ] } ], "mendeley" : { "manualFormatting" : "(11)", "previouslyFormattedCitation" : "(8)" }, "properties" : { "noteIndex" : 0 }, "schema" : "https://github.com/citation-style-language/schema/raw/master/csl-citation.json" }</w:instrText>
      </w:r>
      <w:r w:rsidR="0098134D" w:rsidRPr="008A28E4">
        <w:rPr>
          <w:rFonts w:ascii="Book Antiqua" w:hAnsi="Book Antiqua"/>
          <w:color w:val="000000"/>
          <w:shd w:val="clear" w:color="auto" w:fill="FFFFFF"/>
          <w:vertAlign w:val="superscript"/>
        </w:rPr>
        <w:fldChar w:fldCharType="separate"/>
      </w:r>
      <w:r w:rsidR="00742B85" w:rsidRPr="008A28E4">
        <w:rPr>
          <w:rFonts w:ascii="Book Antiqua" w:hAnsi="Book Antiqua"/>
          <w:noProof/>
          <w:color w:val="000000"/>
          <w:shd w:val="clear" w:color="auto" w:fill="FFFFFF"/>
          <w:vertAlign w:val="superscript"/>
        </w:rPr>
        <w:t>[</w:t>
      </w:r>
      <w:r w:rsidRPr="008A28E4">
        <w:rPr>
          <w:rFonts w:ascii="Book Antiqua" w:hAnsi="Book Antiqua"/>
          <w:noProof/>
          <w:color w:val="000000"/>
          <w:shd w:val="clear" w:color="auto" w:fill="FFFFFF"/>
          <w:vertAlign w:val="superscript"/>
        </w:rPr>
        <w:t>11</w:t>
      </w:r>
      <w:r w:rsidR="0098134D" w:rsidRPr="008A28E4">
        <w:rPr>
          <w:rFonts w:ascii="Book Antiqua" w:hAnsi="Book Antiqua"/>
          <w:color w:val="000000"/>
          <w:shd w:val="clear" w:color="auto" w:fill="FFFFFF"/>
          <w:vertAlign w:val="superscript"/>
        </w:rPr>
        <w:fldChar w:fldCharType="end"/>
      </w:r>
      <w:r w:rsidR="00742B85" w:rsidRPr="008A28E4">
        <w:rPr>
          <w:rFonts w:ascii="Book Antiqua" w:hAnsi="Book Antiqua"/>
          <w:color w:val="000000"/>
          <w:shd w:val="clear" w:color="auto" w:fill="FFFFFF"/>
          <w:vertAlign w:val="superscript"/>
        </w:rPr>
        <w:t>]</w:t>
      </w:r>
      <w:r w:rsidRPr="008A28E4">
        <w:rPr>
          <w:rFonts w:ascii="Book Antiqua" w:hAnsi="Book Antiqua" w:cs="Arial"/>
          <w:color w:val="000000"/>
          <w:shd w:val="clear" w:color="auto" w:fill="FFFFFF"/>
        </w:rPr>
        <w:t>.</w:t>
      </w:r>
      <w:r w:rsidR="0077312E" w:rsidRPr="008A28E4">
        <w:rPr>
          <w:rFonts w:ascii="Book Antiqua" w:hAnsi="Book Antiqua" w:cs="Arial"/>
          <w:color w:val="000000"/>
          <w:shd w:val="clear" w:color="auto" w:fill="FFFFFF"/>
          <w:lang w:eastAsia="zh-CN"/>
        </w:rPr>
        <w:t xml:space="preserve"> </w:t>
      </w:r>
      <w:r w:rsidRPr="008A28E4">
        <w:rPr>
          <w:rFonts w:ascii="Book Antiqua" w:hAnsi="Book Antiqua"/>
        </w:rPr>
        <w:t>In European countries, urologist establishes their own percutaneous renal access, but in the United States, access is often performed by interventional radiologists. Studies have shown lower stone free rate and a higher complication rate in radiologist performed renal access</w:t>
      </w:r>
      <w:r w:rsidR="0098134D" w:rsidRPr="008A28E4">
        <w:rPr>
          <w:rFonts w:ascii="Book Antiqua" w:hAnsi="Book Antiqua"/>
          <w:vertAlign w:val="superscript"/>
        </w:rPr>
        <w:fldChar w:fldCharType="begin" w:fldLock="1"/>
      </w:r>
      <w:r w:rsidRPr="008A28E4">
        <w:rPr>
          <w:rFonts w:ascii="Book Antiqua" w:hAnsi="Book Antiqua"/>
          <w:vertAlign w:val="superscript"/>
        </w:rPr>
        <w:instrText>ADDIN CSL_CITATION { "citationItems" : [ { "id" : "ITEM-1", "itemData" : { "DOI" : "10.1016/S0090-4295(98)00101-0", "ISBN" : "0090-4295 (Print)\\r0090-4295 (Linking)", "ISSN" : "00904295", "PMID" : "9609628", "abstract" : "Objectives. In most endourology programs an interventional radiologist is employed to acquire renal access for percutaneous renal surgery. Over the last 13 years the senior endourologist at Oregon Health Sciences University has acquired access without employing a radiologist. We report our experience with urologist-acquired renal access for percutaneous renal surgery in 522 cases. Methods. We reviewed the records of all patients at our hospital who underwent percutaneous renal surgery between August 1983 and December 1996 with renal access being obtained in the operating room by a urologist. Results. Four hundred fifty-six patients underwent 522 procedures. Indications for percutaneous renal surgery were renal and proximal ureteral calculi (n = 516), retained ureteral stent (n = 3), and intrarenal collecting system tumor (n = 3). We were successful in gaining access to 513 of 522 kidneys (98.3%). Access was obtained via a subcostal approach in 344 procedures, over the 12th rib in 152 procedures, over the 11th rib in 15 procedures, and transabdominally in 2 procedures. Sixty-five patients (12.7%) required a second or multiple sites to facilitate complete removal of calculi. Our overall complication rate was 15.3%. Blood transfusion was required in 5.4% of the cases, ileus developed in 1.9%, pneumothorax in 1.1%, intraoperative hydrothorax in 1.1%, postoperative pleural effusion requiring aspiration in 0.9%, and septic shock in 0.9%. Our overall success rate for stone removal was 94.5%. Conclusions. In our experience, the urologist is able to safely and effectively obtain percutaneous access to the collecting system for percutaneous renal surgery as a one-stage procedure without the aid of interventional radiologists.", "author" : [ { "dropping-particle" : "", "family" : "Lashley", "given" : "David B.", "non-dropping-particle" : "", "parse-names" : false, "suffix" : "" }, { "dropping-particle" : "", "family" : "Fuchs", "given" : "Eugene F.", "non-dropping-particle" : "", "parse-names" : false, "suffix" : "" } ], "container-title" : "Urology", "id" : "ITEM-1", "issued" : { "date-parts" : [ [ "1998" ] ] }, "page" : "927-931", "title" : "Urologist-acquired renal access for percutaneous renal surgery", "type" : "article-journal", "volume" : "51" }, "uris" : [ "http://www.mendeley.com/documents/?uuid=9304faa0-6a5e-4e65-b4f4-c56da2f32b18" ] }, { "id" : "ITEM-2", "itemData" : { "DOI" : "10.1089/end.2010.0191", "ISBN" : "1557-900X; 0892-7790", "ISSN" : "0892-7790", "PMID" : "20919919", "abstract" : "We evaluated percutaneous access for percutaneous nephrolithotomy (PCNL) that was obtained by interventional radiologists or urologists at a single academic institution and compared access outcomes and complications.", "author" : [ { "dropping-particle" : "", "family" : "Tomaszewski", "given" : "Jeffrey J", "non-dropping-particle" : "", "parse-names" : false, "suffix" : "" }, { "dropping-particle" : "", "family" : "Ortiz", "given" : "Tara D", "non-dropping-particle" : "", "parse-names" : false, "suffix" : "" }, { "dropping-particle" : "", "family" : "Gayed", "given" : "Bishoy A", "non-dropping-particle" : "", "parse-names" : false, "suffix" : "" }, { "dropping-particle" : "", "family" : "Smaldone", "given" : "Marc C", "non-dropping-particle" : "", "parse-names" : false, "suffix" : "" }, { "dropping-particle" : "V", "family" : "Jackman", "given" : "Stephen", "non-dropping-particle" : "", "parse-names" : false, "suffix" : "" }, { "dropping-particle" : "", "family" : "Averch", "given" : "Timothy D", "non-dropping-particle" : "", "parse-names" : false, "suffix" : "" } ], "container-title" : "Journal of endourology / Endourological Society", "id" : "ITEM-2", "issued" : { "date-parts" : [ [ "2010" ] ] }, "page" : "1733-1737", "title" : "Renal access by urologist or radiologist during percutaneous nephrolithotomy.", "type" : "article-journal", "volume" : "24" }, "uris" : [ "http://www.mendeley.com/documents/?uuid=4a05e3b6-c7fb-4c87-b20f-b5e931e8b8bb" ] }, { "id" : "ITEM-3", "itemData" : { "DOI" : "10.1016/j.juro.2007.05.015", "ISSN" : "00225347", "PMID" : "17632136", "abstract" : "Purpose: Despite evidence that urologists can safely acquire percutaneous renal access for percutaneous nephrolithotomy, many centers still rely on interventional radiologists to obtain renal access. In this study we evaluated percutaneous access for percutaneous nephrolithotomy obtained by interventional radiologists or urologists, and compared access outcomes and complications. Materials and Methods: The surgical records of 1,121 patients with 1,155 stone bearing kidneys treated with percutaneous nephrolithotomy between 1999 and 2003 were reviewed. Patients were stratified according to percutaneous renal access into 509 patients with 661 access procedures performed by urologists and 612 patients with 612 access procedures performed by interventional radiologists. Results: Both groups were comparable except there was a higher incidence of multiple stones in the urologist access group. Urologists had a significantly greater rate of using multiple and supracostal tracts compared to radiologists. The stone-free rates were 83.4% and 86.1% for urologist and radiologist access groups, respectively (p = 0.1). Major complications were seen in 74 patients (6.6%). Both groups had similar complication rates except for significant bleeding in the urology group (4.3%) compared with 2.1% in the radiology cohort (p = 0.02). Further multivariate analysis showed that bleeding was not related to the type of access whether performed by urologist or radiologist. Conclusions: The urologist is able to safely and effectively obtain percutaneous renal access for percutaneous nephrolithotomy as a single stage procedure. Despite more complex stones and higher access difficulty in the urology access group, access related complications and stone-free rates were comparable. We recommend percutaneous access training in urology training programs. ?? 2007 American Urological Association.", "author" : [ { "dropping-particle" : "", "family" : "El-Assmy", "given" : "Ahmed M.", "non-dropping-particle" : "", "parse-names" : false, "suffix" : "" }, { "dropping-particle" : "", "family" : "Shokeir", "given" : "Ahmed A.", "non-dropping-particle" : "", "parse-names" : false, "suffix" : "" }, { "dropping-particle" : "", "family" : "Mohsen", "given" : "Tarek", "non-dropping-particle" : "", "parse-names" : false, "suffix" : "" }, { "dropping-particle" : "", "family" : "El-Tabey", "given" : "Nasr", "non-dropping-particle" : "", "parse-names" : false, "suffix" : "" }, { "dropping-particle" : "", "family" : "El-Nahas", "given" : "Ahmed R.", "non-dropping-particle" : "", "parse-names" : false, "suffix" : "" }, { "dropping-particle" : "", "family" : "Shoma", "given" : "Ahmed M.", "non-dropping-particle" : "", "parse-names" : false, "suffix" : "" }, { "dropping-particle" : "", "family" : "Eraky", "given" : "Ibrahim", "non-dropping-particle" : "", "parse-names" : false, "suffix" : "" }, { "dropping-particle" : "", "family" : "EL-Kenawy", "given" : "Mahmoud R.", "non-dropping-particle" : "", "parse-names" : false, "suffix" : "" }, { "dropping-particle" : "", "family" : "EL-Kappany", "given" : "Hamdy A.", "non-dropping-particle" : "", "parse-names" : false, "suffix" : "" } ], "container-title" : "Journal of Urology", "id" : "ITEM-3", "issued" : { "date-parts" : [ [ "2007" ] ] }, "page" : "916-920", "title" : "Renal Access by Urologist or Radiologist for Percutaneous Nephrolithotomy-Is it Still an Issue?", "type" : "article-journal", "volume" : "178" }, "uris" : [ "http://www.mendeley.com/documents/?uuid=658393b6-867b-44db-8aa5-72624f26ac42" ] } ], "mendeley" : { "manualFormatting" : "(12\u201314)", "previouslyFormattedCitation" : "(9\u201311)" }, "properties" : { "noteIndex" : 0 }, "schema" : "https://github.com/citation-style-language/schema/raw/master/csl-citation.json" }</w:instrText>
      </w:r>
      <w:r w:rsidR="0098134D" w:rsidRPr="008A28E4">
        <w:rPr>
          <w:rFonts w:ascii="Book Antiqua" w:hAnsi="Book Antiqua"/>
          <w:vertAlign w:val="superscript"/>
        </w:rPr>
        <w:fldChar w:fldCharType="separate"/>
      </w:r>
      <w:r w:rsidR="00742B85" w:rsidRPr="008A28E4">
        <w:rPr>
          <w:rFonts w:ascii="Book Antiqua" w:hAnsi="Book Antiqua"/>
          <w:noProof/>
          <w:vertAlign w:val="superscript"/>
        </w:rPr>
        <w:t>[</w:t>
      </w:r>
      <w:r w:rsidRPr="008A28E4">
        <w:rPr>
          <w:rFonts w:ascii="Book Antiqua" w:hAnsi="Book Antiqua"/>
          <w:noProof/>
          <w:vertAlign w:val="superscript"/>
        </w:rPr>
        <w:t>12–14</w:t>
      </w:r>
      <w:r w:rsidR="0098134D" w:rsidRPr="008A28E4">
        <w:rPr>
          <w:rFonts w:ascii="Book Antiqua" w:hAnsi="Book Antiqua"/>
          <w:vertAlign w:val="superscript"/>
        </w:rPr>
        <w:fldChar w:fldCharType="end"/>
      </w:r>
      <w:r w:rsidR="00742B85" w:rsidRPr="008A28E4">
        <w:rPr>
          <w:rFonts w:ascii="Book Antiqua" w:hAnsi="Book Antiqua"/>
          <w:vertAlign w:val="superscript"/>
        </w:rPr>
        <w:t>]</w:t>
      </w:r>
      <w:r w:rsidRPr="008A28E4">
        <w:rPr>
          <w:rFonts w:ascii="Book Antiqua" w:hAnsi="Book Antiqua"/>
        </w:rPr>
        <w:t>. Despite these facts and the documented safety and efficacy of urologist acquired percutaneous renal access, as few as 11% of urologists who perform PCNL achieve access</w:t>
      </w:r>
      <w:r w:rsidR="00742B85" w:rsidRPr="008A28E4">
        <w:rPr>
          <w:rFonts w:ascii="Book Antiqua" w:hAnsi="Book Antiqua"/>
          <w:vertAlign w:val="superscript"/>
        </w:rPr>
        <w:t>[15]</w:t>
      </w:r>
      <w:r w:rsidR="00742B85" w:rsidRPr="008A28E4">
        <w:rPr>
          <w:rFonts w:ascii="Book Antiqua" w:hAnsi="Book Antiqua"/>
        </w:rPr>
        <w:t xml:space="preserve">. </w:t>
      </w:r>
      <w:r w:rsidRPr="008A28E4">
        <w:rPr>
          <w:rFonts w:ascii="Book Antiqua" w:hAnsi="Book Antiqua"/>
        </w:rPr>
        <w:t>This low success rate is attribu</w:t>
      </w:r>
      <w:r w:rsidR="0077312E" w:rsidRPr="008A28E4">
        <w:rPr>
          <w:rFonts w:ascii="Book Antiqua" w:hAnsi="Book Antiqua"/>
        </w:rPr>
        <w:t>ted to probably a lack of skill</w:t>
      </w:r>
      <w:r w:rsidR="0098134D" w:rsidRPr="008A28E4">
        <w:rPr>
          <w:rFonts w:ascii="Book Antiqua" w:hAnsi="Book Antiqua"/>
          <w:vertAlign w:val="superscript"/>
        </w:rPr>
        <w:fldChar w:fldCharType="begin" w:fldLock="1"/>
      </w:r>
      <w:r w:rsidRPr="008A28E4">
        <w:rPr>
          <w:rFonts w:ascii="Book Antiqua" w:hAnsi="Book Antiqua"/>
          <w:vertAlign w:val="superscript"/>
        </w:rPr>
        <w:instrText>ADDIN CSL_CITATION { "citationItems" : [ { "id" : "ITEM-1", "itemData" : { "DOI" : "10.1097/01.ju.0000104849.25168.6d", "ISBN" : "0022-5347", "ISSN" : "00225347", "PMID" : "14713766", "abstract" : "PURPOSE: We evaluated the impact of residency training in percutaneous renal access on subsequent urological practice. MATERIALS AND METHODS: Surveys evaluating practice and training in percutaneous renal access were mailed to residents who graduated between 1981 and 2001. A statistical analysis was performed to determine the effect of percutaneous access training on current practice patterns in percutaneous renal procedures. A subgroup analysis was conducted for graduates with more than 10 years after residency. RESULTS: Responses were received from 37 of 48 surveys mailed (77%) and 35 surveys were eligible for analysis. A total of 92% of urologists trained in percutaneous access currently perform percutaneous surgical procedures compared to only 33% of those untrained (p &lt;0.001). Urologists trained in access perform a mean of 14.0 percutaneous renal procedures annually while those untrained perform 3.3 procedures (p = 0.02). Only 27% of urologists trained in percutaneous access continue to perform percutaneous renal access compared to 11% of those untrained (p = 0.33). A subset analysis of urologists trained more than 10 years ago shows similar results. The primary reasons stated for not performing their own access are that the radiologist has better equipment (61%) or skills (44%), or obtaining access requires extra time (50%). CONCLUSIONS: This study suggests a relationship between training in percutaneous renal access and subsequent use of percutaneous renal procedures in the urologist's practice. Emphasis should be placed on providing continuing education opportunities to maintain competency in this important technique.", "author" : [ { "dropping-particle" : "", "family" : "Lee", "given" : "Courtney L", "non-dropping-particle" : "", "parse-names" : false, "suffix" : "" }, { "dropping-particle" : "", "family" : "Anderson", "given" : "J Kyle", "non-dropping-particle" : "", "parse-names" : false, "suffix" : "" }, { "dropping-particle" : "", "family" : "Monga", "given" : "Manoj", "non-dropping-particle" : "", "parse-names" : false, "suffix" : "" } ], "container-title" : "The Journal of urology", "id" : "ITEM-1", "issued" : { "date-parts" : [ [ "2004" ] ] }, "page" : "592-595", "title" : "Residency training in percutaneous renal access: does it affect urological practice?", "type" : "article-journal", "volume" : "171" }, "uris" : [ "http://www.mendeley.com/documents/?uuid=f6d171df-e04c-4f64-8f62-0b0ba6dc19c4" ] } ], "mendeley" : { "manualFormatting" : "(16)", "previouslyFormattedCitation" : "(13)" }, "properties" : { "noteIndex" : 0 }, "schema" : "https://github.com/citation-style-language/schema/raw/master/csl-citation.json" }</w:instrText>
      </w:r>
      <w:r w:rsidR="0098134D" w:rsidRPr="008A28E4">
        <w:rPr>
          <w:rFonts w:ascii="Book Antiqua" w:hAnsi="Book Antiqua"/>
          <w:vertAlign w:val="superscript"/>
        </w:rPr>
        <w:fldChar w:fldCharType="separate"/>
      </w:r>
      <w:r w:rsidR="00742B85" w:rsidRPr="008A28E4">
        <w:rPr>
          <w:rFonts w:ascii="Book Antiqua" w:hAnsi="Book Antiqua"/>
          <w:noProof/>
          <w:vertAlign w:val="superscript"/>
        </w:rPr>
        <w:t>[</w:t>
      </w:r>
      <w:r w:rsidRPr="008A28E4">
        <w:rPr>
          <w:rFonts w:ascii="Book Antiqua" w:hAnsi="Book Antiqua"/>
          <w:noProof/>
          <w:vertAlign w:val="superscript"/>
        </w:rPr>
        <w:t>16</w:t>
      </w:r>
      <w:r w:rsidR="0098134D" w:rsidRPr="008A28E4">
        <w:rPr>
          <w:rFonts w:ascii="Book Antiqua" w:hAnsi="Book Antiqua"/>
          <w:vertAlign w:val="superscript"/>
        </w:rPr>
        <w:fldChar w:fldCharType="end"/>
      </w:r>
      <w:r w:rsidR="00742B85" w:rsidRPr="008A28E4">
        <w:rPr>
          <w:rFonts w:ascii="Book Antiqua" w:hAnsi="Book Antiqua"/>
          <w:vertAlign w:val="superscript"/>
        </w:rPr>
        <w:t>]</w:t>
      </w:r>
      <w:r w:rsidRPr="008A28E4">
        <w:rPr>
          <w:rFonts w:ascii="Book Antiqua" w:hAnsi="Book Antiqua"/>
        </w:rPr>
        <w:t>. This is probably due to the difficulty in visualizing and mentally imbibing the three dimensional anatomy of the pelvicalyceal system on the two</w:t>
      </w:r>
      <w:r w:rsidR="0077312E" w:rsidRPr="008A28E4">
        <w:rPr>
          <w:rFonts w:ascii="Book Antiqua" w:hAnsi="Book Antiqua"/>
        </w:rPr>
        <w:t xml:space="preserve"> dimensional fluoroscopy screen</w:t>
      </w:r>
      <w:r w:rsidR="0098134D" w:rsidRPr="008A28E4">
        <w:rPr>
          <w:rFonts w:ascii="Book Antiqua" w:hAnsi="Book Antiqua"/>
          <w:vertAlign w:val="superscript"/>
        </w:rPr>
        <w:fldChar w:fldCharType="begin" w:fldLock="1"/>
      </w:r>
      <w:r w:rsidRPr="008A28E4">
        <w:rPr>
          <w:rFonts w:ascii="Book Antiqua" w:hAnsi="Book Antiqua"/>
          <w:vertAlign w:val="superscript"/>
        </w:rPr>
        <w:instrText>ADDIN CSL_CITATION { "citationItems" : [ { "id" : "ITEM-1", "itemData" : { "DOI" : "10.1016/j.juro.2012.09.040", "ISSN" : "1527-3792", "PMID" : "23260557", "abstract" : "Purpose: Calyceal selection for percutaneous renal access is critical for safe, effective performance of percutaneous nephrolithotomy. Available anatomical evidence is contradictory and incomplete. We present detailed renal calyceal anatomy obtained from in vivo 3-dimentional computerized tomography renderings. Materials and Methods: A total of 60 computerized tomography urograms were randomly selected. The renal collecting system was isolated and 3-dimensional renderings were constructed. The primary plane of each calyceal group of 100 kidneys was determined. A coronal maximum intensity projection was used for simulated percutaneous access. The most inferior calyx was designated calyx 1. Moving superiorly, the subsequent calyces were designated calyx 2 and, when present, calyx 3. The surface rendering was rotated to assess the primary plane of the calyceal group and the orientation of the select calyx. Results: The primary plane of the upper pole calyceal group was mediolateral in 95% of kidneys and the primary plane of the lower pole calyceal group was anteroposterior in 95%. Calyx 2 was chosen in 90 of 97 simulations and it was appropriate in 92%. Calyx 3 was chosen in 7 simulations but it was appropriate in only 57%. Calyx 1 was not selected in any simulation and it was anteriorly oriented in 75% of kidneys. Conclusions: Appropriate lower pole calyceal access can be reliably accomplished with an understanding of the anatomical relationship between individual calyceal orientation and the primary plane of the calyceal group. Calyx 2 is most often appropriate for accessing the anteroposterior primary plane of the lower pole. Calyx 1 is most commonly oriented anterior. ?? 2013 American Urological Association Education and Research, Inc.", "author" : [ { "dropping-particle" : "", "family" : "Miller", "given" : "Joe", "non-dropping-particle" : "", "parse-names" : false, "suffix" : "" }, { "dropping-particle" : "", "family" : "Durack", "given" : "Jeremy C.", "non-dropping-particle" : "", "parse-names" : false, "suffix" : "" }, { "dropping-particle" : "", "family" : "Sorensen", "given" : "Mathew D.", "non-dropping-particle" : "", "parse-names" : false, "suffix" : "" }, { "dropping-particle" : "", "family" : "Wang", "given" : "James H.", "non-dropping-particle" : "", "parse-names" : false, "suffix" : "" }, { "dropping-particle" : "", "family" : "Stoller", "given" : "Marshall L.", "non-dropping-particle" : "", "parse-names" : false, "suffix" : "" } ], "container-title" : "Journal of Urology", "id" : "ITEM-1", "issue" : "2", "issued" : { "date-parts" : [ [ "2013", "2" ] ] }, "page" : "562-567", "publisher" : "Elsevier Inc.", "title" : "Renal calyceal anatomy characterization with 3-dimensional in vivo computerized tomography imaging", "type" : "article-journal", "volume" : "189" }, "uris" : [ "http://www.mendeley.com/documents/?uuid=178e54ed-c5ee-42e4-adc0-d726f7edd9cc" ] } ], "mendeley" : { "manualFormatting" : "(17)", "previouslyFormattedCitation" : "(14)" }, "properties" : { "noteIndex" : 0 }, "schema" : "https://github.com/citation-style-language/schema/raw/master/csl-citation.json" }</w:instrText>
      </w:r>
      <w:r w:rsidR="0098134D" w:rsidRPr="008A28E4">
        <w:rPr>
          <w:rFonts w:ascii="Book Antiqua" w:hAnsi="Book Antiqua"/>
          <w:vertAlign w:val="superscript"/>
        </w:rPr>
        <w:fldChar w:fldCharType="separate"/>
      </w:r>
      <w:r w:rsidR="00742B85" w:rsidRPr="008A28E4">
        <w:rPr>
          <w:rFonts w:ascii="Book Antiqua" w:hAnsi="Book Antiqua"/>
          <w:noProof/>
          <w:vertAlign w:val="superscript"/>
        </w:rPr>
        <w:t>[</w:t>
      </w:r>
      <w:r w:rsidRPr="008A28E4">
        <w:rPr>
          <w:rFonts w:ascii="Book Antiqua" w:hAnsi="Book Antiqua"/>
          <w:noProof/>
          <w:vertAlign w:val="superscript"/>
        </w:rPr>
        <w:t>17</w:t>
      </w:r>
      <w:r w:rsidR="0098134D" w:rsidRPr="008A28E4">
        <w:rPr>
          <w:rFonts w:ascii="Book Antiqua" w:hAnsi="Book Antiqua"/>
          <w:vertAlign w:val="superscript"/>
        </w:rPr>
        <w:fldChar w:fldCharType="end"/>
      </w:r>
      <w:r w:rsidR="00742B85" w:rsidRPr="008A28E4">
        <w:rPr>
          <w:rFonts w:ascii="Book Antiqua" w:hAnsi="Book Antiqua"/>
          <w:vertAlign w:val="superscript"/>
        </w:rPr>
        <w:t>]</w:t>
      </w:r>
      <w:r w:rsidRPr="008A28E4">
        <w:rPr>
          <w:rFonts w:ascii="Book Antiqua" w:hAnsi="Book Antiqua"/>
        </w:rPr>
        <w:t>.  The purpose of this review is to describe the various aspects of the technique of fluoroscopy guided percutaneous renal access in prone position. It is the attempt of the authors to provide a step by step guide of all aspects of the technique. Finally, the authors describe their technique in detail and the rationale behind it.</w:t>
      </w:r>
    </w:p>
    <w:p w:rsidR="0077312E" w:rsidRPr="008A28E4" w:rsidRDefault="0077312E" w:rsidP="008A28E4">
      <w:pPr>
        <w:pStyle w:val="ListParagraph"/>
        <w:spacing w:after="0" w:line="360" w:lineRule="auto"/>
        <w:ind w:left="0"/>
        <w:jc w:val="both"/>
        <w:rPr>
          <w:rFonts w:ascii="Book Antiqua" w:hAnsi="Book Antiqua" w:cs="Times New Roman"/>
          <w:b/>
          <w:sz w:val="24"/>
          <w:szCs w:val="24"/>
          <w:lang w:eastAsia="zh-CN"/>
        </w:rPr>
      </w:pPr>
    </w:p>
    <w:p w:rsidR="00C2014D" w:rsidRPr="008A28E4" w:rsidRDefault="00505DA4" w:rsidP="008A28E4">
      <w:pPr>
        <w:pStyle w:val="ListParagraph"/>
        <w:spacing w:after="0" w:line="360" w:lineRule="auto"/>
        <w:ind w:left="0"/>
        <w:jc w:val="both"/>
        <w:rPr>
          <w:rFonts w:ascii="Book Antiqua" w:hAnsi="Book Antiqua" w:cs="Times New Roman"/>
          <w:b/>
          <w:sz w:val="24"/>
          <w:szCs w:val="24"/>
        </w:rPr>
      </w:pPr>
      <w:r w:rsidRPr="008A28E4">
        <w:rPr>
          <w:rFonts w:ascii="Book Antiqua" w:hAnsi="Book Antiqua" w:cs="Times New Roman"/>
          <w:b/>
          <w:sz w:val="24"/>
          <w:szCs w:val="24"/>
        </w:rPr>
        <w:t>INSERTION OF URETERIC CATHETER</w:t>
      </w:r>
    </w:p>
    <w:p w:rsidR="00C2014D" w:rsidRPr="008A28E4" w:rsidRDefault="00C2014D" w:rsidP="008A28E4">
      <w:pPr>
        <w:spacing w:after="0" w:line="360" w:lineRule="auto"/>
        <w:jc w:val="both"/>
        <w:rPr>
          <w:rFonts w:ascii="Book Antiqua" w:hAnsi="Book Antiqua" w:cs="Times New Roman"/>
          <w:sz w:val="24"/>
          <w:szCs w:val="24"/>
        </w:rPr>
      </w:pPr>
      <w:r w:rsidRPr="008A28E4">
        <w:rPr>
          <w:rFonts w:ascii="Book Antiqua" w:hAnsi="Book Antiqua" w:cs="Times New Roman"/>
          <w:sz w:val="24"/>
          <w:szCs w:val="24"/>
        </w:rPr>
        <w:t>At the beginning of the procedure, a 5</w:t>
      </w:r>
      <w:r w:rsidR="005009F7" w:rsidRPr="008A28E4">
        <w:rPr>
          <w:rFonts w:ascii="Book Antiqua" w:hAnsi="Book Antiqua" w:cs="Times New Roman"/>
          <w:sz w:val="24"/>
          <w:szCs w:val="24"/>
          <w:lang w:eastAsia="zh-CN"/>
        </w:rPr>
        <w:t xml:space="preserve"> </w:t>
      </w:r>
      <w:r w:rsidRPr="008A28E4">
        <w:rPr>
          <w:rFonts w:ascii="Book Antiqua" w:hAnsi="Book Antiqua" w:cs="Times New Roman"/>
          <w:sz w:val="24"/>
          <w:szCs w:val="24"/>
        </w:rPr>
        <w:t>Fr or 6 Fr ureteric catheter is inserted in the collecting system either using a rigid cystoscope (with the patient in lithotomy position) or a flexible cystoscope (with the patient prone). This used to instill contrast to opacify the system. Also it can be used to flush saline so as to distend the system, flush small gravels during the process of stone fragmentation and at times to pass a glide wire for insertion of a double J (DJ) stent, at the end of the procedure. A Foley catheter is also passed by the side of the ureteric catheter. Both the catheters are secured with each other to prevent inadvertent slipping out of the ureteric catheter.</w:t>
      </w:r>
    </w:p>
    <w:p w:rsidR="0077312E" w:rsidRPr="008A28E4" w:rsidRDefault="0077312E" w:rsidP="008A28E4">
      <w:pPr>
        <w:pStyle w:val="ListParagraph"/>
        <w:spacing w:after="0" w:line="360" w:lineRule="auto"/>
        <w:ind w:left="0"/>
        <w:jc w:val="both"/>
        <w:rPr>
          <w:rFonts w:ascii="Book Antiqua" w:hAnsi="Book Antiqua" w:cs="Times New Roman"/>
          <w:b/>
          <w:sz w:val="24"/>
          <w:szCs w:val="24"/>
          <w:lang w:eastAsia="zh-CN"/>
        </w:rPr>
      </w:pPr>
    </w:p>
    <w:p w:rsidR="00C2014D" w:rsidRPr="008A28E4" w:rsidRDefault="00505DA4" w:rsidP="008A28E4">
      <w:pPr>
        <w:pStyle w:val="ListParagraph"/>
        <w:spacing w:after="0" w:line="360" w:lineRule="auto"/>
        <w:ind w:left="0"/>
        <w:jc w:val="both"/>
        <w:rPr>
          <w:rFonts w:ascii="Book Antiqua" w:hAnsi="Book Antiqua" w:cs="Times New Roman"/>
          <w:b/>
          <w:sz w:val="24"/>
          <w:szCs w:val="24"/>
        </w:rPr>
      </w:pPr>
      <w:r w:rsidRPr="008A28E4">
        <w:rPr>
          <w:rFonts w:ascii="Book Antiqua" w:hAnsi="Book Antiqua" w:cs="Times New Roman"/>
          <w:b/>
          <w:sz w:val="24"/>
          <w:szCs w:val="24"/>
        </w:rPr>
        <w:t>PRONE POSITIONING</w:t>
      </w:r>
    </w:p>
    <w:p w:rsidR="0077312E" w:rsidRPr="008A28E4" w:rsidRDefault="00C2014D" w:rsidP="008A28E4">
      <w:pPr>
        <w:spacing w:after="0" w:line="360" w:lineRule="auto"/>
        <w:jc w:val="both"/>
        <w:rPr>
          <w:rFonts w:ascii="Book Antiqua" w:hAnsi="Book Antiqua" w:cs="Times New Roman"/>
          <w:sz w:val="24"/>
          <w:szCs w:val="24"/>
          <w:lang w:eastAsia="zh-CN"/>
        </w:rPr>
      </w:pPr>
      <w:r w:rsidRPr="008A28E4">
        <w:rPr>
          <w:rFonts w:ascii="Book Antiqua" w:hAnsi="Book Antiqua" w:cs="Times New Roman"/>
          <w:sz w:val="24"/>
          <w:szCs w:val="24"/>
        </w:rPr>
        <w:t>This is an important maneuver which, if not done properly, can result in potentially serious injury to the patient. The ideal way would be to have the patient supine, have a separate trolley by the side of the operating table, shift the patient in supine position to the side trolley, remove the monitoring devices and then make the patient prone on the operating table and immediately connect the devices which have been disengaged or removed. These maneuvers should be done with adequate staff and with proper co-ordination between the anesthesiologist managing the airway, endotracheal tube and neck and the staff managing the chest and torso. Although cervical spine injury during prone positioning under anesthesia is rare, it has been reported with both over flexion and over extension during prolonged procedures</w:t>
      </w:r>
      <w:r w:rsidR="0098134D" w:rsidRPr="008A28E4">
        <w:rPr>
          <w:rFonts w:ascii="Book Antiqua" w:hAnsi="Book Antiqua" w:cs="Times New Roman"/>
          <w:sz w:val="24"/>
          <w:szCs w:val="24"/>
          <w:vertAlign w:val="superscript"/>
        </w:rPr>
        <w:fldChar w:fldCharType="begin" w:fldLock="1"/>
      </w:r>
      <w:r w:rsidRPr="008A28E4">
        <w:rPr>
          <w:rFonts w:ascii="Book Antiqua" w:hAnsi="Book Antiqua" w:cs="Times New Roman"/>
          <w:sz w:val="24"/>
          <w:szCs w:val="24"/>
          <w:vertAlign w:val="superscript"/>
        </w:rPr>
        <w:instrText>ADDIN CSL_CITATION { "citationItems" : [ { "id" : "ITEM-1", "itemData" : { "DOI" : "10.1093/bja/aem380", "ISBN" : "1471-6771 (Electronic)\\r0007-0912 (Linking)", "ISSN" : "1471-6771", "PMID" : "18211991", "abstract" : "Prone positioning of patients during anaesthesia is required to provide operative access for a wide variety of surgical procedures. It is associated with predictable changes in physiology but also with a number of complications, and safe use of the prone position requires an understanding of both issues. We have reviewed the development of the prone position and its variants and the physiological changes which occur on prone positioning. The complications associated with this position and the published techniques for various practical procedures in this position will be discussed. The aim of this review is to identify the risks associated with prone positioning and how these risks may be anticipated and minimized.", "author" : [ { "dropping-particle" : "", "family" : "Edgcombe", "given" : "H", "non-dropping-particle" : "", "parse-names" : false, "suffix" : "" }, { "dropping-particle" : "", "family" : "Carter", "given" : "K", "non-dropping-particle" : "", "parse-names" : false, "suffix" : "" }, { "dropping-particle" : "", "family" : "Yarrow", "given" : "S", "non-dropping-particle" : "", "parse-names" : false, "suffix" : "" } ], "container-title" : "British journal of anaesthesia", "id" : "ITEM-1", "issued" : { "date-parts" : [ [ "2008" ] ] }, "page" : "165-183", "title" : "Anaesthesia in the prone position.", "type" : "article-journal", "volume" : "100" }, "uris" : [ "http://www.mendeley.com/documents/?uuid=342a57d0-98ab-417c-bc45-68c8f94dc666" ] } ], "mendeley" : { "manualFormatting" : "(18)", "previouslyFormattedCitation" : "(15)" }, "properties" : { "noteIndex" : 0 }, "schema" : "https://github.com/citation-style-language/schema/raw/master/csl-citation.json" }</w:instrText>
      </w:r>
      <w:r w:rsidR="0098134D" w:rsidRPr="008A28E4">
        <w:rPr>
          <w:rFonts w:ascii="Book Antiqua" w:hAnsi="Book Antiqua" w:cs="Times New Roman"/>
          <w:sz w:val="24"/>
          <w:szCs w:val="24"/>
          <w:vertAlign w:val="superscript"/>
        </w:rPr>
        <w:fldChar w:fldCharType="separate"/>
      </w:r>
      <w:r w:rsidR="00742B85" w:rsidRPr="008A28E4">
        <w:rPr>
          <w:rFonts w:ascii="Book Antiqua" w:hAnsi="Book Antiqua" w:cs="Times New Roman"/>
          <w:noProof/>
          <w:sz w:val="24"/>
          <w:szCs w:val="24"/>
          <w:vertAlign w:val="superscript"/>
        </w:rPr>
        <w:t>[</w:t>
      </w:r>
      <w:r w:rsidRPr="008A28E4">
        <w:rPr>
          <w:rFonts w:ascii="Book Antiqua" w:hAnsi="Book Antiqua" w:cs="Times New Roman"/>
          <w:noProof/>
          <w:sz w:val="24"/>
          <w:szCs w:val="24"/>
          <w:vertAlign w:val="superscript"/>
        </w:rPr>
        <w:t>18</w:t>
      </w:r>
      <w:r w:rsidR="0098134D" w:rsidRPr="008A28E4">
        <w:rPr>
          <w:rFonts w:ascii="Book Antiqua" w:hAnsi="Book Antiqua" w:cs="Times New Roman"/>
          <w:sz w:val="24"/>
          <w:szCs w:val="24"/>
          <w:vertAlign w:val="superscript"/>
        </w:rPr>
        <w:fldChar w:fldCharType="end"/>
      </w:r>
      <w:r w:rsidR="00742B85" w:rsidRPr="008A28E4">
        <w:rPr>
          <w:rFonts w:ascii="Book Antiqua" w:hAnsi="Book Antiqua" w:cs="Times New Roman"/>
          <w:sz w:val="24"/>
          <w:szCs w:val="24"/>
          <w:vertAlign w:val="superscript"/>
        </w:rPr>
        <w:t>]</w:t>
      </w:r>
      <w:r w:rsidRPr="008A28E4">
        <w:rPr>
          <w:rFonts w:ascii="Book Antiqua" w:hAnsi="Book Antiqua" w:cs="Times New Roman"/>
          <w:sz w:val="24"/>
          <w:szCs w:val="24"/>
        </w:rPr>
        <w:t>. Patients with cervical spine pathology, Down’s syndrome or rheumatoid arthritis or patients with myelopathic syndromes are at the greatest risk. Post operative visual loss is an uncommon (0.2% of spinal surgeries in one review) but grave comp</w:t>
      </w:r>
      <w:r w:rsidR="0077312E" w:rsidRPr="008A28E4">
        <w:rPr>
          <w:rFonts w:ascii="Book Antiqua" w:hAnsi="Book Antiqua" w:cs="Times New Roman"/>
          <w:sz w:val="24"/>
          <w:szCs w:val="24"/>
        </w:rPr>
        <w:t>lication of prone spine surgery</w:t>
      </w:r>
      <w:r w:rsidR="00742B85" w:rsidRPr="008A28E4">
        <w:rPr>
          <w:rFonts w:ascii="Book Antiqua" w:hAnsi="Book Antiqua" w:cs="Times New Roman"/>
          <w:sz w:val="24"/>
          <w:szCs w:val="24"/>
          <w:vertAlign w:val="superscript"/>
        </w:rPr>
        <w:t>[19]</w:t>
      </w:r>
      <w:r w:rsidRPr="008A28E4">
        <w:rPr>
          <w:rFonts w:ascii="Book Antiqua" w:hAnsi="Book Antiqua" w:cs="Times New Roman"/>
          <w:sz w:val="24"/>
          <w:szCs w:val="24"/>
        </w:rPr>
        <w:t>. The ability to maintain good ventilation along with the hemodynamic stability throughout the procedure is the challenge which the anesthesiologists face. For a healthy, adequately anesthetized patient, these may be clinically insignificant; however, for those with associated co morbidities, it can be very precarious. Hence, irrespective of whether the procedure is done under general or regional anesthesia, constant vigilant monitoring during the procedure is a must. Anesthesia for PCNL cannot and should not be taken lightly.</w:t>
      </w:r>
    </w:p>
    <w:p w:rsidR="0077312E" w:rsidRPr="008A28E4" w:rsidRDefault="0077312E" w:rsidP="008A28E4">
      <w:pPr>
        <w:spacing w:after="0" w:line="360" w:lineRule="auto"/>
        <w:jc w:val="both"/>
        <w:rPr>
          <w:rFonts w:ascii="Book Antiqua" w:hAnsi="Book Antiqua" w:cs="Times New Roman"/>
          <w:sz w:val="24"/>
          <w:szCs w:val="24"/>
          <w:lang w:eastAsia="zh-CN"/>
        </w:rPr>
      </w:pPr>
    </w:p>
    <w:p w:rsidR="00C2014D" w:rsidRPr="008A28E4" w:rsidRDefault="00505DA4" w:rsidP="008A28E4">
      <w:pPr>
        <w:spacing w:after="0" w:line="360" w:lineRule="auto"/>
        <w:jc w:val="both"/>
        <w:rPr>
          <w:rFonts w:ascii="Book Antiqua" w:hAnsi="Book Antiqua" w:cs="Times New Roman"/>
          <w:sz w:val="24"/>
          <w:szCs w:val="24"/>
        </w:rPr>
      </w:pPr>
      <w:r w:rsidRPr="008A28E4">
        <w:rPr>
          <w:rFonts w:ascii="Book Antiqua" w:hAnsi="Book Antiqua" w:cs="Times New Roman"/>
          <w:b/>
          <w:sz w:val="24"/>
          <w:szCs w:val="24"/>
        </w:rPr>
        <w:t xml:space="preserve">POSITION OF PATIENT </w:t>
      </w:r>
    </w:p>
    <w:p w:rsidR="00C2014D" w:rsidRPr="008A28E4" w:rsidRDefault="00C2014D" w:rsidP="008A28E4">
      <w:pPr>
        <w:spacing w:after="0" w:line="360" w:lineRule="auto"/>
        <w:jc w:val="both"/>
        <w:rPr>
          <w:rFonts w:ascii="Book Antiqua" w:hAnsi="Book Antiqua" w:cs="Times New Roman"/>
          <w:sz w:val="24"/>
          <w:szCs w:val="24"/>
          <w:lang w:eastAsia="zh-CN"/>
        </w:rPr>
      </w:pPr>
      <w:r w:rsidRPr="008A28E4">
        <w:rPr>
          <w:rFonts w:ascii="Book Antiqua" w:hAnsi="Book Antiqua" w:cs="Times New Roman"/>
          <w:sz w:val="24"/>
          <w:szCs w:val="24"/>
        </w:rPr>
        <w:t>Care should be taken to ensure that the pressure points are properly padded and limbs are positioned in way that undue stretch, especially of the joints is avoided. This would prevent inadvertent injury and stretch of the nerves. The chest and abdomen is supported in way to ensure free movements for the pulmonary capacity is greater in the prone compared to the supine position</w:t>
      </w:r>
      <w:r w:rsidR="0098134D" w:rsidRPr="008A28E4">
        <w:rPr>
          <w:rFonts w:ascii="Book Antiqua" w:hAnsi="Book Antiqua" w:cs="Times New Roman"/>
          <w:sz w:val="24"/>
          <w:szCs w:val="24"/>
          <w:vertAlign w:val="superscript"/>
        </w:rPr>
        <w:fldChar w:fldCharType="begin" w:fldLock="1"/>
      </w:r>
      <w:r w:rsidRPr="008A28E4">
        <w:rPr>
          <w:rFonts w:ascii="Book Antiqua" w:hAnsi="Book Antiqua" w:cs="Times New Roman"/>
          <w:sz w:val="24"/>
          <w:szCs w:val="24"/>
          <w:vertAlign w:val="superscript"/>
        </w:rPr>
        <w:instrText>ADDIN CSL_CITATION { "citationItems" : [ { "id" : "ITEM-1", "itemData" : { "DOI" : "10.1093/bja/aem380", "ISBN" : "1471-6771 (Electronic)\\r0007-0912 (Linking)", "ISSN" : "1471-6771", "PMID" : "18211991", "abstract" : "Prone positioning of patients during anaesthesia is required to provide operative access for a wide variety of surgical procedures. It is associated with predictable changes in physiology but also with a number of complications, and safe use of the prone position requires an understanding of both issues. We have reviewed the development of the prone position and its variants and the physiological changes which occur on prone positioning. The complications associated with this position and the published techniques for various practical procedures in this position will be discussed. The aim of this review is to identify the risks associated with prone positioning and how these risks may be anticipated and minimized.", "author" : [ { "dropping-particle" : "", "family" : "Edgcombe", "given" : "H", "non-dropping-particle" : "", "parse-names" : false, "suffix" : "" }, { "dropping-particle" : "", "family" : "Carter", "given" : "K", "non-dropping-particle" : "", "parse-names" : false, "suffix" : "" }, { "dropping-particle" : "", "family" : "Yarrow", "given" : "S", "non-dropping-particle" : "", "parse-names" : false, "suffix" : "" } ], "container-title" : "British journal of anaesthesia", "id" : "ITEM-1", "issued" : { "date-parts" : [ [ "2008" ] ] }, "page" : "165-183", "title" : "Anaesthesia in the prone position.", "type" : "article-journal", "volume" : "100" }, "uris" : [ "http://www.mendeley.com/documents/?uuid=342a57d0-98ab-417c-bc45-68c8f94dc666" ] } ], "mendeley" : { "manualFormatting" : "(18)", "previouslyFormattedCitation" : "(15)" }, "properties" : { "noteIndex" : 0 }, "schema" : "https://github.com/citation-style-language/schema/raw/master/csl-citation.json" }</w:instrText>
      </w:r>
      <w:r w:rsidR="0098134D" w:rsidRPr="008A28E4">
        <w:rPr>
          <w:rFonts w:ascii="Book Antiqua" w:hAnsi="Book Antiqua" w:cs="Times New Roman"/>
          <w:sz w:val="24"/>
          <w:szCs w:val="24"/>
          <w:vertAlign w:val="superscript"/>
        </w:rPr>
        <w:fldChar w:fldCharType="separate"/>
      </w:r>
      <w:r w:rsidR="00742B85" w:rsidRPr="008A28E4">
        <w:rPr>
          <w:rFonts w:ascii="Book Antiqua" w:hAnsi="Book Antiqua" w:cs="Times New Roman"/>
          <w:noProof/>
          <w:sz w:val="24"/>
          <w:szCs w:val="24"/>
          <w:vertAlign w:val="superscript"/>
        </w:rPr>
        <w:t>[</w:t>
      </w:r>
      <w:r w:rsidRPr="008A28E4">
        <w:rPr>
          <w:rFonts w:ascii="Book Antiqua" w:hAnsi="Book Antiqua" w:cs="Times New Roman"/>
          <w:noProof/>
          <w:sz w:val="24"/>
          <w:szCs w:val="24"/>
          <w:vertAlign w:val="superscript"/>
        </w:rPr>
        <w:t>18</w:t>
      </w:r>
      <w:r w:rsidR="0098134D" w:rsidRPr="008A28E4">
        <w:rPr>
          <w:rFonts w:ascii="Book Antiqua" w:hAnsi="Book Antiqua" w:cs="Times New Roman"/>
          <w:sz w:val="24"/>
          <w:szCs w:val="24"/>
          <w:vertAlign w:val="superscript"/>
        </w:rPr>
        <w:fldChar w:fldCharType="end"/>
      </w:r>
      <w:r w:rsidR="00742B85" w:rsidRPr="008A28E4">
        <w:rPr>
          <w:rFonts w:ascii="Book Antiqua" w:hAnsi="Book Antiqua" w:cs="Times New Roman"/>
          <w:sz w:val="24"/>
          <w:szCs w:val="24"/>
          <w:vertAlign w:val="superscript"/>
        </w:rPr>
        <w:t>]</w:t>
      </w:r>
      <w:r w:rsidRPr="008A28E4">
        <w:rPr>
          <w:rFonts w:ascii="Book Antiqua" w:hAnsi="Book Antiqua" w:cs="Times New Roman"/>
          <w:sz w:val="24"/>
          <w:szCs w:val="24"/>
        </w:rPr>
        <w:t xml:space="preserve">. After positioning the flank is properly prepared and the unsterile areas covered with drapes </w:t>
      </w:r>
      <w:r w:rsidR="0077312E" w:rsidRPr="008A28E4">
        <w:rPr>
          <w:rFonts w:ascii="Book Antiqua" w:hAnsi="Book Antiqua" w:cs="Times New Roman"/>
          <w:sz w:val="24"/>
          <w:szCs w:val="24"/>
        </w:rPr>
        <w:t>(Figure</w:t>
      </w:r>
      <w:r w:rsidR="0077312E" w:rsidRPr="008A28E4">
        <w:rPr>
          <w:rFonts w:ascii="Book Antiqua" w:hAnsi="Book Antiqua" w:cs="Times New Roman"/>
          <w:sz w:val="24"/>
          <w:szCs w:val="24"/>
          <w:lang w:eastAsia="zh-CN"/>
        </w:rPr>
        <w:t xml:space="preserve"> </w:t>
      </w:r>
      <w:r w:rsidR="0077312E" w:rsidRPr="008A28E4">
        <w:rPr>
          <w:rFonts w:ascii="Book Antiqua" w:hAnsi="Book Antiqua" w:cs="Times New Roman"/>
          <w:sz w:val="24"/>
          <w:szCs w:val="24"/>
        </w:rPr>
        <w:t>1)</w:t>
      </w:r>
      <w:r w:rsidR="0077312E" w:rsidRPr="008A28E4">
        <w:rPr>
          <w:rFonts w:ascii="Book Antiqua" w:hAnsi="Book Antiqua" w:cs="Times New Roman"/>
          <w:sz w:val="24"/>
          <w:szCs w:val="24"/>
          <w:lang w:eastAsia="zh-CN"/>
        </w:rPr>
        <w:t>.</w:t>
      </w:r>
    </w:p>
    <w:p w:rsidR="0077312E" w:rsidRPr="008A28E4" w:rsidRDefault="0077312E" w:rsidP="008A28E4">
      <w:pPr>
        <w:pStyle w:val="ListParagraph"/>
        <w:spacing w:after="0" w:line="360" w:lineRule="auto"/>
        <w:ind w:left="0"/>
        <w:jc w:val="both"/>
        <w:rPr>
          <w:rFonts w:ascii="Book Antiqua" w:hAnsi="Book Antiqua" w:cs="Times New Roman"/>
          <w:b/>
          <w:sz w:val="24"/>
          <w:szCs w:val="24"/>
        </w:rPr>
      </w:pPr>
    </w:p>
    <w:p w:rsidR="00C2014D" w:rsidRPr="008A28E4" w:rsidRDefault="0077312E" w:rsidP="008A28E4">
      <w:pPr>
        <w:pStyle w:val="ListParagraph"/>
        <w:spacing w:after="0" w:line="360" w:lineRule="auto"/>
        <w:ind w:left="0"/>
        <w:jc w:val="both"/>
        <w:rPr>
          <w:rFonts w:ascii="Book Antiqua" w:hAnsi="Book Antiqua" w:cs="Times New Roman"/>
          <w:b/>
          <w:sz w:val="24"/>
          <w:szCs w:val="24"/>
        </w:rPr>
      </w:pPr>
      <w:r w:rsidRPr="008A28E4">
        <w:rPr>
          <w:rFonts w:ascii="Book Antiqua" w:hAnsi="Book Antiqua" w:cs="Times New Roman"/>
          <w:b/>
          <w:sz w:val="24"/>
          <w:szCs w:val="24"/>
        </w:rPr>
        <w:t>ARRANGEMENT OF TROLLEYS</w:t>
      </w:r>
    </w:p>
    <w:p w:rsidR="00C2014D" w:rsidRPr="008A28E4" w:rsidRDefault="00C2014D" w:rsidP="008A28E4">
      <w:pPr>
        <w:spacing w:after="0" w:line="360" w:lineRule="auto"/>
        <w:jc w:val="both"/>
        <w:rPr>
          <w:rFonts w:ascii="Book Antiqua" w:hAnsi="Book Antiqua" w:cs="Times New Roman"/>
          <w:sz w:val="24"/>
          <w:szCs w:val="24"/>
        </w:rPr>
      </w:pPr>
      <w:r w:rsidRPr="008A28E4">
        <w:rPr>
          <w:rFonts w:ascii="Book Antiqua" w:hAnsi="Book Antiqua" w:cs="Times New Roman"/>
          <w:sz w:val="24"/>
          <w:szCs w:val="24"/>
        </w:rPr>
        <w:t>This is as shown in the figure. This helps to have a clear view of the fluoroscopy and endo camera monitors</w:t>
      </w:r>
      <w:r w:rsidR="0077312E" w:rsidRPr="008A28E4">
        <w:rPr>
          <w:rFonts w:ascii="Book Antiqua" w:hAnsi="Book Antiqua" w:cs="Times New Roman"/>
          <w:sz w:val="24"/>
          <w:szCs w:val="24"/>
        </w:rPr>
        <w:t xml:space="preserve"> (Figure 2)</w:t>
      </w:r>
      <w:r w:rsidRPr="008A28E4">
        <w:rPr>
          <w:rFonts w:ascii="Book Antiqua" w:hAnsi="Book Antiqua" w:cs="Times New Roman"/>
          <w:sz w:val="24"/>
          <w:szCs w:val="24"/>
        </w:rPr>
        <w:t>.</w:t>
      </w:r>
    </w:p>
    <w:p w:rsidR="0077312E" w:rsidRPr="008A28E4" w:rsidRDefault="0077312E" w:rsidP="008A28E4">
      <w:pPr>
        <w:pStyle w:val="ListParagraph"/>
        <w:spacing w:after="0" w:line="360" w:lineRule="auto"/>
        <w:ind w:left="0"/>
        <w:jc w:val="both"/>
        <w:rPr>
          <w:rFonts w:ascii="Book Antiqua" w:hAnsi="Book Antiqua" w:cs="Times New Roman"/>
          <w:b/>
          <w:sz w:val="24"/>
          <w:szCs w:val="24"/>
          <w:lang w:eastAsia="zh-CN"/>
        </w:rPr>
      </w:pPr>
    </w:p>
    <w:p w:rsidR="00C2014D" w:rsidRPr="008A28E4" w:rsidRDefault="00505DA4" w:rsidP="008A28E4">
      <w:pPr>
        <w:pStyle w:val="ListParagraph"/>
        <w:spacing w:after="0" w:line="360" w:lineRule="auto"/>
        <w:ind w:left="0"/>
        <w:jc w:val="both"/>
        <w:rPr>
          <w:rFonts w:ascii="Book Antiqua" w:hAnsi="Book Antiqua" w:cs="Times New Roman"/>
          <w:b/>
          <w:sz w:val="24"/>
          <w:szCs w:val="24"/>
        </w:rPr>
      </w:pPr>
      <w:r w:rsidRPr="008A28E4">
        <w:rPr>
          <w:rFonts w:ascii="Book Antiqua" w:hAnsi="Book Antiqua" w:cs="Times New Roman"/>
          <w:b/>
          <w:sz w:val="24"/>
          <w:szCs w:val="24"/>
        </w:rPr>
        <w:t>INSTILLATION OF CONTRAST</w:t>
      </w:r>
    </w:p>
    <w:p w:rsidR="00C2014D" w:rsidRPr="008A28E4" w:rsidRDefault="00C2014D" w:rsidP="008A28E4">
      <w:pPr>
        <w:spacing w:after="0" w:line="360" w:lineRule="auto"/>
        <w:jc w:val="both"/>
        <w:rPr>
          <w:rFonts w:ascii="Book Antiqua" w:hAnsi="Book Antiqua" w:cs="Times New Roman"/>
          <w:sz w:val="24"/>
          <w:szCs w:val="24"/>
        </w:rPr>
      </w:pPr>
      <w:r w:rsidRPr="008A28E4">
        <w:rPr>
          <w:rFonts w:ascii="Book Antiqua" w:hAnsi="Book Antiqua" w:cs="Times New Roman"/>
          <w:sz w:val="24"/>
          <w:szCs w:val="24"/>
        </w:rPr>
        <w:t>Contrast is instilled via the ureteric catheter to opacify the pelvicalyceal system and identify the calyx which should be punctured .The contrast should be diluted in ratio of 1:3. The ureteric catheter, if placed in the upper pole, should be pulled down a bit so that it is in the pelvis.  This helps in proper filling of all the calyces. The contrast should be instilled slowly to prevent extravasation. There should be continuous fluoroscopy monitoring so that which calyces are filled earlier and which later can be seen and this helps to identify the posterior calyx.</w:t>
      </w:r>
    </w:p>
    <w:p w:rsidR="0077312E" w:rsidRPr="008A28E4" w:rsidRDefault="0077312E" w:rsidP="008A28E4">
      <w:pPr>
        <w:pStyle w:val="ListParagraph"/>
        <w:spacing w:after="0" w:line="360" w:lineRule="auto"/>
        <w:ind w:left="0"/>
        <w:jc w:val="both"/>
        <w:rPr>
          <w:rFonts w:ascii="Book Antiqua" w:hAnsi="Book Antiqua" w:cs="Times New Roman"/>
          <w:b/>
          <w:sz w:val="24"/>
          <w:szCs w:val="24"/>
          <w:lang w:eastAsia="zh-CN"/>
        </w:rPr>
      </w:pPr>
    </w:p>
    <w:p w:rsidR="00C2014D" w:rsidRPr="008A28E4" w:rsidRDefault="00505DA4" w:rsidP="008A28E4">
      <w:pPr>
        <w:pStyle w:val="ListParagraph"/>
        <w:spacing w:after="0" w:line="360" w:lineRule="auto"/>
        <w:ind w:left="0"/>
        <w:jc w:val="both"/>
        <w:rPr>
          <w:rFonts w:ascii="Book Antiqua" w:hAnsi="Book Antiqua" w:cs="Times New Roman"/>
          <w:b/>
          <w:sz w:val="24"/>
          <w:szCs w:val="24"/>
        </w:rPr>
      </w:pPr>
      <w:r w:rsidRPr="008A28E4">
        <w:rPr>
          <w:rFonts w:ascii="Book Antiqua" w:hAnsi="Book Antiqua" w:cs="Times New Roman"/>
          <w:b/>
          <w:sz w:val="24"/>
          <w:szCs w:val="24"/>
        </w:rPr>
        <w:t>WHICH POLE TO PUNCTURE?</w:t>
      </w:r>
    </w:p>
    <w:p w:rsidR="00C2014D" w:rsidRPr="008A28E4" w:rsidRDefault="00C2014D" w:rsidP="008A28E4">
      <w:pPr>
        <w:spacing w:after="0" w:line="360" w:lineRule="auto"/>
        <w:jc w:val="both"/>
        <w:rPr>
          <w:rFonts w:ascii="Book Antiqua" w:hAnsi="Book Antiqua" w:cs="Times New Roman"/>
          <w:sz w:val="24"/>
          <w:szCs w:val="24"/>
        </w:rPr>
      </w:pPr>
      <w:r w:rsidRPr="008A28E4">
        <w:rPr>
          <w:rFonts w:ascii="Book Antiqua" w:hAnsi="Book Antiqua" w:cs="Times New Roman"/>
          <w:sz w:val="24"/>
          <w:szCs w:val="24"/>
        </w:rPr>
        <w:t>The creation of a proper percutaneous renal access is the gateway t</w:t>
      </w:r>
      <w:r w:rsidR="00742B85" w:rsidRPr="008A28E4">
        <w:rPr>
          <w:rFonts w:ascii="Book Antiqua" w:hAnsi="Book Antiqua" w:cs="Times New Roman"/>
          <w:sz w:val="24"/>
          <w:szCs w:val="24"/>
        </w:rPr>
        <w:t>o</w:t>
      </w:r>
      <w:r w:rsidR="0077312E" w:rsidRPr="008A28E4">
        <w:rPr>
          <w:rFonts w:ascii="Book Antiqua" w:hAnsi="Book Antiqua" w:cs="Times New Roman"/>
          <w:sz w:val="24"/>
          <w:szCs w:val="24"/>
        </w:rPr>
        <w:t xml:space="preserve"> success or disaster in PCNL</w:t>
      </w:r>
      <w:r w:rsidR="00742B85" w:rsidRPr="008A28E4">
        <w:rPr>
          <w:rFonts w:ascii="Book Antiqua" w:hAnsi="Book Antiqua" w:cs="Times New Roman"/>
          <w:sz w:val="24"/>
          <w:szCs w:val="24"/>
          <w:vertAlign w:val="superscript"/>
        </w:rPr>
        <w:t>[</w:t>
      </w:r>
      <w:r w:rsidR="0077312E" w:rsidRPr="008A28E4">
        <w:rPr>
          <w:rFonts w:ascii="Book Antiqua" w:hAnsi="Book Antiqua" w:cs="Times New Roman"/>
          <w:sz w:val="24"/>
          <w:szCs w:val="24"/>
          <w:vertAlign w:val="superscript"/>
        </w:rPr>
        <w:t>10,20,</w:t>
      </w:r>
      <w:r w:rsidRPr="008A28E4">
        <w:rPr>
          <w:rFonts w:ascii="Book Antiqua" w:hAnsi="Book Antiqua" w:cs="Times New Roman"/>
          <w:sz w:val="24"/>
          <w:szCs w:val="24"/>
          <w:vertAlign w:val="superscript"/>
        </w:rPr>
        <w:t>21</w:t>
      </w:r>
      <w:r w:rsidR="00742B85" w:rsidRPr="008A28E4">
        <w:rPr>
          <w:rFonts w:ascii="Book Antiqua" w:hAnsi="Book Antiqua" w:cs="Times New Roman"/>
          <w:sz w:val="24"/>
          <w:szCs w:val="24"/>
          <w:vertAlign w:val="superscript"/>
        </w:rPr>
        <w:t>]</w:t>
      </w:r>
      <w:r w:rsidRPr="008A28E4">
        <w:rPr>
          <w:rFonts w:ascii="Book Antiqua" w:hAnsi="Book Antiqua" w:cs="Times New Roman"/>
          <w:sz w:val="24"/>
          <w:szCs w:val="24"/>
        </w:rPr>
        <w:t>.  A basic understanding of anatomy is needed to plan this. The kidneys lie on the posterior abdominal wall against the psoas muscle with their longitudinal axis parallel to the oblique course of the psoas at an angle of 13</w:t>
      </w:r>
      <w:r w:rsidR="005009F7" w:rsidRPr="008A28E4">
        <w:rPr>
          <w:rFonts w:ascii="Book Antiqua" w:hAnsi="Book Antiqua" w:cs="Times New Roman"/>
          <w:sz w:val="24"/>
          <w:szCs w:val="24"/>
        </w:rPr>
        <w:t>°</w:t>
      </w:r>
      <w:r w:rsidRPr="008A28E4">
        <w:rPr>
          <w:rFonts w:ascii="Book Antiqua" w:hAnsi="Book Antiqua" w:cs="Times New Roman"/>
          <w:sz w:val="24"/>
          <w:szCs w:val="24"/>
        </w:rPr>
        <w:t xml:space="preserve"> to</w:t>
      </w:r>
      <w:r w:rsidR="0077312E" w:rsidRPr="008A28E4">
        <w:rPr>
          <w:rFonts w:ascii="Book Antiqua" w:hAnsi="Book Antiqua" w:cs="Times New Roman"/>
          <w:sz w:val="24"/>
          <w:szCs w:val="24"/>
          <w:lang w:eastAsia="zh-CN"/>
        </w:rPr>
        <w:t xml:space="preserve"> </w:t>
      </w:r>
      <w:r w:rsidRPr="008A28E4">
        <w:rPr>
          <w:rFonts w:ascii="Book Antiqua" w:hAnsi="Book Antiqua" w:cs="Times New Roman"/>
          <w:sz w:val="24"/>
          <w:szCs w:val="24"/>
        </w:rPr>
        <w:t>30</w:t>
      </w:r>
      <w:r w:rsidR="005009F7" w:rsidRPr="008A28E4">
        <w:rPr>
          <w:rFonts w:ascii="Book Antiqua" w:hAnsi="Book Antiqua" w:cs="Times New Roman"/>
          <w:sz w:val="24"/>
          <w:szCs w:val="24"/>
        </w:rPr>
        <w:t>°</w:t>
      </w:r>
      <w:r w:rsidRPr="008A28E4">
        <w:rPr>
          <w:rFonts w:ascii="Book Antiqua" w:hAnsi="Book Antiqua" w:cs="Times New Roman"/>
          <w:sz w:val="24"/>
          <w:szCs w:val="24"/>
          <w:vertAlign w:val="superscript"/>
        </w:rPr>
        <w:t xml:space="preserve"> </w:t>
      </w:r>
      <w:r w:rsidRPr="008A28E4">
        <w:rPr>
          <w:rFonts w:ascii="Book Antiqua" w:hAnsi="Book Antiqua" w:cs="Times New Roman"/>
          <w:sz w:val="24"/>
          <w:szCs w:val="24"/>
        </w:rPr>
        <w:t>to the midline. Also, as the psoas major muscle is cone shaped, the kidneys, in their longitudinal axis have a dorsal tilt with the superior poles being more medial and more posterior than the inferior poles. As the hilar region is rotated anteriorly on the psoas muscle, the kidneys are rotated about 30</w:t>
      </w:r>
      <w:r w:rsidR="005009F7" w:rsidRPr="008A28E4">
        <w:rPr>
          <w:rFonts w:ascii="Book Antiqua" w:hAnsi="Book Antiqua" w:cs="Times New Roman"/>
          <w:sz w:val="24"/>
          <w:szCs w:val="24"/>
        </w:rPr>
        <w:t>°</w:t>
      </w:r>
      <w:r w:rsidRPr="008A28E4">
        <w:rPr>
          <w:rFonts w:ascii="Book Antiqua" w:hAnsi="Book Antiqua" w:cs="Times New Roman"/>
          <w:sz w:val="24"/>
          <w:szCs w:val="24"/>
        </w:rPr>
        <w:t xml:space="preserve"> posteriorly and hence the lateral aspect of the kidney is posterior to the medial aspect. The kidneys are also angled 30-50</w:t>
      </w:r>
      <w:r w:rsidR="005009F7" w:rsidRPr="008A28E4">
        <w:rPr>
          <w:rFonts w:ascii="Book Antiqua" w:hAnsi="Book Antiqua" w:cs="Times New Roman"/>
          <w:sz w:val="24"/>
          <w:szCs w:val="24"/>
        </w:rPr>
        <w:t>°</w:t>
      </w:r>
      <w:r w:rsidRPr="008A28E4">
        <w:rPr>
          <w:rFonts w:ascii="Book Antiqua" w:hAnsi="Book Antiqua" w:cs="Times New Roman"/>
          <w:sz w:val="24"/>
          <w:szCs w:val="24"/>
          <w:vertAlign w:val="superscript"/>
        </w:rPr>
        <w:t xml:space="preserve"> </w:t>
      </w:r>
      <w:r w:rsidRPr="008A28E4">
        <w:rPr>
          <w:rFonts w:ascii="Book Antiqua" w:hAnsi="Book Antiqua" w:cs="Times New Roman"/>
          <w:sz w:val="24"/>
          <w:szCs w:val="24"/>
        </w:rPr>
        <w:t xml:space="preserve">behind the frontal (coronal) plane with the lower </w:t>
      </w:r>
      <w:r w:rsidR="0077312E" w:rsidRPr="008A28E4">
        <w:rPr>
          <w:rFonts w:ascii="Book Antiqua" w:hAnsi="Book Antiqua" w:cs="Times New Roman"/>
          <w:sz w:val="24"/>
          <w:szCs w:val="24"/>
        </w:rPr>
        <w:t>pole anterior to the upper pole</w:t>
      </w:r>
      <w:r w:rsidR="0098134D" w:rsidRPr="008A28E4">
        <w:rPr>
          <w:rFonts w:ascii="Book Antiqua" w:hAnsi="Book Antiqua" w:cs="Times New Roman"/>
          <w:sz w:val="24"/>
          <w:szCs w:val="24"/>
          <w:vertAlign w:val="superscript"/>
        </w:rPr>
        <w:fldChar w:fldCharType="begin" w:fldLock="1"/>
      </w:r>
      <w:r w:rsidRPr="008A28E4">
        <w:rPr>
          <w:rFonts w:ascii="Book Antiqua" w:hAnsi="Book Antiqua" w:cs="Times New Roman"/>
          <w:sz w:val="24"/>
          <w:szCs w:val="24"/>
          <w:vertAlign w:val="superscript"/>
        </w:rPr>
        <w:instrText>ADDIN CSL_CITATION { "citationItems" : [ { "id" : "ITEM-1", "itemData" : { "DOI" : "10.1016/S0094-0143(05)70109-9", "ISSN" : "00940143", "PMID" : "11098758", "abstract" : "The general anatomy of the kidney as applied to minimally invasive surgery is described. The kidney morphometry, the spatial planes, and the perirenal coverings are presented. The kidney's relationship with the diaphragm, ribs, pleura, liver, spleen, and colon is described in importance of intrarenal access. The intrarenal anatomy is also described, based on a large series of three-dimensional endocasts. The anatomic relationships of the intrarenal vessels (arteries and veins) with the kidney collecting system are presented and discussed with respect to intrarenal access by puncture, for endopyelotomy and for nephron-sparing operations.", "author" : [ { "dropping-particle" : "", "family" : "Sampaio", "given" : "F J", "non-dropping-particle" : "", "parse-names" : false, "suffix" : "" } ], "container-title" : "The Urologic clinics of North America", "id" : "ITEM-1", "issued" : { "date-parts" : [ [ "2000" ] ] }, "page" : "585-607, vii", "title" : "Renal anatomy. Endourologic considerations.", "type" : "article-journal", "volume" : "27" }, "uris" : [ "http://www.mendeley.com/documents/?uuid=12e52154-2ce8-4588-9ff2-55d6fecb6957" ] } ], "mendeley" : { "manualFormatting" : "(22)", "previouslyFormattedCitation" : "(17)" }, "properties" : { "noteIndex" : 0 }, "schema" : "https://github.com/citation-style-language/schema/raw/master/csl-citation.json" }</w:instrText>
      </w:r>
      <w:r w:rsidR="0098134D" w:rsidRPr="008A28E4">
        <w:rPr>
          <w:rFonts w:ascii="Book Antiqua" w:hAnsi="Book Antiqua" w:cs="Times New Roman"/>
          <w:sz w:val="24"/>
          <w:szCs w:val="24"/>
          <w:vertAlign w:val="superscript"/>
        </w:rPr>
        <w:fldChar w:fldCharType="separate"/>
      </w:r>
      <w:r w:rsidR="00742B85" w:rsidRPr="008A28E4">
        <w:rPr>
          <w:rFonts w:ascii="Book Antiqua" w:hAnsi="Book Antiqua" w:cs="Times New Roman"/>
          <w:noProof/>
          <w:sz w:val="24"/>
          <w:szCs w:val="24"/>
          <w:vertAlign w:val="superscript"/>
        </w:rPr>
        <w:t>[</w:t>
      </w:r>
      <w:r w:rsidRPr="008A28E4">
        <w:rPr>
          <w:rFonts w:ascii="Book Antiqua" w:hAnsi="Book Antiqua" w:cs="Times New Roman"/>
          <w:noProof/>
          <w:sz w:val="24"/>
          <w:szCs w:val="24"/>
          <w:vertAlign w:val="superscript"/>
        </w:rPr>
        <w:t>22</w:t>
      </w:r>
      <w:r w:rsidR="0098134D" w:rsidRPr="008A28E4">
        <w:rPr>
          <w:rFonts w:ascii="Book Antiqua" w:hAnsi="Book Antiqua" w:cs="Times New Roman"/>
          <w:sz w:val="24"/>
          <w:szCs w:val="24"/>
          <w:vertAlign w:val="superscript"/>
        </w:rPr>
        <w:fldChar w:fldCharType="end"/>
      </w:r>
      <w:r w:rsidR="00742B85" w:rsidRPr="008A28E4">
        <w:rPr>
          <w:rFonts w:ascii="Book Antiqua" w:hAnsi="Book Antiqua" w:cs="Times New Roman"/>
          <w:sz w:val="24"/>
          <w:szCs w:val="24"/>
          <w:vertAlign w:val="superscript"/>
        </w:rPr>
        <w:t>]</w:t>
      </w:r>
      <w:r w:rsidRPr="008A28E4">
        <w:rPr>
          <w:rFonts w:ascii="Book Antiqua" w:hAnsi="Book Antiqua" w:cs="Times New Roman"/>
          <w:sz w:val="24"/>
          <w:szCs w:val="24"/>
        </w:rPr>
        <w:t>. In prone position, the pelvis tends to fall anteriorly on the psoas muscle; hence the lower pole, pelvis and the proximal end of the ureter are placed more</w:t>
      </w:r>
      <w:r w:rsidR="0077312E" w:rsidRPr="008A28E4">
        <w:rPr>
          <w:rFonts w:ascii="Book Antiqua" w:hAnsi="Book Antiqua" w:cs="Times New Roman"/>
          <w:sz w:val="24"/>
          <w:szCs w:val="24"/>
        </w:rPr>
        <w:t xml:space="preserve"> anteriorly than the upper pole</w:t>
      </w:r>
      <w:r w:rsidR="00742B85" w:rsidRPr="008A28E4">
        <w:rPr>
          <w:rFonts w:ascii="Book Antiqua" w:hAnsi="Book Antiqua" w:cs="Times New Roman"/>
          <w:sz w:val="24"/>
          <w:szCs w:val="24"/>
          <w:vertAlign w:val="superscript"/>
        </w:rPr>
        <w:t>[</w:t>
      </w:r>
      <w:r w:rsidR="0077312E" w:rsidRPr="008A28E4">
        <w:rPr>
          <w:rFonts w:ascii="Book Antiqua" w:hAnsi="Book Antiqua" w:cs="Times New Roman"/>
          <w:sz w:val="24"/>
          <w:szCs w:val="24"/>
          <w:vertAlign w:val="superscript"/>
        </w:rPr>
        <w:t>23,</w:t>
      </w:r>
      <w:r w:rsidRPr="008A28E4">
        <w:rPr>
          <w:rFonts w:ascii="Book Antiqua" w:hAnsi="Book Antiqua" w:cs="Times New Roman"/>
          <w:sz w:val="24"/>
          <w:szCs w:val="24"/>
          <w:vertAlign w:val="superscript"/>
        </w:rPr>
        <w:t>24</w:t>
      </w:r>
      <w:r w:rsidR="00742B85" w:rsidRPr="008A28E4">
        <w:rPr>
          <w:rFonts w:ascii="Book Antiqua" w:hAnsi="Book Antiqua" w:cs="Times New Roman"/>
          <w:sz w:val="24"/>
          <w:szCs w:val="24"/>
          <w:vertAlign w:val="superscript"/>
        </w:rPr>
        <w:t>]</w:t>
      </w:r>
      <w:r w:rsidRPr="008A28E4">
        <w:rPr>
          <w:rFonts w:ascii="Book Antiqua" w:hAnsi="Book Antiqua" w:cs="Times New Roman"/>
          <w:sz w:val="24"/>
          <w:szCs w:val="24"/>
        </w:rPr>
        <w:t>. The calyceal drainage of poles of the kidneys is also very important. Sampaio found that, in the cases he studied, the superior pole was drained by only one midline calyceal</w:t>
      </w:r>
      <w:r w:rsidR="0077312E" w:rsidRPr="008A28E4">
        <w:rPr>
          <w:rFonts w:ascii="Book Antiqua" w:hAnsi="Book Antiqua" w:cs="Times New Roman"/>
          <w:sz w:val="24"/>
          <w:szCs w:val="24"/>
        </w:rPr>
        <w:t xml:space="preserve"> infundibulum in 98.6% of cases</w:t>
      </w:r>
      <w:r w:rsidRPr="008A28E4">
        <w:rPr>
          <w:rFonts w:ascii="Book Antiqua" w:hAnsi="Book Antiqua" w:cs="Times New Roman"/>
          <w:sz w:val="24"/>
          <w:szCs w:val="24"/>
        </w:rPr>
        <w:t>; the inferior pole was drained by paired calyces arranged in two rows in 58% and by a single mid line calyceal infundibulum in 42% of cases and the mid pole was drained by paired calyces arranged in two rows (anterior and posterior) in 96% of cases</w:t>
      </w:r>
      <w:r w:rsidR="0098134D" w:rsidRPr="008A28E4">
        <w:rPr>
          <w:rFonts w:ascii="Book Antiqua" w:hAnsi="Book Antiqua" w:cs="Times New Roman"/>
          <w:sz w:val="24"/>
          <w:szCs w:val="24"/>
          <w:vertAlign w:val="superscript"/>
        </w:rPr>
        <w:fldChar w:fldCharType="begin" w:fldLock="1"/>
      </w:r>
      <w:r w:rsidRPr="008A28E4">
        <w:rPr>
          <w:rFonts w:ascii="Book Antiqua" w:hAnsi="Book Antiqua" w:cs="Times New Roman"/>
          <w:sz w:val="24"/>
          <w:szCs w:val="24"/>
          <w:vertAlign w:val="superscript"/>
        </w:rPr>
        <w:instrText>ADDIN CSL_CITATION { "citationItems" : [ { "id" : "ITEM-1", "itemData" : { "DOI" : "10.1016/S0094-0143(05)70109-9", "ISSN" : "00940143", "PMID" : "11098758", "abstract" : "The general anatomy of the kidney as applied to minimally invasive surgery is described. The kidney morphometry, the spatial planes, and the perirenal coverings are presented. The kidney's relationship with the diaphragm, ribs, pleura, liver, spleen, and colon is described in importance of intrarenal access. The intrarenal anatomy is also described, based on a large series of three-dimensional endocasts. The anatomic relationships of the intrarenal vessels (arteries and veins) with the kidney collecting system are presented and discussed with respect to intrarenal access by puncture, for endopyelotomy and for nephron-sparing operations.", "author" : [ { "dropping-particle" : "", "family" : "Sampaio", "given" : "F J", "non-dropping-particle" : "", "parse-names" : false, "suffix" : "" } ], "container-title" : "The Urologic clinics of North America", "id" : "ITEM-1", "issued" : { "date-parts" : [ [ "2000" ] ] }, "page" : "585-607, vii", "title" : "Renal anatomy. Endourologic considerations.", "type" : "article-journal", "volume" : "27" }, "uris" : [ "http://www.mendeley.com/documents/?uuid=12e52154-2ce8-4588-9ff2-55d6fecb6957" ] } ], "mendeley" : { "manualFormatting" : "(22)", "previouslyFormattedCitation" : "(17)" }, "properties" : { "noteIndex" : 0 }, "schema" : "https://github.com/citation-style-language/schema/raw/master/csl-citation.json" }</w:instrText>
      </w:r>
      <w:r w:rsidR="0098134D" w:rsidRPr="008A28E4">
        <w:rPr>
          <w:rFonts w:ascii="Book Antiqua" w:hAnsi="Book Antiqua" w:cs="Times New Roman"/>
          <w:sz w:val="24"/>
          <w:szCs w:val="24"/>
          <w:vertAlign w:val="superscript"/>
        </w:rPr>
        <w:fldChar w:fldCharType="separate"/>
      </w:r>
      <w:r w:rsidR="00742B85" w:rsidRPr="008A28E4">
        <w:rPr>
          <w:rFonts w:ascii="Book Antiqua" w:hAnsi="Book Antiqua" w:cs="Times New Roman"/>
          <w:noProof/>
          <w:sz w:val="24"/>
          <w:szCs w:val="24"/>
          <w:vertAlign w:val="superscript"/>
        </w:rPr>
        <w:t>[</w:t>
      </w:r>
      <w:r w:rsidRPr="008A28E4">
        <w:rPr>
          <w:rFonts w:ascii="Book Antiqua" w:hAnsi="Book Antiqua" w:cs="Times New Roman"/>
          <w:noProof/>
          <w:sz w:val="24"/>
          <w:szCs w:val="24"/>
          <w:vertAlign w:val="superscript"/>
        </w:rPr>
        <w:t>22</w:t>
      </w:r>
      <w:r w:rsidR="0098134D" w:rsidRPr="008A28E4">
        <w:rPr>
          <w:rFonts w:ascii="Book Antiqua" w:hAnsi="Book Antiqua" w:cs="Times New Roman"/>
          <w:sz w:val="24"/>
          <w:szCs w:val="24"/>
          <w:vertAlign w:val="superscript"/>
        </w:rPr>
        <w:fldChar w:fldCharType="end"/>
      </w:r>
      <w:r w:rsidR="00742B85" w:rsidRPr="008A28E4">
        <w:rPr>
          <w:rFonts w:ascii="Book Antiqua" w:hAnsi="Book Antiqua" w:cs="Times New Roman"/>
          <w:sz w:val="24"/>
          <w:szCs w:val="24"/>
          <w:vertAlign w:val="superscript"/>
        </w:rPr>
        <w:t>]</w:t>
      </w:r>
      <w:r w:rsidRPr="008A28E4">
        <w:rPr>
          <w:rFonts w:ascii="Book Antiqua" w:hAnsi="Book Antiqua" w:cs="Times New Roman"/>
          <w:sz w:val="24"/>
          <w:szCs w:val="24"/>
        </w:rPr>
        <w:t>. This has important implications for percutaneous renal access as it will be easier to access endoscopically a polar region drained by a single infundibulum, which usually has s suitable diameter, rather than a polar region drained by paired calyces. He also found that for best access to the pelvic-ureteric junction (PUJ) one should choose a pole whose calyx forms an angle of 90</w:t>
      </w:r>
      <w:r w:rsidR="005009F7" w:rsidRPr="008A28E4">
        <w:rPr>
          <w:rFonts w:ascii="Book Antiqua" w:hAnsi="Book Antiqua" w:cs="Times New Roman"/>
          <w:sz w:val="24"/>
          <w:szCs w:val="24"/>
        </w:rPr>
        <w:t>°</w:t>
      </w:r>
      <w:r w:rsidRPr="008A28E4">
        <w:rPr>
          <w:rFonts w:ascii="Book Antiqua" w:hAnsi="Book Antiqua" w:cs="Times New Roman"/>
          <w:sz w:val="24"/>
          <w:szCs w:val="24"/>
        </w:rPr>
        <w:t xml:space="preserve"> or more with the PUJ</w:t>
      </w:r>
      <w:r w:rsidR="0098134D" w:rsidRPr="008A28E4">
        <w:rPr>
          <w:rFonts w:ascii="Book Antiqua" w:hAnsi="Book Antiqua" w:cs="Times New Roman"/>
          <w:sz w:val="24"/>
          <w:szCs w:val="24"/>
          <w:vertAlign w:val="superscript"/>
        </w:rPr>
        <w:fldChar w:fldCharType="begin" w:fldLock="1"/>
      </w:r>
      <w:r w:rsidRPr="008A28E4">
        <w:rPr>
          <w:rFonts w:ascii="Book Antiqua" w:hAnsi="Book Antiqua" w:cs="Times New Roman"/>
          <w:sz w:val="24"/>
          <w:szCs w:val="24"/>
          <w:vertAlign w:val="superscript"/>
        </w:rPr>
        <w:instrText>ADDIN CSL_CITATION { "citationItems" : [ { "id" : "ITEM-1", "itemData" : { "DOI" : "10.1016/S0094-0143(05)70109-9", "ISSN" : "00940143", "PMID" : "11098758", "abstract" : "The general anatomy of the kidney as applied to minimally invasive surgery is described. The kidney morphometry, the spatial planes, and the perirenal coverings are presented. The kidney's relationship with the diaphragm, ribs, pleura, liver, spleen, and colon is described in importance of intrarenal access. The intrarenal anatomy is also described, based on a large series of three-dimensional endocasts. The anatomic relationships of the intrarenal vessels (arteries and veins) with the kidney collecting system are presented and discussed with respect to intrarenal access by puncture, for endopyelotomy and for nephron-sparing operations.", "author" : [ { "dropping-particle" : "", "family" : "Sampaio", "given" : "F J", "non-dropping-particle" : "", "parse-names" : false, "suffix" : "" } ], "container-title" : "The Urologic clinics of North America", "id" : "ITEM-1", "issued" : { "date-parts" : [ [ "2000" ] ] }, "page" : "585-607, vii", "title" : "Renal anatomy. Endourologic considerations.", "type" : "article-journal", "volume" : "27" }, "uris" : [ "http://www.mendeley.com/documents/?uuid=12e52154-2ce8-4588-9ff2-55d6fecb6957" ] } ], "mendeley" : { "manualFormatting" : "(22)", "previouslyFormattedCitation" : "(17)" }, "properties" : { "noteIndex" : 0 }, "schema" : "https://github.com/citation-style-language/schema/raw/master/csl-citation.json" }</w:instrText>
      </w:r>
      <w:r w:rsidR="0098134D" w:rsidRPr="008A28E4">
        <w:rPr>
          <w:rFonts w:ascii="Book Antiqua" w:hAnsi="Book Antiqua" w:cs="Times New Roman"/>
          <w:sz w:val="24"/>
          <w:szCs w:val="24"/>
          <w:vertAlign w:val="superscript"/>
        </w:rPr>
        <w:fldChar w:fldCharType="separate"/>
      </w:r>
      <w:r w:rsidR="00742B85" w:rsidRPr="008A28E4">
        <w:rPr>
          <w:rFonts w:ascii="Book Antiqua" w:hAnsi="Book Antiqua" w:cs="Times New Roman"/>
          <w:noProof/>
          <w:sz w:val="24"/>
          <w:szCs w:val="24"/>
          <w:vertAlign w:val="superscript"/>
        </w:rPr>
        <w:t>[</w:t>
      </w:r>
      <w:r w:rsidRPr="008A28E4">
        <w:rPr>
          <w:rFonts w:ascii="Book Antiqua" w:hAnsi="Book Antiqua" w:cs="Times New Roman"/>
          <w:noProof/>
          <w:sz w:val="24"/>
          <w:szCs w:val="24"/>
          <w:vertAlign w:val="superscript"/>
        </w:rPr>
        <w:t>22</w:t>
      </w:r>
      <w:r w:rsidR="0098134D" w:rsidRPr="008A28E4">
        <w:rPr>
          <w:rFonts w:ascii="Book Antiqua" w:hAnsi="Book Antiqua" w:cs="Times New Roman"/>
          <w:sz w:val="24"/>
          <w:szCs w:val="24"/>
          <w:vertAlign w:val="superscript"/>
        </w:rPr>
        <w:fldChar w:fldCharType="end"/>
      </w:r>
      <w:r w:rsidR="00742B85" w:rsidRPr="008A28E4">
        <w:rPr>
          <w:rFonts w:ascii="Book Antiqua" w:hAnsi="Book Antiqua" w:cs="Times New Roman"/>
          <w:sz w:val="24"/>
          <w:szCs w:val="24"/>
          <w:vertAlign w:val="superscript"/>
        </w:rPr>
        <w:t>]</w:t>
      </w:r>
      <w:r w:rsidRPr="008A28E4">
        <w:rPr>
          <w:rFonts w:ascii="Book Antiqua" w:hAnsi="Book Antiqua" w:cs="Times New Roman"/>
          <w:sz w:val="24"/>
          <w:szCs w:val="24"/>
        </w:rPr>
        <w:t>.</w:t>
      </w:r>
    </w:p>
    <w:p w:rsidR="00C2014D" w:rsidRPr="008A28E4" w:rsidRDefault="00C2014D" w:rsidP="008A28E4">
      <w:pPr>
        <w:spacing w:after="0" w:line="360" w:lineRule="auto"/>
        <w:ind w:firstLineChars="200" w:firstLine="480"/>
        <w:jc w:val="both"/>
        <w:rPr>
          <w:rFonts w:ascii="Book Antiqua" w:hAnsi="Book Antiqua" w:cs="Times New Roman"/>
          <w:sz w:val="24"/>
          <w:szCs w:val="24"/>
        </w:rPr>
      </w:pPr>
      <w:r w:rsidRPr="008A28E4">
        <w:rPr>
          <w:rFonts w:ascii="Book Antiqua" w:hAnsi="Book Antiqua" w:cs="Times New Roman"/>
          <w:sz w:val="24"/>
          <w:szCs w:val="24"/>
        </w:rPr>
        <w:t xml:space="preserve">The planning for puncture begins preoperatively by proper assessment of the imaging studies. Traditionally intravenous urography was used for functional and anatomical assessment of </w:t>
      </w:r>
      <w:r w:rsidR="0077312E" w:rsidRPr="008A28E4">
        <w:rPr>
          <w:rFonts w:ascii="Book Antiqua" w:hAnsi="Book Antiqua" w:cs="Times New Roman"/>
          <w:sz w:val="24"/>
          <w:szCs w:val="24"/>
        </w:rPr>
        <w:t>the collecting system. Nowadays</w:t>
      </w:r>
      <w:r w:rsidRPr="008A28E4">
        <w:rPr>
          <w:rFonts w:ascii="Book Antiqua" w:hAnsi="Book Antiqua" w:cs="Times New Roman"/>
          <w:sz w:val="24"/>
          <w:szCs w:val="24"/>
        </w:rPr>
        <w:t>, CT urography with coronal reconstruction is getting popular</w:t>
      </w:r>
      <w:r w:rsidR="0098134D" w:rsidRPr="008A28E4">
        <w:rPr>
          <w:rFonts w:ascii="Book Antiqua" w:hAnsi="Book Antiqua" w:cs="Times New Roman"/>
          <w:sz w:val="24"/>
          <w:szCs w:val="24"/>
          <w:vertAlign w:val="superscript"/>
        </w:rPr>
        <w:fldChar w:fldCharType="begin" w:fldLock="1"/>
      </w:r>
      <w:r w:rsidRPr="008A28E4">
        <w:rPr>
          <w:rFonts w:ascii="Book Antiqua" w:hAnsi="Book Antiqua" w:cs="Times New Roman"/>
          <w:sz w:val="24"/>
          <w:szCs w:val="24"/>
          <w:vertAlign w:val="superscript"/>
        </w:rPr>
        <w:instrText>ADDIN CSL_CITATION { "citationItems" : [ { "id" : "ITEM-1", "itemData" : { "DOI" : "10.1016/j.ucl.2006.03.003", "ISSN" : "0094-0143", "PMID" : "16829270", "abstract" : "Percutaneous renal stone surgery requires detailed imaging to define stone burden and delineate the anatomy of the kidney and nearby organs. It is also essential to carry out safe percutaneous access and to assess postoperative outcomes. The emergence of CT as the imaging modality of choice for detecting renal calculi and the ability of CT urography with or without three-dimensional reconstruction to delineate the collecting system makes this the most versatile and sensitive imaging modality for pre- and postoperative evaluation. At present, intravenous urogram continues to play an important role in the evaluation of patients considered for percutaneous nephrostolithotomy. Fluoroscopy re-mains the mainstay of intraoperative imaging, although ultrasound is a useful alternative. Selection and application of appropriate imaging modalities for patients undergoing per-cutaneous nephrostolithotomy enhances the safety and success of the procedure.", "author" : [ { "dropping-particle" : "", "family" : "Park", "given" : "Sangtae", "non-dropping-particle" : "", "parse-names" : false, "suffix" : "" }, { "dropping-particle" : "", "family" : "Pearle", "given" : "Margaret S", "non-dropping-particle" : "", "parse-names" : false, "suffix" : "" } ], "container-title" : "The Urologic clinics of North America", "id" : "ITEM-1", "issued" : { "date-parts" : [ [ "2006" ] ] }, "page" : "353-364", "title" : "Imaging for percutaneous renal access and management of renal calculi.", "type" : "article-journal", "volume" : "33" }, "uris" : [ "http://www.mendeley.com/documents/?uuid=c4ca113e-270a-4a55-a01a-54b623b4ad73" ] } ], "mendeley" : { "manualFormatting" : "(25)", "previouslyFormattedCitation" : "(18)" }, "properties" : { "noteIndex" : 0 }, "schema" : "https://github.com/citation-style-language/schema/raw/master/csl-citation.json" }</w:instrText>
      </w:r>
      <w:r w:rsidR="0098134D" w:rsidRPr="008A28E4">
        <w:rPr>
          <w:rFonts w:ascii="Book Antiqua" w:hAnsi="Book Antiqua" w:cs="Times New Roman"/>
          <w:sz w:val="24"/>
          <w:szCs w:val="24"/>
          <w:vertAlign w:val="superscript"/>
        </w:rPr>
        <w:fldChar w:fldCharType="separate"/>
      </w:r>
      <w:r w:rsidR="00742B85" w:rsidRPr="008A28E4">
        <w:rPr>
          <w:rFonts w:ascii="Book Antiqua" w:hAnsi="Book Antiqua" w:cs="Times New Roman"/>
          <w:noProof/>
          <w:sz w:val="24"/>
          <w:szCs w:val="24"/>
          <w:vertAlign w:val="superscript"/>
        </w:rPr>
        <w:t>[</w:t>
      </w:r>
      <w:r w:rsidRPr="008A28E4">
        <w:rPr>
          <w:rFonts w:ascii="Book Antiqua" w:hAnsi="Book Antiqua" w:cs="Times New Roman"/>
          <w:noProof/>
          <w:sz w:val="24"/>
          <w:szCs w:val="24"/>
          <w:vertAlign w:val="superscript"/>
        </w:rPr>
        <w:t>25</w:t>
      </w:r>
      <w:r w:rsidR="0098134D" w:rsidRPr="008A28E4">
        <w:rPr>
          <w:rFonts w:ascii="Book Antiqua" w:hAnsi="Book Antiqua" w:cs="Times New Roman"/>
          <w:sz w:val="24"/>
          <w:szCs w:val="24"/>
          <w:vertAlign w:val="superscript"/>
        </w:rPr>
        <w:fldChar w:fldCharType="end"/>
      </w:r>
      <w:r w:rsidR="00742B85" w:rsidRPr="008A28E4">
        <w:rPr>
          <w:rFonts w:ascii="Book Antiqua" w:hAnsi="Book Antiqua" w:cs="Times New Roman"/>
          <w:sz w:val="24"/>
          <w:szCs w:val="24"/>
          <w:vertAlign w:val="superscript"/>
        </w:rPr>
        <w:t>]</w:t>
      </w:r>
      <w:r w:rsidRPr="008A28E4">
        <w:rPr>
          <w:rFonts w:ascii="Book Antiqua" w:hAnsi="Book Antiqua" w:cs="Times New Roman"/>
          <w:sz w:val="24"/>
          <w:szCs w:val="24"/>
        </w:rPr>
        <w:t>. The advantages of the CT scan over intravenous urography is the ability to assess the spatial relationship of the kidney relative to the stone, depict the calyceal anatomy in 3 D format  to choose the access site, assess risk of pleural or bowel injury and even predict success of a sub costal fluoroscopic access for upper pole puncture. The preoperative detection of heptaosplenomegaly or the presence of retro renal colon allows serious complications related to tract placement to be avoided</w:t>
      </w:r>
      <w:r w:rsidR="0098134D" w:rsidRPr="008A28E4">
        <w:rPr>
          <w:rFonts w:ascii="Book Antiqua" w:hAnsi="Book Antiqua" w:cs="Times New Roman"/>
          <w:sz w:val="24"/>
          <w:szCs w:val="24"/>
          <w:vertAlign w:val="superscript"/>
        </w:rPr>
        <w:fldChar w:fldCharType="begin" w:fldLock="1"/>
      </w:r>
      <w:r w:rsidRPr="008A28E4">
        <w:rPr>
          <w:rFonts w:ascii="Book Antiqua" w:hAnsi="Book Antiqua" w:cs="Times New Roman"/>
          <w:sz w:val="24"/>
          <w:szCs w:val="24"/>
          <w:vertAlign w:val="superscript"/>
        </w:rPr>
        <w:instrText>ADDIN CSL_CITATION { "citationItems" : [ { "id" : "ITEM-1", "itemData" : { "DOI" : "10.1111/j.1464-410X.2005.05519.x", "ISBN" : "1464-4096 (Print)\\r1464-4096 (Linking)", "ISSN" : "1464-4096", "PMID" : "15892817", "abstract" : "OBJECTIVE: To assess a modified technique of multidetector computed tomographic urography (CTU) which can reproducibly and accurately map the pelvicalyceal system (PCS) and complex renal calculi, as such information is essential in choosing the optimal percutaneous approach into the PCS for safe and successful percutaneous nephrolithotomy (PCNL). PATIENTS AND METHODS: Ten consecutive patients with renal calculi underwent a modified four-detector multislice CTU with frusemide, abdominal compression and subsequent injection with contrast medium. After unenhanced CT of the abdomen, a high-resolution contrast-enhanced scan was taken through the kidneys in the pyelographic phase. Data were analysed using multiplanar reconstruction and three-dimensional (3D) reformatting. RESULTS: In 10 CTUs there were three staghorn, two diverticular, 25 calyceal, two infundibular and two renal pelvic calculi; nine showed posterior calyces and good infundibular anatomy, and provided a good map of the PCS. Seven patients had PCNL, with the remaining three having either primary extracorporeal shock wave lithotripsy or conservative management. CTU detected stones in all patients and accurately located their relation to the PCS. With reconstructed images, subjectively the 3D imaging provided an advantage over conventional imaging in optimizing nephrostomy placement. CONCLUSION: CTU with this protocol and post-processing techniques enables an accurate and confident, reproducible prediction of the site, number and size of stones in complex pelvicalyceal anatomy, optimal site(s) for placing the percutaneous track, and potential hazards when placing the track, with no significant increase in the patient's radiation burden. 3D CTU should become the standard imaging method for planning PCNL in selected patients.", "author" : [ { "dropping-particle" : "", "family" : "Thiruchelvam", "given" : "Nikesh", "non-dropping-particle" : "", "parse-names" : false, "suffix" : "" }, { "dropping-particle" : "", "family" : "Mostafid", "given" : "Hugh", "non-dropping-particle" : "", "parse-names" : false, "suffix" : "" }, { "dropping-particle" : "", "family" : "Ubhayakar", "given" : "Gaurang", "non-dropping-particle" : "", "parse-names" : false, "suffix" : "" } ], "container-title" : "BJU international", "id" : "ITEM-1", "issued" : { "date-parts" : [ [ "2005" ] ] }, "page" : "1280-1284", "title" : "Planning percutaneous nephrolithotomy using multidetector computed tomography urography, multiplanar reconstruction and three-dimensional reformatting.", "type" : "article-journal", "volume" : "95" }, "uris" : [ "http://www.mendeley.com/documents/?uuid=762db90b-8258-4601-af07-d03a4e4ce903" ] }, { "id" : "ITEM-2", "itemData" : { "DOI" : "10.2214/ajr.154.1.2104692", "ISSN" : "0361-803X", "PMID" : "2104692", "abstract" : "A posterior intercostal approach is commonly used for percutaneous access to the upper poles of the kidney. However, the safety of this approach with respect to puncturing the intervening lung, pleura, liver, and spleen with the needle has been inferred only from a small series of patients without regard to the degree of respiration. To determine the possibility of puncturing these structures, we performed CT at both maximal inspiration and expiration and with sagittal reconstructions in 43 (27 supine and 16 prone) randomly selected patients. With expiration, the needle path was such that there was little risk to the spleen and liver from an 11th-12th posterior intercostal approach. However, the chance of transgressing the lung with this approach to the kidney was 29% on the right and 14% on the left. If done during maximal inspiration, the lung would be in the path of the needle in most patients. With a 10th-11th rib posterior intercostal approach, the chance of puncturing the lung was excessive regardless of the degree of respiration used. Our results show that the primary risk from a posterior 11th-12th rib intercostal approach to the upper renal collecting system is puncture of intervening lung, a complication that can be expected to occur in from 14% to 29% of patients. The risks from a posterior 10th-11th rib intercostal approach appear prohibitive.", "author" : [ { "dropping-particle" : "", "family" : "Hopper", "given" : "K D", "non-dropping-particle" : "", "parse-names" : false, "suffix" : "" }, { "dropping-particle" : "", "family" : "Yakes", "given" : "W F", "non-dropping-particle" : "", "parse-names" : false, "suffix" : "" } ], "container-title" : "AJR. American journal of roentgenology", "id" : "ITEM-2", "issued" : { "date-parts" : [ [ "1990" ] ] }, "page" : "115-117", "title" : "The posterior intercostal approach for percutaneous renal procedures: risk of puncturing the lung, spleen, and liver as determined by CT.", "type" : "article-journal", "volume" : "154" }, "uris" : [ "http://www.mendeley.com/documents/?uuid=00b95c20-397c-4922-8426-6819419634ee" ] }, { "id" : "ITEM-3", "itemData" : { "DOI" : "10.1089/end.2009.1529", "ISSN" : "0892-7790", "PMID" : "19814578", "abstract" : "Abstract Successful percutaneous nephrolithotomy (PCNL) relies on appropriate preoperative planning and optimal percutaneous access. CT has now become the standard imaging tool for PCNL. For percutaneous renal access, CT may be used for planning access, guiding access, and in the follow-up after access. In this review, we discuss the role of each aspect for percutaneous access in PCNL. In particular, we describe the technique for gaining access using CT, a valuable method in the difficult collecting system.", "author" : [ { "dropping-particle" : "", "family" : "Ghani", "given" : "Khurshid R", "non-dropping-particle" : "", "parse-names" : false, "suffix" : "" }, { "dropping-particle" : "", "family" : "Patel", "given" : "Uday", "non-dropping-particle" : "", "parse-names" : false, "suffix" : "" }, { "dropping-particle" : "", "family" : "Anson", "given" : "Ken", "non-dropping-particle" : "", "parse-names" : false, "suffix" : "" } ], "container-title" : "Journal of endourology / Endourological Society", "id" : "ITEM-3", "issued" : { "date-parts" : [ [ "2009" ] ] }, "page" : "1633-1639", "title" : "Computed tomography for percutaneous renal access.", "type" : "article-journal", "volume" : "23" }, "uris" : [ "http://www.mendeley.com/documents/?uuid=d3228af6-fc5b-4d28-bd86-9c05824de8ec" ] }, { "id" : "ITEM-4", "itemData" : { "DOI" : "10.1016/j.urology.2007.03.079", "ISSN" : "1527-9995", "PMID" : "17826479", "abstract" : "OBJECTIVES: To retrospectively assess the usefulness of the measurements on preoperative computed tomography (CT) of patients with urinary stone disease for planning the access site using vertical angulation of the C-arm.\n\nMETHODS: Of the patients who underwent percutaneous nephrolithotomy from November 2001 to October 2006, 41 patients with superior calix access had undergone preoperative CT. The depth of the target stone (y) and the vertical distance from that point to the first rib free slice (x) were measured on CT. The limit of the ratio of x over y was accepted as 0.58, with ratios below that indicating that infracostal access could be achieved by vertical angulation of the C-arm.\n\nRESULTS: We achieved an approach to the superior calix through an infracostal access in 28 patients. The preoperative trigonometric study on CT predicted 24 of them. The stone-free rate was 92.6%, and no chest-related complications developed.\n\nCONCLUSIONS: Simple trigonometry on CT of the patients with complex stones could help endourologists in planning renal access.", "author" : [ { "dropping-particle" : "", "family" : "Bilen", "given" : "Cenk Y\u00fccel", "non-dropping-particle" : "", "parse-names" : false, "suffix" : "" }, { "dropping-particle" : "", "family" : "Ko\u00e7ak", "given" : "Burak", "non-dropping-particle" : "", "parse-names" : false, "suffix" : "" }, { "dropping-particle" : "", "family" : "Kitirci", "given" : "G\u00fcrcan", "non-dropping-particle" : "", "parse-names" : false, "suffix" : "" }, { "dropping-particle" : "", "family" : "Danaci", "given" : "Murat", "non-dropping-particle" : "", "parse-names" : false, "suffix" : "" }, { "dropping-particle" : "", "family" : "Sarikaya", "given" : "Saban", "non-dropping-particle" : "", "parse-names" : false, "suffix" : "" } ], "container-title" : "Urology", "id" : "ITEM-4", "issue" : "2", "issued" : { "date-parts" : [ [ "2007", "8" ] ] }, "page" : "242-5; discussion 245", "title" : "Simple trigonometry on computed tomography helps in planning renal access.", "type" : "article-journal", "volume" : "70" }, "uris" : [ "http://www.mendeley.com/documents/?uuid=b09ae15c-4ad2-4da2-96db-5a8dbf4ff336" ] } ], "mendeley" : { "manualFormatting" : "(26\u201329)", "previouslyFormattedCitation" : "(19\u201322)" }, "properties" : { "noteIndex" : 0 }, "schema" : "https://github.com/citation-style-language/schema/raw/master/csl-citation.json" }</w:instrText>
      </w:r>
      <w:r w:rsidR="0098134D" w:rsidRPr="008A28E4">
        <w:rPr>
          <w:rFonts w:ascii="Book Antiqua" w:hAnsi="Book Antiqua" w:cs="Times New Roman"/>
          <w:sz w:val="24"/>
          <w:szCs w:val="24"/>
          <w:vertAlign w:val="superscript"/>
        </w:rPr>
        <w:fldChar w:fldCharType="separate"/>
      </w:r>
      <w:r w:rsidR="00742B85" w:rsidRPr="008A28E4">
        <w:rPr>
          <w:rFonts w:ascii="Book Antiqua" w:hAnsi="Book Antiqua" w:cs="Times New Roman"/>
          <w:noProof/>
          <w:sz w:val="24"/>
          <w:szCs w:val="24"/>
          <w:vertAlign w:val="superscript"/>
        </w:rPr>
        <w:t>[</w:t>
      </w:r>
      <w:r w:rsidRPr="008A28E4">
        <w:rPr>
          <w:rFonts w:ascii="Book Antiqua" w:hAnsi="Book Antiqua" w:cs="Times New Roman"/>
          <w:noProof/>
          <w:sz w:val="24"/>
          <w:szCs w:val="24"/>
          <w:vertAlign w:val="superscript"/>
        </w:rPr>
        <w:t>26–29</w:t>
      </w:r>
      <w:r w:rsidR="0098134D" w:rsidRPr="008A28E4">
        <w:rPr>
          <w:rFonts w:ascii="Book Antiqua" w:hAnsi="Book Antiqua" w:cs="Times New Roman"/>
          <w:sz w:val="24"/>
          <w:szCs w:val="24"/>
          <w:vertAlign w:val="superscript"/>
        </w:rPr>
        <w:fldChar w:fldCharType="end"/>
      </w:r>
      <w:r w:rsidR="00742B85" w:rsidRPr="008A28E4">
        <w:rPr>
          <w:rFonts w:ascii="Book Antiqua" w:hAnsi="Book Antiqua" w:cs="Times New Roman"/>
          <w:sz w:val="24"/>
          <w:szCs w:val="24"/>
          <w:vertAlign w:val="superscript"/>
        </w:rPr>
        <w:t>]</w:t>
      </w:r>
      <w:r w:rsidRPr="008A28E4">
        <w:rPr>
          <w:rFonts w:ascii="Book Antiqua" w:hAnsi="Book Antiqua" w:cs="Times New Roman"/>
          <w:sz w:val="24"/>
          <w:szCs w:val="24"/>
        </w:rPr>
        <w:t xml:space="preserve">. These advantages are offset by the slightly higher cost and lack of widespread availability of multiplanar CT scans in developing countries. </w:t>
      </w:r>
    </w:p>
    <w:p w:rsidR="00C2014D" w:rsidRPr="008A28E4" w:rsidRDefault="00C2014D" w:rsidP="008A28E4">
      <w:pPr>
        <w:spacing w:after="0" w:line="360" w:lineRule="auto"/>
        <w:ind w:firstLineChars="200" w:firstLine="480"/>
        <w:jc w:val="both"/>
        <w:rPr>
          <w:rFonts w:ascii="Book Antiqua" w:hAnsi="Book Antiqua" w:cs="Times New Roman"/>
          <w:sz w:val="24"/>
          <w:szCs w:val="24"/>
        </w:rPr>
      </w:pPr>
      <w:r w:rsidRPr="008A28E4">
        <w:rPr>
          <w:rFonts w:ascii="Book Antiqua" w:hAnsi="Book Antiqua" w:cs="Times New Roman"/>
          <w:sz w:val="24"/>
          <w:szCs w:val="24"/>
        </w:rPr>
        <w:t>Whichever imaging modality is used the urologist has to select a pole for puncture which provides the straightest path along the stone axis and would provide maximum or complete stone clearance. A useful adjunct to make this decision would be to make an “outline-o-gram”. As shown in Figure 3</w:t>
      </w:r>
      <w:r w:rsidR="0077312E" w:rsidRPr="008A28E4">
        <w:rPr>
          <w:rFonts w:ascii="Book Antiqua" w:hAnsi="Book Antiqua" w:cs="Times New Roman"/>
          <w:sz w:val="24"/>
          <w:szCs w:val="24"/>
        </w:rPr>
        <w:t>A</w:t>
      </w:r>
      <w:r w:rsidRPr="008A28E4">
        <w:rPr>
          <w:rFonts w:ascii="Book Antiqua" w:hAnsi="Book Antiqua" w:cs="Times New Roman"/>
          <w:sz w:val="24"/>
          <w:szCs w:val="24"/>
        </w:rPr>
        <w:t xml:space="preserve"> there is a complete stag horn calculus. The “outline-o-gram” as shown in Figure 3</w:t>
      </w:r>
      <w:r w:rsidR="0077312E" w:rsidRPr="008A28E4">
        <w:rPr>
          <w:rFonts w:ascii="Book Antiqua" w:hAnsi="Book Antiqua" w:cs="Times New Roman"/>
          <w:sz w:val="24"/>
          <w:szCs w:val="24"/>
        </w:rPr>
        <w:t>B</w:t>
      </w:r>
      <w:r w:rsidRPr="008A28E4">
        <w:rPr>
          <w:rFonts w:ascii="Book Antiqua" w:hAnsi="Book Antiqua" w:cs="Times New Roman"/>
          <w:sz w:val="24"/>
          <w:szCs w:val="24"/>
        </w:rPr>
        <w:t xml:space="preserve"> indicates that most of the calculus can be cleared by a lower pole puncture. The mid pole calculus would need a separate puncture or use of a flexible nephroscope. Thus an “outline-o-gram” can serve as a guide to determine which pole to puncture and also to decide whether multiple tracts will be needed.</w:t>
      </w:r>
    </w:p>
    <w:p w:rsidR="0077312E" w:rsidRPr="008A28E4" w:rsidRDefault="0077312E" w:rsidP="008A28E4">
      <w:pPr>
        <w:pStyle w:val="ListParagraph"/>
        <w:spacing w:after="0" w:line="360" w:lineRule="auto"/>
        <w:ind w:left="0"/>
        <w:jc w:val="both"/>
        <w:rPr>
          <w:rFonts w:ascii="Book Antiqua" w:hAnsi="Book Antiqua" w:cs="Times New Roman"/>
          <w:b/>
          <w:sz w:val="24"/>
          <w:szCs w:val="24"/>
          <w:lang w:eastAsia="zh-CN"/>
        </w:rPr>
      </w:pPr>
    </w:p>
    <w:p w:rsidR="00C2014D" w:rsidRPr="008A28E4" w:rsidRDefault="00505DA4" w:rsidP="008A28E4">
      <w:pPr>
        <w:pStyle w:val="ListParagraph"/>
        <w:spacing w:after="0" w:line="360" w:lineRule="auto"/>
        <w:ind w:left="0"/>
        <w:jc w:val="both"/>
        <w:rPr>
          <w:rFonts w:ascii="Book Antiqua" w:hAnsi="Book Antiqua" w:cs="Times New Roman"/>
          <w:b/>
          <w:sz w:val="24"/>
          <w:szCs w:val="24"/>
        </w:rPr>
      </w:pPr>
      <w:r w:rsidRPr="008A28E4">
        <w:rPr>
          <w:rFonts w:ascii="Book Antiqua" w:hAnsi="Book Antiqua" w:cs="Times New Roman"/>
          <w:b/>
          <w:sz w:val="24"/>
          <w:szCs w:val="24"/>
        </w:rPr>
        <w:t>WHICH CALYX TO PUNCTURE?</w:t>
      </w:r>
    </w:p>
    <w:p w:rsidR="00C2014D" w:rsidRPr="008A28E4" w:rsidRDefault="00C2014D" w:rsidP="008A28E4">
      <w:pPr>
        <w:spacing w:after="0" w:line="360" w:lineRule="auto"/>
        <w:jc w:val="both"/>
        <w:rPr>
          <w:rFonts w:ascii="Book Antiqua" w:hAnsi="Book Antiqua" w:cs="Times New Roman"/>
          <w:sz w:val="24"/>
          <w:szCs w:val="24"/>
        </w:rPr>
      </w:pPr>
      <w:r w:rsidRPr="008A28E4">
        <w:rPr>
          <w:rFonts w:ascii="Book Antiqua" w:hAnsi="Book Antiqua" w:cs="Times New Roman"/>
          <w:sz w:val="24"/>
          <w:szCs w:val="24"/>
        </w:rPr>
        <w:t>The literature is clear about the fact that it should always be the posterior calyx which should be punctured for a safe and complication free access</w:t>
      </w:r>
      <w:r w:rsidR="0098134D" w:rsidRPr="008A28E4">
        <w:rPr>
          <w:rFonts w:ascii="Book Antiqua" w:hAnsi="Book Antiqua" w:cs="Times New Roman"/>
          <w:sz w:val="24"/>
          <w:szCs w:val="24"/>
          <w:vertAlign w:val="superscript"/>
        </w:rPr>
        <w:fldChar w:fldCharType="begin" w:fldLock="1"/>
      </w:r>
      <w:r w:rsidRPr="008A28E4">
        <w:rPr>
          <w:rFonts w:ascii="Book Antiqua" w:hAnsi="Book Antiqua" w:cs="Times New Roman"/>
          <w:sz w:val="24"/>
          <w:szCs w:val="24"/>
          <w:vertAlign w:val="superscript"/>
        </w:rPr>
        <w:instrText>ADDIN CSL_CITATION { "citationItems" : [ { "id" : "ITEM-1", "itemData" : { "DOI" : "10.1111/j.1464-410X.2007.07259.x", "ISSN" : "1464-410X", "PMID" : "17922862", "abstract" : "Percutaneous nephrolithotomy (PCNL) plays an integral role in managing large renal stones. Establishing percutaneous renal access is the most crucial step in the procedure and requires a thorough understanding of renal, retroperitoneal and thoracic anatomy to minimize the risk of complications. Moreover, access to fluoroscopy and the proper equipment are critical to ensuring complete stone removal. In this review we describe the technique of PCNL used in a high-volume endourology centre, where the urologist is involved in all aspects of the procedure.", "author" : [ { "dropping-particle" : "", "family" : "Ko", "given" : "Raymond", "non-dropping-particle" : "", "parse-names" : false, "suffix" : "" }, { "dropping-particle" : "", "family" : "Soucy", "given" : "Fr\u00e9d\u00e9ric", "non-dropping-particle" : "", "parse-names" : false, "suffix" : "" }, { "dropping-particle" : "", "family" : "Denstedt", "given" : "John D", "non-dropping-particle" : "", "parse-names" : false, "suffix" : "" }, { "dropping-particle" : "", "family" : "Razvi", "given" : "Hassan", "non-dropping-particle" : "", "parse-names" : false, "suffix" : "" } ], "container-title" : "BJU international", "id" : "ITEM-1", "issue" : "5", "issued" : { "date-parts" : [ [ "2008", "3" ] ] }, "page" : "535-9", "title" : "Percutaneous nephrolithotomy made easier: a practical guide, tips and tricks.", "type" : "article-journal", "volume" : "101" }, "uris" : [ "http://www.mendeley.com/documents/?uuid=7fc96e3e-32bf-4a13-b78a-8f7395776fb4" ] }, { "id" : "ITEM-2", "itemData" : { "DOI" : "10.1016/j.juro.2007.03.014", "ISSN" : "0022-5347", "PMID" : "17574053", "abstract" : "PURPOSE: Percutaneous nephrolithotomy has undergone considerable evolution since its introduction in the 1970s, which has been driven by advances in access techniques, instrumentation and endoscopic technology. Recent reports suggest an increase in the number of percutaneous stone treatments being performed. However, despite the increasing use of percutaneous nephrolithotomy a minority of urologists obtain their own access. We reviewed the techniques for performing safe and effective percutaneous renal access.\n\nMATERIALS AND METHODS: A literature search using Entrez PubMed was performed. All relevant literature concerning techniques for fluoroscopic percutaneous renal access published within the last 20 years was reviewed.\n\nRESULTS: The success of percutaneous nephrolithotomy is critically dependent on achieving suitable percutaneous access. The ideal site of percutaneous puncture should be selected to maximize the use of rigid instruments, minimize the risk of complications and attain stone-free status. Familiarity with basic renal anatomy is essential to obtain access safely. Adherence to basic principles allows the establishment of percutaneous access in a straightforward and efficient manner. Certain clinical situations may require special access techniques.\n\nCONCLUSIONS: Percutaneous nephrolithotomy is the treatment of choice for complex stone disease. While the efficacy of percutaneous nephrolithotomy relies on the establishment of effective percutaneous access, there are considerable advantages for the urologist able to achieve access.", "author" : [ { "dropping-particle" : "", "family" : "Miller", "given" : "Nicole L", "non-dropping-particle" : "", "parse-names" : false, "suffix" : "" }, { "dropping-particle" : "", "family" : "Matlaga", "given" : "Brian R", "non-dropping-particle" : "", "parse-names" : false, "suffix" : "" }, { "dropping-particle" : "", "family" : "Lingeman", "given" : "James E", "non-dropping-particle" : "", "parse-names" : false, "suffix" : "" } ], "container-title" : "The Journal of urology", "id" : "ITEM-2", "issue" : "1", "issued" : { "date-parts" : [ [ "2007", "7" ] ] }, "page" : "15-23", "title" : "Techniques for fluoroscopic percutaneous renal access.", "type" : "article-journal", "volume" : "178" }, "uris" : [ "http://www.mendeley.com/documents/?uuid=d42af0c3-4a7c-4b36-a0aa-d1e6cb0de1ae" ] } ], "mendeley" : { "manualFormatting" : "(20, 21)", "previouslyFormattedCitation" : "(23,24)" }, "properties" : { "noteIndex" : 0 }, "schema" : "https://github.com/citation-style-language/schema/raw/master/csl-citation.json" }</w:instrText>
      </w:r>
      <w:r w:rsidR="0098134D" w:rsidRPr="008A28E4">
        <w:rPr>
          <w:rFonts w:ascii="Book Antiqua" w:hAnsi="Book Antiqua" w:cs="Times New Roman"/>
          <w:sz w:val="24"/>
          <w:szCs w:val="24"/>
          <w:vertAlign w:val="superscript"/>
        </w:rPr>
        <w:fldChar w:fldCharType="separate"/>
      </w:r>
      <w:r w:rsidR="00742B85" w:rsidRPr="008A28E4">
        <w:rPr>
          <w:rFonts w:ascii="Book Antiqua" w:hAnsi="Book Antiqua" w:cs="Times New Roman"/>
          <w:noProof/>
          <w:sz w:val="24"/>
          <w:szCs w:val="24"/>
          <w:vertAlign w:val="superscript"/>
        </w:rPr>
        <w:t>[</w:t>
      </w:r>
      <w:r w:rsidR="005009F7" w:rsidRPr="008A28E4">
        <w:rPr>
          <w:rFonts w:ascii="Book Antiqua" w:hAnsi="Book Antiqua" w:cs="Times New Roman"/>
          <w:noProof/>
          <w:sz w:val="24"/>
          <w:szCs w:val="24"/>
          <w:vertAlign w:val="superscript"/>
        </w:rPr>
        <w:t>20,</w:t>
      </w:r>
      <w:r w:rsidRPr="008A28E4">
        <w:rPr>
          <w:rFonts w:ascii="Book Antiqua" w:hAnsi="Book Antiqua" w:cs="Times New Roman"/>
          <w:noProof/>
          <w:sz w:val="24"/>
          <w:szCs w:val="24"/>
          <w:vertAlign w:val="superscript"/>
        </w:rPr>
        <w:t>21</w:t>
      </w:r>
      <w:r w:rsidR="0098134D" w:rsidRPr="008A28E4">
        <w:rPr>
          <w:rFonts w:ascii="Book Antiqua" w:hAnsi="Book Antiqua" w:cs="Times New Roman"/>
          <w:sz w:val="24"/>
          <w:szCs w:val="24"/>
          <w:vertAlign w:val="superscript"/>
        </w:rPr>
        <w:fldChar w:fldCharType="end"/>
      </w:r>
      <w:r w:rsidR="00742B85" w:rsidRPr="008A28E4">
        <w:rPr>
          <w:rFonts w:ascii="Book Antiqua" w:hAnsi="Book Antiqua" w:cs="Times New Roman"/>
          <w:sz w:val="24"/>
          <w:szCs w:val="24"/>
          <w:vertAlign w:val="superscript"/>
        </w:rPr>
        <w:t>]</w:t>
      </w:r>
      <w:r w:rsidRPr="008A28E4">
        <w:rPr>
          <w:rFonts w:ascii="Book Antiqua" w:hAnsi="Book Antiqua" w:cs="Times New Roman"/>
          <w:sz w:val="24"/>
          <w:szCs w:val="24"/>
        </w:rPr>
        <w:t>.</w:t>
      </w:r>
    </w:p>
    <w:p w:rsidR="0077312E" w:rsidRPr="008A28E4" w:rsidRDefault="0077312E" w:rsidP="008A28E4">
      <w:pPr>
        <w:pStyle w:val="ListParagraph"/>
        <w:spacing w:after="0" w:line="360" w:lineRule="auto"/>
        <w:ind w:left="0"/>
        <w:jc w:val="both"/>
        <w:rPr>
          <w:rFonts w:ascii="Book Antiqua" w:hAnsi="Book Antiqua" w:cs="Times New Roman"/>
          <w:b/>
          <w:sz w:val="24"/>
          <w:szCs w:val="24"/>
          <w:lang w:eastAsia="zh-CN"/>
        </w:rPr>
      </w:pPr>
    </w:p>
    <w:p w:rsidR="00C2014D" w:rsidRPr="008A28E4" w:rsidRDefault="00505DA4" w:rsidP="008A28E4">
      <w:pPr>
        <w:pStyle w:val="ListParagraph"/>
        <w:spacing w:after="0" w:line="360" w:lineRule="auto"/>
        <w:ind w:left="0"/>
        <w:jc w:val="both"/>
        <w:rPr>
          <w:rFonts w:ascii="Book Antiqua" w:hAnsi="Book Antiqua" w:cs="Times New Roman"/>
          <w:b/>
          <w:sz w:val="24"/>
          <w:szCs w:val="24"/>
        </w:rPr>
      </w:pPr>
      <w:r w:rsidRPr="008A28E4">
        <w:rPr>
          <w:rFonts w:ascii="Book Antiqua" w:hAnsi="Book Antiqua" w:cs="Times New Roman"/>
          <w:b/>
          <w:sz w:val="24"/>
          <w:szCs w:val="24"/>
        </w:rPr>
        <w:t>WHY TO PUNCTURE THE POSTERIOR CALYX?</w:t>
      </w:r>
    </w:p>
    <w:p w:rsidR="00C2014D" w:rsidRPr="008A28E4" w:rsidRDefault="00C2014D" w:rsidP="008A28E4">
      <w:pPr>
        <w:spacing w:after="0" w:line="360" w:lineRule="auto"/>
        <w:jc w:val="both"/>
        <w:rPr>
          <w:rFonts w:ascii="Book Antiqua" w:hAnsi="Book Antiqua" w:cs="Times New Roman"/>
          <w:sz w:val="24"/>
          <w:szCs w:val="24"/>
          <w:lang w:eastAsia="zh-CN"/>
        </w:rPr>
      </w:pPr>
      <w:r w:rsidRPr="008A28E4">
        <w:rPr>
          <w:rFonts w:ascii="Book Antiqua" w:hAnsi="Book Antiqua" w:cs="Times New Roman"/>
          <w:sz w:val="24"/>
          <w:szCs w:val="24"/>
        </w:rPr>
        <w:t xml:space="preserve">A good understanding of the renal anatomy provides answer to this question. The kidney gets its blood supply from the renal artery which divides into the anterior and posterior branch. These further divide into segmental arteries which supply specific areas of the kidney as shown in the figure (Figure 4). As these arteries are end arteries, there is a zone of relative avascularity between these two divisions, called as the Brodel’s line of bloodless incision. The potential for bleeding complications is the least in this area. </w:t>
      </w:r>
      <w:r w:rsidR="0077312E" w:rsidRPr="008A28E4">
        <w:rPr>
          <w:rFonts w:ascii="Book Antiqua" w:eastAsia="Times New Roman" w:hAnsi="Book Antiqua" w:cs="Times New Roman"/>
          <w:sz w:val="24"/>
          <w:szCs w:val="24"/>
        </w:rPr>
        <w:t>Due to the renal rotation</w:t>
      </w:r>
      <w:r w:rsidRPr="008A28E4">
        <w:rPr>
          <w:rFonts w:ascii="Book Antiqua" w:eastAsia="Times New Roman" w:hAnsi="Book Antiqua" w:cs="Times New Roman"/>
          <w:sz w:val="24"/>
          <w:szCs w:val="24"/>
        </w:rPr>
        <w:t>,</w:t>
      </w:r>
      <w:r w:rsidRPr="008A28E4">
        <w:rPr>
          <w:rFonts w:ascii="Book Antiqua" w:eastAsia="Times New Roman" w:hAnsi="Book Antiqua" w:cs="Times New Roman"/>
          <w:sz w:val="24"/>
          <w:szCs w:val="24"/>
          <w:vertAlign w:val="superscript"/>
        </w:rPr>
        <w:t xml:space="preserve"> </w:t>
      </w:r>
      <w:r w:rsidRPr="008A28E4">
        <w:rPr>
          <w:rFonts w:ascii="Book Antiqua" w:eastAsia="Times New Roman" w:hAnsi="Book Antiqua" w:cs="Times New Roman"/>
          <w:sz w:val="24"/>
          <w:szCs w:val="24"/>
        </w:rPr>
        <w:t>the posterior calices are usually oriented with their long axis</w:t>
      </w:r>
      <w:r w:rsidRPr="008A28E4">
        <w:rPr>
          <w:rFonts w:ascii="Book Antiqua" w:eastAsia="Times New Roman" w:hAnsi="Book Antiqua" w:cs="Times New Roman"/>
          <w:sz w:val="24"/>
          <w:szCs w:val="24"/>
          <w:vertAlign w:val="superscript"/>
        </w:rPr>
        <w:t xml:space="preserve"> </w:t>
      </w:r>
      <w:r w:rsidRPr="008A28E4">
        <w:rPr>
          <w:rFonts w:ascii="Book Antiqua" w:eastAsia="Times New Roman" w:hAnsi="Book Antiqua" w:cs="Times New Roman"/>
          <w:sz w:val="24"/>
          <w:szCs w:val="24"/>
        </w:rPr>
        <w:t>pointing towards the Brodel’s line. Hence puncture of a posterior calyx will traverse</w:t>
      </w:r>
      <w:r w:rsidR="0077312E" w:rsidRPr="008A28E4">
        <w:rPr>
          <w:rFonts w:ascii="Book Antiqua" w:eastAsia="Times New Roman" w:hAnsi="Book Antiqua" w:cs="Times New Roman"/>
          <w:sz w:val="24"/>
          <w:szCs w:val="24"/>
        </w:rPr>
        <w:t xml:space="preserve"> this relatively avascular zone</w:t>
      </w:r>
      <w:r w:rsidR="0098134D" w:rsidRPr="008A28E4">
        <w:rPr>
          <w:rFonts w:ascii="Book Antiqua" w:eastAsia="Times New Roman" w:hAnsi="Book Antiqua" w:cs="Times New Roman"/>
          <w:sz w:val="24"/>
          <w:szCs w:val="24"/>
          <w:vertAlign w:val="superscript"/>
        </w:rPr>
        <w:fldChar w:fldCharType="begin" w:fldLock="1"/>
      </w:r>
      <w:r w:rsidRPr="008A28E4">
        <w:rPr>
          <w:rFonts w:ascii="Book Antiqua" w:eastAsia="Times New Roman" w:hAnsi="Book Antiqua" w:cs="Times New Roman"/>
          <w:sz w:val="24"/>
          <w:szCs w:val="24"/>
          <w:vertAlign w:val="superscript"/>
        </w:rPr>
        <w:instrText>ADDIN CSL_CITATION { "citationItems" : [ { "id" : "ITEM-1", "itemData" : { "PMID" : "1433604", "abstract" : "In an attempt to determine the best route to puncture and access the kidney collecting system we studied 62, 3-dimensional polyester resin endocasts of the pelvicaliceal system together with the intrarenal vessels. A retrograde pyelogram was obtained, and the arterial and venous trees were injected with red and blue resins, respectively. When the resin was still in the gel state, the kidneys were positioned at 30 to 45 degrees and the collecting system was punctured under radioscopy. Since the resin is not opaque to x-ray the operator was not able to visualize the vessels while puncturing. After puncture, the needle was maintained in place, the contrast medium was removed and the pelvicaliceal system was filled with yellow resin. After the resin had set, the renal organic matter was corroded in acid and the endocast was obtained (with the needle in the original position). This type of preparation allowed us to examine the needle tract and the vessels damaged during the puncture. In the same kidney we punctured the superior pole, mid kidney and inferior pole. In some cases we also punctured the renal pelvis. We performed 104 punctures through an infundibulum, 39 through a fornix of a calix and 12 through the renal pelvis. Due to a high percentage of vascular lesions, intrarenal access through an infundibulum should be avoided. Also, renal pelvis puncture should be avoided. Regardless of the kidney region, puncture through a fornix of a calix was safe.", "author" : [ { "dropping-particle" : "", "family" : "Sampaio", "given" : "F J", "non-dropping-particle" : "", "parse-names" : false, "suffix" : "" }, { "dropping-particle" : "", "family" : "Zanier", "given" : "J F", "non-dropping-particle" : "", "parse-names" : false, "suffix" : "" }, { "dropping-particle" : "", "family" : "Arag\u00e3o", "given" : "A H", "non-dropping-particle" : "", "parse-names" : false, "suffix" : "" }, { "dropping-particle" : "", "family" : "Favorito", "given" : "L A", "non-dropping-particle" : "", "parse-names" : false, "suffix" : "" } ], "container-title" : "The Journal of urology", "id" : "ITEM-1", "issued" : { "date-parts" : [ [ "1992" ] ] }, "page" : "1769-1773", "title" : "Intrarenal access: 3-dimensional anatomical study.", "type" : "article-journal", "volume" : "148" }, "uris" : [ "http://www.mendeley.com/documents/?uuid=77bf56fb-ba5e-4849-b928-c2d8e619d0fc" ] } ], "mendeley" : { "previouslyFormattedCitation" : "(25)" }, "properties" : { "noteIndex" : 0 }, "schema" : "https://github.com/citation-style-language/schema/raw/master/csl-citation.json" }</w:instrText>
      </w:r>
      <w:r w:rsidR="0098134D" w:rsidRPr="008A28E4">
        <w:rPr>
          <w:rFonts w:ascii="Book Antiqua" w:eastAsia="Times New Roman" w:hAnsi="Book Antiqua" w:cs="Times New Roman"/>
          <w:sz w:val="24"/>
          <w:szCs w:val="24"/>
          <w:vertAlign w:val="superscript"/>
        </w:rPr>
        <w:fldChar w:fldCharType="separate"/>
      </w:r>
      <w:r w:rsidR="00742B85" w:rsidRPr="008A28E4">
        <w:rPr>
          <w:rFonts w:ascii="Book Antiqua" w:eastAsia="Times New Roman" w:hAnsi="Book Antiqua" w:cs="Times New Roman"/>
          <w:noProof/>
          <w:sz w:val="24"/>
          <w:szCs w:val="24"/>
          <w:vertAlign w:val="superscript"/>
        </w:rPr>
        <w:t>[</w:t>
      </w:r>
      <w:r w:rsidRPr="008A28E4">
        <w:rPr>
          <w:rFonts w:ascii="Book Antiqua" w:eastAsia="Times New Roman" w:hAnsi="Book Antiqua" w:cs="Times New Roman"/>
          <w:noProof/>
          <w:sz w:val="24"/>
          <w:szCs w:val="24"/>
          <w:vertAlign w:val="superscript"/>
        </w:rPr>
        <w:t>30</w:t>
      </w:r>
      <w:r w:rsidR="0098134D" w:rsidRPr="008A28E4">
        <w:rPr>
          <w:rFonts w:ascii="Book Antiqua" w:eastAsia="Times New Roman" w:hAnsi="Book Antiqua" w:cs="Times New Roman"/>
          <w:sz w:val="24"/>
          <w:szCs w:val="24"/>
          <w:vertAlign w:val="superscript"/>
        </w:rPr>
        <w:fldChar w:fldCharType="end"/>
      </w:r>
      <w:r w:rsidR="00742B85" w:rsidRPr="008A28E4">
        <w:rPr>
          <w:rFonts w:ascii="Book Antiqua" w:eastAsia="Times New Roman" w:hAnsi="Book Antiqua" w:cs="Times New Roman"/>
          <w:sz w:val="24"/>
          <w:szCs w:val="24"/>
          <w:vertAlign w:val="superscript"/>
        </w:rPr>
        <w:t>]</w:t>
      </w:r>
      <w:r w:rsidRPr="008A28E4">
        <w:rPr>
          <w:rFonts w:ascii="Book Antiqua" w:eastAsia="Times New Roman" w:hAnsi="Book Antiqua" w:cs="Times New Roman"/>
          <w:sz w:val="24"/>
          <w:szCs w:val="24"/>
        </w:rPr>
        <w:t xml:space="preserve">. Also, as the patient is prone, it will provide the </w:t>
      </w:r>
      <w:r w:rsidR="0077312E" w:rsidRPr="008A28E4">
        <w:rPr>
          <w:rFonts w:ascii="Book Antiqua" w:eastAsia="Times New Roman" w:hAnsi="Book Antiqua" w:cs="Times New Roman"/>
          <w:sz w:val="24"/>
          <w:szCs w:val="24"/>
        </w:rPr>
        <w:t>direct path to the renal pelvis</w:t>
      </w:r>
      <w:r w:rsidRPr="008A28E4">
        <w:rPr>
          <w:rFonts w:ascii="Book Antiqua" w:eastAsia="Times New Roman" w:hAnsi="Book Antiqua" w:cs="Times New Roman"/>
          <w:sz w:val="24"/>
          <w:szCs w:val="24"/>
        </w:rPr>
        <w:t>. If an anterior calyx is punctured, there is increased risk of bleeding as it does not traverse through the Brodel’s line. More parenchyma is traversed to reach the calyx, resulting in more renal damage. Also, as there will be an acute angle between the line of puncture and the infundibulum, entry in the renal pelvis will be difficult, associated with more torque and thus increased bleeding and</w:t>
      </w:r>
      <w:r w:rsidR="0077312E" w:rsidRPr="008A28E4">
        <w:rPr>
          <w:rFonts w:ascii="Book Antiqua" w:eastAsia="Times New Roman" w:hAnsi="Book Antiqua" w:cs="Times New Roman"/>
          <w:sz w:val="24"/>
          <w:szCs w:val="24"/>
        </w:rPr>
        <w:t xml:space="preserve"> damage to the renal parenchyma</w:t>
      </w:r>
      <w:r w:rsidR="0098134D" w:rsidRPr="008A28E4">
        <w:rPr>
          <w:rFonts w:ascii="Book Antiqua" w:eastAsia="Times New Roman" w:hAnsi="Book Antiqua" w:cs="Times New Roman"/>
          <w:sz w:val="24"/>
          <w:szCs w:val="24"/>
          <w:vertAlign w:val="superscript"/>
        </w:rPr>
        <w:fldChar w:fldCharType="begin" w:fldLock="1"/>
      </w:r>
      <w:r w:rsidRPr="008A28E4">
        <w:rPr>
          <w:rFonts w:ascii="Book Antiqua" w:eastAsia="Times New Roman" w:hAnsi="Book Antiqua" w:cs="Times New Roman"/>
          <w:sz w:val="24"/>
          <w:szCs w:val="24"/>
          <w:vertAlign w:val="superscript"/>
        </w:rPr>
        <w:instrText>ADDIN CSL_CITATION { "citationItems" : [ { "id" : "ITEM-1", "itemData" : { "DOI" : "10.1111/j.1464-410X.2007.07259.x", "ISSN" : "1464-410X", "PMID" : "17922862", "abstract" : "Percutaneous nephrolithotomy (PCNL) plays an integral role in managing large renal stones. Establishing percutaneous renal access is the most crucial step in the procedure and requires a thorough understanding of renal, retroperitoneal and thoracic anatomy to minimize the risk of complications. Moreover, access to fluoroscopy and the proper equipment are critical to ensuring complete stone removal. In this review we describe the technique of PCNL used in a high-volume endourology centre, where the urologist is involved in all aspects of the procedure.", "author" : [ { "dropping-particle" : "", "family" : "Ko", "given" : "Raymond", "non-dropping-particle" : "", "parse-names" : false, "suffix" : "" }, { "dropping-particle" : "", "family" : "Soucy", "given" : "Fr\u00e9d\u00e9ric", "non-dropping-particle" : "", "parse-names" : false, "suffix" : "" }, { "dropping-particle" : "", "family" : "Denstedt", "given" : "John D", "non-dropping-particle" : "", "parse-names" : false, "suffix" : "" }, { "dropping-particle" : "", "family" : "Razvi", "given" : "Hassan", "non-dropping-particle" : "", "parse-names" : false, "suffix" : "" } ], "container-title" : "BJU international", "id" : "ITEM-1", "issue" : "5", "issued" : { "date-parts" : [ [ "2008", "3" ] ] }, "page" : "535-9", "title" : "Percutaneous nephrolithotomy made easier: a practical guide, tips and tricks.", "type" : "article-journal", "volume" : "101" }, "uris" : [ "http://www.mendeley.com/documents/?uuid=7fc96e3e-32bf-4a13-b78a-8f7395776fb4" ] }, { "id" : "ITEM-2", "itemData" : { "DOI" : "10.1016/j.juro.2007.03.014", "ISSN" : "0022-5347", "PMID" : "17574053", "abstract" : "PURPOSE: Percutaneous nephrolithotomy has undergone considerable evolution since its introduction in the 1970s, which has been driven by advances in access techniques, instrumentation and endoscopic technology. Recent reports suggest an increase in the number of percutaneous stone treatments being performed. However, despite the increasing use of percutaneous nephrolithotomy a minority of urologists obtain their own access. We reviewed the techniques for performing safe and effective percutaneous renal access.\n\nMATERIALS AND METHODS: A literature search using Entrez PubMed was performed. All relevant literature concerning techniques for fluoroscopic percutaneous renal access published within the last 20 years was reviewed.\n\nRESULTS: The success of percutaneous nephrolithotomy is critically dependent on achieving suitable percutaneous access. The ideal site of percutaneous puncture should be selected to maximize the use of rigid instruments, minimize the risk of complications and attain stone-free status. Familiarity with basic renal anatomy is essential to obtain access safely. Adherence to basic principles allows the establishment of percutaneous access in a straightforward and efficient manner. Certain clinical situations may require special access techniques.\n\nCONCLUSIONS: Percutaneous nephrolithotomy is the treatment of choice for complex stone disease. While the efficacy of percutaneous nephrolithotomy relies on the establishment of effective percutaneous access, there are considerable advantages for the urologist able to achieve access.", "author" : [ { "dropping-particle" : "", "family" : "Miller", "given" : "Nicole L", "non-dropping-particle" : "", "parse-names" : false, "suffix" : "" }, { "dropping-particle" : "", "family" : "Matlaga", "given" : "Brian R", "non-dropping-particle" : "", "parse-names" : false, "suffix" : "" }, { "dropping-particle" : "", "family" : "Lingeman", "given" : "James E", "non-dropping-particle" : "", "parse-names" : false, "suffix" : "" } ], "container-title" : "The Journal of urology", "id" : "ITEM-2", "issue" : "1", "issued" : { "date-parts" : [ [ "2007", "7" ] ] }, "page" : "15-23", "title" : "Techniques for fluoroscopic percutaneous renal access.", "type" : "article-journal", "volume" : "178" }, "uris" : [ "http://www.mendeley.com/documents/?uuid=d42af0c3-4a7c-4b36-a0aa-d1e6cb0de1ae" ] } ], "mendeley" : { "previouslyFormattedCitation" : "(23,24)" }, "properties" : { "noteIndex" : 0 }, "schema" : "https://github.com/citation-style-language/schema/raw/master/csl-citation.json" }</w:instrText>
      </w:r>
      <w:r w:rsidR="0098134D" w:rsidRPr="008A28E4">
        <w:rPr>
          <w:rFonts w:ascii="Book Antiqua" w:eastAsia="Times New Roman" w:hAnsi="Book Antiqua" w:cs="Times New Roman"/>
          <w:sz w:val="24"/>
          <w:szCs w:val="24"/>
          <w:vertAlign w:val="superscript"/>
        </w:rPr>
        <w:fldChar w:fldCharType="separate"/>
      </w:r>
      <w:r w:rsidR="00742B85" w:rsidRPr="008A28E4">
        <w:rPr>
          <w:rFonts w:ascii="Book Antiqua" w:eastAsia="Times New Roman" w:hAnsi="Book Antiqua" w:cs="Times New Roman"/>
          <w:noProof/>
          <w:sz w:val="24"/>
          <w:szCs w:val="24"/>
          <w:vertAlign w:val="superscript"/>
        </w:rPr>
        <w:t>[</w:t>
      </w:r>
      <w:r w:rsidRPr="008A28E4">
        <w:rPr>
          <w:rFonts w:ascii="Book Antiqua" w:eastAsia="Times New Roman" w:hAnsi="Book Antiqua" w:cs="Times New Roman"/>
          <w:noProof/>
          <w:sz w:val="24"/>
          <w:szCs w:val="24"/>
          <w:vertAlign w:val="superscript"/>
        </w:rPr>
        <w:t>20,21</w:t>
      </w:r>
      <w:r w:rsidR="0098134D" w:rsidRPr="008A28E4">
        <w:rPr>
          <w:rFonts w:ascii="Book Antiqua" w:eastAsia="Times New Roman" w:hAnsi="Book Antiqua" w:cs="Times New Roman"/>
          <w:sz w:val="24"/>
          <w:szCs w:val="24"/>
          <w:vertAlign w:val="superscript"/>
        </w:rPr>
        <w:fldChar w:fldCharType="end"/>
      </w:r>
      <w:r w:rsidR="00742B85" w:rsidRPr="008A28E4">
        <w:rPr>
          <w:rFonts w:ascii="Book Antiqua" w:eastAsia="Times New Roman" w:hAnsi="Book Antiqua" w:cs="Times New Roman"/>
          <w:sz w:val="24"/>
          <w:szCs w:val="24"/>
          <w:vertAlign w:val="superscript"/>
        </w:rPr>
        <w:t>]</w:t>
      </w:r>
      <w:r w:rsidRPr="008A28E4">
        <w:rPr>
          <w:rFonts w:ascii="Book Antiqua" w:eastAsia="Times New Roman" w:hAnsi="Book Antiqua" w:cs="Times New Roman"/>
          <w:sz w:val="24"/>
          <w:szCs w:val="24"/>
        </w:rPr>
        <w:t>.</w:t>
      </w:r>
    </w:p>
    <w:p w:rsidR="0077312E" w:rsidRPr="008A28E4" w:rsidRDefault="0077312E" w:rsidP="008A28E4">
      <w:pPr>
        <w:spacing w:after="0" w:line="360" w:lineRule="auto"/>
        <w:jc w:val="both"/>
        <w:rPr>
          <w:rFonts w:ascii="Book Antiqua" w:hAnsi="Book Antiqua" w:cs="Times New Roman"/>
          <w:sz w:val="24"/>
          <w:szCs w:val="24"/>
          <w:lang w:eastAsia="zh-CN"/>
        </w:rPr>
      </w:pPr>
    </w:p>
    <w:p w:rsidR="00C2014D" w:rsidRPr="008A28E4" w:rsidRDefault="00505DA4" w:rsidP="008A28E4">
      <w:pPr>
        <w:pStyle w:val="ListParagraph"/>
        <w:spacing w:after="0" w:line="360" w:lineRule="auto"/>
        <w:ind w:left="0"/>
        <w:jc w:val="both"/>
        <w:rPr>
          <w:rFonts w:ascii="Book Antiqua" w:hAnsi="Book Antiqua" w:cs="Times New Roman"/>
          <w:b/>
          <w:sz w:val="24"/>
          <w:szCs w:val="24"/>
        </w:rPr>
      </w:pPr>
      <w:r w:rsidRPr="008A28E4">
        <w:rPr>
          <w:rFonts w:ascii="Book Antiqua" w:hAnsi="Book Antiqua" w:cs="Times New Roman"/>
          <w:b/>
          <w:sz w:val="24"/>
          <w:szCs w:val="24"/>
        </w:rPr>
        <w:t>CALYCEAL ORIENTATION—WHICH CALYX IS THE POSTERIOR CALYX?</w:t>
      </w:r>
    </w:p>
    <w:p w:rsidR="00C2014D" w:rsidRPr="008A28E4" w:rsidRDefault="00C2014D" w:rsidP="008A28E4">
      <w:pPr>
        <w:pStyle w:val="ListParagraph"/>
        <w:spacing w:after="0" w:line="360" w:lineRule="auto"/>
        <w:ind w:left="0"/>
        <w:jc w:val="both"/>
        <w:rPr>
          <w:rFonts w:ascii="Book Antiqua" w:hAnsi="Book Antiqua" w:cs="Times New Roman"/>
          <w:sz w:val="24"/>
          <w:szCs w:val="24"/>
        </w:rPr>
      </w:pPr>
      <w:r w:rsidRPr="008A28E4">
        <w:rPr>
          <w:rFonts w:ascii="Book Antiqua" w:hAnsi="Book Antiqua" w:cs="Times New Roman"/>
          <w:sz w:val="24"/>
          <w:szCs w:val="24"/>
        </w:rPr>
        <w:t>The renal papillae drain into the minor calyces which may be simple or compound. There are three drainage zones, upper, middle and the lower pole. Compound calyces are the rule in upper pole, are common in the lower pole and are rare in the middle pole.</w:t>
      </w:r>
    </w:p>
    <w:p w:rsidR="0077312E" w:rsidRPr="008A28E4" w:rsidRDefault="00C2014D" w:rsidP="008A28E4">
      <w:pPr>
        <w:pStyle w:val="ListParagraph"/>
        <w:spacing w:after="0" w:line="360" w:lineRule="auto"/>
        <w:ind w:left="0"/>
        <w:jc w:val="both"/>
        <w:rPr>
          <w:rFonts w:ascii="Book Antiqua" w:hAnsi="Book Antiqua" w:cs="Times New Roman"/>
          <w:sz w:val="24"/>
          <w:szCs w:val="24"/>
          <w:lang w:eastAsia="zh-CN"/>
        </w:rPr>
      </w:pPr>
      <w:r w:rsidRPr="008A28E4">
        <w:rPr>
          <w:rFonts w:ascii="Book Antiqua" w:hAnsi="Book Antiqua" w:cs="Times New Roman"/>
          <w:sz w:val="24"/>
          <w:szCs w:val="24"/>
        </w:rPr>
        <w:t>Investigators have attempted to differentiate calyces as anterior or posterior solely on the basis of their medial or lateral orientation as seen on IVU. The available anatomical references on this aspect are contradictory, confusing and incomplete. In 1901, Brodel studied corrosion casts of 70 cadaveric kidneys. He depicted the anterior calyces as medial and posterior as lateral</w:t>
      </w:r>
      <w:r w:rsidR="0098134D" w:rsidRPr="008A28E4">
        <w:rPr>
          <w:rFonts w:ascii="Book Antiqua" w:hAnsi="Book Antiqua" w:cs="Times New Roman"/>
          <w:sz w:val="24"/>
          <w:szCs w:val="24"/>
          <w:vertAlign w:val="superscript"/>
        </w:rPr>
        <w:fldChar w:fldCharType="begin" w:fldLock="1"/>
      </w:r>
      <w:r w:rsidRPr="008A28E4">
        <w:rPr>
          <w:rFonts w:ascii="Book Antiqua" w:hAnsi="Book Antiqua" w:cs="Times New Roman"/>
          <w:sz w:val="24"/>
          <w:szCs w:val="24"/>
          <w:vertAlign w:val="superscript"/>
        </w:rPr>
        <w:instrText>ADDIN CSL_CITATION { "citationItems" : [ { "id" : "ITEM-1", "itemData" : { "DOI" : "10.1097/00005392-200010000-00003", "ISBN" : "0022-5347", "ISSN" : "0022-5347", "PMID" : "10992353", "abstract" : "PURPOSE: Max Br\u00f6del (1870-1941) is known as one of the major medical illustrators of the turn of the last century. Some important aspects of his biography and his influence on illustration in the specialty of urology are discussed. MATERIALS AND METHODS: The German artist Br\u00f6del was invited to The Johns Hopkins Hospital, Baltimore in 1894 and soon became a well-known illustrator in gynecology. He introduced new innovative art media, such as his carbon dust and stipple board technique to reproduce vivid tissue, while developing an instructive and didactic manner of medical illustration. He is also known as an anatomist and scientist, mainly for his description of an avascular area of the kidney (Br\u00f6del's bloodless line) and an improved method of nephropexy using a suture that he designed. RESULTS: In 1911 Max Br\u00f6del became head of the first Department of Art as Applied to Medicine, establishing the profession of medical illustration. In addition to some work for Hugh Hampton Young, his most important influence on urology was through his student William P. Didusch, who was a medical illustrator at the Brady Urological Institute in Baltimore for more than 40 years. CONCLUSIONS: Br\u00f6del changed the appearance of medical illustration at the beginning of the 20th century and improved its role in medical literature. Max Br\u00f6del should be referred to as the man who put art into medicine.", "author" : [ { "dropping-particle" : "", "family" : "Schultheiss", "given" : "D", "non-dropping-particle" : "", "parse-names" : false, "suffix" : "" }, { "dropping-particle" : "", "family" : "Engel", "given" : "R M", "non-dropping-particle" : "", "parse-names" : false, "suffix" : "" }, { "dropping-particle" : "", "family" : "Crosby", "given" : "R W", "non-dropping-particle" : "", "parse-names" : false, "suffix" : "" }, { "dropping-particle" : "", "family" : "Lees", "given" : "G P", "non-dropping-particle" : "", "parse-names" : false, "suffix" : "" }, { "dropping-particle" : "", "family" : "Truss", "given" : "M C", "non-dropping-particle" : "", "parse-names" : false, "suffix" : "" }, { "dropping-particle" : "", "family" : "Jonas", "given" : "U", "non-dropping-particle" : "", "parse-names" : false, "suffix" : "" } ], "container-title" : "The Journal of urology", "id" : "ITEM-1", "issued" : { "date-parts" : [ [ "2000" ] ] }, "page" : "1137-1142", "title" : "Max Br\u00f6del (1870-1941) and medical illustration in urology.", "type" : "article-journal", "volume" : "164" }, "uris" : [ "http://www.mendeley.com/documents/?uuid=8750206b-45e5-462b-887e-dd152996eba7" ] } ], "mendeley" : { "previouslyFormattedCitation" : "(26)" }, "properties" : { "noteIndex" : 0 }, "schema" : "https://github.com/citation-style-language/schema/raw/master/csl-citation.json" }</w:instrText>
      </w:r>
      <w:r w:rsidR="0098134D" w:rsidRPr="008A28E4">
        <w:rPr>
          <w:rFonts w:ascii="Book Antiqua" w:hAnsi="Book Antiqua" w:cs="Times New Roman"/>
          <w:sz w:val="24"/>
          <w:szCs w:val="24"/>
          <w:vertAlign w:val="superscript"/>
        </w:rPr>
        <w:fldChar w:fldCharType="separate"/>
      </w:r>
      <w:r w:rsidR="00742B85" w:rsidRPr="008A28E4">
        <w:rPr>
          <w:rFonts w:ascii="Book Antiqua" w:hAnsi="Book Antiqua" w:cs="Times New Roman"/>
          <w:noProof/>
          <w:sz w:val="24"/>
          <w:szCs w:val="24"/>
          <w:vertAlign w:val="superscript"/>
        </w:rPr>
        <w:t>[</w:t>
      </w:r>
      <w:r w:rsidRPr="008A28E4">
        <w:rPr>
          <w:rFonts w:ascii="Book Antiqua" w:hAnsi="Book Antiqua" w:cs="Times New Roman"/>
          <w:noProof/>
          <w:sz w:val="24"/>
          <w:szCs w:val="24"/>
          <w:vertAlign w:val="superscript"/>
        </w:rPr>
        <w:t>31</w:t>
      </w:r>
      <w:r w:rsidR="0098134D" w:rsidRPr="008A28E4">
        <w:rPr>
          <w:rFonts w:ascii="Book Antiqua" w:hAnsi="Book Antiqua" w:cs="Times New Roman"/>
          <w:sz w:val="24"/>
          <w:szCs w:val="24"/>
          <w:vertAlign w:val="superscript"/>
        </w:rPr>
        <w:fldChar w:fldCharType="end"/>
      </w:r>
      <w:r w:rsidR="00742B85" w:rsidRPr="008A28E4">
        <w:rPr>
          <w:rFonts w:ascii="Book Antiqua" w:hAnsi="Book Antiqua" w:cs="Times New Roman"/>
          <w:sz w:val="24"/>
          <w:szCs w:val="24"/>
          <w:vertAlign w:val="superscript"/>
        </w:rPr>
        <w:t>]</w:t>
      </w:r>
      <w:r w:rsidRPr="008A28E4">
        <w:rPr>
          <w:rFonts w:ascii="Book Antiqua" w:hAnsi="Book Antiqua" w:cs="Times New Roman"/>
          <w:sz w:val="24"/>
          <w:szCs w:val="24"/>
        </w:rPr>
        <w:t>. Hodson, in 1972, described exactly the opposite</w:t>
      </w:r>
      <w:r w:rsidR="00841E8F" w:rsidRPr="008A28E4">
        <w:rPr>
          <w:rFonts w:ascii="Book Antiqua" w:hAnsi="Book Antiqua" w:cs="Times New Roman"/>
          <w:sz w:val="24"/>
          <w:szCs w:val="24"/>
          <w:lang w:eastAsia="zh-CN"/>
        </w:rPr>
        <w:t>,</w:t>
      </w:r>
      <w:r w:rsidRPr="008A28E4">
        <w:rPr>
          <w:rFonts w:ascii="Book Antiqua" w:hAnsi="Book Antiqua" w:cs="Times New Roman"/>
          <w:sz w:val="24"/>
          <w:szCs w:val="24"/>
        </w:rPr>
        <w:t xml:space="preserve"> </w:t>
      </w:r>
      <w:r w:rsidRPr="008A28E4">
        <w:rPr>
          <w:rFonts w:ascii="Book Antiqua" w:hAnsi="Book Antiqua" w:cs="Times New Roman"/>
          <w:i/>
          <w:sz w:val="24"/>
          <w:szCs w:val="24"/>
        </w:rPr>
        <w:t>i.e.</w:t>
      </w:r>
      <w:r w:rsidR="00841E8F" w:rsidRPr="008A28E4">
        <w:rPr>
          <w:rFonts w:ascii="Book Antiqua" w:hAnsi="Book Antiqua" w:cs="Times New Roman"/>
          <w:i/>
          <w:sz w:val="24"/>
          <w:szCs w:val="24"/>
          <w:lang w:eastAsia="zh-CN"/>
        </w:rPr>
        <w:t>,</w:t>
      </w:r>
      <w:r w:rsidRPr="008A28E4">
        <w:rPr>
          <w:rFonts w:ascii="Book Antiqua" w:hAnsi="Book Antiqua" w:cs="Times New Roman"/>
          <w:sz w:val="24"/>
          <w:szCs w:val="24"/>
        </w:rPr>
        <w:t xml:space="preserve"> the anterior calyces  located laterally and post</w:t>
      </w:r>
      <w:r w:rsidR="0077312E" w:rsidRPr="008A28E4">
        <w:rPr>
          <w:rFonts w:ascii="Book Antiqua" w:hAnsi="Book Antiqua" w:cs="Times New Roman"/>
          <w:sz w:val="24"/>
          <w:szCs w:val="24"/>
        </w:rPr>
        <w:t>erior calyces  located medially</w:t>
      </w:r>
      <w:r w:rsidR="0098134D" w:rsidRPr="008A28E4">
        <w:rPr>
          <w:rFonts w:ascii="Book Antiqua" w:hAnsi="Book Antiqua" w:cs="Times New Roman"/>
          <w:sz w:val="24"/>
          <w:szCs w:val="24"/>
          <w:vertAlign w:val="superscript"/>
        </w:rPr>
        <w:fldChar w:fldCharType="begin" w:fldLock="1"/>
      </w:r>
      <w:r w:rsidRPr="008A28E4">
        <w:rPr>
          <w:rFonts w:ascii="Book Antiqua" w:hAnsi="Book Antiqua" w:cs="Times New Roman"/>
          <w:sz w:val="24"/>
          <w:szCs w:val="24"/>
          <w:vertAlign w:val="superscript"/>
        </w:rPr>
        <w:instrText>ADDIN CSL_CITATION { "citationItems" : [ { "id" : "ITEM-1", "itemData" : { "DOI" : "10.1007/s11191-010-9266-7", "ISBN" : "1119101092667", "ISSN" : "0926-7220", "abstract" : "The article reviews the book \"Teaching and Learning About Science: Language, Theories, Methods, History, Traditions and Value,\" by Derek Hodson.", "author" : [ { "dropping-particle" : "", "family" : "Settlage", "given" : "John", "non-dropping-particle" : "", "parse-names" : false, "suffix" : "" } ], "container-title" : "Science &amp; Education", "id" : "ITEM-1", "issued" : { "date-parts" : [ [ "2011" ] ] }, "page" : "393-396", "title" : "Derek Hodson: Teaching and Learning About Science: Language, Theories, Methods, History, Traditions and Value", "type" : "article", "volume" : "20" }, "uris" : [ "http://www.mendeley.com/documents/?uuid=2667992c-18b3-41b7-b97d-365e883558bc" ] } ], "mendeley" : { "previouslyFormattedCitation" : "(27)" }, "properties" : { "noteIndex" : 0 }, "schema" : "https://github.com/citation-style-language/schema/raw/master/csl-citation.json" }</w:instrText>
      </w:r>
      <w:r w:rsidR="0098134D" w:rsidRPr="008A28E4">
        <w:rPr>
          <w:rFonts w:ascii="Book Antiqua" w:hAnsi="Book Antiqua" w:cs="Times New Roman"/>
          <w:sz w:val="24"/>
          <w:szCs w:val="24"/>
          <w:vertAlign w:val="superscript"/>
        </w:rPr>
        <w:fldChar w:fldCharType="separate"/>
      </w:r>
      <w:r w:rsidR="00742B85" w:rsidRPr="008A28E4">
        <w:rPr>
          <w:rFonts w:ascii="Book Antiqua" w:hAnsi="Book Antiqua" w:cs="Times New Roman"/>
          <w:noProof/>
          <w:sz w:val="24"/>
          <w:szCs w:val="24"/>
          <w:vertAlign w:val="superscript"/>
        </w:rPr>
        <w:t>[</w:t>
      </w:r>
      <w:r w:rsidRPr="008A28E4">
        <w:rPr>
          <w:rFonts w:ascii="Book Antiqua" w:hAnsi="Book Antiqua" w:cs="Times New Roman"/>
          <w:noProof/>
          <w:sz w:val="24"/>
          <w:szCs w:val="24"/>
          <w:vertAlign w:val="superscript"/>
        </w:rPr>
        <w:t>32</w:t>
      </w:r>
      <w:r w:rsidR="0098134D" w:rsidRPr="008A28E4">
        <w:rPr>
          <w:rFonts w:ascii="Book Antiqua" w:hAnsi="Book Antiqua" w:cs="Times New Roman"/>
          <w:sz w:val="24"/>
          <w:szCs w:val="24"/>
          <w:vertAlign w:val="superscript"/>
        </w:rPr>
        <w:fldChar w:fldCharType="end"/>
      </w:r>
      <w:r w:rsidR="00742B85" w:rsidRPr="008A28E4">
        <w:rPr>
          <w:rFonts w:ascii="Book Antiqua" w:hAnsi="Book Antiqua" w:cs="Times New Roman"/>
          <w:sz w:val="24"/>
          <w:szCs w:val="24"/>
          <w:vertAlign w:val="superscript"/>
        </w:rPr>
        <w:t>]</w:t>
      </w:r>
      <w:r w:rsidRPr="008A28E4">
        <w:rPr>
          <w:rFonts w:ascii="Book Antiqua" w:hAnsi="Book Antiqua" w:cs="Times New Roman"/>
          <w:sz w:val="24"/>
          <w:szCs w:val="24"/>
        </w:rPr>
        <w:t>.</w:t>
      </w:r>
      <w:r w:rsidR="0077312E" w:rsidRPr="008A28E4">
        <w:rPr>
          <w:rFonts w:ascii="Book Antiqua" w:hAnsi="Book Antiqua" w:cs="Times New Roman"/>
          <w:sz w:val="24"/>
          <w:szCs w:val="24"/>
          <w:lang w:eastAsia="zh-CN"/>
        </w:rPr>
        <w:t xml:space="preserve"> </w:t>
      </w:r>
      <w:r w:rsidR="005009F7" w:rsidRPr="008A28E4">
        <w:rPr>
          <w:rFonts w:ascii="Book Antiqua" w:hAnsi="Book Antiqua" w:cs="Times New Roman"/>
          <w:sz w:val="24"/>
          <w:szCs w:val="24"/>
        </w:rPr>
        <w:t xml:space="preserve">Then, </w:t>
      </w:r>
      <w:r w:rsidRPr="008A28E4">
        <w:rPr>
          <w:rFonts w:ascii="Book Antiqua" w:hAnsi="Book Antiqua" w:cs="Times New Roman"/>
          <w:sz w:val="24"/>
          <w:szCs w:val="24"/>
        </w:rPr>
        <w:t>in 1984, Kaye and Reinke measured calyceal angles from the axial CT images. They concluded that the Brodel pattern is seen in 69% of right kidneys while 70% of left</w:t>
      </w:r>
      <w:r w:rsidR="0077312E" w:rsidRPr="008A28E4">
        <w:rPr>
          <w:rFonts w:ascii="Book Antiqua" w:hAnsi="Book Antiqua" w:cs="Times New Roman"/>
          <w:sz w:val="24"/>
          <w:szCs w:val="24"/>
        </w:rPr>
        <w:t xml:space="preserve"> kidneys have a Hodson pattern</w:t>
      </w:r>
      <w:r w:rsidR="00742B85" w:rsidRPr="008A28E4">
        <w:rPr>
          <w:rFonts w:ascii="Book Antiqua" w:hAnsi="Book Antiqua" w:cs="Times New Roman"/>
          <w:sz w:val="24"/>
          <w:szCs w:val="24"/>
          <w:vertAlign w:val="superscript"/>
        </w:rPr>
        <w:t>[</w:t>
      </w:r>
      <w:r w:rsidRPr="008A28E4">
        <w:rPr>
          <w:rFonts w:ascii="Book Antiqua" w:hAnsi="Book Antiqua" w:cs="Times New Roman"/>
          <w:sz w:val="24"/>
          <w:szCs w:val="24"/>
          <w:vertAlign w:val="superscript"/>
        </w:rPr>
        <w:t>33</w:t>
      </w:r>
      <w:r w:rsidR="00742B85" w:rsidRPr="008A28E4">
        <w:rPr>
          <w:rFonts w:ascii="Book Antiqua" w:hAnsi="Book Antiqua" w:cs="Times New Roman"/>
          <w:sz w:val="24"/>
          <w:szCs w:val="24"/>
          <w:vertAlign w:val="superscript"/>
        </w:rPr>
        <w:t>]</w:t>
      </w:r>
      <w:r w:rsidRPr="008A28E4">
        <w:rPr>
          <w:rFonts w:ascii="Book Antiqua" w:hAnsi="Book Antiqua" w:cs="Times New Roman"/>
          <w:sz w:val="24"/>
          <w:szCs w:val="24"/>
        </w:rPr>
        <w:t>. Sampaio studied 140 endocasts and found that the anterior calyces are lateral in 28%, posterior calyces are lateral in 19%, and in 53% endocasts the anterior and posterior calyces had varied positions, superimposed or alternately distributed (in one region the most lateral were the anterior calyces and in</w:t>
      </w:r>
      <w:r w:rsidR="0077312E" w:rsidRPr="008A28E4">
        <w:rPr>
          <w:rFonts w:ascii="Book Antiqua" w:hAnsi="Book Antiqua" w:cs="Times New Roman"/>
          <w:sz w:val="24"/>
          <w:szCs w:val="24"/>
        </w:rPr>
        <w:t xml:space="preserve"> another the posterior calyces)</w:t>
      </w:r>
      <w:r w:rsidR="0098134D" w:rsidRPr="008A28E4">
        <w:rPr>
          <w:rFonts w:ascii="Book Antiqua" w:hAnsi="Book Antiqua" w:cs="Times New Roman"/>
          <w:sz w:val="24"/>
          <w:szCs w:val="24"/>
          <w:vertAlign w:val="superscript"/>
        </w:rPr>
        <w:fldChar w:fldCharType="begin" w:fldLock="1"/>
      </w:r>
      <w:r w:rsidRPr="008A28E4">
        <w:rPr>
          <w:rFonts w:ascii="Book Antiqua" w:hAnsi="Book Antiqua" w:cs="Times New Roman"/>
          <w:sz w:val="24"/>
          <w:szCs w:val="24"/>
          <w:vertAlign w:val="superscript"/>
        </w:rPr>
        <w:instrText>ADDIN CSL_CITATION { "citationItems" : [ { "id" : "ITEM-1", "itemData" : { "PMID" : "3680967", "abstract" : "The kidney collector system were studied in 120 three-dimensional casts obtained by the injection-corrosion method. To the procurement of the first hundred casts, we made use of a polyester resin; however on the preparation of the last twenty we made use of a mixture containing latex and radiographic contrast as we intended to obtain, besides the casts, the roentgenograms. Two anatomic details, which have a great importance for endourology, were observed: a. the calices' cross draining the meso-renal region and the consequent inter-pelvis-calice (space (IPC) formation which is seen in the roentgenograms, b. a smaller calice which penetrates perpendicularly the surface of the renal pelvis or into the surface of a great calice. The urologists must appreciate these two anatomic structures, before the surgical procedures on the collector system.", "author" : [ { "dropping-particle" : "", "family" : "Sampaio", "given" : "F J", "non-dropping-particle" : "", "parse-names" : false, "suffix" : "" }, { "dropping-particle" : "", "family" : "Mandarim-De-Lacerda", "given" : "C A", "non-dropping-particle" : "", "parse-names" : false, "suffix" : "" }, { "dropping-particle" : "", "family" : "Arag\u00e3o", "given" : "A H", "non-dropping-particle" : "De", "parse-names" : false, "suffix" : "" } ], "container-title" : "Journal d'urologie", "id" : "ITEM-1", "issued" : { "date-parts" : [ [ "1987" ] ] }, "page" : "183-185", "title" : "The collector system of the kidney. Applied anatomy based on the analysis of 3-dimensional casts", "type" : "article-journal", "volume" : "93" }, "uris" : [ "http://www.mendeley.com/documents/?uuid=a74fc12a-018c-4c3b-94a0-9d390c971bc8" ] }, { "id" : "ITEM-2", "itemData" : { "DOI" : "10.1097/00042307-200107000-00004", "ISSN" : "0963-0643", "PMID" : "11429494", "abstract" : "The anatomy of the kidney collecting system may play a role in the selection of the best method of kidney stone treatment for a specific patient. Also, an analysis of the collecting-system anatomy would indicate the likely effectiveness of each method of treatment. For stones located in the lower pole, the clearance rate after shockwave lithotripsy has been uniformly low relative to that of calculi elsewhere. Some special anatomical findings suggest that retention of what are considered to be 'passable stone fragments' (4 mm in diameter or less) in the inferior pole might be a consequence not only of the gravity-dependent position of lower calices but also of particular anatomical features of the inferior pole collecting system. The aspects reviewed and discussed are the angle formed between the main lower infundibulum and the renal pelvis (the infundibulopelvic angle), the lower infundibula diameters, the lower infundibulum length and height, and the lower calices spatial distribution. Also, the presence of minor calices perpendicular to the surface of the collecting system and drainage of superior and inferior poles are reviewed and discussed in the context of their importance to the effectiveness of renal stone treatment.", "author" : [ { "dropping-particle" : "", "family" : "Sampaio", "given" : "F J", "non-dropping-particle" : "", "parse-names" : false, "suffix" : "" } ], "container-title" : "Current opinion in urology", "id" : "ITEM-2", "issued" : { "date-parts" : [ [ "2001" ] ] }, "page" : "359-366", "title" : "Renal collecting system anatomy: its possible role in the effectiveness of renal stone treatment.", "type" : "article-journal", "volume" : "11" }, "uris" : [ "http://www.mendeley.com/documents/?uuid=e3960111-4864-4116-a2ed-e4c0a33811c8" ] } ], "mendeley" : { "previouslyFormattedCitation" : "(29,30)" }, "properties" : { "noteIndex" : 0 }, "schema" : "https://github.com/citation-style-language/schema/raw/master/csl-citation.json" }</w:instrText>
      </w:r>
      <w:r w:rsidR="0098134D" w:rsidRPr="008A28E4">
        <w:rPr>
          <w:rFonts w:ascii="Book Antiqua" w:hAnsi="Book Antiqua" w:cs="Times New Roman"/>
          <w:sz w:val="24"/>
          <w:szCs w:val="24"/>
          <w:vertAlign w:val="superscript"/>
        </w:rPr>
        <w:fldChar w:fldCharType="separate"/>
      </w:r>
      <w:r w:rsidR="00742B85" w:rsidRPr="008A28E4">
        <w:rPr>
          <w:rFonts w:ascii="Book Antiqua" w:hAnsi="Book Antiqua" w:cs="Times New Roman"/>
          <w:noProof/>
          <w:sz w:val="24"/>
          <w:szCs w:val="24"/>
          <w:vertAlign w:val="superscript"/>
        </w:rPr>
        <w:t>[</w:t>
      </w:r>
      <w:r w:rsidR="0077312E" w:rsidRPr="008A28E4">
        <w:rPr>
          <w:rFonts w:ascii="Book Antiqua" w:hAnsi="Book Antiqua" w:cs="Times New Roman"/>
          <w:noProof/>
          <w:sz w:val="24"/>
          <w:szCs w:val="24"/>
          <w:vertAlign w:val="superscript"/>
        </w:rPr>
        <w:t>34,</w:t>
      </w:r>
      <w:r w:rsidRPr="008A28E4">
        <w:rPr>
          <w:rFonts w:ascii="Book Antiqua" w:hAnsi="Book Antiqua" w:cs="Times New Roman"/>
          <w:noProof/>
          <w:sz w:val="24"/>
          <w:szCs w:val="24"/>
          <w:vertAlign w:val="superscript"/>
        </w:rPr>
        <w:t>35</w:t>
      </w:r>
      <w:r w:rsidR="0098134D" w:rsidRPr="008A28E4">
        <w:rPr>
          <w:rFonts w:ascii="Book Antiqua" w:hAnsi="Book Antiqua" w:cs="Times New Roman"/>
          <w:sz w:val="24"/>
          <w:szCs w:val="24"/>
          <w:vertAlign w:val="superscript"/>
        </w:rPr>
        <w:fldChar w:fldCharType="end"/>
      </w:r>
      <w:r w:rsidR="00742B85" w:rsidRPr="008A28E4">
        <w:rPr>
          <w:rFonts w:ascii="Book Antiqua" w:hAnsi="Book Antiqua" w:cs="Times New Roman"/>
          <w:sz w:val="24"/>
          <w:szCs w:val="24"/>
          <w:vertAlign w:val="superscript"/>
        </w:rPr>
        <w:t>]</w:t>
      </w:r>
      <w:r w:rsidRPr="008A28E4">
        <w:rPr>
          <w:rFonts w:ascii="Book Antiqua" w:hAnsi="Book Antiqua" w:cs="Times New Roman"/>
          <w:sz w:val="24"/>
          <w:szCs w:val="24"/>
        </w:rPr>
        <w:t>. He found that the calyceal orientation was region dependent. The typical anterior and posterior pattern of the calyces i</w:t>
      </w:r>
      <w:r w:rsidR="0077312E" w:rsidRPr="008A28E4">
        <w:rPr>
          <w:rFonts w:ascii="Book Antiqua" w:hAnsi="Book Antiqua" w:cs="Times New Roman"/>
          <w:sz w:val="24"/>
          <w:szCs w:val="24"/>
        </w:rPr>
        <w:t>s seen only in the middle pole</w:t>
      </w:r>
      <w:r w:rsidR="00742B85" w:rsidRPr="008A28E4">
        <w:rPr>
          <w:rFonts w:ascii="Book Antiqua" w:hAnsi="Book Antiqua" w:cs="Times New Roman"/>
          <w:sz w:val="24"/>
          <w:szCs w:val="24"/>
          <w:vertAlign w:val="superscript"/>
        </w:rPr>
        <w:t>[</w:t>
      </w:r>
      <w:r w:rsidRPr="008A28E4">
        <w:rPr>
          <w:rFonts w:ascii="Book Antiqua" w:hAnsi="Book Antiqua" w:cs="Times New Roman"/>
          <w:sz w:val="24"/>
          <w:szCs w:val="24"/>
          <w:vertAlign w:val="superscript"/>
        </w:rPr>
        <w:t>22</w:t>
      </w:r>
      <w:r w:rsidR="00742B85" w:rsidRPr="008A28E4">
        <w:rPr>
          <w:rFonts w:ascii="Book Antiqua" w:hAnsi="Book Antiqua" w:cs="Times New Roman"/>
          <w:sz w:val="24"/>
          <w:szCs w:val="24"/>
          <w:vertAlign w:val="superscript"/>
        </w:rPr>
        <w:t>]</w:t>
      </w:r>
      <w:r w:rsidRPr="008A28E4">
        <w:rPr>
          <w:rFonts w:ascii="Book Antiqua" w:hAnsi="Book Antiqua" w:cs="Times New Roman"/>
          <w:sz w:val="24"/>
          <w:szCs w:val="24"/>
        </w:rPr>
        <w:t xml:space="preserve">. The lower pole has this arrangement in only 58% cases while the upper pole almost uniformly </w:t>
      </w:r>
      <w:r w:rsidR="0077312E" w:rsidRPr="008A28E4">
        <w:rPr>
          <w:rFonts w:ascii="Book Antiqua" w:hAnsi="Book Antiqua" w:cs="Times New Roman"/>
          <w:sz w:val="24"/>
          <w:szCs w:val="24"/>
        </w:rPr>
        <w:t>has a compound calyceal system</w:t>
      </w:r>
      <w:r w:rsidR="00742B85" w:rsidRPr="008A28E4">
        <w:rPr>
          <w:rFonts w:ascii="Book Antiqua" w:hAnsi="Book Antiqua" w:cs="Times New Roman"/>
          <w:sz w:val="24"/>
          <w:szCs w:val="24"/>
          <w:vertAlign w:val="superscript"/>
        </w:rPr>
        <w:t>[</w:t>
      </w:r>
      <w:r w:rsidRPr="008A28E4">
        <w:rPr>
          <w:rFonts w:ascii="Book Antiqua" w:hAnsi="Book Antiqua" w:cs="Times New Roman"/>
          <w:sz w:val="24"/>
          <w:szCs w:val="24"/>
          <w:vertAlign w:val="superscript"/>
        </w:rPr>
        <w:t>22</w:t>
      </w:r>
      <w:r w:rsidR="00742B85" w:rsidRPr="008A28E4">
        <w:rPr>
          <w:rFonts w:ascii="Book Antiqua" w:hAnsi="Book Antiqua" w:cs="Times New Roman"/>
          <w:sz w:val="24"/>
          <w:szCs w:val="24"/>
          <w:vertAlign w:val="superscript"/>
        </w:rPr>
        <w:t>]</w:t>
      </w:r>
      <w:r w:rsidRPr="008A28E4">
        <w:rPr>
          <w:rFonts w:ascii="Book Antiqua" w:hAnsi="Book Antiqua" w:cs="Times New Roman"/>
          <w:sz w:val="24"/>
          <w:szCs w:val="24"/>
        </w:rPr>
        <w:t>. This implies that in the lower and upper pole the calyces are dominantly oriented in the direction of their respective poles. This has been further studied by 3D CT renderings which have also looked at the primary plane of the calyceal group. Miller et al found that in the upper pole the primary plane of the calyc</w:t>
      </w:r>
      <w:r w:rsidR="005009F7" w:rsidRPr="008A28E4">
        <w:rPr>
          <w:rFonts w:ascii="Book Antiqua" w:hAnsi="Book Antiqua" w:cs="Times New Roman"/>
          <w:sz w:val="24"/>
          <w:szCs w:val="24"/>
        </w:rPr>
        <w:t>es in the upper pole was Medial/</w:t>
      </w:r>
      <w:r w:rsidRPr="008A28E4">
        <w:rPr>
          <w:rFonts w:ascii="Book Antiqua" w:hAnsi="Book Antiqua" w:cs="Times New Roman"/>
          <w:sz w:val="24"/>
          <w:szCs w:val="24"/>
        </w:rPr>
        <w:t>Lateral and generally neutral relative to the anteroposterior axis of the kidney. As the upper pole is more posterior in the prone position, access via any calyx would provide a working tract that parallels the longitudinal axis of the kidney. This would mean access via an angle which would allow rigid instruments to reach mos</w:t>
      </w:r>
      <w:r w:rsidR="005009F7" w:rsidRPr="008A28E4">
        <w:rPr>
          <w:rFonts w:ascii="Book Antiqua" w:hAnsi="Book Antiqua" w:cs="Times New Roman"/>
          <w:sz w:val="24"/>
          <w:szCs w:val="24"/>
        </w:rPr>
        <w:t>t of the calyces in the kidney</w:t>
      </w:r>
      <w:r w:rsidR="00742B85" w:rsidRPr="008A28E4">
        <w:rPr>
          <w:rFonts w:ascii="Book Antiqua" w:hAnsi="Book Antiqua" w:cs="Times New Roman"/>
          <w:sz w:val="24"/>
          <w:szCs w:val="24"/>
          <w:vertAlign w:val="superscript"/>
        </w:rPr>
        <w:t>[</w:t>
      </w:r>
      <w:r w:rsidRPr="008A28E4">
        <w:rPr>
          <w:rFonts w:ascii="Book Antiqua" w:hAnsi="Book Antiqua" w:cs="Times New Roman"/>
          <w:sz w:val="24"/>
          <w:szCs w:val="24"/>
          <w:vertAlign w:val="superscript"/>
        </w:rPr>
        <w:t>17</w:t>
      </w:r>
      <w:r w:rsidR="00742B85" w:rsidRPr="008A28E4">
        <w:rPr>
          <w:rFonts w:ascii="Book Antiqua" w:hAnsi="Book Antiqua" w:cs="Times New Roman"/>
          <w:sz w:val="24"/>
          <w:szCs w:val="24"/>
          <w:vertAlign w:val="superscript"/>
        </w:rPr>
        <w:t>]</w:t>
      </w:r>
      <w:r w:rsidRPr="008A28E4">
        <w:rPr>
          <w:rFonts w:ascii="Book Antiqua" w:hAnsi="Book Antiqua" w:cs="Times New Roman"/>
          <w:sz w:val="24"/>
          <w:szCs w:val="24"/>
        </w:rPr>
        <w:t>. However, preferably the lateral most calyx should be punctured in the upper pole as puncturing a medial calyx is associated with significant risk of causing injury to the posterior segmental artery</w:t>
      </w:r>
      <w:r w:rsidR="0098134D" w:rsidRPr="008A28E4">
        <w:rPr>
          <w:rFonts w:ascii="Book Antiqua" w:hAnsi="Book Antiqua" w:cs="Times New Roman"/>
          <w:sz w:val="24"/>
          <w:szCs w:val="24"/>
          <w:vertAlign w:val="superscript"/>
        </w:rPr>
        <w:fldChar w:fldCharType="begin" w:fldLock="1"/>
      </w:r>
      <w:r w:rsidRPr="008A28E4">
        <w:rPr>
          <w:rFonts w:ascii="Book Antiqua" w:hAnsi="Book Antiqua" w:cs="Times New Roman"/>
          <w:sz w:val="24"/>
          <w:szCs w:val="24"/>
          <w:vertAlign w:val="superscript"/>
        </w:rPr>
        <w:instrText>ADDIN CSL_CITATION { "citationItems" : [ { "id" : "ITEM-1", "itemData" : { "DOI" : "10.4111/kju.2010.51.5.298", "ISSN" : "2005-6745", "PMID" : "20495691", "abstract" : "With the development of techniques for percutaneous access and equipment to disintegrate calculi, percutaneous nephroscopic surgery is currently used by many urologists and is the procedure of choice for the removal of large renal calculi and the management of diverticula, intrarenal strictures, and urothelial cancer. Although it is more invasive than shock wave lithotripsy and retrograde ureteroscopic surgery, percutaneous nephroscopic surgery has been successfully performed with high efficiency and low morbidity in difficult renal anatomies and patient conditions. These advantages of minimal invasiveness were rapidly perceived and applied to the management of ureteropelvic junction obstruction, calyceal diverticulum, infundibular stenosis, and urothelial cancer. The basic principle of endopyelotomy is a full-thickness incision of the narrow segment followed by prolonged stenting and drainage to allow regeneration of an adequate caliber ureter. The preferred technique for a calyceal diverticulum continues to be debated. Excellent long-term success has been reported with percutaneous, ureteroscopic, and laparoscopic techniques. Each approach is based on the location and size of the diverticulum. So far, percutaneous ablation of the calyceal diverticulum is the most established minimally invasive technique. Infundibular stenosis is an acquired condition usually associated with inflammation or stones. Reported series of percutaneously treated infundibular stenosis are few. In contrast with a calyceal diverticulum, infundibular stenosis is a more difficult entity to treat with only a 50-76% success rate by percutaneous techniques. Currently, percutaneous nephroscopic resection of transitional cell carcinoma in the renal calyx can be applied in indicated cases.", "author" : [ { "dropping-particle" : "", "family" : "Hwang", "given" : "Tae-Kon", "non-dropping-particle" : "", "parse-names" : false, "suffix" : "" } ], "container-title" : "Korean journal of urology", "id" : "ITEM-1", "issue" : "5", "issued" : { "date-parts" : [ [ "2010", "5" ] ] }, "page" : "298-307", "title" : "Percutaneous nephroscopic surgery.", "type" : "article-journal", "volume" : "51" }, "uris" : [ "http://www.mendeley.com/documents/?uuid=8b836239-f788-4bc8-9a1c-b15fb43f585a" ] } ], "mendeley" : { "previouslyFormattedCitation" : "(31)" }, "properties" : { "noteIndex" : 0 }, "schema" : "https://github.com/citation-style-language/schema/raw/master/csl-citation.json" }</w:instrText>
      </w:r>
      <w:r w:rsidR="0098134D" w:rsidRPr="008A28E4">
        <w:rPr>
          <w:rFonts w:ascii="Book Antiqua" w:hAnsi="Book Antiqua" w:cs="Times New Roman"/>
          <w:sz w:val="24"/>
          <w:szCs w:val="24"/>
          <w:vertAlign w:val="superscript"/>
        </w:rPr>
        <w:fldChar w:fldCharType="separate"/>
      </w:r>
      <w:r w:rsidR="00273D91" w:rsidRPr="008A28E4">
        <w:rPr>
          <w:rFonts w:ascii="Book Antiqua" w:hAnsi="Book Antiqua" w:cs="Times New Roman"/>
          <w:noProof/>
          <w:sz w:val="24"/>
          <w:szCs w:val="24"/>
          <w:vertAlign w:val="superscript"/>
        </w:rPr>
        <w:t>[</w:t>
      </w:r>
      <w:r w:rsidRPr="008A28E4">
        <w:rPr>
          <w:rFonts w:ascii="Book Antiqua" w:hAnsi="Book Antiqua" w:cs="Times New Roman"/>
          <w:noProof/>
          <w:sz w:val="24"/>
          <w:szCs w:val="24"/>
          <w:vertAlign w:val="superscript"/>
        </w:rPr>
        <w:t>36</w:t>
      </w:r>
      <w:r w:rsidR="0098134D" w:rsidRPr="008A28E4">
        <w:rPr>
          <w:rFonts w:ascii="Book Antiqua" w:hAnsi="Book Antiqua" w:cs="Times New Roman"/>
          <w:sz w:val="24"/>
          <w:szCs w:val="24"/>
          <w:vertAlign w:val="superscript"/>
        </w:rPr>
        <w:fldChar w:fldCharType="end"/>
      </w:r>
      <w:r w:rsidR="00273D91" w:rsidRPr="008A28E4">
        <w:rPr>
          <w:rFonts w:ascii="Book Antiqua" w:hAnsi="Book Antiqua" w:cs="Times New Roman"/>
          <w:sz w:val="24"/>
          <w:szCs w:val="24"/>
          <w:vertAlign w:val="superscript"/>
        </w:rPr>
        <w:t>]</w:t>
      </w:r>
      <w:r w:rsidRPr="008A28E4">
        <w:rPr>
          <w:rFonts w:ascii="Book Antiqua" w:hAnsi="Book Antiqua" w:cs="Times New Roman"/>
          <w:sz w:val="24"/>
          <w:szCs w:val="24"/>
        </w:rPr>
        <w:t xml:space="preserve">. Eisner </w:t>
      </w:r>
      <w:r w:rsidRPr="008A28E4">
        <w:rPr>
          <w:rFonts w:ascii="Book Antiqua" w:hAnsi="Book Antiqua" w:cs="Times New Roman"/>
          <w:i/>
          <w:sz w:val="24"/>
          <w:szCs w:val="24"/>
        </w:rPr>
        <w:t>et al</w:t>
      </w:r>
      <w:r w:rsidR="0098134D" w:rsidRPr="008A28E4">
        <w:rPr>
          <w:rFonts w:ascii="Book Antiqua" w:hAnsi="Book Antiqua" w:cs="Times New Roman"/>
          <w:sz w:val="24"/>
          <w:szCs w:val="24"/>
          <w:vertAlign w:val="superscript"/>
        </w:rPr>
        <w:fldChar w:fldCharType="begin" w:fldLock="1"/>
      </w:r>
      <w:r w:rsidRPr="008A28E4">
        <w:rPr>
          <w:rFonts w:ascii="Book Antiqua" w:hAnsi="Book Antiqua" w:cs="Times New Roman"/>
          <w:sz w:val="24"/>
          <w:szCs w:val="24"/>
          <w:vertAlign w:val="superscript"/>
        </w:rPr>
        <w:instrText>ADDIN CSL_CITATION { "citationItems" : [ { "id" : "ITEM-1", "itemData" : { "DOI" : "10.1089/end.2009.1527", "ISSN" : "0892-7790", "PMID" : "19814577", "abstract" : "BACKGROUND AND PURPOSE: When obtaining fluoroscopy-guided lower-pole percutaneous renal access, knowledge of which calix is posterior is of paramount importance. Textbooks and peer-reviewed articles consistently refer to the most medial calix seen on fluoroscopy as posterior. We undertook this study to determine the orientation of the lower-pole calices to define the optimal site for lower-pole percutaneous renal access via a posterior calix. PATIENTS AND METHODS: A retrospective review was performed of 101 renal units for patients who underwent routine contrast-enhanced abdomen/pelvic CT with delayed images for the workup of microscopic hematuria. Delayed images of the renal collecting system that were performed with patients in the supine position were analyzed for the study. Axial and coronal CT scans were evaluated by two observers, and the anatomic details of the lower pole were collected. Specifically, the number of minor calices in the lower pole (ie, two or three), the orientation of each minor calix (anterior facing, posterior facing), and the relative orientation of the minor calices (ie, which calix is most anterior, which calix is most posterior) were recorded. Exclusion criteria were: History of nephrolithiasis, history of renal surgery (open, laparoscopic, endoscopic, percutaneous), CT evidence of ipsilateral renal parenchymal or collecting system lesion. RESULTS: CT scans were analyzed for 101 renal units (50 left, 51 right). For the lower pole, 42 (41.6%) renal units had two calices and 59 (58.4%) renal units had three calices. The most medial calix on coronal imaging was anterior facing in 95 (94.1%) kidneys, was the most anterior positioned calix in 84 (83.2%) kidneys, and was the most posterior positioned calix in 9 (8.9%) kidneys. Kidneys were then stratified by number of lower pole calices (two vs three). For the 42 renal units with two lower pole calices, the most medial calix on coronal imaging was anterior facing in 41 (95.2%) kidneys, was the most anterior positioned calix in 39 (92.9%) kidneys, and was the most posterior positioned calix in 2 (7.1%) kidneys. Of the 59 renal units with three lower-pole calices, the most medial calix on coronal imaging was anterior facing in 55 (93.2%) kidneys, was the most anterior positioned calix in 49 (84%) kidneys, and was the most posterior positioned calix in 4 (6.8%) kidneys. CONCLUSIONS: For percutaneous lower-pole renal access, the most medial calix on coronal CT imaging and therefore r\u2026", "author" : [ { "dropping-particle" : "", "family" : "Eisner", "given" : "Brian H", "non-dropping-particle" : "", "parse-names" : false, "suffix" : "" }, { "dropping-particle" : "", "family" : "Cloyd", "given" : "Jordan", "non-dropping-particle" : "", "parse-names" : false, "suffix" : "" }, { "dropping-particle" : "", "family" : "Stoller", "given" : "Marshall L", "non-dropping-particle" : "", "parse-names" : false, "suffix" : "" } ], "container-title" : "Journal of endourology / Endourological Society", "id" : "ITEM-1", "issued" : { "date-parts" : [ [ "2009" ] ] }, "page" : "1621-1625", "title" : "Lower-pole fluoroscopy-guided percutaneous renal access: which calix is posterior?", "type" : "article-journal", "volume" : "23" }, "uris" : [ "http://www.mendeley.com/documents/?uuid=bbf53c05-3525-46f7-92a0-3a7d5d3e9a12", "http://www.mendeley.com/documents/?uuid=a2eeb87c-e368-48b0-af80-ef40b099612a" ] } ], "mendeley" : { "previouslyFormattedCitation" : "(32)" }, "properties" : { "noteIndex" : 0 }, "schema" : "https://github.com/citation-style-language/schema/raw/master/csl-citation.json" }</w:instrText>
      </w:r>
      <w:r w:rsidR="0098134D" w:rsidRPr="008A28E4">
        <w:rPr>
          <w:rFonts w:ascii="Book Antiqua" w:hAnsi="Book Antiqua" w:cs="Times New Roman"/>
          <w:sz w:val="24"/>
          <w:szCs w:val="24"/>
          <w:vertAlign w:val="superscript"/>
        </w:rPr>
        <w:fldChar w:fldCharType="separate"/>
      </w:r>
      <w:r w:rsidR="00273D91" w:rsidRPr="008A28E4">
        <w:rPr>
          <w:rFonts w:ascii="Book Antiqua" w:hAnsi="Book Antiqua" w:cs="Times New Roman"/>
          <w:noProof/>
          <w:sz w:val="24"/>
          <w:szCs w:val="24"/>
          <w:vertAlign w:val="superscript"/>
        </w:rPr>
        <w:t>[</w:t>
      </w:r>
      <w:r w:rsidRPr="008A28E4">
        <w:rPr>
          <w:rFonts w:ascii="Book Antiqua" w:hAnsi="Book Antiqua" w:cs="Times New Roman"/>
          <w:noProof/>
          <w:sz w:val="24"/>
          <w:szCs w:val="24"/>
          <w:vertAlign w:val="superscript"/>
        </w:rPr>
        <w:t>37</w:t>
      </w:r>
      <w:r w:rsidR="0098134D" w:rsidRPr="008A28E4">
        <w:rPr>
          <w:rFonts w:ascii="Book Antiqua" w:hAnsi="Book Antiqua" w:cs="Times New Roman"/>
          <w:sz w:val="24"/>
          <w:szCs w:val="24"/>
          <w:vertAlign w:val="superscript"/>
        </w:rPr>
        <w:fldChar w:fldCharType="end"/>
      </w:r>
      <w:r w:rsidR="00273D91" w:rsidRPr="008A28E4">
        <w:rPr>
          <w:rFonts w:ascii="Book Antiqua" w:hAnsi="Book Antiqua" w:cs="Times New Roman"/>
          <w:sz w:val="24"/>
          <w:szCs w:val="24"/>
          <w:vertAlign w:val="superscript"/>
        </w:rPr>
        <w:t>]</w:t>
      </w:r>
      <w:r w:rsidRPr="008A28E4">
        <w:rPr>
          <w:rFonts w:ascii="Book Antiqua" w:hAnsi="Book Antiqua" w:cs="Times New Roman"/>
          <w:sz w:val="24"/>
          <w:szCs w:val="24"/>
        </w:rPr>
        <w:t xml:space="preserve"> studied the lower pole anatomy by CT scans in 101 units. They found that if there were two calices in the lower pole, the medial calyx was anterior in 95% of units while the lateral calyx was posterior in 93% of units. If there were 3 calices in the lower pole, than the medial most calyx was anterior in 93 of units. In such renal units the lateral to most medial</w:t>
      </w:r>
      <w:r w:rsidR="0077312E" w:rsidRPr="008A28E4">
        <w:rPr>
          <w:rFonts w:ascii="Book Antiqua" w:hAnsi="Book Antiqua" w:cs="Times New Roman"/>
          <w:sz w:val="24"/>
          <w:szCs w:val="24"/>
          <w:lang w:eastAsia="zh-CN"/>
        </w:rPr>
        <w:t>,</w:t>
      </w:r>
      <w:r w:rsidRPr="008A28E4">
        <w:rPr>
          <w:rFonts w:ascii="Book Antiqua" w:hAnsi="Book Antiqua" w:cs="Times New Roman"/>
          <w:sz w:val="24"/>
          <w:szCs w:val="24"/>
        </w:rPr>
        <w:t xml:space="preserve"> </w:t>
      </w:r>
      <w:r w:rsidRPr="008A28E4">
        <w:rPr>
          <w:rFonts w:ascii="Book Antiqua" w:hAnsi="Book Antiqua" w:cs="Times New Roman"/>
          <w:i/>
          <w:sz w:val="24"/>
          <w:szCs w:val="24"/>
        </w:rPr>
        <w:t>i.e</w:t>
      </w:r>
      <w:r w:rsidR="0077312E" w:rsidRPr="008A28E4">
        <w:rPr>
          <w:rFonts w:ascii="Book Antiqua" w:hAnsi="Book Antiqua" w:cs="Times New Roman"/>
          <w:i/>
          <w:sz w:val="24"/>
          <w:szCs w:val="24"/>
          <w:lang w:eastAsia="zh-CN"/>
        </w:rPr>
        <w:t>.,</w:t>
      </w:r>
      <w:r w:rsidRPr="008A28E4">
        <w:rPr>
          <w:rFonts w:ascii="Book Antiqua" w:hAnsi="Book Antiqua" w:cs="Times New Roman"/>
          <w:sz w:val="24"/>
          <w:szCs w:val="24"/>
        </w:rPr>
        <w:t xml:space="preserve"> the second calyx was posterior in 70% of units while the lateral most calyx was anterior in 71% of units. In 31% of cases, no calyx was truly posterior. In these kidneys, though both the calices were anterior, one of the calices was less anterior than the other. Their study showed that regardless of the number of lower pole calices, the most medial calyx on two dimensional imaging is anteriorly facing 94% of times. They recommended that the calyx, just lateral to the medial calyx, the second calyx, is statistically the most likely to be posterior facing and the </w:t>
      </w:r>
      <w:r w:rsidR="0077312E" w:rsidRPr="008A28E4">
        <w:rPr>
          <w:rFonts w:ascii="Book Antiqua" w:hAnsi="Book Antiqua" w:cs="Times New Roman"/>
          <w:sz w:val="24"/>
          <w:szCs w:val="24"/>
        </w:rPr>
        <w:t>most posterior positioned calyx</w:t>
      </w:r>
      <w:r w:rsidR="0098134D" w:rsidRPr="008A28E4">
        <w:rPr>
          <w:rFonts w:ascii="Book Antiqua" w:hAnsi="Book Antiqua" w:cs="Times New Roman"/>
          <w:sz w:val="24"/>
          <w:szCs w:val="24"/>
          <w:vertAlign w:val="superscript"/>
        </w:rPr>
        <w:fldChar w:fldCharType="begin" w:fldLock="1"/>
      </w:r>
      <w:r w:rsidRPr="008A28E4">
        <w:rPr>
          <w:rFonts w:ascii="Book Antiqua" w:hAnsi="Book Antiqua" w:cs="Times New Roman"/>
          <w:sz w:val="24"/>
          <w:szCs w:val="24"/>
          <w:vertAlign w:val="superscript"/>
        </w:rPr>
        <w:instrText>ADDIN CSL_CITATION { "citationItems" : [ { "id" : "ITEM-1", "itemData" : { "DOI" : "10.1089/end.2009.1527", "ISSN" : "0892-7790", "PMID" : "19814577", "abstract" : "BACKGROUND AND PURPOSE: When obtaining fluoroscopy-guided lower-pole percutaneous renal access, knowledge of which calix is posterior is of paramount importance. Textbooks and peer-reviewed articles consistently refer to the most medial calix seen on fluoroscopy as posterior. We undertook this study to determine the orientation of the lower-pole calices to define the optimal site for lower-pole percutaneous renal access via a posterior calix. PATIENTS AND METHODS: A retrospective review was performed of 101 renal units for patients who underwent routine contrast-enhanced abdomen/pelvic CT with delayed images for the workup of microscopic hematuria. Delayed images of the renal collecting system that were performed with patients in the supine position were analyzed for the study. Axial and coronal CT scans were evaluated by two observers, and the anatomic details of the lower pole were collected. Specifically, the number of minor calices in the lower pole (ie, two or three), the orientation of each minor calix (anterior facing, posterior facing), and the relative orientation of the minor calices (ie, which calix is most anterior, which calix is most posterior) were recorded. Exclusion criteria were: History of nephrolithiasis, history of renal surgery (open, laparoscopic, endoscopic, percutaneous), CT evidence of ipsilateral renal parenchymal or collecting system lesion. RESULTS: CT scans were analyzed for 101 renal units (50 left, 51 right). For the lower pole, 42 (41.6%) renal units had two calices and 59 (58.4%) renal units had three calices. The most medial calix on coronal imaging was anterior facing in 95 (94.1%) kidneys, was the most anterior positioned calix in 84 (83.2%) kidneys, and was the most posterior positioned calix in 9 (8.9%) kidneys. Kidneys were then stratified by number of lower pole calices (two vs three). For the 42 renal units with two lower pole calices, the most medial calix on coronal imaging was anterior facing in 41 (95.2%) kidneys, was the most anterior positioned calix in 39 (92.9%) kidneys, and was the most posterior positioned calix in 2 (7.1%) kidneys. Of the 59 renal units with three lower-pole calices, the most medial calix on coronal imaging was anterior facing in 55 (93.2%) kidneys, was the most anterior positioned calix in 49 (84%) kidneys, and was the most posterior positioned calix in 4 (6.8%) kidneys. CONCLUSIONS: For percutaneous lower-pole renal access, the most medial calix on coronal CT imaging and therefore r\u2026", "author" : [ { "dropping-particle" : "", "family" : "Eisner", "given" : "Brian H", "non-dropping-particle" : "", "parse-names" : false, "suffix" : "" }, { "dropping-particle" : "", "family" : "Cloyd", "given" : "Jordan", "non-dropping-particle" : "", "parse-names" : false, "suffix" : "" }, { "dropping-particle" : "", "family" : "Stoller", "given" : "Marshall L", "non-dropping-particle" : "", "parse-names" : false, "suffix" : "" } ], "container-title" : "Journal of endourology / Endourological Society", "id" : "ITEM-1", "issued" : { "date-parts" : [ [ "2009" ] ] }, "page" : "1621-1625", "title" : "Lower-pole fluoroscopy-guided percutaneous renal access: which calix is posterior?", "type" : "article-journal", "volume" : "23" }, "uris" : [ "http://www.mendeley.com/documents/?uuid=a2eeb87c-e368-48b0-af80-ef40b099612a" ] } ], "mendeley" : { "previouslyFormattedCitation" : "(32)" }, "properties" : { "noteIndex" : 0 }, "schema" : "https://github.com/citation-style-language/schema/raw/master/csl-citation.json" }</w:instrText>
      </w:r>
      <w:r w:rsidR="0098134D" w:rsidRPr="008A28E4">
        <w:rPr>
          <w:rFonts w:ascii="Book Antiqua" w:hAnsi="Book Antiqua" w:cs="Times New Roman"/>
          <w:sz w:val="24"/>
          <w:szCs w:val="24"/>
          <w:vertAlign w:val="superscript"/>
        </w:rPr>
        <w:fldChar w:fldCharType="separate"/>
      </w:r>
      <w:r w:rsidR="00273D91" w:rsidRPr="008A28E4">
        <w:rPr>
          <w:rFonts w:ascii="Book Antiqua" w:hAnsi="Book Antiqua" w:cs="Times New Roman"/>
          <w:noProof/>
          <w:sz w:val="24"/>
          <w:szCs w:val="24"/>
          <w:vertAlign w:val="superscript"/>
        </w:rPr>
        <w:t>[</w:t>
      </w:r>
      <w:r w:rsidRPr="008A28E4">
        <w:rPr>
          <w:rFonts w:ascii="Book Antiqua" w:hAnsi="Book Antiqua" w:cs="Times New Roman"/>
          <w:noProof/>
          <w:sz w:val="24"/>
          <w:szCs w:val="24"/>
          <w:vertAlign w:val="superscript"/>
        </w:rPr>
        <w:t>37</w:t>
      </w:r>
      <w:r w:rsidR="0098134D" w:rsidRPr="008A28E4">
        <w:rPr>
          <w:rFonts w:ascii="Book Antiqua" w:hAnsi="Book Antiqua" w:cs="Times New Roman"/>
          <w:sz w:val="24"/>
          <w:szCs w:val="24"/>
          <w:vertAlign w:val="superscript"/>
        </w:rPr>
        <w:fldChar w:fldCharType="end"/>
      </w:r>
      <w:r w:rsidR="00273D91" w:rsidRPr="008A28E4">
        <w:rPr>
          <w:rFonts w:ascii="Book Antiqua" w:hAnsi="Book Antiqua" w:cs="Times New Roman"/>
          <w:sz w:val="24"/>
          <w:szCs w:val="24"/>
          <w:vertAlign w:val="superscript"/>
        </w:rPr>
        <w:t>]</w:t>
      </w:r>
      <w:r w:rsidRPr="008A28E4">
        <w:rPr>
          <w:rFonts w:ascii="Book Antiqua" w:hAnsi="Book Antiqua" w:cs="Times New Roman"/>
          <w:sz w:val="24"/>
          <w:szCs w:val="24"/>
        </w:rPr>
        <w:t>.</w:t>
      </w:r>
    </w:p>
    <w:p w:rsidR="0077312E" w:rsidRPr="008A28E4" w:rsidRDefault="0077312E" w:rsidP="008A28E4">
      <w:pPr>
        <w:pStyle w:val="ListParagraph"/>
        <w:spacing w:after="0" w:line="360" w:lineRule="auto"/>
        <w:ind w:left="0"/>
        <w:jc w:val="both"/>
        <w:rPr>
          <w:rFonts w:ascii="Book Antiqua" w:hAnsi="Book Antiqua" w:cs="Times New Roman"/>
          <w:sz w:val="24"/>
          <w:szCs w:val="24"/>
          <w:lang w:eastAsia="zh-CN"/>
        </w:rPr>
      </w:pPr>
    </w:p>
    <w:p w:rsidR="00C2014D" w:rsidRPr="008A28E4" w:rsidRDefault="00505DA4" w:rsidP="008A28E4">
      <w:pPr>
        <w:pStyle w:val="ListParagraph"/>
        <w:spacing w:after="0" w:line="360" w:lineRule="auto"/>
        <w:ind w:left="0"/>
        <w:jc w:val="both"/>
        <w:rPr>
          <w:rFonts w:ascii="Book Antiqua" w:hAnsi="Book Antiqua" w:cs="Times New Roman"/>
          <w:sz w:val="24"/>
          <w:szCs w:val="24"/>
        </w:rPr>
      </w:pPr>
      <w:r w:rsidRPr="008A28E4">
        <w:rPr>
          <w:rFonts w:ascii="Book Antiqua" w:hAnsi="Book Antiqua" w:cs="Times New Roman"/>
          <w:b/>
          <w:sz w:val="24"/>
          <w:szCs w:val="24"/>
        </w:rPr>
        <w:t>HOW TO IDENTIFY THE POSTERIOR CALYX ON FLUOROSCOPY?</w:t>
      </w:r>
    </w:p>
    <w:p w:rsidR="00C2014D" w:rsidRPr="008A28E4" w:rsidRDefault="00C2014D" w:rsidP="008A28E4">
      <w:pPr>
        <w:spacing w:after="0" w:line="360" w:lineRule="auto"/>
        <w:jc w:val="both"/>
        <w:rPr>
          <w:rFonts w:ascii="Book Antiqua" w:hAnsi="Book Antiqua" w:cs="Times New Roman"/>
          <w:sz w:val="24"/>
          <w:szCs w:val="24"/>
        </w:rPr>
      </w:pPr>
      <w:r w:rsidRPr="008A28E4">
        <w:rPr>
          <w:rFonts w:ascii="Book Antiqua" w:hAnsi="Book Antiqua" w:cs="Times New Roman"/>
          <w:sz w:val="24"/>
          <w:szCs w:val="24"/>
        </w:rPr>
        <w:t>On account of the unreliability of the antero-posterior radiography  to determine the optimal posterior calyx  for entry additiona</w:t>
      </w:r>
      <w:r w:rsidR="0077312E" w:rsidRPr="008A28E4">
        <w:rPr>
          <w:rFonts w:ascii="Book Antiqua" w:hAnsi="Book Antiqua" w:cs="Times New Roman"/>
          <w:sz w:val="24"/>
          <w:szCs w:val="24"/>
        </w:rPr>
        <w:t>l maneuvers are needed</w:t>
      </w:r>
      <w:r w:rsidR="0098134D" w:rsidRPr="008A28E4">
        <w:rPr>
          <w:rFonts w:ascii="Book Antiqua" w:hAnsi="Book Antiqua" w:cs="Times New Roman"/>
          <w:sz w:val="24"/>
          <w:szCs w:val="24"/>
          <w:vertAlign w:val="superscript"/>
        </w:rPr>
        <w:fldChar w:fldCharType="begin" w:fldLock="1"/>
      </w:r>
      <w:r w:rsidRPr="008A28E4">
        <w:rPr>
          <w:rFonts w:ascii="Book Antiqua" w:hAnsi="Book Antiqua" w:cs="Times New Roman"/>
          <w:sz w:val="24"/>
          <w:szCs w:val="24"/>
          <w:vertAlign w:val="superscript"/>
        </w:rPr>
        <w:instrText>ADDIN CSL_CITATION { "citationItems" : [ { "id" : "ITEM-1", "itemData" : { "DOI" : "10.1097/00042307-200107000-00004", "ISSN" : "0963-0643", "PMID" : "11429494", "abstract" : "The anatomy of the kidney collecting system may play a role in the selection of the best method of kidney stone treatment for a specific patient. Also, an analysis of the collecting-system anatomy would indicate the likely effectiveness of each method of treatment. For stones located in the lower pole, the clearance rate after shockwave lithotripsy has been uniformly low relative to that of calculi elsewhere. Some special anatomical findings suggest that retention of what are considered to be 'passable stone fragments' (4 mm in diameter or less) in the inferior pole might be a consequence not only of the gravity-dependent position of lower calices but also of particular anatomical features of the inferior pole collecting system. The aspects reviewed and discussed are the angle formed between the main lower infundibulum and the renal pelvis (the infundibulopelvic angle), the lower infundibula diameters, the lower infundibulum length and height, and the lower calices spatial distribution. Also, the presence of minor calices perpendicular to the surface of the collecting system and drainage of superior and inferior poles are reviewed and discussed in the context of their importance to the effectiveness of renal stone treatment.", "author" : [ { "dropping-particle" : "", "family" : "Sampaio", "given" : "F J", "non-dropping-particle" : "", "parse-names" : false, "suffix" : "" } ], "container-title" : "Current opinion in urology", "id" : "ITEM-1", "issued" : { "date-parts" : [ [ "2001" ] ] }, "page" : "359-366", "title" : "Renal collecting system anatomy: its possible role in the effectiveness of renal stone treatment.", "type" : "article-journal", "volume" : "11" }, "uris" : [ "http://www.mendeley.com/documents/?uuid=e3960111-4864-4116-a2ed-e4c0a33811c8" ] } ], "mendeley" : { "previouslyFormattedCitation" : "(30)" }, "properties" : { "noteIndex" : 0 }, "schema" : "https://github.com/citation-style-language/schema/raw/master/csl-citation.json" }</w:instrText>
      </w:r>
      <w:r w:rsidR="0098134D" w:rsidRPr="008A28E4">
        <w:rPr>
          <w:rFonts w:ascii="Book Antiqua" w:hAnsi="Book Antiqua" w:cs="Times New Roman"/>
          <w:sz w:val="24"/>
          <w:szCs w:val="24"/>
          <w:vertAlign w:val="superscript"/>
        </w:rPr>
        <w:fldChar w:fldCharType="separate"/>
      </w:r>
      <w:r w:rsidR="0000796D" w:rsidRPr="008A28E4">
        <w:rPr>
          <w:rFonts w:ascii="Book Antiqua" w:hAnsi="Book Antiqua" w:cs="Times New Roman"/>
          <w:noProof/>
          <w:sz w:val="24"/>
          <w:szCs w:val="24"/>
          <w:vertAlign w:val="superscript"/>
        </w:rPr>
        <w:t>[</w:t>
      </w:r>
      <w:r w:rsidRPr="008A28E4">
        <w:rPr>
          <w:rFonts w:ascii="Book Antiqua" w:hAnsi="Book Antiqua" w:cs="Times New Roman"/>
          <w:noProof/>
          <w:sz w:val="24"/>
          <w:szCs w:val="24"/>
          <w:vertAlign w:val="superscript"/>
        </w:rPr>
        <w:t>35</w:t>
      </w:r>
      <w:r w:rsidR="0098134D" w:rsidRPr="008A28E4">
        <w:rPr>
          <w:rFonts w:ascii="Book Antiqua" w:hAnsi="Book Antiqua" w:cs="Times New Roman"/>
          <w:sz w:val="24"/>
          <w:szCs w:val="24"/>
          <w:vertAlign w:val="superscript"/>
        </w:rPr>
        <w:fldChar w:fldCharType="end"/>
      </w:r>
      <w:r w:rsidR="0000796D" w:rsidRPr="008A28E4">
        <w:rPr>
          <w:rFonts w:ascii="Book Antiqua" w:hAnsi="Book Antiqua" w:cs="Times New Roman"/>
          <w:sz w:val="24"/>
          <w:szCs w:val="24"/>
          <w:vertAlign w:val="superscript"/>
        </w:rPr>
        <w:t>]</w:t>
      </w:r>
      <w:r w:rsidRPr="008A28E4">
        <w:rPr>
          <w:rFonts w:ascii="Book Antiqua" w:hAnsi="Book Antiqua" w:cs="Times New Roman"/>
          <w:sz w:val="24"/>
          <w:szCs w:val="24"/>
        </w:rPr>
        <w:t>. With the patient in prone position, diluted contrast when instilled will fill the dependent anterior calices first. Thus the posterior calices will be filled la</w:t>
      </w:r>
      <w:r w:rsidR="0077312E" w:rsidRPr="008A28E4">
        <w:rPr>
          <w:rFonts w:ascii="Book Antiqua" w:hAnsi="Book Antiqua" w:cs="Times New Roman"/>
          <w:sz w:val="24"/>
          <w:szCs w:val="24"/>
        </w:rPr>
        <w:t>ter and would appear less dense</w:t>
      </w:r>
      <w:r w:rsidR="0098134D" w:rsidRPr="008A28E4">
        <w:rPr>
          <w:rFonts w:ascii="Book Antiqua" w:hAnsi="Book Antiqua" w:cs="Times New Roman"/>
          <w:sz w:val="24"/>
          <w:szCs w:val="24"/>
          <w:vertAlign w:val="superscript"/>
        </w:rPr>
        <w:fldChar w:fldCharType="begin" w:fldLock="1"/>
      </w:r>
      <w:r w:rsidRPr="008A28E4">
        <w:rPr>
          <w:rFonts w:ascii="Book Antiqua" w:hAnsi="Book Antiqua" w:cs="Times New Roman"/>
          <w:sz w:val="24"/>
          <w:szCs w:val="24"/>
          <w:vertAlign w:val="superscript"/>
        </w:rPr>
        <w:instrText>ADDIN CSL_CITATION { "citationItems" : [ { "id" : "ITEM-1", "itemData" : { "DOI" : "10.1111/j.1464-410X.2007.07259.x", "ISSN" : "1464-410X", "PMID" : "17922862", "abstract" : "Percutaneous nephrolithotomy (PCNL) plays an integral role in managing large renal stones. Establishing percutaneous renal access is the most crucial step in the procedure and requires a thorough understanding of renal, retroperitoneal and thoracic anatomy to minimize the risk of complications. Moreover, access to fluoroscopy and the proper equipment are critical to ensuring complete stone removal. In this review we describe the technique of PCNL used in a high-volume endourology centre, where the urologist is involved in all aspects of the procedure.", "author" : [ { "dropping-particle" : "", "family" : "Ko", "given" : "Raymond", "non-dropping-particle" : "", "parse-names" : false, "suffix" : "" }, { "dropping-particle" : "", "family" : "Soucy", "given" : "Fr\u00e9d\u00e9ric", "non-dropping-particle" : "", "parse-names" : false, "suffix" : "" }, { "dropping-particle" : "", "family" : "Denstedt", "given" : "John D", "non-dropping-particle" : "", "parse-names" : false, "suffix" : "" }, { "dropping-particle" : "", "family" : "Razvi", "given" : "Hassan", "non-dropping-particle" : "", "parse-names" : false, "suffix" : "" } ], "container-title" : "BJU international", "id" : "ITEM-1", "issue" : "5", "issued" : { "date-parts" : [ [ "2008", "3" ] ] }, "page" : "535-9", "title" : "Percutaneous nephrolithotomy made easier: a practical guide, tips and tricks.", "type" : "article-journal", "volume" : "101" }, "uris" : [ "http://www.mendeley.com/documents/?uuid=7fc96e3e-32bf-4a13-b78a-8f7395776fb4" ] } ], "mendeley" : { "previouslyFormattedCitation" : "(23)" }, "properties" : { "noteIndex" : 0 }, "schema" : "https://github.com/citation-style-language/schema/raw/master/csl-citation.json" }</w:instrText>
      </w:r>
      <w:r w:rsidR="0098134D" w:rsidRPr="008A28E4">
        <w:rPr>
          <w:rFonts w:ascii="Book Antiqua" w:hAnsi="Book Antiqua" w:cs="Times New Roman"/>
          <w:sz w:val="24"/>
          <w:szCs w:val="24"/>
          <w:vertAlign w:val="superscript"/>
        </w:rPr>
        <w:fldChar w:fldCharType="separate"/>
      </w:r>
      <w:r w:rsidR="0000796D" w:rsidRPr="008A28E4">
        <w:rPr>
          <w:rFonts w:ascii="Book Antiqua" w:hAnsi="Book Antiqua" w:cs="Times New Roman"/>
          <w:noProof/>
          <w:sz w:val="24"/>
          <w:szCs w:val="24"/>
          <w:vertAlign w:val="superscript"/>
        </w:rPr>
        <w:t>[</w:t>
      </w:r>
      <w:r w:rsidRPr="008A28E4">
        <w:rPr>
          <w:rFonts w:ascii="Book Antiqua" w:hAnsi="Book Antiqua" w:cs="Times New Roman"/>
          <w:noProof/>
          <w:sz w:val="24"/>
          <w:szCs w:val="24"/>
          <w:vertAlign w:val="superscript"/>
        </w:rPr>
        <w:t>21</w:t>
      </w:r>
      <w:r w:rsidR="0098134D" w:rsidRPr="008A28E4">
        <w:rPr>
          <w:rFonts w:ascii="Book Antiqua" w:hAnsi="Book Antiqua" w:cs="Times New Roman"/>
          <w:sz w:val="24"/>
          <w:szCs w:val="24"/>
          <w:vertAlign w:val="superscript"/>
        </w:rPr>
        <w:fldChar w:fldCharType="end"/>
      </w:r>
      <w:r w:rsidR="0000796D" w:rsidRPr="008A28E4">
        <w:rPr>
          <w:rFonts w:ascii="Book Antiqua" w:hAnsi="Book Antiqua" w:cs="Times New Roman"/>
          <w:sz w:val="24"/>
          <w:szCs w:val="24"/>
          <w:vertAlign w:val="superscript"/>
        </w:rPr>
        <w:t>]</w:t>
      </w:r>
      <w:r w:rsidRPr="008A28E4">
        <w:rPr>
          <w:rFonts w:ascii="Book Antiqua" w:hAnsi="Book Antiqua" w:cs="Times New Roman"/>
          <w:sz w:val="24"/>
          <w:szCs w:val="24"/>
        </w:rPr>
        <w:t>. Injection of 5-10 m</w:t>
      </w:r>
      <w:r w:rsidR="0077312E" w:rsidRPr="008A28E4">
        <w:rPr>
          <w:rFonts w:ascii="Book Antiqua" w:hAnsi="Book Antiqua" w:cs="Times New Roman"/>
          <w:sz w:val="24"/>
          <w:szCs w:val="24"/>
        </w:rPr>
        <w:t xml:space="preserve">L </w:t>
      </w:r>
      <w:r w:rsidRPr="008A28E4">
        <w:rPr>
          <w:rFonts w:ascii="Book Antiqua" w:hAnsi="Book Antiqua" w:cs="Times New Roman"/>
          <w:sz w:val="24"/>
          <w:szCs w:val="24"/>
        </w:rPr>
        <w:t>of air via the ureteric catheter also helps to identify the posterior calices as air will preferentially enter these ca</w:t>
      </w:r>
      <w:r w:rsidR="0077312E" w:rsidRPr="008A28E4">
        <w:rPr>
          <w:rFonts w:ascii="Book Antiqua" w:hAnsi="Book Antiqua" w:cs="Times New Roman"/>
          <w:sz w:val="24"/>
          <w:szCs w:val="24"/>
        </w:rPr>
        <w:t>lices when the patient is prone</w:t>
      </w:r>
      <w:r w:rsidR="0098134D" w:rsidRPr="008A28E4">
        <w:rPr>
          <w:rFonts w:ascii="Book Antiqua" w:hAnsi="Book Antiqua" w:cs="Times New Roman"/>
          <w:sz w:val="24"/>
          <w:szCs w:val="24"/>
          <w:vertAlign w:val="superscript"/>
        </w:rPr>
        <w:fldChar w:fldCharType="begin" w:fldLock="1"/>
      </w:r>
      <w:r w:rsidRPr="008A28E4">
        <w:rPr>
          <w:rFonts w:ascii="Book Antiqua" w:hAnsi="Book Antiqua" w:cs="Times New Roman"/>
          <w:sz w:val="24"/>
          <w:szCs w:val="24"/>
          <w:vertAlign w:val="superscript"/>
        </w:rPr>
        <w:instrText>ADDIN CSL_CITATION { "citationItems" : [ { "id" : "ITEM-1", "itemData" : { "DOI" : "10.1111/j.1464-410X.2005.05749.x", "ISSN" : "14644096", "PMID" : "16153221", "abstract" : "OBJECTIVE: To report our experience with over 300 patients treated with percutaneous nephrolithotomy (PNL), for although PNL was established as a treatment in the 1970s, its use diminished with the introduction of extracorporeal shockwave lithotripsy (ESWL); clinical experience with ESWL showed its limitations, and the role of PNL for treating urolithiasis was redefined, which with improvements in instruments and lithotripsy technology has expanded the capability of percutaneous stone disintegration. PATIENTS AND METHODS: The study included 315 patients (156 males, 159 females, aged 13-85 years) treated with PNL in our department between 1987 and 2002. The mean (range) stone diameter was 27 (7-52) mm. The kidney was punctured under ultrasonography guidance via a lower-pole calyx whenever possible. The working channel was dilated using an Alken dilator under X-ray control. If necessary, a flexible renoscope was used. Ultrasonic, pneumatic and laser probes were used for lithotripsy. RESULTS: Four weeks after treatment the total stone-free rate was 96.5%; 45.7% of all patients were primarily stone-free, 21.3% had clinically insignificant residual stones that passed spontaneously within 4 weeks after PNL, and 33% of the patients needed auxiliary measures (a second PNL, ESWL, ureterorenoscopy). Overall, the early complication rate was 50.8%, the most common complications being transient fever (27.6%), clinically insignificant bleeding (7.6%) or both (3.2%); 3.5% of the patients developed urinary tract infections (with no signs of urosepsis), 3.2% had renal colic and 2.9% upper urinary tract obstruction. One patient (0.3%) developed acute pancreatitis after PNL; one died from urosepsis and one needed selective angiographic embolization of the punctured kidney due to bleeding. No patient required transfusions and there were no injuries to neighbouring organs. CONCLUSIONS: These results show that PNL causes no significant blood loss or major complications in almost all patients. Two aspects may especially reduce the potential complications: ultrasonography-guided renal puncture and using PNL in an experienced centre. PNL is a highly efficient procedure that provides fast and safe stone removal.", "author" : [ { "dropping-particle" : "", "family" : "Osman", "given" : "Mahmoud", "non-dropping-particle" : "", "parse-names" : false, "suffix" : "" }, { "dropping-particle" : "", "family" : "Wendt-Nordahl", "given" : "Gunnar", "non-dropping-particle" : "", "parse-names" : false, "suffix" : "" }, { "dropping-particle" : "", "family" : "Heger", "given" : "Katrin", "non-dropping-particle" : "", "parse-names" : false, "suffix" : "" }, { "dropping-particle" : "", "family" : "Michel", "given" : "Maurice S.", "non-dropping-particle" : "", "parse-names" : false, "suffix" : "" }, { "dropping-particle" : "", "family" : "Alken", "given" : "Peter", "non-dropping-particle" : "", "parse-names" : false, "suffix" : "" }, { "dropping-particle" : "", "family" : "Knoll", "given" : "Thomas", "non-dropping-particle" : "", "parse-names" : false, "suffix" : "" } ], "container-title" : "BJU International", "id" : "ITEM-1", "issued" : { "date-parts" : [ [ "2005" ] ] }, "page" : "875-878", "title" : "Percutaneous nephrolithotomy with ultrasonography-guided renal access: Experience from over 300 cases", "type" : "article-journal", "volume" : "96" }, "uris" : [ "http://www.mendeley.com/documents/?uuid=f17a77dc-5251-4dd7-bea8-62831f71b6fa" ] } ], "mendeley" : { "manualFormatting" : "(21, 37)", "previouslyFormattedCitation" : "(33)" }, "properties" : { "noteIndex" : 0 }, "schema" : "https://github.com/citation-style-language/schema/raw/master/csl-citation.json" }</w:instrText>
      </w:r>
      <w:r w:rsidR="0098134D" w:rsidRPr="008A28E4">
        <w:rPr>
          <w:rFonts w:ascii="Book Antiqua" w:hAnsi="Book Antiqua" w:cs="Times New Roman"/>
          <w:sz w:val="24"/>
          <w:szCs w:val="24"/>
          <w:vertAlign w:val="superscript"/>
        </w:rPr>
        <w:fldChar w:fldCharType="separate"/>
      </w:r>
      <w:r w:rsidR="0000796D" w:rsidRPr="008A28E4">
        <w:rPr>
          <w:rFonts w:ascii="Book Antiqua" w:hAnsi="Book Antiqua" w:cs="Times New Roman"/>
          <w:noProof/>
          <w:sz w:val="24"/>
          <w:szCs w:val="24"/>
          <w:vertAlign w:val="superscript"/>
        </w:rPr>
        <w:t>[</w:t>
      </w:r>
      <w:r w:rsidR="0077312E" w:rsidRPr="008A28E4">
        <w:rPr>
          <w:rFonts w:ascii="Book Antiqua" w:hAnsi="Book Antiqua" w:cs="Times New Roman"/>
          <w:noProof/>
          <w:sz w:val="24"/>
          <w:szCs w:val="24"/>
          <w:vertAlign w:val="superscript"/>
        </w:rPr>
        <w:t>21,</w:t>
      </w:r>
      <w:r w:rsidRPr="008A28E4">
        <w:rPr>
          <w:rFonts w:ascii="Book Antiqua" w:hAnsi="Book Antiqua" w:cs="Times New Roman"/>
          <w:noProof/>
          <w:sz w:val="24"/>
          <w:szCs w:val="24"/>
          <w:vertAlign w:val="superscript"/>
        </w:rPr>
        <w:t>3</w:t>
      </w:r>
      <w:r w:rsidR="006239C6" w:rsidRPr="008A28E4">
        <w:rPr>
          <w:rFonts w:ascii="Book Antiqua" w:hAnsi="Book Antiqua" w:cs="Times New Roman"/>
          <w:noProof/>
          <w:sz w:val="24"/>
          <w:szCs w:val="24"/>
          <w:vertAlign w:val="superscript"/>
          <w:lang w:eastAsia="zh-CN"/>
        </w:rPr>
        <w:t>8</w:t>
      </w:r>
      <w:r w:rsidR="0098134D" w:rsidRPr="008A28E4">
        <w:rPr>
          <w:rFonts w:ascii="Book Antiqua" w:hAnsi="Book Antiqua" w:cs="Times New Roman"/>
          <w:sz w:val="24"/>
          <w:szCs w:val="24"/>
          <w:vertAlign w:val="superscript"/>
        </w:rPr>
        <w:fldChar w:fldCharType="end"/>
      </w:r>
      <w:r w:rsidR="0000796D" w:rsidRPr="008A28E4">
        <w:rPr>
          <w:rFonts w:ascii="Book Antiqua" w:hAnsi="Book Antiqua" w:cs="Times New Roman"/>
          <w:sz w:val="24"/>
          <w:szCs w:val="24"/>
          <w:vertAlign w:val="superscript"/>
        </w:rPr>
        <w:t>]</w:t>
      </w:r>
      <w:r w:rsidRPr="008A28E4">
        <w:rPr>
          <w:rFonts w:ascii="Book Antiqua" w:hAnsi="Book Antiqua" w:cs="Times New Roman"/>
          <w:sz w:val="24"/>
          <w:szCs w:val="24"/>
        </w:rPr>
        <w:t>. Despite these maneuvers if there is dilemma in indentifying the posterior calyx, movement of the C arm can help to identify the posterior calyx. In the prone position, the posterior calyces move in the opposite direction to the image intensifier on the C arm. If the C arm is rotated towards the surgeon then the posterior calices move away and shorten. Vice versa, if the C arm is rotated away from the surgeon then the posterior calices appear elongated. Thus by moving the C arm way from the surgeon one can identify the laterally placed calices as posterior and by moving the C arm towards the surgeon the posterior calices appear more medially placed and appear end on</w:t>
      </w:r>
      <w:r w:rsidR="0098134D" w:rsidRPr="008A28E4">
        <w:rPr>
          <w:rFonts w:ascii="Book Antiqua" w:hAnsi="Book Antiqua" w:cs="Times New Roman"/>
          <w:sz w:val="24"/>
          <w:szCs w:val="24"/>
          <w:vertAlign w:val="superscript"/>
        </w:rPr>
        <w:fldChar w:fldCharType="begin" w:fldLock="1"/>
      </w:r>
      <w:r w:rsidRPr="008A28E4">
        <w:rPr>
          <w:rFonts w:ascii="Book Antiqua" w:hAnsi="Book Antiqua" w:cs="Times New Roman"/>
          <w:sz w:val="24"/>
          <w:szCs w:val="24"/>
          <w:vertAlign w:val="superscript"/>
        </w:rPr>
        <w:instrText>ADDIN CSL_CITATION { "citationItems" : [ { "id" : "ITEM-1", "itemData" : { "DOI" : "10.1089/end.2009.0294", "ISSN" : "0892-7790", "PMID" : "19630486", "abstract" : "OBJECTIVES: Percutaneous nephrolithotomy is commonly performed in the prone position. Knowledge of renal anatomy and the relationship of adjacent organs is essential to minimize patient morbidity and iatrogenic organ injury. We present the anatomical basis for a prone-flexed modification to patient positioning and review the advantages and disadvantages of alternate positions. METHODS: Triphasic computed tomography was conducted with the patient in supine, prone, and prone-flexed positions, and an anatomical survey was conducted. A 30 degrees angle was used to approximate the plane of nephrostomy access and the risk of organ injury. RESULTS: For upper pole punctures, the liver and spleen were more medially situated, and thus more likely to be injured with supine positioning, compared with either prone or prone-flexed positioning (p &lt; 0.001). In contrast, for lower pole punctures, the colon was more medially situated in the prone and prone-flexed positions compared to supine (p &lt; 0.001). With prone-flexed positioning, the left kidney was displaced lower than the right in 92.3% of cases. The prone-flexed modification increased the distance from the posterior iliac crest to the 12th and 11th ribs by 2.9 and 3.0 cm, respectively (p &lt; 0.001). If access was performed in the most superior calyx, this would have converted an upper pole access above the 11th rib to one above the 12th rib in 5 of 11 patients (45.5%). CONCLUSIONS: Prone-flexed positioning is a simple modification that provides improved access to the upper pole and more mobility for lower pole percutaneous nephrolithotomy. This position is well tolerated and has several advantages over other patient positions, including the supine position.", "author" : [ { "dropping-particle" : "", "family" : "Ray", "given" : "A Andrew", "non-dropping-particle" : "", "parse-names" : false, "suffix" : "" }, { "dropping-particle" : "", "family" : "Chung", "given" : "Dae-Gyun", "non-dropping-particle" : "", "parse-names" : false, "suffix" : "" }, { "dropping-particle" : "", "family" : "Honey", "given" : "R John D'A", "non-dropping-particle" : "", "parse-names" : false, "suffix" : "" } ], "container-title" : "Journal of endourology / Endourological Society", "id" : "ITEM-1", "issued" : { "date-parts" : [ [ "2009" ] ] }, "page" : "1607-1614", "title" : "Percutaneous nephrolithotomy in the prone and prone-flexed positions: anatomic considerations.", "type" : "article-journal", "volume" : "23" }, "uris" : [ "http://www.mendeley.com/documents/?uuid=0127efae-acc0-4384-93e8-cfccd7d9c808" ] } ], "mendeley" : { "previouslyFormattedCitation" : "(6)" }, "properties" : { "noteIndex" : 0 }, "schema" : "https://github.com/citation-style-language/schema/raw/master/csl-citation.json" }</w:instrText>
      </w:r>
      <w:r w:rsidR="0098134D" w:rsidRPr="008A28E4">
        <w:rPr>
          <w:rFonts w:ascii="Book Antiqua" w:hAnsi="Book Antiqua" w:cs="Times New Roman"/>
          <w:sz w:val="24"/>
          <w:szCs w:val="24"/>
          <w:vertAlign w:val="superscript"/>
        </w:rPr>
        <w:fldChar w:fldCharType="separate"/>
      </w:r>
      <w:r w:rsidR="0000796D" w:rsidRPr="008A28E4">
        <w:rPr>
          <w:rFonts w:ascii="Book Antiqua" w:hAnsi="Book Antiqua" w:cs="Times New Roman"/>
          <w:noProof/>
          <w:sz w:val="24"/>
          <w:szCs w:val="24"/>
          <w:vertAlign w:val="superscript"/>
        </w:rPr>
        <w:t>[</w:t>
      </w:r>
      <w:r w:rsidRPr="008A28E4">
        <w:rPr>
          <w:rFonts w:ascii="Book Antiqua" w:hAnsi="Book Antiqua" w:cs="Times New Roman"/>
          <w:noProof/>
          <w:sz w:val="24"/>
          <w:szCs w:val="24"/>
          <w:vertAlign w:val="superscript"/>
        </w:rPr>
        <w:t>9</w:t>
      </w:r>
      <w:r w:rsidR="0098134D" w:rsidRPr="008A28E4">
        <w:rPr>
          <w:rFonts w:ascii="Book Antiqua" w:hAnsi="Book Antiqua" w:cs="Times New Roman"/>
          <w:sz w:val="24"/>
          <w:szCs w:val="24"/>
          <w:vertAlign w:val="superscript"/>
        </w:rPr>
        <w:fldChar w:fldCharType="end"/>
      </w:r>
      <w:r w:rsidR="0000796D" w:rsidRPr="008A28E4">
        <w:rPr>
          <w:rFonts w:ascii="Book Antiqua" w:hAnsi="Book Antiqua" w:cs="Times New Roman"/>
          <w:sz w:val="24"/>
          <w:szCs w:val="24"/>
          <w:vertAlign w:val="superscript"/>
        </w:rPr>
        <w:t>]</w:t>
      </w:r>
      <w:r w:rsidRPr="008A28E4">
        <w:rPr>
          <w:rFonts w:ascii="Book Antiqua" w:hAnsi="Book Antiqua" w:cs="Times New Roman"/>
          <w:sz w:val="24"/>
          <w:szCs w:val="24"/>
        </w:rPr>
        <w:t>.</w:t>
      </w:r>
    </w:p>
    <w:p w:rsidR="0077312E" w:rsidRPr="008A28E4" w:rsidRDefault="0077312E" w:rsidP="008A28E4">
      <w:pPr>
        <w:pStyle w:val="ListParagraph"/>
        <w:spacing w:after="0" w:line="360" w:lineRule="auto"/>
        <w:ind w:left="0"/>
        <w:jc w:val="both"/>
        <w:rPr>
          <w:rFonts w:ascii="Book Antiqua" w:hAnsi="Book Antiqua" w:cs="Times New Roman"/>
          <w:b/>
          <w:sz w:val="24"/>
          <w:szCs w:val="24"/>
          <w:lang w:eastAsia="zh-CN"/>
        </w:rPr>
      </w:pPr>
    </w:p>
    <w:p w:rsidR="00C2014D" w:rsidRPr="008A28E4" w:rsidRDefault="00505DA4" w:rsidP="008A28E4">
      <w:pPr>
        <w:pStyle w:val="ListParagraph"/>
        <w:spacing w:after="0" w:line="360" w:lineRule="auto"/>
        <w:ind w:left="0"/>
        <w:jc w:val="both"/>
        <w:rPr>
          <w:rFonts w:ascii="Book Antiqua" w:hAnsi="Book Antiqua" w:cs="Times New Roman"/>
          <w:b/>
          <w:sz w:val="24"/>
          <w:szCs w:val="24"/>
        </w:rPr>
      </w:pPr>
      <w:r w:rsidRPr="008A28E4">
        <w:rPr>
          <w:rFonts w:ascii="Book Antiqua" w:hAnsi="Book Antiqua" w:cs="Times New Roman"/>
          <w:b/>
          <w:sz w:val="24"/>
          <w:szCs w:val="24"/>
        </w:rPr>
        <w:t>NEEDLE USED FOR PUNCTURE</w:t>
      </w:r>
    </w:p>
    <w:p w:rsidR="00C2014D" w:rsidRPr="008A28E4" w:rsidRDefault="00C2014D" w:rsidP="008A28E4">
      <w:pPr>
        <w:spacing w:after="0" w:line="360" w:lineRule="auto"/>
        <w:jc w:val="both"/>
        <w:rPr>
          <w:rFonts w:ascii="Book Antiqua" w:hAnsi="Book Antiqua" w:cs="Times New Roman"/>
          <w:sz w:val="24"/>
          <w:szCs w:val="24"/>
        </w:rPr>
      </w:pPr>
      <w:r w:rsidRPr="008A28E4">
        <w:rPr>
          <w:rFonts w:ascii="Book Antiqua" w:hAnsi="Book Antiqua" w:cs="Times New Roman"/>
          <w:sz w:val="24"/>
          <w:szCs w:val="24"/>
        </w:rPr>
        <w:t>A diamond tip needle and not a bevel tip needle should be used for puncture. A diamond tip needle has symmetrical tip which exerts equal force in all directions on the tissue. Hence the tissue is cut in the moving direction of the needle tip.  A bevel-tip needle exerts forces asymmetrically so cutting of the tissue occurs at an offset angle depending on the bevel angle, needle fl</w:t>
      </w:r>
      <w:r w:rsidR="0077312E" w:rsidRPr="008A28E4">
        <w:rPr>
          <w:rFonts w:ascii="Book Antiqua" w:hAnsi="Book Antiqua" w:cs="Times New Roman"/>
          <w:sz w:val="24"/>
          <w:szCs w:val="24"/>
        </w:rPr>
        <w:t>exibility and tissue properties</w:t>
      </w:r>
      <w:r w:rsidR="0098134D" w:rsidRPr="008A28E4">
        <w:rPr>
          <w:rFonts w:ascii="Book Antiqua" w:hAnsi="Book Antiqua" w:cs="Times New Roman"/>
          <w:sz w:val="24"/>
          <w:szCs w:val="24"/>
          <w:vertAlign w:val="superscript"/>
        </w:rPr>
        <w:fldChar w:fldCharType="begin" w:fldLock="1"/>
      </w:r>
      <w:r w:rsidRPr="008A28E4">
        <w:rPr>
          <w:rFonts w:ascii="Book Antiqua" w:hAnsi="Book Antiqua" w:cs="Times New Roman"/>
          <w:sz w:val="24"/>
          <w:szCs w:val="24"/>
          <w:vertAlign w:val="superscript"/>
        </w:rPr>
        <w:instrText>ADDIN CSL_CITATION { "citationItems" : [ { "id" : "ITEM-1", "itemData" : { "DOI" : "10.1016/j.medengphy.2006.07.003", "ISBN" : "1350-4533", "ISSN" : "13504533", "PMID" : "16938481", "abstract" : "Needle insertion in soft tissue has attracted considerable attention in recent years due to its application in minimally invasive percutaneous procedures such as biopsies and brachytherapy. This paper presents a survey of the current state of research on needle insertion in soft tissue. It examines the topic from several aspects, e.g. modeling needle insertion forces, modeling tissue deformation and needle deflection during insertion, robot-assisted needle insertion, and the effect of different trajectories on tissue deformation. All studies show that the axial force of a needle during insertion in soft tissue is the summation of different forces distributed along the needle shaft such as stiffness force, frictional force and cutting force. Some studies have modeled these forces. The force data in some procedures is used for identifying tissue layers as the needle is inserted or for path planning. Needle deflection and tissue deformation are major problems for accurate needle insertion and attempts have been made to model them. Using current models several insertion techniques have been developed which are briefly reviewed in this paper. ?? 2006 IPEM.", "author" : [ { "dropping-particle" : "", "family" : "Abolhassani", "given" : "Niki", "non-dropping-particle" : "", "parse-names" : false, "suffix" : "" }, { "dropping-particle" : "", "family" : "Patel", "given" : "Rajni", "non-dropping-particle" : "", "parse-names" : false, "suffix" : "" }, { "dropping-particle" : "", "family" : "Moallem", "given" : "Mehrdad", "non-dropping-particle" : "", "parse-names" : false, "suffix" : "" } ], "container-title" : "Medical Engineering and Physics", "id" : "ITEM-1", "issued" : { "date-parts" : [ [ "2007" ] ] }, "page" : "413-431", "title" : "Needle insertion into soft tissue: A survey", "type" : "article-journal", "volume" : "29" }, "uris" : [ "http://www.mendeley.com/documents/?uuid=7089bdd5-97eb-42a0-a1f7-5aaba7f37f61" ] } ], "mendeley" : { "previouslyFormattedCitation" : "(34)" }, "properties" : { "noteIndex" : 0 }, "schema" : "https://github.com/citation-style-language/schema/raw/master/csl-citation.json" }</w:instrText>
      </w:r>
      <w:r w:rsidR="0098134D" w:rsidRPr="008A28E4">
        <w:rPr>
          <w:rFonts w:ascii="Book Antiqua" w:hAnsi="Book Antiqua" w:cs="Times New Roman"/>
          <w:sz w:val="24"/>
          <w:szCs w:val="24"/>
          <w:vertAlign w:val="superscript"/>
        </w:rPr>
        <w:fldChar w:fldCharType="separate"/>
      </w:r>
      <w:r w:rsidR="0000796D" w:rsidRPr="008A28E4">
        <w:rPr>
          <w:rFonts w:ascii="Book Antiqua" w:hAnsi="Book Antiqua" w:cs="Times New Roman"/>
          <w:noProof/>
          <w:sz w:val="24"/>
          <w:szCs w:val="24"/>
          <w:vertAlign w:val="superscript"/>
        </w:rPr>
        <w:t>[</w:t>
      </w:r>
      <w:r w:rsidRPr="008A28E4">
        <w:rPr>
          <w:rFonts w:ascii="Book Antiqua" w:hAnsi="Book Antiqua" w:cs="Times New Roman"/>
          <w:noProof/>
          <w:sz w:val="24"/>
          <w:szCs w:val="24"/>
          <w:vertAlign w:val="superscript"/>
        </w:rPr>
        <w:t>39</w:t>
      </w:r>
      <w:r w:rsidR="0098134D" w:rsidRPr="008A28E4">
        <w:rPr>
          <w:rFonts w:ascii="Book Antiqua" w:hAnsi="Book Antiqua" w:cs="Times New Roman"/>
          <w:sz w:val="24"/>
          <w:szCs w:val="24"/>
          <w:vertAlign w:val="superscript"/>
        </w:rPr>
        <w:fldChar w:fldCharType="end"/>
      </w:r>
      <w:r w:rsidR="0000796D" w:rsidRPr="008A28E4">
        <w:rPr>
          <w:rFonts w:ascii="Book Antiqua" w:hAnsi="Book Antiqua" w:cs="Times New Roman"/>
          <w:sz w:val="24"/>
          <w:szCs w:val="24"/>
          <w:vertAlign w:val="superscript"/>
        </w:rPr>
        <w:t>]</w:t>
      </w:r>
      <w:r w:rsidRPr="008A28E4">
        <w:rPr>
          <w:rFonts w:ascii="Book Antiqua" w:hAnsi="Book Antiqua" w:cs="Times New Roman"/>
          <w:sz w:val="24"/>
          <w:szCs w:val="24"/>
        </w:rPr>
        <w:t>. The size of the needle used for puncture is a matter of debate. The options are a 21 gauge needle (which allows a 0.018 inch guide wire) or an 18 gauge needle (which allows a 0.035 inch guide wire). The 18 gauge needle is stiffer but more traumatic. The 21 gauge needle is less traumatic but less stiff and hence cannot maintain the trajectory adequately. Also, the 0.018 inch guide wire that passes through the 21 gauge needle must be exchanged for a standard 0.035 inch guide wire for subsequent tract dilatation. This requires an extra step, which adds to the complexity of the procedure and increases the risk of loss of access. Weighing the pros and cons of both it would be rational to use the 21 gauge needle when the surgeon is less experienced or if minimizing trauma is the need of the moment. The 18 gauge needle should be used by an experienced surgeon who is confident of attaining access with minimum attempts</w:t>
      </w:r>
      <w:r w:rsidR="0098134D" w:rsidRPr="008A28E4">
        <w:rPr>
          <w:rFonts w:ascii="Book Antiqua" w:hAnsi="Book Antiqua" w:cs="Times New Roman"/>
          <w:sz w:val="24"/>
          <w:szCs w:val="24"/>
          <w:vertAlign w:val="superscript"/>
        </w:rPr>
        <w:fldChar w:fldCharType="begin" w:fldLock="1"/>
      </w:r>
      <w:r w:rsidRPr="008A28E4">
        <w:rPr>
          <w:rFonts w:ascii="Book Antiqua" w:hAnsi="Book Antiqua" w:cs="Times New Roman"/>
          <w:sz w:val="24"/>
          <w:szCs w:val="24"/>
          <w:vertAlign w:val="superscript"/>
        </w:rPr>
        <w:instrText>ADDIN CSL_CITATION { "citationItems" : [ { "id" : "ITEM-1", "itemData" : { "DOI" : "10.1016/B978-1-4160-6911-9.00061-X", "ISBN" : "978-1-4160-6911-9", "abstract" : "Master the most important elements in urology with Campbell-Walsh Urology 10th Edition Review, the companion study guide to the most trusted clinical reference in the field. This review source, skillfully constructed by Drs. McDougal, Wein, Kavoussi, Novick, Partin, Peters, and Ramchandani, covers all of the core material you need to know and offers an efficient, reliable approach for board exam preparation. Interactive multiple-choice questions, self-assessment tools, an extensive image bank, and more are accessible at www.expertconsult.com. Rely on definitive, expert guidance from the same respected authorities that made Campbell-Walsh Urology the most trusted clinical reference source in the field.  Assess and deepen your understanding of key information with answers and rationales for more than 2,800 board-style multiple-choice study questions. Over 2,800 board-style multiple-choice questions provide a realistic simulation of the actual board experience. Deepen your grasp of critical concepts by studying supporting pathology and radiologic images and understanding their correlation to key points. Benefit from the consistency of all questions, answers, and rationales re-written by a single author. Measure your proficiency with interactive self-assessment questions online. Access the complete text and question bank online at www.expertconsult.com. Get the most from your board prep by pairing this review with its parent text, Campbell-Walsh Urology, for detailed explanations and an enhanced learning experience.", "author" : [ { "dropping-particle" : "", "family" : "Wein", "given" : "Alan J.", "non-dropping-particle" : "", "parse-names" : false, "suffix" : "" }, { "dropping-particle" : "", "family" : "Kavoussi", "given" : "Louis R.", "non-dropping-particle" : "", "parse-names" : false, "suffix" : "" }, { "dropping-particle" : "", "family" : "Novick", "given" : "Andrew C.", "non-dropping-particle" : "", "parse-names" : false, "suffix" : "" }, { "dropping-particle" : "", "family" : "Partin", "given" : "Alan W.", "non-dropping-particle" : "", "parse-names" : false, "suffix" : "" }, { "dropping-particle" : "", "family" : "Peters", "given" : "Craig A.", "non-dropping-particle" : "", "parse-names" : false, "suffix" : "" } ], "container-title" : "Campbell-Walsh Urology", "id" : "ITEM-1", "issued" : { "date-parts" : [ [ "2012" ] ] }, "page" : "1834-1846", "title" : "Campbell-Walsh Urology 10th Edition", "type" : "book" }, "uris" : [ "http://www.mendeley.com/documents/?uuid=64a7064a-b516-46e3-a775-ec5d5151f01d", "http://www.mendeley.com/documents/?uuid=aa562c25-7ea9-4b50-8cf3-7a1f416cd49f" ] } ], "mendeley" : { "previouslyFormattedCitation" : "(35)" }, "properties" : { "noteIndex" : 0 }, "schema" : "https://github.com/citation-style-language/schema/raw/master/csl-citation.json" }</w:instrText>
      </w:r>
      <w:r w:rsidR="0098134D" w:rsidRPr="008A28E4">
        <w:rPr>
          <w:rFonts w:ascii="Book Antiqua" w:hAnsi="Book Antiqua" w:cs="Times New Roman"/>
          <w:sz w:val="24"/>
          <w:szCs w:val="24"/>
          <w:vertAlign w:val="superscript"/>
        </w:rPr>
        <w:fldChar w:fldCharType="separate"/>
      </w:r>
      <w:r w:rsidR="0000796D" w:rsidRPr="008A28E4">
        <w:rPr>
          <w:rFonts w:ascii="Book Antiqua" w:hAnsi="Book Antiqua" w:cs="Times New Roman"/>
          <w:noProof/>
          <w:sz w:val="24"/>
          <w:szCs w:val="24"/>
          <w:vertAlign w:val="superscript"/>
        </w:rPr>
        <w:t>[</w:t>
      </w:r>
      <w:r w:rsidRPr="008A28E4">
        <w:rPr>
          <w:rFonts w:ascii="Book Antiqua" w:hAnsi="Book Antiqua" w:cs="Times New Roman"/>
          <w:noProof/>
          <w:sz w:val="24"/>
          <w:szCs w:val="24"/>
          <w:vertAlign w:val="superscript"/>
        </w:rPr>
        <w:t>40</w:t>
      </w:r>
      <w:r w:rsidR="0098134D" w:rsidRPr="008A28E4">
        <w:rPr>
          <w:rFonts w:ascii="Book Antiqua" w:hAnsi="Book Antiqua" w:cs="Times New Roman"/>
          <w:sz w:val="24"/>
          <w:szCs w:val="24"/>
          <w:vertAlign w:val="superscript"/>
        </w:rPr>
        <w:fldChar w:fldCharType="end"/>
      </w:r>
      <w:r w:rsidR="0000796D" w:rsidRPr="008A28E4">
        <w:rPr>
          <w:rFonts w:ascii="Book Antiqua" w:hAnsi="Book Antiqua" w:cs="Times New Roman"/>
          <w:sz w:val="24"/>
          <w:szCs w:val="24"/>
          <w:vertAlign w:val="superscript"/>
        </w:rPr>
        <w:t>]</w:t>
      </w:r>
      <w:r w:rsidRPr="008A28E4">
        <w:rPr>
          <w:rFonts w:ascii="Book Antiqua" w:hAnsi="Book Antiqua" w:cs="Times New Roman"/>
          <w:sz w:val="24"/>
          <w:szCs w:val="24"/>
        </w:rPr>
        <w:t>.</w:t>
      </w:r>
    </w:p>
    <w:p w:rsidR="0077312E" w:rsidRPr="008A28E4" w:rsidRDefault="0077312E" w:rsidP="008A28E4">
      <w:pPr>
        <w:pStyle w:val="ListParagraph"/>
        <w:spacing w:after="0" w:line="360" w:lineRule="auto"/>
        <w:ind w:left="0"/>
        <w:jc w:val="both"/>
        <w:rPr>
          <w:rFonts w:ascii="Book Antiqua" w:hAnsi="Book Antiqua" w:cs="Times New Roman"/>
          <w:b/>
          <w:sz w:val="24"/>
          <w:szCs w:val="24"/>
          <w:lang w:eastAsia="zh-CN"/>
        </w:rPr>
      </w:pPr>
    </w:p>
    <w:p w:rsidR="00C2014D" w:rsidRPr="008A28E4" w:rsidRDefault="00505DA4" w:rsidP="008A28E4">
      <w:pPr>
        <w:pStyle w:val="ListParagraph"/>
        <w:spacing w:after="0" w:line="360" w:lineRule="auto"/>
        <w:ind w:left="0"/>
        <w:jc w:val="both"/>
        <w:rPr>
          <w:rFonts w:ascii="Book Antiqua" w:hAnsi="Book Antiqua" w:cs="Times New Roman"/>
          <w:b/>
          <w:sz w:val="24"/>
          <w:szCs w:val="24"/>
        </w:rPr>
      </w:pPr>
      <w:r w:rsidRPr="008A28E4">
        <w:rPr>
          <w:rFonts w:ascii="Book Antiqua" w:hAnsi="Book Antiqua" w:cs="Times New Roman"/>
          <w:b/>
          <w:sz w:val="24"/>
          <w:szCs w:val="24"/>
        </w:rPr>
        <w:t>WHAT SHOULD BE THE TRAJECTORY OF THE NEEDLE?</w:t>
      </w:r>
    </w:p>
    <w:p w:rsidR="00C2014D" w:rsidRPr="008A28E4" w:rsidRDefault="00C2014D" w:rsidP="008A28E4">
      <w:pPr>
        <w:pStyle w:val="ListParagraph"/>
        <w:spacing w:after="0" w:line="360" w:lineRule="auto"/>
        <w:ind w:left="0"/>
        <w:jc w:val="both"/>
        <w:rPr>
          <w:rFonts w:ascii="Book Antiqua" w:hAnsi="Book Antiqua" w:cs="Times New Roman"/>
          <w:sz w:val="24"/>
          <w:szCs w:val="24"/>
        </w:rPr>
      </w:pPr>
      <w:r w:rsidRPr="008A28E4">
        <w:rPr>
          <w:rFonts w:ascii="Book Antiqua" w:hAnsi="Book Antiqua" w:cs="Times New Roman"/>
          <w:sz w:val="24"/>
          <w:szCs w:val="24"/>
        </w:rPr>
        <w:t>Renal pelvis should not be punctured directly as there is very high risk of injuring a retro pelvic vessel (artery and/or vein).  Studies by Sampaio have proved beyond doubt that puncture through the infundibulum of a calyx is associated with a significant risk of significant bleeding from interlobar vessels. There is an added risk of through and through puncture of the collecting system. The risk of injury to a major arterial vessel is maximum in the upper pole</w:t>
      </w:r>
      <w:r w:rsidR="0000796D" w:rsidRPr="008A28E4">
        <w:rPr>
          <w:rFonts w:ascii="Book Antiqua" w:hAnsi="Book Antiqua" w:cs="Times New Roman"/>
          <w:sz w:val="24"/>
          <w:szCs w:val="24"/>
        </w:rPr>
        <w:t xml:space="preserve"> </w:t>
      </w:r>
      <w:r w:rsidRPr="008A28E4">
        <w:rPr>
          <w:rFonts w:ascii="Book Antiqua" w:hAnsi="Book Antiqua" w:cs="Times New Roman"/>
          <w:sz w:val="24"/>
          <w:szCs w:val="24"/>
        </w:rPr>
        <w:t>where puncture of the upper pole infundibulum puncture may cause damage to posterior segmental artery, which is related to the posterior surface of upper pole infundibulum in 57% of cases. Damage to this artery may lead to loss of upto50% of the renal parenchym</w:t>
      </w:r>
      <w:r w:rsidR="005009F7" w:rsidRPr="008A28E4">
        <w:rPr>
          <w:rFonts w:ascii="Book Antiqua" w:hAnsi="Book Antiqua" w:cs="Times New Roman"/>
          <w:sz w:val="24"/>
          <w:szCs w:val="24"/>
        </w:rPr>
        <w:t>a as well as serious hemorrhage</w:t>
      </w:r>
      <w:r w:rsidR="0098134D" w:rsidRPr="008A28E4">
        <w:rPr>
          <w:rFonts w:ascii="Book Antiqua" w:hAnsi="Book Antiqua" w:cs="Times New Roman"/>
          <w:sz w:val="24"/>
          <w:szCs w:val="24"/>
          <w:vertAlign w:val="superscript"/>
        </w:rPr>
        <w:fldChar w:fldCharType="begin" w:fldLock="1"/>
      </w:r>
      <w:r w:rsidRPr="008A28E4">
        <w:rPr>
          <w:rFonts w:ascii="Book Antiqua" w:hAnsi="Book Antiqua" w:cs="Times New Roman"/>
          <w:sz w:val="24"/>
          <w:szCs w:val="24"/>
          <w:vertAlign w:val="superscript"/>
        </w:rPr>
        <w:instrText>ADDIN CSL_CITATION { "citationItems" : [ { "id" : "ITEM-1", "itemData" : { "PMID" : "1433604", "abstract" : "In an attempt to determine the best route to puncture and access the kidney collecting system we studied 62, 3-dimensional polyester resin endocasts of the pelvicaliceal system together with the intrarenal vessels. A retrograde pyelogram was obtained, and the arterial and venous trees were injected with red and blue resins, respectively. When the resin was still in the gel state, the kidneys were positioned at 30 to 45 degrees and the collecting system was punctured under radioscopy. Since the resin is not opaque to x-ray the operator was not able to visualize the vessels while puncturing. After puncture, the needle was maintained in place, the contrast medium was removed and the pelvicaliceal system was filled with yellow resin. After the resin had set, the renal organic matter was corroded in acid and the endocast was obtained (with the needle in the original position). This type of preparation allowed us to examine the needle tract and the vessels damaged during the puncture. In the same kidney we punctured the superior pole, mid kidney and inferior pole. In some cases we also punctured the renal pelvis. We performed 104 punctures through an infundibulum, 39 through a fornix of a calix and 12 through the renal pelvis. Due to a high percentage of vascular lesions, intrarenal access through an infundibulum should be avoided. Also, renal pelvis puncture should be avoided. Regardless of the kidney region, puncture through a fornix of a calix was safe.", "author" : [ { "dropping-particle" : "", "family" : "Sampaio", "given" : "F J", "non-dropping-particle" : "", "parse-names" : false, "suffix" : "" }, { "dropping-particle" : "", "family" : "Zanier", "given" : "J F", "non-dropping-particle" : "", "parse-names" : false, "suffix" : "" }, { "dropping-particle" : "", "family" : "Arag\u00e3o", "given" : "A H", "non-dropping-particle" : "", "parse-names" : false, "suffix" : "" }, { "dropping-particle" : "", "family" : "Favorito", "given" : "L A", "non-dropping-particle" : "", "parse-names" : false, "suffix" : "" } ], "container-title" : "The Journal of urology", "id" : "ITEM-1", "issued" : { "date-parts" : [ [ "1992" ] ] }, "page" : "1769-1773", "title" : "Intrarenal access: 3-dimensional anatomical study.", "type" : "article-journal", "volume" : "148" }, "uris" : [ "http://www.mendeley.com/documents/?uuid=77bf56fb-ba5e-4849-b928-c2d8e619d0fc" ] }, { "id" : "ITEM-2", "itemData" : { "DOI" : "10.1097/00042307-200107000-00004", "ISSN" : "0963-0643", "PMID" : "11429494", "abstract" : "The anatomy of the kidney collecting system may play a role in the selection of the best method of kidney stone treatment for a specific patient. Also, an analysis of the collecting-system anatomy would indicate the likely effectiveness of each method of treatment. For stones located in the lower pole, the clearance rate after shockwave lithotripsy has been uniformly low relative to that of calculi elsewhere. Some special anatomical findings suggest that retention of what are considered to be 'passable stone fragments' (4 mm in diameter or less) in the inferior pole might be a consequence not only of the gravity-dependent position of lower calices but also of particular anatomical features of the inferior pole collecting system. The aspects reviewed and discussed are the angle formed between the main lower infundibulum and the renal pelvis (the infundibulopelvic angle), the lower infundibula diameters, the lower infundibulum length and height, and the lower calices spatial distribution. Also, the presence of minor calices perpendicular to the surface of the collecting system and drainage of superior and inferior poles are reviewed and discussed in the context of their importance to the effectiveness of renal stone treatment.", "author" : [ { "dropping-particle" : "", "family" : "Sampaio", "given" : "F J", "non-dropping-particle" : "", "parse-names" : false, "suffix" : "" } ], "container-title" : "Current opinion in urology", "id" : "ITEM-2", "issued" : { "date-parts" : [ [ "2001" ] ] }, "page" : "359-366", "title" : "Renal collecting system anatomy: its possible role in the effectiveness of renal stone treatment.", "type" : "article-journal", "volume" : "11" }, "uris" : [ "http://www.mendeley.com/documents/?uuid=e3960111-4864-4116-a2ed-e4c0a33811c8" ] } ], "mendeley" : { "previouslyFormattedCitation" : "(25,30)" }, "properties" : { "noteIndex" : 0 }, "schema" : "https://github.com/citation-style-language/schema/raw/master/csl-citation.json" }</w:instrText>
      </w:r>
      <w:r w:rsidR="0098134D" w:rsidRPr="008A28E4">
        <w:rPr>
          <w:rFonts w:ascii="Book Antiqua" w:hAnsi="Book Antiqua" w:cs="Times New Roman"/>
          <w:sz w:val="24"/>
          <w:szCs w:val="24"/>
          <w:vertAlign w:val="superscript"/>
        </w:rPr>
        <w:fldChar w:fldCharType="separate"/>
      </w:r>
      <w:r w:rsidR="0000796D" w:rsidRPr="008A28E4">
        <w:rPr>
          <w:rFonts w:ascii="Book Antiqua" w:hAnsi="Book Antiqua" w:cs="Times New Roman"/>
          <w:noProof/>
          <w:sz w:val="24"/>
          <w:szCs w:val="24"/>
          <w:vertAlign w:val="superscript"/>
        </w:rPr>
        <w:t>[</w:t>
      </w:r>
      <w:r w:rsidR="005009F7" w:rsidRPr="008A28E4">
        <w:rPr>
          <w:rFonts w:ascii="Book Antiqua" w:hAnsi="Book Antiqua" w:cs="Times New Roman"/>
          <w:noProof/>
          <w:sz w:val="24"/>
          <w:szCs w:val="24"/>
          <w:vertAlign w:val="superscript"/>
        </w:rPr>
        <w:t>30,</w:t>
      </w:r>
      <w:r w:rsidRPr="008A28E4">
        <w:rPr>
          <w:rFonts w:ascii="Book Antiqua" w:hAnsi="Book Antiqua" w:cs="Times New Roman"/>
          <w:noProof/>
          <w:sz w:val="24"/>
          <w:szCs w:val="24"/>
          <w:vertAlign w:val="superscript"/>
        </w:rPr>
        <w:t>35</w:t>
      </w:r>
      <w:r w:rsidR="0098134D" w:rsidRPr="008A28E4">
        <w:rPr>
          <w:rFonts w:ascii="Book Antiqua" w:hAnsi="Book Antiqua" w:cs="Times New Roman"/>
          <w:sz w:val="24"/>
          <w:szCs w:val="24"/>
          <w:vertAlign w:val="superscript"/>
        </w:rPr>
        <w:fldChar w:fldCharType="end"/>
      </w:r>
      <w:r w:rsidR="0000796D" w:rsidRPr="008A28E4">
        <w:rPr>
          <w:rFonts w:ascii="Book Antiqua" w:hAnsi="Book Antiqua" w:cs="Times New Roman"/>
          <w:sz w:val="24"/>
          <w:szCs w:val="24"/>
          <w:vertAlign w:val="superscript"/>
        </w:rPr>
        <w:t>]</w:t>
      </w:r>
      <w:r w:rsidRPr="008A28E4">
        <w:rPr>
          <w:rFonts w:ascii="Book Antiqua" w:hAnsi="Book Antiqua" w:cs="Times New Roman"/>
          <w:sz w:val="24"/>
          <w:szCs w:val="24"/>
        </w:rPr>
        <w:t>.</w:t>
      </w:r>
    </w:p>
    <w:p w:rsidR="00C2014D" w:rsidRPr="008A28E4" w:rsidRDefault="00C2014D" w:rsidP="008A28E4">
      <w:pPr>
        <w:pStyle w:val="ListParagraph"/>
        <w:spacing w:after="0" w:line="360" w:lineRule="auto"/>
        <w:ind w:left="0"/>
        <w:jc w:val="both"/>
        <w:rPr>
          <w:rFonts w:ascii="Book Antiqua" w:hAnsi="Book Antiqua" w:cs="Times New Roman"/>
          <w:sz w:val="24"/>
          <w:szCs w:val="24"/>
        </w:rPr>
      </w:pPr>
      <w:r w:rsidRPr="008A28E4">
        <w:rPr>
          <w:rFonts w:ascii="Book Antiqua" w:hAnsi="Book Antiqua" w:cs="Times New Roman"/>
          <w:sz w:val="24"/>
          <w:szCs w:val="24"/>
        </w:rPr>
        <w:t xml:space="preserve">The trajectory of the needle during puncture should be such that it aims at the fornix and not at the infundibula </w:t>
      </w:r>
      <w:r w:rsidRPr="008A28E4">
        <w:rPr>
          <w:rFonts w:ascii="Book Antiqua" w:hAnsi="Book Antiqua" w:cs="Times New Roman"/>
          <w:bCs/>
          <w:sz w:val="24"/>
          <w:szCs w:val="24"/>
        </w:rPr>
        <w:t>(Figure 5)</w:t>
      </w:r>
      <w:r w:rsidRPr="008A28E4">
        <w:rPr>
          <w:rFonts w:ascii="Book Antiqua" w:hAnsi="Book Antiqua" w:cs="Times New Roman"/>
          <w:sz w:val="24"/>
          <w:szCs w:val="24"/>
        </w:rPr>
        <w:t>. In other words we should aim for the center of the calyx posterolaterally via the renal parenchyma. When puncture is made through a fornix, no arterial injury occurs and venous injury occurs in less than 8% cases</w:t>
      </w:r>
      <w:r w:rsidR="0098134D" w:rsidRPr="008A28E4">
        <w:rPr>
          <w:rFonts w:ascii="Book Antiqua" w:hAnsi="Book Antiqua" w:cs="Times New Roman"/>
          <w:sz w:val="24"/>
          <w:szCs w:val="24"/>
          <w:vertAlign w:val="superscript"/>
        </w:rPr>
        <w:fldChar w:fldCharType="begin" w:fldLock="1"/>
      </w:r>
      <w:r w:rsidRPr="008A28E4">
        <w:rPr>
          <w:rFonts w:ascii="Book Antiqua" w:hAnsi="Book Antiqua" w:cs="Times New Roman"/>
          <w:sz w:val="24"/>
          <w:szCs w:val="24"/>
          <w:vertAlign w:val="superscript"/>
        </w:rPr>
        <w:instrText>ADDIN CSL_CITATION { "citationItems" : [ { "id" : "ITEM-1", "itemData" : { "PMID" : "1433604", "abstract" : "In an attempt to determine the best route to puncture and access the kidney collecting system we studied 62, 3-dimensional polyester resin endocasts of the pelvicaliceal system together with the intrarenal vessels. A retrograde pyelogram was obtained, and the arterial and venous trees were injected with red and blue resins, respectively. When the resin was still in the gel state, the kidneys were positioned at 30 to 45 degrees and the collecting system was punctured under radioscopy. Since the resin is not opaque to x-ray the operator was not able to visualize the vessels while puncturing. After puncture, the needle was maintained in place, the contrast medium was removed and the pelvicaliceal system was filled with yellow resin. After the resin had set, the renal organic matter was corroded in acid and the endocast was obtained (with the needle in the original position). This type of preparation allowed us to examine the needle tract and the vessels damaged during the puncture. In the same kidney we punctured the superior pole, mid kidney and inferior pole. In some cases we also punctured the renal pelvis. We performed 104 punctures through an infundibulum, 39 through a fornix of a calix and 12 through the renal pelvis. Due to a high percentage of vascular lesions, intrarenal access through an infundibulum should be avoided. Also, renal pelvis puncture should be avoided. Regardless of the kidney region, puncture through a fornix of a calix was safe.", "author" : [ { "dropping-particle" : "", "family" : "Sampaio", "given" : "F J", "non-dropping-particle" : "", "parse-names" : false, "suffix" : "" }, { "dropping-particle" : "", "family" : "Zanier", "given" : "J F", "non-dropping-particle" : "", "parse-names" : false, "suffix" : "" }, { "dropping-particle" : "", "family" : "Arag\u00e3o", "given" : "A H", "non-dropping-particle" : "", "parse-names" : false, "suffix" : "" }, { "dropping-particle" : "", "family" : "Favorito", "given" : "L A", "non-dropping-particle" : "", "parse-names" : false, "suffix" : "" } ], "container-title" : "The Journal of urology", "id" : "ITEM-1", "issued" : { "date-parts" : [ [ "1992" ] ] }, "page" : "1769-1773", "title" : "Intrarenal access: 3-dimensional anatomical study.", "type" : "article-journal", "volume" : "148" }, "uris" : [ "http://www.mendeley.com/documents/?uuid=77bf56fb-ba5e-4849-b928-c2d8e619d0fc" ] } ], "mendeley" : { "previouslyFormattedCitation" : "(25)" }, "properties" : { "noteIndex" : 0 }, "schema" : "https://github.com/citation-style-language/schema/raw/master/csl-citation.json" }</w:instrText>
      </w:r>
      <w:r w:rsidR="0098134D" w:rsidRPr="008A28E4">
        <w:rPr>
          <w:rFonts w:ascii="Book Antiqua" w:hAnsi="Book Antiqua" w:cs="Times New Roman"/>
          <w:sz w:val="24"/>
          <w:szCs w:val="24"/>
          <w:vertAlign w:val="superscript"/>
        </w:rPr>
        <w:fldChar w:fldCharType="separate"/>
      </w:r>
      <w:r w:rsidR="0000796D" w:rsidRPr="008A28E4">
        <w:rPr>
          <w:rFonts w:ascii="Book Antiqua" w:hAnsi="Book Antiqua" w:cs="Times New Roman"/>
          <w:noProof/>
          <w:sz w:val="24"/>
          <w:szCs w:val="24"/>
          <w:vertAlign w:val="superscript"/>
        </w:rPr>
        <w:t>[</w:t>
      </w:r>
      <w:r w:rsidRPr="008A28E4">
        <w:rPr>
          <w:rFonts w:ascii="Book Antiqua" w:hAnsi="Book Antiqua" w:cs="Times New Roman"/>
          <w:noProof/>
          <w:sz w:val="24"/>
          <w:szCs w:val="24"/>
          <w:vertAlign w:val="superscript"/>
        </w:rPr>
        <w:t>30</w:t>
      </w:r>
      <w:r w:rsidR="0098134D" w:rsidRPr="008A28E4">
        <w:rPr>
          <w:rFonts w:ascii="Book Antiqua" w:hAnsi="Book Antiqua" w:cs="Times New Roman"/>
          <w:sz w:val="24"/>
          <w:szCs w:val="24"/>
          <w:vertAlign w:val="superscript"/>
        </w:rPr>
        <w:fldChar w:fldCharType="end"/>
      </w:r>
      <w:r w:rsidR="0000796D" w:rsidRPr="008A28E4">
        <w:rPr>
          <w:rFonts w:ascii="Book Antiqua" w:hAnsi="Book Antiqua" w:cs="Times New Roman"/>
          <w:sz w:val="24"/>
          <w:szCs w:val="24"/>
          <w:vertAlign w:val="superscript"/>
        </w:rPr>
        <w:t>]</w:t>
      </w:r>
      <w:r w:rsidRPr="008A28E4">
        <w:rPr>
          <w:rFonts w:ascii="Book Antiqua" w:hAnsi="Book Antiqua" w:cs="Times New Roman"/>
          <w:sz w:val="24"/>
          <w:szCs w:val="24"/>
        </w:rPr>
        <w:t>.</w:t>
      </w:r>
    </w:p>
    <w:p w:rsidR="0077312E" w:rsidRPr="008A28E4" w:rsidRDefault="0077312E" w:rsidP="008A28E4">
      <w:pPr>
        <w:pStyle w:val="ListParagraph"/>
        <w:spacing w:after="0" w:line="360" w:lineRule="auto"/>
        <w:ind w:left="0"/>
        <w:jc w:val="both"/>
        <w:rPr>
          <w:rFonts w:ascii="Book Antiqua" w:hAnsi="Book Antiqua" w:cs="Times New Roman"/>
          <w:b/>
          <w:sz w:val="24"/>
          <w:szCs w:val="24"/>
          <w:lang w:eastAsia="zh-CN"/>
        </w:rPr>
      </w:pPr>
    </w:p>
    <w:p w:rsidR="00C2014D" w:rsidRPr="008A28E4" w:rsidRDefault="00505DA4" w:rsidP="008A28E4">
      <w:pPr>
        <w:pStyle w:val="ListParagraph"/>
        <w:spacing w:after="0" w:line="360" w:lineRule="auto"/>
        <w:ind w:left="0"/>
        <w:jc w:val="both"/>
        <w:rPr>
          <w:rFonts w:ascii="Book Antiqua" w:hAnsi="Book Antiqua" w:cs="Times New Roman"/>
          <w:b/>
          <w:sz w:val="24"/>
          <w:szCs w:val="24"/>
        </w:rPr>
      </w:pPr>
      <w:r w:rsidRPr="008A28E4">
        <w:rPr>
          <w:rFonts w:ascii="Book Antiqua" w:hAnsi="Book Antiqua" w:cs="Times New Roman"/>
          <w:b/>
          <w:sz w:val="24"/>
          <w:szCs w:val="24"/>
        </w:rPr>
        <w:t>CRITERIA FOR A GOOD PUNCTURE</w:t>
      </w:r>
    </w:p>
    <w:p w:rsidR="00C2014D" w:rsidRPr="008A28E4" w:rsidRDefault="00C2014D" w:rsidP="008A28E4">
      <w:pPr>
        <w:spacing w:after="0" w:line="360" w:lineRule="auto"/>
        <w:jc w:val="both"/>
        <w:rPr>
          <w:rFonts w:ascii="Book Antiqua" w:hAnsi="Book Antiqua" w:cs="Times New Roman"/>
          <w:sz w:val="24"/>
          <w:szCs w:val="24"/>
          <w:lang w:eastAsia="zh-CN"/>
        </w:rPr>
      </w:pPr>
      <w:r w:rsidRPr="008A28E4">
        <w:rPr>
          <w:rFonts w:ascii="Book Antiqua" w:hAnsi="Book Antiqua" w:cs="Times New Roman"/>
          <w:sz w:val="24"/>
          <w:szCs w:val="24"/>
        </w:rPr>
        <w:t>Percutaneous renal access through a calyx must meet five conditions that guarantee safe access and avoids complications</w:t>
      </w:r>
      <w:r w:rsidR="0098134D" w:rsidRPr="008A28E4">
        <w:rPr>
          <w:rFonts w:ascii="Book Antiqua" w:hAnsi="Book Antiqua" w:cs="Times New Roman"/>
          <w:sz w:val="24"/>
          <w:szCs w:val="24"/>
          <w:vertAlign w:val="superscript"/>
        </w:rPr>
        <w:fldChar w:fldCharType="begin" w:fldLock="1"/>
      </w:r>
      <w:r w:rsidRPr="008A28E4">
        <w:rPr>
          <w:rFonts w:ascii="Book Antiqua" w:hAnsi="Book Antiqua" w:cs="Times New Roman"/>
          <w:sz w:val="24"/>
          <w:szCs w:val="24"/>
          <w:vertAlign w:val="superscript"/>
        </w:rPr>
        <w:instrText>ADDIN CSL_CITATION { "citationItems" : [ { "id" : "ITEM-1", "itemData" : { "ISBN" : "1550093657", "abstract" : "Endourology is a dynamic subspecialty involving closed, controlled manipulation within the genitourinary tract. In the past decade the creative efforts of many urologists, radiologists, and engineers have vastly expanded endoscopic technique, to the great benefit of patients with stones, obstruction, cancer, diverticula, cysts, adrenal disease, varices, and diseases of the bladder. This definitive text addresses every aspect of endourologic procedure including methods of access, operative techniques, complications, and postoperative care. The reader is taken, step-by-step, through cutaneous surgery, ureteroscopy, extracorporeal shock wave lithotripsy, laparoscopy, and lower urinary tract procedures. The principles and function of state-of-the-art endourologic instruments are outlined for each procedure. The authorship reads like a Who\u00e2\u20ac\u2122s Who in endodurology . The breadth and depth of their experience is evident throughout the text.", "author" : [ { "dropping-particle" : "", "family" : "Yamin", "given" : "Alicia Ely", "non-dropping-particle" : "", "parse-names" : false, "suffix" : "" }, { "dropping-particle" : "", "family" : "Project", "given" : "Utilization", "non-dropping-particle" : "", "parse-names" : false, "suffix" : "" }, { "dropping-particle" : "", "family" : "Inpatient", "given" : "Nationwide", "non-dropping-particle" : "", "parse-names" : false, "suffix" : "" } ], "container-title" : "New York", "id" : "ITEM-1", "issued" : { "date-parts" : [ [ "2008" ] ] }, "page" : "653-654", "title" : "Smith\u2019s Textbook of Endourology", "type" : "article-journal" }, "uris" : [ "http://www.mendeley.com/documents/?uuid=45710abe-d906-4abb-be37-80035d140f29" ] } ], "mendeley" : { "previouslyFormattedCitation" : "(36)" }, "properties" : { "noteIndex" : 0 }, "schema" : "https://github.com/citation-style-language/schema/raw/master/csl-citation.json" }</w:instrText>
      </w:r>
      <w:r w:rsidR="0098134D" w:rsidRPr="008A28E4">
        <w:rPr>
          <w:rFonts w:ascii="Book Antiqua" w:hAnsi="Book Antiqua" w:cs="Times New Roman"/>
          <w:sz w:val="24"/>
          <w:szCs w:val="24"/>
          <w:vertAlign w:val="superscript"/>
        </w:rPr>
        <w:fldChar w:fldCharType="separate"/>
      </w:r>
      <w:r w:rsidR="0000796D" w:rsidRPr="008A28E4">
        <w:rPr>
          <w:rFonts w:ascii="Book Antiqua" w:hAnsi="Book Antiqua" w:cs="Times New Roman"/>
          <w:noProof/>
          <w:sz w:val="24"/>
          <w:szCs w:val="24"/>
          <w:vertAlign w:val="superscript"/>
        </w:rPr>
        <w:t>[</w:t>
      </w:r>
      <w:r w:rsidRPr="008A28E4">
        <w:rPr>
          <w:rFonts w:ascii="Book Antiqua" w:hAnsi="Book Antiqua" w:cs="Times New Roman"/>
          <w:noProof/>
          <w:sz w:val="24"/>
          <w:szCs w:val="24"/>
          <w:vertAlign w:val="superscript"/>
        </w:rPr>
        <w:t>41</w:t>
      </w:r>
      <w:r w:rsidR="0098134D" w:rsidRPr="008A28E4">
        <w:rPr>
          <w:rFonts w:ascii="Book Antiqua" w:hAnsi="Book Antiqua" w:cs="Times New Roman"/>
          <w:sz w:val="24"/>
          <w:szCs w:val="24"/>
          <w:vertAlign w:val="superscript"/>
        </w:rPr>
        <w:fldChar w:fldCharType="end"/>
      </w:r>
      <w:r w:rsidR="0000796D" w:rsidRPr="008A28E4">
        <w:rPr>
          <w:rFonts w:ascii="Book Antiqua" w:hAnsi="Book Antiqua" w:cs="Times New Roman"/>
          <w:sz w:val="24"/>
          <w:szCs w:val="24"/>
          <w:vertAlign w:val="superscript"/>
        </w:rPr>
        <w:t>]</w:t>
      </w:r>
      <w:r w:rsidRPr="008A28E4">
        <w:rPr>
          <w:rFonts w:ascii="Book Antiqua" w:hAnsi="Book Antiqua" w:cs="Times New Roman"/>
          <w:sz w:val="24"/>
          <w:szCs w:val="24"/>
        </w:rPr>
        <w:t xml:space="preserve">: </w:t>
      </w:r>
      <w:r w:rsidR="0077312E" w:rsidRPr="008A28E4">
        <w:rPr>
          <w:rFonts w:ascii="Book Antiqua" w:hAnsi="Book Antiqua" w:cs="Times New Roman"/>
          <w:sz w:val="24"/>
          <w:szCs w:val="24"/>
          <w:lang w:eastAsia="zh-CN"/>
        </w:rPr>
        <w:t xml:space="preserve">(1) </w:t>
      </w:r>
      <w:r w:rsidRPr="008A28E4">
        <w:rPr>
          <w:rFonts w:ascii="Book Antiqua" w:hAnsi="Book Antiqua" w:cs="Times New Roman"/>
          <w:sz w:val="24"/>
          <w:szCs w:val="24"/>
        </w:rPr>
        <w:t>Access should be performed from a posterolateral aspect</w:t>
      </w:r>
      <w:r w:rsidR="0077312E" w:rsidRPr="008A28E4">
        <w:rPr>
          <w:rFonts w:ascii="Book Antiqua" w:hAnsi="Book Antiqua" w:cs="Times New Roman"/>
          <w:sz w:val="24"/>
          <w:szCs w:val="24"/>
          <w:lang w:eastAsia="zh-CN"/>
        </w:rPr>
        <w:t xml:space="preserve">; (2) </w:t>
      </w:r>
      <w:r w:rsidRPr="008A28E4">
        <w:rPr>
          <w:rFonts w:ascii="Book Antiqua" w:hAnsi="Book Antiqua" w:cs="Times New Roman"/>
          <w:sz w:val="24"/>
          <w:szCs w:val="24"/>
        </w:rPr>
        <w:t>Access should be through the renal parenchyma</w:t>
      </w:r>
      <w:r w:rsidR="0077312E" w:rsidRPr="008A28E4">
        <w:rPr>
          <w:rFonts w:ascii="Book Antiqua" w:hAnsi="Book Antiqua" w:cs="Times New Roman"/>
          <w:sz w:val="24"/>
          <w:szCs w:val="24"/>
          <w:lang w:eastAsia="zh-CN"/>
        </w:rPr>
        <w:t xml:space="preserve">; (3) </w:t>
      </w:r>
      <w:r w:rsidRPr="008A28E4">
        <w:rPr>
          <w:rFonts w:ascii="Book Antiqua" w:hAnsi="Book Antiqua" w:cs="Times New Roman"/>
          <w:sz w:val="24"/>
          <w:szCs w:val="24"/>
        </w:rPr>
        <w:t>Access should be towards the center of a calyx posterolaterally</w:t>
      </w:r>
      <w:r w:rsidR="0077312E" w:rsidRPr="008A28E4">
        <w:rPr>
          <w:rFonts w:ascii="Book Antiqua" w:hAnsi="Book Antiqua" w:cs="Times New Roman"/>
          <w:sz w:val="24"/>
          <w:szCs w:val="24"/>
          <w:lang w:eastAsia="zh-CN"/>
        </w:rPr>
        <w:t xml:space="preserve">; (4) </w:t>
      </w:r>
      <w:r w:rsidRPr="008A28E4">
        <w:rPr>
          <w:rFonts w:ascii="Book Antiqua" w:hAnsi="Book Antiqua" w:cs="Times New Roman"/>
          <w:sz w:val="24"/>
          <w:szCs w:val="24"/>
        </w:rPr>
        <w:t>Access should be towards the center of the renal pelvis and as a result of these four conditions</w:t>
      </w:r>
      <w:r w:rsidR="0077312E" w:rsidRPr="008A28E4">
        <w:rPr>
          <w:rFonts w:ascii="Book Antiqua" w:hAnsi="Book Antiqua" w:cs="Times New Roman"/>
          <w:sz w:val="24"/>
          <w:szCs w:val="24"/>
          <w:lang w:eastAsia="zh-CN"/>
        </w:rPr>
        <w:t xml:space="preserve">; and (5) </w:t>
      </w:r>
      <w:r w:rsidRPr="008A28E4">
        <w:rPr>
          <w:rFonts w:ascii="Book Antiqua" w:hAnsi="Book Antiqua" w:cs="Times New Roman"/>
          <w:sz w:val="24"/>
          <w:szCs w:val="24"/>
        </w:rPr>
        <w:t xml:space="preserve">The trajectory does not damage any major blood vessels. </w:t>
      </w:r>
    </w:p>
    <w:p w:rsidR="0077312E" w:rsidRPr="008A28E4" w:rsidRDefault="0077312E" w:rsidP="008A28E4">
      <w:pPr>
        <w:pStyle w:val="ListParagraph"/>
        <w:spacing w:after="0" w:line="360" w:lineRule="auto"/>
        <w:ind w:left="0"/>
        <w:jc w:val="both"/>
        <w:rPr>
          <w:rFonts w:ascii="Book Antiqua" w:hAnsi="Book Antiqua" w:cs="Times New Roman"/>
          <w:b/>
          <w:sz w:val="24"/>
          <w:szCs w:val="24"/>
          <w:lang w:eastAsia="zh-CN"/>
        </w:rPr>
      </w:pPr>
    </w:p>
    <w:p w:rsidR="00C2014D" w:rsidRPr="008A28E4" w:rsidRDefault="00505DA4" w:rsidP="008A28E4">
      <w:pPr>
        <w:pStyle w:val="ListParagraph"/>
        <w:spacing w:after="0" w:line="360" w:lineRule="auto"/>
        <w:ind w:left="0"/>
        <w:jc w:val="both"/>
        <w:rPr>
          <w:rFonts w:ascii="Book Antiqua" w:hAnsi="Book Antiqua" w:cs="Times New Roman"/>
          <w:sz w:val="24"/>
          <w:szCs w:val="24"/>
        </w:rPr>
      </w:pPr>
      <w:r w:rsidRPr="008A28E4">
        <w:rPr>
          <w:rFonts w:ascii="Book Antiqua" w:hAnsi="Book Antiqua" w:cs="Times New Roman"/>
          <w:b/>
          <w:sz w:val="24"/>
          <w:szCs w:val="24"/>
        </w:rPr>
        <w:t>TYPES OF FLUOROSCOPY GUIDED PUNCTURE</w:t>
      </w:r>
    </w:p>
    <w:p w:rsidR="00C2014D" w:rsidRPr="008A28E4" w:rsidRDefault="00C2014D" w:rsidP="008A28E4">
      <w:pPr>
        <w:spacing w:after="0" w:line="360" w:lineRule="auto"/>
        <w:jc w:val="both"/>
        <w:rPr>
          <w:rFonts w:ascii="Book Antiqua" w:hAnsi="Book Antiqua" w:cs="Times New Roman"/>
          <w:sz w:val="24"/>
          <w:szCs w:val="24"/>
        </w:rPr>
      </w:pPr>
      <w:r w:rsidRPr="008A28E4">
        <w:rPr>
          <w:rFonts w:ascii="Book Antiqua" w:hAnsi="Book Antiqua" w:cs="Times New Roman"/>
          <w:sz w:val="24"/>
          <w:szCs w:val="24"/>
        </w:rPr>
        <w:t>There are two types of fluoroscopy guided puncture techniques—the Bull’s eye and the Triangulation Technique. Besides these two there are a number of variations described</w:t>
      </w:r>
      <w:r w:rsidR="0098134D" w:rsidRPr="008A28E4">
        <w:rPr>
          <w:rFonts w:ascii="Book Antiqua" w:hAnsi="Book Antiqua" w:cs="Times New Roman"/>
          <w:sz w:val="24"/>
          <w:szCs w:val="24"/>
          <w:vertAlign w:val="superscript"/>
        </w:rPr>
        <w:fldChar w:fldCharType="begin"/>
      </w:r>
      <w:r w:rsidRPr="008A28E4">
        <w:rPr>
          <w:rFonts w:ascii="Book Antiqua" w:hAnsi="Book Antiqua" w:cs="Times New Roman"/>
          <w:sz w:val="24"/>
          <w:szCs w:val="24"/>
          <w:vertAlign w:val="superscript"/>
        </w:rPr>
        <w:instrText>ADDIN CSL_CITATION { "citationItems" : [ { "id" : "ITEM-1", "itemData" : { "DOI" : "10.1089/end.2009.1528", "ISSN" : "0892-7790", "PMID" : "19785549", "abstract" : "Percutaneous renal surgery is dependent upon appropriate access to the targeted portion of the collecting system. Obtaining a well-positioned nephrostomy tract improves the urologist's ability to both obtain the desired surgical outcome and minimize attendant morbidities. The two primary methods of obtaining fluoroscopic-guided percutaneous renal access-\"bull's eye\" targeting and triangulation-are reviewed. The authors' preferred techniques are outlined, technical refinements are noted, and recent modifications and future directions are reviewed.", "author" : [ { "dropping-particle" : "", "family" : "Steinberg", "given" : "Peter L", "non-dropping-particle" : "", "parse-names" : false, "suffix" : "" }, { "dropping-particle" : "", "family" : "Semins", "given" : "Michelle J", "non-dropping-particle" : "", "parse-names" : false, "suffix" : "" }, { "dropping-particle" : "", "family" : "Wason", "given" : "Shaun E L", "non-dropping-particle" : "", "parse-names" : false, "suffix" : "" }, { "dropping-particle" : "", "family" : "Matlaga", "given" : "Brian R", "non-dropping-particle" : "", "parse-names" : false, "suffix" : "" }, { "dropping-particle" : "", "family" : "Pais", "given" : "Vernon M", "non-dropping-particle" : "", "parse-names" : false, "suffix" : "" } ], "container-title" : "Journal of endourology / Endourological Society", "id" : "ITEM-1", "issued" : { "date-parts" : [ [ "2009" ] ] }, "page" : "1627-1631", "title" : "Fluoroscopy-guided percutaneous renal access.", "type" : "article-journal", "volume" : "23" }, "uris" : [ "http://www.mendeley.com/documents/?uuid=7c86dd82-5653-4a98-a6cf-d8a21bbe0e5e", "http://www.mendeley.com/documents/?uuid=33ca1be4-2e2a-4df8-bd31-92244e1fa567" ] } ], "mendeley" : { "previouslyFormattedCitation" : "(37)" }, "properties" : { "noteIndex" : 0 }, "schema" : "https://github.com/citation-style-language/schema/raw/master/csl-citation.json" }</w:instrText>
      </w:r>
      <w:r w:rsidR="0098134D" w:rsidRPr="008A28E4">
        <w:rPr>
          <w:rFonts w:ascii="Book Antiqua" w:hAnsi="Book Antiqua" w:cs="Times New Roman"/>
          <w:sz w:val="24"/>
          <w:szCs w:val="24"/>
          <w:vertAlign w:val="superscript"/>
        </w:rPr>
        <w:fldChar w:fldCharType="separate"/>
      </w:r>
      <w:r w:rsidR="00FB0258" w:rsidRPr="008A28E4">
        <w:rPr>
          <w:rFonts w:ascii="Book Antiqua" w:hAnsi="Book Antiqua" w:cs="Times New Roman"/>
          <w:sz w:val="24"/>
          <w:szCs w:val="24"/>
          <w:vertAlign w:val="superscript"/>
        </w:rPr>
        <w:t>[</w:t>
      </w:r>
      <w:r w:rsidRPr="008A28E4">
        <w:rPr>
          <w:rFonts w:ascii="Book Antiqua" w:hAnsi="Book Antiqua" w:cs="Times New Roman"/>
          <w:noProof/>
          <w:sz w:val="24"/>
          <w:szCs w:val="24"/>
          <w:vertAlign w:val="superscript"/>
        </w:rPr>
        <w:t>42</w:t>
      </w:r>
      <w:r w:rsidR="0098134D" w:rsidRPr="008A28E4">
        <w:rPr>
          <w:rFonts w:ascii="Book Antiqua" w:hAnsi="Book Antiqua" w:cs="Times New Roman"/>
          <w:sz w:val="24"/>
          <w:szCs w:val="24"/>
          <w:vertAlign w:val="superscript"/>
        </w:rPr>
        <w:fldChar w:fldCharType="end"/>
      </w:r>
      <w:r w:rsidR="00FB0258" w:rsidRPr="008A28E4">
        <w:rPr>
          <w:rFonts w:ascii="Book Antiqua" w:hAnsi="Book Antiqua" w:cs="Times New Roman"/>
          <w:sz w:val="24"/>
          <w:szCs w:val="24"/>
          <w:vertAlign w:val="superscript"/>
        </w:rPr>
        <w:t>]</w:t>
      </w:r>
      <w:r w:rsidRPr="008A28E4">
        <w:rPr>
          <w:rFonts w:ascii="Book Antiqua" w:hAnsi="Book Antiqua" w:cs="Times New Roman"/>
          <w:sz w:val="24"/>
          <w:szCs w:val="24"/>
        </w:rPr>
        <w:t xml:space="preserve">. </w:t>
      </w:r>
    </w:p>
    <w:p w:rsidR="0077312E" w:rsidRPr="008A28E4" w:rsidRDefault="0077312E" w:rsidP="008A28E4">
      <w:pPr>
        <w:pStyle w:val="ListParagraph"/>
        <w:spacing w:after="0" w:line="360" w:lineRule="auto"/>
        <w:ind w:left="0"/>
        <w:jc w:val="both"/>
        <w:rPr>
          <w:rFonts w:ascii="Book Antiqua" w:hAnsi="Book Antiqua" w:cs="Times New Roman"/>
          <w:b/>
          <w:sz w:val="24"/>
          <w:szCs w:val="24"/>
          <w:lang w:eastAsia="zh-CN"/>
        </w:rPr>
      </w:pPr>
    </w:p>
    <w:p w:rsidR="00C2014D" w:rsidRPr="008A28E4" w:rsidRDefault="00505DA4" w:rsidP="008A28E4">
      <w:pPr>
        <w:pStyle w:val="ListParagraph"/>
        <w:spacing w:after="0" w:line="360" w:lineRule="auto"/>
        <w:ind w:left="0"/>
        <w:jc w:val="both"/>
        <w:rPr>
          <w:rFonts w:ascii="Book Antiqua" w:hAnsi="Book Antiqua" w:cs="Times New Roman"/>
          <w:b/>
          <w:sz w:val="24"/>
          <w:szCs w:val="24"/>
        </w:rPr>
      </w:pPr>
      <w:r w:rsidRPr="008A28E4">
        <w:rPr>
          <w:rFonts w:ascii="Book Antiqua" w:hAnsi="Book Antiqua" w:cs="Times New Roman"/>
          <w:b/>
          <w:sz w:val="24"/>
          <w:szCs w:val="24"/>
        </w:rPr>
        <w:t xml:space="preserve">BULL’S EYE TECHNIQUE </w:t>
      </w:r>
    </w:p>
    <w:p w:rsidR="00C2014D" w:rsidRPr="008A28E4" w:rsidRDefault="00C2014D" w:rsidP="008A28E4">
      <w:pPr>
        <w:pStyle w:val="ListParagraph"/>
        <w:spacing w:after="0" w:line="360" w:lineRule="auto"/>
        <w:ind w:left="0"/>
        <w:jc w:val="both"/>
        <w:rPr>
          <w:rFonts w:ascii="Book Antiqua" w:hAnsi="Book Antiqua" w:cs="Times New Roman"/>
          <w:b/>
          <w:sz w:val="24"/>
          <w:szCs w:val="24"/>
        </w:rPr>
      </w:pPr>
      <w:r w:rsidRPr="008A28E4">
        <w:rPr>
          <w:rFonts w:ascii="Book Antiqua" w:hAnsi="Book Antiqua" w:cs="Times New Roman"/>
          <w:sz w:val="24"/>
          <w:szCs w:val="24"/>
        </w:rPr>
        <w:t>It is also called the Eye of the Needle technique</w:t>
      </w:r>
      <w:r w:rsidR="0098134D" w:rsidRPr="008A28E4">
        <w:rPr>
          <w:rFonts w:ascii="Book Antiqua" w:hAnsi="Book Antiqua" w:cs="Times New Roman"/>
          <w:sz w:val="24"/>
          <w:szCs w:val="24"/>
          <w:vertAlign w:val="superscript"/>
        </w:rPr>
        <w:fldChar w:fldCharType="begin" w:fldLock="1"/>
      </w:r>
      <w:r w:rsidRPr="008A28E4">
        <w:rPr>
          <w:rFonts w:ascii="Book Antiqua" w:hAnsi="Book Antiqua" w:cs="Times New Roman"/>
          <w:sz w:val="24"/>
          <w:szCs w:val="24"/>
          <w:vertAlign w:val="superscript"/>
        </w:rPr>
        <w:instrText>ADDIN CSL_CITATION { "citationItems" : [ { "id" : "ITEM-1", "itemData" : { "DOI" : "10.1016/j.juro.2007.03.014", "ISSN" : "0022-5347", "PMID" : "17574053", "abstract" : "PURPOSE: Percutaneous nephrolithotomy has undergone considerable evolution since its introduction in the 1970s, which has been driven by advances in access techniques, instrumentation and endoscopic technology. Recent reports suggest an increase in the number of percutaneous stone treatments being performed. However, despite the increasing use of percutaneous nephrolithotomy a minority of urologists obtain their own access. We reviewed the techniques for performing safe and effective percutaneous renal access.\n\nMATERIALS AND METHODS: A literature search using Entrez PubMed was performed. All relevant literature concerning techniques for fluoroscopic percutaneous renal access published within the last 20 years was reviewed.\n\nRESULTS: The success of percutaneous nephrolithotomy is critically dependent on achieving suitable percutaneous access. The ideal site of percutaneous puncture should be selected to maximize the use of rigid instruments, minimize the risk of complications and attain stone-free status. Familiarity with basic renal anatomy is essential to obtain access safely. Adherence to basic principles allows the establishment of percutaneous access in a straightforward and efficient manner. Certain clinical situations may require special access techniques.\n\nCONCLUSIONS: Percutaneous nephrolithotomy is the treatment of choice for complex stone disease. While the efficacy of percutaneous nephrolithotomy relies on the establishment of effective percutaneous access, there are considerable advantages for the urologist able to achieve access.", "author" : [ { "dropping-particle" : "", "family" : "Miller", "given" : "Nicole L", "non-dropping-particle" : "", "parse-names" : false, "suffix" : "" }, { "dropping-particle" : "", "family" : "Matlaga", "given" : "Brian R", "non-dropping-particle" : "", "parse-names" : false, "suffix" : "" }, { "dropping-particle" : "", "family" : "Lingeman", "given" : "James E", "non-dropping-particle" : "", "parse-names" : false, "suffix" : "" } ], "container-title" : "The Journal of urology", "id" : "ITEM-1", "issue" : "1", "issued" : { "date-parts" : [ [ "2007", "7" ] ] }, "page" : "15-23", "title" : "Techniques for fluoroscopic percutaneous renal access.", "type" : "article-journal", "volume" : "178" }, "uris" : [ "http://www.mendeley.com/documents/?uuid=d42af0c3-4a7c-4b36-a0aa-d1e6cb0de1ae" ] } ], "mendeley" : { "previouslyFormattedCitation" : "(24)" }, "properties" : { "noteIndex" : 0 }, "schema" : "https://github.com/citation-style-language/schema/raw/master/csl-citation.json" }</w:instrText>
      </w:r>
      <w:r w:rsidR="0098134D" w:rsidRPr="008A28E4">
        <w:rPr>
          <w:rFonts w:ascii="Book Antiqua" w:hAnsi="Book Antiqua" w:cs="Times New Roman"/>
          <w:sz w:val="24"/>
          <w:szCs w:val="24"/>
          <w:vertAlign w:val="superscript"/>
        </w:rPr>
        <w:fldChar w:fldCharType="separate"/>
      </w:r>
      <w:r w:rsidR="0000796D" w:rsidRPr="008A28E4">
        <w:rPr>
          <w:rFonts w:ascii="Book Antiqua" w:hAnsi="Book Antiqua" w:cs="Times New Roman"/>
          <w:noProof/>
          <w:sz w:val="24"/>
          <w:szCs w:val="24"/>
          <w:vertAlign w:val="superscript"/>
        </w:rPr>
        <w:t>[</w:t>
      </w:r>
      <w:r w:rsidRPr="008A28E4">
        <w:rPr>
          <w:rFonts w:ascii="Book Antiqua" w:hAnsi="Book Antiqua" w:cs="Times New Roman"/>
          <w:noProof/>
          <w:sz w:val="24"/>
          <w:szCs w:val="24"/>
          <w:vertAlign w:val="superscript"/>
        </w:rPr>
        <w:t>20</w:t>
      </w:r>
      <w:r w:rsidR="0098134D" w:rsidRPr="008A28E4">
        <w:rPr>
          <w:rFonts w:ascii="Book Antiqua" w:hAnsi="Book Antiqua" w:cs="Times New Roman"/>
          <w:sz w:val="24"/>
          <w:szCs w:val="24"/>
          <w:vertAlign w:val="superscript"/>
        </w:rPr>
        <w:fldChar w:fldCharType="end"/>
      </w:r>
      <w:r w:rsidR="0000796D" w:rsidRPr="008A28E4">
        <w:rPr>
          <w:rFonts w:ascii="Book Antiqua" w:hAnsi="Book Antiqua" w:cs="Times New Roman"/>
          <w:sz w:val="24"/>
          <w:szCs w:val="24"/>
          <w:vertAlign w:val="superscript"/>
        </w:rPr>
        <w:t>]</w:t>
      </w:r>
      <w:r w:rsidRPr="008A28E4">
        <w:rPr>
          <w:rFonts w:ascii="Book Antiqua" w:hAnsi="Book Antiqua" w:cs="Times New Roman"/>
          <w:sz w:val="24"/>
          <w:szCs w:val="24"/>
        </w:rPr>
        <w:t>. The target calyx is identified with the C arm at 0</w:t>
      </w:r>
      <w:r w:rsidR="00841E8F" w:rsidRPr="008A28E4">
        <w:rPr>
          <w:rFonts w:ascii="Book Antiqua" w:hAnsi="Book Antiqua" w:cs="Times New Roman"/>
          <w:sz w:val="24"/>
          <w:szCs w:val="24"/>
        </w:rPr>
        <w:t>°</w:t>
      </w:r>
      <w:r w:rsidRPr="008A28E4">
        <w:rPr>
          <w:rFonts w:ascii="Book Antiqua" w:hAnsi="Book Antiqua" w:cs="Times New Roman"/>
          <w:sz w:val="24"/>
          <w:szCs w:val="24"/>
        </w:rPr>
        <w:t xml:space="preserve"> in the axial plane. Then the C arm is rotated 30</w:t>
      </w:r>
      <w:r w:rsidR="00841E8F" w:rsidRPr="008A28E4">
        <w:rPr>
          <w:rFonts w:ascii="Book Antiqua" w:hAnsi="Book Antiqua" w:cs="Times New Roman"/>
          <w:sz w:val="24"/>
          <w:szCs w:val="24"/>
        </w:rPr>
        <w:t>°</w:t>
      </w:r>
      <w:r w:rsidRPr="008A28E4">
        <w:rPr>
          <w:rFonts w:ascii="Book Antiqua" w:hAnsi="Book Antiqua" w:cs="Times New Roman"/>
          <w:sz w:val="24"/>
          <w:szCs w:val="24"/>
        </w:rPr>
        <w:t xml:space="preserve"> towards the surgeon and the calyx to be punctured would appear end on the flu</w:t>
      </w:r>
      <w:r w:rsidR="00841E8F" w:rsidRPr="008A28E4">
        <w:rPr>
          <w:rFonts w:ascii="Book Antiqua" w:hAnsi="Book Antiqua" w:cs="Times New Roman"/>
          <w:sz w:val="24"/>
          <w:szCs w:val="24"/>
        </w:rPr>
        <w:t>oroscopy screen. A tilt of 5–10</w:t>
      </w:r>
      <w:r w:rsidRPr="008A28E4">
        <w:rPr>
          <w:rFonts w:ascii="Book Antiqua" w:hAnsi="Book Antiqua" w:cs="Times New Roman"/>
          <w:sz w:val="24"/>
          <w:szCs w:val="24"/>
        </w:rPr>
        <w:t>° in the caudal direction for the lower pole or in the cranial direction for the upper pole may be necessitated to have a circular end on appearance of the target posterior calyx</w:t>
      </w:r>
      <w:r w:rsidR="0098134D" w:rsidRPr="008A28E4">
        <w:rPr>
          <w:rFonts w:ascii="Book Antiqua" w:hAnsi="Book Antiqua" w:cs="Times New Roman"/>
          <w:sz w:val="24"/>
          <w:szCs w:val="24"/>
          <w:vertAlign w:val="superscript"/>
        </w:rPr>
        <w:fldChar w:fldCharType="begin" w:fldLock="1"/>
      </w:r>
      <w:r w:rsidRPr="008A28E4">
        <w:rPr>
          <w:rFonts w:ascii="Book Antiqua" w:hAnsi="Book Antiqua" w:cs="Times New Roman"/>
          <w:sz w:val="24"/>
          <w:szCs w:val="24"/>
          <w:vertAlign w:val="superscript"/>
        </w:rPr>
        <w:instrText>ADDIN CSL_CITATION { "citationItems" : [ { "id" : "ITEM-1", "itemData" : { "DOI" : "10.1111/j.1464-410X.2007.07259.x", "ISSN" : "1464-410X", "PMID" : "17922862", "abstract" : "Percutaneous nephrolithotomy (PCNL) plays an integral role in managing large renal stones. Establishing percutaneous renal access is the most crucial step in the procedure and requires a thorough understanding of renal, retroperitoneal and thoracic anatomy to minimize the risk of complications. Moreover, access to fluoroscopy and the proper equipment are critical to ensuring complete stone removal. In this review we describe the technique of PCNL used in a high-volume endourology centre, where the urologist is involved in all aspects of the procedure.", "author" : [ { "dropping-particle" : "", "family" : "Ko", "given" : "Raymond", "non-dropping-particle" : "", "parse-names" : false, "suffix" : "" }, { "dropping-particle" : "", "family" : "Soucy", "given" : "Fr\u00e9d\u00e9ric", "non-dropping-particle" : "", "parse-names" : false, "suffix" : "" }, { "dropping-particle" : "", "family" : "Denstedt", "given" : "John D", "non-dropping-particle" : "", "parse-names" : false, "suffix" : "" }, { "dropping-particle" : "", "family" : "Razvi", "given" : "Hassan", "non-dropping-particle" : "", "parse-names" : false, "suffix" : "" } ], "container-title" : "BJU international", "id" : "ITEM-1", "issue" : "5", "issued" : { "date-parts" : [ [ "2008", "3" ] ] }, "page" : "535-9", "title" : "Percutaneous nephrolithotomy made easier: a practical guide, tips and tricks.", "type" : "article-journal", "volume" : "101" }, "uris" : [ "http://www.mendeley.com/documents/?uuid=7fc96e3e-32bf-4a13-b78a-8f7395776fb4" ] } ], "mendeley" : { "previouslyFormattedCitation" : "(23)" }, "properties" : { "noteIndex" : 0 }, "schema" : "https://github.com/citation-style-language/schema/raw/master/csl-citation.json" }</w:instrText>
      </w:r>
      <w:r w:rsidR="0098134D" w:rsidRPr="008A28E4">
        <w:rPr>
          <w:rFonts w:ascii="Book Antiqua" w:hAnsi="Book Antiqua" w:cs="Times New Roman"/>
          <w:sz w:val="24"/>
          <w:szCs w:val="24"/>
          <w:vertAlign w:val="superscript"/>
        </w:rPr>
        <w:fldChar w:fldCharType="separate"/>
      </w:r>
      <w:r w:rsidR="0000796D" w:rsidRPr="008A28E4">
        <w:rPr>
          <w:rFonts w:ascii="Book Antiqua" w:hAnsi="Book Antiqua" w:cs="Times New Roman"/>
          <w:noProof/>
          <w:sz w:val="24"/>
          <w:szCs w:val="24"/>
          <w:vertAlign w:val="superscript"/>
        </w:rPr>
        <w:t>[</w:t>
      </w:r>
      <w:r w:rsidRPr="008A28E4">
        <w:rPr>
          <w:rFonts w:ascii="Book Antiqua" w:hAnsi="Book Antiqua" w:cs="Times New Roman"/>
          <w:noProof/>
          <w:sz w:val="24"/>
          <w:szCs w:val="24"/>
          <w:vertAlign w:val="superscript"/>
        </w:rPr>
        <w:t>21</w:t>
      </w:r>
      <w:r w:rsidR="0098134D" w:rsidRPr="008A28E4">
        <w:rPr>
          <w:rFonts w:ascii="Book Antiqua" w:hAnsi="Book Antiqua" w:cs="Times New Roman"/>
          <w:sz w:val="24"/>
          <w:szCs w:val="24"/>
          <w:vertAlign w:val="superscript"/>
        </w:rPr>
        <w:fldChar w:fldCharType="end"/>
      </w:r>
      <w:r w:rsidR="0000796D" w:rsidRPr="008A28E4">
        <w:rPr>
          <w:rFonts w:ascii="Book Antiqua" w:hAnsi="Book Antiqua" w:cs="Times New Roman"/>
          <w:sz w:val="24"/>
          <w:szCs w:val="24"/>
          <w:vertAlign w:val="superscript"/>
        </w:rPr>
        <w:t>]</w:t>
      </w:r>
      <w:r w:rsidRPr="008A28E4">
        <w:rPr>
          <w:rFonts w:ascii="Book Antiqua" w:hAnsi="Book Antiqua" w:cs="Times New Roman"/>
          <w:sz w:val="24"/>
          <w:szCs w:val="24"/>
        </w:rPr>
        <w:t>. The position on the skin overlying the selected calyx is then marked and the puncture initiated. The needle is advanced at the end of full-expiration. It is seen as a Bull’s eye (as a dot) on the fluoroscopy screen. If a longitudinal segment of needle is seen then it indicates that the trajectory is not correct and adjustment needs to be made accordingly. The C arm may be rotated by few degrees away from the surgeon to get a proper perspective of the depth of the puncture. The needle will now be seen in profile. It is then advanced to puncture the calyx. Free efflux of urine confirms the position in the collecting system</w:t>
      </w:r>
      <w:r w:rsidR="0098134D" w:rsidRPr="008A28E4">
        <w:rPr>
          <w:rFonts w:ascii="Book Antiqua" w:hAnsi="Book Antiqua" w:cs="Times New Roman"/>
          <w:sz w:val="24"/>
          <w:szCs w:val="24"/>
          <w:vertAlign w:val="superscript"/>
        </w:rPr>
        <w:fldChar w:fldCharType="begin" w:fldLock="1"/>
      </w:r>
      <w:r w:rsidRPr="008A28E4">
        <w:rPr>
          <w:rFonts w:ascii="Book Antiqua" w:hAnsi="Book Antiqua" w:cs="Times New Roman"/>
          <w:sz w:val="24"/>
          <w:szCs w:val="24"/>
          <w:vertAlign w:val="superscript"/>
        </w:rPr>
        <w:instrText>ADDIN CSL_CITATION { "citationItems" : [ { "id" : "ITEM-1", "itemData" : { "DOI" : "10.1016/j.juro.2007.03.014", "ISSN" : "0022-5347", "PMID" : "17574053", "abstract" : "PURPOSE: Percutaneous nephrolithotomy has undergone considerable evolution since its introduction in the 1970s, which has been driven by advances in access techniques, instrumentation and endoscopic technology. Recent reports suggest an increase in the number of percutaneous stone treatments being performed. However, despite the increasing use of percutaneous nephrolithotomy a minority of urologists obtain their own access. We reviewed the techniques for performing safe and effective percutaneous renal access.\n\nMATERIALS AND METHODS: A literature search using Entrez PubMed was performed. All relevant literature concerning techniques for fluoroscopic percutaneous renal access published within the last 20 years was reviewed.\n\nRESULTS: The success of percutaneous nephrolithotomy is critically dependent on achieving suitable percutaneous access. The ideal site of percutaneous puncture should be selected to maximize the use of rigid instruments, minimize the risk of complications and attain stone-free status. Familiarity with basic renal anatomy is essential to obtain access safely. Adherence to basic principles allows the establishment of percutaneous access in a straightforward and efficient manner. Certain clinical situations may require special access techniques.\n\nCONCLUSIONS: Percutaneous nephrolithotomy is the treatment of choice for complex stone disease. While the efficacy of percutaneous nephrolithotomy relies on the establishment of effective percutaneous access, there are considerable advantages for the urologist able to achieve access.", "author" : [ { "dropping-particle" : "", "family" : "Miller", "given" : "Nicole L", "non-dropping-particle" : "", "parse-names" : false, "suffix" : "" }, { "dropping-particle" : "", "family" : "Matlaga", "given" : "Brian R", "non-dropping-particle" : "", "parse-names" : false, "suffix" : "" }, { "dropping-particle" : "", "family" : "Lingeman", "given" : "James E", "non-dropping-particle" : "", "parse-names" : false, "suffix" : "" } ], "container-title" : "The Journal of urology", "id" : "ITEM-1", "issue" : "1", "issued" : { "date-parts" : [ [ "2007", "7" ] ] }, "page" : "15-23", "title" : "Techniques for fluoroscopic percutaneous renal access.", "type" : "article-journal", "volume" : "178" }, "uris" : [ "http://www.mendeley.com/documents/?uuid=d42af0c3-4a7c-4b36-a0aa-d1e6cb0de1ae" ] }, { "id" : "ITEM-2", "itemData" : { "DOI" : "10.1111/j.1464-410X.2007.07259.x", "ISSN" : "1464-410X", "PMID" : "17922862", "abstract" : "Percutaneous nephrolithotomy (PCNL) plays an integral role in managing large renal stones. Establishing percutaneous renal access is the most crucial step in the procedure and requires a thorough understanding of renal, retroperitoneal and thoracic anatomy to minimize the risk of complications. Moreover, access to fluoroscopy and the proper equipment are critical to ensuring complete stone removal. In this review we describe the technique of PCNL used in a high-volume endourology centre, where the urologist is involved in all aspects of the procedure.", "author" : [ { "dropping-particle" : "", "family" : "Ko", "given" : "Raymond", "non-dropping-particle" : "", "parse-names" : false, "suffix" : "" }, { "dropping-particle" : "", "family" : "Soucy", "given" : "Fr\u00e9d\u00e9ric", "non-dropping-particle" : "", "parse-names" : false, "suffix" : "" }, { "dropping-particle" : "", "family" : "Denstedt", "given" : "John D", "non-dropping-particle" : "", "parse-names" : false, "suffix" : "" }, { "dropping-particle" : "", "family" : "Razvi", "given" : "Hassan", "non-dropping-particle" : "", "parse-names" : false, "suffix" : "" } ], "container-title" : "BJU international", "id" : "ITEM-2", "issue" : "5", "issued" : { "date-parts" : [ [ "2008", "3" ] ] }, "page" : "535-9", "title" : "Percutaneous nephrolithotomy made easier: a practical guide, tips and tricks.", "type" : "article-journal", "volume" : "101" }, "uris" : [ "http://www.mendeley.com/documents/?uuid=7fc96e3e-32bf-4a13-b78a-8f7395776fb4" ] }, { "id" : "ITEM-3", "itemData" : { "DOI" : "10.1089/end.2009.1528", "ISSN" : "0892-7790", "PMID" : "19785549", "abstract" : "Percutaneous renal surgery is dependent upon appropriate access to the targeted portion of the collecting system. Obtaining a well-positioned nephrostomy tract improves the urologist's ability to both obtain the desired surgical outcome and minimize attendant morbidities. The two primary methods of obtaining fluoroscopic-guided percutaneous renal access-\"bull's eye\" targeting and triangulation-are reviewed. The authors' preferred techniques are outlined, technical refinements are noted, and recent modifications and future directions are reviewed.", "author" : [ { "dropping-particle" : "", "family" : "Steinberg", "given" : "Peter L", "non-dropping-particle" : "", "parse-names" : false, "suffix" : "" }, { "dropping-particle" : "", "family" : "Semins", "given" : "Michelle J", "non-dropping-particle" : "", "parse-names" : false, "suffix" : "" }, { "dropping-particle" : "", "family" : "Wason", "given" : "Shaun E L", "non-dropping-particle" : "", "parse-names" : false, "suffix" : "" }, { "dropping-particle" : "", "family" : "Matlaga", "given" : "Brian R", "non-dropping-particle" : "", "parse-names" : false, "suffix" : "" }, { "dropping-particle" : "", "family" : "Pais", "given" : "Vernon M", "non-dropping-particle" : "", "parse-names" : false, "suffix" : "" } ], "container-title" : "Journal of endourology / Endourological Society", "id" : "ITEM-3", "issued" : { "date-parts" : [ [ "2009" ] ] }, "page" : "1627-1631", "title" : "Fluoroscopy-guided percutaneous renal access.", "type" : "article-journal", "volume" : "23" }, "uris" : [ "http://www.mendeley.com/documents/?uuid=33ca1be4-2e2a-4df8-bd31-92244e1fa567" ] }, { "id" : "ITEM-4", "itemData" : { "ISBN" : "1550093657", "abstract" : "Endourology is a dynamic subspecialty involving closed, controlled manipulation within the genitourinary tract. In the past decade the creative efforts of many urologists, radiologists, and engineers have vastly expanded endoscopic technique, to the great benefit of patients with stones, obstruction, cancer, diverticula, cysts, adrenal disease, varices, and diseases of the bladder. This definitive text addresses every aspect of endourologic procedure including methods of access, operative techniques, complications, and postoperative care. The reader is taken, step-by-step, through cutaneous surgery, ureteroscopy, extracorporeal shock wave lithotripsy, laparoscopy, and lower urinary tract procedures. The principles and function of state-of-the-art endourologic instruments are outlined for each procedure. The authorship reads like a Who\u00e2\u20ac\u2122s Who in endodurology . The breadth and depth of their experience is evident throughout the text.", "author" : [ { "dropping-particle" : "", "family" : "Yamin", "given" : "Alicia Ely", "non-dropping-particle" : "", "parse-names" : false, "suffix" : "" }, { "dropping-particle" : "", "family" : "Project", "given" : "Utilization", "non-dropping-particle" : "", "parse-names" : false, "suffix" : "" }, { "dropping-particle" : "", "family" : "Inpatient", "given" : "Nationwide", "non-dropping-particle" : "", "parse-names" : false, "suffix" : "" } ], "container-title" : "New York", "id" : "ITEM-4", "issued" : { "date-parts" : [ [ "2008" ] ] }, "page" : "653-654", "title" : "Smith\u2019s Textbook of Endourology", "type" : "article-journal" }, "uris" : [ "http://www.mendeley.com/documents/?uuid=45710abe-d906-4abb-be37-80035d140f29" ] } ], "mendeley" : { "previouslyFormattedCitation" : "(23,24,36,37)" }, "properties" : { "noteIndex" : 0 }, "schema" : "https://github.com/citation-style-language/schema/raw/master/csl-citation.json" }</w:instrText>
      </w:r>
      <w:r w:rsidR="0098134D" w:rsidRPr="008A28E4">
        <w:rPr>
          <w:rFonts w:ascii="Book Antiqua" w:hAnsi="Book Antiqua" w:cs="Times New Roman"/>
          <w:sz w:val="24"/>
          <w:szCs w:val="24"/>
          <w:vertAlign w:val="superscript"/>
        </w:rPr>
        <w:fldChar w:fldCharType="separate"/>
      </w:r>
      <w:r w:rsidR="0000796D" w:rsidRPr="008A28E4">
        <w:rPr>
          <w:rFonts w:ascii="Book Antiqua" w:hAnsi="Book Antiqua" w:cs="Times New Roman"/>
          <w:noProof/>
          <w:sz w:val="24"/>
          <w:szCs w:val="24"/>
          <w:vertAlign w:val="superscript"/>
        </w:rPr>
        <w:t>[</w:t>
      </w:r>
      <w:r w:rsidR="00841E8F" w:rsidRPr="008A28E4">
        <w:rPr>
          <w:rFonts w:ascii="Book Antiqua" w:hAnsi="Book Antiqua" w:cs="Times New Roman"/>
          <w:noProof/>
          <w:sz w:val="24"/>
          <w:szCs w:val="24"/>
          <w:vertAlign w:val="superscript"/>
        </w:rPr>
        <w:t>20,21,41,</w:t>
      </w:r>
      <w:r w:rsidRPr="008A28E4">
        <w:rPr>
          <w:rFonts w:ascii="Book Antiqua" w:hAnsi="Book Antiqua" w:cs="Times New Roman"/>
          <w:noProof/>
          <w:sz w:val="24"/>
          <w:szCs w:val="24"/>
          <w:vertAlign w:val="superscript"/>
        </w:rPr>
        <w:t>42</w:t>
      </w:r>
      <w:r w:rsidR="0098134D" w:rsidRPr="008A28E4">
        <w:rPr>
          <w:rFonts w:ascii="Book Antiqua" w:hAnsi="Book Antiqua" w:cs="Times New Roman"/>
          <w:sz w:val="24"/>
          <w:szCs w:val="24"/>
          <w:vertAlign w:val="superscript"/>
        </w:rPr>
        <w:fldChar w:fldCharType="end"/>
      </w:r>
      <w:r w:rsidR="0000796D" w:rsidRPr="008A28E4">
        <w:rPr>
          <w:rFonts w:ascii="Book Antiqua" w:hAnsi="Book Antiqua" w:cs="Times New Roman"/>
          <w:sz w:val="24"/>
          <w:szCs w:val="24"/>
          <w:vertAlign w:val="superscript"/>
        </w:rPr>
        <w:t>]</w:t>
      </w:r>
      <w:r w:rsidRPr="008A28E4">
        <w:rPr>
          <w:rFonts w:ascii="Book Antiqua" w:hAnsi="Book Antiqua" w:cs="Times New Roman"/>
          <w:sz w:val="24"/>
          <w:szCs w:val="24"/>
        </w:rPr>
        <w:t>. To minimize radiation to the hands, the needle could be held with hemostat, sponge forceps or a purpose –built radiolucent needle holder</w:t>
      </w:r>
      <w:r w:rsidR="00C1243B" w:rsidRPr="008A28E4">
        <w:rPr>
          <w:rFonts w:ascii="Book Antiqua" w:hAnsi="Book Antiqua" w:cs="Times New Roman"/>
          <w:sz w:val="24"/>
          <w:szCs w:val="24"/>
          <w:lang w:eastAsia="zh-CN"/>
        </w:rPr>
        <w:t xml:space="preserve"> </w:t>
      </w:r>
      <w:r w:rsidR="00C1243B" w:rsidRPr="008A28E4">
        <w:rPr>
          <w:rFonts w:ascii="Book Antiqua" w:hAnsi="Book Antiqua" w:cs="Times New Roman"/>
          <w:sz w:val="24"/>
          <w:szCs w:val="24"/>
        </w:rPr>
        <w:t>(Figure</w:t>
      </w:r>
      <w:r w:rsidR="00C1243B" w:rsidRPr="008A28E4">
        <w:rPr>
          <w:rFonts w:ascii="Book Antiqua" w:hAnsi="Book Antiqua" w:cs="Times New Roman"/>
          <w:sz w:val="24"/>
          <w:szCs w:val="24"/>
          <w:lang w:eastAsia="zh-CN"/>
        </w:rPr>
        <w:t xml:space="preserve"> </w:t>
      </w:r>
      <w:r w:rsidR="00C1243B" w:rsidRPr="008A28E4">
        <w:rPr>
          <w:rFonts w:ascii="Book Antiqua" w:hAnsi="Book Antiqua" w:cs="Times New Roman"/>
          <w:sz w:val="24"/>
          <w:szCs w:val="24"/>
        </w:rPr>
        <w:t>6)</w:t>
      </w:r>
      <w:r w:rsidRPr="008A28E4">
        <w:rPr>
          <w:rFonts w:ascii="Book Antiqua" w:hAnsi="Book Antiqua" w:cs="Times New Roman"/>
          <w:sz w:val="24"/>
          <w:szCs w:val="24"/>
        </w:rPr>
        <w:t>.</w:t>
      </w:r>
    </w:p>
    <w:p w:rsidR="00C1243B" w:rsidRPr="008A28E4" w:rsidRDefault="00C1243B" w:rsidP="008A28E4">
      <w:pPr>
        <w:spacing w:after="0" w:line="360" w:lineRule="auto"/>
        <w:jc w:val="both"/>
        <w:rPr>
          <w:rFonts w:ascii="Book Antiqua" w:hAnsi="Book Antiqua" w:cs="Times New Roman"/>
          <w:sz w:val="24"/>
          <w:szCs w:val="24"/>
          <w:u w:val="single"/>
          <w:lang w:eastAsia="zh-CN"/>
        </w:rPr>
      </w:pPr>
    </w:p>
    <w:p w:rsidR="00C2014D" w:rsidRPr="008A28E4" w:rsidRDefault="00C2014D" w:rsidP="008A28E4">
      <w:pPr>
        <w:spacing w:after="0" w:line="360" w:lineRule="auto"/>
        <w:jc w:val="both"/>
        <w:rPr>
          <w:rFonts w:ascii="Book Antiqua" w:hAnsi="Book Antiqua" w:cs="Times New Roman"/>
          <w:b/>
          <w:i/>
          <w:sz w:val="24"/>
          <w:szCs w:val="24"/>
        </w:rPr>
      </w:pPr>
      <w:r w:rsidRPr="008A28E4">
        <w:rPr>
          <w:rFonts w:ascii="Book Antiqua" w:hAnsi="Book Antiqua" w:cs="Times New Roman"/>
          <w:b/>
          <w:i/>
          <w:sz w:val="24"/>
          <w:szCs w:val="24"/>
        </w:rPr>
        <w:t>Modifications of the Bull’s Eye Technique</w:t>
      </w:r>
    </w:p>
    <w:p w:rsidR="00C2014D" w:rsidRPr="008A28E4" w:rsidRDefault="00C1243B" w:rsidP="008A28E4">
      <w:pPr>
        <w:spacing w:after="0" w:line="360" w:lineRule="auto"/>
        <w:jc w:val="both"/>
        <w:rPr>
          <w:rFonts w:ascii="Book Antiqua" w:hAnsi="Book Antiqua" w:cs="Times New Roman"/>
          <w:sz w:val="24"/>
          <w:szCs w:val="24"/>
        </w:rPr>
      </w:pPr>
      <w:r w:rsidRPr="008A28E4">
        <w:rPr>
          <w:rFonts w:ascii="Book Antiqua" w:hAnsi="Book Antiqua" w:cs="Times New Roman"/>
          <w:sz w:val="24"/>
          <w:szCs w:val="24"/>
        </w:rPr>
        <w:t xml:space="preserve">Bilen </w:t>
      </w:r>
      <w:r w:rsidRPr="008A28E4">
        <w:rPr>
          <w:rFonts w:ascii="Book Antiqua" w:hAnsi="Book Antiqua" w:cs="Times New Roman"/>
          <w:i/>
          <w:sz w:val="24"/>
          <w:szCs w:val="24"/>
        </w:rPr>
        <w:t>et al</w:t>
      </w:r>
      <w:r w:rsidR="0098134D" w:rsidRPr="008A28E4">
        <w:rPr>
          <w:rFonts w:ascii="Book Antiqua" w:hAnsi="Book Antiqua" w:cs="Times New Roman"/>
          <w:sz w:val="24"/>
          <w:szCs w:val="24"/>
          <w:vertAlign w:val="superscript"/>
        </w:rPr>
        <w:fldChar w:fldCharType="begin" w:fldLock="1"/>
      </w:r>
      <w:r w:rsidR="00C2014D" w:rsidRPr="008A28E4">
        <w:rPr>
          <w:rFonts w:ascii="Book Antiqua" w:hAnsi="Book Antiqua" w:cs="Times New Roman"/>
          <w:sz w:val="24"/>
          <w:szCs w:val="24"/>
          <w:vertAlign w:val="superscript"/>
        </w:rPr>
        <w:instrText>ADDIN CSL_CITATION { "citationItems" : [ { "id" : "ITEM-1", "itemData" : { "DOI" : "10.1089/089277903769013630", "ISSN" : "0892-7790", "PMID" : "14565879", "abstract" : "PURPOSE: We developed a laser pointer device that is mounted on the image intensifier of a C-arm fluoroscope. The laser-assisted fluoroscopic puncture technique (LAFPT) is an alternative method of accessing the kidney. MATERIALS AND METHODS: The LAFPT was assessed both in an in vitro model and in a series of cases. The in vitro model was composed of Foley balloons filled with contrast medium of different volumes (2-6 mL) embedded in silicone pads. The total fluoroscopy times and attempts required for a successful puncture with LAFPT were compared with those of conventional fluoroscopic access. RESULTS: The number of attempts required to puncture the 2-mL balloons was significantly greater with the conventional fluoroscopic technique than with LAFPT. The fluoroscopy time in vitro was reduced 50% with LAFPT. However, there was no statistically significant difference in the time required for the two techniques in the clinical series. CONCLUSION: The laser-assisted fluoroscopic puncture technique allows accurate positioning of a needle with reduced radiation exposure.", "author" : [ { "dropping-particle" : "", "family" : "Bilen", "given" : "C Y", "non-dropping-particle" : "", "parse-names" : false, "suffix" : "" }, { "dropping-particle" : "", "family" : "A\u015f\u00e7i", "given" : "R", "non-dropping-particle" : "", "parse-names" : false, "suffix" : "" }, { "dropping-particle" : "", "family" : "Sarikaya", "given" : "S", "non-dropping-particle" : "", "parse-names" : false, "suffix" : "" }, { "dropping-particle" : "", "family" : "B\u00fcy\u00fckalpelli", "given" : "R", "non-dropping-particle" : "", "parse-names" : false, "suffix" : "" }, { "dropping-particle" : "", "family" : "Yilmaz", "given" : "A F", "non-dropping-particle" : "", "parse-names" : false, "suffix" : "" } ], "container-title" : "Journal of endourology / Endourological Society", "id" : "ITEM-1", "issued" : { "date-parts" : [ [ "2003" ] ] }, "page" : "485-491", "title" : "Laser-assisted fluoroscopic puncture: a new technique for accessing the kidney.", "type" : "report", "volume" : "17" }, "uris" : [ "http://www.mendeley.com/documents/?uuid=19c08f42-c898-4601-8d64-dc2de663bdc1", "http://www.mendeley.com/documents/?uuid=6937887a-452e-4e7b-9c82-409cadb0d814" ] } ], "mendeley" : { "previouslyFormattedCitation" : "(38)" }, "properties" : { "noteIndex" : 0 }, "schema" : "https://github.com/citation-style-language/schema/raw/master/csl-citation.json" }</w:instrText>
      </w:r>
      <w:r w:rsidR="0098134D" w:rsidRPr="008A28E4">
        <w:rPr>
          <w:rFonts w:ascii="Book Antiqua" w:hAnsi="Book Antiqua" w:cs="Times New Roman"/>
          <w:sz w:val="24"/>
          <w:szCs w:val="24"/>
          <w:vertAlign w:val="superscript"/>
        </w:rPr>
        <w:fldChar w:fldCharType="separate"/>
      </w:r>
      <w:r w:rsidR="0000796D" w:rsidRPr="008A28E4">
        <w:rPr>
          <w:rFonts w:ascii="Book Antiqua" w:hAnsi="Book Antiqua" w:cs="Times New Roman"/>
          <w:noProof/>
          <w:sz w:val="24"/>
          <w:szCs w:val="24"/>
          <w:vertAlign w:val="superscript"/>
        </w:rPr>
        <w:t>[</w:t>
      </w:r>
      <w:r w:rsidR="00C2014D" w:rsidRPr="008A28E4">
        <w:rPr>
          <w:rFonts w:ascii="Book Antiqua" w:hAnsi="Book Antiqua" w:cs="Times New Roman"/>
          <w:noProof/>
          <w:sz w:val="24"/>
          <w:szCs w:val="24"/>
          <w:vertAlign w:val="superscript"/>
        </w:rPr>
        <w:t>43</w:t>
      </w:r>
      <w:r w:rsidR="0098134D" w:rsidRPr="008A28E4">
        <w:rPr>
          <w:rFonts w:ascii="Book Antiqua" w:hAnsi="Book Antiqua" w:cs="Times New Roman"/>
          <w:sz w:val="24"/>
          <w:szCs w:val="24"/>
          <w:vertAlign w:val="superscript"/>
        </w:rPr>
        <w:fldChar w:fldCharType="end"/>
      </w:r>
      <w:r w:rsidR="0000796D" w:rsidRPr="008A28E4">
        <w:rPr>
          <w:rFonts w:ascii="Book Antiqua" w:hAnsi="Book Antiqua" w:cs="Times New Roman"/>
          <w:sz w:val="24"/>
          <w:szCs w:val="24"/>
          <w:vertAlign w:val="superscript"/>
        </w:rPr>
        <w:t>]</w:t>
      </w:r>
      <w:r w:rsidR="00C2014D" w:rsidRPr="008A28E4">
        <w:rPr>
          <w:rFonts w:ascii="Book Antiqua" w:hAnsi="Book Antiqua" w:cs="Times New Roman"/>
          <w:sz w:val="24"/>
          <w:szCs w:val="24"/>
        </w:rPr>
        <w:t xml:space="preserve">, described the use of an in-line laser pointer to guide renal access in which the laser was attached within the field of the receiving head of the C-arm fluoroscopy unit. Ko </w:t>
      </w:r>
      <w:r w:rsidRPr="008A28E4">
        <w:rPr>
          <w:rFonts w:ascii="Book Antiqua" w:hAnsi="Book Antiqua" w:cs="Times New Roman"/>
          <w:i/>
          <w:sz w:val="24"/>
          <w:szCs w:val="24"/>
          <w:lang w:eastAsia="zh-CN"/>
        </w:rPr>
        <w:t>et al</w:t>
      </w:r>
      <w:r w:rsidRPr="008A28E4">
        <w:rPr>
          <w:rFonts w:ascii="Book Antiqua" w:hAnsi="Book Antiqua" w:cs="Times New Roman"/>
          <w:sz w:val="24"/>
          <w:szCs w:val="24"/>
          <w:vertAlign w:val="superscript"/>
        </w:rPr>
        <w:t>[44]</w:t>
      </w:r>
      <w:r w:rsidR="00C2014D" w:rsidRPr="008A28E4">
        <w:rPr>
          <w:rFonts w:ascii="Book Antiqua" w:hAnsi="Book Antiqua" w:cs="Times New Roman"/>
          <w:sz w:val="24"/>
          <w:szCs w:val="24"/>
        </w:rPr>
        <w:t xml:space="preserve"> described a further modification using a C arm mounted laser positioning device where the laser beam is focused on the hub of the needle continuously so that the correct alignment is maintained during the puncture</w:t>
      </w:r>
      <w:r w:rsidRPr="008A28E4">
        <w:rPr>
          <w:rFonts w:ascii="Book Antiqua" w:hAnsi="Book Antiqua" w:cs="Times New Roman"/>
          <w:sz w:val="24"/>
          <w:szCs w:val="24"/>
        </w:rPr>
        <w:t xml:space="preserve"> without the use of fluoroscopy</w:t>
      </w:r>
      <w:r w:rsidR="00C2014D" w:rsidRPr="008A28E4">
        <w:rPr>
          <w:rFonts w:ascii="Book Antiqua" w:hAnsi="Book Antiqua" w:cs="Times New Roman"/>
          <w:sz w:val="24"/>
          <w:szCs w:val="24"/>
        </w:rPr>
        <w:t xml:space="preserve">. This approach may reduce fluoroscopic exposure early in the learning curve. As experience increased the muscle memory leads to maintenance  </w:t>
      </w:r>
      <w:r w:rsidRPr="008A28E4">
        <w:rPr>
          <w:rFonts w:ascii="Book Antiqua" w:hAnsi="Book Antiqua" w:cs="Times New Roman"/>
          <w:sz w:val="24"/>
          <w:szCs w:val="24"/>
        </w:rPr>
        <w:t>of the correct needle alignment</w:t>
      </w:r>
      <w:r w:rsidR="0098134D" w:rsidRPr="008A28E4">
        <w:rPr>
          <w:rFonts w:ascii="Book Antiqua" w:hAnsi="Book Antiqua" w:cs="Times New Roman"/>
          <w:sz w:val="24"/>
          <w:szCs w:val="24"/>
          <w:vertAlign w:val="superscript"/>
        </w:rPr>
        <w:fldChar w:fldCharType="begin" w:fldLock="1"/>
      </w:r>
      <w:r w:rsidR="00C2014D" w:rsidRPr="008A28E4">
        <w:rPr>
          <w:rFonts w:ascii="Book Antiqua" w:hAnsi="Book Antiqua" w:cs="Times New Roman"/>
          <w:sz w:val="24"/>
          <w:szCs w:val="24"/>
          <w:vertAlign w:val="superscript"/>
        </w:rPr>
        <w:instrText>ADDIN CSL_CITATION { "citationItems" : [ { "id" : "ITEM-1", "itemData" : { "DOI" : "10.1089/end.2009.1528", "ISSN" : "0892-7790", "PMID" : "19785549", "abstract" : "Percutaneous renal surgery is dependent upon appropriate access to the targeted portion of the collecting system. Obtaining a well-positioned nephrostomy tract improves the urologist's ability to both obtain the desired surgical outcome and minimize attendant morbidities. The two primary methods of obtaining fluoroscopic-guided percutaneous renal access-\"bull's eye\" targeting and triangulation-are reviewed. The authors' preferred techniques are outlined, technical refinements are noted, and recent modifications and future directions are reviewed.", "author" : [ { "dropping-particle" : "", "family" : "Steinberg", "given" : "Peter L", "non-dropping-particle" : "", "parse-names" : false, "suffix" : "" }, { "dropping-particle" : "", "family" : "Semins", "given" : "Michelle J", "non-dropping-particle" : "", "parse-names" : false, "suffix" : "" }, { "dropping-particle" : "", "family" : "Wason", "given" : "Shaun E L", "non-dropping-particle" : "", "parse-names" : false, "suffix" : "" }, { "dropping-particle" : "", "family" : "Matlaga", "given" : "Brian R", "non-dropping-particle" : "", "parse-names" : false, "suffix" : "" }, { "dropping-particle" : "", "family" : "Pais", "given" : "Vernon M", "non-dropping-particle" : "", "parse-names" : false, "suffix" : "" } ], "container-title" : "Journal of endourology / Endourological Society", "id" : "ITEM-1", "issued" : { "date-parts" : [ [ "2009" ] ] }, "page" : "1627-1631", "title" : "Fluoroscopy-guided percutaneous renal access.", "type" : "article-journal", "volume" : "23" }, "uris" : [ "http://www.mendeley.com/documents/?uuid=33ca1be4-2e2a-4df8-bd31-92244e1fa567" ] } ], "mendeley" : { "previouslyFormattedCitation" : "(37)" }, "properties" : { "noteIndex" : 0 }, "schema" : "https://github.com/citation-style-language/schema/raw/master/csl-citation.json" }</w:instrText>
      </w:r>
      <w:r w:rsidR="0098134D" w:rsidRPr="008A28E4">
        <w:rPr>
          <w:rFonts w:ascii="Book Antiqua" w:hAnsi="Book Antiqua" w:cs="Times New Roman"/>
          <w:sz w:val="24"/>
          <w:szCs w:val="24"/>
          <w:vertAlign w:val="superscript"/>
        </w:rPr>
        <w:fldChar w:fldCharType="separate"/>
      </w:r>
      <w:r w:rsidR="0000796D" w:rsidRPr="008A28E4">
        <w:rPr>
          <w:rFonts w:ascii="Book Antiqua" w:hAnsi="Book Antiqua" w:cs="Times New Roman"/>
          <w:noProof/>
          <w:sz w:val="24"/>
          <w:szCs w:val="24"/>
          <w:vertAlign w:val="superscript"/>
        </w:rPr>
        <w:t>[</w:t>
      </w:r>
      <w:r w:rsidR="00C2014D" w:rsidRPr="008A28E4">
        <w:rPr>
          <w:rFonts w:ascii="Book Antiqua" w:hAnsi="Book Antiqua" w:cs="Times New Roman"/>
          <w:noProof/>
          <w:sz w:val="24"/>
          <w:szCs w:val="24"/>
          <w:vertAlign w:val="superscript"/>
        </w:rPr>
        <w:t>42</w:t>
      </w:r>
      <w:r w:rsidR="0098134D" w:rsidRPr="008A28E4">
        <w:rPr>
          <w:rFonts w:ascii="Book Antiqua" w:hAnsi="Book Antiqua" w:cs="Times New Roman"/>
          <w:sz w:val="24"/>
          <w:szCs w:val="24"/>
          <w:vertAlign w:val="superscript"/>
        </w:rPr>
        <w:fldChar w:fldCharType="end"/>
      </w:r>
      <w:r w:rsidR="0000796D" w:rsidRPr="008A28E4">
        <w:rPr>
          <w:rFonts w:ascii="Book Antiqua" w:hAnsi="Book Antiqua" w:cs="Times New Roman"/>
          <w:sz w:val="24"/>
          <w:szCs w:val="24"/>
          <w:vertAlign w:val="superscript"/>
        </w:rPr>
        <w:t>]</w:t>
      </w:r>
      <w:r w:rsidR="00C2014D" w:rsidRPr="008A28E4">
        <w:rPr>
          <w:rFonts w:ascii="Book Antiqua" w:hAnsi="Book Antiqua" w:cs="Times New Roman"/>
          <w:sz w:val="24"/>
          <w:szCs w:val="24"/>
        </w:rPr>
        <w:t>.</w:t>
      </w:r>
    </w:p>
    <w:p w:rsidR="00C1243B" w:rsidRPr="008A28E4" w:rsidRDefault="00C1243B" w:rsidP="008A28E4">
      <w:pPr>
        <w:pStyle w:val="ListParagraph"/>
        <w:spacing w:after="0" w:line="360" w:lineRule="auto"/>
        <w:ind w:left="0"/>
        <w:jc w:val="both"/>
        <w:rPr>
          <w:rFonts w:ascii="Book Antiqua" w:hAnsi="Book Antiqua" w:cs="Times New Roman"/>
          <w:b/>
          <w:sz w:val="24"/>
          <w:szCs w:val="24"/>
          <w:lang w:eastAsia="zh-CN"/>
        </w:rPr>
      </w:pPr>
    </w:p>
    <w:p w:rsidR="00C2014D" w:rsidRPr="008A28E4" w:rsidRDefault="00505DA4" w:rsidP="008A28E4">
      <w:pPr>
        <w:pStyle w:val="ListParagraph"/>
        <w:spacing w:after="0" w:line="360" w:lineRule="auto"/>
        <w:ind w:left="0"/>
        <w:jc w:val="both"/>
        <w:rPr>
          <w:rFonts w:ascii="Book Antiqua" w:hAnsi="Book Antiqua" w:cs="Times New Roman"/>
          <w:b/>
          <w:sz w:val="24"/>
          <w:szCs w:val="24"/>
        </w:rPr>
      </w:pPr>
      <w:r w:rsidRPr="008A28E4">
        <w:rPr>
          <w:rFonts w:ascii="Book Antiqua" w:hAnsi="Book Antiqua" w:cs="Times New Roman"/>
          <w:b/>
          <w:sz w:val="24"/>
          <w:szCs w:val="24"/>
        </w:rPr>
        <w:t>TRIANGULATION TECHNIQUE</w:t>
      </w:r>
    </w:p>
    <w:p w:rsidR="00C2014D" w:rsidRPr="008A28E4" w:rsidRDefault="00C2014D" w:rsidP="008A28E4">
      <w:pPr>
        <w:spacing w:after="0" w:line="360" w:lineRule="auto"/>
        <w:jc w:val="both"/>
        <w:rPr>
          <w:rFonts w:ascii="Book Antiqua" w:hAnsi="Book Antiqua" w:cs="Times New Roman"/>
          <w:sz w:val="24"/>
          <w:szCs w:val="24"/>
          <w:vertAlign w:val="superscript"/>
          <w:lang w:eastAsia="zh-CN"/>
        </w:rPr>
      </w:pPr>
      <w:r w:rsidRPr="008A28E4">
        <w:rPr>
          <w:rFonts w:ascii="Book Antiqua" w:hAnsi="Book Antiqua" w:cs="Times New Roman"/>
          <w:sz w:val="24"/>
          <w:szCs w:val="24"/>
        </w:rPr>
        <w:t>Triangulation technique is the technique of using two known points of reference to locate a third unknown point. It is guided by biplanar fluoroscopy. The medial and lateral plane is assessed with the C arm at 0</w:t>
      </w:r>
      <w:r w:rsidR="00841E8F" w:rsidRPr="008A28E4">
        <w:rPr>
          <w:rFonts w:ascii="Book Antiqua" w:hAnsi="Book Antiqua" w:cs="Times New Roman"/>
          <w:sz w:val="24"/>
          <w:szCs w:val="24"/>
        </w:rPr>
        <w:t>°</w:t>
      </w:r>
      <w:r w:rsidRPr="008A28E4">
        <w:rPr>
          <w:rFonts w:ascii="Book Antiqua" w:hAnsi="Book Antiqua" w:cs="Times New Roman"/>
          <w:sz w:val="24"/>
          <w:szCs w:val="24"/>
        </w:rPr>
        <w:t>. The depth is assessed by rotating the C arm in the cranial or caudal direction by 30</w:t>
      </w:r>
      <w:r w:rsidR="00841E8F" w:rsidRPr="008A28E4">
        <w:rPr>
          <w:rFonts w:ascii="Book Antiqua" w:hAnsi="Book Antiqua" w:cs="Times New Roman"/>
          <w:sz w:val="24"/>
          <w:szCs w:val="24"/>
        </w:rPr>
        <w:t>°</w:t>
      </w:r>
      <w:r w:rsidRPr="008A28E4">
        <w:rPr>
          <w:rFonts w:ascii="Book Antiqua" w:hAnsi="Book Antiqua" w:cs="Times New Roman"/>
          <w:sz w:val="24"/>
          <w:szCs w:val="24"/>
        </w:rPr>
        <w:t>. The target calyx is identified with the C arm at 0</w:t>
      </w:r>
      <w:r w:rsidR="00841E8F" w:rsidRPr="008A28E4">
        <w:rPr>
          <w:rFonts w:ascii="Book Antiqua" w:hAnsi="Book Antiqua" w:cs="Times New Roman"/>
          <w:sz w:val="24"/>
          <w:szCs w:val="24"/>
        </w:rPr>
        <w:t>°</w:t>
      </w:r>
      <w:r w:rsidRPr="008A28E4">
        <w:rPr>
          <w:rFonts w:ascii="Book Antiqua" w:hAnsi="Book Antiqua" w:cs="Times New Roman"/>
          <w:sz w:val="24"/>
          <w:szCs w:val="24"/>
        </w:rPr>
        <w:t>. Then the line of puncture is aligned with the infundibulum. With the C arm at 0</w:t>
      </w:r>
      <w:r w:rsidR="00841E8F" w:rsidRPr="008A28E4">
        <w:rPr>
          <w:rFonts w:ascii="Book Antiqua" w:hAnsi="Book Antiqua" w:cs="Times New Roman"/>
          <w:sz w:val="24"/>
          <w:szCs w:val="24"/>
        </w:rPr>
        <w:t>°</w:t>
      </w:r>
      <w:r w:rsidRPr="008A28E4">
        <w:rPr>
          <w:rFonts w:ascii="Book Antiqua" w:hAnsi="Book Antiqua" w:cs="Times New Roman"/>
          <w:sz w:val="24"/>
          <w:szCs w:val="24"/>
        </w:rPr>
        <w:t xml:space="preserve"> the needle is introduced through the skin incision. The left and right</w:t>
      </w:r>
      <w:r w:rsidR="00C1243B" w:rsidRPr="008A28E4">
        <w:rPr>
          <w:rFonts w:ascii="Book Antiqua" w:hAnsi="Book Antiqua" w:cs="Times New Roman"/>
          <w:sz w:val="24"/>
          <w:szCs w:val="24"/>
          <w:lang w:eastAsia="zh-CN"/>
        </w:rPr>
        <w:t>,</w:t>
      </w:r>
      <w:r w:rsidRPr="008A28E4">
        <w:rPr>
          <w:rFonts w:ascii="Book Antiqua" w:hAnsi="Book Antiqua" w:cs="Times New Roman"/>
          <w:sz w:val="24"/>
          <w:szCs w:val="24"/>
        </w:rPr>
        <w:t xml:space="preserve"> </w:t>
      </w:r>
      <w:r w:rsidRPr="008A28E4">
        <w:rPr>
          <w:rFonts w:ascii="Book Antiqua" w:hAnsi="Book Antiqua" w:cs="Times New Roman"/>
          <w:i/>
          <w:sz w:val="24"/>
          <w:szCs w:val="24"/>
        </w:rPr>
        <w:t>i.e.</w:t>
      </w:r>
      <w:r w:rsidR="00C1243B" w:rsidRPr="008A28E4">
        <w:rPr>
          <w:rFonts w:ascii="Book Antiqua" w:hAnsi="Book Antiqua" w:cs="Times New Roman"/>
          <w:i/>
          <w:sz w:val="24"/>
          <w:szCs w:val="24"/>
          <w:lang w:eastAsia="zh-CN"/>
        </w:rPr>
        <w:t>,</w:t>
      </w:r>
      <w:r w:rsidRPr="008A28E4">
        <w:rPr>
          <w:rFonts w:ascii="Book Antiqua" w:hAnsi="Book Antiqua" w:cs="Times New Roman"/>
          <w:sz w:val="24"/>
          <w:szCs w:val="24"/>
        </w:rPr>
        <w:t xml:space="preserve"> the mediolateral adjustments are made and the needle is aligned with calyx. Then the C arm is rotated 30</w:t>
      </w:r>
      <w:r w:rsidR="00841E8F" w:rsidRPr="008A28E4">
        <w:rPr>
          <w:rFonts w:ascii="Book Antiqua" w:hAnsi="Book Antiqua" w:cs="Times New Roman"/>
          <w:sz w:val="24"/>
          <w:szCs w:val="24"/>
        </w:rPr>
        <w:t>°</w:t>
      </w:r>
      <w:r w:rsidRPr="008A28E4">
        <w:rPr>
          <w:rFonts w:ascii="Book Antiqua" w:hAnsi="Book Antiqua" w:cs="Times New Roman"/>
          <w:sz w:val="24"/>
          <w:szCs w:val="24"/>
        </w:rPr>
        <w:t>, towards the head end for lower pole punctures and towards the foot end for upper pole punctures. The needle is then oriented in the up and down i.e the cephalo-caudal position so that the orientation is again towards the desired calyx. When making the adjustments in one plane it is necessary to maintain the orientation of the needle in the other plane.  The needle is then advanced with the C arm tilted 30</w:t>
      </w:r>
      <w:r w:rsidR="00841E8F" w:rsidRPr="008A28E4">
        <w:rPr>
          <w:rFonts w:ascii="Book Antiqua" w:hAnsi="Book Antiqua" w:cs="Times New Roman"/>
          <w:sz w:val="24"/>
          <w:szCs w:val="24"/>
        </w:rPr>
        <w:t>°</w:t>
      </w:r>
      <w:r w:rsidRPr="008A28E4">
        <w:rPr>
          <w:rFonts w:ascii="Book Antiqua" w:hAnsi="Book Antiqua" w:cs="Times New Roman"/>
          <w:sz w:val="24"/>
          <w:szCs w:val="24"/>
        </w:rPr>
        <w:t xml:space="preserve"> to give an idea regarding the depth and the respiration suspended at end expiration. After advancing the needle for several centimeters shift the C arm to 0</w:t>
      </w:r>
      <w:r w:rsidR="00841E8F" w:rsidRPr="008A28E4">
        <w:rPr>
          <w:rFonts w:ascii="Book Antiqua" w:hAnsi="Book Antiqua" w:cs="Times New Roman"/>
          <w:sz w:val="24"/>
          <w:szCs w:val="24"/>
        </w:rPr>
        <w:t>°</w:t>
      </w:r>
      <w:r w:rsidRPr="008A28E4">
        <w:rPr>
          <w:rFonts w:ascii="Book Antiqua" w:hAnsi="Book Antiqua" w:cs="Times New Roman"/>
          <w:sz w:val="24"/>
          <w:szCs w:val="24"/>
        </w:rPr>
        <w:t xml:space="preserve"> to see that the trajectory of the needle is still properly aligned to the target calyx in the mediolateral plane. If necessary the needle trajectory can be readjusted to maintain proper targeting. It is imperative that to minimize trauma to the renal parenchyma, the adjustment of the needle plane should be done when the needle is outside the renal capsule and not when the needle is in the parenchyma. A slight jiggle of the needle causing indentation of the desired calyx is a further sign that the trajectory of the needle is correct. If the needle position in </w:t>
      </w:r>
      <w:r w:rsidR="00841E8F" w:rsidRPr="008A28E4">
        <w:rPr>
          <w:rFonts w:ascii="Book Antiqua" w:hAnsi="Book Antiqua" w:cs="Times New Roman"/>
          <w:sz w:val="24"/>
          <w:szCs w:val="24"/>
        </w:rPr>
        <w:t>the medial-lateral and cephalo-</w:t>
      </w:r>
      <w:r w:rsidRPr="008A28E4">
        <w:rPr>
          <w:rFonts w:ascii="Book Antiqua" w:hAnsi="Book Antiqua" w:cs="Times New Roman"/>
          <w:sz w:val="24"/>
          <w:szCs w:val="24"/>
        </w:rPr>
        <w:t>caudal planes is maintained, the needle s</w:t>
      </w:r>
      <w:r w:rsidR="0000796D" w:rsidRPr="008A28E4">
        <w:rPr>
          <w:rFonts w:ascii="Book Antiqua" w:hAnsi="Book Antiqua" w:cs="Times New Roman"/>
          <w:sz w:val="24"/>
          <w:szCs w:val="24"/>
        </w:rPr>
        <w:t>hould enter the targeted cal</w:t>
      </w:r>
      <w:r w:rsidR="00C1243B" w:rsidRPr="008A28E4">
        <w:rPr>
          <w:rFonts w:ascii="Book Antiqua" w:hAnsi="Book Antiqua" w:cs="Times New Roman"/>
          <w:sz w:val="24"/>
          <w:szCs w:val="24"/>
        </w:rPr>
        <w:t>yx</w:t>
      </w:r>
      <w:r w:rsidR="0000796D" w:rsidRPr="008A28E4">
        <w:rPr>
          <w:rFonts w:ascii="Book Antiqua" w:hAnsi="Book Antiqua" w:cs="Times New Roman"/>
          <w:sz w:val="24"/>
          <w:szCs w:val="24"/>
          <w:vertAlign w:val="superscript"/>
        </w:rPr>
        <w:t>[</w:t>
      </w:r>
      <w:r w:rsidR="00C1243B" w:rsidRPr="008A28E4">
        <w:rPr>
          <w:rFonts w:ascii="Book Antiqua" w:hAnsi="Book Antiqua" w:cs="Times New Roman"/>
          <w:sz w:val="24"/>
          <w:szCs w:val="24"/>
          <w:vertAlign w:val="superscript"/>
        </w:rPr>
        <w:t>20,24,</w:t>
      </w:r>
      <w:r w:rsidRPr="008A28E4">
        <w:rPr>
          <w:rFonts w:ascii="Book Antiqua" w:hAnsi="Book Antiqua" w:cs="Times New Roman"/>
          <w:sz w:val="24"/>
          <w:szCs w:val="24"/>
          <w:vertAlign w:val="superscript"/>
        </w:rPr>
        <w:t>39</w:t>
      </w:r>
      <w:r w:rsidR="00C1243B" w:rsidRPr="008A28E4">
        <w:rPr>
          <w:rFonts w:ascii="Book Antiqua" w:hAnsi="Book Antiqua" w:cs="Times New Roman"/>
          <w:sz w:val="24"/>
          <w:szCs w:val="24"/>
          <w:vertAlign w:val="superscript"/>
          <w:lang w:eastAsia="zh-CN"/>
        </w:rPr>
        <w:t>-</w:t>
      </w:r>
      <w:r w:rsidRPr="008A28E4">
        <w:rPr>
          <w:rFonts w:ascii="Book Antiqua" w:hAnsi="Book Antiqua" w:cs="Times New Roman"/>
          <w:sz w:val="24"/>
          <w:szCs w:val="24"/>
          <w:vertAlign w:val="superscript"/>
        </w:rPr>
        <w:t>41</w:t>
      </w:r>
      <w:r w:rsidR="0000796D" w:rsidRPr="008A28E4">
        <w:rPr>
          <w:rFonts w:ascii="Book Antiqua" w:hAnsi="Book Antiqua" w:cs="Times New Roman"/>
          <w:sz w:val="24"/>
          <w:szCs w:val="24"/>
          <w:vertAlign w:val="superscript"/>
        </w:rPr>
        <w:t>]</w:t>
      </w:r>
      <w:r w:rsidRPr="008A28E4">
        <w:rPr>
          <w:rFonts w:ascii="Book Antiqua" w:hAnsi="Book Antiqua" w:cs="Times New Roman"/>
          <w:sz w:val="24"/>
          <w:szCs w:val="24"/>
        </w:rPr>
        <w:t>. It is preferable to use the 18-gauge rather than a 21-gauge needle with the triangulation technique, as its stiffness provides better stability t</w:t>
      </w:r>
      <w:r w:rsidR="00C1243B" w:rsidRPr="008A28E4">
        <w:rPr>
          <w:rFonts w:ascii="Book Antiqua" w:hAnsi="Book Antiqua" w:cs="Times New Roman"/>
          <w:sz w:val="24"/>
          <w:szCs w:val="24"/>
        </w:rPr>
        <w:t>o help maintain angle of entry</w:t>
      </w:r>
      <w:r w:rsidR="0000796D" w:rsidRPr="008A28E4">
        <w:rPr>
          <w:rFonts w:ascii="Book Antiqua" w:hAnsi="Book Antiqua" w:cs="Times New Roman"/>
          <w:sz w:val="24"/>
          <w:szCs w:val="24"/>
          <w:vertAlign w:val="superscript"/>
        </w:rPr>
        <w:t>[</w:t>
      </w:r>
      <w:r w:rsidRPr="008A28E4">
        <w:rPr>
          <w:rFonts w:ascii="Book Antiqua" w:hAnsi="Book Antiqua" w:cs="Times New Roman"/>
          <w:sz w:val="24"/>
          <w:szCs w:val="24"/>
          <w:vertAlign w:val="superscript"/>
        </w:rPr>
        <w:t>39</w:t>
      </w:r>
      <w:r w:rsidR="0000796D" w:rsidRPr="008A28E4">
        <w:rPr>
          <w:rFonts w:ascii="Book Antiqua" w:hAnsi="Book Antiqua" w:cs="Times New Roman"/>
          <w:sz w:val="24"/>
          <w:szCs w:val="24"/>
          <w:vertAlign w:val="superscript"/>
        </w:rPr>
        <w:t>]</w:t>
      </w:r>
      <w:r w:rsidRPr="008A28E4">
        <w:rPr>
          <w:rFonts w:ascii="Book Antiqua" w:hAnsi="Book Antiqua" w:cs="Times New Roman"/>
          <w:sz w:val="24"/>
          <w:szCs w:val="24"/>
          <w:vertAlign w:val="superscript"/>
        </w:rPr>
        <w:t>.</w:t>
      </w:r>
    </w:p>
    <w:p w:rsidR="00C1243B" w:rsidRPr="008A28E4" w:rsidRDefault="00C1243B" w:rsidP="008A28E4">
      <w:pPr>
        <w:spacing w:after="0" w:line="360" w:lineRule="auto"/>
        <w:jc w:val="both"/>
        <w:rPr>
          <w:rFonts w:ascii="Book Antiqua" w:hAnsi="Book Antiqua" w:cs="Times New Roman"/>
          <w:sz w:val="24"/>
          <w:szCs w:val="24"/>
          <w:lang w:eastAsia="zh-CN"/>
        </w:rPr>
      </w:pPr>
    </w:p>
    <w:p w:rsidR="00C2014D" w:rsidRPr="008A28E4" w:rsidRDefault="00C2014D" w:rsidP="008A28E4">
      <w:pPr>
        <w:spacing w:after="0" w:line="360" w:lineRule="auto"/>
        <w:jc w:val="both"/>
        <w:rPr>
          <w:rFonts w:ascii="Book Antiqua" w:hAnsi="Book Antiqua" w:cs="Times New Roman"/>
          <w:b/>
          <w:i/>
          <w:sz w:val="24"/>
          <w:szCs w:val="24"/>
        </w:rPr>
      </w:pPr>
      <w:r w:rsidRPr="008A28E4">
        <w:rPr>
          <w:rFonts w:ascii="Book Antiqua" w:hAnsi="Book Antiqua" w:cs="Times New Roman"/>
          <w:b/>
          <w:i/>
          <w:sz w:val="24"/>
          <w:szCs w:val="24"/>
        </w:rPr>
        <w:t>Comparison of Bull’s eye and Triangulation technique</w:t>
      </w:r>
    </w:p>
    <w:p w:rsidR="00C2014D" w:rsidRPr="008A28E4" w:rsidRDefault="00C2014D" w:rsidP="008A28E4">
      <w:pPr>
        <w:spacing w:after="0" w:line="360" w:lineRule="auto"/>
        <w:jc w:val="both"/>
        <w:rPr>
          <w:rFonts w:ascii="Book Antiqua" w:hAnsi="Book Antiqua" w:cs="Times New Roman"/>
          <w:sz w:val="24"/>
          <w:szCs w:val="24"/>
        </w:rPr>
      </w:pPr>
      <w:r w:rsidRPr="008A28E4">
        <w:rPr>
          <w:rFonts w:ascii="Book Antiqua" w:hAnsi="Book Antiqua" w:cs="Times New Roman"/>
          <w:sz w:val="24"/>
          <w:szCs w:val="24"/>
        </w:rPr>
        <w:t>In the Triangulation technique, the puncture is along the stone axis</w:t>
      </w:r>
      <w:r w:rsidR="00C1243B" w:rsidRPr="008A28E4">
        <w:rPr>
          <w:rFonts w:ascii="Book Antiqua" w:hAnsi="Book Antiqua" w:cs="Times New Roman"/>
          <w:sz w:val="24"/>
          <w:szCs w:val="24"/>
          <w:lang w:eastAsia="zh-CN"/>
        </w:rPr>
        <w:t>,</w:t>
      </w:r>
      <w:r w:rsidRPr="008A28E4">
        <w:rPr>
          <w:rFonts w:ascii="Book Antiqua" w:hAnsi="Book Antiqua" w:cs="Times New Roman"/>
          <w:sz w:val="24"/>
          <w:szCs w:val="24"/>
        </w:rPr>
        <w:t xml:space="preserve"> </w:t>
      </w:r>
      <w:r w:rsidRPr="008A28E4">
        <w:rPr>
          <w:rFonts w:ascii="Book Antiqua" w:hAnsi="Book Antiqua" w:cs="Times New Roman"/>
          <w:i/>
          <w:sz w:val="24"/>
          <w:szCs w:val="24"/>
        </w:rPr>
        <w:t>i.e</w:t>
      </w:r>
      <w:r w:rsidR="00C1243B" w:rsidRPr="008A28E4">
        <w:rPr>
          <w:rFonts w:ascii="Book Antiqua" w:hAnsi="Book Antiqua" w:cs="Times New Roman"/>
          <w:i/>
          <w:sz w:val="24"/>
          <w:szCs w:val="24"/>
          <w:lang w:eastAsia="zh-CN"/>
        </w:rPr>
        <w:t>,</w:t>
      </w:r>
      <w:r w:rsidRPr="008A28E4">
        <w:rPr>
          <w:rFonts w:ascii="Book Antiqua" w:hAnsi="Book Antiqua" w:cs="Times New Roman"/>
          <w:sz w:val="24"/>
          <w:szCs w:val="24"/>
        </w:rPr>
        <w:t xml:space="preserve"> in alignment with the infundibulum. This decreases the need for excessive torque on the renal parenchyma by the rigid instruments, which may cause renal trauma and bleeding</w:t>
      </w:r>
      <w:r w:rsidR="0098134D" w:rsidRPr="008A28E4">
        <w:rPr>
          <w:rFonts w:ascii="Book Antiqua" w:hAnsi="Book Antiqua" w:cs="Times New Roman"/>
          <w:sz w:val="24"/>
          <w:szCs w:val="24"/>
          <w:vertAlign w:val="superscript"/>
        </w:rPr>
        <w:fldChar w:fldCharType="begin" w:fldLock="1"/>
      </w:r>
      <w:r w:rsidRPr="008A28E4">
        <w:rPr>
          <w:rFonts w:ascii="Book Antiqua" w:hAnsi="Book Antiqua" w:cs="Times New Roman"/>
          <w:sz w:val="24"/>
          <w:szCs w:val="24"/>
          <w:vertAlign w:val="superscript"/>
        </w:rPr>
        <w:instrText>ADDIN CSL_CITATION { "citationItems" : [ { "id" : "ITEM-1", "itemData" : { "DOI" : "10.1016/j.juro.2007.03.014", "ISSN" : "0022-5347", "PMID" : "17574053", "abstract" : "PURPOSE: Percutaneous nephrolithotomy has undergone considerable evolution since its introduction in the 1970s, which has been driven by advances in access techniques, instrumentation and endoscopic technology. Recent reports suggest an increase in the number of percutaneous stone treatments being performed. However, despite the increasing use of percutaneous nephrolithotomy a minority of urologists obtain their own access. We reviewed the techniques for performing safe and effective percutaneous renal access.\n\nMATERIALS AND METHODS: A literature search using Entrez PubMed was performed. All relevant literature concerning techniques for fluoroscopic percutaneous renal access published within the last 20 years was reviewed.\n\nRESULTS: The success of percutaneous nephrolithotomy is critically dependent on achieving suitable percutaneous access. The ideal site of percutaneous puncture should be selected to maximize the use of rigid instruments, minimize the risk of complications and attain stone-free status. Familiarity with basic renal anatomy is essential to obtain access safely. Adherence to basic principles allows the establishment of percutaneous access in a straightforward and efficient manner. Certain clinical situations may require special access techniques.\n\nCONCLUSIONS: Percutaneous nephrolithotomy is the treatment of choice for complex stone disease. While the efficacy of percutaneous nephrolithotomy relies on the establishment of effective percutaneous access, there are considerable advantages for the urologist able to achieve access.", "author" : [ { "dropping-particle" : "", "family" : "Miller", "given" : "Nicole L", "non-dropping-particle" : "", "parse-names" : false, "suffix" : "" }, { "dropping-particle" : "", "family" : "Matlaga", "given" : "Brian R", "non-dropping-particle" : "", "parse-names" : false, "suffix" : "" }, { "dropping-particle" : "", "family" : "Lingeman", "given" : "James E", "non-dropping-particle" : "", "parse-names" : false, "suffix" : "" } ], "container-title" : "The Journal of urology", "id" : "ITEM-1", "issue" : "1", "issued" : { "date-parts" : [ [ "2007", "7" ] ] }, "page" : "15-23", "title" : "Techniques for fluoroscopic percutaneous renal access.", "type" : "article-journal", "volume" : "178" }, "uris" : [ "http://www.mendeley.com/documents/?uuid=d42af0c3-4a7c-4b36-a0aa-d1e6cb0de1ae" ] } ], "mendeley" : { "previouslyFormattedCitation" : "(24)" }, "properties" : { "noteIndex" : 0 }, "schema" : "https://github.com/citation-style-language/schema/raw/master/csl-citation.json" }</w:instrText>
      </w:r>
      <w:r w:rsidR="0098134D" w:rsidRPr="008A28E4">
        <w:rPr>
          <w:rFonts w:ascii="Book Antiqua" w:hAnsi="Book Antiqua" w:cs="Times New Roman"/>
          <w:sz w:val="24"/>
          <w:szCs w:val="24"/>
          <w:vertAlign w:val="superscript"/>
        </w:rPr>
        <w:fldChar w:fldCharType="separate"/>
      </w:r>
      <w:r w:rsidR="0000796D" w:rsidRPr="008A28E4">
        <w:rPr>
          <w:rFonts w:ascii="Book Antiqua" w:hAnsi="Book Antiqua" w:cs="Times New Roman"/>
          <w:noProof/>
          <w:sz w:val="24"/>
          <w:szCs w:val="24"/>
          <w:vertAlign w:val="superscript"/>
        </w:rPr>
        <w:t>[</w:t>
      </w:r>
      <w:r w:rsidRPr="008A28E4">
        <w:rPr>
          <w:rFonts w:ascii="Book Antiqua" w:hAnsi="Book Antiqua" w:cs="Times New Roman"/>
          <w:noProof/>
          <w:sz w:val="24"/>
          <w:szCs w:val="24"/>
          <w:vertAlign w:val="superscript"/>
        </w:rPr>
        <w:t>20</w:t>
      </w:r>
      <w:r w:rsidR="0098134D" w:rsidRPr="008A28E4">
        <w:rPr>
          <w:rFonts w:ascii="Book Antiqua" w:hAnsi="Book Antiqua" w:cs="Times New Roman"/>
          <w:sz w:val="24"/>
          <w:szCs w:val="24"/>
          <w:vertAlign w:val="superscript"/>
        </w:rPr>
        <w:fldChar w:fldCharType="end"/>
      </w:r>
      <w:r w:rsidR="0000796D" w:rsidRPr="008A28E4">
        <w:rPr>
          <w:rFonts w:ascii="Book Antiqua" w:hAnsi="Book Antiqua" w:cs="Times New Roman"/>
          <w:sz w:val="24"/>
          <w:szCs w:val="24"/>
          <w:vertAlign w:val="superscript"/>
        </w:rPr>
        <w:t>]</w:t>
      </w:r>
      <w:r w:rsidR="00C1243B" w:rsidRPr="008A28E4">
        <w:rPr>
          <w:rFonts w:ascii="Book Antiqua" w:hAnsi="Book Antiqua" w:cs="Times New Roman"/>
          <w:sz w:val="24"/>
          <w:szCs w:val="24"/>
        </w:rPr>
        <w:t xml:space="preserve">. Tepeler </w:t>
      </w:r>
      <w:r w:rsidR="00C1243B" w:rsidRPr="008A28E4">
        <w:rPr>
          <w:rFonts w:ascii="Book Antiqua" w:hAnsi="Book Antiqua" w:cs="Times New Roman"/>
          <w:i/>
          <w:sz w:val="24"/>
          <w:szCs w:val="24"/>
        </w:rPr>
        <w:t>et al</w:t>
      </w:r>
      <w:r w:rsidR="0098134D" w:rsidRPr="008A28E4">
        <w:rPr>
          <w:rFonts w:ascii="Book Antiqua" w:hAnsi="Book Antiqua" w:cs="Times New Roman"/>
          <w:sz w:val="24"/>
          <w:szCs w:val="24"/>
          <w:vertAlign w:val="superscript"/>
        </w:rPr>
        <w:fldChar w:fldCharType="begin" w:fldLock="1"/>
      </w:r>
      <w:r w:rsidRPr="008A28E4">
        <w:rPr>
          <w:rFonts w:ascii="Book Antiqua" w:hAnsi="Book Antiqua" w:cs="Times New Roman"/>
          <w:sz w:val="24"/>
          <w:szCs w:val="24"/>
          <w:vertAlign w:val="superscript"/>
        </w:rPr>
        <w:instrText>ADDIN CSL_CITATION { "citationItems" : [ { "id" : "ITEM-1", "itemData" : { "DOI" : "10.1089/end.2011.0563", "ISSN" : "1557-900X", "PMID" : "22283962", "abstract" : "BACKGROUND AND PURPOSE: Percutaneous nephrolithotomy (PCNL) is regarded as the gold standard for the treatment of patients with renal stones larger than 2 cm in diameter. Creating a percutaneous renal access is the initial and probably the most important step in performing a PCNL. Two primary methods of obtaining proper percutaneous renal access under fluoroscopic guidance are described: The \"triangulation\" and the \"eye of the needle\" techniques. In this article, we compare these two techniques in terms of success and complication rates.\n\nPATIENTS AND METHODS: From October 2010 to May 2011, 80 patients with simple renal stones were prospectively randomized into two groups according to the percutaneous renal access technique used for PCNL. Patients in group 1 (n=40) were assigned to the eye of the needle technique, and patients in group 2 (n=40) were assigned to the triangulation method. Patients needing multiple access points were excluded from the study. The preoperative, operative, and postoperative follow-up findings were thereafter analyzed and compared.\n\nRESULTS: No significant difference between the two groups was detected in terms of patient demographics (mean patient age, body mass index, stone size, or stone location). The operation time, fluoroscopic screening time (FST), and duration of hospitalization were similar in both groups (P=0.52, P=0.32, P=0.26, respectively). Patients in group 1 had a larger drop in hematocrit postoperatively than patients in group 2 (7.6 \u00b1 3.7 vs 4.8 \u00b1 2.1, P=0.001). The blood transfusion rate (7.5%) was similar in both groups, however. Although the complication rate was higher in group 1 than group 2, no significant difference was detected (20% vs 15%, P=0.76).\n\nCONCLUSIONS: The present study demonstrates that PCNL can be performed safely using two different percutaneous access techniques. The two techniques studied in this trial had similar FSTs, operation and hospitalization times, success rates, and complication rates.", "author" : [ { "dropping-particle" : "", "family" : "Tepeler", "given" : "Abdulkadir", "non-dropping-particle" : "", "parse-names" : false, "suffix" : "" }, { "dropping-particle" : "", "family" : "Arma\u011fan", "given" : "Abdullah", "non-dropping-particle" : "", "parse-names" : false, "suffix" : "" }, { "dropping-particle" : "", "family" : "Akman", "given" : "Tolga", "non-dropping-particle" : "", "parse-names" : false, "suffix" : "" }, { "dropping-particle" : "", "family" : "Polat", "given" : "Emre Can", "non-dropping-particle" : "", "parse-names" : false, "suffix" : "" }, { "dropping-particle" : "", "family" : "Ers\u00f6z", "given" : "Cevper", "non-dropping-particle" : "", "parse-names" : false, "suffix" : "" }, { "dropping-particle" : "", "family" : "Topakta\u015f", "given" : "Ramazan", "non-dropping-particle" : "", "parse-names" : false, "suffix" : "" }, { "dropping-particle" : "", "family" : "Erdem", "given" : "Mehmet Remzi", "non-dropping-particle" : "", "parse-names" : false, "suffix" : "" }, { "dropping-particle" : "", "family" : "\u00d6nol", "given" : "\u015einasi Yavuz", "non-dropping-particle" : "", "parse-names" : false, "suffix" : "" }, { "dropping-particle" : "", "family" : "Onol", "given" : "Sinasi Yavuz", "non-dropping-particle" : "", "parse-names" : false, "suffix" : "" } ], "container-title" : "Journal of endourology / Endourological Society", "id" : "ITEM-1", "issue" : "7", "issued" : { "date-parts" : [ [ "2012", "7" ] ] }, "page" : "828-33", "title" : "Impact of percutaneous renal access technique on outcomes of percutaneous nephrolithotomy.", "type" : "article-journal", "volume" : "26" }, "uris" : [ "http://www.mendeley.com/documents/?uuid=d0e0eff3-8d43-49b6-ad5a-1f7d8a536ffc" ] } ], "mendeley" : { "previouslyFormattedCitation" : "(7)" }, "properties" : { "noteIndex" : 0 }, "schema" : "https://github.com/citation-style-language/schema/raw/master/csl-citation.json" }</w:instrText>
      </w:r>
      <w:r w:rsidR="0098134D" w:rsidRPr="008A28E4">
        <w:rPr>
          <w:rFonts w:ascii="Book Antiqua" w:hAnsi="Book Antiqua" w:cs="Times New Roman"/>
          <w:sz w:val="24"/>
          <w:szCs w:val="24"/>
          <w:vertAlign w:val="superscript"/>
        </w:rPr>
        <w:fldChar w:fldCharType="separate"/>
      </w:r>
      <w:r w:rsidR="0000796D" w:rsidRPr="008A28E4">
        <w:rPr>
          <w:rFonts w:ascii="Book Antiqua" w:hAnsi="Book Antiqua" w:cs="Times New Roman"/>
          <w:noProof/>
          <w:sz w:val="24"/>
          <w:szCs w:val="24"/>
          <w:vertAlign w:val="superscript"/>
        </w:rPr>
        <w:t>[</w:t>
      </w:r>
      <w:r w:rsidRPr="008A28E4">
        <w:rPr>
          <w:rFonts w:ascii="Book Antiqua" w:hAnsi="Book Antiqua" w:cs="Times New Roman"/>
          <w:noProof/>
          <w:sz w:val="24"/>
          <w:szCs w:val="24"/>
          <w:vertAlign w:val="superscript"/>
        </w:rPr>
        <w:t>10</w:t>
      </w:r>
      <w:r w:rsidR="0098134D" w:rsidRPr="008A28E4">
        <w:rPr>
          <w:rFonts w:ascii="Book Antiqua" w:hAnsi="Book Antiqua" w:cs="Times New Roman"/>
          <w:sz w:val="24"/>
          <w:szCs w:val="24"/>
          <w:vertAlign w:val="superscript"/>
        </w:rPr>
        <w:fldChar w:fldCharType="end"/>
      </w:r>
      <w:r w:rsidR="0000796D" w:rsidRPr="008A28E4">
        <w:rPr>
          <w:rFonts w:ascii="Book Antiqua" w:hAnsi="Book Antiqua" w:cs="Times New Roman"/>
          <w:sz w:val="24"/>
          <w:szCs w:val="24"/>
          <w:vertAlign w:val="superscript"/>
        </w:rPr>
        <w:t>]</w:t>
      </w:r>
      <w:r w:rsidR="0000796D" w:rsidRPr="008A28E4">
        <w:rPr>
          <w:rFonts w:ascii="Book Antiqua" w:hAnsi="Book Antiqua" w:cs="Times New Roman"/>
          <w:sz w:val="24"/>
          <w:szCs w:val="24"/>
        </w:rPr>
        <w:t xml:space="preserve"> </w:t>
      </w:r>
      <w:r w:rsidRPr="008A28E4">
        <w:rPr>
          <w:rFonts w:ascii="Book Antiqua" w:hAnsi="Book Antiqua" w:cs="Times New Roman"/>
          <w:sz w:val="24"/>
          <w:szCs w:val="24"/>
        </w:rPr>
        <w:t xml:space="preserve">did a comparison of the Bulls’ eye and the Triangulation techniques and found no difference between the two as regards operation time, fluoroscopy screening time, duration of hospitalization and blood transfusion rate. They found a slightly greater drop in hematocrit and complication rate in the group undergoing access by the Bull’s eye technique as compared to the Triangulation technique. However, the difference was not statistically different.  </w:t>
      </w:r>
    </w:p>
    <w:p w:rsidR="00C2014D" w:rsidRPr="008A28E4" w:rsidRDefault="00C2014D" w:rsidP="008A28E4">
      <w:pPr>
        <w:spacing w:after="0" w:line="360" w:lineRule="auto"/>
        <w:ind w:firstLineChars="200" w:firstLine="480"/>
        <w:jc w:val="both"/>
        <w:rPr>
          <w:rFonts w:ascii="Book Antiqua" w:eastAsia="Calibri" w:hAnsi="Book Antiqua" w:cs="Times New Roman"/>
          <w:sz w:val="24"/>
          <w:szCs w:val="24"/>
        </w:rPr>
      </w:pPr>
      <w:r w:rsidRPr="008A28E4">
        <w:rPr>
          <w:rFonts w:ascii="Book Antiqua" w:hAnsi="Book Antiqua" w:cs="Times New Roman"/>
          <w:sz w:val="24"/>
          <w:szCs w:val="24"/>
        </w:rPr>
        <w:t>The advantage of the triangulation technique over the eye-of-the-needle” technique is that the needle cannot be passed too deeply because the depth of advance</w:t>
      </w:r>
      <w:r w:rsidR="0000796D" w:rsidRPr="008A28E4">
        <w:rPr>
          <w:rFonts w:ascii="Book Antiqua" w:hAnsi="Book Antiqua" w:cs="Times New Roman"/>
          <w:sz w:val="24"/>
          <w:szCs w:val="24"/>
        </w:rPr>
        <w:t xml:space="preserve">ment is </w:t>
      </w:r>
      <w:r w:rsidR="00C1243B" w:rsidRPr="008A28E4">
        <w:rPr>
          <w:rFonts w:ascii="Book Antiqua" w:hAnsi="Book Antiqua" w:cs="Times New Roman"/>
          <w:sz w:val="24"/>
          <w:szCs w:val="24"/>
        </w:rPr>
        <w:t>monitored continuously</w:t>
      </w:r>
      <w:r w:rsidR="0000796D" w:rsidRPr="008A28E4">
        <w:rPr>
          <w:rFonts w:ascii="Book Antiqua" w:hAnsi="Book Antiqua" w:cs="Times New Roman"/>
          <w:sz w:val="24"/>
          <w:szCs w:val="24"/>
          <w:vertAlign w:val="superscript"/>
        </w:rPr>
        <w:t>[</w:t>
      </w:r>
      <w:r w:rsidRPr="008A28E4">
        <w:rPr>
          <w:rFonts w:ascii="Book Antiqua" w:hAnsi="Book Antiqua" w:cs="Times New Roman"/>
          <w:sz w:val="24"/>
          <w:szCs w:val="24"/>
          <w:vertAlign w:val="superscript"/>
        </w:rPr>
        <w:t>39</w:t>
      </w:r>
      <w:r w:rsidR="0000796D" w:rsidRPr="008A28E4">
        <w:rPr>
          <w:rFonts w:ascii="Book Antiqua" w:hAnsi="Book Antiqua" w:cs="Times New Roman"/>
          <w:sz w:val="24"/>
          <w:szCs w:val="24"/>
          <w:vertAlign w:val="superscript"/>
        </w:rPr>
        <w:t>]</w:t>
      </w:r>
      <w:r w:rsidRPr="008A28E4">
        <w:rPr>
          <w:rFonts w:ascii="Book Antiqua" w:hAnsi="Book Antiqua" w:cs="Times New Roman"/>
          <w:sz w:val="24"/>
          <w:szCs w:val="24"/>
        </w:rPr>
        <w:t>. Also, the triangulation technique alone fulfills the five cri</w:t>
      </w:r>
      <w:r w:rsidR="00C1243B" w:rsidRPr="008A28E4">
        <w:rPr>
          <w:rFonts w:ascii="Book Antiqua" w:hAnsi="Book Antiqua" w:cs="Times New Roman"/>
          <w:sz w:val="24"/>
          <w:szCs w:val="24"/>
        </w:rPr>
        <w:t>teria of a successful puncture</w:t>
      </w:r>
      <w:r w:rsidR="0000796D" w:rsidRPr="008A28E4">
        <w:rPr>
          <w:rFonts w:ascii="Book Antiqua" w:hAnsi="Book Antiqua" w:cs="Times New Roman"/>
          <w:sz w:val="24"/>
          <w:szCs w:val="24"/>
          <w:vertAlign w:val="superscript"/>
        </w:rPr>
        <w:t>[</w:t>
      </w:r>
      <w:r w:rsidRPr="008A28E4">
        <w:rPr>
          <w:rFonts w:ascii="Book Antiqua" w:hAnsi="Book Antiqua" w:cs="Times New Roman"/>
          <w:sz w:val="24"/>
          <w:szCs w:val="24"/>
          <w:vertAlign w:val="superscript"/>
        </w:rPr>
        <w:t>41</w:t>
      </w:r>
      <w:r w:rsidR="0000796D" w:rsidRPr="008A28E4">
        <w:rPr>
          <w:rFonts w:ascii="Book Antiqua" w:hAnsi="Book Antiqua" w:cs="Times New Roman"/>
          <w:sz w:val="24"/>
          <w:szCs w:val="24"/>
          <w:vertAlign w:val="superscript"/>
        </w:rPr>
        <w:t>]</w:t>
      </w:r>
      <w:r w:rsidRPr="008A28E4">
        <w:rPr>
          <w:rFonts w:ascii="Book Antiqua" w:hAnsi="Book Antiqua" w:cs="Times New Roman"/>
          <w:sz w:val="24"/>
          <w:szCs w:val="24"/>
        </w:rPr>
        <w:t>. The disadvantage of the triangulation technique is that maintaining both the</w:t>
      </w:r>
      <w:r w:rsidR="00C1243B" w:rsidRPr="008A28E4">
        <w:rPr>
          <w:rFonts w:ascii="Book Antiqua" w:hAnsi="Book Antiqua" w:cs="Times New Roman"/>
          <w:sz w:val="24"/>
          <w:szCs w:val="24"/>
        </w:rPr>
        <w:t xml:space="preserve"> medial-</w:t>
      </w:r>
      <w:r w:rsidRPr="008A28E4">
        <w:rPr>
          <w:rFonts w:ascii="Book Antiqua" w:hAnsi="Book Antiqua" w:cs="Times New Roman"/>
          <w:sz w:val="24"/>
          <w:szCs w:val="24"/>
        </w:rPr>
        <w:t>lateral and cephalo-caudal planes are difficult because both are not being monitored at the same time as in the “eye-of-the-needle” technique. Complex visual spatial skills are required in performing this task when using a C-arm fluoroscopy unit, especially by the novice surgeon</w:t>
      </w:r>
      <w:r w:rsidR="0098134D" w:rsidRPr="008A28E4">
        <w:rPr>
          <w:rFonts w:ascii="Book Antiqua" w:hAnsi="Book Antiqua" w:cs="Times New Roman"/>
          <w:sz w:val="24"/>
          <w:szCs w:val="24"/>
          <w:vertAlign w:val="superscript"/>
        </w:rPr>
        <w:fldChar w:fldCharType="begin" w:fldLock="1"/>
      </w:r>
      <w:r w:rsidRPr="008A28E4">
        <w:rPr>
          <w:rFonts w:ascii="Book Antiqua" w:hAnsi="Book Antiqua" w:cs="Times New Roman"/>
          <w:sz w:val="24"/>
          <w:szCs w:val="24"/>
          <w:vertAlign w:val="superscript"/>
        </w:rPr>
        <w:instrText>ADDIN CSL_CITATION { "citationItems" : [ { "id" : "ITEM-1", "itemData" : { "DOI" : "10.1016/j.urology.2007.05.013", "ISSN" : "1527-9995", "PMID" : "17826509", "abstract" : "Renal access is the most crucial step in the performance of percutaneous nephrolithotomy and is a difficult skill to acquire for novice surgeons. We report on a simple fluoroscopic technique based on the laser positioning device that emits an aiming beam common to modern fluoroscopy C-arm units.", "author" : [ { "dropping-particle" : "", "family" : "Ko", "given" : "Raymond", "non-dropping-particle" : "", "parse-names" : false, "suffix" : "" }, { "dropping-particle" : "", "family" : "Razvi", "given" : "Hassan", "non-dropping-particle" : "", "parse-names" : false, "suffix" : "" } ], "container-title" : "Urology", "id" : "ITEM-1", "issue" : "2", "issued" : { "date-parts" : [ [ "2007", "8" ] ] }, "page" : "360-1", "title" : "C-arm laser positioning device to facilitate percutaneous renal access.", "type" : "article-journal", "volume" : "70" }, "uris" : [ "http://www.mendeley.com/documents/?uuid=12cccbd3-e4cc-4664-a0d2-48184a154eda" ] } ], "mendeley" : { "previouslyFormattedCitation" : "(39)" }, "properties" : { "noteIndex" : 0 }, "schema" : "https://github.com/citation-style-language/schema/raw/master/csl-citation.json" }</w:instrText>
      </w:r>
      <w:r w:rsidR="0098134D" w:rsidRPr="008A28E4">
        <w:rPr>
          <w:rFonts w:ascii="Book Antiqua" w:hAnsi="Book Antiqua" w:cs="Times New Roman"/>
          <w:sz w:val="24"/>
          <w:szCs w:val="24"/>
          <w:vertAlign w:val="superscript"/>
        </w:rPr>
        <w:fldChar w:fldCharType="separate"/>
      </w:r>
      <w:r w:rsidR="0000796D" w:rsidRPr="008A28E4">
        <w:rPr>
          <w:rFonts w:ascii="Book Antiqua" w:hAnsi="Book Antiqua" w:cs="Times New Roman"/>
          <w:noProof/>
          <w:sz w:val="24"/>
          <w:szCs w:val="24"/>
          <w:vertAlign w:val="superscript"/>
        </w:rPr>
        <w:t>[</w:t>
      </w:r>
      <w:r w:rsidRPr="008A28E4">
        <w:rPr>
          <w:rFonts w:ascii="Book Antiqua" w:hAnsi="Book Antiqua" w:cs="Times New Roman"/>
          <w:noProof/>
          <w:sz w:val="24"/>
          <w:szCs w:val="24"/>
          <w:vertAlign w:val="superscript"/>
        </w:rPr>
        <w:t>44</w:t>
      </w:r>
      <w:r w:rsidR="0098134D" w:rsidRPr="008A28E4">
        <w:rPr>
          <w:rFonts w:ascii="Book Antiqua" w:hAnsi="Book Antiqua" w:cs="Times New Roman"/>
          <w:sz w:val="24"/>
          <w:szCs w:val="24"/>
          <w:vertAlign w:val="superscript"/>
        </w:rPr>
        <w:fldChar w:fldCharType="end"/>
      </w:r>
      <w:r w:rsidR="0000796D" w:rsidRPr="008A28E4">
        <w:rPr>
          <w:rFonts w:ascii="Book Antiqua" w:hAnsi="Book Antiqua" w:cs="Times New Roman"/>
          <w:sz w:val="24"/>
          <w:szCs w:val="24"/>
          <w:vertAlign w:val="superscript"/>
        </w:rPr>
        <w:t>]</w:t>
      </w:r>
      <w:r w:rsidRPr="008A28E4">
        <w:rPr>
          <w:rFonts w:ascii="Book Antiqua" w:hAnsi="Book Antiqua" w:cs="Times New Roman"/>
          <w:sz w:val="24"/>
          <w:szCs w:val="24"/>
        </w:rPr>
        <w:t xml:space="preserve">. </w:t>
      </w:r>
      <w:r w:rsidRPr="008A28E4">
        <w:rPr>
          <w:rFonts w:ascii="Book Antiqua" w:eastAsia="Calibri" w:hAnsi="Book Antiqua" w:cs="Times New Roman"/>
          <w:sz w:val="24"/>
          <w:szCs w:val="24"/>
        </w:rPr>
        <w:t>It is at this juncture that multiple attempts are needed by the urologists and excessive use of fluoroscopy occurs especially by a beginner .This is also the aspect which has the steepest learning curve for an urologist getting trained in percutaneous nephrolithotomy</w:t>
      </w:r>
      <w:r w:rsidR="0098134D" w:rsidRPr="008A28E4">
        <w:rPr>
          <w:rFonts w:ascii="Book Antiqua" w:hAnsi="Book Antiqua"/>
          <w:sz w:val="24"/>
          <w:szCs w:val="24"/>
          <w:vertAlign w:val="superscript"/>
        </w:rPr>
        <w:fldChar w:fldCharType="begin" w:fldLock="1"/>
      </w:r>
      <w:r w:rsidRPr="008A28E4">
        <w:rPr>
          <w:rFonts w:ascii="Book Antiqua" w:hAnsi="Book Antiqua"/>
          <w:sz w:val="24"/>
          <w:szCs w:val="24"/>
          <w:vertAlign w:val="superscript"/>
        </w:rPr>
        <w:instrText>ADDIN CSL_CITATION { "citationItems" : [ { "id" : "ITEM-1", "itemData" : { "DOI" : "10.1016/j.eururo.2007.01.001", "ISSN" : "0302-2838", "PMID" : "17229522", "abstract" : "OBJECTIVES: To investigate the learning curve in the training of percutaneous nephrolithotomy (PCNL).\n\nMETHODS: A total of 104 PCNL cases were included in this evaluation to define the learning curve of a surgeon with no previous experience at performing solo PCNL. Two parameters of expertise were reviewed, namely the operation and fluoroscopic screening times. The operation time was calculated as the beginning of access with the needle until the nephrostomy tube was placed and secured. PCNL procedures were analyzed in seven sets of 15 cases regarding the operation and fluoroscopy times, stone size, stone clearance rate, blood transfusion rate, and estimated blood loss.\n\nRESULTS: The mean operation time was 2.4 h for the first 15 patients. It decreased to a mean of 1.5 h for cases 46 through 60. No further decrease in the operation time was observed after case 60. The fluoroscopic screening time was a peak of 17.5 min in the first 15 cases, whereas it dropped to a mean of 8.9 min for cases 46 through 60. The decline in the mean fluoroscopy screening time continued in cases 61 to 104, but the decline was not significant. There was no significant difference in stone size, stone clearance rate, blood transfusion rate, and estimated blood loss among each set of cases.\n\nCONCLUSIONS: This study suggests that the surgical competence in PCNL can be reached after 60 cases. PCNL and fluoroscopy times drop to a steady-state level after performing 60 procedures.", "author" : [ { "dropping-particle" : "", "family" : "Tanriverdi", "given" : "Orhan", "non-dropping-particle" : "", "parse-names" : false, "suffix" : "" }, { "dropping-particle" : "", "family" : "Boylu", "given" : "Ugur", "non-dropping-particle" : "", "parse-names" : false, "suffix" : "" }, { "dropping-particle" : "", "family" : "Kendirci", "given" : "Muammer", "non-dropping-particle" : "", "parse-names" : false, "suffix" : "" }, { "dropping-particle" : "", "family" : "Kadihasanoglu", "given" : "Mustafa", "non-dropping-particle" : "", "parse-names" : false, "suffix" : "" }, { "dropping-particle" : "", "family" : "Horasanli", "given" : "Kaya", "non-dropping-particle" : "", "parse-names" : false, "suffix" : "" }, { "dropping-particle" : "", "family" : "Miroglu", "given" : "Cengiz", "non-dropping-particle" : "", "parse-names" : false, "suffix" : "" } ], "container-title" : "European urology", "id" : "ITEM-1", "issue" : "1", "issued" : { "date-parts" : [ [ "2007", "7" ] ] }, "page" : "206-11", "title" : "The learning curve in the training of percutaneous nephrolithotomy.", "type" : "article-journal", "volume" : "52" }, "uris" : [ "http://www.mendeley.com/documents/?uuid=527c02c7-e90e-4301-9523-0f6a08d4eac2" ] } ], "mendeley" : { "previouslyFormattedCitation" : "(40)" }, "properties" : { "noteIndex" : 0 }, "schema" : "https://github.com/citation-style-language/schema/raw/master/csl-citation.json" }</w:instrText>
      </w:r>
      <w:r w:rsidR="0098134D" w:rsidRPr="008A28E4">
        <w:rPr>
          <w:rFonts w:ascii="Book Antiqua" w:hAnsi="Book Antiqua"/>
          <w:sz w:val="24"/>
          <w:szCs w:val="24"/>
          <w:vertAlign w:val="superscript"/>
        </w:rPr>
        <w:fldChar w:fldCharType="separate"/>
      </w:r>
      <w:r w:rsidR="0000796D" w:rsidRPr="008A28E4">
        <w:rPr>
          <w:rFonts w:ascii="Book Antiqua" w:hAnsi="Book Antiqua"/>
          <w:noProof/>
          <w:sz w:val="24"/>
          <w:szCs w:val="24"/>
          <w:vertAlign w:val="superscript"/>
        </w:rPr>
        <w:t>[</w:t>
      </w:r>
      <w:r w:rsidRPr="008A28E4">
        <w:rPr>
          <w:rFonts w:ascii="Book Antiqua" w:hAnsi="Book Antiqua"/>
          <w:noProof/>
          <w:sz w:val="24"/>
          <w:szCs w:val="24"/>
          <w:vertAlign w:val="superscript"/>
        </w:rPr>
        <w:t>45</w:t>
      </w:r>
      <w:r w:rsidR="0098134D" w:rsidRPr="008A28E4">
        <w:rPr>
          <w:rFonts w:ascii="Book Antiqua" w:hAnsi="Book Antiqua"/>
          <w:sz w:val="24"/>
          <w:szCs w:val="24"/>
          <w:vertAlign w:val="superscript"/>
        </w:rPr>
        <w:fldChar w:fldCharType="end"/>
      </w:r>
      <w:r w:rsidR="0000796D" w:rsidRPr="008A28E4">
        <w:rPr>
          <w:rFonts w:ascii="Book Antiqua" w:hAnsi="Book Antiqua"/>
          <w:sz w:val="24"/>
          <w:szCs w:val="24"/>
          <w:vertAlign w:val="superscript"/>
        </w:rPr>
        <w:t>]</w:t>
      </w:r>
      <w:r w:rsidRPr="008A28E4">
        <w:rPr>
          <w:rFonts w:ascii="Book Antiqua" w:eastAsia="Calibri" w:hAnsi="Book Antiqua" w:cs="Times New Roman"/>
          <w:sz w:val="24"/>
          <w:szCs w:val="24"/>
        </w:rPr>
        <w:t>.</w:t>
      </w:r>
      <w:r w:rsidRPr="008A28E4">
        <w:rPr>
          <w:rFonts w:ascii="Book Antiqua" w:hAnsi="Book Antiqua"/>
          <w:sz w:val="24"/>
          <w:szCs w:val="24"/>
        </w:rPr>
        <w:t xml:space="preserve">  Usually, during the learning curve the problem comes in the assessment of depth with the C arm in the oblique position. Whether the needle is superficial or deep to the calyx has to be ascertained by the surgeon a</w:t>
      </w:r>
      <w:r w:rsidR="00C1243B" w:rsidRPr="008A28E4">
        <w:rPr>
          <w:rFonts w:ascii="Book Antiqua" w:hAnsi="Book Antiqua"/>
          <w:sz w:val="24"/>
          <w:szCs w:val="24"/>
        </w:rPr>
        <w:t>nd adjustments made accordingly</w:t>
      </w:r>
      <w:r w:rsidR="0098134D" w:rsidRPr="008A28E4">
        <w:rPr>
          <w:rFonts w:ascii="Book Antiqua" w:hAnsi="Book Antiqua"/>
          <w:sz w:val="24"/>
          <w:szCs w:val="24"/>
          <w:vertAlign w:val="superscript"/>
        </w:rPr>
        <w:fldChar w:fldCharType="begin" w:fldLock="1"/>
      </w:r>
      <w:r w:rsidRPr="008A28E4">
        <w:rPr>
          <w:rFonts w:ascii="Book Antiqua" w:hAnsi="Book Antiqua"/>
          <w:sz w:val="24"/>
          <w:szCs w:val="24"/>
          <w:vertAlign w:val="superscript"/>
        </w:rPr>
        <w:instrText>ADDIN CSL_CITATION { "citationItems" : [ { "id" : "ITEM-1", "itemData" : { "DOI" : "10.1016/j.jsurg.2012.03.004", "ISSN" : "1878-7452", "PMID" : "22677596", "abstract" : "INTRODUCTION AND OBJECTIVES: Urology trainees may lack experience in gaining renal access during percutaneous nephrolithomy (PCNL). Establishing the correct depth of initial percutaneous needle insertion is one of the major obstacles. As such, we have identified an easy technique, which can be performed, to establish correct depth adjustment allowing easier access.\n\nMATERIALS AND METHODS: An initial attempt is made to insert the percutaneous needle into the desired posterior calyx in the antero-posterior (AP) plane. If the needle does not traverse into the desired calyx immediately, it is concluded that the needle track must be too shallow or too deep. The C-arm is then rotated 20 to 30 degrees from the vertical, in the axial plane, towards the operating surgeon and, using the image intensifier, very careful note is made of the end of the needle in this plane, compared with the end of the needle initially in the AP plane, to see if it has moved \"medially\" or \"laterally.\" The 3-finger technique is then performed by the surgeon, to establish if the needle path is too deep or too shallow. This technique is currently being performed by trainees under direct consultant supervision with 13 successful cases so far.\n\nRESULTS: The 3-finger technique has been successfully used to demonstrate and teach PCNL access to urology trainees. In all 13 cases, percutaneous renal access was achieved successfully by trainees without immediate or late complications. Also, positive and encouraging feedbacks were received from those trainees, and all expressed willingness to continue using the same new technique in the future.\n\nCONCLUSIONS: Our new technique is cheap, safe, easy to learn and use, and of particular benefit to junior trainees who are beginning to perform PCNL access.", "author" : [ { "dropping-particle" : "", "family" : "Shergill", "given" : "Iqbal S.", "non-dropping-particle" : "", "parse-names" : false, "suffix" : "" }, { "dropping-particle" : "", "family" : "Abdulmajed", "given" : "Mohamed I.", "non-dropping-particle" : "", "parse-names" : false, "suffix" : "" }, { "dropping-particle" : "", "family" : "Moussa", "given" : "Sami a.", "non-dropping-particle" : "", "parse-names" : false, "suffix" : "" }, { "dropping-particle" : "", "family" : "Rix", "given" : "Gerald H.", "non-dropping-particle" : "", "parse-names" : false, "suffix" : "" } ], "container-title" : "Journal of surgical education", "id" : "ITEM-1", "issue" : "4", "issued" : { "date-parts" : [ [ "2012" ] ] }, "page" : "550-3", "publisher" : "Elsevier Inc.", "title" : "The 3-finger technique in establishing percutaneous renal access: a new and simple method for junior trainees.", "type" : "article-journal", "volume" : "69" }, "uris" : [ "http://www.mendeley.com/documents/?uuid=3a0c5016-8ab2-4515-9616-ddd6eb32b277" ] } ], "mendeley" : { "previouslyFormattedCitation" : "(41)" }, "properties" : { "noteIndex" : 0 }, "schema" : "https://github.com/citation-style-language/schema/raw/master/csl-citation.json" }</w:instrText>
      </w:r>
      <w:r w:rsidR="0098134D" w:rsidRPr="008A28E4">
        <w:rPr>
          <w:rFonts w:ascii="Book Antiqua" w:hAnsi="Book Antiqua"/>
          <w:sz w:val="24"/>
          <w:szCs w:val="24"/>
          <w:vertAlign w:val="superscript"/>
        </w:rPr>
        <w:fldChar w:fldCharType="separate"/>
      </w:r>
      <w:r w:rsidR="0000796D" w:rsidRPr="008A28E4">
        <w:rPr>
          <w:rFonts w:ascii="Book Antiqua" w:hAnsi="Book Antiqua"/>
          <w:noProof/>
          <w:sz w:val="24"/>
          <w:szCs w:val="24"/>
          <w:vertAlign w:val="superscript"/>
        </w:rPr>
        <w:t>[</w:t>
      </w:r>
      <w:r w:rsidRPr="008A28E4">
        <w:rPr>
          <w:rFonts w:ascii="Book Antiqua" w:hAnsi="Book Antiqua"/>
          <w:noProof/>
          <w:sz w:val="24"/>
          <w:szCs w:val="24"/>
          <w:vertAlign w:val="superscript"/>
        </w:rPr>
        <w:t>46</w:t>
      </w:r>
      <w:r w:rsidR="0098134D" w:rsidRPr="008A28E4">
        <w:rPr>
          <w:rFonts w:ascii="Book Antiqua" w:hAnsi="Book Antiqua"/>
          <w:sz w:val="24"/>
          <w:szCs w:val="24"/>
          <w:vertAlign w:val="superscript"/>
        </w:rPr>
        <w:fldChar w:fldCharType="end"/>
      </w:r>
      <w:r w:rsidR="0000796D" w:rsidRPr="008A28E4">
        <w:rPr>
          <w:rFonts w:ascii="Book Antiqua" w:hAnsi="Book Antiqua"/>
          <w:sz w:val="24"/>
          <w:szCs w:val="24"/>
          <w:vertAlign w:val="superscript"/>
        </w:rPr>
        <w:t>]</w:t>
      </w:r>
      <w:r w:rsidRPr="008A28E4">
        <w:rPr>
          <w:rFonts w:ascii="Book Antiqua" w:hAnsi="Book Antiqua"/>
          <w:sz w:val="24"/>
          <w:szCs w:val="24"/>
        </w:rPr>
        <w:t>. The easiest way to determine this would be to place another needle on the skin surface over the target calyx. If the calyx is between the two needles than the puncture needle is deep and should be adjusted superficially. If the target calyx is below the two needles, then the puncture needle is superficial and should be adjusted towards the depth.</w:t>
      </w:r>
    </w:p>
    <w:p w:rsidR="00C1243B" w:rsidRPr="008A28E4" w:rsidRDefault="00C1243B" w:rsidP="008A28E4">
      <w:pPr>
        <w:spacing w:after="0" w:line="360" w:lineRule="auto"/>
        <w:jc w:val="both"/>
        <w:rPr>
          <w:rFonts w:ascii="Book Antiqua" w:hAnsi="Book Antiqua" w:cs="Times New Roman"/>
          <w:sz w:val="24"/>
          <w:szCs w:val="24"/>
          <w:u w:val="single"/>
          <w:lang w:eastAsia="zh-CN"/>
        </w:rPr>
      </w:pPr>
    </w:p>
    <w:p w:rsidR="00C2014D" w:rsidRPr="008A28E4" w:rsidRDefault="00C2014D" w:rsidP="008A28E4">
      <w:pPr>
        <w:spacing w:after="0" w:line="360" w:lineRule="auto"/>
        <w:jc w:val="both"/>
        <w:rPr>
          <w:rFonts w:ascii="Book Antiqua" w:hAnsi="Book Antiqua" w:cs="Times New Roman"/>
          <w:b/>
          <w:i/>
          <w:sz w:val="24"/>
          <w:szCs w:val="24"/>
        </w:rPr>
      </w:pPr>
      <w:r w:rsidRPr="008A28E4">
        <w:rPr>
          <w:rFonts w:ascii="Book Antiqua" w:hAnsi="Book Antiqua" w:cs="Times New Roman"/>
          <w:b/>
          <w:i/>
          <w:sz w:val="24"/>
          <w:szCs w:val="24"/>
        </w:rPr>
        <w:t>Modifications of triangulation technique</w:t>
      </w:r>
    </w:p>
    <w:p w:rsidR="00C2014D" w:rsidRPr="008A28E4" w:rsidRDefault="00C2014D" w:rsidP="008A28E4">
      <w:pPr>
        <w:pStyle w:val="ListParagraph"/>
        <w:spacing w:after="0" w:line="360" w:lineRule="auto"/>
        <w:ind w:left="0"/>
        <w:jc w:val="both"/>
        <w:rPr>
          <w:rFonts w:ascii="Book Antiqua" w:hAnsi="Book Antiqua" w:cs="Times New Roman"/>
          <w:sz w:val="24"/>
          <w:szCs w:val="24"/>
        </w:rPr>
      </w:pPr>
      <w:r w:rsidRPr="008A28E4">
        <w:rPr>
          <w:rFonts w:ascii="Book Antiqua" w:hAnsi="Book Antiqua" w:cs="Times New Roman"/>
          <w:sz w:val="24"/>
          <w:szCs w:val="24"/>
        </w:rPr>
        <w:t>Several new approaches and refinements have been described to improve access and reduce the learning curve of the surgeon. Mues et al described a geometric model to create a plane of coincidence between the C arm and the needle, each at the same angle of</w:t>
      </w:r>
      <w:r w:rsidR="00C1243B" w:rsidRPr="008A28E4">
        <w:rPr>
          <w:rFonts w:ascii="Book Antiqua" w:hAnsi="Book Antiqua" w:cs="Times New Roman"/>
          <w:sz w:val="24"/>
          <w:szCs w:val="24"/>
          <w:lang w:eastAsia="zh-CN"/>
        </w:rPr>
        <w:t xml:space="preserve"> </w:t>
      </w:r>
      <w:r w:rsidRPr="008A28E4">
        <w:rPr>
          <w:rFonts w:ascii="Book Antiqua" w:hAnsi="Book Antiqua" w:cs="Times New Roman"/>
          <w:sz w:val="24"/>
          <w:szCs w:val="24"/>
        </w:rPr>
        <w:t>20</w:t>
      </w:r>
      <w:r w:rsidR="00C1243B" w:rsidRPr="008A28E4">
        <w:rPr>
          <w:rFonts w:ascii="Book Antiqua" w:hAnsi="Book Antiqua" w:cs="Times New Roman"/>
          <w:sz w:val="24"/>
          <w:szCs w:val="24"/>
          <w:lang w:eastAsia="zh-CN"/>
        </w:rPr>
        <w:t>-</w:t>
      </w:r>
      <w:r w:rsidRPr="008A28E4">
        <w:rPr>
          <w:rFonts w:ascii="Book Antiqua" w:hAnsi="Book Antiqua" w:cs="Times New Roman"/>
          <w:sz w:val="24"/>
          <w:szCs w:val="24"/>
        </w:rPr>
        <w:t>30</w:t>
      </w:r>
      <w:r w:rsidR="00C1243B" w:rsidRPr="008A28E4">
        <w:rPr>
          <w:rFonts w:ascii="Book Antiqua" w:hAnsi="Book Antiqua" w:cs="Times New Roman"/>
          <w:sz w:val="24"/>
          <w:szCs w:val="24"/>
        </w:rPr>
        <w:t>°</w:t>
      </w:r>
      <w:r w:rsidRPr="008A28E4">
        <w:rPr>
          <w:rFonts w:ascii="Book Antiqua" w:hAnsi="Book Antiqua" w:cs="Times New Roman"/>
          <w:sz w:val="24"/>
          <w:szCs w:val="24"/>
        </w:rPr>
        <w:t xml:space="preserve"> from the targeted calyx, but in opposite directions</w:t>
      </w:r>
      <w:r w:rsidR="0098134D" w:rsidRPr="008A28E4">
        <w:rPr>
          <w:rFonts w:ascii="Book Antiqua" w:hAnsi="Book Antiqua" w:cs="Times New Roman"/>
          <w:sz w:val="24"/>
          <w:szCs w:val="24"/>
          <w:vertAlign w:val="superscript"/>
        </w:rPr>
        <w:fldChar w:fldCharType="begin" w:fldLock="1"/>
      </w:r>
      <w:r w:rsidRPr="008A28E4">
        <w:rPr>
          <w:rFonts w:ascii="Book Antiqua" w:hAnsi="Book Antiqua" w:cs="Times New Roman"/>
          <w:sz w:val="24"/>
          <w:szCs w:val="24"/>
          <w:vertAlign w:val="superscript"/>
        </w:rPr>
        <w:instrText>ADDIN CSL_CITATION { "citationItems" : [ { "id" : "ITEM-1", "itemData" : { "DOI" : "10.1089/end.2007.9887", "ISSN" : "0892-7790", "PMID" : "18042013", "abstract" : "PURPOSE: To present a simplified surgical technique to access the kidney percutaneously with low exposure to radiation.\n\nMATERIAL AND METHODS: This percutaneous approach to the kidney \"creates\" a plane of coincidence between the C-arm beam axis and the needle axis. Both axes always have the same angle running in opposite directions with the predetermined calix located in the medial vertical plane at 0 degrees. Twenty-one percutaneous access tracts were made into the lower calix and 7 into the middle and upper calices. The 3-dimensional position of the inserted needle was determined.\n\nRESULTS: All tracts were successfully accomplished. Statistical analysis of 28 procedures revealed that the technique is reproducible. The coefficient of variation of the angle determining the entrance position of the needle was low, which indicated that the procedure is reproducible and easy to teach.\n\nCONCLUSION: The technique is safe, easy to perform, reproducible, and requires less radiation than other methods.", "author" : [ { "dropping-particle" : "", "family" : "Mues", "given" : "Enrique", "non-dropping-particle" : "", "parse-names" : false, "suffix" : "" }, { "dropping-particle" : "", "family" : "Guti\u00e9rrez", "given" : "Jorge", "non-dropping-particle" : "", "parse-names" : false, "suffix" : "" }, { "dropping-particle" : "", "family" : "Loske", "given" : "Achim M", "non-dropping-particle" : "", "parse-names" : false, "suffix" : "" } ], "container-title" : "Journal of endourology / Endourological Society", "id" : "ITEM-1", "issue" : "11", "issued" : { "date-parts" : [ [ "2007", "11" ] ] }, "page" : "1271-5", "title" : "Percutaneous renal access: a simplified approach.", "type" : "article-journal", "volume" : "21" }, "uris" : [ "http://www.mendeley.com/documents/?uuid=1c8b4d25-921e-4179-81cc-e784084d2557" ] } ], "mendeley" : { "previouslyFormattedCitation" : "(42)" }, "properties" : { "noteIndex" : 0 }, "schema" : "https://github.com/citation-style-language/schema/raw/master/csl-citation.json" }</w:instrText>
      </w:r>
      <w:r w:rsidR="0098134D" w:rsidRPr="008A28E4">
        <w:rPr>
          <w:rFonts w:ascii="Book Antiqua" w:hAnsi="Book Antiqua" w:cs="Times New Roman"/>
          <w:sz w:val="24"/>
          <w:szCs w:val="24"/>
          <w:vertAlign w:val="superscript"/>
        </w:rPr>
        <w:fldChar w:fldCharType="separate"/>
      </w:r>
      <w:r w:rsidR="0000796D" w:rsidRPr="008A28E4">
        <w:rPr>
          <w:rFonts w:ascii="Book Antiqua" w:hAnsi="Book Antiqua" w:cs="Times New Roman"/>
          <w:noProof/>
          <w:sz w:val="24"/>
          <w:szCs w:val="24"/>
          <w:vertAlign w:val="superscript"/>
        </w:rPr>
        <w:t>[</w:t>
      </w:r>
      <w:r w:rsidRPr="008A28E4">
        <w:rPr>
          <w:rFonts w:ascii="Book Antiqua" w:hAnsi="Book Antiqua" w:cs="Times New Roman"/>
          <w:noProof/>
          <w:sz w:val="24"/>
          <w:szCs w:val="24"/>
          <w:vertAlign w:val="superscript"/>
        </w:rPr>
        <w:t>47</w:t>
      </w:r>
      <w:r w:rsidR="0098134D" w:rsidRPr="008A28E4">
        <w:rPr>
          <w:rFonts w:ascii="Book Antiqua" w:hAnsi="Book Antiqua" w:cs="Times New Roman"/>
          <w:sz w:val="24"/>
          <w:szCs w:val="24"/>
          <w:vertAlign w:val="superscript"/>
        </w:rPr>
        <w:fldChar w:fldCharType="end"/>
      </w:r>
      <w:r w:rsidR="0000796D" w:rsidRPr="008A28E4">
        <w:rPr>
          <w:rFonts w:ascii="Book Antiqua" w:hAnsi="Book Antiqua" w:cs="Times New Roman"/>
          <w:sz w:val="24"/>
          <w:szCs w:val="24"/>
          <w:vertAlign w:val="superscript"/>
        </w:rPr>
        <w:t>]</w:t>
      </w:r>
      <w:r w:rsidRPr="008A28E4">
        <w:rPr>
          <w:rFonts w:ascii="Book Antiqua" w:hAnsi="Book Antiqua" w:cs="Times New Roman"/>
          <w:sz w:val="24"/>
          <w:szCs w:val="24"/>
        </w:rPr>
        <w:t>. For lower pole access, the C arm is rotated cranially 30</w:t>
      </w:r>
      <w:r w:rsidR="00C1243B" w:rsidRPr="008A28E4">
        <w:rPr>
          <w:rFonts w:ascii="Book Antiqua" w:hAnsi="Book Antiqua" w:cs="Times New Roman"/>
          <w:sz w:val="24"/>
          <w:szCs w:val="24"/>
        </w:rPr>
        <w:t>°</w:t>
      </w:r>
      <w:r w:rsidRPr="008A28E4">
        <w:rPr>
          <w:rFonts w:ascii="Book Antiqua" w:hAnsi="Book Antiqua" w:cs="Times New Roman"/>
          <w:sz w:val="24"/>
          <w:szCs w:val="24"/>
        </w:rPr>
        <w:t xml:space="preserve"> from the vertical plane and a needle is advance from a position distal to the calyx, rotated caudally 30</w:t>
      </w:r>
      <w:r w:rsidR="00C1243B" w:rsidRPr="008A28E4">
        <w:rPr>
          <w:rFonts w:ascii="Book Antiqua" w:hAnsi="Book Antiqua" w:cs="Times New Roman"/>
          <w:sz w:val="24"/>
          <w:szCs w:val="24"/>
        </w:rPr>
        <w:t>°</w:t>
      </w:r>
      <w:r w:rsidRPr="008A28E4">
        <w:rPr>
          <w:rFonts w:ascii="Book Antiqua" w:hAnsi="Book Antiqua" w:cs="Times New Roman"/>
          <w:sz w:val="24"/>
          <w:szCs w:val="24"/>
        </w:rPr>
        <w:t xml:space="preserve"> from the vertical plane. For mid pole and upper pole calyceal access the C arm is rotated 20</w:t>
      </w:r>
      <w:r w:rsidR="00C1243B" w:rsidRPr="008A28E4">
        <w:rPr>
          <w:rFonts w:ascii="Book Antiqua" w:hAnsi="Book Antiqua" w:cs="Times New Roman"/>
          <w:sz w:val="24"/>
          <w:szCs w:val="24"/>
        </w:rPr>
        <w:t>°</w:t>
      </w:r>
      <w:r w:rsidRPr="008A28E4">
        <w:rPr>
          <w:rFonts w:ascii="Book Antiqua" w:hAnsi="Book Antiqua" w:cs="Times New Roman"/>
          <w:sz w:val="24"/>
          <w:szCs w:val="24"/>
        </w:rPr>
        <w:t xml:space="preserve"> away from the surgeon and the needle is advanced from a position lateral to the calyx at an angle of 20</w:t>
      </w:r>
      <w:r w:rsidR="00C1243B" w:rsidRPr="008A28E4">
        <w:rPr>
          <w:rFonts w:ascii="Book Antiqua" w:hAnsi="Book Antiqua" w:cs="Times New Roman"/>
          <w:sz w:val="24"/>
          <w:szCs w:val="24"/>
        </w:rPr>
        <w:t>°</w:t>
      </w:r>
      <w:r w:rsidRPr="008A28E4">
        <w:rPr>
          <w:rFonts w:ascii="Book Antiqua" w:hAnsi="Book Antiqua" w:cs="Times New Roman"/>
          <w:sz w:val="24"/>
          <w:szCs w:val="24"/>
        </w:rPr>
        <w:t xml:space="preserve"> towards the surgeon from the vertical plane. During the procedure the C arm remains fixed and the needle is advanced till the point of coincidence between the calyx and the needle tip is reached. This technique avoids the need for C arm manipulation and thus potentially reduces ti</w:t>
      </w:r>
      <w:r w:rsidR="00C1243B" w:rsidRPr="008A28E4">
        <w:rPr>
          <w:rFonts w:ascii="Book Antiqua" w:hAnsi="Book Antiqua" w:cs="Times New Roman"/>
          <w:sz w:val="24"/>
          <w:szCs w:val="24"/>
        </w:rPr>
        <w:t>me need to achieve the puncture</w:t>
      </w:r>
      <w:r w:rsidR="0098134D" w:rsidRPr="008A28E4">
        <w:rPr>
          <w:rFonts w:ascii="Book Antiqua" w:hAnsi="Book Antiqua" w:cs="Times New Roman"/>
          <w:sz w:val="24"/>
          <w:szCs w:val="24"/>
          <w:vertAlign w:val="superscript"/>
        </w:rPr>
        <w:fldChar w:fldCharType="begin" w:fldLock="1"/>
      </w:r>
      <w:r w:rsidRPr="008A28E4">
        <w:rPr>
          <w:rFonts w:ascii="Book Antiqua" w:hAnsi="Book Antiqua" w:cs="Times New Roman"/>
          <w:sz w:val="24"/>
          <w:szCs w:val="24"/>
          <w:vertAlign w:val="superscript"/>
        </w:rPr>
        <w:instrText>ADDIN CSL_CITATION { "citationItems" : [ { "id" : "ITEM-1", "itemData" : { "ISBN" : "1550093657", "abstract" : "Endourology is a dynamic subspecialty involving closed, controlled manipulation within the genitourinary tract. In the past decade the creative efforts of many urologists, radiologists, and engineers have vastly expanded endoscopic technique, to the great benefit of patients with stones, obstruction, cancer, diverticula, cysts, adrenal disease, varices, and diseases of the bladder. This definitive text addresses every aspect of endourologic procedure including methods of access, operative techniques, complications, and postoperative care. The reader is taken, step-by-step, through cutaneous surgery, ureteroscopy, extracorporeal shock wave lithotripsy, laparoscopy, and lower urinary tract procedures. The principles and function of state-of-the-art endourologic instruments are outlined for each procedure. The authorship reads like a Who\u00e2\u20ac\u2122s Who in endodurology . The breadth and depth of their experience is evident throughout the text.", "author" : [ { "dropping-particle" : "", "family" : "Yamin", "given" : "Alicia Ely", "non-dropping-particle" : "", "parse-names" : false, "suffix" : "" }, { "dropping-particle" : "", "family" : "Project", "given" : "Utilization", "non-dropping-particle" : "", "parse-names" : false, "suffix" : "" }, { "dropping-particle" : "", "family" : "Inpatient", "given" : "Nationwide", "non-dropping-particle" : "", "parse-names" : false, "suffix" : "" } ], "container-title" : "New York", "id" : "ITEM-1", "issued" : { "date-parts" : [ [ "2008" ] ] }, "page" : "653-654", "title" : "Smith\u2019s Textbook of Endourology", "type" : "article-journal" }, "uris" : [ "http://www.mendeley.com/documents/?uuid=45710abe-d906-4abb-be37-80035d140f29" ] } ], "mendeley" : { "previouslyFormattedCitation" : "(36)" }, "properties" : { "noteIndex" : 0 }, "schema" : "https://github.com/citation-style-language/schema/raw/master/csl-citation.json" }</w:instrText>
      </w:r>
      <w:r w:rsidR="0098134D" w:rsidRPr="008A28E4">
        <w:rPr>
          <w:rFonts w:ascii="Book Antiqua" w:hAnsi="Book Antiqua" w:cs="Times New Roman"/>
          <w:sz w:val="24"/>
          <w:szCs w:val="24"/>
          <w:vertAlign w:val="superscript"/>
        </w:rPr>
        <w:fldChar w:fldCharType="separate"/>
      </w:r>
      <w:r w:rsidR="0000796D" w:rsidRPr="008A28E4">
        <w:rPr>
          <w:rFonts w:ascii="Book Antiqua" w:hAnsi="Book Antiqua" w:cs="Times New Roman"/>
          <w:noProof/>
          <w:sz w:val="24"/>
          <w:szCs w:val="24"/>
          <w:vertAlign w:val="superscript"/>
        </w:rPr>
        <w:t>[</w:t>
      </w:r>
      <w:r w:rsidRPr="008A28E4">
        <w:rPr>
          <w:rFonts w:ascii="Book Antiqua" w:hAnsi="Book Antiqua" w:cs="Times New Roman"/>
          <w:noProof/>
          <w:sz w:val="24"/>
          <w:szCs w:val="24"/>
          <w:vertAlign w:val="superscript"/>
        </w:rPr>
        <w:t>41</w:t>
      </w:r>
      <w:r w:rsidR="0098134D" w:rsidRPr="008A28E4">
        <w:rPr>
          <w:rFonts w:ascii="Book Antiqua" w:hAnsi="Book Antiqua" w:cs="Times New Roman"/>
          <w:sz w:val="24"/>
          <w:szCs w:val="24"/>
          <w:vertAlign w:val="superscript"/>
        </w:rPr>
        <w:fldChar w:fldCharType="end"/>
      </w:r>
      <w:r w:rsidR="0000796D" w:rsidRPr="008A28E4">
        <w:rPr>
          <w:rFonts w:ascii="Book Antiqua" w:hAnsi="Book Antiqua" w:cs="Times New Roman"/>
          <w:sz w:val="24"/>
          <w:szCs w:val="24"/>
          <w:vertAlign w:val="superscript"/>
        </w:rPr>
        <w:t>]</w:t>
      </w:r>
      <w:r w:rsidRPr="008A28E4">
        <w:rPr>
          <w:rFonts w:ascii="Book Antiqua" w:hAnsi="Book Antiqua" w:cs="Times New Roman"/>
          <w:sz w:val="24"/>
          <w:szCs w:val="24"/>
        </w:rPr>
        <w:t>. This technique, however, requires a plumb, protractor and ruler to calculate, and confirm the necessary measurements. Also, it presumes that the angle of convergence would be 30</w:t>
      </w:r>
      <w:r w:rsidR="00841E8F" w:rsidRPr="008A28E4">
        <w:rPr>
          <w:rFonts w:ascii="Book Antiqua" w:hAnsi="Book Antiqua" w:cs="Times New Roman"/>
          <w:sz w:val="24"/>
          <w:szCs w:val="24"/>
        </w:rPr>
        <w:t>°</w:t>
      </w:r>
      <w:r w:rsidRPr="008A28E4">
        <w:rPr>
          <w:rFonts w:ascii="Book Antiqua" w:hAnsi="Book Antiqua" w:cs="Times New Roman"/>
          <w:sz w:val="24"/>
          <w:szCs w:val="24"/>
        </w:rPr>
        <w:t xml:space="preserve"> at the lower pole and 20</w:t>
      </w:r>
      <w:r w:rsidR="00841E8F" w:rsidRPr="008A28E4">
        <w:rPr>
          <w:rFonts w:ascii="Book Antiqua" w:hAnsi="Book Antiqua" w:cs="Times New Roman"/>
          <w:sz w:val="24"/>
          <w:szCs w:val="24"/>
        </w:rPr>
        <w:t>°</w:t>
      </w:r>
      <w:r w:rsidRPr="008A28E4">
        <w:rPr>
          <w:rFonts w:ascii="Book Antiqua" w:hAnsi="Book Antiqua" w:cs="Times New Roman"/>
          <w:sz w:val="24"/>
          <w:szCs w:val="24"/>
        </w:rPr>
        <w:t xml:space="preserve"> at the other poles. Considering the wide variations in the structure of the kidney that occurs with the varying degrees of hydronephrosis that occurs, this may not necessarily be always true. Liatsikos </w:t>
      </w:r>
      <w:r w:rsidRPr="008A28E4">
        <w:rPr>
          <w:rFonts w:ascii="Book Antiqua" w:hAnsi="Book Antiqua" w:cs="Times New Roman"/>
          <w:i/>
          <w:sz w:val="24"/>
          <w:szCs w:val="24"/>
        </w:rPr>
        <w:t>et al</w:t>
      </w:r>
      <w:r w:rsidR="00C1243B" w:rsidRPr="008A28E4">
        <w:rPr>
          <w:rFonts w:ascii="Book Antiqua" w:hAnsi="Book Antiqua" w:cs="Times New Roman"/>
          <w:sz w:val="24"/>
          <w:szCs w:val="24"/>
          <w:vertAlign w:val="superscript"/>
          <w:lang w:eastAsia="zh-CN"/>
        </w:rPr>
        <w:t>[48]</w:t>
      </w:r>
      <w:r w:rsidRPr="008A28E4">
        <w:rPr>
          <w:rFonts w:ascii="Book Antiqua" w:hAnsi="Book Antiqua" w:cs="Times New Roman"/>
          <w:sz w:val="24"/>
          <w:szCs w:val="24"/>
        </w:rPr>
        <w:t xml:space="preserve"> described a technique to take advantage of the ability of triangulation technique to target a calyx from a preselected puncture site. After clearing the calculus from the initial puncture site, the sheath is withdrawn and additional calices which need to be approached for complete stone clearance are punctured from the initial puncture site.  A single nephrostomy tube can be left despite multiple entr</w:t>
      </w:r>
      <w:r w:rsidR="00C1243B" w:rsidRPr="008A28E4">
        <w:rPr>
          <w:rFonts w:ascii="Book Antiqua" w:hAnsi="Book Antiqua" w:cs="Times New Roman"/>
          <w:sz w:val="24"/>
          <w:szCs w:val="24"/>
        </w:rPr>
        <w:t>ies through the single incision</w:t>
      </w:r>
      <w:r w:rsidR="0098134D" w:rsidRPr="008A28E4">
        <w:rPr>
          <w:rFonts w:ascii="Book Antiqua" w:hAnsi="Book Antiqua" w:cs="Times New Roman"/>
          <w:sz w:val="24"/>
          <w:szCs w:val="24"/>
          <w:vertAlign w:val="superscript"/>
        </w:rPr>
        <w:fldChar w:fldCharType="begin" w:fldLock="1"/>
      </w:r>
      <w:r w:rsidRPr="008A28E4">
        <w:rPr>
          <w:rFonts w:ascii="Book Antiqua" w:hAnsi="Book Antiqua" w:cs="Times New Roman"/>
          <w:sz w:val="24"/>
          <w:szCs w:val="24"/>
          <w:vertAlign w:val="superscript"/>
        </w:rPr>
        <w:instrText>ADDIN CSL_CITATION { "citationItems" : [ { "id" : "ITEM-1", "itemData" : { "DOI" : "10.1016/j.eururo.2005.08.009", "ISBN" : "0302-2838 (Print)\\r0302-2838 (Linking)", "ISSN" : "03022838", "PMID" : "16203078", "abstract" : "Purpose: We herein describe the technique of a single subcostal skin incision with multiple angular punctures to approach the superior, middle and lower pole of the kidney for the management of staghorn calculi. Materials and method: One hundred patients with staghorn calculi were managed between January 1997 and June 2000. The superior calyx was approached by a subcostal triangulation technique and the middle and lower calyces were approached by angular punctures. Correct advancement of the needle was monitored by biplane fluoroscopy. Maximum effort was made for complete stone clearance in a single session. Results: 87% patients were rendered stone free in a single session. The average number of tract dilation per renal unit was 2.4 with an average anesthesia time of 110 minutes and the average blood loss of 450 ml. The average hospital stay duration was 4.6 days. The secondary procedures required were 0.11 per patient and the complication rate totalled 7% with one case of excessive hemorrhage requiring embolization. Conclusions: We therefore propose the triangulation technique as a safe and appealing method for the percutaneous management of staghorn calculi. ?? 2005 Elsevier B.V. All rights reserved.", "author" : [ { "dropping-particle" : "", "family" : "Liatsikos", "given" : "Evangelos N.", "non-dropping-particle" : "", "parse-names" : false, "suffix" : "" }, { "dropping-particle" : "", "family" : "Kapoor", "given" : "Rakesh", "non-dropping-particle" : "", "parse-names" : false, "suffix" : "" }, { "dropping-particle" : "", "family" : "Lee", "given" : "Benjamin", "non-dropping-particle" : "", "parse-names" : false, "suffix" : "" }, { "dropping-particle" : "", "family" : "Jabbour", "given" : "Michel", "non-dropping-particle" : "", "parse-names" : false, "suffix" : "" }, { "dropping-particle" : "", "family" : "Barbalias", "given" : "George", "non-dropping-particle" : "", "parse-names" : false, "suffix" : "" }, { "dropping-particle" : "", "family" : "Smith", "given" : "Arthur D.", "non-dropping-particle" : "", "parse-names" : false, "suffix" : "" } ], "container-title" : "European Urology", "id" : "ITEM-1", "issued" : { "date-parts" : [ [ "2005" ] ] }, "page" : "832-837", "title" : "\"Angular percutaneous renal access\". Multiple tracts through a single incision for staghorn calculous treatment in a single session", "type" : "article-journal", "volume" : "48" }, "uris" : [ "http://www.mendeley.com/documents/?uuid=ec5bd0cd-b41b-4b90-90ec-daf2d37b5827" ] }, { "id" : "ITEM-2", "itemData" : { "DOI" : "10.1089/end.2009.1528", "ISSN" : "0892-7790", "PMID" : "19785549", "abstract" : "Percutaneous renal surgery is dependent upon appropriate access to the targeted portion of the collecting system. Obtaining a well-positioned nephrostomy tract improves the urologist's ability to both obtain the desired surgical outcome and minimize attendant morbidities. The two primary methods of obtaining fluoroscopic-guided percutaneous renal access-\"bull's eye\" targeting and triangulation-are reviewed. The authors' preferred techniques are outlined, technical refinements are noted, and recent modifications and future directions are reviewed.", "author" : [ { "dropping-particle" : "", "family" : "Steinberg", "given" : "Peter L", "non-dropping-particle" : "", "parse-names" : false, "suffix" : "" }, { "dropping-particle" : "", "family" : "Semins", "given" : "Michelle J", "non-dropping-particle" : "", "parse-names" : false, "suffix" : "" }, { "dropping-particle" : "", "family" : "Wason", "given" : "Shaun E L", "non-dropping-particle" : "", "parse-names" : false, "suffix" : "" }, { "dropping-particle" : "", "family" : "Matlaga", "given" : "Brian R", "non-dropping-particle" : "", "parse-names" : false, "suffix" : "" }, { "dropping-particle" : "", "family" : "Pais", "given" : "Vernon M", "non-dropping-particle" : "", "parse-names" : false, "suffix" : "" } ], "container-title" : "Journal of endourology / Endourological Society", "id" : "ITEM-2", "issued" : { "date-parts" : [ [ "2009" ] ] }, "page" : "1627-1631", "title" : "Fluoroscopy-guided percutaneous renal access.", "type" : "article-journal", "volume" : "23" }, "uris" : [ "http://www.mendeley.com/documents/?uuid=33ca1be4-2e2a-4df8-bd31-92244e1fa567" ] } ], "mendeley" : { "previouslyFormattedCitation" : "(37,43)" }, "properties" : { "noteIndex" : 0 }, "schema" : "https://github.com/citation-style-language/schema/raw/master/csl-citation.json" }</w:instrText>
      </w:r>
      <w:r w:rsidR="0098134D" w:rsidRPr="008A28E4">
        <w:rPr>
          <w:rFonts w:ascii="Book Antiqua" w:hAnsi="Book Antiqua" w:cs="Times New Roman"/>
          <w:sz w:val="24"/>
          <w:szCs w:val="24"/>
          <w:vertAlign w:val="superscript"/>
        </w:rPr>
        <w:fldChar w:fldCharType="separate"/>
      </w:r>
      <w:r w:rsidR="0000796D" w:rsidRPr="008A28E4">
        <w:rPr>
          <w:rFonts w:ascii="Book Antiqua" w:hAnsi="Book Antiqua" w:cs="Times New Roman"/>
          <w:noProof/>
          <w:sz w:val="24"/>
          <w:szCs w:val="24"/>
          <w:vertAlign w:val="superscript"/>
        </w:rPr>
        <w:t>[</w:t>
      </w:r>
      <w:r w:rsidR="00C1243B" w:rsidRPr="008A28E4">
        <w:rPr>
          <w:rFonts w:ascii="Book Antiqua" w:hAnsi="Book Antiqua" w:cs="Times New Roman"/>
          <w:noProof/>
          <w:sz w:val="24"/>
          <w:szCs w:val="24"/>
          <w:vertAlign w:val="superscript"/>
        </w:rPr>
        <w:t>42,</w:t>
      </w:r>
      <w:r w:rsidRPr="008A28E4">
        <w:rPr>
          <w:rFonts w:ascii="Book Antiqua" w:hAnsi="Book Antiqua" w:cs="Times New Roman"/>
          <w:noProof/>
          <w:sz w:val="24"/>
          <w:szCs w:val="24"/>
          <w:vertAlign w:val="superscript"/>
        </w:rPr>
        <w:t>48</w:t>
      </w:r>
      <w:r w:rsidR="0098134D" w:rsidRPr="008A28E4">
        <w:rPr>
          <w:rFonts w:ascii="Book Antiqua" w:hAnsi="Book Antiqua" w:cs="Times New Roman"/>
          <w:sz w:val="24"/>
          <w:szCs w:val="24"/>
          <w:vertAlign w:val="superscript"/>
        </w:rPr>
        <w:fldChar w:fldCharType="end"/>
      </w:r>
      <w:r w:rsidR="0000796D" w:rsidRPr="008A28E4">
        <w:rPr>
          <w:rFonts w:ascii="Book Antiqua" w:hAnsi="Book Antiqua" w:cs="Times New Roman"/>
          <w:sz w:val="24"/>
          <w:szCs w:val="24"/>
          <w:vertAlign w:val="superscript"/>
        </w:rPr>
        <w:t>]</w:t>
      </w:r>
      <w:r w:rsidRPr="008A28E4">
        <w:rPr>
          <w:rFonts w:ascii="Book Antiqua" w:hAnsi="Book Antiqua" w:cs="Times New Roman"/>
          <w:sz w:val="24"/>
          <w:szCs w:val="24"/>
        </w:rPr>
        <w:t xml:space="preserve">. The tracts are from a single site but in different directions. This does not reduce the chance of complications. Moreover, attempt of maneuvering the rigid nephroscope may increase the torque on the renal parenchyma with resultant increase in bleeding. Mozer </w:t>
      </w:r>
      <w:r w:rsidRPr="008A28E4">
        <w:rPr>
          <w:rFonts w:ascii="Book Antiqua" w:hAnsi="Book Antiqua" w:cs="Times New Roman"/>
          <w:i/>
          <w:sz w:val="24"/>
          <w:szCs w:val="24"/>
        </w:rPr>
        <w:t>et al</w:t>
      </w:r>
      <w:r w:rsidR="00841E8F" w:rsidRPr="008A28E4">
        <w:rPr>
          <w:rFonts w:ascii="Book Antiqua" w:hAnsi="Book Antiqua" w:cs="Times New Roman"/>
          <w:sz w:val="24"/>
          <w:szCs w:val="24"/>
          <w:vertAlign w:val="superscript"/>
        </w:rPr>
        <w:fldChar w:fldCharType="begin" w:fldLock="1"/>
      </w:r>
      <w:r w:rsidR="00841E8F" w:rsidRPr="008A28E4">
        <w:rPr>
          <w:rFonts w:ascii="Book Antiqua" w:hAnsi="Book Antiqua" w:cs="Times New Roman"/>
          <w:sz w:val="24"/>
          <w:szCs w:val="24"/>
          <w:vertAlign w:val="superscript"/>
        </w:rPr>
        <w:instrText>ADDIN CSL_CITATION { "citationItems" : [ { "id" : "ITEM-1", "itemData" : { "DOI" : "10.1089/end.2006.0168", "ISSN" : "0892-7790", "PMID" : "17523896", "abstract" : "BACKGROUND AND PURPOSE: Percutaneous renal access in the context of percutaneous nephrolithotomy (PCNL) is a difficult technique, requiring rapid and precise access to a particular calix. We present a computerized system designed to improve percutaneous renal access by projecting the ultrasound puncture tract onto fluoroscopic images.\n\nMATERIALS AND METHODS: The system consists of a computer and a localizer allowing spatial localization of the position of the various instruments. Without any human intervention, the ultrasound nephrostomy tract is superimposed in real time onto fluoroscopic images acquired in various views.\n\nRESULTS: We tested our approach by laboratory experiments on a phantom. Also, after approval by our institution's Ethics Committee, we validated this technique in the operating room during PCNL in one patient.\n\nCONCLUSION: Our system is reliable, and the absence of image-processing procedures makes it robust. We have initiated a prospective study to validate this technique both for PCNL specialists and as a learning tool.", "author" : [ { "dropping-particle" : "", "family" : "Mozer", "given" : "Pierre", "non-dropping-particle" : "", "parse-names" : false, "suffix" : "" }, { "dropping-particle" : "", "family" : "Conort", "given" : "Pierre", "non-dropping-particle" : "", "parse-names" : false, "suffix" : "" }, { "dropping-particle" : "", "family" : "Leroy", "given" : "Antoine", "non-dropping-particle" : "", "parse-names" : false, "suffix" : "" }, { "dropping-particle" : "", "family" : "Baumann", "given" : "Michael", "non-dropping-particle" : "", "parse-names" : false, "suffix" : "" }, { "dropping-particle" : "", "family" : "Payan", "given" : "Yohan", "non-dropping-particle" : "", "parse-names" : false, "suffix" : "" }, { "dropping-particle" : "", "family" : "Troccaz", "given" : "Jocelyne", "non-dropping-particle" : "", "parse-names" : false, "suffix" : "" }, { "dropping-particle" : "", "family" : "Chartier-Kastler", "given" : "Emmanuel", "non-dropping-particle" : "", "parse-names" : false, "suffix" : "" }, { "dropping-particle" : "", "family" : "Richard", "given" : "Fran\u00e7ois", "non-dropping-particle" : "", "parse-names" : false, "suffix" : "" } ], "container-title" : "Journal of endourology / Endourological Society", "id" : "ITEM-1", "issue" : "5", "issued" : { "date-parts" : [ [ "2007", "5" ] ] }, "page" : "460-5", "title" : "Aid to percutaneous renal access by virtual projection of the ultrasound puncture tract onto fluoroscopic images.", "type" : "article-journal", "volume" : "21" }, "uris" : [ "http://www.mendeley.com/documents/?uuid=bb1c0ecd-fab6-42dd-a861-ff165f63bee8" ] } ], "mendeley" : { "previouslyFormattedCitation" : "(44)" }, "properties" : { "noteIndex" : 0 }, "schema" : "https://github.com/citation-style-language/schema/raw/master/csl-citation.json" }</w:instrText>
      </w:r>
      <w:r w:rsidR="00841E8F" w:rsidRPr="008A28E4">
        <w:rPr>
          <w:rFonts w:ascii="Book Antiqua" w:hAnsi="Book Antiqua" w:cs="Times New Roman"/>
          <w:sz w:val="24"/>
          <w:szCs w:val="24"/>
          <w:vertAlign w:val="superscript"/>
        </w:rPr>
        <w:fldChar w:fldCharType="separate"/>
      </w:r>
      <w:r w:rsidR="00841E8F" w:rsidRPr="008A28E4">
        <w:rPr>
          <w:rFonts w:ascii="Book Antiqua" w:hAnsi="Book Antiqua" w:cs="Times New Roman"/>
          <w:noProof/>
          <w:sz w:val="24"/>
          <w:szCs w:val="24"/>
          <w:vertAlign w:val="superscript"/>
        </w:rPr>
        <w:t>[49</w:t>
      </w:r>
      <w:r w:rsidR="00841E8F" w:rsidRPr="008A28E4">
        <w:rPr>
          <w:rFonts w:ascii="Book Antiqua" w:hAnsi="Book Antiqua" w:cs="Times New Roman"/>
          <w:sz w:val="24"/>
          <w:szCs w:val="24"/>
          <w:vertAlign w:val="superscript"/>
        </w:rPr>
        <w:fldChar w:fldCharType="end"/>
      </w:r>
      <w:r w:rsidR="00841E8F" w:rsidRPr="008A28E4">
        <w:rPr>
          <w:rFonts w:ascii="Book Antiqua" w:hAnsi="Book Antiqua" w:cs="Times New Roman"/>
          <w:sz w:val="24"/>
          <w:szCs w:val="24"/>
          <w:vertAlign w:val="superscript"/>
        </w:rPr>
        <w:t>]</w:t>
      </w:r>
      <w:r w:rsidRPr="008A28E4">
        <w:rPr>
          <w:rFonts w:ascii="Book Antiqua" w:hAnsi="Book Antiqua" w:cs="Times New Roman"/>
          <w:sz w:val="24"/>
          <w:szCs w:val="24"/>
        </w:rPr>
        <w:t xml:space="preserve"> have described a computer generated system which can be used to project the ultrasound nephrostomy tract onto fluoroscopic images virtually.</w:t>
      </w:r>
      <w:r w:rsidRPr="008A28E4">
        <w:rPr>
          <w:rFonts w:ascii="Book Antiqua" w:hAnsi="Book Antiqua"/>
          <w:sz w:val="24"/>
          <w:szCs w:val="24"/>
        </w:rPr>
        <w:t xml:space="preserve"> </w:t>
      </w:r>
      <w:r w:rsidRPr="008A28E4">
        <w:rPr>
          <w:rFonts w:ascii="Book Antiqua" w:hAnsi="Book Antiqua" w:cs="Times New Roman"/>
          <w:sz w:val="24"/>
          <w:szCs w:val="24"/>
        </w:rPr>
        <w:t xml:space="preserve">The surgeon, thus, has the benefit of having preview to a three dimensional anatomy while doing the procedure instead of the usual two </w:t>
      </w:r>
      <w:r w:rsidR="00C1243B" w:rsidRPr="008A28E4">
        <w:rPr>
          <w:rFonts w:ascii="Book Antiqua" w:hAnsi="Book Antiqua" w:cs="Times New Roman"/>
          <w:sz w:val="24"/>
          <w:szCs w:val="24"/>
        </w:rPr>
        <w:t>dimensional fluoroscopy picture</w:t>
      </w:r>
      <w:r w:rsidRPr="008A28E4">
        <w:rPr>
          <w:rFonts w:ascii="Book Antiqua" w:hAnsi="Book Antiqua" w:cs="Times New Roman"/>
          <w:sz w:val="24"/>
          <w:szCs w:val="24"/>
        </w:rPr>
        <w:t>. Though exciting, it requires a special system which is not routinely available. Newer C arms utilizing softwares to provide a three dimensional picture have also been used to obtain renal access in animal models</w:t>
      </w:r>
      <w:r w:rsidR="0098134D" w:rsidRPr="008A28E4">
        <w:rPr>
          <w:rFonts w:ascii="Book Antiqua" w:hAnsi="Book Antiqua" w:cs="Times New Roman"/>
          <w:sz w:val="24"/>
          <w:szCs w:val="24"/>
          <w:vertAlign w:val="superscript"/>
        </w:rPr>
        <w:fldChar w:fldCharType="begin" w:fldLock="1"/>
      </w:r>
      <w:r w:rsidRPr="008A28E4">
        <w:rPr>
          <w:rFonts w:ascii="Book Antiqua" w:hAnsi="Book Antiqua" w:cs="Times New Roman"/>
          <w:sz w:val="24"/>
          <w:szCs w:val="24"/>
          <w:vertAlign w:val="superscript"/>
        </w:rPr>
        <w:instrText>ADDIN CSL_CITATION { "citationItems" : [ { "id" : "ITEM-1", "itemData" : { "DOI" : "10.1016/j.urology.2008.09.063", "ISSN" : "00904295", "PMID" : "19100601", "abstract" : "Objectives: To present, in an experimental study, an assessment of innovative digital fluoroscopy systems with three-dimensional (3D) reconstruction for use in endourologic applications. Methods: The experiment was performed in a pig model. We used 5 pigs. An obstructive uropathy model was created in the right kidney to dilate the urinary tract for group 1. Group 2 consisted of the nondilated left kidney. After selecting the tract on the 3D image, the lower caliceal group was punctured in the 2 kidneys under fluoroscopic control, to assess the efficiency of the 3D reconstruction when selecting the renal calix to be punctured. Results: The 3D reconstruction system allowed us to obtain reconstruct the pelvis in three dimensions, isolated as the pelvis and renal parenchyma, as well as the adjacent bony relationships. In this study, the success rate was 100% for locating the selected renal calix. Conclusions: With this 3D reconstruction system, we were able to obtain a series of images that allowed for the study of the volume of the kidney, perfectly determining its renal calix distribution in the operating room. This enabled us to determine the precise delineation of the target calix. We, therefore, consider this new urologic application of fluoroscopy very useful in surgical planning for antegrade access of the upper urinary tract. ?? 2009 Elsevier Inc. All rights reserved.", "author" : [ { "dropping-particle" : "", "family" : "Soria", "given" : "Federico", "non-dropping-particle" : "", "parse-names" : false, "suffix" : "" }, { "dropping-particle" : "", "family" : "Delgado", "given" : "M. Inmaculada", "non-dropping-particle" : "", "parse-names" : false, "suffix" : "" }, { "dropping-particle" : "", "family" : "S??nchez", "given" : "Francisco M.", "non-dropping-particle" : "", "parse-names" : false, "suffix" : "" }, { "dropping-particle" : "", "family" : "Allona", "given" : "Antonio", "non-dropping-particle" : "", "parse-names" : false, "suffix" : "" }, { "dropping-particle" : "", "family" : "Jim??nez Cruz", "given" : "J. Fernando", "non-dropping-particle" : "", "parse-names" : false, "suffix" : "" }, { "dropping-particle" : "", "family" : "Morell", "given" : "Enrique", "non-dropping-particle" : "", "parse-names" : false, "suffix" : "" }, { "dropping-particle" : "", "family" : "Us??n", "given" : "Jes??s", "non-dropping-particle" : "", "parse-names" : false, "suffix" : "" } ], "container-title" : "Urology", "id" : "ITEM-1", "issued" : { "date-parts" : [ [ "2009" ] ] }, "page" : "649-652", "title" : "Effectiveness of Three-dimensional Fluoroscopy in Percutaneous Nephrostomy: An Animal Model Study", "type" : "article-journal", "volume" : "73" }, "uris" : [ "http://www.mendeley.com/documents/?uuid=68024020-74b7-4135-951f-6a35af6dd921" ] } ], "mendeley" : { "previouslyFormattedCitation" : "(45)" }, "properties" : { "noteIndex" : 0 }, "schema" : "https://github.com/citation-style-language/schema/raw/master/csl-citation.json" }</w:instrText>
      </w:r>
      <w:r w:rsidR="0098134D" w:rsidRPr="008A28E4">
        <w:rPr>
          <w:rFonts w:ascii="Book Antiqua" w:hAnsi="Book Antiqua" w:cs="Times New Roman"/>
          <w:sz w:val="24"/>
          <w:szCs w:val="24"/>
          <w:vertAlign w:val="superscript"/>
        </w:rPr>
        <w:fldChar w:fldCharType="separate"/>
      </w:r>
      <w:r w:rsidR="0000796D" w:rsidRPr="008A28E4">
        <w:rPr>
          <w:rFonts w:ascii="Book Antiqua" w:hAnsi="Book Antiqua" w:cs="Times New Roman"/>
          <w:noProof/>
          <w:sz w:val="24"/>
          <w:szCs w:val="24"/>
          <w:vertAlign w:val="superscript"/>
        </w:rPr>
        <w:t>[</w:t>
      </w:r>
      <w:r w:rsidRPr="008A28E4">
        <w:rPr>
          <w:rFonts w:ascii="Book Antiqua" w:hAnsi="Book Antiqua" w:cs="Times New Roman"/>
          <w:noProof/>
          <w:sz w:val="24"/>
          <w:szCs w:val="24"/>
          <w:vertAlign w:val="superscript"/>
        </w:rPr>
        <w:t>50</w:t>
      </w:r>
      <w:r w:rsidR="0098134D" w:rsidRPr="008A28E4">
        <w:rPr>
          <w:rFonts w:ascii="Book Antiqua" w:hAnsi="Book Antiqua" w:cs="Times New Roman"/>
          <w:sz w:val="24"/>
          <w:szCs w:val="24"/>
          <w:vertAlign w:val="superscript"/>
        </w:rPr>
        <w:fldChar w:fldCharType="end"/>
      </w:r>
      <w:r w:rsidR="0000796D" w:rsidRPr="008A28E4">
        <w:rPr>
          <w:rFonts w:ascii="Book Antiqua" w:hAnsi="Book Antiqua" w:cs="Times New Roman"/>
          <w:sz w:val="24"/>
          <w:szCs w:val="24"/>
          <w:vertAlign w:val="superscript"/>
        </w:rPr>
        <w:t>]</w:t>
      </w:r>
      <w:r w:rsidRPr="008A28E4">
        <w:rPr>
          <w:rFonts w:ascii="Book Antiqua" w:hAnsi="Book Antiqua" w:cs="Times New Roman"/>
          <w:sz w:val="24"/>
          <w:szCs w:val="24"/>
        </w:rPr>
        <w:t>. Robot assistance for fluoroscopic percutaneous renal access has also been s</w:t>
      </w:r>
      <w:r w:rsidR="00C1243B" w:rsidRPr="008A28E4">
        <w:rPr>
          <w:rFonts w:ascii="Book Antiqua" w:hAnsi="Book Antiqua" w:cs="Times New Roman"/>
          <w:sz w:val="24"/>
          <w:szCs w:val="24"/>
        </w:rPr>
        <w:t>tudied and is under evaluation</w:t>
      </w:r>
      <w:r w:rsidR="0000796D" w:rsidRPr="008A28E4">
        <w:rPr>
          <w:rFonts w:ascii="Book Antiqua" w:hAnsi="Book Antiqua" w:cs="Times New Roman"/>
          <w:sz w:val="24"/>
          <w:szCs w:val="24"/>
          <w:vertAlign w:val="superscript"/>
        </w:rPr>
        <w:t>[</w:t>
      </w:r>
      <w:r w:rsidR="00C1243B" w:rsidRPr="008A28E4">
        <w:rPr>
          <w:rFonts w:ascii="Book Antiqua" w:hAnsi="Book Antiqua" w:cs="Times New Roman"/>
          <w:sz w:val="24"/>
          <w:szCs w:val="24"/>
          <w:vertAlign w:val="superscript"/>
        </w:rPr>
        <w:t>51,</w:t>
      </w:r>
      <w:r w:rsidRPr="008A28E4">
        <w:rPr>
          <w:rFonts w:ascii="Book Antiqua" w:hAnsi="Book Antiqua" w:cs="Times New Roman"/>
          <w:sz w:val="24"/>
          <w:szCs w:val="24"/>
          <w:vertAlign w:val="superscript"/>
        </w:rPr>
        <w:t>52</w:t>
      </w:r>
      <w:r w:rsidR="0000796D" w:rsidRPr="008A28E4">
        <w:rPr>
          <w:rFonts w:ascii="Book Antiqua" w:hAnsi="Book Antiqua" w:cs="Times New Roman"/>
          <w:sz w:val="24"/>
          <w:szCs w:val="24"/>
          <w:vertAlign w:val="superscript"/>
        </w:rPr>
        <w:t>]</w:t>
      </w:r>
      <w:r w:rsidRPr="008A28E4">
        <w:rPr>
          <w:rFonts w:ascii="Book Antiqua" w:hAnsi="Book Antiqua" w:cs="Times New Roman"/>
          <w:sz w:val="24"/>
          <w:szCs w:val="24"/>
        </w:rPr>
        <w:t>. These futuristic techniques have not gained widespread acceptance A study comparing robot assisted renal access with standard manual access showed that though the mean number of access attempts was comparable, the robot took lesser time to achieve puncture (10.4 min v/s 15.1 min). However, conversion to manual access was needed in 3 cases w</w:t>
      </w:r>
      <w:r w:rsidR="00C1243B" w:rsidRPr="008A28E4">
        <w:rPr>
          <w:rFonts w:ascii="Book Antiqua" w:hAnsi="Book Antiqua" w:cs="Times New Roman"/>
          <w:sz w:val="24"/>
          <w:szCs w:val="24"/>
        </w:rPr>
        <w:t>here the robot was unsuccessful</w:t>
      </w:r>
      <w:r w:rsidR="0098134D" w:rsidRPr="008A28E4">
        <w:rPr>
          <w:rFonts w:ascii="Book Antiqua" w:hAnsi="Book Antiqua" w:cs="Times New Roman"/>
          <w:sz w:val="24"/>
          <w:szCs w:val="24"/>
          <w:vertAlign w:val="superscript"/>
        </w:rPr>
        <w:fldChar w:fldCharType="begin" w:fldLock="1"/>
      </w:r>
      <w:r w:rsidRPr="008A28E4">
        <w:rPr>
          <w:rFonts w:ascii="Book Antiqua" w:hAnsi="Book Antiqua" w:cs="Times New Roman"/>
          <w:sz w:val="24"/>
          <w:szCs w:val="24"/>
          <w:vertAlign w:val="superscript"/>
        </w:rPr>
        <w:instrText>ADDIN CSL_CITATION { "citationItems" : [ { "id" : "ITEM-1", "itemData" : { "DOI" : "10.1089/089277902760367421", "ISSN" : "0892-7790", "PMID" : "12396439", "abstract" : "PURPOSE: To evaluate the efficiency, accuracy, and safety of robotic percutaneous access to the kidney (PAKY) for percutaneous nephrolithotomy in comparison with conventional manual techniques. MATERIALS AND METHODS: We compared the intraoperative access variables (number of access attempts, time to successful access, estimated blood loss, complications) of 23 patients who underwent robotic PAKY with the remote center of motion device (PAKY-RCM) with the same data from a contemporaneous series of 23 patients who underwent conventional manual percutaneous access to the kidney. The PAKY-RCM incorporates a robotic arm and a friction transmission with axial loading system to accurately position and insert a standard 18-gauge needle percutaneously into the kidney. The blood loss during percutaneous access was estimated on a four-point scale (1 = minimal to 4 = large). The color of effluent urine was graded on a four-point scale (1 = clear to 4 = red). RESULTS: The mean target calix width was 13.5 +/- 9.2 mm in the robotic group and 12.2 +/- 4.5 mm in the manual group (P = 0.57). When comparing PAKY-RCM with standard manual techniques, the mean number of attempts was 2.2 +/- 1.6 v 3.2 +/- 2.5 (P = 0.14), time to access was 10.4 +/- 6.5 minutes v 15.1 +/- 8.8 minutes (P = 0.06), estimated blood loss score was 1.3 +/- 0.49 v 1.7 +/- 0.66 (P = 0.14), and color of effluent urine following access was 2.0 +/- 0.90 v 2.1 +/- 0.7 (P = 0.82). The PAKY-RCM was successful in obtaining access in 87% (20 of 23) of cases. The other three patients (13%) required conversion to manual techniques. There were no major intraoperative complications in either group. CONCLUSIONS: Robotic PAKY is a feasible, safe, and efficacious method of obtaining renal access for nephrolithotomy. The number of attempts and time to access were comparable to those of standard manual percutaneous access techniques. These findings provide the groundwork for the development of a completely automated robot-assisted percutaneous renal access device.", "author" : [ { "dropping-particle" : "", "family" : "Su", "given" : "Li-Ming", "non-dropping-particle" : "", "parse-names" : false, "suffix" : "" }, { "dropping-particle" : "", "family" : "Stoianovici", "given" : "Dan", "non-dropping-particle" : "", "parse-names" : false, "suffix" : "" }, { "dropping-particle" : "", "family" : "Jarrett", "given" : "Thomas W", "non-dropping-particle" : "", "parse-names" : false, "suffix" : "" }, { "dropping-particle" : "", "family" : "Patriciu", "given" : "Alexandru", "non-dropping-particle" : "", "parse-names" : false, "suffix" : "" }, { "dropping-particle" : "", "family" : "Roberts", "given" : "William W", "non-dropping-particle" : "", "parse-names" : false, "suffix" : "" }, { "dropping-particle" : "", "family" : "Cadeddu", "given" : "Jeffrey A", "non-dropping-particle" : "", "parse-names" : false, "suffix" : "" }, { "dropping-particle" : "", "family" : "Ramakumar", "given" : "Sanjay", "non-dropping-particle" : "", "parse-names" : false, "suffix" : "" }, { "dropping-particle" : "", "family" : "Solomon", "given" : "Stephen B", "non-dropping-particle" : "", "parse-names" : false, "suffix" : "" }, { "dropping-particle" : "", "family" : "Kavoussi", "given" : "Louis R", "non-dropping-particle" : "", "parse-names" : false, "suffix" : "" } ], "container-title" : "Journal of endourology / Endourological Society", "id" : "ITEM-1", "issued" : { "date-parts" : [ [ "2002" ] ] }, "page" : "471-475", "title" : "Robotic percutaneous access to the kidney: comparison with standard manual access.", "type" : "article-journal", "volume" : "16" }, "uris" : [ "http://www.mendeley.com/documents/?uuid=a0f54b4f-f025-4a0f-972a-5a332eecbd68", "http://www.mendeley.com/documents/?uuid=a7d50d8e-916a-477d-b64b-4f345aa61cbb" ] } ], "mendeley" : { "previouslyFormattedCitation" : "(48)" }, "properties" : { "noteIndex" : 0 }, "schema" : "https://github.com/citation-style-language/schema/raw/master/csl-citation.json" }</w:instrText>
      </w:r>
      <w:r w:rsidR="0098134D" w:rsidRPr="008A28E4">
        <w:rPr>
          <w:rFonts w:ascii="Book Antiqua" w:hAnsi="Book Antiqua" w:cs="Times New Roman"/>
          <w:sz w:val="24"/>
          <w:szCs w:val="24"/>
          <w:vertAlign w:val="superscript"/>
        </w:rPr>
        <w:fldChar w:fldCharType="separate"/>
      </w:r>
      <w:r w:rsidR="0000796D" w:rsidRPr="008A28E4">
        <w:rPr>
          <w:rFonts w:ascii="Book Antiqua" w:hAnsi="Book Antiqua" w:cs="Times New Roman"/>
          <w:noProof/>
          <w:sz w:val="24"/>
          <w:szCs w:val="24"/>
          <w:vertAlign w:val="superscript"/>
        </w:rPr>
        <w:t>[</w:t>
      </w:r>
      <w:r w:rsidRPr="008A28E4">
        <w:rPr>
          <w:rFonts w:ascii="Book Antiqua" w:hAnsi="Book Antiqua" w:cs="Times New Roman"/>
          <w:noProof/>
          <w:sz w:val="24"/>
          <w:szCs w:val="24"/>
          <w:vertAlign w:val="superscript"/>
        </w:rPr>
        <w:t>53</w:t>
      </w:r>
      <w:r w:rsidR="0098134D" w:rsidRPr="008A28E4">
        <w:rPr>
          <w:rFonts w:ascii="Book Antiqua" w:hAnsi="Book Antiqua" w:cs="Times New Roman"/>
          <w:sz w:val="24"/>
          <w:szCs w:val="24"/>
          <w:vertAlign w:val="superscript"/>
        </w:rPr>
        <w:fldChar w:fldCharType="end"/>
      </w:r>
      <w:r w:rsidR="0000796D" w:rsidRPr="008A28E4">
        <w:rPr>
          <w:rFonts w:ascii="Book Antiqua" w:hAnsi="Book Antiqua" w:cs="Times New Roman"/>
          <w:sz w:val="24"/>
          <w:szCs w:val="24"/>
          <w:vertAlign w:val="superscript"/>
        </w:rPr>
        <w:t>]</w:t>
      </w:r>
      <w:r w:rsidRPr="008A28E4">
        <w:rPr>
          <w:rFonts w:ascii="Book Antiqua" w:hAnsi="Book Antiqua" w:cs="Times New Roman"/>
          <w:sz w:val="24"/>
          <w:szCs w:val="24"/>
        </w:rPr>
        <w:t xml:space="preserve">. A stereotactic localization system with specially designed instruments have been described by Li </w:t>
      </w:r>
      <w:r w:rsidRPr="008A28E4">
        <w:rPr>
          <w:rFonts w:ascii="Book Antiqua" w:hAnsi="Book Antiqua" w:cs="Times New Roman"/>
          <w:i/>
          <w:sz w:val="24"/>
          <w:szCs w:val="24"/>
        </w:rPr>
        <w:t>et al</w:t>
      </w:r>
      <w:r w:rsidR="0098134D" w:rsidRPr="008A28E4">
        <w:rPr>
          <w:rFonts w:ascii="Book Antiqua" w:hAnsi="Book Antiqua" w:cs="Times New Roman"/>
          <w:sz w:val="24"/>
          <w:szCs w:val="24"/>
          <w:vertAlign w:val="superscript"/>
        </w:rPr>
        <w:fldChar w:fldCharType="begin" w:fldLock="1"/>
      </w:r>
      <w:r w:rsidRPr="008A28E4">
        <w:rPr>
          <w:rFonts w:ascii="Book Antiqua" w:hAnsi="Book Antiqua" w:cs="Times New Roman"/>
          <w:sz w:val="24"/>
          <w:szCs w:val="24"/>
          <w:vertAlign w:val="superscript"/>
        </w:rPr>
        <w:instrText>ADDIN CSL_CITATION { "citationItems" : [ { "id" : "ITEM-1", "itemData" : { "DOI" : "10.1007/s00240-011-0434-2", "ISBN" : "0024001104", "ISSN" : "1434-0879", "PMID" : "22057205", "abstract" : "The objective of the study was to establish and evaluate a modified puncture and dilation technique-\"stereotaxic localisation\" system-and the corresponding instruments for percutaneous nephrostomy. Four hundred patients were randomised to the intervention group (200 cases, stereotaxic location puncture and dilation procedures) and the traditional group (200 cases, traditional procedure) under X-ray guidance. In the modified intervention system, the distance and horizontal angle of the puncture pathway between the puncture point and the target site were calculated accurately. The time for punctures, time with X-ray exposure and operation, success rate of each puncture to access the target, number of patients requiring blood transfusion, stone clearance, drops of haemoglobin and days of hospital stay were compared between the two groups. In the traditional and intervention groups, the time for puncture was 17 and 7 min, respectively; the X-ray exposure time was 9.1 and 1.3 min; the cases requiring blood transfusion were 9 and 5; and the success rates for each puncture to access the target were 42.9 and 88.0%, all with statistical difference (p &lt; 0.01). The other outcomes and complications revealed similar trends. The stereotaxic localisation system for puncture is statistically better than the traditional procedure used in this study. The stereotaxic localisation system in this study is safer and more accurate, and provides easier access to the target with less bleeding and reduced exposure to X-ray compared to the traditional puncture and dilation procedures of percutaneous nephrostomy.", "author" : [ { "dropping-particle" : "", "family" : "Li", "given" : "Xuede", "non-dropping-particle" : "", "parse-names" : false, "suffix" : "" }, { "dropping-particle" : "", "family" : "Liao", "given" : "Songbai", "non-dropping-particle" : "", "parse-names" : false, "suffix" : "" }, { "dropping-particle" : "", "family" : "Yu", "given" : "Yonggang", "non-dropping-particle" : "", "parse-names" : false, "suffix" : "" }, { "dropping-particle" : "", "family" : "Dai", "given" : "Qing", "non-dropping-particle" : "", "parse-names" : false, "suffix" : "" }, { "dropping-particle" : "", "family" : "Song", "given" : "Bo", "non-dropping-particle" : "", "parse-names" : false, "suffix" : "" }, { "dropping-particle" : "", "family" : "Li", "given" : "Longkun", "non-dropping-particle" : "", "parse-names" : false, "suffix" : "" } ], "container-title" : "Urological research", "id" : "ITEM-1", "issue" : "4", "issued" : { "date-parts" : [ [ "2012", "8" ] ] }, "page" : "395-401", "title" : "Stereotactic localisation system: a modified puncture technique for percutaneous nephrolithotomy.", "type" : "article-journal", "volume" : "40" }, "uris" : [ "http://www.mendeley.com/documents/?uuid=0bbdfffb-a80a-4fbe-90bc-beb2d47741b3" ] } ], "mendeley" : { "previouslyFormattedCitation" : "(49)" }, "properties" : { "noteIndex" : 0 }, "schema" : "https://github.com/citation-style-language/schema/raw/master/csl-citation.json" }</w:instrText>
      </w:r>
      <w:r w:rsidR="0098134D" w:rsidRPr="008A28E4">
        <w:rPr>
          <w:rFonts w:ascii="Book Antiqua" w:hAnsi="Book Antiqua" w:cs="Times New Roman"/>
          <w:sz w:val="24"/>
          <w:szCs w:val="24"/>
          <w:vertAlign w:val="superscript"/>
        </w:rPr>
        <w:fldChar w:fldCharType="separate"/>
      </w:r>
      <w:r w:rsidR="0000796D" w:rsidRPr="008A28E4">
        <w:rPr>
          <w:rFonts w:ascii="Book Antiqua" w:hAnsi="Book Antiqua" w:cs="Times New Roman"/>
          <w:noProof/>
          <w:sz w:val="24"/>
          <w:szCs w:val="24"/>
          <w:vertAlign w:val="superscript"/>
        </w:rPr>
        <w:t>[</w:t>
      </w:r>
      <w:r w:rsidRPr="008A28E4">
        <w:rPr>
          <w:rFonts w:ascii="Book Antiqua" w:hAnsi="Book Antiqua" w:cs="Times New Roman"/>
          <w:noProof/>
          <w:sz w:val="24"/>
          <w:szCs w:val="24"/>
          <w:vertAlign w:val="superscript"/>
        </w:rPr>
        <w:t>54</w:t>
      </w:r>
      <w:r w:rsidR="0098134D" w:rsidRPr="008A28E4">
        <w:rPr>
          <w:rFonts w:ascii="Book Antiqua" w:hAnsi="Book Antiqua" w:cs="Times New Roman"/>
          <w:sz w:val="24"/>
          <w:szCs w:val="24"/>
          <w:vertAlign w:val="superscript"/>
        </w:rPr>
        <w:fldChar w:fldCharType="end"/>
      </w:r>
      <w:r w:rsidR="0000796D" w:rsidRPr="008A28E4">
        <w:rPr>
          <w:rFonts w:ascii="Book Antiqua" w:hAnsi="Book Antiqua" w:cs="Times New Roman"/>
          <w:sz w:val="24"/>
          <w:szCs w:val="24"/>
          <w:vertAlign w:val="superscript"/>
        </w:rPr>
        <w:t>]</w:t>
      </w:r>
      <w:r w:rsidRPr="008A28E4">
        <w:rPr>
          <w:rFonts w:ascii="Book Antiqua" w:hAnsi="Book Antiqua" w:cs="Times New Roman"/>
          <w:sz w:val="24"/>
          <w:szCs w:val="24"/>
        </w:rPr>
        <w:t xml:space="preserve">. It uses the Pythagoras principle of right angle triangle to calculate the depth of puncture. Then using specifically designed and patented instruments the puncture is made with precalculated depth and angle of puncture. The same instrument is then used for dilatation of the tract. The authors found that their </w:t>
      </w:r>
      <w:r w:rsidR="0000796D" w:rsidRPr="008A28E4">
        <w:rPr>
          <w:rFonts w:ascii="Book Antiqua" w:hAnsi="Book Antiqua" w:cs="Times New Roman"/>
          <w:sz w:val="24"/>
          <w:szCs w:val="24"/>
        </w:rPr>
        <w:t>technique</w:t>
      </w:r>
      <w:r w:rsidRPr="008A28E4">
        <w:rPr>
          <w:rFonts w:ascii="Book Antiqua" w:hAnsi="Book Antiqua" w:cs="Times New Roman"/>
          <w:sz w:val="24"/>
          <w:szCs w:val="24"/>
        </w:rPr>
        <w:t xml:space="preserve"> is associated with higher efficiency, better stone clearance and lower morbidity, which they attribute to the greater accuracy of the puncture. This technique was not found to be useful w</w:t>
      </w:r>
      <w:r w:rsidRPr="008A28E4">
        <w:rPr>
          <w:rFonts w:ascii="Book Antiqua" w:hAnsi="Book Antiqua"/>
          <w:sz w:val="24"/>
          <w:szCs w:val="24"/>
        </w:rPr>
        <w:t>hen t</w:t>
      </w:r>
      <w:r w:rsidRPr="008A28E4">
        <w:rPr>
          <w:rFonts w:ascii="Book Antiqua" w:hAnsi="Book Antiqua" w:cs="Times New Roman"/>
          <w:sz w:val="24"/>
          <w:szCs w:val="24"/>
        </w:rPr>
        <w:t>he puncture angle was less than 30°, because the buttocks of the operator would be in the way. Also the authors generally selected the puncture point with the same distance vertically and horizontally, which means at 45° from the skin to the stone. This again makes the principle of puncturing quite rigid as the variations in the pelvicalyceal anatomy may preclude adherence to such rigid principles. Recently, Hatipoglu et al described a monoplanar access technique. The chosen calyx is marked with a clamp. For the lower pole puncture the needle is placed 1 cm below and medial to the 12th rib. The needle is placed with a 30</w:t>
      </w:r>
      <w:r w:rsidR="00841E8F" w:rsidRPr="008A28E4">
        <w:rPr>
          <w:rFonts w:ascii="Book Antiqua" w:hAnsi="Book Antiqua" w:cs="Times New Roman"/>
          <w:sz w:val="24"/>
          <w:szCs w:val="24"/>
        </w:rPr>
        <w:t>°</w:t>
      </w:r>
      <w:r w:rsidRPr="008A28E4">
        <w:rPr>
          <w:rFonts w:ascii="Book Antiqua" w:hAnsi="Book Antiqua" w:cs="Times New Roman"/>
          <w:sz w:val="24"/>
          <w:szCs w:val="24"/>
        </w:rPr>
        <w:t xml:space="preserve"> angle to the sagittal plane and is directed toward the desired calyx. If puncture fails, the needle is retracted approximately 1 cm intracorporeally, and its angle of entry adjusted on the same vertical plane and reinserted.  For the mid and upper pole puncture the needle is held perpendicular to the spinal column and at a nearly 30</w:t>
      </w:r>
      <w:r w:rsidR="00841E8F" w:rsidRPr="008A28E4">
        <w:rPr>
          <w:rFonts w:ascii="Book Antiqua" w:hAnsi="Book Antiqua" w:cs="Times New Roman"/>
          <w:sz w:val="24"/>
          <w:szCs w:val="24"/>
        </w:rPr>
        <w:t>°</w:t>
      </w:r>
      <w:r w:rsidRPr="008A28E4">
        <w:rPr>
          <w:rFonts w:ascii="Book Antiqua" w:hAnsi="Book Antiqua" w:cs="Times New Roman"/>
          <w:sz w:val="24"/>
          <w:szCs w:val="24"/>
        </w:rPr>
        <w:t xml:space="preserve"> to the horizontal plane to access targeted middle and upper calyces to reach the pelvis and lower poles. The authors proposed that as the C arm is fixed in an anteroposterior position and thus rotation is avoided, the operative time needed for puncture is less</w:t>
      </w:r>
      <w:r w:rsidR="0098134D" w:rsidRPr="008A28E4">
        <w:rPr>
          <w:rFonts w:ascii="Book Antiqua" w:hAnsi="Book Antiqua" w:cs="Times New Roman"/>
          <w:sz w:val="24"/>
          <w:szCs w:val="24"/>
          <w:vertAlign w:val="superscript"/>
        </w:rPr>
        <w:fldChar w:fldCharType="begin" w:fldLock="1"/>
      </w:r>
      <w:r w:rsidRPr="008A28E4">
        <w:rPr>
          <w:rFonts w:ascii="Book Antiqua" w:hAnsi="Book Antiqua" w:cs="Times New Roman"/>
          <w:sz w:val="24"/>
          <w:szCs w:val="24"/>
          <w:vertAlign w:val="superscript"/>
        </w:rPr>
        <w:instrText>ADDIN CSL_CITATION { "citationItems" : [ { "id" : "ITEM-1", "itemData" : { "DOI" : "10.1007/s00240-013-0557-8", "ISSN" : "2194-7236", "PMID" : "23564416", "abstract" : "Percutaneous renal access is the most important step in percutaneous nephrolithotomy (PNL), and the adequacy of access directly affects the success and complication rates of this procedure. We use a monoplanar access technique that is different from biplanar method in that we utilize only fluoroscopic projections maintained on a vertical plane. The aim of this study is to evaluate the effects of this monoplanar access technique on operative outcomes. From October 2009 to December 2011, a total of 200 patients who had renal stones and underwent monoplanar PNL which done by the same surgical team were included in this study. Patient and procedure-related factors were recorded, as well as perioperation and postoperation variables such as operation time, puncture time, fluoroscopy screening time, complication rates, success rates, and duration of hospitalization. The average patient age at the time of procedure was 30.32\u00a0years. Mean operation and puncture time were 79.8 and 0.83\u00a0min, respectively. Stone-free rate was 80.5\u00a0% in postoperative day 1. After additional procedures such as shock wave lithotripsy (SWL), ureterorenoscopy and re-PNL final success rate was 98\u00a0% at third month including patients with clinically insignificant residual fragments. There were no severe complications except one patient in whom adjacent organ injury (colon) was observed. Monoplanar access is a safe and effective technique in PNL procedure. Furthermore less puncture time is an advantage of this technique.", "author" : [ { "dropping-particle" : "", "family" : "Hatipoglu", "given" : "Nam\u0131k Kemal", "non-dropping-particle" : "", "parse-names" : false, "suffix" : "" }, { "dropping-particle" : "", "family" : "Bodakci", "given" : "Mehmet Nuri", "non-dropping-particle" : "", "parse-names" : false, "suffix" : "" }, { "dropping-particle" : "", "family" : "Penbeg\u00fcl", "given" : "Necmettin", "non-dropping-particle" : "", "parse-names" : false, "suffix" : "" }, { "dropping-particle" : "", "family" : "Bozkurt", "given" : "Ya\u015far", "non-dropping-particle" : "", "parse-names" : false, "suffix" : "" }, { "dropping-particle" : "", "family" : "Sancaktutar", "given" : "Ahmet Ali", "non-dropping-particle" : "", "parse-names" : false, "suffix" : "" }, { "dropping-particle" : "", "family" : "Atar", "given" : "Murat", "non-dropping-particle" : "", "parse-names" : false, "suffix" : "" }, { "dropping-particle" : "", "family" : "S\u00f6ylemez", "given" : "Haluk", "non-dropping-particle" : "", "parse-names" : false, "suffix" : "" } ], "container-title" : "Urolithiasis", "id" : "ITEM-1", "issue" : "3", "issued" : { "date-parts" : [ [ "2013", "6" ] ] }, "page" : "257-63", "title" : "Monoplanar access technique for percutaneous nephrolithotomy.", "type" : "article-journal", "volume" : "41" }, "uris" : [ "http://www.mendeley.com/documents/?uuid=f306d952-0a38-4e44-9e0d-86d13166e91e" ] } ], "mendeley" : { "previouslyFormattedCitation" : "(50)" }, "properties" : { "noteIndex" : 0 }, "schema" : "https://github.com/citation-style-language/schema/raw/master/csl-citation.json" }</w:instrText>
      </w:r>
      <w:r w:rsidR="0098134D" w:rsidRPr="008A28E4">
        <w:rPr>
          <w:rFonts w:ascii="Book Antiqua" w:hAnsi="Book Antiqua" w:cs="Times New Roman"/>
          <w:sz w:val="24"/>
          <w:szCs w:val="24"/>
          <w:vertAlign w:val="superscript"/>
        </w:rPr>
        <w:fldChar w:fldCharType="separate"/>
      </w:r>
      <w:r w:rsidR="00307604" w:rsidRPr="008A28E4">
        <w:rPr>
          <w:rFonts w:ascii="Book Antiqua" w:hAnsi="Book Antiqua" w:cs="Times New Roman"/>
          <w:noProof/>
          <w:sz w:val="24"/>
          <w:szCs w:val="24"/>
          <w:vertAlign w:val="superscript"/>
        </w:rPr>
        <w:t>[</w:t>
      </w:r>
      <w:r w:rsidRPr="008A28E4">
        <w:rPr>
          <w:rFonts w:ascii="Book Antiqua" w:hAnsi="Book Antiqua" w:cs="Times New Roman"/>
          <w:noProof/>
          <w:sz w:val="24"/>
          <w:szCs w:val="24"/>
          <w:vertAlign w:val="superscript"/>
        </w:rPr>
        <w:t>55</w:t>
      </w:r>
      <w:r w:rsidR="0098134D" w:rsidRPr="008A28E4">
        <w:rPr>
          <w:rFonts w:ascii="Book Antiqua" w:hAnsi="Book Antiqua" w:cs="Times New Roman"/>
          <w:sz w:val="24"/>
          <w:szCs w:val="24"/>
          <w:vertAlign w:val="superscript"/>
        </w:rPr>
        <w:fldChar w:fldCharType="end"/>
      </w:r>
      <w:r w:rsidR="00307604" w:rsidRPr="008A28E4">
        <w:rPr>
          <w:rFonts w:ascii="Book Antiqua" w:hAnsi="Book Antiqua" w:cs="Times New Roman"/>
          <w:sz w:val="24"/>
          <w:szCs w:val="24"/>
          <w:vertAlign w:val="superscript"/>
        </w:rPr>
        <w:t>]</w:t>
      </w:r>
      <w:r w:rsidRPr="008A28E4">
        <w:rPr>
          <w:rFonts w:ascii="Book Antiqua" w:hAnsi="Book Antiqua" w:cs="Times New Roman"/>
          <w:sz w:val="24"/>
          <w:szCs w:val="24"/>
          <w:vertAlign w:val="superscript"/>
        </w:rPr>
        <w:t>.</w:t>
      </w:r>
      <w:r w:rsidRPr="008A28E4">
        <w:rPr>
          <w:rFonts w:ascii="Book Antiqua" w:hAnsi="Book Antiqua" w:cs="Times New Roman"/>
          <w:sz w:val="24"/>
          <w:szCs w:val="24"/>
        </w:rPr>
        <w:t xml:space="preserve"> However, there were no upper pole punctures in this study. In the initial learning curve a surgeon would find this technique difficult to master. Also, using a pre fixed puncture point on the skin for all lower pole punctures and directing the needle at a fixed angle of 30</w:t>
      </w:r>
      <w:r w:rsidR="00C1243B" w:rsidRPr="008A28E4">
        <w:rPr>
          <w:rFonts w:ascii="Book Antiqua" w:hAnsi="Book Antiqua" w:cs="Times New Roman"/>
          <w:sz w:val="24"/>
          <w:szCs w:val="24"/>
        </w:rPr>
        <w:t>°</w:t>
      </w:r>
      <w:r w:rsidRPr="008A28E4">
        <w:rPr>
          <w:rFonts w:ascii="Book Antiqua" w:hAnsi="Book Antiqua" w:cs="Times New Roman"/>
          <w:sz w:val="24"/>
          <w:szCs w:val="24"/>
          <w:vertAlign w:val="superscript"/>
        </w:rPr>
        <w:t xml:space="preserve"> </w:t>
      </w:r>
      <w:r w:rsidRPr="008A28E4">
        <w:rPr>
          <w:rFonts w:ascii="Book Antiqua" w:hAnsi="Book Antiqua" w:cs="Times New Roman"/>
          <w:sz w:val="24"/>
          <w:szCs w:val="24"/>
        </w:rPr>
        <w:t>to the sagittal plane may not always be a correct approach especially considering the variation in the position and direction of the lower pole calyces.</w:t>
      </w:r>
    </w:p>
    <w:p w:rsidR="00C1243B" w:rsidRPr="008A28E4" w:rsidRDefault="00C1243B" w:rsidP="008A28E4">
      <w:pPr>
        <w:pStyle w:val="ListParagraph"/>
        <w:spacing w:after="0" w:line="360" w:lineRule="auto"/>
        <w:ind w:left="0"/>
        <w:jc w:val="both"/>
        <w:rPr>
          <w:rFonts w:ascii="Book Antiqua" w:hAnsi="Book Antiqua" w:cs="Times New Roman"/>
          <w:i/>
          <w:sz w:val="24"/>
          <w:szCs w:val="24"/>
          <w:u w:val="single"/>
          <w:lang w:eastAsia="zh-CN"/>
        </w:rPr>
      </w:pPr>
    </w:p>
    <w:p w:rsidR="00C2014D" w:rsidRPr="008A28E4" w:rsidRDefault="00C2014D" w:rsidP="008A28E4">
      <w:pPr>
        <w:pStyle w:val="ListParagraph"/>
        <w:spacing w:after="0" w:line="360" w:lineRule="auto"/>
        <w:ind w:left="0"/>
        <w:jc w:val="both"/>
        <w:rPr>
          <w:rFonts w:ascii="Book Antiqua" w:hAnsi="Book Antiqua" w:cs="Times New Roman"/>
          <w:b/>
          <w:i/>
          <w:sz w:val="24"/>
          <w:szCs w:val="24"/>
        </w:rPr>
      </w:pPr>
      <w:r w:rsidRPr="008A28E4">
        <w:rPr>
          <w:rFonts w:ascii="Book Antiqua" w:hAnsi="Book Antiqua" w:cs="Times New Roman"/>
          <w:b/>
          <w:i/>
          <w:sz w:val="24"/>
          <w:szCs w:val="24"/>
        </w:rPr>
        <w:t>Hybrid Technique</w:t>
      </w:r>
    </w:p>
    <w:p w:rsidR="00C2014D" w:rsidRPr="008A28E4" w:rsidRDefault="00C2014D" w:rsidP="008A28E4">
      <w:pPr>
        <w:pStyle w:val="ListParagraph"/>
        <w:spacing w:after="0" w:line="360" w:lineRule="auto"/>
        <w:ind w:left="0"/>
        <w:jc w:val="both"/>
        <w:rPr>
          <w:rFonts w:ascii="Book Antiqua" w:hAnsi="Book Antiqua"/>
          <w:sz w:val="24"/>
          <w:szCs w:val="24"/>
        </w:rPr>
      </w:pPr>
      <w:r w:rsidRPr="008A28E4">
        <w:rPr>
          <w:rFonts w:ascii="Book Antiqua" w:hAnsi="Book Antiqua"/>
          <w:sz w:val="24"/>
          <w:szCs w:val="24"/>
        </w:rPr>
        <w:t xml:space="preserve">Rationale thinking suggests that </w:t>
      </w:r>
      <w:r w:rsidRPr="008A28E4">
        <w:rPr>
          <w:rFonts w:ascii="Book Antiqua" w:eastAsia="Calibri" w:hAnsi="Book Antiqua" w:cs="Times New Roman"/>
          <w:sz w:val="24"/>
          <w:szCs w:val="24"/>
        </w:rPr>
        <w:t>the three most important things needed to achieve a successful percutaneous renal puncture</w:t>
      </w:r>
      <w:r w:rsidRPr="008A28E4">
        <w:rPr>
          <w:rFonts w:ascii="Book Antiqua" w:hAnsi="Book Antiqua"/>
          <w:sz w:val="24"/>
          <w:szCs w:val="24"/>
        </w:rPr>
        <w:t xml:space="preserve"> are the</w:t>
      </w:r>
      <w:r w:rsidRPr="008A28E4">
        <w:rPr>
          <w:rFonts w:ascii="Book Antiqua" w:eastAsia="Calibri" w:hAnsi="Book Antiqua" w:cs="Times New Roman"/>
          <w:sz w:val="24"/>
          <w:szCs w:val="24"/>
        </w:rPr>
        <w:t xml:space="preserve"> site of skin entry, the angle of entry and the depth at which the puncture is achieved.</w:t>
      </w:r>
      <w:r w:rsidRPr="008A28E4">
        <w:rPr>
          <w:rFonts w:ascii="Book Antiqua" w:hAnsi="Book Antiqua"/>
          <w:sz w:val="24"/>
          <w:szCs w:val="24"/>
        </w:rPr>
        <w:t xml:space="preserve"> Determining the correct point of skin puncture is important in the triangulation technique because a skin puncture that is too medial or lateral to the desired optimum point of entry would result in a tract of variable length a</w:t>
      </w:r>
      <w:r w:rsidR="0000796D" w:rsidRPr="008A28E4">
        <w:rPr>
          <w:rFonts w:ascii="Book Antiqua" w:hAnsi="Book Antiqua"/>
          <w:sz w:val="24"/>
          <w:szCs w:val="24"/>
        </w:rPr>
        <w:t>nd angle of entry in the calyx</w:t>
      </w:r>
      <w:r w:rsidRPr="008A28E4">
        <w:rPr>
          <w:rFonts w:ascii="Book Antiqua" w:hAnsi="Book Antiqua"/>
          <w:sz w:val="24"/>
          <w:szCs w:val="24"/>
        </w:rPr>
        <w:t xml:space="preserve">. This would interfere with proper access and would </w:t>
      </w:r>
      <w:r w:rsidRPr="008A28E4">
        <w:rPr>
          <w:rFonts w:ascii="Book Antiqua" w:eastAsia="Calibri" w:hAnsi="Book Antiqua" w:cs="Times New Roman"/>
          <w:sz w:val="24"/>
          <w:szCs w:val="24"/>
        </w:rPr>
        <w:t>cause excessive torque on the parenchyma during maneuvering of the rigid nephroscope in the pelvicalyceal system</w:t>
      </w:r>
      <w:r w:rsidR="0098134D" w:rsidRPr="008A28E4">
        <w:rPr>
          <w:rFonts w:ascii="Book Antiqua" w:hAnsi="Book Antiqua"/>
          <w:sz w:val="24"/>
          <w:szCs w:val="24"/>
          <w:vertAlign w:val="superscript"/>
        </w:rPr>
        <w:fldChar w:fldCharType="begin" w:fldLock="1"/>
      </w:r>
      <w:r w:rsidRPr="008A28E4">
        <w:rPr>
          <w:rFonts w:ascii="Book Antiqua" w:hAnsi="Book Antiqua"/>
          <w:sz w:val="24"/>
          <w:szCs w:val="24"/>
          <w:vertAlign w:val="superscript"/>
        </w:rPr>
        <w:instrText>ADDIN CSL_CITATION { "citationItems" : [ { "id" : "ITEM-1", "itemData" : { "DOI" : "10.1016/j.juro.2007.03.014", "ISSN" : "0022-5347", "PMID" : "17574053", "abstract" : "PURPOSE: Percutaneous nephrolithotomy has undergone considerable evolution since its introduction in the 1970s, which has been driven by advances in access techniques, instrumentation and endoscopic technology. Recent reports suggest an increase in the number of percutaneous stone treatments being performed. However, despite the increasing use of percutaneous nephrolithotomy a minority of urologists obtain their own access. We reviewed the techniques for performing safe and effective percutaneous renal access.\n\nMATERIALS AND METHODS: A literature search using Entrez PubMed was performed. All relevant literature concerning techniques for fluoroscopic percutaneous renal access published within the last 20 years was reviewed.\n\nRESULTS: The success of percutaneous nephrolithotomy is critically dependent on achieving suitable percutaneous access. The ideal site of percutaneous puncture should be selected to maximize the use of rigid instruments, minimize the risk of complications and attain stone-free status. Familiarity with basic renal anatomy is essential to obtain access safely. Adherence to basic principles allows the establishment of percutaneous access in a straightforward and efficient manner. Certain clinical situations may require special access techniques.\n\nCONCLUSIONS: Percutaneous nephrolithotomy is the treatment of choice for complex stone disease. While the efficacy of percutaneous nephrolithotomy relies on the establishment of effective percutaneous access, there are considerable advantages for the urologist able to achieve access.", "author" : [ { "dropping-particle" : "", "family" : "Miller", "given" : "Nicole L", "non-dropping-particle" : "", "parse-names" : false, "suffix" : "" }, { "dropping-particle" : "", "family" : "Matlaga", "given" : "Brian R", "non-dropping-particle" : "", "parse-names" : false, "suffix" : "" }, { "dropping-particle" : "", "family" : "Lingeman", "given" : "James E", "non-dropping-particle" : "", "parse-names" : false, "suffix" : "" } ], "container-title" : "The Journal of urology", "id" : "ITEM-1", "issue" : "1", "issued" : { "date-parts" : [ [ "2007", "7" ] ] }, "page" : "15-23", "title" : "Techniques for fluoroscopic percutaneous renal access.", "type" : "article-journal", "volume" : "178" }, "uris" : [ "http://www.mendeley.com/documents/?uuid=d42af0c3-4a7c-4b36-a0aa-d1e6cb0de1ae" ] } ], "mendeley" : { "previouslyFormattedCitation" : "(24)" }, "properties" : { "noteIndex" : 0 }, "schema" : "https://github.com/citation-style-language/schema/raw/master/csl-citation.json" }</w:instrText>
      </w:r>
      <w:r w:rsidR="0098134D" w:rsidRPr="008A28E4">
        <w:rPr>
          <w:rFonts w:ascii="Book Antiqua" w:hAnsi="Book Antiqua"/>
          <w:sz w:val="24"/>
          <w:szCs w:val="24"/>
          <w:vertAlign w:val="superscript"/>
        </w:rPr>
        <w:fldChar w:fldCharType="end"/>
      </w:r>
      <w:r w:rsidRPr="008A28E4">
        <w:rPr>
          <w:rFonts w:ascii="Book Antiqua" w:hAnsi="Book Antiqua"/>
          <w:sz w:val="24"/>
          <w:szCs w:val="24"/>
        </w:rPr>
        <w:t>. The literature does provide guidelines when it comes to determining the site of skin puncture.  To avoid injury to the colon, the puncture should be medial to the posterior axillary line but not too medial as it would traverse the paraspinal muscle causing increased postoperative pain and would probably be directly on the renal pelvis without traversing the renal parenchyma. The puncture that is too close to the rib may injure the intercostal nerve and vessels and hence is to be avoided. For lower-pole access, the skin puncture should be 1 cm inferior and 1 cm medial to the tipoff the 12</w:t>
      </w:r>
      <w:r w:rsidRPr="008A28E4">
        <w:rPr>
          <w:rFonts w:ascii="Book Antiqua" w:hAnsi="Book Antiqua"/>
          <w:sz w:val="24"/>
          <w:szCs w:val="24"/>
          <w:vertAlign w:val="superscript"/>
        </w:rPr>
        <w:t>th</w:t>
      </w:r>
      <w:r w:rsidRPr="008A28E4">
        <w:rPr>
          <w:rFonts w:ascii="Book Antiqua" w:hAnsi="Book Antiqua"/>
          <w:sz w:val="24"/>
          <w:szCs w:val="24"/>
        </w:rPr>
        <w:t xml:space="preserve"> rib</w:t>
      </w:r>
      <w:r w:rsidR="0098134D" w:rsidRPr="008A28E4">
        <w:rPr>
          <w:rFonts w:ascii="Book Antiqua" w:hAnsi="Book Antiqua"/>
          <w:sz w:val="24"/>
          <w:szCs w:val="24"/>
          <w:vertAlign w:val="superscript"/>
        </w:rPr>
        <w:fldChar w:fldCharType="begin" w:fldLock="1"/>
      </w:r>
      <w:r w:rsidRPr="008A28E4">
        <w:rPr>
          <w:rFonts w:ascii="Book Antiqua" w:hAnsi="Book Antiqua"/>
          <w:sz w:val="24"/>
          <w:szCs w:val="24"/>
          <w:vertAlign w:val="superscript"/>
        </w:rPr>
        <w:instrText>ADDIN CSL_CITATION { "citationItems" : [ { "id" : "ITEM-1", "itemData" : { "DOI" : "10.1016/j.juro.2007.03.014", "ISSN" : "0022-5347", "PMID" : "17574053", "abstract" : "PURPOSE: Percutaneous nephrolithotomy has undergone considerable evolution since its introduction in the 1970s, which has been driven by advances in access techniques, instrumentation and endoscopic technology. Recent reports suggest an increase in the number of percutaneous stone treatments being performed. However, despite the increasing use of percutaneous nephrolithotomy a minority of urologists obtain their own access. We reviewed the techniques for performing safe and effective percutaneous renal access.\n\nMATERIALS AND METHODS: A literature search using Entrez PubMed was performed. All relevant literature concerning techniques for fluoroscopic percutaneous renal access published within the last 20 years was reviewed.\n\nRESULTS: The success of percutaneous nephrolithotomy is critically dependent on achieving suitable percutaneous access. The ideal site of percutaneous puncture should be selected to maximize the use of rigid instruments, minimize the risk of complications and attain stone-free status. Familiarity with basic renal anatomy is essential to obtain access safely. Adherence to basic principles allows the establishment of percutaneous access in a straightforward and efficient manner. Certain clinical situations may require special access techniques.\n\nCONCLUSIONS: Percutaneous nephrolithotomy is the treatment of choice for complex stone disease. While the efficacy of percutaneous nephrolithotomy relies on the establishment of effective percutaneous access, there are considerable advantages for the urologist able to achieve access.", "author" : [ { "dropping-particle" : "", "family" : "Miller", "given" : "Nicole L", "non-dropping-particle" : "", "parse-names" : false, "suffix" : "" }, { "dropping-particle" : "", "family" : "Matlaga", "given" : "Brian R", "non-dropping-particle" : "", "parse-names" : false, "suffix" : "" }, { "dropping-particle" : "", "family" : "Lingeman", "given" : "James E", "non-dropping-particle" : "", "parse-names" : false, "suffix" : "" } ], "container-title" : "The Journal of urology", "id" : "ITEM-1", "issue" : "1", "issued" : { "date-parts" : [ [ "2007", "7" ] ] }, "page" : "15-23", "title" : "Techniques for fluoroscopic percutaneous renal access.", "type" : "article-journal", "volume" : "178" }, "uris" : [ "http://www.mendeley.com/documents/?uuid=d42af0c3-4a7c-4b36-a0aa-d1e6cb0de1ae" ] }, { "id" : "ITEM-2", "itemData" : { "PMID" : "3786771", "abstract" : "A mail survey tabulating the results of some 8,595 percutaneous nephrostolithotomy and lithotripsy procedures (from 62 institutions) establishes an overall rate of failure, aborted procedure, and complications of 26% (2,262 cases). Data stratified as to the level of experience indicate a sharp improvement of the rate of failure and complications from 61% during the learning period to 18% thereafter. Inexperience and faulty technique rate highest as a cause for failure or complication. Underlying pathologic conditions and anatomic variants, while a relatively rare cause of failure or complication, can be diagnosed preoperatively and appropriate modification of technique instituted. The impact of technical factors such as the size of the postoperative nephrostomy tube is shown by statistical data.", "author" : [ { "dropping-particle" : "", "family" : "Lang", "given" : "E K", "non-dropping-particle" : "", "parse-names" : false, "suffix" : "" } ], "container-title" : "Radiology", "id" : "ITEM-2", "issued" : { "date-parts" : [ [ "1987" ] ] }, "page" : "25-30", "title" : "Percutaneous nephrostolithotomy and lithotripsy: a multi-institutional survey of complications.", "type" : "article-journal", "volume" : "162" }, "uris" : [ "http://www.mendeley.com/documents/?uuid=cde0993f-f0b1-489e-94e9-b5c2af4e7dca" ] }, { "id" : "ITEM-3", "itemData" : { "DOI" : "10.1007/s00240-013-0557-8", "ISSN" : "2194-7236", "PMID" : "23564416", "abstract" : "Percutaneous renal access is the most important step in percutaneous nephrolithotomy (PNL), and the adequacy of access directly affects the success and complication rates of this procedure. We use a monoplanar access technique that is different from biplanar method in that we utilize only fluoroscopic projections maintained on a vertical plane. The aim of this study is to evaluate the effects of this monoplanar access technique on operative outcomes. From October 2009 to December 2011, a total of 200 patients who had renal stones and underwent monoplanar PNL which done by the same surgical team were included in this study. Patient and procedure-related factors were recorded, as well as perioperation and postoperation variables such as operation time, puncture time, fluoroscopy screening time, complication rates, success rates, and duration of hospitalization. The average patient age at the time of procedure was 30.32\u00a0years. Mean operation and puncture time were 79.8 and 0.83\u00a0min, respectively. Stone-free rate was 80.5\u00a0% in postoperative day 1. After additional procedures such as shock wave lithotripsy (SWL), ureterorenoscopy and re-PNL final success rate was 98\u00a0% at third month including patients with clinically insignificant residual fragments. There were no severe complications except one patient in whom adjacent organ injury (colon) was observed. Monoplanar access is a safe and effective technique in PNL procedure. Furthermore less puncture time is an advantage of this technique.", "author" : [ { "dropping-particle" : "", "family" : "Hatipoglu", "given" : "Nam\u0131k Kemal", "non-dropping-particle" : "", "parse-names" : false, "suffix" : "" }, { "dropping-particle" : "", "family" : "Bodakci", "given" : "Mehmet Nuri", "non-dropping-particle" : "", "parse-names" : false, "suffix" : "" }, { "dropping-particle" : "", "family" : "Penbeg\u00fcl", "given" : "Necmettin", "non-dropping-particle" : "", "parse-names" : false, "suffix" : "" }, { "dropping-particle" : "", "family" : "Bozkurt", "given" : "Ya\u015far", "non-dropping-particle" : "", "parse-names" : false, "suffix" : "" }, { "dropping-particle" : "", "family" : "Sancaktutar", "given" : "Ahmet Ali", "non-dropping-particle" : "", "parse-names" : false, "suffix" : "" }, { "dropping-particle" : "", "family" : "Atar", "given" : "Murat", "non-dropping-particle" : "", "parse-names" : false, "suffix" : "" }, { "dropping-particle" : "", "family" : "S\u00f6ylemez", "given" : "Haluk", "non-dropping-particle" : "", "parse-names" : false, "suffix" : "" } ], "container-title" : "Urolithiasis", "id" : "ITEM-3", "issue" : "3", "issued" : { "date-parts" : [ [ "2013", "6" ] ] }, "page" : "257-63", "title" : "Monoplanar access technique for percutaneous nephrolithotomy.", "type" : "article-journal", "volume" : "41" }, "uris" : [ "http://www.mendeley.com/documents/?uuid=f306d952-0a38-4e44-9e0d-86d13166e91e" ] } ], "mendeley" : { "previouslyFormattedCitation" : "(24,50,51)" }, "properties" : { "noteIndex" : 0 }, "schema" : "https://github.com/citation-style-language/schema/raw/master/csl-citation.json" }</w:instrText>
      </w:r>
      <w:r w:rsidR="0098134D" w:rsidRPr="008A28E4">
        <w:rPr>
          <w:rFonts w:ascii="Book Antiqua" w:hAnsi="Book Antiqua"/>
          <w:sz w:val="24"/>
          <w:szCs w:val="24"/>
          <w:vertAlign w:val="superscript"/>
        </w:rPr>
        <w:fldChar w:fldCharType="separate"/>
      </w:r>
      <w:r w:rsidR="0000796D" w:rsidRPr="008A28E4">
        <w:rPr>
          <w:rFonts w:ascii="Book Antiqua" w:hAnsi="Book Antiqua"/>
          <w:noProof/>
          <w:sz w:val="24"/>
          <w:szCs w:val="24"/>
          <w:vertAlign w:val="superscript"/>
        </w:rPr>
        <w:t>[</w:t>
      </w:r>
      <w:r w:rsidR="00C1243B" w:rsidRPr="008A28E4">
        <w:rPr>
          <w:rFonts w:ascii="Book Antiqua" w:hAnsi="Book Antiqua"/>
          <w:noProof/>
          <w:sz w:val="24"/>
          <w:szCs w:val="24"/>
          <w:vertAlign w:val="superscript"/>
        </w:rPr>
        <w:t>20,</w:t>
      </w:r>
      <w:r w:rsidRPr="008A28E4">
        <w:rPr>
          <w:rFonts w:ascii="Book Antiqua" w:hAnsi="Book Antiqua"/>
          <w:noProof/>
          <w:sz w:val="24"/>
          <w:szCs w:val="24"/>
          <w:vertAlign w:val="superscript"/>
        </w:rPr>
        <w:t>55</w:t>
      </w:r>
      <w:r w:rsidR="00C1243B" w:rsidRPr="008A28E4">
        <w:rPr>
          <w:rFonts w:ascii="Book Antiqua" w:hAnsi="Book Antiqua"/>
          <w:noProof/>
          <w:sz w:val="24"/>
          <w:szCs w:val="24"/>
          <w:vertAlign w:val="superscript"/>
          <w:lang w:eastAsia="zh-CN"/>
        </w:rPr>
        <w:t>-</w:t>
      </w:r>
      <w:r w:rsidRPr="008A28E4">
        <w:rPr>
          <w:rFonts w:ascii="Book Antiqua" w:hAnsi="Book Antiqua"/>
          <w:noProof/>
          <w:sz w:val="24"/>
          <w:szCs w:val="24"/>
          <w:vertAlign w:val="superscript"/>
        </w:rPr>
        <w:t>57</w:t>
      </w:r>
      <w:r w:rsidR="0098134D" w:rsidRPr="008A28E4">
        <w:rPr>
          <w:rFonts w:ascii="Book Antiqua" w:hAnsi="Book Antiqua"/>
          <w:sz w:val="24"/>
          <w:szCs w:val="24"/>
          <w:vertAlign w:val="superscript"/>
        </w:rPr>
        <w:fldChar w:fldCharType="end"/>
      </w:r>
      <w:r w:rsidR="0000796D" w:rsidRPr="008A28E4">
        <w:rPr>
          <w:rFonts w:ascii="Book Antiqua" w:hAnsi="Book Antiqua"/>
          <w:sz w:val="24"/>
          <w:szCs w:val="24"/>
          <w:vertAlign w:val="superscript"/>
        </w:rPr>
        <w:t>]</w:t>
      </w:r>
      <w:r w:rsidRPr="008A28E4">
        <w:rPr>
          <w:rFonts w:ascii="Book Antiqua" w:hAnsi="Book Antiqua"/>
          <w:sz w:val="24"/>
          <w:szCs w:val="24"/>
        </w:rPr>
        <w:t>.</w:t>
      </w:r>
    </w:p>
    <w:p w:rsidR="00841E8F" w:rsidRPr="008A28E4" w:rsidRDefault="00C2014D" w:rsidP="008A28E4">
      <w:pPr>
        <w:spacing w:after="0" w:line="360" w:lineRule="auto"/>
        <w:ind w:firstLineChars="250" w:firstLine="600"/>
        <w:jc w:val="both"/>
        <w:rPr>
          <w:rFonts w:ascii="Book Antiqua" w:hAnsi="Book Antiqua"/>
          <w:sz w:val="24"/>
          <w:szCs w:val="24"/>
          <w:lang w:eastAsia="zh-CN"/>
        </w:rPr>
      </w:pPr>
      <w:r w:rsidRPr="008A28E4">
        <w:rPr>
          <w:rFonts w:ascii="Book Antiqua" w:eastAsia="Calibri" w:hAnsi="Book Antiqua" w:cs="Times New Roman"/>
          <w:sz w:val="24"/>
          <w:szCs w:val="24"/>
        </w:rPr>
        <w:t>We have described the technique of determining the site of skin puncture, which amalgamates the advantages of both the bull’s eye and triangulation technique and hence is called as the hybrid technique</w:t>
      </w:r>
      <w:r w:rsidR="0098134D" w:rsidRPr="008A28E4">
        <w:rPr>
          <w:rFonts w:ascii="Book Antiqua" w:hAnsi="Book Antiqua"/>
          <w:sz w:val="24"/>
          <w:szCs w:val="24"/>
          <w:vertAlign w:val="superscript"/>
        </w:rPr>
        <w:fldChar w:fldCharType="begin" w:fldLock="1"/>
      </w:r>
      <w:r w:rsidRPr="008A28E4">
        <w:rPr>
          <w:rFonts w:ascii="Book Antiqua" w:hAnsi="Book Antiqua"/>
          <w:sz w:val="24"/>
          <w:szCs w:val="24"/>
          <w:vertAlign w:val="superscript"/>
        </w:rPr>
        <w:instrText>ADDIN CSL_CITATION { "citationItems" : [ { "id" : "ITEM-1", "itemData" : { "DOI" : "10.1089/end.2008.0170", "ISSN" : "1557-900X", "PMID" : "19220081", "abstract" : "PURPOSE: The purpose of this study is to describe a technique to determine the site of skin puncture for sub-costal percutaneous renal access using a fluoroscopy-guided triangulation technique.\n\nMATERIALS AND METHODS: Using the bull's-eye technique under fluoroscopy guidance, the distance of skin puncture from the targeted calyx is determined. Then this distance is utilized in the triangulation technique to determine the site of skin puncture. Since July 2007 to February 2008, 30 cases were done using this technique.\n\nRESULTS: Successful access was accomplished in all cases in alignment with the infundibulum. Lower pole access was achieved in 21 cases and midpole access was achieved in 9 cases.\n\nCONCLUSION: This technique helps to determine the correct site of skin puncture in the fluoroscopy-guided triangulation technique. It leads to a tract that is of optimum length, proper direction, and is in alignment with the infundibulum.", "author" : [ { "dropping-particle" : "", "family" : "Sharma", "given" : "Gyanendra", "non-dropping-particle" : "", "parse-names" : false, "suffix" : "" }, { "dropping-particle" : "", "family" : "Sharma", "given" : "Anshu", "non-dropping-particle" : "", "parse-names" : false, "suffix" : "" } ], "container-title" : "Journal of endourology / Endourological Society", "id" : "ITEM-1", "issue" : "2", "issued" : { "date-parts" : [ [ "2009", "2" ] ] }, "page" : "193-5", "title" : "Determining site of skin puncture for percutaneous renal access using fluoroscopy-guided triangulation technique.", "type" : "article-journal", "volume" : "23" }, "uris" : [ "http://www.mendeley.com/documents/?uuid=c95dca7d-7382-4310-841a-5d2f47412ab2" ] } ], "mendeley" : { "previouslyFormattedCitation" : "(52)" }, "properties" : { "noteIndex" : 0 }, "schema" : "https://github.com/citation-style-language/schema/raw/master/csl-citation.json" }</w:instrText>
      </w:r>
      <w:r w:rsidR="0098134D" w:rsidRPr="008A28E4">
        <w:rPr>
          <w:rFonts w:ascii="Book Antiqua" w:hAnsi="Book Antiqua"/>
          <w:sz w:val="24"/>
          <w:szCs w:val="24"/>
          <w:vertAlign w:val="superscript"/>
        </w:rPr>
        <w:fldChar w:fldCharType="separate"/>
      </w:r>
      <w:r w:rsidR="0000796D" w:rsidRPr="008A28E4">
        <w:rPr>
          <w:rFonts w:ascii="Book Antiqua" w:hAnsi="Book Antiqua"/>
          <w:noProof/>
          <w:sz w:val="24"/>
          <w:szCs w:val="24"/>
          <w:vertAlign w:val="superscript"/>
        </w:rPr>
        <w:t>[</w:t>
      </w:r>
      <w:r w:rsidR="00C1243B" w:rsidRPr="008A28E4">
        <w:rPr>
          <w:rFonts w:ascii="Book Antiqua" w:hAnsi="Book Antiqua"/>
          <w:noProof/>
          <w:sz w:val="24"/>
          <w:szCs w:val="24"/>
          <w:vertAlign w:val="superscript"/>
        </w:rPr>
        <w:t>41,</w:t>
      </w:r>
      <w:r w:rsidRPr="008A28E4">
        <w:rPr>
          <w:rFonts w:ascii="Book Antiqua" w:hAnsi="Book Antiqua"/>
          <w:noProof/>
          <w:sz w:val="24"/>
          <w:szCs w:val="24"/>
          <w:vertAlign w:val="superscript"/>
        </w:rPr>
        <w:t>57</w:t>
      </w:r>
      <w:r w:rsidR="0098134D" w:rsidRPr="008A28E4">
        <w:rPr>
          <w:rFonts w:ascii="Book Antiqua" w:hAnsi="Book Antiqua"/>
          <w:sz w:val="24"/>
          <w:szCs w:val="24"/>
          <w:vertAlign w:val="superscript"/>
        </w:rPr>
        <w:fldChar w:fldCharType="end"/>
      </w:r>
      <w:r w:rsidR="0000796D" w:rsidRPr="008A28E4">
        <w:rPr>
          <w:rFonts w:ascii="Book Antiqua" w:hAnsi="Book Antiqua"/>
          <w:sz w:val="24"/>
          <w:szCs w:val="24"/>
          <w:vertAlign w:val="superscript"/>
        </w:rPr>
        <w:t>]</w:t>
      </w:r>
      <w:r w:rsidRPr="008A28E4">
        <w:rPr>
          <w:rFonts w:ascii="Book Antiqua" w:hAnsi="Book Antiqua"/>
          <w:sz w:val="24"/>
          <w:szCs w:val="24"/>
        </w:rPr>
        <w:t>. With the C arm at 0</w:t>
      </w:r>
      <w:r w:rsidR="00C1243B" w:rsidRPr="008A28E4">
        <w:rPr>
          <w:rFonts w:ascii="Book Antiqua" w:hAnsi="Book Antiqua" w:cs="Times New Roman"/>
          <w:sz w:val="24"/>
          <w:szCs w:val="24"/>
        </w:rPr>
        <w:t>°</w:t>
      </w:r>
      <w:r w:rsidRPr="008A28E4">
        <w:rPr>
          <w:rFonts w:ascii="Book Antiqua" w:hAnsi="Book Antiqua"/>
          <w:sz w:val="24"/>
          <w:szCs w:val="24"/>
        </w:rPr>
        <w:t>, the site of skin corresponding to the target calyx is marked as point A. The C arm is then rotated 30</w:t>
      </w:r>
      <w:r w:rsidR="00C1243B" w:rsidRPr="008A28E4">
        <w:rPr>
          <w:rFonts w:ascii="Book Antiqua" w:hAnsi="Book Antiqua" w:cs="Times New Roman"/>
          <w:sz w:val="24"/>
          <w:szCs w:val="24"/>
        </w:rPr>
        <w:t>°</w:t>
      </w:r>
      <w:r w:rsidRPr="008A28E4">
        <w:rPr>
          <w:rFonts w:ascii="Book Antiqua" w:hAnsi="Book Antiqua"/>
          <w:sz w:val="24"/>
          <w:szCs w:val="24"/>
        </w:rPr>
        <w:t xml:space="preserve"> towards the surgeon. The point on the skin corresponding to the target calyx and forming a bull’s eye with the needle is marked as point B. In The Bull’s eye technique we take a puncture at the point B. However in the Triangulation technique, the puncture is along the stone axis in alignment with the infundibulum. If we take the target calyx as the center of a sphere, then we have an imaginary circle on the skin where the point A is the center of the circle. The distance from point A to B will be the radius of the circle. The radius remains the same irrespective of the direction in which it is measured from the center of the circle. Thus, when we take a line along the stone axis where we intend to take a puncture</w:t>
      </w:r>
      <w:r w:rsidR="00C1243B" w:rsidRPr="008A28E4">
        <w:rPr>
          <w:rFonts w:ascii="Book Antiqua" w:hAnsi="Book Antiqua"/>
          <w:sz w:val="24"/>
          <w:szCs w:val="24"/>
          <w:lang w:eastAsia="zh-CN"/>
        </w:rPr>
        <w:t>-</w:t>
      </w:r>
      <w:r w:rsidRPr="008A28E4">
        <w:rPr>
          <w:rFonts w:ascii="Book Antiqua" w:hAnsi="Book Antiqua"/>
          <w:sz w:val="24"/>
          <w:szCs w:val="24"/>
        </w:rPr>
        <w:t>the site of skin puncture is marked using this principle. This means that the point B1 is marked on the skin such that the distance from point A to B1 is equal to the distance between A to B i.e. the radius of a circle with the target calyx being its center. This is how we determine site of skin punct</w:t>
      </w:r>
      <w:r w:rsidR="0000796D" w:rsidRPr="008A28E4">
        <w:rPr>
          <w:rFonts w:ascii="Book Antiqua" w:hAnsi="Book Antiqua"/>
          <w:sz w:val="24"/>
          <w:szCs w:val="24"/>
        </w:rPr>
        <w:t>ure in triangulation techniq</w:t>
      </w:r>
      <w:r w:rsidR="00841E8F" w:rsidRPr="008A28E4">
        <w:rPr>
          <w:rFonts w:ascii="Book Antiqua" w:hAnsi="Book Antiqua"/>
          <w:sz w:val="24"/>
          <w:szCs w:val="24"/>
        </w:rPr>
        <w:t>ue</w:t>
      </w:r>
      <w:r w:rsidR="0000796D" w:rsidRPr="008A28E4">
        <w:rPr>
          <w:rFonts w:ascii="Book Antiqua" w:hAnsi="Book Antiqua"/>
          <w:sz w:val="24"/>
          <w:szCs w:val="24"/>
          <w:vertAlign w:val="superscript"/>
        </w:rPr>
        <w:t>[</w:t>
      </w:r>
      <w:r w:rsidRPr="008A28E4">
        <w:rPr>
          <w:rFonts w:ascii="Book Antiqua" w:hAnsi="Book Antiqua"/>
          <w:sz w:val="24"/>
          <w:szCs w:val="24"/>
          <w:vertAlign w:val="superscript"/>
        </w:rPr>
        <w:t>57</w:t>
      </w:r>
      <w:r w:rsidR="0000796D" w:rsidRPr="008A28E4">
        <w:rPr>
          <w:rFonts w:ascii="Book Antiqua" w:hAnsi="Book Antiqua"/>
          <w:sz w:val="24"/>
          <w:szCs w:val="24"/>
          <w:vertAlign w:val="superscript"/>
        </w:rPr>
        <w:t>]</w:t>
      </w:r>
      <w:r w:rsidRPr="008A28E4">
        <w:rPr>
          <w:rFonts w:ascii="Book Antiqua" w:hAnsi="Book Antiqua"/>
          <w:sz w:val="24"/>
          <w:szCs w:val="24"/>
        </w:rPr>
        <w:t xml:space="preserve"> (</w:t>
      </w:r>
      <w:r w:rsidRPr="008A28E4">
        <w:rPr>
          <w:rFonts w:ascii="Book Antiqua" w:hAnsi="Book Antiqua"/>
          <w:bCs/>
          <w:sz w:val="24"/>
          <w:szCs w:val="24"/>
        </w:rPr>
        <w:t>Figure 7 and 8</w:t>
      </w:r>
      <w:r w:rsidRPr="008A28E4">
        <w:rPr>
          <w:rFonts w:ascii="Book Antiqua" w:hAnsi="Book Antiqua"/>
          <w:sz w:val="24"/>
          <w:szCs w:val="24"/>
        </w:rPr>
        <w:t>).</w:t>
      </w:r>
    </w:p>
    <w:p w:rsidR="00C2014D" w:rsidRPr="008A28E4" w:rsidRDefault="00C2014D" w:rsidP="008A28E4">
      <w:pPr>
        <w:spacing w:after="0" w:line="360" w:lineRule="auto"/>
        <w:ind w:firstLineChars="250" w:firstLine="600"/>
        <w:jc w:val="both"/>
        <w:rPr>
          <w:rFonts w:ascii="Book Antiqua" w:hAnsi="Book Antiqua"/>
          <w:sz w:val="24"/>
          <w:szCs w:val="24"/>
        </w:rPr>
      </w:pPr>
      <w:r w:rsidRPr="008A28E4">
        <w:rPr>
          <w:rFonts w:ascii="Book Antiqua" w:eastAsia="Calibri" w:hAnsi="Book Antiqua" w:cs="Times New Roman"/>
          <w:sz w:val="24"/>
          <w:szCs w:val="24"/>
        </w:rPr>
        <w:t>Once the site of puncture is determined the next critical step is to access the centre of a posterior calyx with the needle directed at an appropriate angle. This step of hitting the calyx at the depth often requires maneuvering the C arm in different directions, either towards the surgeon (in bull’s eye technique) or in an oblique cephalo-caudal direction (for the triangulation technique) and requires understanding a three dimensional anatomy on a two dimensional fluoroscopy monitor. This step requires maintenance of the needle in one plane while making the adjustments in the other plane and not surprisingly, multiple attempts are needed and excessive use of fluoroscopy occurs, at this</w:t>
      </w:r>
      <w:r w:rsidR="00C1243B" w:rsidRPr="008A28E4">
        <w:rPr>
          <w:rFonts w:ascii="Book Antiqua" w:eastAsia="Calibri" w:hAnsi="Book Antiqua" w:cs="Times New Roman"/>
          <w:sz w:val="24"/>
          <w:szCs w:val="24"/>
        </w:rPr>
        <w:t xml:space="preserve"> step, especially by a beginner</w:t>
      </w:r>
      <w:r w:rsidR="0000796D" w:rsidRPr="008A28E4">
        <w:rPr>
          <w:rFonts w:ascii="Book Antiqua" w:hAnsi="Book Antiqua"/>
          <w:sz w:val="24"/>
          <w:szCs w:val="24"/>
          <w:vertAlign w:val="superscript"/>
        </w:rPr>
        <w:t>[</w:t>
      </w:r>
      <w:r w:rsidR="00841E8F" w:rsidRPr="008A28E4">
        <w:rPr>
          <w:rFonts w:ascii="Book Antiqua" w:hAnsi="Book Antiqua"/>
          <w:sz w:val="24"/>
          <w:szCs w:val="24"/>
          <w:vertAlign w:val="superscript"/>
        </w:rPr>
        <w:t>20,</w:t>
      </w:r>
      <w:r w:rsidRPr="008A28E4">
        <w:rPr>
          <w:rFonts w:ascii="Book Antiqua" w:hAnsi="Book Antiqua"/>
          <w:sz w:val="24"/>
          <w:szCs w:val="24"/>
          <w:vertAlign w:val="superscript"/>
        </w:rPr>
        <w:t>45</w:t>
      </w:r>
      <w:r w:rsidR="0000796D" w:rsidRPr="008A28E4">
        <w:rPr>
          <w:rFonts w:ascii="Book Antiqua" w:hAnsi="Book Antiqua"/>
          <w:sz w:val="24"/>
          <w:szCs w:val="24"/>
          <w:vertAlign w:val="superscript"/>
        </w:rPr>
        <w:t>]</w:t>
      </w:r>
      <w:r w:rsidRPr="008A28E4">
        <w:rPr>
          <w:rFonts w:ascii="Book Antiqua" w:eastAsia="Calibri" w:hAnsi="Book Antiqua" w:cs="Times New Roman"/>
          <w:sz w:val="24"/>
          <w:szCs w:val="24"/>
        </w:rPr>
        <w:t xml:space="preserve">. Maintenance of needle orientation in one plane while making the adjustment in the other plane is critical for a proper </w:t>
      </w:r>
      <w:r w:rsidRPr="008A28E4">
        <w:rPr>
          <w:rFonts w:ascii="Book Antiqua" w:hAnsi="Book Antiqua"/>
          <w:sz w:val="24"/>
          <w:szCs w:val="24"/>
        </w:rPr>
        <w:t>puncture. This</w:t>
      </w:r>
      <w:r w:rsidRPr="008A28E4">
        <w:rPr>
          <w:rFonts w:ascii="Book Antiqua" w:eastAsia="Calibri" w:hAnsi="Book Antiqua" w:cs="Times New Roman"/>
          <w:sz w:val="24"/>
          <w:szCs w:val="24"/>
        </w:rPr>
        <w:t xml:space="preserve"> is also the aspect which has the steepest learning curve for an urologist getting trained in percutaneous nephrolithotomy</w:t>
      </w:r>
      <w:r w:rsidR="0098134D" w:rsidRPr="008A28E4">
        <w:rPr>
          <w:rFonts w:ascii="Book Antiqua" w:hAnsi="Book Antiqua"/>
          <w:sz w:val="24"/>
          <w:szCs w:val="24"/>
          <w:vertAlign w:val="superscript"/>
        </w:rPr>
        <w:fldChar w:fldCharType="begin" w:fldLock="1"/>
      </w:r>
      <w:r w:rsidRPr="008A28E4">
        <w:rPr>
          <w:rFonts w:ascii="Book Antiqua" w:hAnsi="Book Antiqua"/>
          <w:sz w:val="24"/>
          <w:szCs w:val="24"/>
          <w:vertAlign w:val="superscript"/>
        </w:rPr>
        <w:instrText>ADDIN CSL_CITATION { "citationItems" : [ { "id" : "ITEM-1", "itemData" : { "DOI" : "10.1016/j.eururo.2007.01.001", "ISSN" : "0302-2838", "PMID" : "17229522", "abstract" : "OBJECTIVES: To investigate the learning curve in the training of percutaneous nephrolithotomy (PCNL).\n\nMETHODS: A total of 104 PCNL cases were included in this evaluation to define the learning curve of a surgeon with no previous experience at performing solo PCNL. Two parameters of expertise were reviewed, namely the operation and fluoroscopic screening times. The operation time was calculated as the beginning of access with the needle until the nephrostomy tube was placed and secured. PCNL procedures were analyzed in seven sets of 15 cases regarding the operation and fluoroscopy times, stone size, stone clearance rate, blood transfusion rate, and estimated blood loss.\n\nRESULTS: The mean operation time was 2.4 h for the first 15 patients. It decreased to a mean of 1.5 h for cases 46 through 60. No further decrease in the operation time was observed after case 60. The fluoroscopic screening time was a peak of 17.5 min in the first 15 cases, whereas it dropped to a mean of 8.9 min for cases 46 through 60. The decline in the mean fluoroscopy screening time continued in cases 61 to 104, but the decline was not significant. There was no significant difference in stone size, stone clearance rate, blood transfusion rate, and estimated blood loss among each set of cases.\n\nCONCLUSIONS: This study suggests that the surgical competence in PCNL can be reached after 60 cases. PCNL and fluoroscopy times drop to a steady-state level after performing 60 procedures.", "author" : [ { "dropping-particle" : "", "family" : "Tanriverdi", "given" : "Orhan", "non-dropping-particle" : "", "parse-names" : false, "suffix" : "" }, { "dropping-particle" : "", "family" : "Boylu", "given" : "Ugur", "non-dropping-particle" : "", "parse-names" : false, "suffix" : "" }, { "dropping-particle" : "", "family" : "Kendirci", "given" : "Muammer", "non-dropping-particle" : "", "parse-names" : false, "suffix" : "" }, { "dropping-particle" : "", "family" : "Kadihasanoglu", "given" : "Mustafa", "non-dropping-particle" : "", "parse-names" : false, "suffix" : "" }, { "dropping-particle" : "", "family" : "Horasanli", "given" : "Kaya", "non-dropping-particle" : "", "parse-names" : false, "suffix" : "" }, { "dropping-particle" : "", "family" : "Miroglu", "given" : "Cengiz", "non-dropping-particle" : "", "parse-names" : false, "suffix" : "" } ], "container-title" : "European urology", "id" : "ITEM-1", "issue" : "1", "issued" : { "date-parts" : [ [ "2007", "7" ] ] }, "page" : "206-11", "title" : "The learning curve in the training of percutaneous nephrolithotomy.", "type" : "article-journal", "volume" : "52" }, "uris" : [ "http://www.mendeley.com/documents/?uuid=527c02c7-e90e-4301-9523-0f6a08d4eac2" ] } ], "mendeley" : { "previouslyFormattedCitation" : "(40)" }, "properties" : { "noteIndex" : 0 }, "schema" : "https://github.com/citation-style-language/schema/raw/master/csl-citation.json" }</w:instrText>
      </w:r>
      <w:r w:rsidR="0098134D" w:rsidRPr="008A28E4">
        <w:rPr>
          <w:rFonts w:ascii="Book Antiqua" w:hAnsi="Book Antiqua"/>
          <w:sz w:val="24"/>
          <w:szCs w:val="24"/>
          <w:vertAlign w:val="superscript"/>
        </w:rPr>
        <w:fldChar w:fldCharType="separate"/>
      </w:r>
      <w:r w:rsidR="0000796D" w:rsidRPr="008A28E4">
        <w:rPr>
          <w:rFonts w:ascii="Book Antiqua" w:hAnsi="Book Antiqua"/>
          <w:noProof/>
          <w:sz w:val="24"/>
          <w:szCs w:val="24"/>
          <w:vertAlign w:val="superscript"/>
        </w:rPr>
        <w:t>[</w:t>
      </w:r>
      <w:r w:rsidRPr="008A28E4">
        <w:rPr>
          <w:rFonts w:ascii="Book Antiqua" w:hAnsi="Book Antiqua"/>
          <w:noProof/>
          <w:sz w:val="24"/>
          <w:szCs w:val="24"/>
          <w:vertAlign w:val="superscript"/>
        </w:rPr>
        <w:t>45</w:t>
      </w:r>
      <w:r w:rsidR="0098134D" w:rsidRPr="008A28E4">
        <w:rPr>
          <w:rFonts w:ascii="Book Antiqua" w:hAnsi="Book Antiqua"/>
          <w:sz w:val="24"/>
          <w:szCs w:val="24"/>
          <w:vertAlign w:val="superscript"/>
        </w:rPr>
        <w:fldChar w:fldCharType="end"/>
      </w:r>
      <w:r w:rsidR="0000796D" w:rsidRPr="008A28E4">
        <w:rPr>
          <w:rFonts w:ascii="Book Antiqua" w:hAnsi="Book Antiqua"/>
          <w:sz w:val="24"/>
          <w:szCs w:val="24"/>
          <w:vertAlign w:val="superscript"/>
        </w:rPr>
        <w:t>]</w:t>
      </w:r>
      <w:r w:rsidRPr="008A28E4">
        <w:rPr>
          <w:rFonts w:ascii="Book Antiqua" w:eastAsia="Calibri" w:hAnsi="Book Antiqua" w:cs="Times New Roman"/>
          <w:sz w:val="24"/>
          <w:szCs w:val="24"/>
        </w:rPr>
        <w:t>.</w:t>
      </w:r>
      <w:r w:rsidRPr="008A28E4">
        <w:rPr>
          <w:rFonts w:ascii="Book Antiqua" w:hAnsi="Book Antiqua"/>
          <w:sz w:val="24"/>
          <w:szCs w:val="24"/>
        </w:rPr>
        <w:t xml:space="preserve"> </w:t>
      </w:r>
    </w:p>
    <w:p w:rsidR="00C2014D" w:rsidRPr="008A28E4" w:rsidRDefault="00C2014D" w:rsidP="008A28E4">
      <w:pPr>
        <w:pStyle w:val="ListParagraph"/>
        <w:spacing w:after="0" w:line="360" w:lineRule="auto"/>
        <w:ind w:left="0" w:firstLineChars="200" w:firstLine="480"/>
        <w:jc w:val="both"/>
        <w:rPr>
          <w:rFonts w:ascii="Book Antiqua" w:hAnsi="Book Antiqua"/>
          <w:sz w:val="24"/>
          <w:szCs w:val="24"/>
        </w:rPr>
      </w:pPr>
      <w:r w:rsidRPr="008A28E4">
        <w:rPr>
          <w:rFonts w:ascii="Book Antiqua" w:hAnsi="Book Antiqua"/>
          <w:sz w:val="24"/>
          <w:szCs w:val="24"/>
        </w:rPr>
        <w:t>We describe our technique</w:t>
      </w:r>
      <w:r w:rsidRPr="008A28E4">
        <w:rPr>
          <w:rFonts w:ascii="Book Antiqua" w:eastAsia="Calibri" w:hAnsi="Book Antiqua" w:cs="Times New Roman"/>
          <w:sz w:val="24"/>
          <w:szCs w:val="24"/>
        </w:rPr>
        <w:t xml:space="preserve"> of using a simple mathematical principle to determine the angle and depth of puncture in fluoroscopy guided percutaneous renal access in prone position.</w:t>
      </w:r>
      <w:r w:rsidRPr="008A28E4">
        <w:rPr>
          <w:rFonts w:ascii="Book Antiqua" w:hAnsi="Book Antiqua"/>
          <w:sz w:val="24"/>
          <w:szCs w:val="24"/>
        </w:rPr>
        <w:t xml:space="preserve"> We have used it in &gt; 150 cases for lower, mid and upper pole punctures with &gt; 95% success in first attempt and no pleural, visceral or hemorrhagic complications. This has recently been accepted for publication.</w:t>
      </w:r>
    </w:p>
    <w:p w:rsidR="00C2014D" w:rsidRPr="008A28E4" w:rsidRDefault="00C2014D" w:rsidP="008A28E4">
      <w:pPr>
        <w:spacing w:after="0" w:line="360" w:lineRule="auto"/>
        <w:ind w:firstLineChars="200" w:firstLine="480"/>
        <w:jc w:val="both"/>
        <w:rPr>
          <w:rFonts w:ascii="Book Antiqua" w:hAnsi="Book Antiqua"/>
          <w:sz w:val="24"/>
          <w:szCs w:val="24"/>
          <w:lang w:eastAsia="zh-CN"/>
        </w:rPr>
      </w:pPr>
      <w:r w:rsidRPr="008A28E4">
        <w:rPr>
          <w:rFonts w:ascii="Book Antiqua" w:hAnsi="Book Antiqua"/>
          <w:sz w:val="24"/>
          <w:szCs w:val="24"/>
        </w:rPr>
        <w:t>In the Bull’s eye technique, the angle at which the needle is seen as a dot is the angle at which the puncture is made. Our Hybrid technique utilizes this principle. With the needle at point B and the C arm rotated 30</w:t>
      </w:r>
      <w:r w:rsidR="00841E8F" w:rsidRPr="008A28E4">
        <w:rPr>
          <w:rFonts w:ascii="Book Antiqua" w:hAnsi="Book Antiqua" w:cs="Times New Roman"/>
          <w:sz w:val="24"/>
          <w:szCs w:val="24"/>
        </w:rPr>
        <w:t>°</w:t>
      </w:r>
      <w:r w:rsidRPr="008A28E4">
        <w:rPr>
          <w:rFonts w:ascii="Book Antiqua" w:hAnsi="Book Antiqua"/>
          <w:sz w:val="24"/>
          <w:szCs w:val="24"/>
        </w:rPr>
        <w:t xml:space="preserve"> towards the surgeon and the needle forming the Bull’s eye; the angle that the needle makes with the skin surface is measured using a protractor (</w:t>
      </w:r>
      <w:r w:rsidRPr="008A28E4">
        <w:rPr>
          <w:rFonts w:ascii="Book Antiqua" w:hAnsi="Book Antiqua"/>
          <w:bCs/>
          <w:sz w:val="24"/>
          <w:szCs w:val="24"/>
        </w:rPr>
        <w:t>Figure 9</w:t>
      </w:r>
      <w:r w:rsidRPr="008A28E4">
        <w:rPr>
          <w:rFonts w:ascii="Book Antiqua" w:hAnsi="Book Antiqua"/>
          <w:sz w:val="24"/>
          <w:szCs w:val="24"/>
        </w:rPr>
        <w:t>). One needs to take care that the protractor is held parallel to the operating table. Using the principle of sphere and circle as described earlier; if we are hitting the calyx by using the triangulation technique from the point B1—the angle of puncture would be the same with probably variations of 1</w:t>
      </w:r>
      <w:r w:rsidR="00C1243B" w:rsidRPr="008A28E4">
        <w:rPr>
          <w:rFonts w:ascii="Book Antiqua" w:hAnsi="Book Antiqua"/>
          <w:sz w:val="24"/>
          <w:szCs w:val="24"/>
          <w:lang w:eastAsia="zh-CN"/>
        </w:rPr>
        <w:t>-</w:t>
      </w:r>
      <w:r w:rsidRPr="008A28E4">
        <w:rPr>
          <w:rFonts w:ascii="Book Antiqua" w:hAnsi="Book Antiqua"/>
          <w:sz w:val="24"/>
          <w:szCs w:val="24"/>
        </w:rPr>
        <w:t>2 degrees  due to the not so perfectly flat contours of the body surface. The third component of the hybrid technique is to determine the depth of puncture. What we have till now is an imaginary triangle (</w:t>
      </w:r>
      <w:r w:rsidRPr="008A28E4">
        <w:rPr>
          <w:rFonts w:ascii="Book Antiqua" w:hAnsi="Book Antiqua"/>
          <w:bCs/>
          <w:sz w:val="24"/>
          <w:szCs w:val="24"/>
        </w:rPr>
        <w:t>Figure 9</w:t>
      </w:r>
      <w:r w:rsidRPr="008A28E4">
        <w:rPr>
          <w:rFonts w:ascii="Book Antiqua" w:hAnsi="Book Antiqua"/>
          <w:sz w:val="24"/>
          <w:szCs w:val="24"/>
        </w:rPr>
        <w:t>) where we know</w:t>
      </w:r>
      <w:r w:rsidR="00C1243B" w:rsidRPr="008A28E4">
        <w:rPr>
          <w:rFonts w:ascii="Book Antiqua" w:hAnsi="Book Antiqua"/>
          <w:sz w:val="24"/>
          <w:szCs w:val="24"/>
          <w:lang w:eastAsia="zh-CN"/>
        </w:rPr>
        <w:t xml:space="preserve">: (1) </w:t>
      </w:r>
      <w:r w:rsidRPr="008A28E4">
        <w:rPr>
          <w:rFonts w:ascii="Book Antiqua" w:hAnsi="Book Antiqua"/>
          <w:sz w:val="24"/>
          <w:szCs w:val="24"/>
        </w:rPr>
        <w:t>One side</w:t>
      </w:r>
      <w:r w:rsidR="00C1243B" w:rsidRPr="008A28E4">
        <w:rPr>
          <w:rFonts w:ascii="Book Antiqua" w:hAnsi="Book Antiqua"/>
          <w:sz w:val="24"/>
          <w:szCs w:val="24"/>
          <w:lang w:eastAsia="zh-CN"/>
        </w:rPr>
        <w:t xml:space="preserve"> - </w:t>
      </w:r>
      <w:r w:rsidRPr="008A28E4">
        <w:rPr>
          <w:rFonts w:ascii="Book Antiqua" w:hAnsi="Book Antiqua"/>
          <w:sz w:val="24"/>
          <w:szCs w:val="24"/>
        </w:rPr>
        <w:t>the distance between point A to B which is marked on the skin</w:t>
      </w:r>
      <w:r w:rsidR="00C1243B" w:rsidRPr="008A28E4">
        <w:rPr>
          <w:rFonts w:ascii="Book Antiqua" w:hAnsi="Book Antiqua"/>
          <w:sz w:val="24"/>
          <w:szCs w:val="24"/>
          <w:lang w:eastAsia="zh-CN"/>
        </w:rPr>
        <w:t xml:space="preserve">; (2) </w:t>
      </w:r>
      <w:r w:rsidRPr="008A28E4">
        <w:rPr>
          <w:rFonts w:ascii="Book Antiqua" w:hAnsi="Book Antiqua"/>
          <w:sz w:val="24"/>
          <w:szCs w:val="24"/>
        </w:rPr>
        <w:t>One angle</w:t>
      </w:r>
      <w:r w:rsidR="00C1243B" w:rsidRPr="008A28E4">
        <w:rPr>
          <w:rFonts w:ascii="Book Antiqua" w:hAnsi="Book Antiqua"/>
          <w:sz w:val="24"/>
          <w:szCs w:val="24"/>
          <w:lang w:eastAsia="zh-CN"/>
        </w:rPr>
        <w:t xml:space="preserve"> - </w:t>
      </w:r>
      <w:r w:rsidRPr="008A28E4">
        <w:rPr>
          <w:rFonts w:ascii="Book Antiqua" w:hAnsi="Book Antiqua"/>
          <w:sz w:val="24"/>
          <w:szCs w:val="24"/>
        </w:rPr>
        <w:t>which is 90</w:t>
      </w:r>
      <w:r w:rsidR="00C1243B" w:rsidRPr="008A28E4">
        <w:rPr>
          <w:rFonts w:ascii="Book Antiqua" w:hAnsi="Book Antiqua" w:cs="Times New Roman"/>
          <w:sz w:val="24"/>
          <w:szCs w:val="24"/>
        </w:rPr>
        <w:t>°</w:t>
      </w:r>
      <w:r w:rsidRPr="008A28E4">
        <w:rPr>
          <w:rFonts w:ascii="Book Antiqua" w:hAnsi="Book Antiqua"/>
          <w:sz w:val="24"/>
          <w:szCs w:val="24"/>
        </w:rPr>
        <w:t xml:space="preserve"> with the C arm at 0</w:t>
      </w:r>
      <w:r w:rsidR="00C1243B" w:rsidRPr="008A28E4">
        <w:rPr>
          <w:rFonts w:ascii="Book Antiqua" w:hAnsi="Book Antiqua" w:cs="Times New Roman"/>
          <w:sz w:val="24"/>
          <w:szCs w:val="24"/>
        </w:rPr>
        <w:t>°</w:t>
      </w:r>
      <w:r w:rsidR="00C1243B" w:rsidRPr="008A28E4">
        <w:rPr>
          <w:rFonts w:ascii="Book Antiqua" w:hAnsi="Book Antiqua"/>
          <w:sz w:val="24"/>
          <w:szCs w:val="24"/>
          <w:lang w:eastAsia="zh-CN"/>
        </w:rPr>
        <w:t xml:space="preserve">; and (3) </w:t>
      </w:r>
      <w:r w:rsidRPr="008A28E4">
        <w:rPr>
          <w:rFonts w:ascii="Book Antiqua" w:hAnsi="Book Antiqua"/>
          <w:sz w:val="24"/>
          <w:szCs w:val="24"/>
        </w:rPr>
        <w:t>Another angle</w:t>
      </w:r>
      <w:r w:rsidR="00C1243B" w:rsidRPr="008A28E4">
        <w:rPr>
          <w:rFonts w:ascii="Book Antiqua" w:hAnsi="Book Antiqua"/>
          <w:sz w:val="24"/>
          <w:szCs w:val="24"/>
          <w:lang w:eastAsia="zh-CN"/>
        </w:rPr>
        <w:t xml:space="preserve">- </w:t>
      </w:r>
      <w:r w:rsidRPr="008A28E4">
        <w:rPr>
          <w:rFonts w:ascii="Book Antiqua" w:hAnsi="Book Antiqua"/>
          <w:sz w:val="24"/>
          <w:szCs w:val="24"/>
        </w:rPr>
        <w:t>which is measured using the protractor at the point B</w:t>
      </w:r>
      <w:r w:rsidR="00C1243B" w:rsidRPr="008A28E4">
        <w:rPr>
          <w:rFonts w:ascii="Book Antiqua" w:hAnsi="Book Antiqua"/>
          <w:sz w:val="24"/>
          <w:szCs w:val="24"/>
          <w:lang w:eastAsia="zh-CN"/>
        </w:rPr>
        <w:t>.</w:t>
      </w:r>
    </w:p>
    <w:p w:rsidR="00C2014D" w:rsidRPr="008A28E4" w:rsidRDefault="00C2014D" w:rsidP="008A28E4">
      <w:pPr>
        <w:spacing w:after="0" w:line="360" w:lineRule="auto"/>
        <w:ind w:firstLineChars="200" w:firstLine="480"/>
        <w:jc w:val="both"/>
        <w:rPr>
          <w:rFonts w:ascii="Book Antiqua" w:hAnsi="Book Antiqua"/>
          <w:sz w:val="24"/>
          <w:szCs w:val="24"/>
        </w:rPr>
      </w:pPr>
      <w:r w:rsidRPr="008A28E4">
        <w:rPr>
          <w:rFonts w:ascii="Book Antiqua" w:hAnsi="Book Antiqua"/>
          <w:sz w:val="24"/>
          <w:szCs w:val="24"/>
        </w:rPr>
        <w:t>With this information; by using the Universal triangle solver application from Google play store we can determine the depth. In this application, if we put the two angles and one side then, by the law of sines, it calculates the other two sides and the angle. For example, if the distance AB is 4 cm and the angle calculated by the protractor is 65</w:t>
      </w:r>
      <w:r w:rsidR="00C1243B" w:rsidRPr="008A28E4">
        <w:rPr>
          <w:rFonts w:ascii="Book Antiqua" w:hAnsi="Book Antiqua" w:cs="Times New Roman"/>
          <w:sz w:val="24"/>
          <w:szCs w:val="24"/>
        </w:rPr>
        <w:t>°</w:t>
      </w:r>
      <w:r w:rsidRPr="008A28E4">
        <w:rPr>
          <w:rFonts w:ascii="Book Antiqua" w:hAnsi="Book Antiqua"/>
          <w:sz w:val="24"/>
          <w:szCs w:val="24"/>
          <w:vertAlign w:val="superscript"/>
        </w:rPr>
        <w:t xml:space="preserve"> </w:t>
      </w:r>
      <w:r w:rsidRPr="008A28E4">
        <w:rPr>
          <w:rFonts w:ascii="Book Antiqua" w:hAnsi="Book Antiqua"/>
          <w:sz w:val="24"/>
          <w:szCs w:val="24"/>
        </w:rPr>
        <w:t>and with the other angle always being 90</w:t>
      </w:r>
      <w:r w:rsidR="00841E8F" w:rsidRPr="008A28E4">
        <w:rPr>
          <w:rFonts w:ascii="Book Antiqua" w:hAnsi="Book Antiqua" w:cs="Times New Roman"/>
          <w:sz w:val="24"/>
          <w:szCs w:val="24"/>
        </w:rPr>
        <w:t>°</w:t>
      </w:r>
      <w:r w:rsidR="00C1243B" w:rsidRPr="008A28E4">
        <w:rPr>
          <w:rFonts w:ascii="Book Antiqua" w:hAnsi="Book Antiqua"/>
          <w:sz w:val="24"/>
          <w:szCs w:val="24"/>
          <w:lang w:eastAsia="zh-CN"/>
        </w:rPr>
        <w:t xml:space="preserve">- </w:t>
      </w:r>
      <w:r w:rsidRPr="008A28E4">
        <w:rPr>
          <w:rFonts w:ascii="Book Antiqua" w:hAnsi="Book Antiqua"/>
          <w:sz w:val="24"/>
          <w:szCs w:val="24"/>
        </w:rPr>
        <w:t>by universal triangle solver</w:t>
      </w:r>
      <w:r w:rsidR="00C1243B" w:rsidRPr="008A28E4">
        <w:rPr>
          <w:rFonts w:ascii="Book Antiqua" w:hAnsi="Book Antiqua"/>
          <w:sz w:val="24"/>
          <w:szCs w:val="24"/>
          <w:lang w:eastAsia="zh-CN"/>
        </w:rPr>
        <w:t>-</w:t>
      </w:r>
      <w:r w:rsidRPr="008A28E4">
        <w:rPr>
          <w:rFonts w:ascii="Book Antiqua" w:hAnsi="Book Antiqua"/>
          <w:sz w:val="24"/>
          <w:szCs w:val="24"/>
        </w:rPr>
        <w:t>the depth will be 9.5</w:t>
      </w:r>
      <w:r w:rsidR="00C1243B" w:rsidRPr="008A28E4">
        <w:rPr>
          <w:rFonts w:ascii="Book Antiqua" w:hAnsi="Book Antiqua"/>
          <w:sz w:val="24"/>
          <w:szCs w:val="24"/>
          <w:lang w:eastAsia="zh-CN"/>
        </w:rPr>
        <w:t xml:space="preserve"> </w:t>
      </w:r>
      <w:r w:rsidRPr="008A28E4">
        <w:rPr>
          <w:rFonts w:ascii="Book Antiqua" w:hAnsi="Book Antiqua"/>
          <w:sz w:val="24"/>
          <w:szCs w:val="24"/>
        </w:rPr>
        <w:t>cm.</w:t>
      </w:r>
    </w:p>
    <w:p w:rsidR="00C2014D" w:rsidRPr="008A28E4" w:rsidRDefault="00C2014D" w:rsidP="008A28E4">
      <w:pPr>
        <w:spacing w:after="0" w:line="360" w:lineRule="auto"/>
        <w:ind w:firstLineChars="200" w:firstLine="480"/>
        <w:jc w:val="both"/>
        <w:rPr>
          <w:rFonts w:ascii="Book Antiqua" w:hAnsi="Book Antiqua"/>
          <w:sz w:val="24"/>
          <w:szCs w:val="24"/>
        </w:rPr>
      </w:pPr>
      <w:r w:rsidRPr="008A28E4">
        <w:rPr>
          <w:rFonts w:ascii="Book Antiqua" w:eastAsia="Calibri" w:hAnsi="Book Antiqua" w:cs="Times New Roman"/>
          <w:sz w:val="24"/>
          <w:szCs w:val="24"/>
        </w:rPr>
        <w:t>The same principle can be applied in the triangulation technique. The C arm is brought to 0</w:t>
      </w:r>
      <w:r w:rsidR="00C1243B" w:rsidRPr="008A28E4">
        <w:rPr>
          <w:rFonts w:ascii="Book Antiqua" w:hAnsi="Book Antiqua" w:cs="Times New Roman"/>
          <w:sz w:val="24"/>
          <w:szCs w:val="24"/>
        </w:rPr>
        <w:t>°</w:t>
      </w:r>
      <w:r w:rsidRPr="008A28E4">
        <w:rPr>
          <w:rFonts w:ascii="Book Antiqua" w:eastAsia="Calibri" w:hAnsi="Book Antiqua" w:cs="Times New Roman"/>
          <w:sz w:val="24"/>
          <w:szCs w:val="24"/>
        </w:rPr>
        <w:t xml:space="preserve">. The line of puncture is determined in alignment with infundibulum from point A. On this line the point B1 is marked. From the Point B1 access can be obtained using the triangulation technique </w:t>
      </w:r>
      <w:r w:rsidRPr="008A28E4">
        <w:rPr>
          <w:rFonts w:ascii="Book Antiqua" w:hAnsi="Book Antiqua"/>
          <w:sz w:val="24"/>
          <w:szCs w:val="24"/>
        </w:rPr>
        <w:t>(</w:t>
      </w:r>
      <w:r w:rsidR="00C1243B" w:rsidRPr="008A28E4">
        <w:rPr>
          <w:rFonts w:ascii="Book Antiqua" w:hAnsi="Book Antiqua"/>
          <w:sz w:val="24"/>
          <w:szCs w:val="24"/>
        </w:rPr>
        <w:t xml:space="preserve">Figure </w:t>
      </w:r>
      <w:r w:rsidRPr="008A28E4">
        <w:rPr>
          <w:rFonts w:ascii="Book Antiqua" w:hAnsi="Book Antiqua"/>
          <w:sz w:val="24"/>
          <w:szCs w:val="24"/>
        </w:rPr>
        <w:t>8</w:t>
      </w:r>
      <w:r w:rsidRPr="008A28E4">
        <w:rPr>
          <w:rFonts w:ascii="Book Antiqua" w:eastAsia="Calibri" w:hAnsi="Book Antiqua" w:cs="Times New Roman"/>
          <w:sz w:val="24"/>
          <w:szCs w:val="24"/>
        </w:rPr>
        <w:t>). The angle of puncture is as determined by the protractor earlier using the bull’s eye principle. The depth of puncture is the same as calculated earlier. As the angle of entry is known and the depth pre calculated, the needle is advanced with the C arm 0</w:t>
      </w:r>
      <w:r w:rsidR="00C1243B" w:rsidRPr="008A28E4">
        <w:rPr>
          <w:rFonts w:ascii="Book Antiqua" w:hAnsi="Book Antiqua" w:cs="Times New Roman"/>
          <w:sz w:val="24"/>
          <w:szCs w:val="24"/>
        </w:rPr>
        <w:t>°</w:t>
      </w:r>
      <w:r w:rsidRPr="008A28E4">
        <w:rPr>
          <w:rFonts w:ascii="Book Antiqua" w:eastAsia="Calibri" w:hAnsi="Book Antiqua" w:cs="Times New Roman"/>
          <w:sz w:val="24"/>
          <w:szCs w:val="24"/>
        </w:rPr>
        <w:t xml:space="preserve"> position only (without the need to take it in oblique position) and the puncture is made.</w:t>
      </w:r>
    </w:p>
    <w:p w:rsidR="00C2014D" w:rsidRPr="008A28E4" w:rsidRDefault="00C2014D" w:rsidP="008A28E4">
      <w:pPr>
        <w:spacing w:after="0" w:line="360" w:lineRule="auto"/>
        <w:ind w:firstLineChars="200" w:firstLine="480"/>
        <w:jc w:val="both"/>
        <w:rPr>
          <w:rFonts w:ascii="Book Antiqua" w:eastAsia="Calibri" w:hAnsi="Book Antiqua" w:cs="Times New Roman"/>
          <w:sz w:val="24"/>
          <w:szCs w:val="24"/>
        </w:rPr>
      </w:pPr>
      <w:r w:rsidRPr="008A28E4">
        <w:rPr>
          <w:rFonts w:ascii="Book Antiqua" w:eastAsia="Calibri" w:hAnsi="Book Antiqua" w:cs="Times New Roman"/>
          <w:sz w:val="24"/>
          <w:szCs w:val="24"/>
        </w:rPr>
        <w:t>In the technique described by us we have assumed the target calyx as the centre of a sphere. If we have to hit the centre of a sphere from the surface, the distance traversed from any point on the surface to the centre would be the same. Hence once we have marked the point B on the skin surface using the bull’s eye technique and then mark point B1 for the skin entry using the triangulation technique; then the distance from C to B or from C to B1 will be the same, i.e. the radius of the sphere. Also the angle of entry from B or from B1 towards point C would be nearly the same, with only minor difference, because of the not so perfectly flat contours of the body.</w:t>
      </w:r>
    </w:p>
    <w:p w:rsidR="00C2014D" w:rsidRPr="008A28E4" w:rsidRDefault="00C2014D" w:rsidP="008A28E4">
      <w:pPr>
        <w:spacing w:after="0" w:line="360" w:lineRule="auto"/>
        <w:ind w:firstLineChars="200" w:firstLine="480"/>
        <w:jc w:val="both"/>
        <w:rPr>
          <w:rFonts w:ascii="Book Antiqua" w:hAnsi="Book Antiqua"/>
          <w:sz w:val="24"/>
          <w:szCs w:val="24"/>
        </w:rPr>
      </w:pPr>
      <w:r w:rsidRPr="008A28E4">
        <w:rPr>
          <w:rFonts w:ascii="Book Antiqua" w:eastAsia="Calibri" w:hAnsi="Book Antiqua" w:cs="Times New Roman"/>
          <w:sz w:val="24"/>
          <w:szCs w:val="24"/>
        </w:rPr>
        <w:t xml:space="preserve">But, this minimal difference would not cause any major hindrance in achieving access by the technique described because the angle of puncture and thus the trajectory of the needle would not have much variation. This was seen by us in </w:t>
      </w:r>
      <w:r w:rsidRPr="008A28E4">
        <w:rPr>
          <w:rFonts w:ascii="Book Antiqua" w:hAnsi="Book Antiqua"/>
          <w:sz w:val="24"/>
          <w:szCs w:val="24"/>
        </w:rPr>
        <w:t>our</w:t>
      </w:r>
      <w:r w:rsidRPr="008A28E4">
        <w:rPr>
          <w:rFonts w:ascii="Book Antiqua" w:eastAsia="Calibri" w:hAnsi="Book Antiqua" w:cs="Times New Roman"/>
          <w:sz w:val="24"/>
          <w:szCs w:val="24"/>
        </w:rPr>
        <w:t xml:space="preserve"> study. The difference between the calculated and the actual depth ranged from 0</w:t>
      </w:r>
      <w:r w:rsidR="00C1243B" w:rsidRPr="008A28E4">
        <w:rPr>
          <w:rFonts w:ascii="Book Antiqua" w:hAnsi="Book Antiqua" w:cs="Times New Roman"/>
          <w:sz w:val="24"/>
          <w:szCs w:val="24"/>
          <w:lang w:eastAsia="zh-CN"/>
        </w:rPr>
        <w:t>-</w:t>
      </w:r>
      <w:r w:rsidRPr="008A28E4">
        <w:rPr>
          <w:rFonts w:ascii="Book Antiqua" w:eastAsia="Calibri" w:hAnsi="Book Antiqua" w:cs="Times New Roman"/>
          <w:sz w:val="24"/>
          <w:szCs w:val="24"/>
        </w:rPr>
        <w:t>3 mm.   Also</w:t>
      </w:r>
      <w:r w:rsidRPr="008A28E4">
        <w:rPr>
          <w:rFonts w:ascii="Book Antiqua" w:hAnsi="Book Antiqua"/>
          <w:sz w:val="24"/>
          <w:szCs w:val="24"/>
        </w:rPr>
        <w:t>,</w:t>
      </w:r>
      <w:r w:rsidRPr="008A28E4">
        <w:rPr>
          <w:rFonts w:ascii="Book Antiqua" w:eastAsia="Calibri" w:hAnsi="Book Antiqua" w:cs="Times New Roman"/>
          <w:sz w:val="24"/>
          <w:szCs w:val="24"/>
        </w:rPr>
        <w:t xml:space="preserve"> as the angle of entry is known the fluoroscopy screening time and the time needed to achieve puncture decreases as multiple movements of the C arm are not required.</w:t>
      </w:r>
    </w:p>
    <w:p w:rsidR="00C2014D" w:rsidRPr="008A28E4" w:rsidRDefault="00C2014D" w:rsidP="008A28E4">
      <w:pPr>
        <w:spacing w:after="0" w:line="360" w:lineRule="auto"/>
        <w:ind w:firstLineChars="200" w:firstLine="480"/>
        <w:jc w:val="both"/>
        <w:rPr>
          <w:rFonts w:ascii="Book Antiqua" w:hAnsi="Book Antiqua"/>
          <w:color w:val="333333"/>
          <w:sz w:val="24"/>
          <w:szCs w:val="24"/>
        </w:rPr>
      </w:pPr>
      <w:r w:rsidRPr="008A28E4">
        <w:rPr>
          <w:rFonts w:ascii="Book Antiqua" w:eastAsia="Calibri" w:hAnsi="Book Antiqua" w:cs="Times New Roman"/>
          <w:sz w:val="24"/>
          <w:szCs w:val="24"/>
        </w:rPr>
        <w:t>The technique described by us is applicable for both the bull’s eye and the triangulation method. It describes the three most important things needed to achieve a successful percutaneous renal puncture: the site of skin entry, the angle of entry and the depth at which the puncture is achieved. It relies on simple tools. There could be some errors which could creep in especially if the protractor is not held parallel to the operating table, but this could be overcome easily with minimal experience (and the assistant telling that the protractor is parallel to the table or not).  But</w:t>
      </w:r>
      <w:r w:rsidRPr="008A28E4">
        <w:rPr>
          <w:rFonts w:ascii="Book Antiqua" w:hAnsi="Book Antiqua"/>
          <w:sz w:val="24"/>
          <w:szCs w:val="24"/>
        </w:rPr>
        <w:t xml:space="preserve"> so far this technique</w:t>
      </w:r>
      <w:r w:rsidRPr="008A28E4">
        <w:rPr>
          <w:rFonts w:ascii="Book Antiqua" w:eastAsia="Calibri" w:hAnsi="Book Antiqua" w:cs="Times New Roman"/>
          <w:sz w:val="24"/>
          <w:szCs w:val="24"/>
        </w:rPr>
        <w:t xml:space="preserve"> has not been compared with other techniques. The applicability and validation of this technique in the hands of others is yet to be ascertained. This would need a controlled prospective study involving many surgeons of equal experience and comparison with the traditional technique. It would then ascertain whether this technique is associated with a lesser fluoroscopy time, more accuracy and lesser learning curve</w:t>
      </w:r>
      <w:r w:rsidRPr="008A28E4">
        <w:rPr>
          <w:rFonts w:ascii="Book Antiqua" w:hAnsi="Book Antiqua"/>
          <w:sz w:val="24"/>
          <w:szCs w:val="24"/>
        </w:rPr>
        <w:t xml:space="preserve"> as proposed by us</w:t>
      </w:r>
      <w:r w:rsidRPr="008A28E4">
        <w:rPr>
          <w:rFonts w:ascii="Book Antiqua" w:eastAsia="Calibri" w:hAnsi="Book Antiqua" w:cs="Times New Roman"/>
          <w:sz w:val="24"/>
          <w:szCs w:val="24"/>
        </w:rPr>
        <w:t xml:space="preserve">. The grade of hydronephrosis can affect the puncture with the access being relatively easier for higher grades of </w:t>
      </w:r>
      <w:r w:rsidRPr="008A28E4">
        <w:rPr>
          <w:rFonts w:ascii="Book Antiqua" w:hAnsi="Book Antiqua"/>
          <w:sz w:val="24"/>
          <w:szCs w:val="24"/>
        </w:rPr>
        <w:t>hydronephrosis. However</w:t>
      </w:r>
      <w:r w:rsidRPr="008A28E4">
        <w:rPr>
          <w:rFonts w:ascii="Book Antiqua" w:eastAsia="Calibri" w:hAnsi="Book Antiqua" w:cs="Times New Roman"/>
          <w:sz w:val="24"/>
          <w:szCs w:val="24"/>
        </w:rPr>
        <w:t>, if the angle i.e. the trajectory of puncture is correct, as described by this technique, the puncture would be easier and precise even in lesser grades of hydronephrosis</w:t>
      </w:r>
      <w:r w:rsidRPr="008A28E4">
        <w:rPr>
          <w:rFonts w:ascii="Book Antiqua" w:hAnsi="Book Antiqua"/>
          <w:sz w:val="24"/>
          <w:szCs w:val="24"/>
        </w:rPr>
        <w:t>.</w:t>
      </w:r>
    </w:p>
    <w:p w:rsidR="00C1243B" w:rsidRPr="008A28E4" w:rsidRDefault="00C1243B" w:rsidP="008A28E4">
      <w:pPr>
        <w:pStyle w:val="ListParagraph"/>
        <w:spacing w:after="0" w:line="360" w:lineRule="auto"/>
        <w:ind w:left="0"/>
        <w:jc w:val="both"/>
        <w:rPr>
          <w:rFonts w:ascii="Book Antiqua" w:hAnsi="Book Antiqua" w:cs="Times New Roman"/>
          <w:b/>
          <w:sz w:val="24"/>
          <w:szCs w:val="24"/>
          <w:lang w:eastAsia="zh-CN"/>
        </w:rPr>
      </w:pPr>
    </w:p>
    <w:p w:rsidR="00C2014D" w:rsidRPr="008A28E4" w:rsidRDefault="00505DA4" w:rsidP="008A28E4">
      <w:pPr>
        <w:pStyle w:val="ListParagraph"/>
        <w:spacing w:after="0" w:line="360" w:lineRule="auto"/>
        <w:ind w:left="0"/>
        <w:jc w:val="both"/>
        <w:rPr>
          <w:rFonts w:ascii="Book Antiqua" w:hAnsi="Book Antiqua" w:cs="Times New Roman"/>
          <w:b/>
          <w:sz w:val="24"/>
          <w:szCs w:val="24"/>
        </w:rPr>
      </w:pPr>
      <w:r w:rsidRPr="008A28E4">
        <w:rPr>
          <w:rFonts w:ascii="Book Antiqua" w:hAnsi="Book Antiqua" w:cs="Times New Roman"/>
          <w:b/>
          <w:sz w:val="24"/>
          <w:szCs w:val="24"/>
        </w:rPr>
        <w:t>CONFIRMATION OF PUNCTURE OF POSTERIOR CALYX</w:t>
      </w:r>
    </w:p>
    <w:p w:rsidR="00C2014D" w:rsidRPr="008A28E4" w:rsidRDefault="00C2014D" w:rsidP="008A28E4">
      <w:pPr>
        <w:pStyle w:val="ListParagraph"/>
        <w:spacing w:after="0" w:line="360" w:lineRule="auto"/>
        <w:ind w:left="0"/>
        <w:jc w:val="both"/>
        <w:rPr>
          <w:rFonts w:ascii="Book Antiqua" w:hAnsi="Book Antiqua" w:cs="Times New Roman"/>
          <w:sz w:val="24"/>
          <w:szCs w:val="24"/>
          <w:lang w:eastAsia="zh-CN"/>
        </w:rPr>
      </w:pPr>
      <w:r w:rsidRPr="008A28E4">
        <w:rPr>
          <w:rFonts w:ascii="Book Antiqua" w:hAnsi="Book Antiqua" w:cs="Times New Roman"/>
          <w:sz w:val="24"/>
          <w:szCs w:val="24"/>
        </w:rPr>
        <w:t>If air has been instilled during opacification of the pelvi calyceal system, air will be aspirated followed by a free flow o saline especially if it is instilled through the ureteric catheter. After this when the glide wire is passed, while maintaining the angle of the needle, in enters the pelvis easily. No manipulation is needed. On the contrary if the anterior calyx has been punctured than the glide wire will be coiled in the calyx, will not enter the pelvis easily or will do so only after much manipulation (Figure 10</w:t>
      </w:r>
      <w:r w:rsidR="00C1243B" w:rsidRPr="008A28E4">
        <w:rPr>
          <w:rFonts w:ascii="Book Antiqua" w:hAnsi="Book Antiqua" w:cs="Times New Roman"/>
          <w:sz w:val="24"/>
          <w:szCs w:val="24"/>
        </w:rPr>
        <w:t>A</w:t>
      </w:r>
      <w:r w:rsidR="00C1243B" w:rsidRPr="008A28E4">
        <w:rPr>
          <w:rFonts w:ascii="Book Antiqua" w:hAnsi="Book Antiqua" w:cs="Times New Roman"/>
          <w:sz w:val="24"/>
          <w:szCs w:val="24"/>
          <w:lang w:eastAsia="zh-CN"/>
        </w:rPr>
        <w:t xml:space="preserve"> and </w:t>
      </w:r>
      <w:r w:rsidR="00C1243B" w:rsidRPr="008A28E4">
        <w:rPr>
          <w:rFonts w:ascii="Book Antiqua" w:hAnsi="Book Antiqua" w:cs="Times New Roman"/>
          <w:sz w:val="24"/>
          <w:szCs w:val="24"/>
        </w:rPr>
        <w:t>B</w:t>
      </w:r>
      <w:r w:rsidRPr="008A28E4">
        <w:rPr>
          <w:rFonts w:ascii="Book Antiqua" w:hAnsi="Book Antiqua" w:cs="Times New Roman"/>
          <w:sz w:val="24"/>
          <w:szCs w:val="24"/>
        </w:rPr>
        <w:t>)</w:t>
      </w:r>
      <w:r w:rsidR="00C1243B" w:rsidRPr="008A28E4">
        <w:rPr>
          <w:rFonts w:ascii="Book Antiqua" w:hAnsi="Book Antiqua" w:cs="Times New Roman"/>
          <w:sz w:val="24"/>
          <w:szCs w:val="24"/>
          <w:lang w:eastAsia="zh-CN"/>
        </w:rPr>
        <w:t>.</w:t>
      </w:r>
    </w:p>
    <w:p w:rsidR="00C1243B" w:rsidRPr="008A28E4" w:rsidRDefault="00C1243B" w:rsidP="008A28E4">
      <w:pPr>
        <w:pStyle w:val="ListParagraph"/>
        <w:spacing w:after="0" w:line="360" w:lineRule="auto"/>
        <w:ind w:left="0"/>
        <w:jc w:val="both"/>
        <w:rPr>
          <w:rFonts w:ascii="Book Antiqua" w:hAnsi="Book Antiqua" w:cs="Times New Roman"/>
          <w:b/>
          <w:sz w:val="24"/>
          <w:szCs w:val="24"/>
          <w:lang w:eastAsia="zh-CN"/>
        </w:rPr>
      </w:pPr>
    </w:p>
    <w:p w:rsidR="00C2014D" w:rsidRPr="008A28E4" w:rsidRDefault="00505DA4" w:rsidP="008A28E4">
      <w:pPr>
        <w:pStyle w:val="ListParagraph"/>
        <w:spacing w:after="0" w:line="360" w:lineRule="auto"/>
        <w:ind w:left="0"/>
        <w:jc w:val="both"/>
        <w:rPr>
          <w:rFonts w:ascii="Book Antiqua" w:hAnsi="Book Antiqua" w:cs="Times New Roman"/>
          <w:b/>
          <w:sz w:val="24"/>
          <w:szCs w:val="24"/>
        </w:rPr>
      </w:pPr>
      <w:r w:rsidRPr="008A28E4">
        <w:rPr>
          <w:rFonts w:ascii="Book Antiqua" w:hAnsi="Book Antiqua" w:cs="Times New Roman"/>
          <w:b/>
          <w:sz w:val="24"/>
          <w:szCs w:val="24"/>
        </w:rPr>
        <w:t>PASSAGE OF GLIDE/ GUIDE WIRE</w:t>
      </w:r>
    </w:p>
    <w:p w:rsidR="00C2014D" w:rsidRPr="008A28E4" w:rsidRDefault="00C2014D" w:rsidP="008A28E4">
      <w:pPr>
        <w:pStyle w:val="ListParagraph"/>
        <w:spacing w:after="0" w:line="360" w:lineRule="auto"/>
        <w:ind w:left="0"/>
        <w:jc w:val="both"/>
        <w:rPr>
          <w:rFonts w:ascii="Book Antiqua" w:hAnsi="Book Antiqua" w:cs="Times New Roman"/>
          <w:sz w:val="24"/>
          <w:szCs w:val="24"/>
        </w:rPr>
      </w:pPr>
      <w:r w:rsidRPr="008A28E4">
        <w:rPr>
          <w:rFonts w:ascii="Book Antiqua" w:hAnsi="Book Antiqua" w:cs="Times New Roman"/>
          <w:sz w:val="24"/>
          <w:szCs w:val="24"/>
        </w:rPr>
        <w:t xml:space="preserve">If a 21G needle has been used for puncture than a 0.018 inch guide wire is passed initially which has to be exchanged later for a 0.035 inch guide wire. If a 18 G needle has been used than 0.035 inch glide wire can be passed. Initially a J tip Teflon coated guide wire was used. Nowadays the use of an angled tip hydrophilic glide wire is increasing. The maneuverability, resistance to kinking and ease with which it can be negotiated a in the ureter across an impacted calculus or be coiled in a distant calyx are the distant benefits of this wire. But the slippery nature of the hydrophilic wire makes it prone to displacement. Hence, it should be replaced with a stiffer wire such as a 0.035 inch Zebra or an </w:t>
      </w:r>
      <w:r w:rsidR="00C1243B" w:rsidRPr="008A28E4">
        <w:rPr>
          <w:rFonts w:ascii="Book Antiqua" w:hAnsi="Book Antiqua" w:cs="Times New Roman"/>
          <w:sz w:val="24"/>
          <w:szCs w:val="24"/>
        </w:rPr>
        <w:t>Amplatz super stiff guide wire</w:t>
      </w:r>
      <w:r w:rsidR="0000796D" w:rsidRPr="008A28E4">
        <w:rPr>
          <w:rFonts w:ascii="Book Antiqua" w:hAnsi="Book Antiqua" w:cs="Times New Roman"/>
          <w:sz w:val="24"/>
          <w:szCs w:val="24"/>
          <w:vertAlign w:val="superscript"/>
        </w:rPr>
        <w:t>[</w:t>
      </w:r>
      <w:r w:rsidR="00841E8F" w:rsidRPr="008A28E4">
        <w:rPr>
          <w:rFonts w:ascii="Book Antiqua" w:hAnsi="Book Antiqua" w:cs="Times New Roman"/>
          <w:sz w:val="24"/>
          <w:szCs w:val="24"/>
          <w:vertAlign w:val="superscript"/>
        </w:rPr>
        <w:t>21,</w:t>
      </w:r>
      <w:r w:rsidRPr="008A28E4">
        <w:rPr>
          <w:rFonts w:ascii="Book Antiqua" w:hAnsi="Book Antiqua" w:cs="Times New Roman"/>
          <w:sz w:val="24"/>
          <w:szCs w:val="24"/>
          <w:vertAlign w:val="superscript"/>
        </w:rPr>
        <w:t>41</w:t>
      </w:r>
      <w:r w:rsidR="0000796D" w:rsidRPr="008A28E4">
        <w:rPr>
          <w:rFonts w:ascii="Book Antiqua" w:hAnsi="Book Antiqua" w:cs="Times New Roman"/>
          <w:sz w:val="24"/>
          <w:szCs w:val="24"/>
          <w:vertAlign w:val="superscript"/>
        </w:rPr>
        <w:t>]</w:t>
      </w:r>
      <w:r w:rsidRPr="008A28E4">
        <w:rPr>
          <w:rFonts w:ascii="Book Antiqua" w:hAnsi="Book Antiqua" w:cs="Times New Roman"/>
          <w:sz w:val="24"/>
          <w:szCs w:val="24"/>
        </w:rPr>
        <w:t>. Another caution which needs to be exercised in passing the hydrophilic glide wire is to keep it wet. The dried tip can be stiff and cause inadvertent perforation of the collecting system.</w:t>
      </w:r>
    </w:p>
    <w:p w:rsidR="00C1243B" w:rsidRPr="008A28E4" w:rsidRDefault="00C1243B" w:rsidP="008A28E4">
      <w:pPr>
        <w:pStyle w:val="ListParagraph"/>
        <w:spacing w:after="0" w:line="360" w:lineRule="auto"/>
        <w:ind w:left="0"/>
        <w:jc w:val="both"/>
        <w:rPr>
          <w:rFonts w:ascii="Book Antiqua" w:hAnsi="Book Antiqua" w:cs="Times New Roman"/>
          <w:b/>
          <w:sz w:val="24"/>
          <w:szCs w:val="24"/>
          <w:lang w:eastAsia="zh-CN"/>
        </w:rPr>
      </w:pPr>
    </w:p>
    <w:p w:rsidR="00C2014D" w:rsidRPr="008A28E4" w:rsidRDefault="00505DA4" w:rsidP="008A28E4">
      <w:pPr>
        <w:pStyle w:val="ListParagraph"/>
        <w:spacing w:after="0" w:line="360" w:lineRule="auto"/>
        <w:ind w:left="0"/>
        <w:jc w:val="both"/>
        <w:rPr>
          <w:rFonts w:ascii="Book Antiqua" w:hAnsi="Book Antiqua" w:cs="Times New Roman"/>
          <w:b/>
          <w:sz w:val="24"/>
          <w:szCs w:val="24"/>
        </w:rPr>
      </w:pPr>
      <w:r w:rsidRPr="008A28E4">
        <w:rPr>
          <w:rFonts w:ascii="Book Antiqua" w:hAnsi="Book Antiqua" w:cs="Times New Roman"/>
          <w:b/>
          <w:sz w:val="24"/>
          <w:szCs w:val="24"/>
        </w:rPr>
        <w:t>INCISING SKIN AND FASCIA</w:t>
      </w:r>
    </w:p>
    <w:p w:rsidR="00C2014D" w:rsidRPr="008A28E4" w:rsidRDefault="00C2014D" w:rsidP="008A28E4">
      <w:pPr>
        <w:pStyle w:val="ListParagraph"/>
        <w:spacing w:after="0" w:line="360" w:lineRule="auto"/>
        <w:ind w:left="0"/>
        <w:jc w:val="both"/>
        <w:rPr>
          <w:rFonts w:ascii="Book Antiqua" w:hAnsi="Book Antiqua" w:cs="Times New Roman"/>
          <w:sz w:val="24"/>
          <w:szCs w:val="24"/>
        </w:rPr>
      </w:pPr>
      <w:r w:rsidRPr="008A28E4">
        <w:rPr>
          <w:rFonts w:ascii="Book Antiqua" w:hAnsi="Book Antiqua" w:cs="Times New Roman"/>
          <w:sz w:val="24"/>
          <w:szCs w:val="24"/>
        </w:rPr>
        <w:t>The skin should be incised adequately so that the dilators and desired size of Amplatz sheath can be introduced easily. The correct way of incising the fascia would be to use the knife along the needle under fluoroscopic guidance as a lumbotome. The fascia should be incised in two planes at right angles to each other. This is especially important in patients who have scarring as a result of previous surgery. One may use an 18 G coaxial fascial incising needle (Cook) taking care to avoid lacerating the nearby sub costal or intercostal neurovascular bu</w:t>
      </w:r>
      <w:r w:rsidR="00C1243B" w:rsidRPr="008A28E4">
        <w:rPr>
          <w:rFonts w:ascii="Book Antiqua" w:hAnsi="Book Antiqua" w:cs="Times New Roman"/>
          <w:sz w:val="24"/>
          <w:szCs w:val="24"/>
        </w:rPr>
        <w:t>ndle on the inferior rib margin</w:t>
      </w:r>
      <w:r w:rsidR="0098134D" w:rsidRPr="008A28E4">
        <w:rPr>
          <w:rFonts w:ascii="Book Antiqua" w:hAnsi="Book Antiqua" w:cs="Times New Roman"/>
          <w:sz w:val="24"/>
          <w:szCs w:val="24"/>
          <w:vertAlign w:val="superscript"/>
        </w:rPr>
        <w:fldChar w:fldCharType="begin" w:fldLock="1"/>
      </w:r>
      <w:r w:rsidRPr="008A28E4">
        <w:rPr>
          <w:rFonts w:ascii="Book Antiqua" w:hAnsi="Book Antiqua" w:cs="Times New Roman"/>
          <w:sz w:val="24"/>
          <w:szCs w:val="24"/>
          <w:vertAlign w:val="superscript"/>
        </w:rPr>
        <w:instrText>ADDIN CSL_CITATION { "citationItems" : [ { "id" : "ITEM-1", "itemData" : { "DOI" : "10.1111/j.1464-410X.2007.07259.x", "ISSN" : "1464-410X", "PMID" : "17922862", "abstract" : "Percutaneous nephrolithotomy (PCNL) plays an integral role in managing large renal stones. Establishing percutaneous renal access is the most crucial step in the procedure and requires a thorough understanding of renal, retroperitoneal and thoracic anatomy to minimize the risk of complications. Moreover, access to fluoroscopy and the proper equipment are critical to ensuring complete stone removal. In this review we describe the technique of PCNL used in a high-volume endourology centre, where the urologist is involved in all aspects of the procedure.", "author" : [ { "dropping-particle" : "", "family" : "Ko", "given" : "Raymond", "non-dropping-particle" : "", "parse-names" : false, "suffix" : "" }, { "dropping-particle" : "", "family" : "Soucy", "given" : "Fr\u00e9d\u00e9ric", "non-dropping-particle" : "", "parse-names" : false, "suffix" : "" }, { "dropping-particle" : "", "family" : "Denstedt", "given" : "John D", "non-dropping-particle" : "", "parse-names" : false, "suffix" : "" }, { "dropping-particle" : "", "family" : "Razvi", "given" : "Hassan", "non-dropping-particle" : "", "parse-names" : false, "suffix" : "" } ], "container-title" : "BJU international", "id" : "ITEM-1", "issue" : "5", "issued" : { "date-parts" : [ [ "2008", "3" ] ] }, "page" : "535-9", "title" : "Percutaneous nephrolithotomy made easier: a practical guide, tips and tricks.", "type" : "article-journal", "volume" : "101" }, "uris" : [ "http://www.mendeley.com/documents/?uuid=7fc96e3e-32bf-4a13-b78a-8f7395776fb4" ] } ], "mendeley" : { "previouslyFormattedCitation" : "(23)" }, "properties" : { "noteIndex" : 0 }, "schema" : "https://github.com/citation-style-language/schema/raw/master/csl-citation.json" }</w:instrText>
      </w:r>
      <w:r w:rsidR="0098134D" w:rsidRPr="008A28E4">
        <w:rPr>
          <w:rFonts w:ascii="Book Antiqua" w:hAnsi="Book Antiqua" w:cs="Times New Roman"/>
          <w:sz w:val="24"/>
          <w:szCs w:val="24"/>
          <w:vertAlign w:val="superscript"/>
        </w:rPr>
        <w:fldChar w:fldCharType="separate"/>
      </w:r>
      <w:r w:rsidR="0000796D" w:rsidRPr="008A28E4">
        <w:rPr>
          <w:rFonts w:ascii="Book Antiqua" w:hAnsi="Book Antiqua" w:cs="Times New Roman"/>
          <w:noProof/>
          <w:sz w:val="24"/>
          <w:szCs w:val="24"/>
          <w:vertAlign w:val="superscript"/>
        </w:rPr>
        <w:t>[</w:t>
      </w:r>
      <w:r w:rsidRPr="008A28E4">
        <w:rPr>
          <w:rFonts w:ascii="Book Antiqua" w:hAnsi="Book Antiqua" w:cs="Times New Roman"/>
          <w:noProof/>
          <w:sz w:val="24"/>
          <w:szCs w:val="24"/>
          <w:vertAlign w:val="superscript"/>
        </w:rPr>
        <w:t>21</w:t>
      </w:r>
      <w:r w:rsidR="0098134D" w:rsidRPr="008A28E4">
        <w:rPr>
          <w:rFonts w:ascii="Book Antiqua" w:hAnsi="Book Antiqua" w:cs="Times New Roman"/>
          <w:sz w:val="24"/>
          <w:szCs w:val="24"/>
          <w:vertAlign w:val="superscript"/>
        </w:rPr>
        <w:fldChar w:fldCharType="end"/>
      </w:r>
      <w:r w:rsidR="0000796D" w:rsidRPr="008A28E4">
        <w:rPr>
          <w:rFonts w:ascii="Book Antiqua" w:hAnsi="Book Antiqua" w:cs="Times New Roman"/>
          <w:sz w:val="24"/>
          <w:szCs w:val="24"/>
          <w:vertAlign w:val="superscript"/>
        </w:rPr>
        <w:t>]</w:t>
      </w:r>
      <w:r w:rsidRPr="008A28E4">
        <w:rPr>
          <w:rFonts w:ascii="Book Antiqua" w:hAnsi="Book Antiqua" w:cs="Times New Roman"/>
          <w:sz w:val="24"/>
          <w:szCs w:val="24"/>
        </w:rPr>
        <w:t xml:space="preserve">. </w:t>
      </w:r>
    </w:p>
    <w:p w:rsidR="00C1243B" w:rsidRPr="008A28E4" w:rsidRDefault="00C1243B" w:rsidP="008A28E4">
      <w:pPr>
        <w:pStyle w:val="ListParagraph"/>
        <w:spacing w:after="0" w:line="360" w:lineRule="auto"/>
        <w:ind w:left="0"/>
        <w:jc w:val="both"/>
        <w:rPr>
          <w:rFonts w:ascii="Book Antiqua" w:hAnsi="Book Antiqua" w:cs="Times New Roman"/>
          <w:b/>
          <w:sz w:val="24"/>
          <w:szCs w:val="24"/>
          <w:lang w:eastAsia="zh-CN"/>
        </w:rPr>
      </w:pPr>
    </w:p>
    <w:p w:rsidR="00C2014D" w:rsidRPr="008A28E4" w:rsidRDefault="00505DA4" w:rsidP="008A28E4">
      <w:pPr>
        <w:pStyle w:val="ListParagraph"/>
        <w:spacing w:after="0" w:line="360" w:lineRule="auto"/>
        <w:ind w:left="0"/>
        <w:jc w:val="both"/>
        <w:rPr>
          <w:rFonts w:ascii="Book Antiqua" w:hAnsi="Book Antiqua" w:cs="Times New Roman"/>
          <w:b/>
          <w:sz w:val="24"/>
          <w:szCs w:val="24"/>
        </w:rPr>
      </w:pPr>
      <w:r w:rsidRPr="008A28E4">
        <w:rPr>
          <w:rFonts w:ascii="Book Antiqua" w:hAnsi="Book Antiqua" w:cs="Times New Roman"/>
          <w:b/>
          <w:sz w:val="24"/>
          <w:szCs w:val="24"/>
        </w:rPr>
        <w:t>GUIDE WIRE AND SAFETY WIRE</w:t>
      </w:r>
    </w:p>
    <w:p w:rsidR="00C2014D" w:rsidRPr="008A28E4" w:rsidRDefault="00C2014D" w:rsidP="008A28E4">
      <w:pPr>
        <w:pStyle w:val="ListParagraph"/>
        <w:spacing w:after="0" w:line="360" w:lineRule="auto"/>
        <w:ind w:left="0"/>
        <w:jc w:val="both"/>
        <w:rPr>
          <w:rFonts w:ascii="Book Antiqua" w:hAnsi="Book Antiqua" w:cs="Times New Roman"/>
          <w:sz w:val="24"/>
          <w:szCs w:val="24"/>
        </w:rPr>
      </w:pPr>
      <w:r w:rsidRPr="008A28E4">
        <w:rPr>
          <w:rFonts w:ascii="Book Antiqua" w:hAnsi="Book Antiqua" w:cs="Times New Roman"/>
          <w:sz w:val="24"/>
          <w:szCs w:val="24"/>
        </w:rPr>
        <w:t>Traditional teaching gave much emphasis on the placement of a safety guide wire to access the tract in the event of the inadvertent slippin</w:t>
      </w:r>
      <w:r w:rsidR="00C1243B" w:rsidRPr="008A28E4">
        <w:rPr>
          <w:rFonts w:ascii="Book Antiqua" w:hAnsi="Book Antiqua" w:cs="Times New Roman"/>
          <w:sz w:val="24"/>
          <w:szCs w:val="24"/>
        </w:rPr>
        <w:t>g out of the working guide wire</w:t>
      </w:r>
      <w:r w:rsidR="0098134D" w:rsidRPr="008A28E4">
        <w:rPr>
          <w:rFonts w:ascii="Book Antiqua" w:hAnsi="Book Antiqua" w:cs="Times New Roman"/>
          <w:sz w:val="24"/>
          <w:szCs w:val="24"/>
          <w:vertAlign w:val="superscript"/>
        </w:rPr>
        <w:fldChar w:fldCharType="begin" w:fldLock="1"/>
      </w:r>
      <w:r w:rsidRPr="008A28E4">
        <w:rPr>
          <w:rFonts w:ascii="Book Antiqua" w:hAnsi="Book Antiqua" w:cs="Times New Roman"/>
          <w:sz w:val="24"/>
          <w:szCs w:val="24"/>
          <w:vertAlign w:val="superscript"/>
        </w:rPr>
        <w:instrText>ADDIN CSL_CITATION { "citationItems" : [ { "id" : "ITEM-1", "itemData" : { "DOI" : "10.1016/j.juro.2007.03.014", "ISSN" : "0022-5347", "PMID" : "17574053", "abstract" : "PURPOSE: Percutaneous nephrolithotomy has undergone considerable evolution since its introduction in the 1970s, which has been driven by advances in access techniques, instrumentation and endoscopic technology. Recent reports suggest an increase in the number of percutaneous stone treatments being performed. However, despite the increasing use of percutaneous nephrolithotomy a minority of urologists obtain their own access. We reviewed the techniques for performing safe and effective percutaneous renal access.\n\nMATERIALS AND METHODS: A literature search using Entrez PubMed was performed. All relevant literature concerning techniques for fluoroscopic percutaneous renal access published within the last 20 years was reviewed.\n\nRESULTS: The success of percutaneous nephrolithotomy is critically dependent on achieving suitable percutaneous access. The ideal site of percutaneous puncture should be selected to maximize the use of rigid instruments, minimize the risk of complications and attain stone-free status. Familiarity with basic renal anatomy is essential to obtain access safely. Adherence to basic principles allows the establishment of percutaneous access in a straightforward and efficient manner. Certain clinical situations may require special access techniques.\n\nCONCLUSIONS: Percutaneous nephrolithotomy is the treatment of choice for complex stone disease. While the efficacy of percutaneous nephrolithotomy relies on the establishment of effective percutaneous access, there are considerable advantages for the urologist able to achieve access.", "author" : [ { "dropping-particle" : "", "family" : "Miller", "given" : "Nicole L", "non-dropping-particle" : "", "parse-names" : false, "suffix" : "" }, { "dropping-particle" : "", "family" : "Matlaga", "given" : "Brian R", "non-dropping-particle" : "", "parse-names" : false, "suffix" : "" }, { "dropping-particle" : "", "family" : "Lingeman", "given" : "James E", "non-dropping-particle" : "", "parse-names" : false, "suffix" : "" } ], "container-title" : "The Journal of urology", "id" : "ITEM-1", "issue" : "1", "issued" : { "date-parts" : [ [ "2007", "7" ] ] }, "page" : "15-23", "title" : "Techniques for fluoroscopic percutaneous renal access.", "type" : "article-journal", "volume" : "178" }, "uris" : [ "http://www.mendeley.com/documents/?uuid=d42af0c3-4a7c-4b36-a0aa-d1e6cb0de1ae" ] } ], "mendeley" : { "previouslyFormattedCitation" : "(24)" }, "properties" : { "noteIndex" : 0 }, "schema" : "https://github.com/citation-style-language/schema/raw/master/csl-citation.json" }</w:instrText>
      </w:r>
      <w:r w:rsidR="0098134D" w:rsidRPr="008A28E4">
        <w:rPr>
          <w:rFonts w:ascii="Book Antiqua" w:hAnsi="Book Antiqua" w:cs="Times New Roman"/>
          <w:sz w:val="24"/>
          <w:szCs w:val="24"/>
          <w:vertAlign w:val="superscript"/>
        </w:rPr>
        <w:fldChar w:fldCharType="separate"/>
      </w:r>
      <w:r w:rsidR="0000796D" w:rsidRPr="008A28E4">
        <w:rPr>
          <w:rFonts w:ascii="Book Antiqua" w:hAnsi="Book Antiqua" w:cs="Times New Roman"/>
          <w:noProof/>
          <w:sz w:val="24"/>
          <w:szCs w:val="24"/>
          <w:vertAlign w:val="superscript"/>
        </w:rPr>
        <w:t>[</w:t>
      </w:r>
      <w:r w:rsidRPr="008A28E4">
        <w:rPr>
          <w:rFonts w:ascii="Book Antiqua" w:hAnsi="Book Antiqua" w:cs="Times New Roman"/>
          <w:noProof/>
          <w:sz w:val="24"/>
          <w:szCs w:val="24"/>
          <w:vertAlign w:val="superscript"/>
        </w:rPr>
        <w:t>20</w:t>
      </w:r>
      <w:r w:rsidR="0098134D" w:rsidRPr="008A28E4">
        <w:rPr>
          <w:rFonts w:ascii="Book Antiqua" w:hAnsi="Book Antiqua" w:cs="Times New Roman"/>
          <w:sz w:val="24"/>
          <w:szCs w:val="24"/>
          <w:vertAlign w:val="superscript"/>
        </w:rPr>
        <w:fldChar w:fldCharType="end"/>
      </w:r>
      <w:r w:rsidR="0000796D" w:rsidRPr="008A28E4">
        <w:rPr>
          <w:rFonts w:ascii="Book Antiqua" w:hAnsi="Book Antiqua" w:cs="Times New Roman"/>
          <w:sz w:val="24"/>
          <w:szCs w:val="24"/>
          <w:vertAlign w:val="superscript"/>
        </w:rPr>
        <w:t>]</w:t>
      </w:r>
      <w:r w:rsidRPr="008A28E4">
        <w:rPr>
          <w:rFonts w:ascii="Book Antiqua" w:hAnsi="Book Antiqua" w:cs="Times New Roman"/>
          <w:sz w:val="24"/>
          <w:szCs w:val="24"/>
        </w:rPr>
        <w:t xml:space="preserve">. Many surgeons nowadays do not find it necessary to place a second safety wire especially if the guide wire is passed all the way in the bladder and more so </w:t>
      </w:r>
      <w:r w:rsidR="00C1243B" w:rsidRPr="008A28E4">
        <w:rPr>
          <w:rFonts w:ascii="Book Antiqua" w:hAnsi="Book Antiqua" w:cs="Times New Roman"/>
          <w:sz w:val="24"/>
          <w:szCs w:val="24"/>
        </w:rPr>
        <w:t>it is a super stiff guide wire</w:t>
      </w:r>
      <w:r w:rsidR="0000796D" w:rsidRPr="008A28E4">
        <w:rPr>
          <w:rFonts w:ascii="Book Antiqua" w:hAnsi="Book Antiqua" w:cs="Times New Roman"/>
          <w:sz w:val="24"/>
          <w:szCs w:val="24"/>
          <w:vertAlign w:val="superscript"/>
        </w:rPr>
        <w:t>[</w:t>
      </w:r>
      <w:r w:rsidRPr="008A28E4">
        <w:rPr>
          <w:rFonts w:ascii="Book Antiqua" w:hAnsi="Book Antiqua" w:cs="Times New Roman"/>
          <w:sz w:val="24"/>
          <w:szCs w:val="24"/>
          <w:vertAlign w:val="superscript"/>
        </w:rPr>
        <w:t>21</w:t>
      </w:r>
      <w:r w:rsidR="0000796D" w:rsidRPr="008A28E4">
        <w:rPr>
          <w:rFonts w:ascii="Book Antiqua" w:hAnsi="Book Antiqua" w:cs="Times New Roman"/>
          <w:sz w:val="24"/>
          <w:szCs w:val="24"/>
          <w:vertAlign w:val="superscript"/>
        </w:rPr>
        <w:t>]</w:t>
      </w:r>
      <w:r w:rsidRPr="008A28E4">
        <w:rPr>
          <w:rFonts w:ascii="Book Antiqua" w:hAnsi="Book Antiqua" w:cs="Times New Roman"/>
          <w:sz w:val="24"/>
          <w:szCs w:val="24"/>
        </w:rPr>
        <w:t xml:space="preserve">. However during the learning curve it is prudent to have a safety wire. This can be introduced alongside the initial wire using a dual lumen catheter or 8/10Fr coaxial dilator of the </w:t>
      </w:r>
      <w:r w:rsidR="00C1243B" w:rsidRPr="008A28E4">
        <w:rPr>
          <w:rFonts w:ascii="Book Antiqua" w:hAnsi="Book Antiqua" w:cs="Times New Roman"/>
          <w:sz w:val="24"/>
          <w:szCs w:val="24"/>
        </w:rPr>
        <w:t>dilatation canula (Karl Storz)</w:t>
      </w:r>
      <w:r w:rsidR="0000796D" w:rsidRPr="008A28E4">
        <w:rPr>
          <w:rFonts w:ascii="Book Antiqua" w:hAnsi="Book Antiqua" w:cs="Times New Roman"/>
          <w:sz w:val="24"/>
          <w:szCs w:val="24"/>
          <w:vertAlign w:val="superscript"/>
        </w:rPr>
        <w:t>[</w:t>
      </w:r>
      <w:r w:rsidR="00C1243B" w:rsidRPr="008A28E4">
        <w:rPr>
          <w:rFonts w:ascii="Book Antiqua" w:hAnsi="Book Antiqua" w:cs="Times New Roman"/>
          <w:sz w:val="24"/>
          <w:szCs w:val="24"/>
          <w:vertAlign w:val="superscript"/>
        </w:rPr>
        <w:t>20,21,</w:t>
      </w:r>
      <w:r w:rsidRPr="008A28E4">
        <w:rPr>
          <w:rFonts w:ascii="Book Antiqua" w:hAnsi="Book Antiqua" w:cs="Times New Roman"/>
          <w:sz w:val="24"/>
          <w:szCs w:val="24"/>
          <w:vertAlign w:val="superscript"/>
        </w:rPr>
        <w:t>41</w:t>
      </w:r>
      <w:r w:rsidR="0000796D" w:rsidRPr="008A28E4">
        <w:rPr>
          <w:rFonts w:ascii="Book Antiqua" w:hAnsi="Book Antiqua" w:cs="Times New Roman"/>
          <w:sz w:val="24"/>
          <w:szCs w:val="24"/>
          <w:vertAlign w:val="superscript"/>
        </w:rPr>
        <w:t>]</w:t>
      </w:r>
      <w:r w:rsidRPr="008A28E4">
        <w:rPr>
          <w:rFonts w:ascii="Book Antiqua" w:hAnsi="Book Antiqua" w:cs="Times New Roman"/>
          <w:sz w:val="24"/>
          <w:szCs w:val="24"/>
        </w:rPr>
        <w:t>. Dilatation should be done over the stiff wire and not over the slippery hydrophilic wire.</w:t>
      </w:r>
    </w:p>
    <w:p w:rsidR="00C1243B" w:rsidRPr="008A28E4" w:rsidRDefault="00C1243B" w:rsidP="008A28E4">
      <w:pPr>
        <w:pStyle w:val="ListParagraph"/>
        <w:spacing w:after="0" w:line="360" w:lineRule="auto"/>
        <w:ind w:left="0"/>
        <w:jc w:val="both"/>
        <w:rPr>
          <w:rFonts w:ascii="Book Antiqua" w:hAnsi="Book Antiqua" w:cs="Times New Roman"/>
          <w:b/>
          <w:bCs/>
          <w:sz w:val="24"/>
          <w:szCs w:val="24"/>
          <w:lang w:eastAsia="zh-CN"/>
        </w:rPr>
      </w:pPr>
    </w:p>
    <w:p w:rsidR="00C2014D" w:rsidRPr="008A28E4" w:rsidRDefault="00505DA4" w:rsidP="008A28E4">
      <w:pPr>
        <w:pStyle w:val="ListParagraph"/>
        <w:spacing w:after="0" w:line="360" w:lineRule="auto"/>
        <w:ind w:left="0"/>
        <w:jc w:val="both"/>
        <w:rPr>
          <w:rFonts w:ascii="Book Antiqua" w:hAnsi="Book Antiqua" w:cs="Times New Roman"/>
          <w:sz w:val="24"/>
          <w:szCs w:val="24"/>
        </w:rPr>
      </w:pPr>
      <w:r w:rsidRPr="008A28E4">
        <w:rPr>
          <w:rFonts w:ascii="Book Antiqua" w:hAnsi="Book Antiqua" w:cs="Times New Roman"/>
          <w:b/>
          <w:bCs/>
          <w:sz w:val="24"/>
          <w:szCs w:val="24"/>
        </w:rPr>
        <w:t>TRACK DILATATION</w:t>
      </w:r>
    </w:p>
    <w:p w:rsidR="00C2014D" w:rsidRPr="008A28E4" w:rsidRDefault="00C2014D" w:rsidP="008A28E4">
      <w:pPr>
        <w:spacing w:after="0" w:line="360" w:lineRule="auto"/>
        <w:jc w:val="both"/>
        <w:rPr>
          <w:rFonts w:ascii="Book Antiqua" w:hAnsi="Book Antiqua" w:cs="Times New Roman"/>
          <w:sz w:val="24"/>
          <w:szCs w:val="24"/>
        </w:rPr>
      </w:pPr>
      <w:r w:rsidRPr="008A28E4">
        <w:rPr>
          <w:rFonts w:ascii="Book Antiqua" w:hAnsi="Book Antiqua" w:cs="Times New Roman"/>
          <w:sz w:val="24"/>
          <w:szCs w:val="24"/>
        </w:rPr>
        <w:t xml:space="preserve">The dilatation of the tract for creation of the nephrostomy access is an integral step of PCNL. Tract dilatation is performed to increase the size of the percutaneous wire access so that working instruments can be inserted in the pelvi-calyceal system (PCS). The size of the tract should be increased to 24 or 30Fr size in most cases with the use of specialized dilators. The function of the dilator is to enlarge the tract in a noninvasive manner and to make renal access easier. The dilated tract is then maintained by placement of an Amplatz sheath. </w:t>
      </w:r>
    </w:p>
    <w:p w:rsidR="00C2014D" w:rsidRPr="008A28E4" w:rsidRDefault="00C2014D" w:rsidP="008A28E4">
      <w:pPr>
        <w:spacing w:after="0" w:line="360" w:lineRule="auto"/>
        <w:ind w:firstLineChars="250" w:firstLine="600"/>
        <w:jc w:val="both"/>
        <w:rPr>
          <w:rFonts w:ascii="Book Antiqua" w:hAnsi="Book Antiqua" w:cs="Times New Roman"/>
          <w:sz w:val="24"/>
          <w:szCs w:val="24"/>
          <w:lang w:eastAsia="zh-CN"/>
        </w:rPr>
      </w:pPr>
      <w:r w:rsidRPr="008A28E4">
        <w:rPr>
          <w:rFonts w:ascii="Book Antiqua" w:hAnsi="Book Antiqua" w:cs="Times New Roman"/>
          <w:sz w:val="24"/>
          <w:szCs w:val="24"/>
        </w:rPr>
        <w:t>Tract dil</w:t>
      </w:r>
      <w:r w:rsidR="00C1243B" w:rsidRPr="008A28E4">
        <w:rPr>
          <w:rFonts w:ascii="Book Antiqua" w:hAnsi="Book Antiqua" w:cs="Times New Roman"/>
          <w:sz w:val="24"/>
          <w:szCs w:val="24"/>
        </w:rPr>
        <w:t>atation can be acute or chronic</w:t>
      </w:r>
      <w:r w:rsidR="0098134D" w:rsidRPr="008A28E4">
        <w:rPr>
          <w:rFonts w:ascii="Book Antiqua" w:hAnsi="Book Antiqua" w:cs="Times New Roman"/>
          <w:sz w:val="24"/>
          <w:szCs w:val="24"/>
          <w:vertAlign w:val="superscript"/>
        </w:rPr>
        <w:fldChar w:fldCharType="begin" w:fldLock="1"/>
      </w:r>
      <w:r w:rsidRPr="008A28E4">
        <w:rPr>
          <w:rFonts w:ascii="Book Antiqua" w:hAnsi="Book Antiqua" w:cs="Times New Roman"/>
          <w:sz w:val="24"/>
          <w:szCs w:val="24"/>
          <w:vertAlign w:val="superscript"/>
        </w:rPr>
        <w:instrText>ADDIN CSL_CITATION { "citationItems" : [ { "id" : "ITEM-1", "itemData" : { "DOI" : "10.1089/end.2006.20.1030", "ISSN" : "0892-7790", "PMID" : "17206897", "abstract" : "BACKGROUND: Percutaneous nephrolithotomy (PCNL) is performed on a routine basis for the rapid and efficient removal of large caliceal stones. After percutaneous puncture, rigid dilators or an inflatable balloon are used to dilate the nephrostomy tract to allow access to the collecting system for stone removal. Little is known of the acute impact of tract dilation procedures on renal function. MATERIALS AND METHODS: We compared renal hemodynamic and excretory function in female pigs immediately before and up to 5 hours after percutaneous nephrostomy (PCN) using sequential Amplatz dilators (N = 8) or Nephromax balloon inflation (N = 7) and control pigs with no PCN access (N = 8). We also examined renal function in patients undergoing PCNL. RESULTS: The two PCN procedures produced a renal lesion of comparable size and morphology, as well as similar changes in renal function. Glomerular filtration rate (GFR), renal plasma flow (RPF), and urinary sodium excretion (U(Na)V) were significantly reduced in Amplatz- and Nephromax-treated kidneys throughout the 5-hour observation period, by about 50%, 60%, and 80%, respectively. In control pigs, GFR and RPF remained stable and U(Na)V declined progressively to about 50% of baseline over the course of the experiment. The contralateral kidney showed changes in renal function similar to those in the PCN-treated or control kidney in all three groups. A retrospective analysis of 196 adults with normal renal function who underwent unilateral PCNL using the Nephromax balloon dilator revealed a significant increase in serum creatinine of 0.14 mg/dL at 1 day. CONCLUSION: Both animal and human studies show that PCN is associated with an acute decline in renal function.", "author" : [ { "dropping-particle" : "", "family" : "Handa", "given" : "Rajash K", "non-dropping-particle" : "", "parse-names" : false, "suffix" : "" }, { "dropping-particle" : "", "family" : "Matlaga", "given" : "Brian R", "non-dropping-particle" : "", "parse-names" : false, "suffix" : "" }, { "dropping-particle" : "", "family" : "Connors", "given" : "Bret A", "non-dropping-particle" : "", "parse-names" : false, "suffix" : "" }, { "dropping-particle" : "", "family" : "Ying", "given" : "Jun", "non-dropping-particle" : "", "parse-names" : false, "suffix" : "" }, { "dropping-particle" : "", "family" : "Paterson", "given" : "Ryan F", "non-dropping-particle" : "", "parse-names" : false, "suffix" : "" }, { "dropping-particle" : "", "family" : "Kuo", "given" : "Ramsay L", "non-dropping-particle" : "", "parse-names" : false, "suffix" : "" }, { "dropping-particle" : "", "family" : "Kim", "given" : "Samuel C", "non-dropping-particle" : "", "parse-names" : false, "suffix" : "" }, { "dropping-particle" : "", "family" : "Lingeman", "given" : "James E", "non-dropping-particle" : "", "parse-names" : false, "suffix" : "" }, { "dropping-particle" : "", "family" : "Evan", "given" : "Andrew P", "non-dropping-particle" : "", "parse-names" : false, "suffix" : "" }, { "dropping-particle" : "", "family" : "Willis", "given" : "Lynn R", "non-dropping-particle" : "", "parse-names" : false, "suffix" : "" } ], "container-title" : "Journal of endourology / Endourological Society", "id" : "ITEM-1", "issued" : { "date-parts" : [ [ "2006" ] ] }, "page" : "1030-1040", "title" : "Acute effects of percutaneous tract dilation on renal function and structure.", "type" : "article-journal", "volume" : "20" }, "uris" : [ "http://www.mendeley.com/documents/?uuid=a8056f6d-a2a9-4633-9db2-498d9db8418f", "http://www.mendeley.com/documents/?uuid=31a4bbca-3ece-43c7-a49f-bb67d9637c00" ] } ], "mendeley" : { "previouslyFormattedCitation" : "(53)" }, "properties" : { "noteIndex" : 0 }, "schema" : "https://github.com/citation-style-language/schema/raw/master/csl-citation.json" }</w:instrText>
      </w:r>
      <w:r w:rsidR="0098134D" w:rsidRPr="008A28E4">
        <w:rPr>
          <w:rFonts w:ascii="Book Antiqua" w:hAnsi="Book Antiqua" w:cs="Times New Roman"/>
          <w:sz w:val="24"/>
          <w:szCs w:val="24"/>
          <w:vertAlign w:val="superscript"/>
        </w:rPr>
        <w:fldChar w:fldCharType="separate"/>
      </w:r>
      <w:r w:rsidR="0000796D" w:rsidRPr="008A28E4">
        <w:rPr>
          <w:rFonts w:ascii="Book Antiqua" w:hAnsi="Book Antiqua" w:cs="Times New Roman"/>
          <w:noProof/>
          <w:sz w:val="24"/>
          <w:szCs w:val="24"/>
          <w:vertAlign w:val="superscript"/>
        </w:rPr>
        <w:t>[</w:t>
      </w:r>
      <w:r w:rsidRPr="008A28E4">
        <w:rPr>
          <w:rFonts w:ascii="Book Antiqua" w:hAnsi="Book Antiqua" w:cs="Times New Roman"/>
          <w:noProof/>
          <w:sz w:val="24"/>
          <w:szCs w:val="24"/>
          <w:vertAlign w:val="superscript"/>
        </w:rPr>
        <w:t>58</w:t>
      </w:r>
      <w:r w:rsidR="0098134D" w:rsidRPr="008A28E4">
        <w:rPr>
          <w:rFonts w:ascii="Book Antiqua" w:hAnsi="Book Antiqua" w:cs="Times New Roman"/>
          <w:sz w:val="24"/>
          <w:szCs w:val="24"/>
          <w:vertAlign w:val="superscript"/>
        </w:rPr>
        <w:fldChar w:fldCharType="end"/>
      </w:r>
      <w:r w:rsidR="0000796D" w:rsidRPr="008A28E4">
        <w:rPr>
          <w:rFonts w:ascii="Book Antiqua" w:hAnsi="Book Antiqua" w:cs="Times New Roman"/>
          <w:sz w:val="24"/>
          <w:szCs w:val="24"/>
          <w:vertAlign w:val="superscript"/>
        </w:rPr>
        <w:t>]</w:t>
      </w:r>
      <w:r w:rsidRPr="008A28E4">
        <w:rPr>
          <w:rFonts w:ascii="Book Antiqua" w:hAnsi="Book Antiqua" w:cs="Times New Roman"/>
          <w:sz w:val="24"/>
          <w:szCs w:val="24"/>
        </w:rPr>
        <w:t>. Chronic dilatation is done by placement of a percutaneous nephrostomy tube, which is gradually dilated over few days by sequentially replacing it by larger tubes. Acute dilatation is done just before the therapeutic procedure. The tract is dilated either by sequential (Amplatz dilators) or telescopic coaxial dilators (Alken dilators). These are rigid dilators. Balloon dilators are also in vogue and have results similar to rigid dilators. The chronic dilatation approach was once the conventional method by which renal access surgery such as PCNL were done; however, in recent years  one stage acute dilatation method has become preferred due to its low risks of patient morbidity and decreased time, which allows less room for complications.</w:t>
      </w:r>
    </w:p>
    <w:p w:rsidR="00C1243B" w:rsidRPr="008A28E4" w:rsidRDefault="00C1243B" w:rsidP="008A28E4">
      <w:pPr>
        <w:spacing w:after="0" w:line="360" w:lineRule="auto"/>
        <w:ind w:firstLineChars="250" w:firstLine="600"/>
        <w:jc w:val="both"/>
        <w:rPr>
          <w:rFonts w:ascii="Book Antiqua" w:hAnsi="Book Antiqua" w:cs="Times New Roman"/>
          <w:sz w:val="24"/>
          <w:szCs w:val="24"/>
          <w:lang w:eastAsia="zh-CN"/>
        </w:rPr>
      </w:pPr>
    </w:p>
    <w:p w:rsidR="00C2014D" w:rsidRPr="008A28E4" w:rsidRDefault="00C1243B" w:rsidP="008A28E4">
      <w:pPr>
        <w:spacing w:after="0" w:line="360" w:lineRule="auto"/>
        <w:jc w:val="both"/>
        <w:rPr>
          <w:rFonts w:ascii="Book Antiqua" w:hAnsi="Book Antiqua" w:cs="Times New Roman"/>
          <w:b/>
          <w:i/>
          <w:sz w:val="24"/>
          <w:szCs w:val="24"/>
          <w:lang w:eastAsia="zh-CN"/>
        </w:rPr>
      </w:pPr>
      <w:r w:rsidRPr="008A28E4">
        <w:rPr>
          <w:rFonts w:ascii="Book Antiqua" w:hAnsi="Book Antiqua" w:cs="Times New Roman"/>
          <w:b/>
          <w:i/>
          <w:sz w:val="24"/>
          <w:szCs w:val="24"/>
        </w:rPr>
        <w:t>Alkens dilators</w:t>
      </w:r>
    </w:p>
    <w:p w:rsidR="00C2014D" w:rsidRPr="008A28E4" w:rsidRDefault="00C2014D" w:rsidP="008A28E4">
      <w:pPr>
        <w:spacing w:after="0" w:line="360" w:lineRule="auto"/>
        <w:jc w:val="both"/>
        <w:rPr>
          <w:rFonts w:ascii="Book Antiqua" w:hAnsi="Book Antiqua" w:cs="Times New Roman"/>
          <w:bCs/>
          <w:sz w:val="24"/>
          <w:szCs w:val="24"/>
          <w:lang w:eastAsia="zh-CN"/>
        </w:rPr>
      </w:pPr>
      <w:r w:rsidRPr="008A28E4">
        <w:rPr>
          <w:rFonts w:ascii="Book Antiqua" w:hAnsi="Book Antiqua" w:cs="Times New Roman"/>
          <w:sz w:val="24"/>
          <w:szCs w:val="24"/>
        </w:rPr>
        <w:t xml:space="preserve">These are rigid metal dilators that are introduced over a central guide rod. Progressively enlarging coaxial stainless steel dilators help to dilate the tract from the 8 Fr guide rod up to 30 Fr. The guide rod has a round bulbous end prevents the sequential dilators from over-shooting. </w:t>
      </w:r>
      <w:r w:rsidRPr="008A28E4">
        <w:rPr>
          <w:rFonts w:ascii="Book Antiqua" w:hAnsi="Book Antiqua" w:cs="Times New Roman"/>
          <w:bCs/>
          <w:sz w:val="24"/>
          <w:szCs w:val="24"/>
        </w:rPr>
        <w:t>The advantages of the Alkens dilator system are that it is reusable, hence inexpensive and importantly is able to dilate even when ther</w:t>
      </w:r>
      <w:r w:rsidR="00C1243B" w:rsidRPr="008A28E4">
        <w:rPr>
          <w:rFonts w:ascii="Book Antiqua" w:hAnsi="Book Antiqua" w:cs="Times New Roman"/>
          <w:bCs/>
          <w:sz w:val="24"/>
          <w:szCs w:val="24"/>
        </w:rPr>
        <w:t>e is dense perinephric scarring</w:t>
      </w:r>
      <w:r w:rsidR="0098134D" w:rsidRPr="008A28E4">
        <w:rPr>
          <w:rFonts w:ascii="Book Antiqua" w:hAnsi="Book Antiqua" w:cs="Times New Roman"/>
          <w:bCs/>
          <w:sz w:val="24"/>
          <w:szCs w:val="24"/>
          <w:vertAlign w:val="superscript"/>
        </w:rPr>
        <w:fldChar w:fldCharType="begin" w:fldLock="1"/>
      </w:r>
      <w:r w:rsidRPr="008A28E4">
        <w:rPr>
          <w:rFonts w:ascii="Book Antiqua" w:hAnsi="Book Antiqua" w:cs="Times New Roman"/>
          <w:bCs/>
          <w:sz w:val="24"/>
          <w:szCs w:val="24"/>
          <w:vertAlign w:val="superscript"/>
        </w:rPr>
        <w:instrText>ADDIN CSL_CITATION { "citationItems" : [ { "id" : "ITEM-1", "itemData" : { "DOI" : "10.1016/S0022-5347(01)64931-0", "ISBN" : "0022-5347 (Print)\\r0022-5347 (Linking)", "ISSN" : "00225347", "PMID" : "9120908", "abstract" : "Purpose: Renal hemorrhage is one of the most common and worrisome complications of percutaneous renal surgery. We studied the incidence of renal hemorrhage and transfusion rates in patients undergoing balloon or Amplatz fascial dilation of the nephrostomy tract. Materials and Methods: Medical records of 143 patients who underwent 150 percutaneous renal procedures, including percutaneous nephrolithotomy, antegrade endopyelotomy and percutaneous treatment of stones in caliceal diverticula, were reviewed. The nephrostomy tract was dilated with balloon (50 patients) or Amplatz sequential (100) dilators. Perioperative decreases in hemoglobin level and blood transfusion rates were compared between the 2 groups. Results: Of the 100 patients undergoing percutaneous renal Amplatz dilation 25 (25%) required a blood transfusion, compared to only 5 of 50 (10%) undergoing balloon dilation. The difference in the transfusion rates between the 2 groups was statistically significant (p = 0.048). Conclusions: Improvements in the technique of percutaneous renal surgery have decreased the morbidity associated with these procedures. In our study use of balloon tract dilators led to less renal hemorrhage and lower transfusion rates compared to Amplatz dilation. Additionally, balloon dilation appears to be more rapid and avoids renal movement away from the surgeon, which occasionally occurs during Amplatz dilation.", "author" : [ { "dropping-particle" : "", "family" : "Davidoff", "given" : "Ramin", "non-dropping-particle" : "", "parse-names" : false, "suffix" : "" }, { "dropping-particle" : "", "family" : "Bellman", "given" : "Gary C.", "non-dropping-particle" : "", "parse-names" : false, "suffix" : "" } ], "container-title" : "Journal of Urology", "id" : "ITEM-1", "issued" : { "date-parts" : [ [ "1997" ] ] }, "page" : "1229-1231", "title" : "Influence of technique of percutaneous tract creation on incidence of renal hemorrhage", "type" : "article-journal", "volume" : "157" }, "uris" : [ "http://www.mendeley.com/documents/?uuid=1d19a9e9-0cd4-4b43-8c08-d7d500cf4bc6", "http://www.mendeley.com/documents/?uuid=22bcf71c-fa1c-48b4-974f-cf1d07bf66c5" ] } ], "mendeley" : { "previouslyFormattedCitation" : "(54)" }, "properties" : { "noteIndex" : 0 }, "schema" : "https://github.com/citation-style-language/schema/raw/master/csl-citation.json" }</w:instrText>
      </w:r>
      <w:r w:rsidR="0098134D" w:rsidRPr="008A28E4">
        <w:rPr>
          <w:rFonts w:ascii="Book Antiqua" w:hAnsi="Book Antiqua" w:cs="Times New Roman"/>
          <w:bCs/>
          <w:sz w:val="24"/>
          <w:szCs w:val="24"/>
          <w:vertAlign w:val="superscript"/>
        </w:rPr>
        <w:fldChar w:fldCharType="separate"/>
      </w:r>
      <w:r w:rsidR="0000796D" w:rsidRPr="008A28E4">
        <w:rPr>
          <w:rFonts w:ascii="Book Antiqua" w:hAnsi="Book Antiqua" w:cs="Times New Roman"/>
          <w:bCs/>
          <w:noProof/>
          <w:sz w:val="24"/>
          <w:szCs w:val="24"/>
          <w:vertAlign w:val="superscript"/>
        </w:rPr>
        <w:t>[</w:t>
      </w:r>
      <w:r w:rsidRPr="008A28E4">
        <w:rPr>
          <w:rFonts w:ascii="Book Antiqua" w:hAnsi="Book Antiqua" w:cs="Times New Roman"/>
          <w:bCs/>
          <w:noProof/>
          <w:sz w:val="24"/>
          <w:szCs w:val="24"/>
          <w:vertAlign w:val="superscript"/>
        </w:rPr>
        <w:t>59</w:t>
      </w:r>
      <w:r w:rsidR="0098134D" w:rsidRPr="008A28E4">
        <w:rPr>
          <w:rFonts w:ascii="Book Antiqua" w:hAnsi="Book Antiqua" w:cs="Times New Roman"/>
          <w:bCs/>
          <w:sz w:val="24"/>
          <w:szCs w:val="24"/>
          <w:vertAlign w:val="superscript"/>
        </w:rPr>
        <w:fldChar w:fldCharType="end"/>
      </w:r>
      <w:r w:rsidR="0000796D" w:rsidRPr="008A28E4">
        <w:rPr>
          <w:rFonts w:ascii="Book Antiqua" w:hAnsi="Book Antiqua" w:cs="Times New Roman"/>
          <w:bCs/>
          <w:sz w:val="24"/>
          <w:szCs w:val="24"/>
          <w:vertAlign w:val="superscript"/>
        </w:rPr>
        <w:t>]</w:t>
      </w:r>
      <w:r w:rsidRPr="008A28E4">
        <w:rPr>
          <w:rFonts w:ascii="Book Antiqua" w:hAnsi="Book Antiqua" w:cs="Times New Roman"/>
          <w:bCs/>
          <w:sz w:val="24"/>
          <w:szCs w:val="24"/>
        </w:rPr>
        <w:t>. The disadvantage is that the same characteristics that make the Alkens dilator so effective are also the reasons why the rigid metal dilators can do considerable damage.</w:t>
      </w:r>
    </w:p>
    <w:p w:rsidR="00C1243B" w:rsidRPr="008A28E4" w:rsidRDefault="00C1243B" w:rsidP="008A28E4">
      <w:pPr>
        <w:spacing w:after="0" w:line="360" w:lineRule="auto"/>
        <w:jc w:val="both"/>
        <w:rPr>
          <w:rFonts w:ascii="Book Antiqua" w:hAnsi="Book Antiqua" w:cs="Times New Roman"/>
          <w:bCs/>
          <w:sz w:val="24"/>
          <w:szCs w:val="24"/>
          <w:lang w:eastAsia="zh-CN"/>
        </w:rPr>
      </w:pPr>
    </w:p>
    <w:p w:rsidR="00C2014D" w:rsidRPr="008A28E4" w:rsidRDefault="00C2014D" w:rsidP="008A28E4">
      <w:pPr>
        <w:widowControl w:val="0"/>
        <w:autoSpaceDE w:val="0"/>
        <w:autoSpaceDN w:val="0"/>
        <w:adjustRightInd w:val="0"/>
        <w:spacing w:after="0" w:line="360" w:lineRule="auto"/>
        <w:jc w:val="both"/>
        <w:rPr>
          <w:rFonts w:ascii="Book Antiqua" w:hAnsi="Book Antiqua" w:cs="Times New Roman"/>
          <w:b/>
          <w:bCs/>
          <w:i/>
          <w:sz w:val="24"/>
          <w:szCs w:val="24"/>
        </w:rPr>
      </w:pPr>
      <w:r w:rsidRPr="008A28E4">
        <w:rPr>
          <w:rFonts w:ascii="Book Antiqua" w:hAnsi="Book Antiqua" w:cs="Times New Roman"/>
          <w:b/>
          <w:bCs/>
          <w:i/>
          <w:sz w:val="24"/>
          <w:szCs w:val="24"/>
        </w:rPr>
        <w:t>Amplatz dilators</w:t>
      </w:r>
    </w:p>
    <w:p w:rsidR="00C2014D" w:rsidRPr="008A28E4" w:rsidRDefault="00C2014D" w:rsidP="008A28E4">
      <w:pPr>
        <w:widowControl w:val="0"/>
        <w:autoSpaceDE w:val="0"/>
        <w:autoSpaceDN w:val="0"/>
        <w:adjustRightInd w:val="0"/>
        <w:spacing w:after="0" w:line="360" w:lineRule="auto"/>
        <w:jc w:val="both"/>
        <w:rPr>
          <w:rFonts w:ascii="Book Antiqua" w:hAnsi="Book Antiqua" w:cs="Times New Roman"/>
          <w:sz w:val="24"/>
          <w:szCs w:val="24"/>
        </w:rPr>
      </w:pPr>
      <w:r w:rsidRPr="008A28E4">
        <w:rPr>
          <w:rFonts w:ascii="Book Antiqua" w:hAnsi="Book Antiqua" w:cs="Times New Roman"/>
          <w:sz w:val="24"/>
          <w:szCs w:val="24"/>
        </w:rPr>
        <w:t xml:space="preserve">These are semi rigid plastic dilators that are passed over an 8-Fr PTFE guiding catheter that fits over a 0.035-inch guide wire. They can also be passed over a guide rod. The dilators are passed one after the other, not coaxially like the rigid metal dilators but progressively, by advancing one dilator, removing it, advancing the next larger dilator, and so on until the final tract diameter is achieved. Finally, the working sheath is passed over the final dilator and then the dilator and 8-Fr catheter are removed, leaving the working wire and sheath in place. The dilators are made in increments of 2 Fr, but if the tissue being dilated is soft, then not every dilator needs to be used. </w:t>
      </w:r>
    </w:p>
    <w:p w:rsidR="00C2014D" w:rsidRPr="008A28E4" w:rsidRDefault="00C2014D" w:rsidP="008A28E4">
      <w:pPr>
        <w:widowControl w:val="0"/>
        <w:autoSpaceDE w:val="0"/>
        <w:autoSpaceDN w:val="0"/>
        <w:adjustRightInd w:val="0"/>
        <w:spacing w:after="0" w:line="360" w:lineRule="auto"/>
        <w:ind w:firstLineChars="200" w:firstLine="480"/>
        <w:jc w:val="both"/>
        <w:rPr>
          <w:rFonts w:ascii="Book Antiqua" w:hAnsi="Book Antiqua" w:cs="Times New Roman"/>
          <w:bCs/>
          <w:sz w:val="24"/>
          <w:szCs w:val="24"/>
        </w:rPr>
      </w:pPr>
      <w:r w:rsidRPr="008A28E4">
        <w:rPr>
          <w:rFonts w:ascii="Book Antiqua" w:hAnsi="Book Antiqua" w:cs="Times New Roman"/>
          <w:bCs/>
          <w:sz w:val="24"/>
          <w:szCs w:val="24"/>
        </w:rPr>
        <w:t xml:space="preserve">The advantages of Amplatz dilators are that trauma experienced by the collecting system is theoretically less probable than the trauma experienced by the collecting system using rigid metal dilators, but the disadvantage is that bleeding can happen each time a dilator is withdrawn. As these are disposable dilators, they are more expensive than the Alkens dilators. </w:t>
      </w:r>
    </w:p>
    <w:p w:rsidR="00C2014D" w:rsidRPr="008A28E4" w:rsidRDefault="00C2014D" w:rsidP="008A28E4">
      <w:pPr>
        <w:widowControl w:val="0"/>
        <w:autoSpaceDE w:val="0"/>
        <w:autoSpaceDN w:val="0"/>
        <w:adjustRightInd w:val="0"/>
        <w:spacing w:after="0" w:line="360" w:lineRule="auto"/>
        <w:ind w:firstLineChars="150" w:firstLine="360"/>
        <w:jc w:val="both"/>
        <w:rPr>
          <w:rFonts w:ascii="Book Antiqua" w:hAnsi="Book Antiqua" w:cs="Times New Roman"/>
          <w:bCs/>
          <w:sz w:val="24"/>
          <w:szCs w:val="24"/>
          <w:lang w:eastAsia="zh-CN"/>
        </w:rPr>
      </w:pPr>
      <w:r w:rsidRPr="008A28E4">
        <w:rPr>
          <w:rFonts w:ascii="Book Antiqua" w:hAnsi="Book Antiqua" w:cs="Times New Roman"/>
          <w:bCs/>
          <w:sz w:val="24"/>
          <w:szCs w:val="24"/>
        </w:rPr>
        <w:t>There have been many comparative studies</w:t>
      </w:r>
      <w:r w:rsidR="0098134D" w:rsidRPr="008A28E4">
        <w:rPr>
          <w:rFonts w:ascii="Book Antiqua" w:hAnsi="Book Antiqua" w:cs="Times New Roman"/>
          <w:bCs/>
          <w:sz w:val="24"/>
          <w:szCs w:val="24"/>
          <w:vertAlign w:val="superscript"/>
        </w:rPr>
        <w:fldChar w:fldCharType="begin" w:fldLock="1"/>
      </w:r>
      <w:r w:rsidRPr="008A28E4">
        <w:rPr>
          <w:rFonts w:ascii="Book Antiqua" w:hAnsi="Book Antiqua" w:cs="Times New Roman"/>
          <w:bCs/>
          <w:sz w:val="24"/>
          <w:szCs w:val="24"/>
          <w:vertAlign w:val="superscript"/>
        </w:rPr>
        <w:instrText>ADDIN CSL_CITATION { "citationItems" : [ { "id" : "ITEM-1", "itemData" : { "DOI" : "10.1089/end.2011.0291", "ISSN" : "1557-900X", "PMID" : "21999400", "abstract" : "BACKGROUND AND PURPOSE: Nephrostomy tract dilation is one of the important steps in percutaneous renal surgery. We present our experiences with using Amplatz and metal telescopic dilators (Alken) to create a percutaneous tract and compare the advantages and risk factors of both procedures.\n\nPATIENTS AND METHODS: We retrospectively reviewed the medical records of 173 patients who had undergone 188 percutaneous nephrolithotomy procedures between April 2007 and December 2010. The nephrostomy tracts had been created by using Amplatz (67 cases) or Alken dilators (121 cases). Total operative time, scope time, tract formation time, decrease in hemoglobin concentrations, blood transfusion rates, tract dilation failures, and the cost of both systems were compared between the groups.\n\nRESULTS: There were no statistically significant differences in total operative time (103.3 \u00b1 46.5 vs 99.1 \u00b1 44.4 min, P=0.583), scope time (5.23 \u00b1 3.06 vs 5.28 \u00b1 2.52 min, P=0.732), decrease in hemoglobin concentration (-1.5 \u00b1 1.2 vs-1.3 \u00b1 1.1 mg/dL, P=0.230), blood transfusion rates (13.4% vs 11.6%, P=0.709), and tract dilation failure rates (6.0% vs 1.7%, P=0.107) for Amplatz and Alken dilation groups, respectively. A shorter tract formation time (6.56 \u00b1 3.04 vs 5.42 \u00b1 3.07 min, P&lt;0.001) was observed in the Alken dilation group. The approximate costs per each case were $220 and $7.25 for Amplatz and Alken dilation groups, respectively.\n\nCONCLUSIONS: The Alken dilation technique produces similar results to the Amplatz dilators in terms of efficiency, safety, and total operative time. Notwithstanding, it is more cost-effective in comparison.", "author" : [ { "dropping-particle" : "", "family" : "Ozok", "given" : "Hakki Ugur", "non-dropping-particle" : "", "parse-names" : false, "suffix" : "" }, { "dropping-particle" : "", "family" : "Sagnak", "given" : "Levent", "non-dropping-particle" : "", "parse-names" : false, "suffix" : "" }, { "dropping-particle" : "", "family" : "Senturk", "given" : "Aykut Bugra", "non-dropping-particle" : "", "parse-names" : false, "suffix" : "" }, { "dropping-particle" : "", "family" : "Karakoyunlu", "given" : "Nihat", "non-dropping-particle" : "", "parse-names" : false, "suffix" : "" }, { "dropping-particle" : "", "family" : "Topaloglu", "given" : "Hikmet", "non-dropping-particle" : "", "parse-names" : false, "suffix" : "" }, { "dropping-particle" : "", "family" : "Ersoy", "given" : "Hamit", "non-dropping-particle" : "", "parse-names" : false, "suffix" : "" } ], "container-title" : "Journal of endourology / Endourological Society", "id" : "ITEM-1", "issue" : "6", "issued" : { "date-parts" : [ [ "2012", "6" ] ] }, "page" : "630-4", "title" : "A comparison of metal telescopic dilators and Amplatz dilators for nephrostomy tract dilation in percutaneous nephrolithotomy.", "type" : "article-journal", "volume" : "26" }, "uris" : [ "http://www.mendeley.com/documents/?uuid=611d6d11-af43-43d5-8938-cc6fa79ec866" ] } ], "mendeley" : { "manualFormatting" : "(59", "previouslyFormattedCitation" : "(55)" }, "properties" : { "noteIndex" : 0 }, "schema" : "https://github.com/citation-style-language/schema/raw/master/csl-citation.json" }</w:instrText>
      </w:r>
      <w:r w:rsidR="0098134D" w:rsidRPr="008A28E4">
        <w:rPr>
          <w:rFonts w:ascii="Book Antiqua" w:hAnsi="Book Antiqua" w:cs="Times New Roman"/>
          <w:bCs/>
          <w:sz w:val="24"/>
          <w:szCs w:val="24"/>
          <w:vertAlign w:val="superscript"/>
        </w:rPr>
        <w:fldChar w:fldCharType="separate"/>
      </w:r>
      <w:r w:rsidR="0000796D" w:rsidRPr="008A28E4">
        <w:rPr>
          <w:rFonts w:ascii="Book Antiqua" w:hAnsi="Book Antiqua" w:cs="Times New Roman"/>
          <w:bCs/>
          <w:noProof/>
          <w:sz w:val="24"/>
          <w:szCs w:val="24"/>
          <w:vertAlign w:val="superscript"/>
        </w:rPr>
        <w:t>[</w:t>
      </w:r>
      <w:r w:rsidRPr="008A28E4">
        <w:rPr>
          <w:rFonts w:ascii="Book Antiqua" w:hAnsi="Book Antiqua" w:cs="Times New Roman"/>
          <w:bCs/>
          <w:noProof/>
          <w:sz w:val="24"/>
          <w:szCs w:val="24"/>
          <w:vertAlign w:val="superscript"/>
        </w:rPr>
        <w:t>59</w:t>
      </w:r>
      <w:r w:rsidR="0098134D" w:rsidRPr="008A28E4">
        <w:rPr>
          <w:rFonts w:ascii="Book Antiqua" w:hAnsi="Book Antiqua" w:cs="Times New Roman"/>
          <w:bCs/>
          <w:sz w:val="24"/>
          <w:szCs w:val="24"/>
          <w:vertAlign w:val="superscript"/>
        </w:rPr>
        <w:fldChar w:fldCharType="end"/>
      </w:r>
      <w:r w:rsidR="00C1243B" w:rsidRPr="008A28E4">
        <w:rPr>
          <w:rFonts w:ascii="Book Antiqua" w:hAnsi="Book Antiqua" w:cs="Times New Roman"/>
          <w:bCs/>
          <w:sz w:val="24"/>
          <w:szCs w:val="24"/>
          <w:vertAlign w:val="superscript"/>
          <w:lang w:eastAsia="zh-CN"/>
        </w:rPr>
        <w:t>-</w:t>
      </w:r>
      <w:r w:rsidR="0098134D" w:rsidRPr="008A28E4">
        <w:rPr>
          <w:rFonts w:ascii="Book Antiqua" w:hAnsi="Book Antiqua" w:cs="Times New Roman"/>
          <w:bCs/>
          <w:sz w:val="24"/>
          <w:szCs w:val="24"/>
          <w:vertAlign w:val="superscript"/>
        </w:rPr>
        <w:fldChar w:fldCharType="begin" w:fldLock="1"/>
      </w:r>
      <w:r w:rsidRPr="008A28E4">
        <w:rPr>
          <w:rFonts w:ascii="Book Antiqua" w:hAnsi="Book Antiqua" w:cs="Times New Roman"/>
          <w:bCs/>
          <w:sz w:val="24"/>
          <w:szCs w:val="24"/>
          <w:vertAlign w:val="superscript"/>
        </w:rPr>
        <w:instrText>ADDIN CSL_CITATION { "citationItems" : [ { "id" : "ITEM-1", "itemData" : { "DOI" : "10.1007/s00240-013-0598-z", "ISBN" : "2194-7236 (Electronic)\\r2194-7228 (Linking)", "ISSN" : "03005623", "PMID" : "23975408", "abstract" : "The purpose of this study was to evaluate the efficacy and safety of the Amplatz dilation (AD), metal telescopic dilation (MTD), balloon dilation (BD), and one-shot dilation (OSD) methods for tract dilation during percutaneous nephrolithotomy (PCNL). Relevant eligible studies were identified using three electronic databases (Medline, EMBASE, and Cochrane CENTRAL). Database acquisition and quality evaluation were independently performed by two reviewers. Efficacy (stone-free rate, surgical duration, and tract dilatation fluoroscopy time) and safety (transfusion rate and hemoglobin decrease) were evaluated using Review Manager 5.2. Four randomized controlled trials and eight clinical controlled trials involving 6,820 patients met the inclusion criteria. The pooled result from a meta-analysis showed statistically significant differences in tract dilatation fluoroscopy time and hemoglobin decrease between the OSD and MTD groups, which showed comparable stone-free and transfusion rates. Significant differences in transfusion rate were found between the BD and MTD groups. Among patients without previous open renal surgery, those who underwent BD exhibited a lower blood transfusion rate and a shorter surgical duration compared with those who underwent AD. The OSD technique is safer and more efficient than the MTD technique for tract dilation during PCNL, particularly in patients with previous open renal surgery, resulting in a shorter tract dilatation fluoroscopy time and a lesser decrease in hemoglobin. The efficacy and safety of BD are better than AD in patients without previous open renal surgery. The OSD technique should be considered for most patients who undergo PCNL therapy.", "author" : [ { "dropping-particle" : "", "family" : "Cao", "given" : "Dehong", "non-dropping-particle" : "", "parse-names" : false, "suffix" : "" }, { "dropping-particle" : "", "family" : "Liu", "given" : "Liangren", "non-dropping-particle" : "", "parse-names" : false, "suffix" : "" }, { "dropping-particle" : "", "family" : "Liu", "given" : "Huawei", "non-dropping-particle" : "", "parse-names" : false, "suffix" : "" }, { "dropping-particle" : "", "family" : "Wei", "given" : "Qiang", "non-dropping-particle" : "", "parse-names" : false, "suffix" : "" } ], "container-title" : "Urological Research", "id" : "ITEM-1", "issued" : { "date-parts" : [ [ "2013" ] ] }, "page" : "523-530", "title" : "A comparison among four tract dilation methods of percutaneous nephrolithotomy: A systematic review and meta-analysis", "type" : "article", "volume" : "41" }, "uris" : [ "http://www.mendeley.com/documents/?uuid=42909b9d-22d8-4dcb-88c6-931d8edc94a7", "http://www.mendeley.com/documents/?uuid=5f190e5b-e594-4f26-86b1-2ec5a88e9d20" ] } ], "mendeley" : { "manualFormatting" : "62)", "previouslyFormattedCitation" : "(58)" }, "properties" : { "noteIndex" : 0 }, "schema" : "https://github.com/citation-style-language/schema/raw/master/csl-citation.json" }</w:instrText>
      </w:r>
      <w:r w:rsidR="0098134D" w:rsidRPr="008A28E4">
        <w:rPr>
          <w:rFonts w:ascii="Book Antiqua" w:hAnsi="Book Antiqua" w:cs="Times New Roman"/>
          <w:bCs/>
          <w:sz w:val="24"/>
          <w:szCs w:val="24"/>
          <w:vertAlign w:val="superscript"/>
        </w:rPr>
        <w:fldChar w:fldCharType="separate"/>
      </w:r>
      <w:r w:rsidRPr="008A28E4">
        <w:rPr>
          <w:rFonts w:ascii="Book Antiqua" w:hAnsi="Book Antiqua" w:cs="Times New Roman"/>
          <w:bCs/>
          <w:noProof/>
          <w:sz w:val="24"/>
          <w:szCs w:val="24"/>
          <w:vertAlign w:val="superscript"/>
        </w:rPr>
        <w:t>6</w:t>
      </w:r>
      <w:r w:rsidR="00841E8F" w:rsidRPr="008A28E4">
        <w:rPr>
          <w:rFonts w:ascii="Book Antiqua" w:hAnsi="Book Antiqua" w:cs="Times New Roman"/>
          <w:bCs/>
          <w:noProof/>
          <w:sz w:val="24"/>
          <w:szCs w:val="24"/>
          <w:vertAlign w:val="superscript"/>
          <w:lang w:eastAsia="zh-CN"/>
        </w:rPr>
        <w:t>3</w:t>
      </w:r>
      <w:r w:rsidR="0098134D" w:rsidRPr="008A28E4">
        <w:rPr>
          <w:rFonts w:ascii="Book Antiqua" w:hAnsi="Book Antiqua" w:cs="Times New Roman"/>
          <w:bCs/>
          <w:sz w:val="24"/>
          <w:szCs w:val="24"/>
          <w:vertAlign w:val="superscript"/>
        </w:rPr>
        <w:fldChar w:fldCharType="end"/>
      </w:r>
      <w:r w:rsidR="0000796D" w:rsidRPr="008A28E4">
        <w:rPr>
          <w:rFonts w:ascii="Book Antiqua" w:hAnsi="Book Antiqua" w:cs="Times New Roman"/>
          <w:bCs/>
          <w:sz w:val="24"/>
          <w:szCs w:val="24"/>
          <w:vertAlign w:val="superscript"/>
        </w:rPr>
        <w:t>]</w:t>
      </w:r>
      <w:r w:rsidRPr="008A28E4">
        <w:rPr>
          <w:rFonts w:ascii="Book Antiqua" w:hAnsi="Book Antiqua" w:cs="Times New Roman"/>
          <w:bCs/>
          <w:sz w:val="24"/>
          <w:szCs w:val="24"/>
        </w:rPr>
        <w:t xml:space="preserve">  between the two dilator systems but experienced urologists have found no difference between the two systems in terms of safety. Alkens dilators may be preferred in patients who have tight fitting staghorn calculi, as Amplatz dilators need some space in the calyx for dilatation. In calyces that have no space, the dilatation may remain short due to tapered end of the dilator. </w:t>
      </w:r>
    </w:p>
    <w:p w:rsidR="00C1243B" w:rsidRPr="008A28E4" w:rsidRDefault="00C1243B" w:rsidP="008A28E4">
      <w:pPr>
        <w:widowControl w:val="0"/>
        <w:autoSpaceDE w:val="0"/>
        <w:autoSpaceDN w:val="0"/>
        <w:adjustRightInd w:val="0"/>
        <w:spacing w:after="0" w:line="360" w:lineRule="auto"/>
        <w:ind w:firstLineChars="150" w:firstLine="360"/>
        <w:jc w:val="both"/>
        <w:rPr>
          <w:rFonts w:ascii="Book Antiqua" w:hAnsi="Book Antiqua" w:cs="Times New Roman"/>
          <w:bCs/>
          <w:sz w:val="24"/>
          <w:szCs w:val="24"/>
          <w:lang w:eastAsia="zh-CN"/>
        </w:rPr>
      </w:pPr>
    </w:p>
    <w:p w:rsidR="00C2014D" w:rsidRPr="008A28E4" w:rsidRDefault="00C2014D" w:rsidP="008A28E4">
      <w:pPr>
        <w:widowControl w:val="0"/>
        <w:autoSpaceDE w:val="0"/>
        <w:autoSpaceDN w:val="0"/>
        <w:adjustRightInd w:val="0"/>
        <w:spacing w:after="0" w:line="360" w:lineRule="auto"/>
        <w:jc w:val="both"/>
        <w:rPr>
          <w:rFonts w:ascii="Book Antiqua" w:hAnsi="Book Antiqua" w:cs="Times New Roman"/>
          <w:b/>
          <w:bCs/>
          <w:i/>
          <w:sz w:val="24"/>
          <w:szCs w:val="24"/>
        </w:rPr>
      </w:pPr>
      <w:r w:rsidRPr="008A28E4">
        <w:rPr>
          <w:rFonts w:ascii="Book Antiqua" w:hAnsi="Book Antiqua" w:cs="Times New Roman"/>
          <w:b/>
          <w:bCs/>
          <w:i/>
          <w:sz w:val="24"/>
          <w:szCs w:val="24"/>
        </w:rPr>
        <w:t>Balloon dilators</w:t>
      </w:r>
    </w:p>
    <w:p w:rsidR="00C2014D" w:rsidRPr="008A28E4" w:rsidRDefault="00C2014D" w:rsidP="008A28E4">
      <w:pPr>
        <w:widowControl w:val="0"/>
        <w:autoSpaceDE w:val="0"/>
        <w:autoSpaceDN w:val="0"/>
        <w:adjustRightInd w:val="0"/>
        <w:spacing w:after="0" w:line="360" w:lineRule="auto"/>
        <w:jc w:val="both"/>
        <w:rPr>
          <w:rFonts w:ascii="Book Antiqua" w:hAnsi="Book Antiqua" w:cs="Times New Roman"/>
          <w:bCs/>
          <w:sz w:val="24"/>
          <w:szCs w:val="24"/>
        </w:rPr>
      </w:pPr>
      <w:r w:rsidRPr="008A28E4">
        <w:rPr>
          <w:rFonts w:ascii="Book Antiqua" w:hAnsi="Book Antiqua" w:cs="Times New Roman"/>
          <w:bCs/>
          <w:sz w:val="24"/>
          <w:szCs w:val="24"/>
        </w:rPr>
        <w:t xml:space="preserve">Here a pressure balloon is used </w:t>
      </w:r>
      <w:r w:rsidR="00C1243B" w:rsidRPr="008A28E4">
        <w:rPr>
          <w:rFonts w:ascii="Book Antiqua" w:hAnsi="Book Antiqua" w:cs="Times New Roman"/>
          <w:bCs/>
          <w:sz w:val="24"/>
          <w:szCs w:val="24"/>
        </w:rPr>
        <w:t>for rapid tract making</w:t>
      </w:r>
      <w:r w:rsidR="0098134D" w:rsidRPr="008A28E4">
        <w:rPr>
          <w:rFonts w:ascii="Book Antiqua" w:hAnsi="Book Antiqua" w:cs="Times New Roman"/>
          <w:bCs/>
          <w:sz w:val="24"/>
          <w:szCs w:val="24"/>
          <w:vertAlign w:val="superscript"/>
        </w:rPr>
        <w:fldChar w:fldCharType="begin" w:fldLock="1"/>
      </w:r>
      <w:r w:rsidRPr="008A28E4">
        <w:rPr>
          <w:rFonts w:ascii="Book Antiqua" w:hAnsi="Book Antiqua" w:cs="Times New Roman"/>
          <w:bCs/>
          <w:sz w:val="24"/>
          <w:szCs w:val="24"/>
          <w:vertAlign w:val="superscript"/>
        </w:rPr>
        <w:instrText>ADDIN CSL_CITATION { "citationItems" : [ { "id" : "ITEM-1", "itemData" : { "DOI" : "10.1089/end.2009.0213", "ISSN" : "0892-7790", "PMID" : "19558265", "abstract" : "Dilation of the tract for percutaneous nephrolithotomy can be performed with three different basic techniques. A retrospective outcome analysis of two techniques-metal telescoping dilation and balloon dilation-in a contemporary series of two European departments shows no significant difference in morbidity related to the dilation procedure. A literature survey that concentrates on publications with a focus on tract dilation shows that balloon dilation is the most frequently performed, but the morbidity reported for the different techniques appears identical. The three standard techniques have been developed more than 20 years ago. Very few new techniques have been added.", "author" : [ { "dropping-particle" : "", "family" : "Wezel", "given" : "Felix", "non-dropping-particle" : "", "parse-names" : false, "suffix" : "" }, { "dropping-particle" : "", "family" : "Mamoulakis", "given" : "Charalampos", "non-dropping-particle" : "", "parse-names" : false, "suffix" : "" }, { "dropping-particle" : "", "family" : "Rioja", "given" : "Jorge", "non-dropping-particle" : "", "parse-names" : false, "suffix" : "" }, { "dropping-particle" : "", "family" : "Michel", "given" : "Maurice Stephan", "non-dropping-particle" : "", "parse-names" : false, "suffix" : "" }, { "dropping-particle" : "", "family" : "la Rosette", "given" : "Jean", "non-dropping-particle" : "de", "parse-names" : false, "suffix" : "" }, { "dropping-particle" : "", "family" : "Alken", "given" : "Peter", "non-dropping-particle" : "", "parse-names" : false, "suffix" : "" } ], "container-title" : "Journal of endourology / Endourological Society", "id" : "ITEM-1", "issued" : { "date-parts" : [ [ "2009" ] ] }, "page" : "1655-1661", "title" : "Two contemporary series of percutaneous tract dilation for percutaneous nephrolithotomy.", "type" : "article-journal", "volume" : "23" }, "uris" : [ "http://www.mendeley.com/documents/?uuid=531b61c8-c1ce-4566-a936-55ae4f846656", "http://www.mendeley.com/documents/?uuid=0b928268-f55f-4da9-a1e0-e0b08dd694f7" ] } ], "mendeley" : { "previouslyFormattedCitation" : "(59)" }, "properties" : { "noteIndex" : 0 }, "schema" : "https://github.com/citation-style-language/schema/raw/master/csl-citation.json" }</w:instrText>
      </w:r>
      <w:r w:rsidR="0098134D" w:rsidRPr="008A28E4">
        <w:rPr>
          <w:rFonts w:ascii="Book Antiqua" w:hAnsi="Book Antiqua" w:cs="Times New Roman"/>
          <w:bCs/>
          <w:sz w:val="24"/>
          <w:szCs w:val="24"/>
          <w:vertAlign w:val="superscript"/>
        </w:rPr>
        <w:fldChar w:fldCharType="separate"/>
      </w:r>
      <w:r w:rsidR="0000796D" w:rsidRPr="008A28E4">
        <w:rPr>
          <w:rFonts w:ascii="Book Antiqua" w:hAnsi="Book Antiqua" w:cs="Times New Roman"/>
          <w:bCs/>
          <w:noProof/>
          <w:sz w:val="24"/>
          <w:szCs w:val="24"/>
          <w:vertAlign w:val="superscript"/>
        </w:rPr>
        <w:t>[</w:t>
      </w:r>
      <w:r w:rsidRPr="008A28E4">
        <w:rPr>
          <w:rFonts w:ascii="Book Antiqua" w:hAnsi="Book Antiqua" w:cs="Times New Roman"/>
          <w:bCs/>
          <w:noProof/>
          <w:sz w:val="24"/>
          <w:szCs w:val="24"/>
          <w:vertAlign w:val="superscript"/>
        </w:rPr>
        <w:t>64</w:t>
      </w:r>
      <w:r w:rsidR="0098134D" w:rsidRPr="008A28E4">
        <w:rPr>
          <w:rFonts w:ascii="Book Antiqua" w:hAnsi="Book Antiqua" w:cs="Times New Roman"/>
          <w:bCs/>
          <w:sz w:val="24"/>
          <w:szCs w:val="24"/>
          <w:vertAlign w:val="superscript"/>
        </w:rPr>
        <w:fldChar w:fldCharType="end"/>
      </w:r>
      <w:r w:rsidR="0000796D" w:rsidRPr="008A28E4">
        <w:rPr>
          <w:rFonts w:ascii="Book Antiqua" w:hAnsi="Book Antiqua" w:cs="Times New Roman"/>
          <w:bCs/>
          <w:sz w:val="24"/>
          <w:szCs w:val="24"/>
          <w:vertAlign w:val="superscript"/>
        </w:rPr>
        <w:t>]</w:t>
      </w:r>
      <w:r w:rsidRPr="008A28E4">
        <w:rPr>
          <w:rFonts w:ascii="Book Antiqua" w:hAnsi="Book Antiqua" w:cs="Times New Roman"/>
          <w:bCs/>
          <w:sz w:val="24"/>
          <w:szCs w:val="24"/>
        </w:rPr>
        <w:t>. The Amplatz sheath is back loaded on the balloon and is placed once the balloon is adequately distended. The balloon dilator is expensive and may be difficult to use in patients with densely scarred tissue. The dilators may have an advantage when operating on a hyper mobile kidney. As it is a single step dilatation that causes tamponade, the bleeding is expected to be less, but not all studies have documented less bleeding and transfusion as compared to t</w:t>
      </w:r>
      <w:r w:rsidR="00C22D17" w:rsidRPr="008A28E4">
        <w:rPr>
          <w:rFonts w:ascii="Book Antiqua" w:hAnsi="Book Antiqua" w:cs="Times New Roman"/>
          <w:bCs/>
          <w:sz w:val="24"/>
          <w:szCs w:val="24"/>
        </w:rPr>
        <w:t>he Alkens and Amplatz dilators</w:t>
      </w:r>
      <w:r w:rsidR="0000796D" w:rsidRPr="008A28E4">
        <w:rPr>
          <w:rFonts w:ascii="Book Antiqua" w:hAnsi="Book Antiqua" w:cs="Times New Roman"/>
          <w:bCs/>
          <w:sz w:val="24"/>
          <w:szCs w:val="24"/>
          <w:vertAlign w:val="superscript"/>
        </w:rPr>
        <w:t>[</w:t>
      </w:r>
      <w:r w:rsidR="00C22D17" w:rsidRPr="008A28E4">
        <w:rPr>
          <w:rFonts w:ascii="Book Antiqua" w:hAnsi="Book Antiqua" w:cs="Times New Roman"/>
          <w:bCs/>
          <w:sz w:val="24"/>
          <w:szCs w:val="24"/>
          <w:vertAlign w:val="superscript"/>
        </w:rPr>
        <w:t>59,65</w:t>
      </w:r>
      <w:r w:rsidR="00C22D17" w:rsidRPr="008A28E4">
        <w:rPr>
          <w:rFonts w:ascii="Book Antiqua" w:hAnsi="Book Antiqua" w:cs="Times New Roman"/>
          <w:bCs/>
          <w:sz w:val="24"/>
          <w:szCs w:val="24"/>
          <w:vertAlign w:val="superscript"/>
          <w:lang w:eastAsia="zh-CN"/>
        </w:rPr>
        <w:t>-</w:t>
      </w:r>
      <w:r w:rsidRPr="008A28E4">
        <w:rPr>
          <w:rFonts w:ascii="Book Antiqua" w:hAnsi="Book Antiqua" w:cs="Times New Roman"/>
          <w:bCs/>
          <w:sz w:val="24"/>
          <w:szCs w:val="24"/>
          <w:vertAlign w:val="superscript"/>
        </w:rPr>
        <w:t>67</w:t>
      </w:r>
      <w:r w:rsidR="0000796D" w:rsidRPr="008A28E4">
        <w:rPr>
          <w:rFonts w:ascii="Book Antiqua" w:hAnsi="Book Antiqua" w:cs="Times New Roman"/>
          <w:bCs/>
          <w:sz w:val="24"/>
          <w:szCs w:val="24"/>
          <w:vertAlign w:val="superscript"/>
        </w:rPr>
        <w:t>]</w:t>
      </w:r>
      <w:r w:rsidRPr="008A28E4">
        <w:rPr>
          <w:rFonts w:ascii="Book Antiqua" w:hAnsi="Book Antiqua" w:cs="Times New Roman"/>
          <w:bCs/>
          <w:sz w:val="24"/>
          <w:szCs w:val="24"/>
          <w:vertAlign w:val="superscript"/>
        </w:rPr>
        <w:t>.</w:t>
      </w:r>
      <w:r w:rsidRPr="008A28E4">
        <w:rPr>
          <w:rFonts w:ascii="Book Antiqua" w:hAnsi="Book Antiqua" w:cs="Times New Roman"/>
          <w:bCs/>
          <w:sz w:val="24"/>
          <w:szCs w:val="24"/>
        </w:rPr>
        <w:t xml:space="preserve"> </w:t>
      </w:r>
    </w:p>
    <w:p w:rsidR="00C2014D" w:rsidRPr="008A28E4" w:rsidRDefault="00C2014D" w:rsidP="008A28E4">
      <w:pPr>
        <w:widowControl w:val="0"/>
        <w:autoSpaceDE w:val="0"/>
        <w:autoSpaceDN w:val="0"/>
        <w:adjustRightInd w:val="0"/>
        <w:spacing w:after="0" w:line="360" w:lineRule="auto"/>
        <w:ind w:firstLineChars="250" w:firstLine="600"/>
        <w:jc w:val="both"/>
        <w:rPr>
          <w:rFonts w:ascii="Book Antiqua" w:hAnsi="Book Antiqua" w:cs="Times New Roman"/>
          <w:bCs/>
          <w:sz w:val="24"/>
          <w:szCs w:val="24"/>
        </w:rPr>
      </w:pPr>
      <w:r w:rsidRPr="008A28E4">
        <w:rPr>
          <w:rFonts w:ascii="Book Antiqua" w:hAnsi="Book Antiqua" w:cs="Times New Roman"/>
          <w:bCs/>
          <w:sz w:val="24"/>
          <w:szCs w:val="24"/>
        </w:rPr>
        <w:t>In an effort to make tract making rapid, easy, and blood less, multiple single step techniques have been described. The simplest is using the largest Amplatz dilators without the initial smaller dilators. In difficult situations where scar tissue is present around the kidney, collings knife or plasma vaporization has been used for tract making</w:t>
      </w:r>
      <w:r w:rsidR="0098134D" w:rsidRPr="008A28E4">
        <w:rPr>
          <w:rFonts w:ascii="Book Antiqua" w:hAnsi="Book Antiqua" w:cs="Times New Roman"/>
          <w:bCs/>
          <w:sz w:val="24"/>
          <w:szCs w:val="24"/>
          <w:vertAlign w:val="superscript"/>
        </w:rPr>
        <w:fldChar w:fldCharType="begin" w:fldLock="1"/>
      </w:r>
      <w:r w:rsidRPr="008A28E4">
        <w:rPr>
          <w:rFonts w:ascii="Book Antiqua" w:hAnsi="Book Antiqua" w:cs="Times New Roman"/>
          <w:bCs/>
          <w:sz w:val="24"/>
          <w:szCs w:val="24"/>
          <w:vertAlign w:val="superscript"/>
        </w:rPr>
        <w:instrText>ADDIN CSL_CITATION { "citationItems" : [ { "id" : "ITEM-1", "itemData" : { "DOI" : "10.1111/j.1464-410X.2012.11507.x", "ISSN" : "1464-410X", "PMID" : "23035747", "abstract" : "UNLABELLED: WHAT'S KNOWN ON THE SUBJECT? AND WHAT DOES THE STUDY ADD?: Use of balloon dilatation leads to less blood transfusion rates than metallic dilators. Plasma vaporization leads to less blood loss than balloon dilatation in this study. The study evaluates a novel technique for the creation of a nephrostomy tract for PCNL. Compared with other techniques, plasma vaporization is a safer procedure that causes lesser blood loss, requires a shorter hospital stay, causes less radiation exposure, and enables easier nephrostomy tract creation for PCNL.\n\nOBJECTIVE: To evaluate the efficacy and safety of plasma vaporization for tract creation in percutaneous nephrolithotomy (PCNL).\n\nPATIENTS AND METHODS: In this randomized prospective trial we enrolled 65 patients and assigned each to one of two groups: 33 patients were randomly scheduled to undergo plasma vaporization and 32 were scheduled to undergo balloon dilatation for tract creation. A bipolar resectoscope mounted with a plasma vaporization button electrode or a traditional balloon dilator were used to create the nephrostomy tract.\n\nRESULTS: The mean blood loss, mean length of hospital stay and mean operating time, stone-free rates and postoperative complications in the two groups were compared using the t-test or chi-squared test (Fisher's exact test). The plasma vaporization group had a significantly lower mean (SD) decrease in haematocrit level (3.5 [2.8]% vs 6.6 [3.3]%; P = 0.02) and a shorter mean (SD) hospital stay (2.6 [1.2] days vs 5.3 [3.4] days; P = 0.0). There were no significant differences in the operating time, stone-free rate or cases of postoperative fever between the two groups.\n\nCONCLUSION: The plasma vaporization technique is safe, leads to less blood loss than the other techniques, and is a simple solution for creating the nephrostomy tract for PCNL.", "author" : [ { "dropping-particle" : "", "family" : "Chiang", "given" : "Po Hui", "non-dropping-particle" : "", "parse-names" : false, "suffix" : "" }, { "dropping-particle" : "", "family" : "Su", "given" : "Hsin Hao", "non-dropping-particle" : "", "parse-names" : false, "suffix" : "" } ], "container-title" : "BJU international", "id" : "ITEM-1", "issue" : "1", "issued" : { "date-parts" : [ [ "2013", "7" ] ] }, "page" : "89-93", "title" : "Randomized and prospective trial comparing tract creation using plasma vaporization with balloon dilatation in percutaneous nephrolithotomy.", "type" : "article-journal", "volume" : "112" }, "uris" : [ "http://www.mendeley.com/documents/?uuid=efbbcecf-2ee4-4f17-975e-20a3d96422c5" ] } ], "mendeley" : { "previouslyFormattedCitation" : "(60)" }, "properties" : { "noteIndex" : 0 }, "schema" : "https://github.com/citation-style-language/schema/raw/master/csl-citation.json" }</w:instrText>
      </w:r>
      <w:r w:rsidR="0098134D" w:rsidRPr="008A28E4">
        <w:rPr>
          <w:rFonts w:ascii="Book Antiqua" w:hAnsi="Book Antiqua" w:cs="Times New Roman"/>
          <w:bCs/>
          <w:sz w:val="24"/>
          <w:szCs w:val="24"/>
          <w:vertAlign w:val="superscript"/>
        </w:rPr>
        <w:fldChar w:fldCharType="separate"/>
      </w:r>
      <w:r w:rsidR="00286B87" w:rsidRPr="008A28E4">
        <w:rPr>
          <w:rFonts w:ascii="Book Antiqua" w:hAnsi="Book Antiqua" w:cs="Times New Roman"/>
          <w:bCs/>
          <w:noProof/>
          <w:sz w:val="24"/>
          <w:szCs w:val="24"/>
          <w:vertAlign w:val="superscript"/>
        </w:rPr>
        <w:t>[</w:t>
      </w:r>
      <w:r w:rsidRPr="008A28E4">
        <w:rPr>
          <w:rFonts w:ascii="Book Antiqua" w:hAnsi="Book Antiqua" w:cs="Times New Roman"/>
          <w:bCs/>
          <w:noProof/>
          <w:sz w:val="24"/>
          <w:szCs w:val="24"/>
          <w:vertAlign w:val="superscript"/>
        </w:rPr>
        <w:t>68</w:t>
      </w:r>
      <w:r w:rsidR="0098134D" w:rsidRPr="008A28E4">
        <w:rPr>
          <w:rFonts w:ascii="Book Antiqua" w:hAnsi="Book Antiqua" w:cs="Times New Roman"/>
          <w:bCs/>
          <w:sz w:val="24"/>
          <w:szCs w:val="24"/>
          <w:vertAlign w:val="superscript"/>
        </w:rPr>
        <w:fldChar w:fldCharType="end"/>
      </w:r>
      <w:r w:rsidR="00286B87" w:rsidRPr="008A28E4">
        <w:rPr>
          <w:rFonts w:ascii="Book Antiqua" w:hAnsi="Book Antiqua" w:cs="Times New Roman"/>
          <w:bCs/>
          <w:sz w:val="24"/>
          <w:szCs w:val="24"/>
          <w:vertAlign w:val="superscript"/>
        </w:rPr>
        <w:t>]</w:t>
      </w:r>
      <w:r w:rsidRPr="008A28E4">
        <w:rPr>
          <w:rFonts w:ascii="Book Antiqua" w:hAnsi="Book Antiqua" w:cs="Times New Roman"/>
          <w:bCs/>
          <w:sz w:val="24"/>
          <w:szCs w:val="24"/>
        </w:rPr>
        <w:t>. Two new dilatation systems described have been a radially expan</w:t>
      </w:r>
      <w:r w:rsidR="00C22D17" w:rsidRPr="008A28E4">
        <w:rPr>
          <w:rFonts w:ascii="Book Antiqua" w:hAnsi="Book Antiqua" w:cs="Times New Roman"/>
          <w:bCs/>
          <w:sz w:val="24"/>
          <w:szCs w:val="24"/>
        </w:rPr>
        <w:t>ding single step dilator system</w:t>
      </w:r>
      <w:r w:rsidR="0098134D" w:rsidRPr="008A28E4">
        <w:rPr>
          <w:rFonts w:ascii="Book Antiqua" w:hAnsi="Book Antiqua" w:cs="Times New Roman"/>
          <w:bCs/>
          <w:sz w:val="24"/>
          <w:szCs w:val="24"/>
          <w:vertAlign w:val="superscript"/>
        </w:rPr>
        <w:fldChar w:fldCharType="begin" w:fldLock="1"/>
      </w:r>
      <w:r w:rsidRPr="008A28E4">
        <w:rPr>
          <w:rFonts w:ascii="Book Antiqua" w:hAnsi="Book Antiqua" w:cs="Times New Roman"/>
          <w:bCs/>
          <w:sz w:val="24"/>
          <w:szCs w:val="24"/>
          <w:vertAlign w:val="superscript"/>
        </w:rPr>
        <w:instrText>ADDIN CSL_CITATION { "citationItems" : [ { "id" : "ITEM-1", "itemData" : { "DOI" : "10.1016/S0090-4295(01)01359-0", "ISSN" : "00904295", "PMID" : "11711342", "abstract" : "Objectives. To compare the radial and axial forces produced by balloon, Amplatz, and radially expanding single-step nephrostomy (RESN) systems and report our initial clinical results using the new RESN device. Balloon, Amplatz, and Alken dilators are commonly used to establish nephrostomy tracts in percutaneous surgery. They require multiple steps, with the potential for kinking and displacement of the working guidewire. In contrast, the new RESN tract dilator expands a unique sleeve conduit and places an Amplatz-like sheath in a single step with less dependence on a guidewire for dilation. Methods. An experimental model was designed using a perforated silicon disc with a 10F central opening to measure the axial force transmission as 30F balloon, Amplatz, and RESN systems were inserted through the silicon discs. We also report our first 9 patients who underwent percutaneous dilation with the RESN system. Results. Thirty French expansion was achieved with each dilator tested. Substantially lower axial forces were transmitted with the RESN device compared with the balloon and Amplatz dilators (5.2 versus 13.1 and 19.2 lb, respectively, P &lt;0.001). Intraoperatively, all 9 patients were successfully dilated, and the kidney was relatively stationary as imaged with fluoroscopy. One patient with multiple prior renal procedures was successfully dilated with RESN system after failed attempts with balloon dilation. Conclusions. The RESN dilator is a rapid, single-step access system successfully used in our first 9 patients. Intraluminal sleeve dilation eliminates guidewire dependence for maintaining access, limits renal displacement, and facilitates appropriate vector force for percutaneous dilation. ?? 2001, Elsevier Science Inc.", "author" : [ { "dropping-particle" : "", "family" : "Goharderakhshan", "given" : "Reza Z.", "non-dropping-particle" : "", "parse-names" : false, "suffix" : "" }, { "dropping-particle" : "", "family" : "Schwartz", "given" : "Bradley F.", "non-dropping-particle" : "", "parse-names" : false, "suffix" : "" }, { "dropping-particle" : "", "family" : "Rudnick", "given" : "David M.", "non-dropping-particle" : "", "parse-names" : false, "suffix" : "" }, { "dropping-particle" : "", "family" : "Irby", "given" : "Pierce B.", "non-dropping-particle" : "", "parse-names" : false, "suffix" : "" }, { "dropping-particle" : "", "family" : "Stoller", "given" : "Marshall L.", "non-dropping-particle" : "", "parse-names" : false, "suffix" : "" } ], "container-title" : "Urology", "id" : "ITEM-1", "issued" : { "date-parts" : [ [ "2001" ] ] }, "page" : "693-696", "title" : "Radially expanding single-step nephrostomy tract dilator", "type" : "article-journal", "volume" : "58" }, "uris" : [ "http://www.mendeley.com/documents/?uuid=37e5894f-dc04-448b-86a3-d3e7aea8f604", "http://www.mendeley.com/documents/?uuid=d44871d6-e12c-479d-8f96-8dd97191c55d" ] } ], "mendeley" : { "previouslyFormattedCitation" : "(61)" }, "properties" : { "noteIndex" : 0 }, "schema" : "https://github.com/citation-style-language/schema/raw/master/csl-citation.json" }</w:instrText>
      </w:r>
      <w:r w:rsidR="0098134D" w:rsidRPr="008A28E4">
        <w:rPr>
          <w:rFonts w:ascii="Book Antiqua" w:hAnsi="Book Antiqua" w:cs="Times New Roman"/>
          <w:bCs/>
          <w:sz w:val="24"/>
          <w:szCs w:val="24"/>
          <w:vertAlign w:val="superscript"/>
        </w:rPr>
        <w:fldChar w:fldCharType="separate"/>
      </w:r>
      <w:r w:rsidR="00286B87" w:rsidRPr="008A28E4">
        <w:rPr>
          <w:rFonts w:ascii="Book Antiqua" w:hAnsi="Book Antiqua" w:cs="Times New Roman"/>
          <w:bCs/>
          <w:noProof/>
          <w:sz w:val="24"/>
          <w:szCs w:val="24"/>
          <w:vertAlign w:val="superscript"/>
        </w:rPr>
        <w:t>[</w:t>
      </w:r>
      <w:r w:rsidRPr="008A28E4">
        <w:rPr>
          <w:rFonts w:ascii="Book Antiqua" w:hAnsi="Book Antiqua" w:cs="Times New Roman"/>
          <w:bCs/>
          <w:noProof/>
          <w:sz w:val="24"/>
          <w:szCs w:val="24"/>
          <w:vertAlign w:val="superscript"/>
        </w:rPr>
        <w:t>69</w:t>
      </w:r>
      <w:r w:rsidR="0098134D" w:rsidRPr="008A28E4">
        <w:rPr>
          <w:rFonts w:ascii="Book Antiqua" w:hAnsi="Book Antiqua" w:cs="Times New Roman"/>
          <w:bCs/>
          <w:sz w:val="24"/>
          <w:szCs w:val="24"/>
          <w:vertAlign w:val="superscript"/>
        </w:rPr>
        <w:fldChar w:fldCharType="end"/>
      </w:r>
      <w:r w:rsidR="00286B87" w:rsidRPr="008A28E4">
        <w:rPr>
          <w:rFonts w:ascii="Book Antiqua" w:hAnsi="Book Antiqua" w:cs="Times New Roman"/>
          <w:bCs/>
          <w:sz w:val="24"/>
          <w:szCs w:val="24"/>
          <w:vertAlign w:val="superscript"/>
        </w:rPr>
        <w:t>]</w:t>
      </w:r>
      <w:r w:rsidRPr="008A28E4">
        <w:rPr>
          <w:rFonts w:ascii="Book Antiqua" w:hAnsi="Book Antiqua" w:cs="Times New Roman"/>
          <w:bCs/>
          <w:sz w:val="24"/>
          <w:szCs w:val="24"/>
        </w:rPr>
        <w:t xml:space="preserve"> and the 5pang system</w:t>
      </w:r>
      <w:r w:rsidR="0098134D" w:rsidRPr="008A28E4">
        <w:rPr>
          <w:rFonts w:ascii="Book Antiqua" w:hAnsi="Book Antiqua" w:cs="Times New Roman"/>
          <w:bCs/>
          <w:sz w:val="24"/>
          <w:szCs w:val="24"/>
          <w:vertAlign w:val="superscript"/>
        </w:rPr>
        <w:fldChar w:fldCharType="begin" w:fldLock="1"/>
      </w:r>
      <w:r w:rsidRPr="008A28E4">
        <w:rPr>
          <w:rFonts w:ascii="Book Antiqua" w:hAnsi="Book Antiqua" w:cs="Times New Roman"/>
          <w:bCs/>
          <w:sz w:val="24"/>
          <w:szCs w:val="24"/>
          <w:vertAlign w:val="superscript"/>
        </w:rPr>
        <w:instrText>ADDIN CSL_CITATION { "citationItems" : [ { "id" : "ITEM-1", "itemData" : { "DOI" : "10.1016/j.urology.2009.11.027", "ISSN" : "00904295", "PMID" : "20138340", "abstract" : "Objectives: To describe the use of an innovative 5-part Percutaneous Access Needle with Glidewire (5-PANG), a novel technique in an attempt to make percutaneous nephrolithotomy (PCNL-a routinely performed procedure) tract establishment a fast, safe, and less cumbersome procedure. Methods: An access needle (5-PANG needle) was designed and fabricated at the Institute of Urology, Dhule, and used for percutaneous renal access during PCNL. Results: The 5-PANG technique was used in 55 cases (57 renal units). It was used for all calyceal punctures, all types of stones, renal anatomies, and for second-time surgeries (8 cases). The mean time required (from the stage of the successful puncture using the first 3 parts of the needle till the placement of Alken's rod) was 44.54 seconds. The radiation time was a mean of 3.34 seconds. Punctured calyx and tract size did not affect the results. Visual clarity was good in 85.9% cases. No case had to be converted to conventional method or abandoned. There were no intra- or postoperative complications related to the 5-PANG. Conclusions: We find the 5-PANG technique safe, fast, effective, and inexpensive. It is easy to learn and master. We recommend this technique over the standard initial tract dilatation techniques. ?? 2010 Elsevier Inc. All rights reserved.", "author" : [ { "dropping-particle" : "V.", "family" : "Patil", "given" : "Ashish", "non-dropping-particle" : "", "parse-names" : false, "suffix" : "" } ], "container-title" : "Urology", "id" : "ITEM-1", "issued" : { "date-parts" : [ [ "2010" ] ] }, "page" : "1206-1208", "title" : "A Novel 5-Part Percutaneous Access Needle With Glidewire Technique (5-PANG) for Percutaneous Nephrolithotomy: Our Initial Experience", "type" : "article-journal", "volume" : "75" }, "uris" : [ "http://www.mendeley.com/documents/?uuid=c9343dba-8529-4713-8195-85fd8ecff53f", "http://www.mendeley.com/documents/?uuid=b668a7d3-1009-41ef-bc65-72d6ae517406" ] } ], "mendeley" : { "previouslyFormattedCitation" : "(62)" }, "properties" : { "noteIndex" : 0 }, "schema" : "https://github.com/citation-style-language/schema/raw/master/csl-citation.json" }</w:instrText>
      </w:r>
      <w:r w:rsidR="0098134D" w:rsidRPr="008A28E4">
        <w:rPr>
          <w:rFonts w:ascii="Book Antiqua" w:hAnsi="Book Antiqua" w:cs="Times New Roman"/>
          <w:bCs/>
          <w:sz w:val="24"/>
          <w:szCs w:val="24"/>
          <w:vertAlign w:val="superscript"/>
        </w:rPr>
        <w:fldChar w:fldCharType="separate"/>
      </w:r>
      <w:r w:rsidR="00286B87" w:rsidRPr="008A28E4">
        <w:rPr>
          <w:rFonts w:ascii="Book Antiqua" w:hAnsi="Book Antiqua" w:cs="Times New Roman"/>
          <w:bCs/>
          <w:noProof/>
          <w:sz w:val="24"/>
          <w:szCs w:val="24"/>
          <w:vertAlign w:val="superscript"/>
        </w:rPr>
        <w:t>[</w:t>
      </w:r>
      <w:r w:rsidRPr="008A28E4">
        <w:rPr>
          <w:rFonts w:ascii="Book Antiqua" w:hAnsi="Book Antiqua" w:cs="Times New Roman"/>
          <w:bCs/>
          <w:noProof/>
          <w:sz w:val="24"/>
          <w:szCs w:val="24"/>
          <w:vertAlign w:val="superscript"/>
        </w:rPr>
        <w:t>70</w:t>
      </w:r>
      <w:r w:rsidR="0098134D" w:rsidRPr="008A28E4">
        <w:rPr>
          <w:rFonts w:ascii="Book Antiqua" w:hAnsi="Book Antiqua" w:cs="Times New Roman"/>
          <w:bCs/>
          <w:sz w:val="24"/>
          <w:szCs w:val="24"/>
          <w:vertAlign w:val="superscript"/>
        </w:rPr>
        <w:fldChar w:fldCharType="end"/>
      </w:r>
      <w:r w:rsidR="00286B87" w:rsidRPr="008A28E4">
        <w:rPr>
          <w:rFonts w:ascii="Book Antiqua" w:hAnsi="Book Antiqua" w:cs="Times New Roman"/>
          <w:bCs/>
          <w:sz w:val="24"/>
          <w:szCs w:val="24"/>
          <w:vertAlign w:val="superscript"/>
        </w:rPr>
        <w:t>]</w:t>
      </w:r>
      <w:r w:rsidRPr="008A28E4">
        <w:rPr>
          <w:rFonts w:ascii="Book Antiqua" w:hAnsi="Book Antiqua" w:cs="Times New Roman"/>
          <w:bCs/>
          <w:sz w:val="24"/>
          <w:szCs w:val="24"/>
        </w:rPr>
        <w:t xml:space="preserve">. Both the systems of the advantage of not removing the needle and hence the dilatation is over s rigid system resulting in less chances of kinking of guide wire. Also the dilatation would be faster. However, so far it has been a single center experience and multi center experience with these two systems has not been described. </w:t>
      </w:r>
    </w:p>
    <w:p w:rsidR="00C2014D" w:rsidRPr="008A28E4" w:rsidRDefault="00C2014D" w:rsidP="008A28E4">
      <w:pPr>
        <w:spacing w:after="0" w:line="360" w:lineRule="auto"/>
        <w:ind w:firstLineChars="200" w:firstLine="480"/>
        <w:jc w:val="both"/>
        <w:rPr>
          <w:rFonts w:ascii="Book Antiqua" w:hAnsi="Book Antiqua" w:cs="Times New Roman"/>
          <w:sz w:val="24"/>
          <w:szCs w:val="24"/>
          <w:lang w:eastAsia="zh-CN"/>
        </w:rPr>
      </w:pPr>
      <w:r w:rsidRPr="008A28E4">
        <w:rPr>
          <w:rFonts w:ascii="Book Antiqua" w:hAnsi="Book Antiqua" w:cs="Times New Roman"/>
          <w:sz w:val="24"/>
          <w:szCs w:val="24"/>
        </w:rPr>
        <w:t>The important principles of tract dilatation are:</w:t>
      </w:r>
      <w:r w:rsidR="00C22D17" w:rsidRPr="008A28E4">
        <w:rPr>
          <w:rFonts w:ascii="Book Antiqua" w:hAnsi="Book Antiqua" w:cs="Times New Roman"/>
          <w:sz w:val="24"/>
          <w:szCs w:val="24"/>
          <w:lang w:eastAsia="zh-CN"/>
        </w:rPr>
        <w:t xml:space="preserve"> (1) </w:t>
      </w:r>
      <w:r w:rsidRPr="008A28E4">
        <w:rPr>
          <w:rFonts w:ascii="Book Antiqua" w:hAnsi="Book Antiqua" w:cs="Times New Roman"/>
          <w:sz w:val="24"/>
          <w:szCs w:val="24"/>
        </w:rPr>
        <w:t>A proper planning of the procedure and correct choice of the calyx of entry is vital for the success of PCNL. This needs a study the radiologic</w:t>
      </w:r>
      <w:r w:rsidR="00C22D17" w:rsidRPr="008A28E4">
        <w:rPr>
          <w:rFonts w:ascii="Book Antiqua" w:hAnsi="Book Antiqua" w:cs="Times New Roman"/>
          <w:sz w:val="24"/>
          <w:szCs w:val="24"/>
        </w:rPr>
        <w:t xml:space="preserve"> images prior to the procedure</w:t>
      </w:r>
      <w:r w:rsidR="00C22D17" w:rsidRPr="008A28E4">
        <w:rPr>
          <w:rFonts w:ascii="Book Antiqua" w:hAnsi="Book Antiqua" w:cs="Times New Roman"/>
          <w:sz w:val="24"/>
          <w:szCs w:val="24"/>
          <w:lang w:eastAsia="zh-CN"/>
        </w:rPr>
        <w:t xml:space="preserve">; (2) </w:t>
      </w:r>
      <w:r w:rsidRPr="008A28E4">
        <w:rPr>
          <w:rFonts w:ascii="Book Antiqua" w:hAnsi="Book Antiqua" w:cs="Times New Roman"/>
          <w:sz w:val="24"/>
          <w:szCs w:val="24"/>
        </w:rPr>
        <w:t>The tract should be dilated only till the minor calyx. If over-dilatation happens, it can traumatize the infundibulum, renal pelvis or uretero-pelvic junction. Trauma to the anterior wall of the PCS can cause significant bleeding that may be difficult to control. It is always better to under dilate than to over dilate and cause trauma</w:t>
      </w:r>
      <w:r w:rsidR="00C22D17" w:rsidRPr="008A28E4">
        <w:rPr>
          <w:rFonts w:ascii="Book Antiqua" w:hAnsi="Book Antiqua" w:cs="Times New Roman"/>
          <w:sz w:val="24"/>
          <w:szCs w:val="24"/>
          <w:lang w:eastAsia="zh-CN"/>
        </w:rPr>
        <w:t xml:space="preserve">; (3) </w:t>
      </w:r>
      <w:r w:rsidRPr="008A28E4">
        <w:rPr>
          <w:rFonts w:ascii="Book Antiqua" w:hAnsi="Book Antiqua" w:cs="Times New Roman"/>
          <w:sz w:val="24"/>
          <w:szCs w:val="24"/>
        </w:rPr>
        <w:t xml:space="preserve">The success of tract making is dependent on maintaining the angle, depth, and </w:t>
      </w:r>
      <w:r w:rsidR="00C22D17" w:rsidRPr="008A28E4">
        <w:rPr>
          <w:rFonts w:ascii="Book Antiqua" w:hAnsi="Book Antiqua" w:cs="Times New Roman"/>
          <w:sz w:val="24"/>
          <w:szCs w:val="24"/>
        </w:rPr>
        <w:t>the direction of the dilatation</w:t>
      </w:r>
      <w:r w:rsidR="00C22D17" w:rsidRPr="008A28E4">
        <w:rPr>
          <w:rFonts w:ascii="Book Antiqua" w:hAnsi="Book Antiqua" w:cs="Times New Roman"/>
          <w:sz w:val="24"/>
          <w:szCs w:val="24"/>
          <w:lang w:eastAsia="zh-CN"/>
        </w:rPr>
        <w:t xml:space="preserve">; (4) </w:t>
      </w:r>
      <w:r w:rsidRPr="008A28E4">
        <w:rPr>
          <w:rFonts w:ascii="Book Antiqua" w:hAnsi="Book Antiqua" w:cs="Times New Roman"/>
          <w:sz w:val="24"/>
          <w:szCs w:val="24"/>
        </w:rPr>
        <w:t>Every step of dilatation shou</w:t>
      </w:r>
      <w:r w:rsidR="00C22D17" w:rsidRPr="008A28E4">
        <w:rPr>
          <w:rFonts w:ascii="Book Antiqua" w:hAnsi="Book Antiqua" w:cs="Times New Roman"/>
          <w:sz w:val="24"/>
          <w:szCs w:val="24"/>
        </w:rPr>
        <w:t>ld be monitored on fluoroscopy</w:t>
      </w:r>
      <w:r w:rsidR="00C22D17" w:rsidRPr="008A28E4">
        <w:rPr>
          <w:rFonts w:ascii="Book Antiqua" w:hAnsi="Book Antiqua" w:cs="Times New Roman"/>
          <w:sz w:val="24"/>
          <w:szCs w:val="24"/>
          <w:lang w:eastAsia="zh-CN"/>
        </w:rPr>
        <w:t xml:space="preserve">; (5) </w:t>
      </w:r>
      <w:r w:rsidRPr="008A28E4">
        <w:rPr>
          <w:rFonts w:ascii="Book Antiqua" w:hAnsi="Book Antiqua" w:cs="Times New Roman"/>
          <w:sz w:val="24"/>
          <w:szCs w:val="24"/>
        </w:rPr>
        <w:t>The collecting system should be kept distended during dilatation by instilling in the system either contrast or saline. This is instilled by the OR assistant</w:t>
      </w:r>
      <w:r w:rsidR="00C22D17" w:rsidRPr="008A28E4">
        <w:rPr>
          <w:rFonts w:ascii="Book Antiqua" w:hAnsi="Book Antiqua" w:cs="Times New Roman"/>
          <w:sz w:val="24"/>
          <w:szCs w:val="24"/>
        </w:rPr>
        <w:t xml:space="preserve"> through the ureteric catheter</w:t>
      </w:r>
      <w:r w:rsidR="00C22D17" w:rsidRPr="008A28E4">
        <w:rPr>
          <w:rFonts w:ascii="Book Antiqua" w:hAnsi="Book Antiqua" w:cs="Times New Roman"/>
          <w:sz w:val="24"/>
          <w:szCs w:val="24"/>
          <w:lang w:eastAsia="zh-CN"/>
        </w:rPr>
        <w:t xml:space="preserve">; and (6) </w:t>
      </w:r>
      <w:r w:rsidRPr="008A28E4">
        <w:rPr>
          <w:rFonts w:ascii="Book Antiqua" w:hAnsi="Book Antiqua" w:cs="Times New Roman"/>
          <w:sz w:val="24"/>
          <w:szCs w:val="24"/>
        </w:rPr>
        <w:t>Adequate lumbotomy is important for safe dilatation.</w:t>
      </w:r>
    </w:p>
    <w:p w:rsidR="00C2014D" w:rsidRPr="008A28E4" w:rsidRDefault="00C2014D" w:rsidP="008A28E4">
      <w:pPr>
        <w:spacing w:after="0" w:line="360" w:lineRule="auto"/>
        <w:jc w:val="both"/>
        <w:rPr>
          <w:rFonts w:ascii="Book Antiqua" w:hAnsi="Book Antiqua" w:cs="Times New Roman"/>
          <w:sz w:val="24"/>
          <w:szCs w:val="24"/>
        </w:rPr>
      </w:pPr>
    </w:p>
    <w:p w:rsidR="00C2014D" w:rsidRPr="008A28E4" w:rsidRDefault="00505DA4" w:rsidP="008A28E4">
      <w:pPr>
        <w:spacing w:after="0" w:line="360" w:lineRule="auto"/>
        <w:jc w:val="both"/>
        <w:rPr>
          <w:rFonts w:ascii="Book Antiqua" w:hAnsi="Book Antiqua" w:cs="Times New Roman"/>
          <w:b/>
          <w:bCs/>
          <w:sz w:val="24"/>
          <w:szCs w:val="24"/>
        </w:rPr>
      </w:pPr>
      <w:r w:rsidRPr="008A28E4">
        <w:rPr>
          <w:rFonts w:ascii="Book Antiqua" w:hAnsi="Book Antiqua" w:cs="Times New Roman"/>
          <w:b/>
          <w:bCs/>
          <w:sz w:val="24"/>
          <w:szCs w:val="24"/>
        </w:rPr>
        <w:t>AMPLATZ SHEATH</w:t>
      </w:r>
    </w:p>
    <w:p w:rsidR="00C2014D" w:rsidRPr="008A28E4" w:rsidRDefault="00C2014D" w:rsidP="008A28E4">
      <w:pPr>
        <w:widowControl w:val="0"/>
        <w:autoSpaceDE w:val="0"/>
        <w:autoSpaceDN w:val="0"/>
        <w:adjustRightInd w:val="0"/>
        <w:spacing w:after="0" w:line="360" w:lineRule="auto"/>
        <w:jc w:val="both"/>
        <w:rPr>
          <w:rFonts w:ascii="Book Antiqua" w:hAnsi="Book Antiqua" w:cs="Times New Roman"/>
          <w:sz w:val="24"/>
          <w:szCs w:val="24"/>
          <w:lang w:eastAsia="zh-CN"/>
        </w:rPr>
      </w:pPr>
      <w:r w:rsidRPr="008A28E4">
        <w:rPr>
          <w:rFonts w:ascii="Book Antiqua" w:hAnsi="Book Antiqua" w:cs="Times New Roman"/>
          <w:sz w:val="24"/>
          <w:szCs w:val="24"/>
        </w:rPr>
        <w:t>The use of an Amplatz Sheath during percutaneous renal procedures has become standard. No matter the type of dilator used, rigid or balloon, or the technique of track dilation, one-step or multi-stepped, an Amplatz sheath is always used.  The Amplatz sheath serves many purposes</w:t>
      </w:r>
      <w:r w:rsidR="00C22D17" w:rsidRPr="008A28E4">
        <w:rPr>
          <w:rFonts w:ascii="Book Antiqua" w:hAnsi="Book Antiqua" w:cs="Times New Roman"/>
          <w:sz w:val="24"/>
          <w:szCs w:val="24"/>
          <w:lang w:eastAsia="zh-CN"/>
        </w:rPr>
        <w:t xml:space="preserve">: (1) </w:t>
      </w:r>
      <w:r w:rsidRPr="008A28E4">
        <w:rPr>
          <w:rFonts w:ascii="Book Antiqua" w:hAnsi="Book Antiqua" w:cs="Times New Roman"/>
          <w:sz w:val="24"/>
          <w:szCs w:val="24"/>
        </w:rPr>
        <w:t>Amplatz sheath maintains the tract during procedure</w:t>
      </w:r>
      <w:r w:rsidR="00C22D17" w:rsidRPr="008A28E4">
        <w:rPr>
          <w:rFonts w:ascii="Book Antiqua" w:hAnsi="Book Antiqua" w:cs="Times New Roman"/>
          <w:sz w:val="24"/>
          <w:szCs w:val="24"/>
          <w:lang w:eastAsia="zh-CN"/>
        </w:rPr>
        <w:t xml:space="preserve">; (2) </w:t>
      </w:r>
      <w:r w:rsidRPr="008A28E4">
        <w:rPr>
          <w:rFonts w:ascii="Book Antiqua" w:hAnsi="Book Antiqua" w:cs="Times New Roman"/>
          <w:sz w:val="24"/>
          <w:szCs w:val="24"/>
        </w:rPr>
        <w:t>It causes tamponade of the tract and reduces bleeding. The beveled end of the Amplatz sheath can be used to tamponade a part of renal paren</w:t>
      </w:r>
      <w:r w:rsidR="00C22D17" w:rsidRPr="008A28E4">
        <w:rPr>
          <w:rFonts w:ascii="Book Antiqua" w:hAnsi="Book Antiqua" w:cs="Times New Roman"/>
          <w:sz w:val="24"/>
          <w:szCs w:val="24"/>
        </w:rPr>
        <w:t>chyma that is actively bleeding</w:t>
      </w:r>
      <w:r w:rsidR="0098134D" w:rsidRPr="008A28E4">
        <w:rPr>
          <w:rFonts w:ascii="Book Antiqua" w:hAnsi="Book Antiqua" w:cs="Times New Roman"/>
          <w:sz w:val="24"/>
          <w:szCs w:val="24"/>
          <w:vertAlign w:val="superscript"/>
        </w:rPr>
        <w:fldChar w:fldCharType="begin" w:fldLock="1"/>
      </w:r>
      <w:r w:rsidRPr="008A28E4">
        <w:rPr>
          <w:rFonts w:ascii="Book Antiqua" w:hAnsi="Book Antiqua" w:cs="Times New Roman"/>
          <w:sz w:val="24"/>
          <w:szCs w:val="24"/>
          <w:vertAlign w:val="superscript"/>
        </w:rPr>
        <w:instrText>ADDIN CSL_CITATION { "citationItems" : [ { "id" : "ITEM-1", "itemData" : { "DOI" : "10.1089/end.2008.0032", "ISSN" : "0892-7790", "PMID" : "19178171", "abstract" : "PURPOSE: To describe our Seldinger technique of percutaneous renal cryoablation that was devised to facilitate renal biopsy, cryoprobe placement, and instillation of adjunctive hemostatics while protecting surrounding tissues from cryoinjury. PATIENTS AND METHODS: This approach was used to manage 13 renal masses in 12 adult patients. Under CT-fluoroscopic guidance, an access needle was inserted to abut the surface of the tumor, followed by an Amplatz super-stiff guidewire and a customized coaxial catheter system, which was used as a conduit for needle biopsy, cryoprobe insertion, and FloSeal instillation. In addition, a porcine model was used to compare the temperature readings adjacent to the sheathed and the unsheathed cryoprobe during percutaneous renal cryoablation. RESULTS: In all patients, the use of this access approach was accomplished without incident. Two patients needed blood transfusions. No patient had significant skin, muscle, or nerve debility. At a mean follow-up of 11 months, none had evidence of persistent disease on CT or MRI contrast imaging. In the porcine model, the customized sheath protected the surrounding tissues from reaching temperatures below 5 degrees C while temperatures down to -15 degrees C were obtained when no insulating sheath was used. CONCLUSIONS: A modified Seldinger technique enabled us to perform percutaneous renal cryotherapy through a single access channel, which facilitated access for biopsy, cryoprobe placement, and instillation of hemostatic agents. This approach may provide a protective barrier against cryogenic damage to neighboring tissues and could theoretically help minimize the chance of tract seeding.", "author" : [ { "dropping-particle" : "", "family" : "Abraham", "given" : "Jose Benito A", "non-dropping-particle" : "", "parse-names" : false, "suffix" : "" }, { "dropping-particle" : "", "family" : "Gamboa", "given" : "Aldrin Joseph R", "non-dropping-particle" : "", "parse-names" : false, "suffix" : "" }, { "dropping-particle" : "", "family" : "Finley", "given" : "David S", "non-dropping-particle" : "", "parse-names" : false, "suffix" : "" }, { "dropping-particle" : "", "family" : "Beck", "given" : "Shawn M", "non-dropping-particle" : "", "parse-names" : false, "suffix" : "" }, { "dropping-particle" : "", "family" : "Lee", "given" : "Hak J", "non-dropping-particle" : "", "parse-names" : false, "suffix" : "" }, { "dropping-particle" : "", "family" : "Santos", "given" : "Ricardo J S", "non-dropping-particle" : "", "parse-names" : false, "suffix" : "" }, { "dropping-particle" : "", "family" : "Box", "given" : "Geoffrey N", "non-dropping-particle" : "", "parse-names" : false, "suffix" : "" }, { "dropping-particle" : "", "family" : "Deane", "given" : "Leslie A", "non-dropping-particle" : "", "parse-names" : false, "suffix" : "" }, { "dropping-particle" : "", "family" : "Vajgrt", "given" : "Duane J", "non-dropping-particle" : "", "parse-names" : false, "suffix" : "" }, { "dropping-particle" : "", "family" : "McDougall", "given" : "Elspeth M", "non-dropping-particle" : "", "parse-names" : false, "suffix" : "" }, { "dropping-particle" : "V", "family" : "Clayman", "given" : "Ralph", "non-dropping-particle" : "", "parse-names" : false, "suffix" : "" } ], "container-title" : "Journal of endourology / Endourological Society", "id" : "ITEM-1", "issued" : { "date-parts" : [ [ "2009" ] ] }, "page" : "43-49", "title" : "The UCI Seldinger technique for percutaneous renal cryoablation: protecting the tract and achieving hemostasis.", "type" : "report", "volume" : "23" }, "uris" : [ "http://www.mendeley.com/documents/?uuid=21b896c8-1530-4c5d-8bfa-101a5a7e2b22", "http://www.mendeley.com/documents/?uuid=d8dca364-c68b-48fd-93be-2478525d937b" ] } ], "mendeley" : { "previouslyFormattedCitation" : "(63)" }, "properties" : { "noteIndex" : 0 }, "schema" : "https://github.com/citation-style-language/schema/raw/master/csl-citation.json" }</w:instrText>
      </w:r>
      <w:r w:rsidR="0098134D" w:rsidRPr="008A28E4">
        <w:rPr>
          <w:rFonts w:ascii="Book Antiqua" w:hAnsi="Book Antiqua" w:cs="Times New Roman"/>
          <w:sz w:val="24"/>
          <w:szCs w:val="24"/>
          <w:vertAlign w:val="superscript"/>
        </w:rPr>
        <w:fldChar w:fldCharType="separate"/>
      </w:r>
      <w:r w:rsidR="00286B87" w:rsidRPr="008A28E4">
        <w:rPr>
          <w:rFonts w:ascii="Book Antiqua" w:hAnsi="Book Antiqua" w:cs="Times New Roman"/>
          <w:noProof/>
          <w:sz w:val="24"/>
          <w:szCs w:val="24"/>
          <w:vertAlign w:val="superscript"/>
        </w:rPr>
        <w:t>[</w:t>
      </w:r>
      <w:r w:rsidRPr="008A28E4">
        <w:rPr>
          <w:rFonts w:ascii="Book Antiqua" w:hAnsi="Book Antiqua" w:cs="Times New Roman"/>
          <w:noProof/>
          <w:sz w:val="24"/>
          <w:szCs w:val="24"/>
          <w:vertAlign w:val="superscript"/>
        </w:rPr>
        <w:t>71</w:t>
      </w:r>
      <w:r w:rsidR="0098134D" w:rsidRPr="008A28E4">
        <w:rPr>
          <w:rFonts w:ascii="Book Antiqua" w:hAnsi="Book Antiqua" w:cs="Times New Roman"/>
          <w:sz w:val="24"/>
          <w:szCs w:val="24"/>
          <w:vertAlign w:val="superscript"/>
        </w:rPr>
        <w:fldChar w:fldCharType="end"/>
      </w:r>
      <w:r w:rsidR="00286B87" w:rsidRPr="008A28E4">
        <w:rPr>
          <w:rFonts w:ascii="Book Antiqua" w:hAnsi="Book Antiqua" w:cs="Times New Roman"/>
          <w:sz w:val="24"/>
          <w:szCs w:val="24"/>
          <w:vertAlign w:val="superscript"/>
        </w:rPr>
        <w:t>]</w:t>
      </w:r>
      <w:r w:rsidR="00C22D17" w:rsidRPr="008A28E4">
        <w:rPr>
          <w:rFonts w:ascii="Book Antiqua" w:hAnsi="Book Antiqua" w:cs="Times New Roman"/>
          <w:sz w:val="24"/>
          <w:szCs w:val="24"/>
          <w:lang w:eastAsia="zh-CN"/>
        </w:rPr>
        <w:t xml:space="preserve">; (3) </w:t>
      </w:r>
      <w:r w:rsidRPr="008A28E4">
        <w:rPr>
          <w:rFonts w:ascii="Book Antiqua" w:hAnsi="Book Antiqua" w:cs="Times New Roman"/>
          <w:sz w:val="24"/>
          <w:szCs w:val="24"/>
        </w:rPr>
        <w:t>It protects the renal parenchyma from injury by the instru</w:t>
      </w:r>
      <w:r w:rsidR="00C22D17" w:rsidRPr="008A28E4">
        <w:rPr>
          <w:rFonts w:ascii="Book Antiqua" w:hAnsi="Book Antiqua" w:cs="Times New Roman"/>
          <w:sz w:val="24"/>
          <w:szCs w:val="24"/>
        </w:rPr>
        <w:t>ments used in renal procedures</w:t>
      </w:r>
      <w:r w:rsidR="00C22D17" w:rsidRPr="008A28E4">
        <w:rPr>
          <w:rFonts w:ascii="Book Antiqua" w:hAnsi="Book Antiqua" w:cs="Times New Roman"/>
          <w:sz w:val="24"/>
          <w:szCs w:val="24"/>
          <w:lang w:eastAsia="zh-CN"/>
        </w:rPr>
        <w:t xml:space="preserve">; (4) </w:t>
      </w:r>
      <w:r w:rsidRPr="008A28E4">
        <w:rPr>
          <w:rFonts w:ascii="Book Antiqua" w:hAnsi="Book Antiqua" w:cs="Times New Roman"/>
          <w:sz w:val="24"/>
          <w:szCs w:val="24"/>
        </w:rPr>
        <w:t xml:space="preserve">The use of Amplatz sheath maintains a low-pressure system and reduces fluid intravasation. Maintaining a low-pressure system would be important in patients with infected calculi as </w:t>
      </w:r>
      <w:r w:rsidR="00C22D17" w:rsidRPr="008A28E4">
        <w:rPr>
          <w:rFonts w:ascii="Book Antiqua" w:hAnsi="Book Antiqua" w:cs="Times New Roman"/>
          <w:sz w:val="24"/>
          <w:szCs w:val="24"/>
        </w:rPr>
        <w:t>the risk of sepsis would reduce</w:t>
      </w:r>
      <w:r w:rsidR="00C22D17" w:rsidRPr="008A28E4">
        <w:rPr>
          <w:rFonts w:ascii="Book Antiqua" w:hAnsi="Book Antiqua" w:cs="Times New Roman"/>
          <w:sz w:val="24"/>
          <w:szCs w:val="24"/>
          <w:lang w:eastAsia="zh-CN"/>
        </w:rPr>
        <w:t xml:space="preserve">; and (5) </w:t>
      </w:r>
      <w:r w:rsidRPr="008A28E4">
        <w:rPr>
          <w:rFonts w:ascii="Book Antiqua" w:hAnsi="Book Antiqua" w:cs="Times New Roman"/>
          <w:sz w:val="24"/>
          <w:szCs w:val="24"/>
        </w:rPr>
        <w:t xml:space="preserve">Amplatz sheath helps in removal of calculi and prevents parenchymal injury by broken ragged stone edges. </w:t>
      </w:r>
    </w:p>
    <w:p w:rsidR="00C22D17" w:rsidRPr="008A28E4" w:rsidRDefault="00C22D17" w:rsidP="008A28E4">
      <w:pPr>
        <w:widowControl w:val="0"/>
        <w:autoSpaceDE w:val="0"/>
        <w:autoSpaceDN w:val="0"/>
        <w:adjustRightInd w:val="0"/>
        <w:spacing w:after="0" w:line="360" w:lineRule="auto"/>
        <w:jc w:val="both"/>
        <w:rPr>
          <w:rFonts w:ascii="Book Antiqua" w:hAnsi="Book Antiqua" w:cs="Times New Roman"/>
          <w:sz w:val="24"/>
          <w:szCs w:val="24"/>
          <w:lang w:eastAsia="zh-CN"/>
        </w:rPr>
      </w:pPr>
    </w:p>
    <w:p w:rsidR="00C2014D" w:rsidRPr="008A28E4" w:rsidRDefault="00505DA4" w:rsidP="008A28E4">
      <w:pPr>
        <w:spacing w:after="0" w:line="360" w:lineRule="auto"/>
        <w:jc w:val="both"/>
        <w:rPr>
          <w:rFonts w:ascii="Book Antiqua" w:hAnsi="Book Antiqua" w:cs="Times New Roman"/>
          <w:sz w:val="24"/>
          <w:szCs w:val="24"/>
        </w:rPr>
      </w:pPr>
      <w:r w:rsidRPr="008A28E4">
        <w:rPr>
          <w:rFonts w:ascii="Book Antiqua" w:hAnsi="Book Antiqua" w:cs="Times New Roman"/>
          <w:b/>
          <w:bCs/>
          <w:sz w:val="24"/>
          <w:szCs w:val="24"/>
        </w:rPr>
        <w:t>WHEN TO DO MULTIPLE PUNCTURES?</w:t>
      </w:r>
    </w:p>
    <w:p w:rsidR="00C2014D" w:rsidRPr="008A28E4" w:rsidRDefault="00C2014D" w:rsidP="008A28E4">
      <w:pPr>
        <w:widowControl w:val="0"/>
        <w:autoSpaceDE w:val="0"/>
        <w:autoSpaceDN w:val="0"/>
        <w:adjustRightInd w:val="0"/>
        <w:spacing w:after="0" w:line="360" w:lineRule="auto"/>
        <w:jc w:val="both"/>
        <w:rPr>
          <w:rFonts w:ascii="Book Antiqua" w:hAnsi="Book Antiqua" w:cs="Times New Roman"/>
          <w:sz w:val="24"/>
          <w:szCs w:val="24"/>
        </w:rPr>
      </w:pPr>
      <w:r w:rsidRPr="008A28E4">
        <w:rPr>
          <w:rFonts w:ascii="Book Antiqua" w:hAnsi="Book Antiqua" w:cs="Times New Roman"/>
          <w:sz w:val="24"/>
          <w:szCs w:val="24"/>
        </w:rPr>
        <w:t>The amount of bleeding, parenchymal damage, morbidity as well as the risk to the patient increases with incr</w:t>
      </w:r>
      <w:r w:rsidR="00113CEF" w:rsidRPr="008A28E4">
        <w:rPr>
          <w:rFonts w:ascii="Book Antiqua" w:hAnsi="Book Antiqua" w:cs="Times New Roman"/>
          <w:sz w:val="24"/>
          <w:szCs w:val="24"/>
        </w:rPr>
        <w:t>ease in the number of punctures</w:t>
      </w:r>
      <w:r w:rsidR="0098134D" w:rsidRPr="008A28E4">
        <w:rPr>
          <w:rFonts w:ascii="Book Antiqua" w:hAnsi="Book Antiqua" w:cs="Times New Roman"/>
          <w:sz w:val="24"/>
          <w:szCs w:val="24"/>
          <w:vertAlign w:val="superscript"/>
        </w:rPr>
        <w:fldChar w:fldCharType="begin" w:fldLock="1"/>
      </w:r>
      <w:r w:rsidRPr="008A28E4">
        <w:rPr>
          <w:rFonts w:ascii="Book Antiqua" w:hAnsi="Book Antiqua" w:cs="Times New Roman"/>
          <w:sz w:val="24"/>
          <w:szCs w:val="24"/>
          <w:vertAlign w:val="superscript"/>
        </w:rPr>
        <w:instrText>ADDIN CSL_CITATION { "citationItems" : [ { "id" : "ITEM-1", "itemData" : { "DOI" : "10.1159/000096339", "ISSN" : "00421138", "PMID" : "17135785", "abstract" : "OBJECTIVES: Percutaneous nephrolithotomy (PNL) is sometimes associated with complications, especially in patients with complex stones. Herein, we review our experience with PNL to determine the impact of percutaneous access number and location on success and complication rates. PATIENTS AND METHODS: During a 2-year period, a total of 275 patients with a mean age of 42.3 +/- 14.8 (range: 13-75) years underwent PNL. Stones were classified as simple in 51.6%, and complex (staghorn calculi or renal pelvis stones coexisting with caliceal stones) in 48.4%. Percutaneous access was done under C-armed fluoroscopy and the tract was formed with a high-pressure balloon dilation system. One single percutaneous access was sufficient in 210 (76.4%), while 2 accesses were utilized in 44 (16%), and &gt; or =3 accesses in 21 cases (7.6%). Supracostal access was performed in 23 (8.4%) patients. RESULTS: An overall success rate of 94.9% was achieved. Stone location, but not the access point location, was the major determinant for success, which was 99.3 and 90.2% in patients with simple and complex stones, respectively (p &lt; 0.01). Significant complications included bleeding necessitating blood transfusion in 28 (10.2%), and hydropneumothorax in 2 (0.7%) patients. Bleeding was observed in 39.1 and 7.5% of patients managed with supracostal access, and subcostal access, respectively (p &lt; 0.01). An increased number of access points significantly augmented the risk for bleeding. Bleeding was encountered in 7.6% of patients managed with 1 percutaneous access point, and in 18.5% of cases managed with &gt; or =2 access points (p &lt; 0.05). Hydropneumothorax occurred in patients with supracostal access. CONCLUSION: Supracostal access as well as multiple punctures may be needed especially in the management of complex stones, and the need for multiple access points and supracostal access significantly increases complication rates.", "author" : [ { "dropping-particle" : "", "family" : "Muslumanoglu", "given" : "Ahmet Yaser", "non-dropping-particle" : "", "parse-names" : false, "suffix" : "" }, { "dropping-particle" : "", "family" : "Tefekli", "given" : "Ahmet", "non-dropping-particle" : "", "parse-names" : false, "suffix" : "" }, { "dropping-particle" : "", "family" : "Karadag", "given" : "Mert Ali", "non-dropping-particle" : "", "parse-names" : false, "suffix" : "" }, { "dropping-particle" : "", "family" : "Tok", "given" : "Adem", "non-dropping-particle" : "", "parse-names" : false, "suffix" : "" }, { "dropping-particle" : "", "family" : "Sari", "given" : "Erhan", "non-dropping-particle" : "", "parse-names" : false, "suffix" : "" }, { "dropping-particle" : "", "family" : "Berberoglu", "given" : "Yalcin", "non-dropping-particle" : "", "parse-names" : false, "suffix" : "" } ], "container-title" : "Urologia Internationalis", "id" : "ITEM-1", "issued" : { "date-parts" : [ [ "2006" ] ] }, "page" : "340-346", "title" : "Impact of percutaneous access point number and location on complication and success rates in percutaneous nephrolithotomy", "type" : "article-journal", "volume" : "77" }, "uris" : [ "http://www.mendeley.com/documents/?uuid=948943f4-5078-4ca2-b9d2-871b6e32e736", "http://www.mendeley.com/documents/?uuid=d129fa7a-4309-4531-b169-091d4c561a16" ] } ], "mendeley" : { "previouslyFormattedCitation" : "(64)" }, "properties" : { "noteIndex" : 0 }, "schema" : "https://github.com/citation-style-language/schema/raw/master/csl-citation.json" }</w:instrText>
      </w:r>
      <w:r w:rsidR="0098134D" w:rsidRPr="008A28E4">
        <w:rPr>
          <w:rFonts w:ascii="Book Antiqua" w:hAnsi="Book Antiqua" w:cs="Times New Roman"/>
          <w:sz w:val="24"/>
          <w:szCs w:val="24"/>
          <w:vertAlign w:val="superscript"/>
        </w:rPr>
        <w:fldChar w:fldCharType="separate"/>
      </w:r>
      <w:r w:rsidR="00286B87" w:rsidRPr="008A28E4">
        <w:rPr>
          <w:rFonts w:ascii="Book Antiqua" w:hAnsi="Book Antiqua" w:cs="Times New Roman"/>
          <w:noProof/>
          <w:sz w:val="24"/>
          <w:szCs w:val="24"/>
          <w:vertAlign w:val="superscript"/>
        </w:rPr>
        <w:t>[</w:t>
      </w:r>
      <w:r w:rsidRPr="008A28E4">
        <w:rPr>
          <w:rFonts w:ascii="Book Antiqua" w:hAnsi="Book Antiqua" w:cs="Times New Roman"/>
          <w:noProof/>
          <w:sz w:val="24"/>
          <w:szCs w:val="24"/>
          <w:vertAlign w:val="superscript"/>
        </w:rPr>
        <w:t>72</w:t>
      </w:r>
      <w:r w:rsidR="0098134D" w:rsidRPr="008A28E4">
        <w:rPr>
          <w:rFonts w:ascii="Book Antiqua" w:hAnsi="Book Antiqua" w:cs="Times New Roman"/>
          <w:sz w:val="24"/>
          <w:szCs w:val="24"/>
          <w:vertAlign w:val="superscript"/>
        </w:rPr>
        <w:fldChar w:fldCharType="end"/>
      </w:r>
      <w:r w:rsidR="00286B87" w:rsidRPr="008A28E4">
        <w:rPr>
          <w:rFonts w:ascii="Book Antiqua" w:hAnsi="Book Antiqua" w:cs="Times New Roman"/>
          <w:sz w:val="24"/>
          <w:szCs w:val="24"/>
          <w:vertAlign w:val="superscript"/>
        </w:rPr>
        <w:t>]</w:t>
      </w:r>
      <w:r w:rsidRPr="008A28E4">
        <w:rPr>
          <w:rFonts w:ascii="Book Antiqua" w:hAnsi="Book Antiqua" w:cs="Times New Roman"/>
          <w:sz w:val="24"/>
          <w:szCs w:val="24"/>
        </w:rPr>
        <w:t>. It is important to plan the first puncture in a way that multiple punctures are avoided. Use of flexible nephroscopy and flexible ureteroscopy would also reduce the need for multiple punctur</w:t>
      </w:r>
      <w:r w:rsidR="00C22D17" w:rsidRPr="008A28E4">
        <w:rPr>
          <w:rFonts w:ascii="Book Antiqua" w:hAnsi="Book Antiqua" w:cs="Times New Roman"/>
          <w:sz w:val="24"/>
          <w:szCs w:val="24"/>
        </w:rPr>
        <w:t>es</w:t>
      </w:r>
      <w:r w:rsidR="0098134D" w:rsidRPr="008A28E4">
        <w:rPr>
          <w:rFonts w:ascii="Book Antiqua" w:hAnsi="Book Antiqua" w:cs="Times New Roman"/>
          <w:sz w:val="24"/>
          <w:szCs w:val="24"/>
          <w:vertAlign w:val="superscript"/>
        </w:rPr>
        <w:fldChar w:fldCharType="begin" w:fldLock="1"/>
      </w:r>
      <w:r w:rsidRPr="008A28E4">
        <w:rPr>
          <w:rFonts w:ascii="Book Antiqua" w:hAnsi="Book Antiqua" w:cs="Times New Roman"/>
          <w:sz w:val="24"/>
          <w:szCs w:val="24"/>
          <w:vertAlign w:val="superscript"/>
        </w:rPr>
        <w:instrText>ADDIN CSL_CITATION { "citationItems" : [ { "id" : "ITEM-1", "itemData" : { "DOI" : "10.1097/MOU.0b013e3282f517c0", "ISBN" : "0963-0643 (Print)\\r0963-0643 (Linking)", "ISSN" : "0963-0643", "PMID" : "18303549", "abstract" : "PURPOSE OF REVIEW: To focus on the technique and results of a single percutaneous puncture for the management of staghorn renal calculi. RECENT FINDINGS: The success rate for treating staghorn calculi with a single percutaneous puncture is over 90%. Animal and clinical studies seem to suggest that a single percutaneous access may be associated with reduced morbidity when compared with multiple percutaneous access punctures. SUMMARY: A single percutaneous access, whenever feasible, offers reduced morbidity without compromising excellent stone-free rates in the management of staghorn calculi.", "author" : [ { "dropping-particle" : "", "family" : "Williams", "given" : "Steve K", "non-dropping-particle" : "", "parse-names" : false, "suffix" : "" }, { "dropping-particle" : "", "family" : "Leveillee", "given" : "Raymond J", "non-dropping-particle" : "", "parse-names" : false, "suffix" : "" } ], "container-title" : "Current opinion in urology", "id" : "ITEM-1", "issued" : { "date-parts" : [ [ "2008" ] ] }, "page" : "224-228", "title" : "Management of staghorn calculus: single puncture with judicious use of the flexible nephroscope.", "type" : "article-journal", "volume" : "18" }, "uris" : [ "http://www.mendeley.com/documents/?uuid=efc433f6-c434-47dd-ab2a-d8c9e0353bc7", "http://www.mendeley.com/documents/?uuid=50c85480-e106-4c90-80da-3ab851959255" ] } ], "mendeley" : { "previouslyFormattedCitation" : "(65)" }, "properties" : { "noteIndex" : 0 }, "schema" : "https://github.com/citation-style-language/schema/raw/master/csl-citation.json" }</w:instrText>
      </w:r>
      <w:r w:rsidR="0098134D" w:rsidRPr="008A28E4">
        <w:rPr>
          <w:rFonts w:ascii="Book Antiqua" w:hAnsi="Book Antiqua" w:cs="Times New Roman"/>
          <w:sz w:val="24"/>
          <w:szCs w:val="24"/>
          <w:vertAlign w:val="superscript"/>
        </w:rPr>
        <w:fldChar w:fldCharType="separate"/>
      </w:r>
      <w:r w:rsidR="00286B87" w:rsidRPr="008A28E4">
        <w:rPr>
          <w:rFonts w:ascii="Book Antiqua" w:hAnsi="Book Antiqua" w:cs="Times New Roman"/>
          <w:noProof/>
          <w:sz w:val="24"/>
          <w:szCs w:val="24"/>
          <w:vertAlign w:val="superscript"/>
        </w:rPr>
        <w:t>[</w:t>
      </w:r>
      <w:r w:rsidRPr="008A28E4">
        <w:rPr>
          <w:rFonts w:ascii="Book Antiqua" w:hAnsi="Book Antiqua" w:cs="Times New Roman"/>
          <w:noProof/>
          <w:sz w:val="24"/>
          <w:szCs w:val="24"/>
          <w:vertAlign w:val="superscript"/>
        </w:rPr>
        <w:t>73</w:t>
      </w:r>
      <w:r w:rsidR="0098134D" w:rsidRPr="008A28E4">
        <w:rPr>
          <w:rFonts w:ascii="Book Antiqua" w:hAnsi="Book Antiqua" w:cs="Times New Roman"/>
          <w:sz w:val="24"/>
          <w:szCs w:val="24"/>
          <w:vertAlign w:val="superscript"/>
        </w:rPr>
        <w:fldChar w:fldCharType="end"/>
      </w:r>
      <w:r w:rsidR="00286B87" w:rsidRPr="008A28E4">
        <w:rPr>
          <w:rFonts w:ascii="Book Antiqua" w:hAnsi="Book Antiqua" w:cs="Times New Roman"/>
          <w:sz w:val="24"/>
          <w:szCs w:val="24"/>
          <w:vertAlign w:val="superscript"/>
        </w:rPr>
        <w:t>]</w:t>
      </w:r>
      <w:r w:rsidRPr="008A28E4">
        <w:rPr>
          <w:rFonts w:ascii="Book Antiqua" w:hAnsi="Book Antiqua" w:cs="Times New Roman"/>
          <w:sz w:val="24"/>
          <w:szCs w:val="24"/>
        </w:rPr>
        <w:t xml:space="preserve">. </w:t>
      </w:r>
    </w:p>
    <w:p w:rsidR="00C2014D" w:rsidRPr="008A28E4" w:rsidRDefault="00C2014D" w:rsidP="008A28E4">
      <w:pPr>
        <w:widowControl w:val="0"/>
        <w:autoSpaceDE w:val="0"/>
        <w:autoSpaceDN w:val="0"/>
        <w:adjustRightInd w:val="0"/>
        <w:spacing w:after="0" w:line="360" w:lineRule="auto"/>
        <w:ind w:firstLineChars="200" w:firstLine="480"/>
        <w:jc w:val="both"/>
        <w:rPr>
          <w:rFonts w:ascii="Book Antiqua" w:hAnsi="Book Antiqua" w:cs="Times New Roman"/>
          <w:sz w:val="24"/>
          <w:szCs w:val="24"/>
        </w:rPr>
      </w:pPr>
      <w:r w:rsidRPr="008A28E4">
        <w:rPr>
          <w:rFonts w:ascii="Book Antiqua" w:hAnsi="Book Antiqua" w:cs="Times New Roman"/>
          <w:sz w:val="24"/>
          <w:szCs w:val="24"/>
        </w:rPr>
        <w:t>Multiple accesses may be needed when treating large and complex stones and staghorn calculi. In this situation the first tract is made in a way that most stone bulk can be removed through it. The accessory tracts can be mini-PCNL tracts for peripheral small calculi. In this situation, upper calyx has an advantage as it affords a direct access to the upper calyx, renal pelvis, all components of the l</w:t>
      </w:r>
      <w:r w:rsidR="00113CEF" w:rsidRPr="008A28E4">
        <w:rPr>
          <w:rFonts w:ascii="Book Antiqua" w:hAnsi="Book Antiqua" w:cs="Times New Roman"/>
          <w:sz w:val="24"/>
          <w:szCs w:val="24"/>
        </w:rPr>
        <w:t>ower calyx and the upper ureter</w:t>
      </w:r>
      <w:r w:rsidR="0098134D" w:rsidRPr="008A28E4">
        <w:rPr>
          <w:rFonts w:ascii="Book Antiqua" w:hAnsi="Book Antiqua" w:cs="Times New Roman"/>
          <w:sz w:val="24"/>
          <w:szCs w:val="24"/>
          <w:vertAlign w:val="superscript"/>
        </w:rPr>
        <w:fldChar w:fldCharType="begin" w:fldLock="1"/>
      </w:r>
      <w:r w:rsidRPr="008A28E4">
        <w:rPr>
          <w:rFonts w:ascii="Book Antiqua" w:hAnsi="Book Antiqua" w:cs="Times New Roman"/>
          <w:sz w:val="24"/>
          <w:szCs w:val="24"/>
          <w:vertAlign w:val="superscript"/>
        </w:rPr>
        <w:instrText>ADDIN CSL_CITATION { "citationItems" : [ { "id" : "ITEM-1", "itemData" : { "DOI" : "10.1089/end.1998.12.403", "ISBN" : "0892-7790 (Print)\\r0892-7790 (Linking)", "ISSN" : "0892-7790", "PMID" : "9847059", "abstract" : "From March 1995 to May 1997, 104 patients underwent 115 supracostal percutaneous nephrolithotomy (PCNL) procedures for the treatment of 102 complete staghorn calculi, 6 large semistaghorn calculi, 3 large upper-caliceal stones, and 4 significant volumes of residual stone fragments after SWL. Additional renal access was required mainly for complete staghorn stones (23 patients; 20%). Extracor poreal lithotripsy was performed in 30.4% of cases, and second-look PCNL was done in 15.6%. The stone-free rate was 87%, and the infection-free rate at 7 to 33 months was 88.5%. Among 115 supracostal PCNL procedures, complications were encountered in 10 (8.7%). These problems included four large pleural effusions that were drained by chest tube in three patients and by repeated thoracocentesis in one patient. Six patients developed significant atelectasis, which was treated by vigorous physiotherapy in five and flexible bronchoscopy in one. We conclude that the supracostal approach provides direct and optimal access to most staghorn calculi with an excellent stone-free rate. The advantages of this approach can be achieved with a slight and acceptable increase in morbidity.", "author" : [ { "dropping-particle" : "", "family" : "Golijanin", "given" : "D", "non-dropping-particle" : "", "parse-names" : false, "suffix" : "" }, { "dropping-particle" : "", "family" : "Katz", "given" : "R", "non-dropping-particle" : "", "parse-names" : false, "suffix" : "" }, { "dropping-particle" : "", "family" : "Verstandig", "given" : "A", "non-dropping-particle" : "", "parse-names" : false, "suffix" : "" }, { "dropping-particle" : "", "family" : "Sasson", "given" : "T", "non-dropping-particle" : "", "parse-names" : false, "suffix" : "" }, { "dropping-particle" : "", "family" : "Landau", "given" : "E H", "non-dropping-particle" : "", "parse-names" : false, "suffix" : "" }, { "dropping-particle" : "", "family" : "Meretyk", "given" : "S", "non-dropping-particle" : "", "parse-names" : false, "suffix" : "" } ], "container-title" : "Journal of endourology / Endourological Society", "id" : "ITEM-1", "issued" : { "date-parts" : [ [ "1998" ] ] }, "page" : "403-405", "title" : "The supracostal percutaneous nephrostomy for treatment of staghorn and complex kidney stones.", "type" : "article-journal", "volume" : "12" }, "uris" : [ "http://www.mendeley.com/documents/?uuid=5302142d-dc2a-448f-964e-0ce94c1d0b9a", "http://www.mendeley.com/documents/?uuid=1a91193f-0fc4-4873-b675-b0d32df12720" ] } ], "mendeley" : { "previouslyFormattedCitation" : "(66)" }, "properties" : { "noteIndex" : 0 }, "schema" : "https://github.com/citation-style-language/schema/raw/master/csl-citation.json" }</w:instrText>
      </w:r>
      <w:r w:rsidR="0098134D" w:rsidRPr="008A28E4">
        <w:rPr>
          <w:rFonts w:ascii="Book Antiqua" w:hAnsi="Book Antiqua" w:cs="Times New Roman"/>
          <w:sz w:val="24"/>
          <w:szCs w:val="24"/>
          <w:vertAlign w:val="superscript"/>
        </w:rPr>
        <w:fldChar w:fldCharType="separate"/>
      </w:r>
      <w:r w:rsidR="00286B87" w:rsidRPr="008A28E4">
        <w:rPr>
          <w:rFonts w:ascii="Book Antiqua" w:hAnsi="Book Antiqua" w:cs="Times New Roman"/>
          <w:noProof/>
          <w:sz w:val="24"/>
          <w:szCs w:val="24"/>
          <w:vertAlign w:val="superscript"/>
        </w:rPr>
        <w:t>[</w:t>
      </w:r>
      <w:r w:rsidRPr="008A28E4">
        <w:rPr>
          <w:rFonts w:ascii="Book Antiqua" w:hAnsi="Book Antiqua" w:cs="Times New Roman"/>
          <w:noProof/>
          <w:sz w:val="24"/>
          <w:szCs w:val="24"/>
          <w:vertAlign w:val="superscript"/>
        </w:rPr>
        <w:t>74</w:t>
      </w:r>
      <w:r w:rsidR="0098134D" w:rsidRPr="008A28E4">
        <w:rPr>
          <w:rFonts w:ascii="Book Antiqua" w:hAnsi="Book Antiqua" w:cs="Times New Roman"/>
          <w:sz w:val="24"/>
          <w:szCs w:val="24"/>
          <w:vertAlign w:val="superscript"/>
        </w:rPr>
        <w:fldChar w:fldCharType="end"/>
      </w:r>
      <w:r w:rsidR="00286B87" w:rsidRPr="008A28E4">
        <w:rPr>
          <w:rFonts w:ascii="Book Antiqua" w:hAnsi="Book Antiqua" w:cs="Times New Roman"/>
          <w:sz w:val="24"/>
          <w:szCs w:val="24"/>
          <w:vertAlign w:val="superscript"/>
        </w:rPr>
        <w:t>]</w:t>
      </w:r>
      <w:r w:rsidRPr="008A28E4">
        <w:rPr>
          <w:rFonts w:ascii="Book Antiqua" w:hAnsi="Book Antiqua" w:cs="Times New Roman"/>
          <w:sz w:val="24"/>
          <w:szCs w:val="24"/>
        </w:rPr>
        <w:t>. In selected situations where the calculi are smaller than the neck of the calyx, percutaneous calyceal lavage can be done to flush the calculi in the renal pelvis so that they can be picked up through the primary tract. If necessary, multiple tracts can be safely made in experienced hands with the int</w:t>
      </w:r>
      <w:r w:rsidR="00C22D17" w:rsidRPr="008A28E4">
        <w:rPr>
          <w:rFonts w:ascii="Book Antiqua" w:hAnsi="Book Antiqua" w:cs="Times New Roman"/>
          <w:sz w:val="24"/>
          <w:szCs w:val="24"/>
        </w:rPr>
        <w:t>ent of complete stone clearance</w:t>
      </w:r>
      <w:r w:rsidR="0098134D" w:rsidRPr="008A28E4">
        <w:rPr>
          <w:rFonts w:ascii="Book Antiqua" w:hAnsi="Book Antiqua" w:cs="Times New Roman"/>
          <w:sz w:val="24"/>
          <w:szCs w:val="24"/>
          <w:vertAlign w:val="superscript"/>
        </w:rPr>
        <w:fldChar w:fldCharType="begin" w:fldLock="1"/>
      </w:r>
      <w:r w:rsidRPr="008A28E4">
        <w:rPr>
          <w:rFonts w:ascii="Book Antiqua" w:hAnsi="Book Antiqua" w:cs="Times New Roman"/>
          <w:sz w:val="24"/>
          <w:szCs w:val="24"/>
          <w:vertAlign w:val="superscript"/>
        </w:rPr>
        <w:instrText>ADDIN CSL_CITATION { "citationItems" : [ { "id" : "ITEM-1", "itemData" : { "DOI" : "10.1159/000089168", "ISBN" : "0042-1138 (Print)\\r0042-1138 (Linking)", "ISSN" : "00421138", "PMID" : "16327300", "abstract" : "INTRODUCTION: The treatment of large complete staghorn calculi requires a sandwich combination of percutaneous nephrolithotomy (PCNL) and shockwave lithotripsy (SWL) or sometimes open surgery. Many urologists hesitate to place more than 2-3 tracts during PCNL because of the belief that this may increase complications. We present data to support multi-tract PCNL for large (surface area &gt;3,000 mm(2)) complete staghorn calculi. PATIENTS AND METHODS: From July 1998 to October 2003, 121 renal units (103 patients) with large complete staghorn renal calculi were treated with PCNL. All procedures were performed in the prone position after retrograde ureteral catheterization. Fluoroscopy-guided punctures were made by the urologist followed by track dilation to 34 french. When multiple tracts were anticipated all punctures were usually made at the outset and preplaced wires were put into the collecting system or down the ureter. Stones were fragmented and removed using a combination of pneumatic lithotripsy and suction. Postoperative stone clearance was documented on X-ray KUB. RESULTS: 121 renal units of 103 patients (15 women and 88 men, mean age 43 years) were treated. Six patients had associated bladder calculi that were treated simultaneously. The stone surface area was 3,089-6,012 (mean 4,800) mm(2). 10 patients (9.7%) had renal insufficiency with a mean (range) serum creatinine of 3.0 (1.5-5.5) mg/dl. The number of tracts required per patient were 2 tracts in 11, 3 tracts in 68, 4 tracts in 39, and 5 tracts in 3, giving a total of 397 tracts in 121 renal units, over a total of 140 procedures (including second-look procedures in 19 renal units). The points of entry of these tracts were 121 upper calyx (30.4%), 178 middle calyx (44.8%), and 98 lower calyx (24.6%). All 121 units had one upper polar access tract of which 92 (76%) were supracostal. Complications were blood transfusion (n = 18), pseudoaneurysm (n = 2), fever (n = 22), septic shock (n = 1) and hydrothorax (n = 3). PCNL monotherapy achieved an 84% complete clearance rate that improved to 94% with SWL in 8 renal units with small residual fragments. Stone compositions were calcium oxalate (91%), uric acid (2%) and mixed (7%). CONCLUSION: Aggressive PCNL monotherapy using multiple tracts is safe and effective, and should be the first option for massive renal staghorn calculi.", "author" : [ { "dropping-particle" : "", "family" : "Aron", "given" : "Monish", "non-dropping-particle" : "", "parse-names" : false, "suffix" : "" }, { "dropping-particle" : "", "family" : "Yadav", "given" : "Rajiv", "non-dropping-particle" : "", "parse-names" : false, "suffix" : "" }, { "dropping-particle" : "", "family" : "Goel", "given" : "Rajiv", "non-dropping-particle" : "", "parse-names" : false, "suffix" : "" }, { "dropping-particle" : "", "family" : "Kolla", "given" : "Surendra B.", "non-dropping-particle" : "", "parse-names" : false, "suffix" : "" }, { "dropping-particle" : "", "family" : "Gautam", "given" : "Gagan", "non-dropping-particle" : "", "parse-names" : false, "suffix" : "" }, { "dropping-particle" : "", "family" : "Hemal", "given" : "Ashok K.", "non-dropping-particle" : "", "parse-names" : false, "suffix" : "" }, { "dropping-particle" : "", "family" : "Gupta", "given" : "Narmada P.", "non-dropping-particle" : "", "parse-names" : false, "suffix" : "" } ], "container-title" : "Urologia Internationalis", "id" : "ITEM-1", "issued" : { "date-parts" : [ [ "2005" ] ] }, "page" : "327-332", "title" : "Multi-tract percutaneous nephrolithotomy for large complete staghorn calculi", "type" : "article-journal", "volume" : "75" }, "uris" : [ "http://www.mendeley.com/documents/?uuid=927e0b03-302b-4124-a434-b020ed74d80b", "http://www.mendeley.com/documents/?uuid=a9637d0e-56cb-490a-bc9a-58df8fbb72f1" ] } ], "mendeley" : { "previouslyFormattedCitation" : "(67)" }, "properties" : { "noteIndex" : 0 }, "schema" : "https://github.com/citation-style-language/schema/raw/master/csl-citation.json" }</w:instrText>
      </w:r>
      <w:r w:rsidR="0098134D" w:rsidRPr="008A28E4">
        <w:rPr>
          <w:rFonts w:ascii="Book Antiqua" w:hAnsi="Book Antiqua" w:cs="Times New Roman"/>
          <w:sz w:val="24"/>
          <w:szCs w:val="24"/>
          <w:vertAlign w:val="superscript"/>
        </w:rPr>
        <w:fldChar w:fldCharType="separate"/>
      </w:r>
      <w:r w:rsidR="00286B87" w:rsidRPr="008A28E4">
        <w:rPr>
          <w:rFonts w:ascii="Book Antiqua" w:hAnsi="Book Antiqua" w:cs="Times New Roman"/>
          <w:noProof/>
          <w:sz w:val="24"/>
          <w:szCs w:val="24"/>
          <w:vertAlign w:val="superscript"/>
        </w:rPr>
        <w:t>[</w:t>
      </w:r>
      <w:r w:rsidRPr="008A28E4">
        <w:rPr>
          <w:rFonts w:ascii="Book Antiqua" w:hAnsi="Book Antiqua" w:cs="Times New Roman"/>
          <w:noProof/>
          <w:sz w:val="24"/>
          <w:szCs w:val="24"/>
          <w:vertAlign w:val="superscript"/>
        </w:rPr>
        <w:t>75</w:t>
      </w:r>
      <w:r w:rsidR="0098134D" w:rsidRPr="008A28E4">
        <w:rPr>
          <w:rFonts w:ascii="Book Antiqua" w:hAnsi="Book Antiqua" w:cs="Times New Roman"/>
          <w:sz w:val="24"/>
          <w:szCs w:val="24"/>
          <w:vertAlign w:val="superscript"/>
        </w:rPr>
        <w:fldChar w:fldCharType="end"/>
      </w:r>
      <w:r w:rsidR="00286B87" w:rsidRPr="008A28E4">
        <w:rPr>
          <w:rFonts w:ascii="Book Antiqua" w:hAnsi="Book Antiqua" w:cs="Times New Roman"/>
          <w:sz w:val="24"/>
          <w:szCs w:val="24"/>
          <w:vertAlign w:val="superscript"/>
        </w:rPr>
        <w:t>]</w:t>
      </w:r>
      <w:r w:rsidRPr="008A28E4">
        <w:rPr>
          <w:rFonts w:ascii="Book Antiqua" w:hAnsi="Book Antiqua" w:cs="Times New Roman"/>
          <w:sz w:val="24"/>
          <w:szCs w:val="24"/>
        </w:rPr>
        <w:t xml:space="preserve">. </w:t>
      </w:r>
    </w:p>
    <w:p w:rsidR="00C2014D" w:rsidRPr="008A28E4" w:rsidRDefault="00C2014D" w:rsidP="008A28E4">
      <w:pPr>
        <w:widowControl w:val="0"/>
        <w:autoSpaceDE w:val="0"/>
        <w:autoSpaceDN w:val="0"/>
        <w:adjustRightInd w:val="0"/>
        <w:spacing w:after="0" w:line="360" w:lineRule="auto"/>
        <w:ind w:firstLineChars="200" w:firstLine="480"/>
        <w:jc w:val="both"/>
        <w:rPr>
          <w:rFonts w:ascii="Book Antiqua" w:hAnsi="Book Antiqua" w:cs="Times New Roman"/>
          <w:sz w:val="24"/>
          <w:szCs w:val="24"/>
          <w:lang w:eastAsia="zh-CN"/>
        </w:rPr>
      </w:pPr>
      <w:r w:rsidRPr="008A28E4">
        <w:rPr>
          <w:rFonts w:ascii="Book Antiqua" w:hAnsi="Book Antiqua" w:cs="Times New Roman"/>
          <w:sz w:val="24"/>
          <w:szCs w:val="24"/>
        </w:rPr>
        <w:t xml:space="preserve">In a complex situation, the plan of management would be as follows: Make the primary tract in a way to clear maximum stone bulk. If access to a flexible nephroscopy with holmium laser is available, use this to prevent additional tracts. If these facilities are not available, percutaneous calyceal lavage, mini-tracts or accessory tracts can be made. </w:t>
      </w:r>
    </w:p>
    <w:p w:rsidR="00C22D17" w:rsidRPr="008A28E4" w:rsidRDefault="00C22D17" w:rsidP="008A28E4">
      <w:pPr>
        <w:widowControl w:val="0"/>
        <w:autoSpaceDE w:val="0"/>
        <w:autoSpaceDN w:val="0"/>
        <w:adjustRightInd w:val="0"/>
        <w:spacing w:after="0" w:line="360" w:lineRule="auto"/>
        <w:ind w:firstLineChars="200" w:firstLine="480"/>
        <w:jc w:val="both"/>
        <w:rPr>
          <w:rFonts w:ascii="Book Antiqua" w:hAnsi="Book Antiqua" w:cs="Times New Roman"/>
          <w:sz w:val="24"/>
          <w:szCs w:val="24"/>
          <w:lang w:eastAsia="zh-CN"/>
        </w:rPr>
      </w:pPr>
    </w:p>
    <w:p w:rsidR="00C2014D" w:rsidRPr="008A28E4" w:rsidRDefault="00505DA4" w:rsidP="008A28E4">
      <w:pPr>
        <w:widowControl w:val="0"/>
        <w:autoSpaceDE w:val="0"/>
        <w:autoSpaceDN w:val="0"/>
        <w:adjustRightInd w:val="0"/>
        <w:spacing w:after="0" w:line="360" w:lineRule="auto"/>
        <w:jc w:val="both"/>
        <w:rPr>
          <w:rFonts w:ascii="Book Antiqua" w:hAnsi="Book Antiqua" w:cs="Times New Roman"/>
          <w:b/>
          <w:bCs/>
          <w:sz w:val="24"/>
          <w:szCs w:val="24"/>
        </w:rPr>
      </w:pPr>
      <w:r w:rsidRPr="008A28E4">
        <w:rPr>
          <w:rFonts w:ascii="Book Antiqua" w:hAnsi="Book Antiqua" w:cs="Times New Roman"/>
          <w:b/>
          <w:bCs/>
          <w:sz w:val="24"/>
          <w:szCs w:val="24"/>
        </w:rPr>
        <w:t>HOW TO MAKE A SAFE SECOND TRACT?</w:t>
      </w:r>
    </w:p>
    <w:p w:rsidR="00C2014D" w:rsidRPr="008A28E4" w:rsidRDefault="00C2014D" w:rsidP="008A28E4">
      <w:pPr>
        <w:widowControl w:val="0"/>
        <w:autoSpaceDE w:val="0"/>
        <w:autoSpaceDN w:val="0"/>
        <w:adjustRightInd w:val="0"/>
        <w:spacing w:after="0" w:line="360" w:lineRule="auto"/>
        <w:jc w:val="both"/>
        <w:rPr>
          <w:rFonts w:ascii="Book Antiqua" w:hAnsi="Book Antiqua" w:cs="Times New Roman"/>
          <w:sz w:val="24"/>
          <w:szCs w:val="24"/>
        </w:rPr>
      </w:pPr>
      <w:r w:rsidRPr="008A28E4">
        <w:rPr>
          <w:rFonts w:ascii="Book Antiqua" w:hAnsi="Book Antiqua" w:cs="Times New Roman"/>
          <w:sz w:val="24"/>
          <w:szCs w:val="24"/>
        </w:rPr>
        <w:t xml:space="preserve">The second or multiple tracts tend to bleed more than the primary tract because when the second tract is made, it is not possible to opacify the system. The puncture is more often directed to the stone and not to the calyx. Also the bleeding and fluid extravasation through the first tract can alter the anatomy. To prevent this, if a second tract is anticipated, it is better to place the guide wires in the calyces where the second tract is expected before the first tract is dilated. The advantage of a pre-placed guide wire is that the proper placement of the tract is possible but the disadvantage is that in some patients this wire may not need to be dilated. The advantages of a proper placed tract far outweigh the risk of a tract made aiming for the stones. </w:t>
      </w:r>
    </w:p>
    <w:p w:rsidR="00C22D17" w:rsidRPr="008A28E4" w:rsidRDefault="00C22D17" w:rsidP="008A28E4">
      <w:pPr>
        <w:pStyle w:val="ListParagraph"/>
        <w:spacing w:after="0" w:line="360" w:lineRule="auto"/>
        <w:ind w:left="0"/>
        <w:jc w:val="both"/>
        <w:rPr>
          <w:rFonts w:ascii="Book Antiqua" w:hAnsi="Book Antiqua" w:cs="Times New Roman"/>
          <w:b/>
          <w:sz w:val="24"/>
          <w:szCs w:val="24"/>
          <w:lang w:eastAsia="zh-CN"/>
        </w:rPr>
      </w:pPr>
    </w:p>
    <w:p w:rsidR="00C2014D" w:rsidRPr="008A28E4" w:rsidRDefault="00505DA4" w:rsidP="008A28E4">
      <w:pPr>
        <w:pStyle w:val="ListParagraph"/>
        <w:spacing w:after="0" w:line="360" w:lineRule="auto"/>
        <w:ind w:left="0"/>
        <w:jc w:val="both"/>
        <w:rPr>
          <w:rFonts w:ascii="Book Antiqua" w:hAnsi="Book Antiqua" w:cs="Times New Roman"/>
          <w:b/>
          <w:sz w:val="24"/>
          <w:szCs w:val="24"/>
        </w:rPr>
      </w:pPr>
      <w:r w:rsidRPr="008A28E4">
        <w:rPr>
          <w:rFonts w:ascii="Book Antiqua" w:hAnsi="Book Antiqua" w:cs="Times New Roman"/>
          <w:b/>
          <w:sz w:val="24"/>
          <w:szCs w:val="24"/>
        </w:rPr>
        <w:t>HOW TO MINIMIZE RADIATION?</w:t>
      </w:r>
    </w:p>
    <w:p w:rsidR="00C2014D" w:rsidRPr="008A28E4" w:rsidRDefault="00C2014D" w:rsidP="008A28E4">
      <w:pPr>
        <w:pStyle w:val="ListParagraph"/>
        <w:spacing w:after="0" w:line="360" w:lineRule="auto"/>
        <w:ind w:left="0"/>
        <w:jc w:val="both"/>
        <w:rPr>
          <w:rFonts w:ascii="Book Antiqua" w:hAnsi="Book Antiqua" w:cs="Times New Roman"/>
          <w:sz w:val="24"/>
          <w:szCs w:val="24"/>
          <w:lang w:eastAsia="zh-CN"/>
        </w:rPr>
      </w:pPr>
      <w:r w:rsidRPr="008A28E4">
        <w:rPr>
          <w:rFonts w:ascii="Book Antiqua" w:hAnsi="Book Antiqua" w:cs="Times New Roman"/>
          <w:sz w:val="24"/>
          <w:szCs w:val="24"/>
        </w:rPr>
        <w:t>The risk of radiation is quite high in patients with stone disease during their evaluation and treatment. Recently, two centers have studied the radiation dose in a</w:t>
      </w:r>
      <w:r w:rsidR="00286B87" w:rsidRPr="008A28E4">
        <w:rPr>
          <w:rFonts w:ascii="Book Antiqua" w:hAnsi="Book Antiqua" w:cs="Times New Roman"/>
          <w:sz w:val="24"/>
          <w:szCs w:val="24"/>
        </w:rPr>
        <w:t xml:space="preserve"> </w:t>
      </w:r>
      <w:r w:rsidRPr="008A28E4">
        <w:rPr>
          <w:rFonts w:ascii="Book Antiqua" w:hAnsi="Book Antiqua" w:cs="Times New Roman"/>
          <w:sz w:val="24"/>
          <w:szCs w:val="24"/>
        </w:rPr>
        <w:t>patient with a primary acute stone vent over a 1 year period. They found average radiation to which these patients were exposed was 29.7mSv, and 20% of the patients were exposed to &gt;</w:t>
      </w:r>
      <w:r w:rsidR="00113CEF" w:rsidRPr="008A28E4">
        <w:rPr>
          <w:rFonts w:ascii="Book Antiqua" w:hAnsi="Book Antiqua" w:cs="Times New Roman"/>
          <w:sz w:val="24"/>
          <w:szCs w:val="24"/>
          <w:lang w:eastAsia="zh-CN"/>
        </w:rPr>
        <w:t xml:space="preserve"> </w:t>
      </w:r>
      <w:r w:rsidRPr="008A28E4">
        <w:rPr>
          <w:rFonts w:ascii="Book Antiqua" w:hAnsi="Book Antiqua" w:cs="Times New Roman"/>
          <w:sz w:val="24"/>
          <w:szCs w:val="24"/>
        </w:rPr>
        <w:t>50mSv</w:t>
      </w:r>
      <w:r w:rsidR="0098134D" w:rsidRPr="008A28E4">
        <w:rPr>
          <w:rFonts w:ascii="Book Antiqua" w:hAnsi="Book Antiqua" w:cs="Times New Roman"/>
          <w:sz w:val="24"/>
          <w:szCs w:val="24"/>
          <w:vertAlign w:val="superscript"/>
        </w:rPr>
        <w:fldChar w:fldCharType="begin" w:fldLock="1"/>
      </w:r>
      <w:r w:rsidRPr="008A28E4">
        <w:rPr>
          <w:rFonts w:ascii="Book Antiqua" w:hAnsi="Book Antiqua" w:cs="Times New Roman"/>
          <w:sz w:val="24"/>
          <w:szCs w:val="24"/>
          <w:vertAlign w:val="superscript"/>
        </w:rPr>
        <w:instrText>ADDIN CSL_CITATION { "citationItems" : [ { "id" : "ITEM-1", "itemData" : { "DOI" : "10.1016/j.juro.2008.10.012", "ISSN" : "00225347", "PMID" : "19100573", "abstract" : "Purpose: Diagnostic imaging has a central role in the evaluation and management of urolithiasis. A variety of modalities are available, each with benefits and limitations. Without careful consideration of imaging modalities in quantity and type patients may receive excessive doses of radiation during initial diagnostic and followup evaluations. Therefore, we determined the effective radiation dose associated with an acute stone episode and short-term followup. Materials and Methods: A multicenter retrospective study of all patients who presented with an acute stone episode was performed. The analysis included all imaging studies related to stone disease performed within 1 year of the acute event. Using accepted effective radiation dose standards for each of these examinations, the total radiation dose administered was calculated and compared by patient characteristics including stone location, stone number and intervention strategy. The primary outcome assessed was a total radiation dose greater than 50 mSv, the recommended yearly dose limit for occupational exposure by the International Commission on Radiological Protection. Results: We identified 108 patients who presented to our respective institutions with a primary acute stone episode between 2000 and 2006. The mean age in our cohort was 48.6 years and 50% of the patients were men. Patients underwent an average of 4 radiographic examinations during the 1-year period. Studies performed included a mean of 1.2 plain abdominal films of the kidneys, ureters and bladder (range 0 to 7), 1.7 abdominopelvic computerized tomograms (range 0 to 6) and 1 excretory urogram (range 0 to 3) during the first year of followup. The median total effective radiation dose per patient was 29.7 mSv (IQR 24.2, 45.1). There were 22 (20%) patients who received greater than 50 mSv. Analysis of stone location, number of stones, stone composition, patient age, sex and surgical intervention indicated no statistically significant difference in the probability of receiving a total radiation dose greater than 50 mSv. Conclusions: A fifth of patients receive potentially significant radiation doses in the short-term followup of an acute stone event. Radiographic imaging remains an integral part of the diagnosis and management of symptomatic urolithiasis. While debate exists regarding the threshold level for radiation induced fatal malignancies, urologists must be cognizant of the radiation exposure to patients, and seek alternative im\u2026", "author" : [ { "dropping-particle" : "", "family" : "Ferrandino", "given" : "Michael N.", "non-dropping-particle" : "", "parse-names" : false, "suffix" : "" }, { "dropping-particle" : "", "family" : "Bagrodia", "given" : "Aditya", "non-dropping-particle" : "", "parse-names" : false, "suffix" : "" }, { "dropping-particle" : "", "family" : "Pierre", "given" : "Sean A.", "non-dropping-particle" : "", "parse-names" : false, "suffix" : "" }, { "dropping-particle" : "", "family" : "Scales", "given" : "Charles D.", "non-dropping-particle" : "", "parse-names" : false, "suffix" : "" }, { "dropping-particle" : "", "family" : "Rampersaud", "given" : "Edward", "non-dropping-particle" : "", "parse-names" : false, "suffix" : "" }, { "dropping-particle" : "", "family" : "Pearle", "given" : "Margaret S.", "non-dropping-particle" : "", "parse-names" : false, "suffix" : "" }, { "dropping-particle" : "", "family" : "Preminger", "given" : "Glenn M.", "non-dropping-particle" : "", "parse-names" : false, "suffix" : "" } ], "container-title" : "Journal of Urology", "id" : "ITEM-1", "issued" : { "date-parts" : [ [ "2009" ] ] }, "page" : "668-673", "title" : "Radiation Exposure in the Acute and Short-Term Management of Urolithiasis at 2 Academic Centers", "type" : "article-journal", "volume" : "181" }, "uris" : [ "http://www.mendeley.com/documents/?uuid=644e1162-efac-470e-82fc-af305592a0a7" ] } ], "mendeley" : { "previouslyFormattedCitation" : "(68)" }, "properties" : { "noteIndex" : 0 }, "schema" : "https://github.com/citation-style-language/schema/raw/master/csl-citation.json" }</w:instrText>
      </w:r>
      <w:r w:rsidR="0098134D" w:rsidRPr="008A28E4">
        <w:rPr>
          <w:rFonts w:ascii="Book Antiqua" w:hAnsi="Book Antiqua" w:cs="Times New Roman"/>
          <w:sz w:val="24"/>
          <w:szCs w:val="24"/>
          <w:vertAlign w:val="superscript"/>
        </w:rPr>
        <w:fldChar w:fldCharType="separate"/>
      </w:r>
      <w:r w:rsidR="00286B87" w:rsidRPr="008A28E4">
        <w:rPr>
          <w:rFonts w:ascii="Book Antiqua" w:hAnsi="Book Antiqua" w:cs="Times New Roman"/>
          <w:noProof/>
          <w:sz w:val="24"/>
          <w:szCs w:val="24"/>
          <w:vertAlign w:val="superscript"/>
        </w:rPr>
        <w:t>[</w:t>
      </w:r>
      <w:r w:rsidRPr="008A28E4">
        <w:rPr>
          <w:rFonts w:ascii="Book Antiqua" w:hAnsi="Book Antiqua" w:cs="Times New Roman"/>
          <w:noProof/>
          <w:sz w:val="24"/>
          <w:szCs w:val="24"/>
          <w:vertAlign w:val="superscript"/>
        </w:rPr>
        <w:t>76</w:t>
      </w:r>
      <w:r w:rsidR="0098134D" w:rsidRPr="008A28E4">
        <w:rPr>
          <w:rFonts w:ascii="Book Antiqua" w:hAnsi="Book Antiqua" w:cs="Times New Roman"/>
          <w:sz w:val="24"/>
          <w:szCs w:val="24"/>
          <w:vertAlign w:val="superscript"/>
        </w:rPr>
        <w:fldChar w:fldCharType="end"/>
      </w:r>
      <w:r w:rsidR="00286B87" w:rsidRPr="008A28E4">
        <w:rPr>
          <w:rFonts w:ascii="Book Antiqua" w:hAnsi="Book Antiqua" w:cs="Times New Roman"/>
          <w:sz w:val="24"/>
          <w:szCs w:val="24"/>
          <w:vertAlign w:val="superscript"/>
        </w:rPr>
        <w:t>]</w:t>
      </w:r>
      <w:r w:rsidRPr="008A28E4">
        <w:rPr>
          <w:rFonts w:ascii="Book Antiqua" w:hAnsi="Book Antiqua" w:cs="Times New Roman"/>
          <w:sz w:val="24"/>
          <w:szCs w:val="24"/>
        </w:rPr>
        <w:t>. This dose exceeds the International Commission on Radiological Protection recommendation on limits for occupational exposure to radiation, which is 20mSv averaged over a 5-year period with not nore than  &gt;</w:t>
      </w:r>
      <w:r w:rsidR="00113CEF" w:rsidRPr="008A28E4">
        <w:rPr>
          <w:rFonts w:ascii="Book Antiqua" w:hAnsi="Book Antiqua" w:cs="Times New Roman"/>
          <w:sz w:val="24"/>
          <w:szCs w:val="24"/>
          <w:lang w:eastAsia="zh-CN"/>
        </w:rPr>
        <w:t xml:space="preserve"> </w:t>
      </w:r>
      <w:r w:rsidRPr="008A28E4">
        <w:rPr>
          <w:rFonts w:ascii="Book Antiqua" w:hAnsi="Book Antiqua" w:cs="Times New Roman"/>
          <w:sz w:val="24"/>
          <w:szCs w:val="24"/>
        </w:rPr>
        <w:t>50mSv in any single year. In comparison, a typical CT of the abdomen and pelvis without contrast exposes patients to a median of 15mSv</w:t>
      </w:r>
      <w:r w:rsidR="0098134D" w:rsidRPr="008A28E4">
        <w:rPr>
          <w:rFonts w:ascii="Book Antiqua" w:hAnsi="Book Antiqua" w:cs="Times New Roman"/>
          <w:sz w:val="24"/>
          <w:szCs w:val="24"/>
          <w:vertAlign w:val="superscript"/>
        </w:rPr>
        <w:fldChar w:fldCharType="begin" w:fldLock="1"/>
      </w:r>
      <w:r w:rsidRPr="008A28E4">
        <w:rPr>
          <w:rFonts w:ascii="Book Antiqua" w:hAnsi="Book Antiqua" w:cs="Times New Roman"/>
          <w:sz w:val="24"/>
          <w:szCs w:val="24"/>
          <w:vertAlign w:val="superscript"/>
        </w:rPr>
        <w:instrText>ADDIN CSL_CITATION { "citationItems" : [ { "id" : "ITEM-1", "itemData" : { "DOI" : "10.1088/0031-9155/53/8/R01", "ISBN" : "0031-9155 (Print)", "ISSN" : "0031-9155", "PMID" : "18364557", "abstract" : "For almost half a century, the International Commission on Radiological Protection (ICRP) has revised its recommendations on radiological protection with an average frequency of about 10 years, building on the experience gained in their implementation. This has ensured that the recommendations remain up to date and fit for purpose and it is this that has led in turn to their wide acceptance internationally. Indeed, the 1990 version of the recommendations forms the basis of the international radiological protection standards and the systems of control of exposure to ionizing radiation in many countries throughout the world. This version introduced new concepts and a more holistic approach to radiological protection but marrying the different exposure situations into one coherent framework has proved not to be straightforward and further reflection seemed necessary in order to satisfy both those who are responsible for the development of the control systems as well as a broader audience. Review of the 1990 recommendations started around 1998 and, since then, many ideas have been explored and avenues followed. Eventually, new recommendations were agreed by the Commission at its meeting in Essen in March 2007. This paper provides a review of these new recommendations and their possible implications.", "author" : [ { "dropping-particle" : "", "family" : "Wrixon", "given" : "A D", "non-dropping-particle" : "", "parse-names" : false, "suffix" : "" } ], "container-title" : "Physics in medicine and biology", "id" : "ITEM-1", "issued" : { "date-parts" : [ [ "2008" ] ] }, "page" : "R41-R60", "title" : "New recommendations from the International Commission on Radiological Protection--a review.", "type" : "article-journal", "volume" : "53" }, "uris" : [ "http://www.mendeley.com/documents/?uuid=b04b7e2b-73cf-43cd-a259-ec37e8548ba6" ] } ], "mendeley" : { "previouslyFormattedCitation" : "(69)" }, "properties" : { "noteIndex" : 0 }, "schema" : "https://github.com/citation-style-language/schema/raw/master/csl-citation.json" }</w:instrText>
      </w:r>
      <w:r w:rsidR="0098134D" w:rsidRPr="008A28E4">
        <w:rPr>
          <w:rFonts w:ascii="Book Antiqua" w:hAnsi="Book Antiqua" w:cs="Times New Roman"/>
          <w:sz w:val="24"/>
          <w:szCs w:val="24"/>
          <w:vertAlign w:val="superscript"/>
        </w:rPr>
        <w:fldChar w:fldCharType="separate"/>
      </w:r>
      <w:r w:rsidR="00286B87" w:rsidRPr="008A28E4">
        <w:rPr>
          <w:rFonts w:ascii="Book Antiqua" w:hAnsi="Book Antiqua" w:cs="Times New Roman"/>
          <w:noProof/>
          <w:sz w:val="24"/>
          <w:szCs w:val="24"/>
          <w:vertAlign w:val="superscript"/>
        </w:rPr>
        <w:t>[</w:t>
      </w:r>
      <w:r w:rsidRPr="008A28E4">
        <w:rPr>
          <w:rFonts w:ascii="Book Antiqua" w:hAnsi="Book Antiqua" w:cs="Times New Roman"/>
          <w:noProof/>
          <w:sz w:val="24"/>
          <w:szCs w:val="24"/>
          <w:vertAlign w:val="superscript"/>
        </w:rPr>
        <w:t>77</w:t>
      </w:r>
      <w:r w:rsidR="0098134D" w:rsidRPr="008A28E4">
        <w:rPr>
          <w:rFonts w:ascii="Book Antiqua" w:hAnsi="Book Antiqua" w:cs="Times New Roman"/>
          <w:sz w:val="24"/>
          <w:szCs w:val="24"/>
          <w:vertAlign w:val="superscript"/>
        </w:rPr>
        <w:fldChar w:fldCharType="end"/>
      </w:r>
      <w:r w:rsidR="00286B87" w:rsidRPr="008A28E4">
        <w:rPr>
          <w:rFonts w:ascii="Book Antiqua" w:hAnsi="Book Antiqua" w:cs="Times New Roman"/>
          <w:sz w:val="24"/>
          <w:szCs w:val="24"/>
          <w:vertAlign w:val="superscript"/>
        </w:rPr>
        <w:t>]</w:t>
      </w:r>
      <w:r w:rsidRPr="008A28E4">
        <w:rPr>
          <w:rFonts w:ascii="Book Antiqua" w:hAnsi="Book Antiqua" w:cs="Times New Roman"/>
          <w:sz w:val="24"/>
          <w:szCs w:val="24"/>
        </w:rPr>
        <w:t xml:space="preserve">. Fluoroscopy during percutaneous nephrolithotomy is associated with radiation exposure not only to the patient but also to the surgeon and the operation theatre staff </w:t>
      </w:r>
      <w:r w:rsidR="0098134D" w:rsidRPr="008A28E4">
        <w:rPr>
          <w:rFonts w:ascii="Book Antiqua" w:hAnsi="Book Antiqua" w:cs="Times New Roman"/>
          <w:sz w:val="24"/>
          <w:szCs w:val="24"/>
          <w:vertAlign w:val="superscript"/>
        </w:rPr>
        <w:fldChar w:fldCharType="begin" w:fldLock="1"/>
      </w:r>
      <w:r w:rsidRPr="008A28E4">
        <w:rPr>
          <w:rFonts w:ascii="Book Antiqua" w:hAnsi="Book Antiqua" w:cs="Times New Roman"/>
          <w:sz w:val="24"/>
          <w:szCs w:val="24"/>
          <w:vertAlign w:val="superscript"/>
        </w:rPr>
        <w:instrText>ADDIN CSL_CITATION { "citationItems" : [ { "id" : "ITEM-1", "itemData" : { "ISSN" : "0007-1331", "PMID" : "1568094", "abstract" : "Two British centres have published the radiation doses received during percutaneous nephrolithotomy (PCNL). Their results were disparate. This study was performed to establish the likely exposure of the eyes and fingers of an experienced urological surgeon who creates the track into the kidney and also performs the endoscopic operation. In addition, some radioprotective gloves were evaluated. Provided that specific precautions, including a judicious use of screening, are taken, the current dose limits are unlikely to be exceeded. However, a 30% reduction in the dose limits is probable. Wearing routine radiation badges under a lead apron is an inadequate method of monitoring exposure: urologists should press for more active assistance from radiation protection officers in the monitoring of procedures in theatre and the use of ultrasound should be encouraged.", "author" : [ { "dropping-particle" : "", "family" : "Bowsher", "given" : "W G", "non-dropping-particle" : "", "parse-names" : false, "suffix" : "" }, { "dropping-particle" : "", "family" : "Blott", "given" : "P", "non-dropping-particle" : "", "parse-names" : false, "suffix" : "" }, { "dropping-particle" : "", "family" : "Whitfield", "given" : "H N", "non-dropping-particle" : "", "parse-names" : false, "suffix" : "" } ], "container-title" : "British journal of urology", "id" : "ITEM-1", "issued" : { "date-parts" : [ [ "1992" ] ] }, "page" : "231-233", "title" : "Radiation protection in percutaneous renal surgery.", "type" : "article-journal", "volume" : "69" }, "uris" : [ "http://www.mendeley.com/documents/?uuid=da2cea56-ce32-4e2b-a318-2d82c96879ce" ] } ], "mendeley" : { "previouslyFormattedCitation" : "(70)" }, "properties" : { "noteIndex" : 0 }, "schema" : "https://github.com/citation-style-language/schema/raw/master/csl-citation.json" }</w:instrText>
      </w:r>
      <w:r w:rsidR="0098134D" w:rsidRPr="008A28E4">
        <w:rPr>
          <w:rFonts w:ascii="Book Antiqua" w:hAnsi="Book Antiqua" w:cs="Times New Roman"/>
          <w:sz w:val="24"/>
          <w:szCs w:val="24"/>
          <w:vertAlign w:val="superscript"/>
        </w:rPr>
        <w:fldChar w:fldCharType="separate"/>
      </w:r>
      <w:r w:rsidR="00286B87" w:rsidRPr="008A28E4">
        <w:rPr>
          <w:rFonts w:ascii="Book Antiqua" w:hAnsi="Book Antiqua" w:cs="Times New Roman"/>
          <w:noProof/>
          <w:sz w:val="24"/>
          <w:szCs w:val="24"/>
          <w:vertAlign w:val="superscript"/>
        </w:rPr>
        <w:t>[</w:t>
      </w:r>
      <w:r w:rsidRPr="008A28E4">
        <w:rPr>
          <w:rFonts w:ascii="Book Antiqua" w:hAnsi="Book Antiqua" w:cs="Times New Roman"/>
          <w:noProof/>
          <w:sz w:val="24"/>
          <w:szCs w:val="24"/>
          <w:vertAlign w:val="superscript"/>
        </w:rPr>
        <w:t>78</w:t>
      </w:r>
      <w:r w:rsidR="0098134D" w:rsidRPr="008A28E4">
        <w:rPr>
          <w:rFonts w:ascii="Book Antiqua" w:hAnsi="Book Antiqua" w:cs="Times New Roman"/>
          <w:sz w:val="24"/>
          <w:szCs w:val="24"/>
          <w:vertAlign w:val="superscript"/>
        </w:rPr>
        <w:fldChar w:fldCharType="end"/>
      </w:r>
      <w:r w:rsidR="00286B87" w:rsidRPr="008A28E4">
        <w:rPr>
          <w:rFonts w:ascii="Book Antiqua" w:hAnsi="Book Antiqua" w:cs="Times New Roman"/>
          <w:sz w:val="24"/>
          <w:szCs w:val="24"/>
          <w:vertAlign w:val="superscript"/>
        </w:rPr>
        <w:t>]</w:t>
      </w:r>
      <w:r w:rsidRPr="008A28E4">
        <w:rPr>
          <w:rFonts w:ascii="Book Antiqua" w:hAnsi="Book Antiqua" w:cs="Times New Roman"/>
          <w:sz w:val="24"/>
          <w:szCs w:val="24"/>
        </w:rPr>
        <w:t>.</w:t>
      </w:r>
      <w:r w:rsidR="00C22D17" w:rsidRPr="008A28E4">
        <w:rPr>
          <w:rFonts w:ascii="Book Antiqua" w:hAnsi="Book Antiqua" w:cs="Times New Roman"/>
          <w:sz w:val="24"/>
          <w:szCs w:val="24"/>
          <w:lang w:eastAsia="zh-CN"/>
        </w:rPr>
        <w:t xml:space="preserve"> </w:t>
      </w:r>
      <w:r w:rsidRPr="008A28E4">
        <w:rPr>
          <w:rFonts w:ascii="Book Antiqua" w:hAnsi="Book Antiqua" w:cs="Times New Roman"/>
          <w:sz w:val="24"/>
          <w:szCs w:val="24"/>
        </w:rPr>
        <w:t>High Body Mass Index, high stone burden, and incr</w:t>
      </w:r>
      <w:r w:rsidR="00C22D17" w:rsidRPr="008A28E4">
        <w:rPr>
          <w:rFonts w:ascii="Book Antiqua" w:hAnsi="Book Antiqua" w:cs="Times New Roman"/>
          <w:sz w:val="24"/>
          <w:szCs w:val="24"/>
        </w:rPr>
        <w:t xml:space="preserve">easing number of access tracts </w:t>
      </w:r>
      <w:r w:rsidRPr="008A28E4">
        <w:rPr>
          <w:rFonts w:ascii="Book Antiqua" w:hAnsi="Book Antiqua" w:cs="Times New Roman"/>
          <w:sz w:val="24"/>
          <w:szCs w:val="24"/>
        </w:rPr>
        <w:t>are associated with an increased radiation exposure. Branched stones and the presence of hydronephrosis are associated wi</w:t>
      </w:r>
      <w:r w:rsidR="00C22D17" w:rsidRPr="008A28E4">
        <w:rPr>
          <w:rFonts w:ascii="Book Antiqua" w:hAnsi="Book Antiqua" w:cs="Times New Roman"/>
          <w:sz w:val="24"/>
          <w:szCs w:val="24"/>
        </w:rPr>
        <w:t>th decreased radiation exposure</w:t>
      </w:r>
      <w:r w:rsidR="0098134D" w:rsidRPr="008A28E4">
        <w:rPr>
          <w:rFonts w:ascii="Book Antiqua" w:hAnsi="Book Antiqua" w:cs="Times New Roman"/>
          <w:sz w:val="24"/>
          <w:szCs w:val="24"/>
          <w:vertAlign w:val="superscript"/>
        </w:rPr>
        <w:fldChar w:fldCharType="begin" w:fldLock="1"/>
      </w:r>
      <w:r w:rsidRPr="008A28E4">
        <w:rPr>
          <w:rFonts w:ascii="Book Antiqua" w:hAnsi="Book Antiqua" w:cs="Times New Roman"/>
          <w:sz w:val="24"/>
          <w:szCs w:val="24"/>
          <w:vertAlign w:val="superscript"/>
        </w:rPr>
        <w:instrText>ADDIN CSL_CITATION { "citationItems" : [ { "id" : "ITEM-1", "itemData" : { "DOI" : "10.1016/j.juro.2010.08.033", "ISBN" : "9196815507", "ISSN" : "00225347", "PMID" : "20952034", "abstract" : "Purpose We identified patient and stone characteristics that may contribute to increased radiation exposure during percutaneous nephrolithotomy and offer technique modifications to limit the radiation dose. Material and Methods We reviewed the records of 96 patients who underwent percutaneous nephrolithotomy in the last 2 years. The effective radiation dose was calculated using accepted conversion tables. We performed multivariate linear regression to determine the association of the effective radiation dose with specific patient, stone and procedural characteristics. Results Mean ?? SD patient age was 51.5 ?? 13.4 years and 62.5% of the patients were female. Median body mass index was 32.0 ?? 9.7 kg/m2 (range 16.2 to 59.6) and the median stone burden was 4 cm2. Increased body mass index (p &lt;0.001), higher stone burden (p = 0.013), stone nonbranched configuration (p = 0.002) and a greater number of percutaneous access tracts (p = 0.040) were significantly associated with an increased effective radiation dose. Specifically obese patients with a body mass index of 30 to 39.9 kg/m2 had a more than 2-fold increase in the mean adjusted effective radiation dose and morbidly obese patients with a body mass index of 40 kg/m2 or greater had a greater than 3-fold increase vs that in normal weight patients with a body mass index of less than 25 kg/m2 (6.49 and 9.13 mSv, respectively, vs 2.66, p &lt;0.001). Other stone specific parameters, including site and composition, percutaneous access site and estimated blood loss were not associated with the effective radiation dose. Conclusions Patients with higher body mass index, greater stone burden, nonbranched stones and multiple nephrostomy access tracts are at risk for increased radiation exposure during percutaneous nephrolithotomy. Urologists must seek alternative strategies to minimize radiation exposure, such as tighter collimation to the region of interest, judicious use of magnification and the acquisition of as few images as possible during stone removal. ?? 2010 American Urological Association Education and Research, Inc.", "author" : [ { "dropping-particle" : "", "family" : "Mancini", "given" : "John G.", "non-dropping-particle" : "", "parse-names" : false, "suffix" : "" }, { "dropping-particle" : "", "family" : "Raymundo", "given" : "Eliza M.", "non-dropping-particle" : "", "parse-names" : false, "suffix" : "" }, { "dropping-particle" : "", "family" : "Lipkin", "given" : "Michael", "non-dropping-particle" : "", "parse-names" : false, "suffix" : "" }, { "dropping-particle" : "", "family" : "Zilberman", "given" : "Dorit", "non-dropping-particle" : "", "parse-names" : false, "suffix" : "" }, { "dropping-particle" : "", "family" : "Yong", "given" : "Daniel", "non-dropping-particle" : "", "parse-names" : false, "suffix" : "" }, { "dropping-particle" : "", "family" : "Baez", "given" : "Lionel L.", "non-dropping-particle" : "", "parse-names" : false, "suffix" : "" }, { "dropping-particle" : "", "family" : "Miller", "given" : "Michael J.", "non-dropping-particle" : "", "parse-names" : false, "suffix" : "" }, { "dropping-particle" : "", "family" : "Preminger", "given" : "Glenn M.", "non-dropping-particle" : "", "parse-names" : false, "suffix" : "" }, { "dropping-particle" : "", "family" : "Ferrandino", "given" : "Michael N.", "non-dropping-particle" : "", "parse-names" : false, "suffix" : "" } ], "container-title" : "Journal of Urology", "id" : "ITEM-1", "issued" : { "date-parts" : [ [ "2010" ] ] }, "page" : "2373-2377", "title" : "Factors affecting patient radiation exposure during percutaneous nephrolithotomy", "type" : "article-journal", "volume" : "184" }, "uris" : [ "http://www.mendeley.com/documents/?uuid=a2cc1311-86cf-4d07-b17d-0e9d6a4ff40d" ] }, { "id" : "ITEM-2", "itemData" : { "DOI" : "10.1089/end.2009.0256", "ISSN" : "0892-7790", "PMID" : "19811060", "abstract" : "PURPOSE: Percutaneous nephrolithotomy (PNL) is established in urology practice with routine use of fluoroscopic guidance. Herein, we retrospectively evaluated the potential factors affecting the fluoroscopic screening time (FST) during PNL. MATERIALS AND METHODS: A total of 282 patients with documented FST in detail during PNL performed by one surgeon were enrolled in this study. In all cases, PNL was performed on patients in prone position under C-armed fluoroscopy unit. The correlation between the FST and patient and also stone factors, including body mass index (BMI), previous open renal surgery, characteristics and size of the stone, and presence of hydronephrosis, as well as procedural factors such as percutaneous access number and location and operation time were analyzed. RESULTS: The mean age of the patients was 43 +/- 14.7 (range: 18-67) years. The mean operation time was 78.9 +/- 22.0 (range: 45-150) minutes, and the mean FST was 10.19 +/- 6.3 (range: 3-50) minutes. The mean stone size was 8.46 +/- 5.11 cm(2) (range: 2-30). The FST was significantly prolonged in patients with increased stone burden (p = 0.001) and necessitating multiple accesses procedures (p = 0.007). However, BMI of the patient, stone configuration, degree of hydronephrosis, history of open renal surgery, and access location did not have an impact on FST (p &gt; 0.05). CONCLUSION: In patients with large stones necessitating multiple accesses, FST is significantly prolonged; therefore, they have to be managed by experienced surgeons to diminish the radiation exposure. However, BMI, stone configuration, presence of hydronephrosis, history of open renal surgery, and access location did not have effect on FST in our study.", "author" : [ { "dropping-particle" : "", "family" : "Tepeler", "given" : "Abdulkadir", "non-dropping-particle" : "", "parse-names" : false, "suffix" : "" }, { "dropping-particle" : "", "family" : "Binbay", "given" : "Murat", "non-dropping-particle" : "", "parse-names" : false, "suffix" : "" }, { "dropping-particle" : "", "family" : "Yuruk", "given" : "Emrah", "non-dropping-particle" : "", "parse-names" : false, "suffix" : "" }, { "dropping-particle" : "", "family" : "Sari", "given" : "Erhan", "non-dropping-particle" : "", "parse-names" : false, "suffix" : "" }, { "dropping-particle" : "", "family" : "Kaba", "given" : "Mehmet", "non-dropping-particle" : "", "parse-names" : false, "suffix" : "" }, { "dropping-particle" : "", "family" : "Muslumanoglu", "given" : "Ahmet Yaser", "non-dropping-particle" : "", "parse-names" : false, "suffix" : "" }, { "dropping-particle" : "", "family" : "Tefekli", "given" : "Ahmet", "non-dropping-particle" : "", "parse-names" : false, "suffix" : "" } ], "container-title" : "Journal of endourology / Endourological Society", "id" : "ITEM-2", "issued" : { "date-parts" : [ [ "2009" ] ] }, "page" : "1825-1829", "title" : "Factors affecting the fluoroscopic screening time during percutaneous nephrolithotomy.", "type" : "article-journal", "volume" : "23" }, "uris" : [ "http://www.mendeley.com/documents/?uuid=15444edf-1c8a-41f8-90a7-d64fe4c377d1" ] } ], "mendeley" : { "previouslyFormattedCitation" : "(71,72)" }, "properties" : { "noteIndex" : 0 }, "schema" : "https://github.com/citation-style-language/schema/raw/master/csl-citation.json" }</w:instrText>
      </w:r>
      <w:r w:rsidR="0098134D" w:rsidRPr="008A28E4">
        <w:rPr>
          <w:rFonts w:ascii="Book Antiqua" w:hAnsi="Book Antiqua" w:cs="Times New Roman"/>
          <w:sz w:val="24"/>
          <w:szCs w:val="24"/>
          <w:vertAlign w:val="superscript"/>
        </w:rPr>
        <w:fldChar w:fldCharType="separate"/>
      </w:r>
      <w:r w:rsidR="00286B87" w:rsidRPr="008A28E4">
        <w:rPr>
          <w:rFonts w:ascii="Book Antiqua" w:hAnsi="Book Antiqua" w:cs="Times New Roman"/>
          <w:noProof/>
          <w:sz w:val="24"/>
          <w:szCs w:val="24"/>
          <w:vertAlign w:val="superscript"/>
        </w:rPr>
        <w:t>[</w:t>
      </w:r>
      <w:r w:rsidR="00C22D17" w:rsidRPr="008A28E4">
        <w:rPr>
          <w:rFonts w:ascii="Book Antiqua" w:hAnsi="Book Antiqua" w:cs="Times New Roman"/>
          <w:noProof/>
          <w:sz w:val="24"/>
          <w:szCs w:val="24"/>
          <w:vertAlign w:val="superscript"/>
        </w:rPr>
        <w:t>79,</w:t>
      </w:r>
      <w:r w:rsidRPr="008A28E4">
        <w:rPr>
          <w:rFonts w:ascii="Book Antiqua" w:hAnsi="Book Antiqua" w:cs="Times New Roman"/>
          <w:noProof/>
          <w:sz w:val="24"/>
          <w:szCs w:val="24"/>
          <w:vertAlign w:val="superscript"/>
        </w:rPr>
        <w:t>80</w:t>
      </w:r>
      <w:r w:rsidR="0098134D" w:rsidRPr="008A28E4">
        <w:rPr>
          <w:rFonts w:ascii="Book Antiqua" w:hAnsi="Book Antiqua" w:cs="Times New Roman"/>
          <w:sz w:val="24"/>
          <w:szCs w:val="24"/>
          <w:vertAlign w:val="superscript"/>
        </w:rPr>
        <w:fldChar w:fldCharType="end"/>
      </w:r>
      <w:r w:rsidR="00286B87" w:rsidRPr="008A28E4">
        <w:rPr>
          <w:rFonts w:ascii="Book Antiqua" w:hAnsi="Book Antiqua" w:cs="Times New Roman"/>
          <w:sz w:val="24"/>
          <w:szCs w:val="24"/>
          <w:vertAlign w:val="superscript"/>
        </w:rPr>
        <w:t>]</w:t>
      </w:r>
      <w:r w:rsidRPr="008A28E4">
        <w:rPr>
          <w:rFonts w:ascii="Book Antiqua" w:hAnsi="Book Antiqua" w:cs="Times New Roman"/>
          <w:sz w:val="24"/>
          <w:szCs w:val="24"/>
        </w:rPr>
        <w:t xml:space="preserve">. Proper planning of the procedure by an experienced surgeon is very important for reduction of radiation exposure </w:t>
      </w:r>
      <w:r w:rsidR="0098134D" w:rsidRPr="008A28E4">
        <w:rPr>
          <w:rFonts w:ascii="Book Antiqua" w:hAnsi="Book Antiqua" w:cs="Times New Roman"/>
          <w:sz w:val="24"/>
          <w:szCs w:val="24"/>
          <w:vertAlign w:val="superscript"/>
        </w:rPr>
        <w:fldChar w:fldCharType="begin" w:fldLock="1"/>
      </w:r>
      <w:r w:rsidRPr="008A28E4">
        <w:rPr>
          <w:rFonts w:ascii="Book Antiqua" w:hAnsi="Book Antiqua" w:cs="Times New Roman"/>
          <w:sz w:val="24"/>
          <w:szCs w:val="24"/>
          <w:vertAlign w:val="superscript"/>
        </w:rPr>
        <w:instrText>ADDIN CSL_CITATION { "citationItems" : [ { "id" : "ITEM-1", "itemData" : { "DOI" : "10.1007/s00345-012-0923-0", "ISBN" : "1433-8726 (Electronic)\\r0724-4983 (Linking)", "ISSN" : "07244983", "PMID" : "22885617", "abstract" : "INTRODUCTION AND OBJECTIVE: Fluoroscopy time influences radiation exposure of both surgeons and patients during endourological interventions. Changes in fluoroscopy habits of endourological surgeons after being informed about their fluoroscopy times were evaluated depending on their endourological experience. MATERIALS AND METHODS: From April 2010 to April 2011, 402 endourological interventions in 337 Patients were assessed. Evaluated interventions were ureter stent placement (USP), ureter stent change (USC) nephrostomy change (NC), ureterorenoscopy (URS) and percutaneous nephrolithotomy (PCNL). Fluoroscopy time (FT) and operation time (OT) were recorded. For USP, USC and NC, the surgeons were divided into two groups: group I with &gt;2 years of endourological experience and group II with &lt;2 years experience. URS and PCNL only were performed by experienced surgeons. After 6 months, all surgeons were informed about their mean detected results. Both groups were compared, and changes in FT and OT in the second part of the study were analysed. RESULTS: Surgeons reduced their median fluoroscopy times up to 55 % after being informed about their fluoroscopy manners. Experienced surgeons reduced both operation and fluoroscopy times significantly for USP, USC and NC. For URS and PCNL, and OT and FT, the differences were not statistically significant. Inexperienced surgeons were not able to reduce both OT and FT significantly. CONCLUSION: If experienced surgeons are informed about their fluoroscopy time during endourological interventions, fluoroscopy times can be reduced significantly in easy procedures, which leads to less radiation exposure of surgeons and patients. Inexperienced surgeons have less possibility to influence their fluoroscopy manners.", "author" : [ { "dropping-particle" : "", "family" : "Ritter", "given" : "M.", "non-dropping-particle" : "", "parse-names" : false, "suffix" : "" }, { "dropping-particle" : "", "family" : "Siegel", "given" : "F.", "non-dropping-particle" : "", "parse-names" : false, "suffix" : "" }, { "dropping-particle" : "", "family" : "Krombach", "given" : "P.", "non-dropping-particle" : "", "parse-names" : false, "suffix" : "" }, { "dropping-particle" : "", "family" : "Martinschek", "given" : "A.", "non-dropping-particle" : "", "parse-names" : false, "suffix" : "" }, { "dropping-particle" : "", "family" : "Weiss", "given" : "C.", "non-dropping-particle" : "", "parse-names" : false, "suffix" : "" }, { "dropping-particle" : "", "family" : "H??cker", "given" : "A.", "non-dropping-particle" : "", "parse-names" : false, "suffix" : "" }, { "dropping-particle" : "", "family" : "Pelzer", "given" : "A. E.", "non-dropping-particle" : "", "parse-names" : false, "suffix" : "" } ], "container-title" : "World Journal of Urology", "id" : "ITEM-1", "issued" : { "date-parts" : [ [ "2013" ] ] }, "page" : "183-187", "title" : "Influence of surgeon's experience on fluoroscopy time during endourological interventions", "type" : "article-journal", "volume" : "31" }, "uris" : [ "http://www.mendeley.com/documents/?uuid=d3328103-9e92-4607-a421-e2c9b6dc84f7" ] } ], "mendeley" : { "previouslyFormattedCitation" : "(73)" }, "properties" : { "noteIndex" : 0 }, "schema" : "https://github.com/citation-style-language/schema/raw/master/csl-citation.json" }</w:instrText>
      </w:r>
      <w:r w:rsidR="0098134D" w:rsidRPr="008A28E4">
        <w:rPr>
          <w:rFonts w:ascii="Book Antiqua" w:hAnsi="Book Antiqua" w:cs="Times New Roman"/>
          <w:sz w:val="24"/>
          <w:szCs w:val="24"/>
          <w:vertAlign w:val="superscript"/>
        </w:rPr>
        <w:fldChar w:fldCharType="separate"/>
      </w:r>
      <w:r w:rsidR="00286B87" w:rsidRPr="008A28E4">
        <w:rPr>
          <w:rFonts w:ascii="Book Antiqua" w:hAnsi="Book Antiqua" w:cs="Times New Roman"/>
          <w:noProof/>
          <w:sz w:val="24"/>
          <w:szCs w:val="24"/>
          <w:vertAlign w:val="superscript"/>
        </w:rPr>
        <w:t>[</w:t>
      </w:r>
      <w:r w:rsidRPr="008A28E4">
        <w:rPr>
          <w:rFonts w:ascii="Book Antiqua" w:hAnsi="Book Antiqua" w:cs="Times New Roman"/>
          <w:noProof/>
          <w:sz w:val="24"/>
          <w:szCs w:val="24"/>
          <w:vertAlign w:val="superscript"/>
        </w:rPr>
        <w:t>81</w:t>
      </w:r>
      <w:r w:rsidR="0098134D" w:rsidRPr="008A28E4">
        <w:rPr>
          <w:rFonts w:ascii="Book Antiqua" w:hAnsi="Book Antiqua" w:cs="Times New Roman"/>
          <w:sz w:val="24"/>
          <w:szCs w:val="24"/>
          <w:vertAlign w:val="superscript"/>
        </w:rPr>
        <w:fldChar w:fldCharType="end"/>
      </w:r>
      <w:r w:rsidR="00286B87" w:rsidRPr="008A28E4">
        <w:rPr>
          <w:rFonts w:ascii="Book Antiqua" w:hAnsi="Book Antiqua" w:cs="Times New Roman"/>
          <w:sz w:val="24"/>
          <w:szCs w:val="24"/>
          <w:vertAlign w:val="superscript"/>
        </w:rPr>
        <w:t>]</w:t>
      </w:r>
      <w:r w:rsidRPr="008A28E4">
        <w:rPr>
          <w:rFonts w:ascii="Book Antiqua" w:hAnsi="Book Antiqua" w:cs="Times New Roman"/>
          <w:sz w:val="24"/>
          <w:szCs w:val="24"/>
        </w:rPr>
        <w:t>. It is the duty of the surgeon to reduce this health hazard for all concerned. Following steps can be taken to minimize radiation during PNL</w:t>
      </w:r>
      <w:r w:rsidR="00C22D17" w:rsidRPr="008A28E4">
        <w:rPr>
          <w:rFonts w:ascii="Book Antiqua" w:hAnsi="Book Antiqua" w:cs="Times New Roman"/>
          <w:sz w:val="24"/>
          <w:szCs w:val="24"/>
          <w:lang w:eastAsia="zh-CN"/>
        </w:rPr>
        <w:t xml:space="preserve">: (1) </w:t>
      </w:r>
      <w:r w:rsidRPr="008A28E4">
        <w:rPr>
          <w:rFonts w:ascii="Book Antiqua" w:hAnsi="Book Antiqua" w:cs="Times New Roman"/>
          <w:sz w:val="24"/>
          <w:szCs w:val="24"/>
        </w:rPr>
        <w:t xml:space="preserve">The surgeon and the staff must always wear radiation protection gowns, thyroid guards </w:t>
      </w:r>
      <w:r w:rsidR="00C22D17" w:rsidRPr="008A28E4">
        <w:rPr>
          <w:rFonts w:ascii="Book Antiqua" w:hAnsi="Book Antiqua" w:cs="Times New Roman"/>
          <w:sz w:val="24"/>
          <w:szCs w:val="24"/>
        </w:rPr>
        <w:t>and radiation protection gloves</w:t>
      </w:r>
      <w:r w:rsidR="0098134D" w:rsidRPr="008A28E4">
        <w:rPr>
          <w:rFonts w:ascii="Book Antiqua" w:hAnsi="Book Antiqua" w:cs="Times New Roman"/>
          <w:sz w:val="24"/>
          <w:szCs w:val="24"/>
          <w:vertAlign w:val="superscript"/>
        </w:rPr>
        <w:fldChar w:fldCharType="begin" w:fldLock="1"/>
      </w:r>
      <w:r w:rsidRPr="008A28E4">
        <w:rPr>
          <w:rFonts w:ascii="Book Antiqua" w:hAnsi="Book Antiqua" w:cs="Times New Roman"/>
          <w:sz w:val="24"/>
          <w:szCs w:val="24"/>
          <w:vertAlign w:val="superscript"/>
        </w:rPr>
        <w:instrText>ADDIN CSL_CITATION { "citationItems" : [ { "id" : "ITEM-1", "itemData" : { "DOI" : "10.1089/08927790260472872", "ISSN" : "0892-7790", "PMID" : "12542875", "abstract" : "BACKGROUND AND PURPOSE: As endourology becomes an important part of the practice of urology, the use of fluoroscopic guidance has increased the exposure of urologists to the possibly deleterious effects of radiation. There is a need for a method of radiation protection for percutaneous nephrolithotomy (PCNL), as the exposure from radiation scatter may be significant, depending on the difficulty of establishing access. PATIENTS AND METHODS: We ascertained the effectiveness of a newly modified radiation shield during PCNL. Exposure readings were taken using a thermoluminescent dose monitor placed different distances from the radiation source during six PCNLs. We compared the exposure readings with and without the shield. RESULTS: The shield was able to reduce the radiation by an average of 96.1% at a distance of 25 cm and 71.2% at a distance of 50 cm from the source. CONCLUSION: The shield can be used as one step toward the goal of reducing surgeon radiation exposure. Other methods, such as dose-minimizing imaging protocols and adaptation of equipment optimized to reduce exposure, are also important measures in creating a safe environment for both the urologist and the patient.", "author" : [ { "dropping-particle" : "", "family" : "Yang", "given" : "Ronald M", "non-dropping-particle" : "", "parse-names" : false, "suffix" : "" }, { "dropping-particle" : "", "family" : "Morgan", "given" : "Thomas", "non-dropping-particle" : "", "parse-names" : false, "suffix" : "" }, { "dropping-particle" : "", "family" : "Bellman", "given" : "Gary C", "non-dropping-particle" : "", "parse-names" : false, "suffix" : "" } ], "container-title" : "Journal of endourology / Endourological Society", "id" : "ITEM-1", "issued" : { "date-parts" : [ [ "2002" ] ] }, "page" : "727-731", "title" : "Radiation protection during percutaneous nephrolithotomy: a new urologic surgery radiation shield.", "type" : "article-journal", "volume" : "16" }, "uris" : [ "http://www.mendeley.com/documents/?uuid=a8792bfb-8ee2-4d60-a93c-c8f34bec205b" ] } ], "mendeley" : { "previouslyFormattedCitation" : "(74)" }, "properties" : { "noteIndex" : 0 }, "schema" : "https://github.com/citation-style-language/schema/raw/master/csl-citation.json" }</w:instrText>
      </w:r>
      <w:r w:rsidR="0098134D" w:rsidRPr="008A28E4">
        <w:rPr>
          <w:rFonts w:ascii="Book Antiqua" w:hAnsi="Book Antiqua" w:cs="Times New Roman"/>
          <w:sz w:val="24"/>
          <w:szCs w:val="24"/>
          <w:vertAlign w:val="superscript"/>
        </w:rPr>
        <w:fldChar w:fldCharType="separate"/>
      </w:r>
      <w:r w:rsidR="00286B87" w:rsidRPr="008A28E4">
        <w:rPr>
          <w:rFonts w:ascii="Book Antiqua" w:hAnsi="Book Antiqua" w:cs="Times New Roman"/>
          <w:noProof/>
          <w:sz w:val="24"/>
          <w:szCs w:val="24"/>
          <w:vertAlign w:val="superscript"/>
        </w:rPr>
        <w:t>[</w:t>
      </w:r>
      <w:r w:rsidRPr="008A28E4">
        <w:rPr>
          <w:rFonts w:ascii="Book Antiqua" w:hAnsi="Book Antiqua" w:cs="Times New Roman"/>
          <w:noProof/>
          <w:sz w:val="24"/>
          <w:szCs w:val="24"/>
          <w:vertAlign w:val="superscript"/>
        </w:rPr>
        <w:t>82</w:t>
      </w:r>
      <w:r w:rsidR="0098134D" w:rsidRPr="008A28E4">
        <w:rPr>
          <w:rFonts w:ascii="Book Antiqua" w:hAnsi="Book Antiqua" w:cs="Times New Roman"/>
          <w:sz w:val="24"/>
          <w:szCs w:val="24"/>
          <w:vertAlign w:val="superscript"/>
        </w:rPr>
        <w:fldChar w:fldCharType="end"/>
      </w:r>
      <w:r w:rsidR="00286B87" w:rsidRPr="008A28E4">
        <w:rPr>
          <w:rFonts w:ascii="Book Antiqua" w:hAnsi="Book Antiqua" w:cs="Times New Roman"/>
          <w:sz w:val="24"/>
          <w:szCs w:val="24"/>
          <w:vertAlign w:val="superscript"/>
        </w:rPr>
        <w:t>]</w:t>
      </w:r>
      <w:r w:rsidR="00C22D17" w:rsidRPr="008A28E4">
        <w:rPr>
          <w:rFonts w:ascii="Book Antiqua" w:hAnsi="Book Antiqua" w:cs="Times New Roman"/>
          <w:sz w:val="24"/>
          <w:szCs w:val="24"/>
          <w:lang w:eastAsia="zh-CN"/>
        </w:rPr>
        <w:t xml:space="preserve">; (2) </w:t>
      </w:r>
      <w:r w:rsidRPr="008A28E4">
        <w:rPr>
          <w:rFonts w:ascii="Book Antiqua" w:hAnsi="Book Antiqua" w:cs="Times New Roman"/>
          <w:sz w:val="24"/>
          <w:szCs w:val="24"/>
        </w:rPr>
        <w:t xml:space="preserve">It is important to limit the time of exposure to minimum necessary. Using short bursts of fluoroscopy and using the “last image hold” feature of the fluoroscopy </w:t>
      </w:r>
      <w:r w:rsidR="00C22D17" w:rsidRPr="008A28E4">
        <w:rPr>
          <w:rFonts w:ascii="Book Antiqua" w:hAnsi="Book Antiqua" w:cs="Times New Roman"/>
          <w:sz w:val="24"/>
          <w:szCs w:val="24"/>
        </w:rPr>
        <w:t>unit reduces radiation exposure</w:t>
      </w:r>
      <w:r w:rsidR="0098134D" w:rsidRPr="008A28E4">
        <w:rPr>
          <w:rFonts w:ascii="Book Antiqua" w:hAnsi="Book Antiqua" w:cs="Times New Roman"/>
          <w:sz w:val="24"/>
          <w:szCs w:val="24"/>
          <w:vertAlign w:val="superscript"/>
        </w:rPr>
        <w:fldChar w:fldCharType="begin" w:fldLock="1"/>
      </w:r>
      <w:r w:rsidRPr="008A28E4">
        <w:rPr>
          <w:rFonts w:ascii="Book Antiqua" w:hAnsi="Book Antiqua" w:cs="Times New Roman"/>
          <w:sz w:val="24"/>
          <w:szCs w:val="24"/>
          <w:vertAlign w:val="superscript"/>
        </w:rPr>
        <w:instrText>ADDIN CSL_CITATION { "citationItems" : [ { "id" : "ITEM-1", "itemData" : { "DOI" : "10.1016/j.urology.2012.01.027", "ISSN" : "00904295", "PMID" : "22465084", "abstract" : "Objective: To assess the impact of pulsed fluoroscopy (PF) at a rate of 4 frames per seconds (fps) on the total fluoroscopy time during ureteroscopy (URS) and percutaneous nephrolithotomy (PCNL). Methods: A retrospective review of prospectively collected data was performed for consecutive patients undergoing URS and PCNL by a single surgeon between July 2009 and July 2011. PF was routinely used in all URS procedures since January 2011 and in all PCNL procedures since November 2010. Before these dates, standard fluoroscopy (SF) at a rate of 30 fps was used. Patient and stone characteristics together with operative data were compared using univariate and multivariate analyses. Results: There were a total of 163 URS (117 SF and 46 PF) and 100 PCNL (50 SF and 50 PF). In the URS cohort, there were no significant differences between both SF and PF groups in terms of age, gender, body mass index, stone location, and multiplicity (P &lt;.20). For both URS and PCNL cohorts, the duration of surgery and stone-free rates were comparable in both SF and PF groups (P &lt;.06). Compared with SF groups, patients in the PF groups were exposed to significantly less fluoroscopy during URS (109.1 vs. 44.1 sec, P&lt;0.001) and PCNL (341.1 vs. 121.5 sec, P&lt;0.001). These differences in mean fluoroscopy times retained their significance in multivariate analyses (P&lt;.001). Conclusion: The use of PF during URS and PCNL was associated with significantly lower fluoroscopy time, thus reducing radiation exposure to both patients and personnel. ?? 2012 Elsevier Inc. All Rights Reserved.", "author" : [ { "dropping-particle" : "", "family" : "Elkoushy", "given" : "Mohamed A.", "non-dropping-particle" : "", "parse-names" : false, "suffix" : "" }, { "dropping-particle" : "", "family" : "Shahrour", "given" : "Walid", "non-dropping-particle" : "", "parse-names" : false, "suffix" : "" }, { "dropping-particle" : "", "family" : "Andonian", "given" : "Sero", "non-dropping-particle" : "", "parse-names" : false, "suffix" : "" } ], "container-title" : "Urology", "id" : "ITEM-1", "issued" : { "date-parts" : [ [ "2012" ] ] }, "page" : "1230-1235", "title" : "Pulsed fluoroscopy in ureteroscopy and percutaneous nephrolithotomy", "type" : "article-journal", "volume" : "79" }, "uris" : [ "http://www.mendeley.com/documents/?uuid=12f22fc7-11db-4a31-b9be-f7a29ba9b746" ] } ], "mendeley" : { "previouslyFormattedCitation" : "(75)" }, "properties" : { "noteIndex" : 0 }, "schema" : "https://github.com/citation-style-language/schema/raw/master/csl-citation.json" }</w:instrText>
      </w:r>
      <w:r w:rsidR="0098134D" w:rsidRPr="008A28E4">
        <w:rPr>
          <w:rFonts w:ascii="Book Antiqua" w:hAnsi="Book Antiqua" w:cs="Times New Roman"/>
          <w:sz w:val="24"/>
          <w:szCs w:val="24"/>
          <w:vertAlign w:val="superscript"/>
        </w:rPr>
        <w:fldChar w:fldCharType="separate"/>
      </w:r>
      <w:r w:rsidR="00286B87" w:rsidRPr="008A28E4">
        <w:rPr>
          <w:rFonts w:ascii="Book Antiqua" w:hAnsi="Book Antiqua" w:cs="Times New Roman"/>
          <w:noProof/>
          <w:sz w:val="24"/>
          <w:szCs w:val="24"/>
          <w:vertAlign w:val="superscript"/>
        </w:rPr>
        <w:t>[</w:t>
      </w:r>
      <w:r w:rsidRPr="008A28E4">
        <w:rPr>
          <w:rFonts w:ascii="Book Antiqua" w:hAnsi="Book Antiqua" w:cs="Times New Roman"/>
          <w:noProof/>
          <w:sz w:val="24"/>
          <w:szCs w:val="24"/>
          <w:vertAlign w:val="superscript"/>
        </w:rPr>
        <w:t>83</w:t>
      </w:r>
      <w:r w:rsidR="0098134D" w:rsidRPr="008A28E4">
        <w:rPr>
          <w:rFonts w:ascii="Book Antiqua" w:hAnsi="Book Antiqua" w:cs="Times New Roman"/>
          <w:sz w:val="24"/>
          <w:szCs w:val="24"/>
          <w:vertAlign w:val="superscript"/>
        </w:rPr>
        <w:fldChar w:fldCharType="end"/>
      </w:r>
      <w:r w:rsidR="00286B87" w:rsidRPr="008A28E4">
        <w:rPr>
          <w:rFonts w:ascii="Book Antiqua" w:hAnsi="Book Antiqua" w:cs="Times New Roman"/>
          <w:sz w:val="24"/>
          <w:szCs w:val="24"/>
          <w:vertAlign w:val="superscript"/>
        </w:rPr>
        <w:t>]</w:t>
      </w:r>
      <w:r w:rsidR="00C22D17" w:rsidRPr="008A28E4">
        <w:rPr>
          <w:rFonts w:ascii="Book Antiqua" w:hAnsi="Book Antiqua" w:cs="Times New Roman"/>
          <w:sz w:val="24"/>
          <w:szCs w:val="24"/>
          <w:lang w:eastAsia="zh-CN"/>
        </w:rPr>
        <w:t xml:space="preserve">; (3) </w:t>
      </w:r>
      <w:r w:rsidRPr="008A28E4">
        <w:rPr>
          <w:rFonts w:ascii="Book Antiqua" w:hAnsi="Book Antiqua" w:cs="Times New Roman"/>
          <w:sz w:val="24"/>
          <w:szCs w:val="24"/>
        </w:rPr>
        <w:t>The image intensifier should be placed as close to the patient as possible, fluoroscopy beam should come from under the table, be focused on the area of interest and a pulsed fluoroscopy mode should be used</w:t>
      </w:r>
      <w:r w:rsidR="0098134D" w:rsidRPr="008A28E4">
        <w:rPr>
          <w:rFonts w:ascii="Book Antiqua" w:hAnsi="Book Antiqua" w:cs="Times New Roman"/>
          <w:sz w:val="24"/>
          <w:szCs w:val="24"/>
        </w:rPr>
        <w:fldChar w:fldCharType="begin" w:fldLock="1"/>
      </w:r>
      <w:r w:rsidRPr="008A28E4">
        <w:rPr>
          <w:rFonts w:ascii="Book Antiqua" w:hAnsi="Book Antiqua" w:cs="Times New Roman"/>
          <w:sz w:val="24"/>
          <w:szCs w:val="24"/>
        </w:rPr>
        <w:instrText>ADDIN CSL_CITATION { "citationItems" : [ { "id" : "ITEM-1", "itemData" : { "DOI" : "10.1016/j.ucl.2006.03.003", "ISSN" : "0094-0143", "PMID" : "16829270", "abstract" : "Percutaneous renal stone surgery requires detailed imaging to define stone burden and delineate the anatomy of the kidney and nearby organs. It is also essential to carry out safe percutaneous access and to assess postoperative outcomes. The emergence of CT as the imaging modality of choice for detecting renal calculi and the ability of CT urography with or without three-dimensional reconstruction to delineate the collecting system makes this the most versatile and sensitive imaging modality for pre- and postoperative evaluation. At present, intravenous urogram continues to play an important role in the evaluation of patients considered for percutaneous nephrostolithotomy. Fluoroscopy re-mains the mainstay of intraoperative imaging, although ultrasound is a useful alternative. Selection and application of appropriate imaging modalities for patients undergoing per-cutaneous nephrostolithotomy enhances the safety and success of the procedure.", "author" : [ { "dropping-particle" : "", "family" : "Park", "given" : "Sangtae", "non-dropping-particle" : "", "parse-names" : false, "suffix" : "" }, { "dropping-particle" : "", "family" : "Pearle", "given" : "Margaret S", "non-dropping-particle" : "", "parse-names" : false, "suffix" : "" } ], "container-title" : "The Urologic clinics of North America", "id" : "ITEM-1", "issued" : { "date-parts" : [ [ "2006" ] ] }, "page" : "353-364", "title" : "Imaging for percutaneous renal access and management of renal calculi.", "type" : "article-journal", "volume" : "33" }, "uris" : [ "http://www.mendeley.com/documents/?uuid=c4ca113e-270a-4a55-a01a-54b623b4ad73" ] } ], "mendeley" : { "previouslyFormattedCitation" : "(18)" }, "properties" : { "noteIndex" : 0 }, "schema" : "https://github.com/citation-style-language/schema/raw/master/csl-citation.json" }</w:instrText>
      </w:r>
      <w:r w:rsidR="0098134D" w:rsidRPr="008A28E4">
        <w:rPr>
          <w:rFonts w:ascii="Book Antiqua" w:hAnsi="Book Antiqua" w:cs="Times New Roman"/>
          <w:sz w:val="24"/>
          <w:szCs w:val="24"/>
        </w:rPr>
        <w:fldChar w:fldCharType="separate"/>
      </w:r>
      <w:r w:rsidR="00286B87" w:rsidRPr="008A28E4">
        <w:rPr>
          <w:rFonts w:ascii="Book Antiqua" w:hAnsi="Book Antiqua" w:cs="Times New Roman"/>
          <w:noProof/>
          <w:sz w:val="24"/>
          <w:szCs w:val="24"/>
          <w:vertAlign w:val="superscript"/>
        </w:rPr>
        <w:t>[</w:t>
      </w:r>
      <w:r w:rsidRPr="008A28E4">
        <w:rPr>
          <w:rFonts w:ascii="Book Antiqua" w:hAnsi="Book Antiqua" w:cs="Times New Roman"/>
          <w:noProof/>
          <w:sz w:val="24"/>
          <w:szCs w:val="24"/>
          <w:vertAlign w:val="superscript"/>
        </w:rPr>
        <w:t>25</w:t>
      </w:r>
      <w:r w:rsidR="00286B87" w:rsidRPr="008A28E4">
        <w:rPr>
          <w:rFonts w:ascii="Book Antiqua" w:hAnsi="Book Antiqua" w:cs="Times New Roman"/>
          <w:noProof/>
          <w:sz w:val="24"/>
          <w:szCs w:val="24"/>
          <w:vertAlign w:val="superscript"/>
        </w:rPr>
        <w:t>]</w:t>
      </w:r>
      <w:r w:rsidR="0098134D" w:rsidRPr="008A28E4">
        <w:rPr>
          <w:rFonts w:ascii="Book Antiqua" w:hAnsi="Book Antiqua" w:cs="Times New Roman"/>
          <w:sz w:val="24"/>
          <w:szCs w:val="24"/>
        </w:rPr>
        <w:fldChar w:fldCharType="end"/>
      </w:r>
      <w:r w:rsidRPr="008A28E4">
        <w:rPr>
          <w:rFonts w:ascii="Book Antiqua" w:hAnsi="Book Antiqua" w:cs="Times New Roman"/>
          <w:sz w:val="24"/>
          <w:szCs w:val="24"/>
        </w:rPr>
        <w:t>. The use of air instead of iodinated contrast may further reduce the radiation exposure</w:t>
      </w:r>
      <w:r w:rsidR="0098134D" w:rsidRPr="008A28E4">
        <w:rPr>
          <w:rFonts w:ascii="Book Antiqua" w:hAnsi="Book Antiqua" w:cs="Times New Roman"/>
          <w:sz w:val="24"/>
          <w:szCs w:val="24"/>
          <w:vertAlign w:val="superscript"/>
        </w:rPr>
        <w:fldChar w:fldCharType="begin" w:fldLock="1"/>
      </w:r>
      <w:r w:rsidRPr="008A28E4">
        <w:rPr>
          <w:rFonts w:ascii="Book Antiqua" w:hAnsi="Book Antiqua" w:cs="Times New Roman"/>
          <w:sz w:val="24"/>
          <w:szCs w:val="24"/>
          <w:vertAlign w:val="superscript"/>
        </w:rPr>
        <w:instrText>ADDIN CSL_CITATION { "citationItems" : [ { "id" : "ITEM-1", "itemData" : { "author" : [ { "dropping-particle" : "", "family" : "Nephrolithotomy", "given" : "Percutaneous", "non-dropping-particle" : "", "parse-names" : false, "suffix" : "" }, { "dropping-particle" : "", "family" : "Mancini", "given" : "John G", "non-dropping-particle" : "", "parse-names" : false, "suffix" : "" }, { "dropping-particle" : "", "family" : "Yoshizumi", "given" : "Terry T", "non-dropping-particle" : "", "parse-names" : false, "suffix" : "" }, { "dropping-particle" : "", "family" : "Ph", "given" : "D", "non-dropping-particle" : "", "parse-names" : false, "suffix" : "" }, { "dropping-particle" : "", "family" : "Preminger", "given" : "Glenn M", "non-dropping-particle" : "", "parse-names" : false, "suffix" : "" } ], "id" : "ITEM-1", "issue" : "4", "issued" : { "date-parts" : [ [ "2011" ] ] }, "page" : "563-567", "title" : "Reduced Radiation Exposure with the Use of an Air Retrograde Pyelogram During Fluoroscopic Access", "type" : "article-journal", "volume" : "25" }, "uris" : [ "http://www.mendeley.com/documents/?uuid=ec63cef3-7b35-4b4e-9887-f1aa1bc210d2" ] } ], "mendeley" : { "previouslyFormattedCitation" : "(76)" }, "properties" : { "noteIndex" : 0 }, "schema" : "https://github.com/citation-style-language/schema/raw/master/csl-citation.json" }</w:instrText>
      </w:r>
      <w:r w:rsidR="0098134D" w:rsidRPr="008A28E4">
        <w:rPr>
          <w:rFonts w:ascii="Book Antiqua" w:hAnsi="Book Antiqua" w:cs="Times New Roman"/>
          <w:sz w:val="24"/>
          <w:szCs w:val="24"/>
          <w:vertAlign w:val="superscript"/>
        </w:rPr>
        <w:fldChar w:fldCharType="separate"/>
      </w:r>
      <w:r w:rsidR="00286B87" w:rsidRPr="008A28E4">
        <w:rPr>
          <w:rFonts w:ascii="Book Antiqua" w:hAnsi="Book Antiqua" w:cs="Times New Roman"/>
          <w:noProof/>
          <w:sz w:val="24"/>
          <w:szCs w:val="24"/>
          <w:vertAlign w:val="superscript"/>
        </w:rPr>
        <w:t>[</w:t>
      </w:r>
      <w:r w:rsidRPr="008A28E4">
        <w:rPr>
          <w:rFonts w:ascii="Book Antiqua" w:hAnsi="Book Antiqua" w:cs="Times New Roman"/>
          <w:noProof/>
          <w:sz w:val="24"/>
          <w:szCs w:val="24"/>
          <w:vertAlign w:val="superscript"/>
        </w:rPr>
        <w:t>84</w:t>
      </w:r>
      <w:r w:rsidR="0098134D" w:rsidRPr="008A28E4">
        <w:rPr>
          <w:rFonts w:ascii="Book Antiqua" w:hAnsi="Book Antiqua" w:cs="Times New Roman"/>
          <w:sz w:val="24"/>
          <w:szCs w:val="24"/>
          <w:vertAlign w:val="superscript"/>
        </w:rPr>
        <w:fldChar w:fldCharType="end"/>
      </w:r>
      <w:r w:rsidR="00286B87" w:rsidRPr="008A28E4">
        <w:rPr>
          <w:rFonts w:ascii="Book Antiqua" w:hAnsi="Book Antiqua" w:cs="Times New Roman"/>
          <w:sz w:val="24"/>
          <w:szCs w:val="24"/>
          <w:vertAlign w:val="superscript"/>
        </w:rPr>
        <w:t>]</w:t>
      </w:r>
      <w:r w:rsidR="00C22D17" w:rsidRPr="008A28E4">
        <w:rPr>
          <w:rFonts w:ascii="Book Antiqua" w:hAnsi="Book Antiqua" w:cs="Times New Roman"/>
          <w:sz w:val="24"/>
          <w:szCs w:val="24"/>
          <w:lang w:eastAsia="zh-CN"/>
        </w:rPr>
        <w:t>; (4)</w:t>
      </w:r>
      <w:r w:rsidRPr="008A28E4">
        <w:rPr>
          <w:rFonts w:ascii="Book Antiqua" w:hAnsi="Book Antiqua" w:cs="Times New Roman"/>
          <w:sz w:val="24"/>
          <w:szCs w:val="24"/>
        </w:rPr>
        <w:t xml:space="preserve"> Keeping the fluoroscopy unit foot pedal with the surgeon and thinking during and after screening are other small precautions w</w:t>
      </w:r>
      <w:r w:rsidR="00C22D17" w:rsidRPr="008A28E4">
        <w:rPr>
          <w:rFonts w:ascii="Book Antiqua" w:hAnsi="Book Antiqua" w:cs="Times New Roman"/>
          <w:sz w:val="24"/>
          <w:szCs w:val="24"/>
        </w:rPr>
        <w:t>hich can decrease the radiation</w:t>
      </w:r>
      <w:r w:rsidR="00C22D17" w:rsidRPr="008A28E4">
        <w:rPr>
          <w:rFonts w:ascii="Book Antiqua" w:hAnsi="Book Antiqua" w:cs="Times New Roman"/>
          <w:sz w:val="24"/>
          <w:szCs w:val="24"/>
          <w:lang w:eastAsia="zh-CN"/>
        </w:rPr>
        <w:t xml:space="preserve">; (5) </w:t>
      </w:r>
      <w:r w:rsidRPr="008A28E4">
        <w:rPr>
          <w:rFonts w:ascii="Book Antiqua" w:hAnsi="Book Antiqua" w:cs="Times New Roman"/>
          <w:sz w:val="24"/>
          <w:szCs w:val="24"/>
        </w:rPr>
        <w:t>For lower pole punctures using triangulation technique tilt the C arm cephalad and vice versa for upper pole p</w:t>
      </w:r>
      <w:r w:rsidR="00C22D17" w:rsidRPr="008A28E4">
        <w:rPr>
          <w:rFonts w:ascii="Book Antiqua" w:hAnsi="Book Antiqua" w:cs="Times New Roman"/>
          <w:sz w:val="24"/>
          <w:szCs w:val="24"/>
        </w:rPr>
        <w:t>uncture</w:t>
      </w:r>
      <w:r w:rsidR="00C22D17" w:rsidRPr="008A28E4">
        <w:rPr>
          <w:rFonts w:ascii="Book Antiqua" w:hAnsi="Book Antiqua" w:cs="Times New Roman"/>
          <w:sz w:val="24"/>
          <w:szCs w:val="24"/>
          <w:lang w:eastAsia="zh-CN"/>
        </w:rPr>
        <w:t xml:space="preserve">; </w:t>
      </w:r>
      <w:r w:rsidR="00113CEF" w:rsidRPr="008A28E4">
        <w:rPr>
          <w:rFonts w:ascii="Book Antiqua" w:hAnsi="Book Antiqua" w:cs="Times New Roman"/>
          <w:sz w:val="24"/>
          <w:szCs w:val="24"/>
          <w:lang w:eastAsia="zh-CN"/>
        </w:rPr>
        <w:t xml:space="preserve">and </w:t>
      </w:r>
      <w:r w:rsidR="00C22D17" w:rsidRPr="008A28E4">
        <w:rPr>
          <w:rFonts w:ascii="Book Antiqua" w:hAnsi="Book Antiqua" w:cs="Times New Roman"/>
          <w:sz w:val="24"/>
          <w:szCs w:val="24"/>
          <w:lang w:eastAsia="zh-CN"/>
        </w:rPr>
        <w:t xml:space="preserve">(6) </w:t>
      </w:r>
      <w:r w:rsidRPr="008A28E4">
        <w:rPr>
          <w:rFonts w:ascii="Book Antiqua" w:hAnsi="Book Antiqua" w:cs="Times New Roman"/>
          <w:sz w:val="24"/>
          <w:szCs w:val="24"/>
        </w:rPr>
        <w:t>Hold the needle in a way that the hands get minimal radiation exposure. Use of an instrument to achieve this would reduce radiation exposure. Needles and dilators that have distance marked on them can help in reducing radiation as the fluoroscopy can be used once th</w:t>
      </w:r>
      <w:r w:rsidR="00C22D17" w:rsidRPr="008A28E4">
        <w:rPr>
          <w:rFonts w:ascii="Book Antiqua" w:hAnsi="Book Antiqua" w:cs="Times New Roman"/>
          <w:sz w:val="24"/>
          <w:szCs w:val="24"/>
        </w:rPr>
        <w:t>e needle-tip is near the kidney</w:t>
      </w:r>
      <w:r w:rsidR="0098134D" w:rsidRPr="008A28E4">
        <w:rPr>
          <w:rFonts w:ascii="Book Antiqua" w:hAnsi="Book Antiqua" w:cs="Times New Roman"/>
          <w:sz w:val="24"/>
          <w:szCs w:val="24"/>
          <w:vertAlign w:val="superscript"/>
        </w:rPr>
        <w:fldChar w:fldCharType="begin" w:fldLock="1"/>
      </w:r>
      <w:r w:rsidRPr="008A28E4">
        <w:rPr>
          <w:rFonts w:ascii="Book Antiqua" w:hAnsi="Book Antiqua" w:cs="Times New Roman"/>
          <w:sz w:val="24"/>
          <w:szCs w:val="24"/>
          <w:vertAlign w:val="superscript"/>
        </w:rPr>
        <w:instrText>ADDIN CSL_CITATION { "citationItems" : [ { "id" : "ITEM-1", "itemData" : { "DOI" : "10.1089/end.2012.0671", "ISSN" : "1557-900X", "PMID" : "23527890", "abstract" : "OBJECTIVE: To evaluate the role of the fascial dilators modified with a scale marker in reducing fluoroscopy time during percutaneous nephrolithotomy (PCNL).\n\nMETHOD: In a randomized clinical trial, eligible 100 consecutive patients anticipated to undergo single-tract PCNL were randomly assigned into two groups by the closed envelope method, to compare the efficacy and safety of the modified scale fascial dilator (group 1, n=50) and traditional nonscale fascial dilator (group 2, n=50) with respect to the X-ray exposure duration as well as the outcome of PCNL.\n\nRESULTS: There was no significant difference between group 1 and group 2 regarding to the initial successful access rate (100% v 96%), operative time (79.4 v 83.7 minutes), the initial stone-free rate (82% v 81.3%), complications (24% v 20%), and bleeding required blood transfusion (4% v 6%) (all p&gt;0.05). The mean operative duration and fluoroscopic time for tract dilation in group 1 and group 2 were 164.4 \u00b1 19 seconds v 168.3 \u00b1 14 seconds, and 3.2 \u00b1 0.9 seconds v 22.2 \u00b1 4.6 seconds, (p=0.250 and p&lt;0.001), respectively.\n\nCONCLUSIONS: Compared to the use of nonscaled dilators, using the scaled fascial dilators for a percutaneous access in PCNL was found to be associated with less radiation hazards along with similar stone-free rate and complications.", "author" : [ { "dropping-particle" : "", "family" : "Zeng", "given" : "Guohua", "non-dropping-particle" : "", "parse-names" : false, "suffix" : "" }, { "dropping-particle" : "", "family" : "Zhao", "given" : "Zhijian", "non-dropping-particle" : "", "parse-names" : false, "suffix" : "" }, { "dropping-particle" : "", "family" : "Zhong", "given" : "Wen", "non-dropping-particle" : "", "parse-names" : false, "suffix" : "" }, { "dropping-particle" : "", "family" : "Wu", "given" : "Kaijun", "non-dropping-particle" : "", "parse-names" : false, "suffix" : "" }, { "dropping-particle" : "", "family" : "Chen", "given" : "Wenzhong", "non-dropping-particle" : "", "parse-names" : false, "suffix" : "" }, { "dropping-particle" : "", "family" : "Wu", "given" : "Wenqi", "non-dropping-particle" : "", "parse-names" : false, "suffix" : "" }, { "dropping-particle" : "", "family" : "Xiao", "given" : "Chenlin", "non-dropping-particle" : "", "parse-names" : false, "suffix" : "" }, { "dropping-particle" : "", "family" : "Liu", "given" : "Yongda", "non-dropping-particle" : "", "parse-names" : false, "suffix" : "" } ], "container-title" : "Journal of endourology / Endourological Society", "id" : "ITEM-1", "issue" : "11", "issued" : { "date-parts" : [ [ "2013", "11" ] ] }, "page" : "1335-40", "title" : "Evaluation of a novel fascial dilator modified with scale marker in percutaneous nephrolithotomy for reducing the X-ray exposure: a randomized clinical study.", "type" : "article-journal", "volume" : "27" }, "uris" : [ "http://www.mendeley.com/documents/?uuid=04395278-aecb-44cd-b6a3-a2e6e92bcee3" ] } ], "mendeley" : { "previouslyFormattedCitation" : "(77)" }, "properties" : { "noteIndex" : 0 }, "schema" : "https://github.com/citation-style-language/schema/raw/master/csl-citation.json" }</w:instrText>
      </w:r>
      <w:r w:rsidR="0098134D" w:rsidRPr="008A28E4">
        <w:rPr>
          <w:rFonts w:ascii="Book Antiqua" w:hAnsi="Book Antiqua" w:cs="Times New Roman"/>
          <w:sz w:val="24"/>
          <w:szCs w:val="24"/>
          <w:vertAlign w:val="superscript"/>
        </w:rPr>
        <w:fldChar w:fldCharType="separate"/>
      </w:r>
      <w:r w:rsidR="00286B87" w:rsidRPr="008A28E4">
        <w:rPr>
          <w:rFonts w:ascii="Book Antiqua" w:hAnsi="Book Antiqua" w:cs="Times New Roman"/>
          <w:noProof/>
          <w:sz w:val="24"/>
          <w:szCs w:val="24"/>
          <w:vertAlign w:val="superscript"/>
        </w:rPr>
        <w:t>[</w:t>
      </w:r>
      <w:r w:rsidR="00113CEF" w:rsidRPr="008A28E4">
        <w:rPr>
          <w:rFonts w:ascii="Book Antiqua" w:hAnsi="Book Antiqua" w:cs="Times New Roman"/>
          <w:noProof/>
          <w:sz w:val="24"/>
          <w:szCs w:val="24"/>
          <w:vertAlign w:val="superscript"/>
        </w:rPr>
        <w:t>40,</w:t>
      </w:r>
      <w:r w:rsidRPr="008A28E4">
        <w:rPr>
          <w:rFonts w:ascii="Book Antiqua" w:hAnsi="Book Antiqua" w:cs="Times New Roman"/>
          <w:noProof/>
          <w:sz w:val="24"/>
          <w:szCs w:val="24"/>
          <w:vertAlign w:val="superscript"/>
        </w:rPr>
        <w:t>85</w:t>
      </w:r>
      <w:r w:rsidR="0098134D" w:rsidRPr="008A28E4">
        <w:rPr>
          <w:rFonts w:ascii="Book Antiqua" w:hAnsi="Book Antiqua" w:cs="Times New Roman"/>
          <w:sz w:val="24"/>
          <w:szCs w:val="24"/>
          <w:vertAlign w:val="superscript"/>
        </w:rPr>
        <w:fldChar w:fldCharType="end"/>
      </w:r>
      <w:r w:rsidR="00286B87" w:rsidRPr="008A28E4">
        <w:rPr>
          <w:rFonts w:ascii="Book Antiqua" w:hAnsi="Book Antiqua" w:cs="Times New Roman"/>
          <w:sz w:val="24"/>
          <w:szCs w:val="24"/>
          <w:vertAlign w:val="superscript"/>
        </w:rPr>
        <w:t>]</w:t>
      </w:r>
      <w:r w:rsidR="00C22D17" w:rsidRPr="008A28E4">
        <w:rPr>
          <w:rFonts w:ascii="Book Antiqua" w:hAnsi="Book Antiqua" w:cs="Times New Roman"/>
          <w:sz w:val="24"/>
          <w:szCs w:val="24"/>
          <w:lang w:eastAsia="zh-CN"/>
        </w:rPr>
        <w:t>.</w:t>
      </w:r>
    </w:p>
    <w:p w:rsidR="00C22D17" w:rsidRPr="008A28E4" w:rsidRDefault="00C22D17" w:rsidP="008A28E4">
      <w:pPr>
        <w:pStyle w:val="ListParagraph"/>
        <w:spacing w:after="0" w:line="360" w:lineRule="auto"/>
        <w:ind w:left="0"/>
        <w:jc w:val="both"/>
        <w:rPr>
          <w:rFonts w:ascii="Book Antiqua" w:hAnsi="Book Antiqua" w:cs="Times New Roman"/>
          <w:b/>
          <w:sz w:val="24"/>
          <w:szCs w:val="24"/>
          <w:lang w:eastAsia="zh-CN"/>
        </w:rPr>
      </w:pPr>
    </w:p>
    <w:p w:rsidR="00C2014D" w:rsidRPr="008A28E4" w:rsidRDefault="00505DA4" w:rsidP="008A28E4">
      <w:pPr>
        <w:pStyle w:val="ListParagraph"/>
        <w:spacing w:after="0" w:line="360" w:lineRule="auto"/>
        <w:ind w:left="0"/>
        <w:jc w:val="both"/>
        <w:rPr>
          <w:rFonts w:ascii="Book Antiqua" w:hAnsi="Book Antiqua" w:cs="Times New Roman"/>
          <w:sz w:val="24"/>
          <w:szCs w:val="24"/>
        </w:rPr>
      </w:pPr>
      <w:r w:rsidRPr="008A28E4">
        <w:rPr>
          <w:rFonts w:ascii="Book Antiqua" w:hAnsi="Book Antiqua" w:cs="Times New Roman"/>
          <w:b/>
          <w:sz w:val="24"/>
          <w:szCs w:val="24"/>
        </w:rPr>
        <w:t>PREVENTING VISCERAL INJURY DURING PCNL</w:t>
      </w:r>
    </w:p>
    <w:p w:rsidR="00C2014D" w:rsidRPr="008A28E4" w:rsidRDefault="00C2014D" w:rsidP="008A28E4">
      <w:pPr>
        <w:widowControl w:val="0"/>
        <w:autoSpaceDE w:val="0"/>
        <w:autoSpaceDN w:val="0"/>
        <w:adjustRightInd w:val="0"/>
        <w:spacing w:after="0" w:line="360" w:lineRule="auto"/>
        <w:jc w:val="both"/>
        <w:rPr>
          <w:rFonts w:ascii="Book Antiqua" w:hAnsi="Book Antiqua" w:cs="Times New Roman"/>
          <w:sz w:val="24"/>
          <w:szCs w:val="24"/>
        </w:rPr>
      </w:pPr>
      <w:r w:rsidRPr="008A28E4">
        <w:rPr>
          <w:rFonts w:ascii="Book Antiqua" w:hAnsi="Book Antiqua" w:cs="Times New Roman"/>
          <w:sz w:val="24"/>
          <w:szCs w:val="24"/>
        </w:rPr>
        <w:t>Any abdominal organ close to the kidney can be injured during percutaneous renal surgery including the colon, duodenum, jejunum, spleen, liver, and biliary system. Such injury is always an accident and an effort is needed in preventing them. If it happens, early identification and treatment is very vital.</w:t>
      </w:r>
    </w:p>
    <w:p w:rsidR="00C22D17" w:rsidRPr="008A28E4" w:rsidRDefault="00C22D17" w:rsidP="008A28E4">
      <w:pPr>
        <w:widowControl w:val="0"/>
        <w:autoSpaceDE w:val="0"/>
        <w:autoSpaceDN w:val="0"/>
        <w:adjustRightInd w:val="0"/>
        <w:spacing w:after="0" w:line="360" w:lineRule="auto"/>
        <w:jc w:val="both"/>
        <w:rPr>
          <w:rFonts w:ascii="Book Antiqua" w:hAnsi="Book Antiqua" w:cs="Times New Roman"/>
          <w:sz w:val="24"/>
          <w:szCs w:val="24"/>
          <w:u w:val="single"/>
          <w:lang w:eastAsia="zh-CN"/>
        </w:rPr>
      </w:pPr>
    </w:p>
    <w:p w:rsidR="00C2014D" w:rsidRPr="008A28E4" w:rsidRDefault="00C2014D" w:rsidP="008A28E4">
      <w:pPr>
        <w:widowControl w:val="0"/>
        <w:autoSpaceDE w:val="0"/>
        <w:autoSpaceDN w:val="0"/>
        <w:adjustRightInd w:val="0"/>
        <w:spacing w:after="0" w:line="360" w:lineRule="auto"/>
        <w:jc w:val="both"/>
        <w:rPr>
          <w:rFonts w:ascii="Book Antiqua" w:hAnsi="Book Antiqua" w:cs="Times New Roman"/>
          <w:b/>
          <w:i/>
          <w:sz w:val="24"/>
          <w:szCs w:val="24"/>
        </w:rPr>
      </w:pPr>
      <w:r w:rsidRPr="008A28E4">
        <w:rPr>
          <w:rFonts w:ascii="Book Antiqua" w:hAnsi="Book Antiqua" w:cs="Times New Roman"/>
          <w:b/>
          <w:i/>
          <w:sz w:val="24"/>
          <w:szCs w:val="24"/>
        </w:rPr>
        <w:t>Colonic Injury</w:t>
      </w:r>
    </w:p>
    <w:p w:rsidR="00C2014D" w:rsidRPr="008A28E4" w:rsidRDefault="00C2014D" w:rsidP="008A28E4">
      <w:pPr>
        <w:widowControl w:val="0"/>
        <w:autoSpaceDE w:val="0"/>
        <w:autoSpaceDN w:val="0"/>
        <w:adjustRightInd w:val="0"/>
        <w:spacing w:after="0" w:line="360" w:lineRule="auto"/>
        <w:jc w:val="both"/>
        <w:rPr>
          <w:rFonts w:ascii="Book Antiqua" w:hAnsi="Book Antiqua" w:cs="Times New Roman"/>
          <w:sz w:val="24"/>
          <w:szCs w:val="24"/>
        </w:rPr>
      </w:pPr>
      <w:r w:rsidRPr="008A28E4">
        <w:rPr>
          <w:rFonts w:ascii="Book Antiqua" w:hAnsi="Book Antiqua" w:cs="Times New Roman"/>
          <w:sz w:val="24"/>
          <w:szCs w:val="24"/>
        </w:rPr>
        <w:t>Colonic injury happens in about 1% percutaneous renal procedures in prone position. It is thought to be due to retro-renal position of the colon. It is more common on the left side when a lower calyx access is attempted</w:t>
      </w:r>
      <w:r w:rsidR="0098134D" w:rsidRPr="008A28E4">
        <w:rPr>
          <w:rFonts w:ascii="Book Antiqua" w:hAnsi="Book Antiqua" w:cs="Times New Roman"/>
          <w:sz w:val="24"/>
          <w:szCs w:val="24"/>
          <w:vertAlign w:val="superscript"/>
        </w:rPr>
        <w:fldChar w:fldCharType="begin" w:fldLock="1"/>
      </w:r>
      <w:r w:rsidRPr="008A28E4">
        <w:rPr>
          <w:rFonts w:ascii="Book Antiqua" w:hAnsi="Book Antiqua" w:cs="Times New Roman"/>
          <w:sz w:val="24"/>
          <w:szCs w:val="24"/>
          <w:vertAlign w:val="superscript"/>
        </w:rPr>
        <w:instrText>ADDIN CSL_CITATION { "citationItems" : [ { "id" : "ITEM-1", "itemData" : { "DOI" : "10.1016/j.urology.2005.11.025", "ISSN" : "00904295", "PMID" : "16635515", "abstract" : "Objectives: To identify the risk factors implicated in colonic perforation during percutaneous nephrolithotomy. Methods: From 1985 to 2004, 5039 percutaneous nephrolithotomy procedures were performed in our center. Colonic perforation complicated 15 procedures (0.3%). The patient files were retrospectively reviewed for detection of preoperative risk factors as shown by multivariate statistical analysis. The operative details and postoperative course were also studied to determine the time and mode of diagnosis of colonic injury and treatment strategies and outcome. Results: All injuries were retroperitoneal. The mean patient age was 57 ?? 8.4 years. Of the 15 patients, 11 were men and 4 were women. The left side was affected in 10 patients (66.6%). The right side was injured only in those with horseshoe kidneys or with recurrent disease. Colonic perforation complicated lower caliceal puncture in 12 procedures (80%) and complicated upper caliceal punctures in those with horseshoe kidneys or chronic colonic distension. Significant independent risk factors were advanced patient age and the presence of a horseshoe kidney. The diagnosis was established intraoperatively in 5 patients and postoperatively in 10, 5 of whom presented with colocutaneous fistula. The diagnosis was confirmed with abdominal computed tomography or opacification of the colon during antegrade or retrograde pyelography. Conservative treatment was successful in all but 2 patients who required colostomy. Conclusions: Significant independent risk factors for colonic perforation during percutaneous nephrolithotomy were advanced patient age and the presence of a horseshoe kidney. Early diagnosis and proper treatment represent the key to minimizing patient morbidity and avoiding serious complications. ?? 2006 Elsevier Inc. All rights reserved.", "author" : [ { "dropping-particle" : "", "family" : "El-Nahas", "given" : "Ahmed R.", "non-dropping-particle" : "", "parse-names" : false, "suffix" : "" }, { "dropping-particle" : "", "family" : "Shokeir", "given" : "Ahmed A.", "non-dropping-particle" : "", "parse-names" : false, "suffix" : "" }, { "dropping-particle" : "", "family" : "El-Assmy", "given" : "Ahmed M.", "non-dropping-particle" : "", "parse-names" : false, "suffix" : "" }, { "dropping-particle" : "", "family" : "Shoma", "given" : "Ahmed M.", "non-dropping-particle" : "", "parse-names" : false, "suffix" : "" }, { "dropping-particle" : "", "family" : "Eraky", "given" : "Ibrahim", "non-dropping-particle" : "", "parse-names" : false, "suffix" : "" }, { "dropping-particle" : "", "family" : "El-Kenawy", "given" : "Mahmoud R.", "non-dropping-particle" : "", "parse-names" : false, "suffix" : "" }, { "dropping-particle" : "", "family" : "El-Kappany", "given" : "Hamdy A.", "non-dropping-particle" : "", "parse-names" : false, "suffix" : "" } ], "container-title" : "Urology", "id" : "ITEM-1", "issued" : { "date-parts" : [ [ "2006" ] ] }, "page" : "937-941", "title" : "Colonic perforation during percutaneous nephrolithotomy: Study of risk factors", "type" : "article-journal", "volume" : "67" }, "uris" : [ "http://www.mendeley.com/documents/?uuid=6500dfb2-e1bf-4961-a0e7-84e4af786df1", "http://www.mendeley.com/documents/?uuid=d1095ac8-73a7-4bf8-a0bc-009b2ee869c9" ] } ], "mendeley" : { "previouslyFormattedCitation" : "(78)" }, "properties" : { "noteIndex" : 0 }, "schema" : "https://github.com/citation-style-language/schema/raw/master/csl-citation.json" }</w:instrText>
      </w:r>
      <w:r w:rsidR="0098134D" w:rsidRPr="008A28E4">
        <w:rPr>
          <w:rFonts w:ascii="Book Antiqua" w:hAnsi="Book Antiqua" w:cs="Times New Roman"/>
          <w:sz w:val="24"/>
          <w:szCs w:val="24"/>
          <w:vertAlign w:val="superscript"/>
        </w:rPr>
        <w:fldChar w:fldCharType="separate"/>
      </w:r>
      <w:r w:rsidR="00286B87" w:rsidRPr="008A28E4">
        <w:rPr>
          <w:rFonts w:ascii="Book Antiqua" w:hAnsi="Book Antiqua" w:cs="Times New Roman"/>
          <w:noProof/>
          <w:sz w:val="24"/>
          <w:szCs w:val="24"/>
          <w:vertAlign w:val="superscript"/>
        </w:rPr>
        <w:t>[</w:t>
      </w:r>
      <w:r w:rsidRPr="008A28E4">
        <w:rPr>
          <w:rFonts w:ascii="Book Antiqua" w:hAnsi="Book Antiqua" w:cs="Times New Roman"/>
          <w:noProof/>
          <w:sz w:val="24"/>
          <w:szCs w:val="24"/>
          <w:vertAlign w:val="superscript"/>
        </w:rPr>
        <w:t>86</w:t>
      </w:r>
      <w:r w:rsidR="0098134D" w:rsidRPr="008A28E4">
        <w:rPr>
          <w:rFonts w:ascii="Book Antiqua" w:hAnsi="Book Antiqua" w:cs="Times New Roman"/>
          <w:sz w:val="24"/>
          <w:szCs w:val="24"/>
          <w:vertAlign w:val="superscript"/>
        </w:rPr>
        <w:fldChar w:fldCharType="end"/>
      </w:r>
      <w:r w:rsidR="00286B87" w:rsidRPr="008A28E4">
        <w:rPr>
          <w:rFonts w:ascii="Book Antiqua" w:hAnsi="Book Antiqua" w:cs="Times New Roman"/>
          <w:sz w:val="24"/>
          <w:szCs w:val="24"/>
          <w:vertAlign w:val="superscript"/>
        </w:rPr>
        <w:t>]</w:t>
      </w:r>
      <w:r w:rsidRPr="008A28E4">
        <w:rPr>
          <w:rFonts w:ascii="Book Antiqua" w:hAnsi="Book Antiqua" w:cs="Times New Roman"/>
          <w:sz w:val="24"/>
          <w:szCs w:val="24"/>
        </w:rPr>
        <w:t>. Thin patients,  elderly age group, dilated colon, prior colon surgery or disease, and the presence of a horseshoe kid</w:t>
      </w:r>
      <w:r w:rsidR="00113CEF" w:rsidRPr="008A28E4">
        <w:rPr>
          <w:rFonts w:ascii="Book Antiqua" w:hAnsi="Book Antiqua" w:cs="Times New Roman"/>
          <w:sz w:val="24"/>
          <w:szCs w:val="24"/>
        </w:rPr>
        <w:t>ney are additional risk factors</w:t>
      </w:r>
      <w:r w:rsidR="0098134D" w:rsidRPr="008A28E4">
        <w:rPr>
          <w:rFonts w:ascii="Book Antiqua" w:hAnsi="Book Antiqua" w:cs="Times New Roman"/>
          <w:sz w:val="24"/>
          <w:szCs w:val="24"/>
          <w:vertAlign w:val="superscript"/>
        </w:rPr>
        <w:fldChar w:fldCharType="begin" w:fldLock="1"/>
      </w:r>
      <w:r w:rsidRPr="008A28E4">
        <w:rPr>
          <w:rFonts w:ascii="Book Antiqua" w:hAnsi="Book Antiqua" w:cs="Times New Roman"/>
          <w:sz w:val="24"/>
          <w:szCs w:val="24"/>
          <w:vertAlign w:val="superscript"/>
        </w:rPr>
        <w:instrText>ADDIN CSL_CITATION { "citationItems" : [ { "id" : "ITEM-1", "itemData" : { "DOI" : "10.1089/end.2008.0506", "ISBN" : "1557-900X (Electronic)\\n0892-7790 (Linking)", "ISSN" : "0892-7790", "PMID" : "19335215", "abstract" : "Percutaneous access to the kidney has gained widespread use during the last decades. Iatrogenic colon injury is an uncommon but serious complication. Diagnosis is sometimes delayed, and treatment strategies are still controversial, including conservative management, colostomy, or primary repair. The aim of this review is to identify optimal diagnostic and treatment options for such injuries.", "author" : [ { "dropping-particle" : "", "family" : "Korkes", "given" : "Fernando", "non-dropping-particle" : "", "parse-names" : false, "suffix" : "" }, { "dropping-particle" : "", "family" : "Lopes Neto", "given" : "Antonio Correa", "non-dropping-particle" : "", "parse-names" : false, "suffix" : "" }, { "dropping-particle" : "", "family" : "Lucio", "given" : "Jarques", "non-dropping-particle" : "", "parse-names" : false, "suffix" : "" }, { "dropping-particle" : "", "family" : "Bezerra", "given" : "Carlos A", "non-dropping-particle" : "", "parse-names" : false, "suffix" : "" }, { "dropping-particle" : "", "family" : "Wroklawski", "given" : "Eric R", "non-dropping-particle" : "", "parse-names" : false, "suffix" : "" } ], "container-title" : "Journal of endourology / Endourological Society", "id" : "ITEM-1", "issued" : { "date-parts" : [ [ "2009" ] ] }, "page" : "569-573", "title" : "Management of colon injury after percutaneous renal surgery.", "type" : "article-journal", "volume" : "23" }, "uris" : [ "http://www.mendeley.com/documents/?uuid=ca95c303-d4ee-4819-a5ab-af86b68da33a", "http://www.mendeley.com/documents/?uuid=584d4ff1-4e0b-41af-bbd7-af39bbc52d81" ] } ], "mendeley" : { "previouslyFormattedCitation" : "(79)" }, "properties" : { "noteIndex" : 0 }, "schema" : "https://github.com/citation-style-language/schema/raw/master/csl-citation.json" }</w:instrText>
      </w:r>
      <w:r w:rsidR="0098134D" w:rsidRPr="008A28E4">
        <w:rPr>
          <w:rFonts w:ascii="Book Antiqua" w:hAnsi="Book Antiqua" w:cs="Times New Roman"/>
          <w:sz w:val="24"/>
          <w:szCs w:val="24"/>
          <w:vertAlign w:val="superscript"/>
        </w:rPr>
        <w:fldChar w:fldCharType="separate"/>
      </w:r>
      <w:r w:rsidR="00286B87" w:rsidRPr="008A28E4">
        <w:rPr>
          <w:rFonts w:ascii="Book Antiqua" w:hAnsi="Book Antiqua" w:cs="Times New Roman"/>
          <w:noProof/>
          <w:sz w:val="24"/>
          <w:szCs w:val="24"/>
          <w:vertAlign w:val="superscript"/>
        </w:rPr>
        <w:t>[</w:t>
      </w:r>
      <w:r w:rsidR="00113CEF" w:rsidRPr="008A28E4">
        <w:rPr>
          <w:rFonts w:ascii="Book Antiqua" w:hAnsi="Book Antiqua" w:cs="Times New Roman"/>
          <w:noProof/>
          <w:sz w:val="24"/>
          <w:szCs w:val="24"/>
          <w:vertAlign w:val="superscript"/>
        </w:rPr>
        <w:t>40,</w:t>
      </w:r>
      <w:r w:rsidRPr="008A28E4">
        <w:rPr>
          <w:rFonts w:ascii="Book Antiqua" w:hAnsi="Book Antiqua" w:cs="Times New Roman"/>
          <w:noProof/>
          <w:sz w:val="24"/>
          <w:szCs w:val="24"/>
          <w:vertAlign w:val="superscript"/>
        </w:rPr>
        <w:t>87</w:t>
      </w:r>
      <w:r w:rsidR="0098134D" w:rsidRPr="008A28E4">
        <w:rPr>
          <w:rFonts w:ascii="Book Antiqua" w:hAnsi="Book Antiqua" w:cs="Times New Roman"/>
          <w:sz w:val="24"/>
          <w:szCs w:val="24"/>
          <w:vertAlign w:val="superscript"/>
        </w:rPr>
        <w:fldChar w:fldCharType="end"/>
      </w:r>
      <w:r w:rsidR="00286B87" w:rsidRPr="008A28E4">
        <w:rPr>
          <w:rFonts w:ascii="Book Antiqua" w:hAnsi="Book Antiqua" w:cs="Times New Roman"/>
          <w:sz w:val="24"/>
          <w:szCs w:val="24"/>
          <w:vertAlign w:val="superscript"/>
        </w:rPr>
        <w:t>]</w:t>
      </w:r>
      <w:r w:rsidRPr="008A28E4">
        <w:rPr>
          <w:rFonts w:ascii="Book Antiqua" w:hAnsi="Book Antiqua" w:cs="Times New Roman"/>
          <w:sz w:val="24"/>
          <w:szCs w:val="24"/>
        </w:rPr>
        <w:t xml:space="preserve">. It can also happen in patients who undergo significant weight loss in a short time like patients after bariatric surgery, ileal diseases and resections. A recent hypothesis proposed retro-renal </w:t>
      </w:r>
      <w:r w:rsidR="00113CEF" w:rsidRPr="008A28E4">
        <w:rPr>
          <w:rFonts w:ascii="Book Antiqua" w:hAnsi="Book Antiqua" w:cs="Times New Roman"/>
          <w:sz w:val="24"/>
          <w:szCs w:val="24"/>
        </w:rPr>
        <w:t>colon to be an acquired anomaly</w:t>
      </w:r>
      <w:r w:rsidR="0098134D" w:rsidRPr="008A28E4">
        <w:rPr>
          <w:rFonts w:ascii="Book Antiqua" w:hAnsi="Book Antiqua" w:cs="Times New Roman"/>
          <w:sz w:val="24"/>
          <w:szCs w:val="24"/>
          <w:vertAlign w:val="superscript"/>
        </w:rPr>
        <w:fldChar w:fldCharType="begin" w:fldLock="1"/>
      </w:r>
      <w:r w:rsidRPr="008A28E4">
        <w:rPr>
          <w:rFonts w:ascii="Book Antiqua" w:hAnsi="Book Antiqua" w:cs="Times New Roman"/>
          <w:sz w:val="24"/>
          <w:szCs w:val="24"/>
          <w:vertAlign w:val="superscript"/>
        </w:rPr>
        <w:instrText>ADDIN CSL_CITATION { "citationItems" : [ { "id" : "ITEM-1", "itemData" : { "abstract" : "Some emerging applications require programs to maintain sensitive state on untrusted hosts. This paper presents the architecture and implementation of a trusted database system, TDB, which leverages a small amount of trusted storage to protect a scalable amount of untrusted storage. The database is encrypted and validated against a collision-resistant hash kept in trusted storage, so untrusted programs cannot read the database or modify it undetectably. TDB integrates encryption and hashing with a low-level data model, which protects data and metadata uniformly, unlike systems built on top of a conventional database system. The implementation exploits synergies between hashing and log-structured storage. Preliminary performance results show that TDB outperforms an off-the-shelf embedded database system, thus supporting the suitability of the TDB architecture.", "author" : [ { "dropping-particle" : "", "family" : "Maheshwari", "given" : "Umesh", "non-dropping-particle" : "", "parse-names" : false, "suffix" : "" }, { "dropping-particle" : "", "family" : "Vingralek", "given" : "Radek", "non-dropping-particle" : "", "parse-names" : false, "suffix" : "" }, { "dropping-particle" : "", "family" : "Shapiro", "given" : "William", "non-dropping-particle" : "", "parse-names" : false, "suffix" : "" } ], "container-title" : "Proc. of the Fourth Conference on Symposium on Operating System Design and Implementation", "id" : "ITEM-1", "issued" : { "date-parts" : [ [ "2000" ] ] }, "page" : "10-25", "title" : "How to Build a Trusted Database System on Untrusted Storage Umesh Maheshwari", "type" : "paper-conference" }, "uris" : [ "http://www.mendeley.com/documents/?uuid=ff8e74b3-e2bb-4036-a349-d6e1277f568a", "http://www.mendeley.com/documents/?uuid=99719006-0deb-434d-8bd8-768659d30ae8" ] } ], "mendeley" : { "previouslyFormattedCitation" : "(80)" }, "properties" : { "noteIndex" : 0 }, "schema" : "https://github.com/citation-style-language/schema/raw/master/csl-citation.json" }</w:instrText>
      </w:r>
      <w:r w:rsidR="0098134D" w:rsidRPr="008A28E4">
        <w:rPr>
          <w:rFonts w:ascii="Book Antiqua" w:hAnsi="Book Antiqua" w:cs="Times New Roman"/>
          <w:sz w:val="24"/>
          <w:szCs w:val="24"/>
          <w:vertAlign w:val="superscript"/>
        </w:rPr>
        <w:fldChar w:fldCharType="separate"/>
      </w:r>
      <w:r w:rsidR="00286B87" w:rsidRPr="008A28E4">
        <w:rPr>
          <w:rFonts w:ascii="Book Antiqua" w:hAnsi="Book Antiqua" w:cs="Times New Roman"/>
          <w:noProof/>
          <w:sz w:val="24"/>
          <w:szCs w:val="24"/>
          <w:vertAlign w:val="superscript"/>
        </w:rPr>
        <w:t>[</w:t>
      </w:r>
      <w:r w:rsidRPr="008A28E4">
        <w:rPr>
          <w:rFonts w:ascii="Book Antiqua" w:hAnsi="Book Antiqua" w:cs="Times New Roman"/>
          <w:noProof/>
          <w:sz w:val="24"/>
          <w:szCs w:val="24"/>
          <w:vertAlign w:val="superscript"/>
        </w:rPr>
        <w:t>88</w:t>
      </w:r>
      <w:r w:rsidR="00286B87" w:rsidRPr="008A28E4">
        <w:rPr>
          <w:rFonts w:ascii="Book Antiqua" w:hAnsi="Book Antiqua" w:cs="Times New Roman"/>
          <w:noProof/>
          <w:sz w:val="24"/>
          <w:szCs w:val="24"/>
          <w:vertAlign w:val="superscript"/>
        </w:rPr>
        <w:t>]</w:t>
      </w:r>
      <w:r w:rsidR="0098134D" w:rsidRPr="008A28E4">
        <w:rPr>
          <w:rFonts w:ascii="Book Antiqua" w:hAnsi="Book Antiqua" w:cs="Times New Roman"/>
          <w:sz w:val="24"/>
          <w:szCs w:val="24"/>
          <w:vertAlign w:val="superscript"/>
        </w:rPr>
        <w:fldChar w:fldCharType="end"/>
      </w:r>
      <w:r w:rsidRPr="008A28E4">
        <w:rPr>
          <w:rFonts w:ascii="Book Antiqua" w:hAnsi="Book Antiqua" w:cs="Times New Roman"/>
          <w:sz w:val="24"/>
          <w:szCs w:val="24"/>
        </w:rPr>
        <w:t>. Five patients developed colonic injury in the 2</w:t>
      </w:r>
      <w:r w:rsidRPr="008A28E4">
        <w:rPr>
          <w:rFonts w:ascii="Book Antiqua" w:hAnsi="Book Antiqua" w:cs="Times New Roman"/>
          <w:sz w:val="24"/>
          <w:szCs w:val="24"/>
          <w:vertAlign w:val="superscript"/>
        </w:rPr>
        <w:t>nd</w:t>
      </w:r>
      <w:r w:rsidRPr="008A28E4">
        <w:rPr>
          <w:rFonts w:ascii="Book Antiqua" w:hAnsi="Book Antiqua" w:cs="Times New Roman"/>
          <w:sz w:val="24"/>
          <w:szCs w:val="24"/>
        </w:rPr>
        <w:t xml:space="preserve"> stage PCNL. All these patients had a long-standing large hydronephrosis that was initially drained by either a nephrostomy or a DJ stent.  They proposed that the colonic mesocolon lengthens over the gradually dilating obstructed kidney.  Once the kidney is de-obstructed, the kidney reduces in size but the long mesocolon persists. The colon with the long mesocolon drops posterior to kidney forming a retro renal colon. </w:t>
      </w:r>
    </w:p>
    <w:p w:rsidR="00C2014D" w:rsidRPr="008A28E4" w:rsidRDefault="00C2014D" w:rsidP="008A28E4">
      <w:pPr>
        <w:spacing w:after="0" w:line="360" w:lineRule="auto"/>
        <w:ind w:firstLineChars="200" w:firstLine="480"/>
        <w:jc w:val="both"/>
        <w:rPr>
          <w:rFonts w:ascii="Book Antiqua" w:hAnsi="Book Antiqua" w:cs="Times New Roman"/>
          <w:sz w:val="24"/>
          <w:szCs w:val="24"/>
        </w:rPr>
      </w:pPr>
      <w:r w:rsidRPr="008A28E4">
        <w:rPr>
          <w:rFonts w:ascii="Book Antiqua" w:hAnsi="Book Antiqua" w:cs="Times New Roman"/>
          <w:sz w:val="24"/>
          <w:szCs w:val="24"/>
        </w:rPr>
        <w:t xml:space="preserve">Prevention of colonic injury is very difficult. In patients who are predisposed to colonic injury, a pre-operative CT scan in prone position could help identify the position of colon in relation to the proposed tract. Awareness of the colonic gas bubble on fluoroscopy at the time of making access and monitoring any changes in the bubble could help prevent this injury. It would be possible to identify the overlying colon if a sonography guided puncture is attempted. </w:t>
      </w:r>
    </w:p>
    <w:p w:rsidR="00C22D17" w:rsidRPr="008A28E4" w:rsidRDefault="00C22D17" w:rsidP="008A28E4">
      <w:pPr>
        <w:widowControl w:val="0"/>
        <w:autoSpaceDE w:val="0"/>
        <w:autoSpaceDN w:val="0"/>
        <w:adjustRightInd w:val="0"/>
        <w:spacing w:after="0" w:line="360" w:lineRule="auto"/>
        <w:jc w:val="both"/>
        <w:rPr>
          <w:rFonts w:ascii="Book Antiqua" w:hAnsi="Book Antiqua" w:cs="Times New Roman"/>
          <w:sz w:val="24"/>
          <w:szCs w:val="24"/>
          <w:u w:val="single"/>
          <w:lang w:eastAsia="zh-CN"/>
        </w:rPr>
      </w:pPr>
    </w:p>
    <w:p w:rsidR="00C2014D" w:rsidRPr="008A28E4" w:rsidRDefault="00C2014D" w:rsidP="008A28E4">
      <w:pPr>
        <w:widowControl w:val="0"/>
        <w:autoSpaceDE w:val="0"/>
        <w:autoSpaceDN w:val="0"/>
        <w:adjustRightInd w:val="0"/>
        <w:spacing w:after="0" w:line="360" w:lineRule="auto"/>
        <w:jc w:val="both"/>
        <w:rPr>
          <w:rFonts w:ascii="Book Antiqua" w:hAnsi="Book Antiqua" w:cs="Times New Roman"/>
          <w:b/>
          <w:i/>
          <w:sz w:val="24"/>
          <w:szCs w:val="24"/>
        </w:rPr>
      </w:pPr>
      <w:r w:rsidRPr="008A28E4">
        <w:rPr>
          <w:rFonts w:ascii="Book Antiqua" w:hAnsi="Book Antiqua" w:cs="Times New Roman"/>
          <w:b/>
          <w:i/>
          <w:sz w:val="24"/>
          <w:szCs w:val="24"/>
        </w:rPr>
        <w:t>Liver and splenic injury</w:t>
      </w:r>
    </w:p>
    <w:p w:rsidR="00C2014D" w:rsidRPr="008A28E4" w:rsidRDefault="00C2014D" w:rsidP="008A28E4">
      <w:pPr>
        <w:widowControl w:val="0"/>
        <w:autoSpaceDE w:val="0"/>
        <w:autoSpaceDN w:val="0"/>
        <w:adjustRightInd w:val="0"/>
        <w:spacing w:after="0" w:line="360" w:lineRule="auto"/>
        <w:jc w:val="both"/>
        <w:rPr>
          <w:rFonts w:ascii="Book Antiqua" w:hAnsi="Book Antiqua" w:cs="Times New Roman"/>
          <w:sz w:val="24"/>
          <w:szCs w:val="24"/>
        </w:rPr>
      </w:pPr>
      <w:r w:rsidRPr="008A28E4">
        <w:rPr>
          <w:rFonts w:ascii="Book Antiqua" w:hAnsi="Book Antiqua" w:cs="Times New Roman"/>
          <w:sz w:val="24"/>
          <w:szCs w:val="24"/>
        </w:rPr>
        <w:t>Injury to normal sized liver and spleen are very rare during PCNL and are likely to occur if the puncture is above the 10</w:t>
      </w:r>
      <w:r w:rsidRPr="008A28E4">
        <w:rPr>
          <w:rFonts w:ascii="Book Antiqua" w:hAnsi="Book Antiqua" w:cs="Times New Roman"/>
          <w:sz w:val="24"/>
          <w:szCs w:val="24"/>
          <w:vertAlign w:val="superscript"/>
        </w:rPr>
        <w:t>th</w:t>
      </w:r>
      <w:r w:rsidRPr="008A28E4">
        <w:rPr>
          <w:rFonts w:ascii="Book Antiqua" w:hAnsi="Book Antiqua" w:cs="Times New Roman"/>
          <w:sz w:val="24"/>
          <w:szCs w:val="24"/>
        </w:rPr>
        <w:t xml:space="preserve"> rib</w:t>
      </w:r>
      <w:r w:rsidR="0098134D" w:rsidRPr="008A28E4">
        <w:rPr>
          <w:rFonts w:ascii="Book Antiqua" w:hAnsi="Book Antiqua" w:cs="Times New Roman"/>
          <w:bCs/>
          <w:sz w:val="24"/>
          <w:szCs w:val="24"/>
          <w:vertAlign w:val="superscript"/>
        </w:rPr>
        <w:fldChar w:fldCharType="begin" w:fldLock="1"/>
      </w:r>
      <w:r w:rsidRPr="008A28E4">
        <w:rPr>
          <w:rFonts w:ascii="Book Antiqua" w:hAnsi="Book Antiqua" w:cs="Times New Roman"/>
          <w:bCs/>
          <w:sz w:val="24"/>
          <w:szCs w:val="24"/>
          <w:vertAlign w:val="superscript"/>
        </w:rPr>
        <w:instrText>ADDIN CSL_CITATION { "citationItems" : [ { "id" : "ITEM-1", "itemData" : { "DOI" : "10.1089/end.2008.0147", "ISSN" : "1557-900X", "PMID" : "18657040", "abstract" : "Liver injury during percutaneous nephrolithotomy (PCNL) is very rare and is usually overlooked. In this report, we present a case of inadvertent liver injury during right supracostal PCNL and describe diagnostic tools, conservative management measures, and outcome. A literature review of potential risk factors and suggested techniques to avoid injuring the liver during PCNL is also presented.", "author" : [ { "dropping-particle" : "", "family" : "El-Nahas", "given" : "Ahmed R", "non-dropping-particle" : "", "parse-names" : false, "suffix" : "" }, { "dropping-particle" : "", "family" : "Mansour", "given" : "Ahmed M", "non-dropping-particle" : "", "parse-names" : false, "suffix" : "" }, { "dropping-particle" : "", "family" : "Ellaithy", "given" : "Ramadan", "non-dropping-particle" : "", "parse-names" : false, "suffix" : "" }, { "dropping-particle" : "", "family" : "Abol-Enein", "given" : "Hassan", "non-dropping-particle" : "", "parse-names" : false, "suffix" : "" } ], "container-title" : "Journal of endourology / Endourological Society", "id" : "ITEM-1", "issued" : { "date-parts" : [ [ "2008" ] ] }, "page" : "1649-1652", "title" : "Case report: conservative treatment of liver injury during percutaneous nephrolithotomy.", "type" : "legal_case", "volume" : "22" }, "uris" : [ "http://www.mendeley.com/documents/?uuid=499b6cd8-361a-4b19-b91d-dc107f0c7a9e", "http://www.mendeley.com/documents/?uuid=d8c34062-4ef7-4848-90b5-29bd1b816ad0" ] } ], "mendeley" : { "previouslyFormattedCitation" : "(81)" }, "properties" : { "noteIndex" : 0 }, "schema" : "https://github.com/citation-style-language/schema/raw/master/csl-citation.json" }</w:instrText>
      </w:r>
      <w:r w:rsidR="0098134D" w:rsidRPr="008A28E4">
        <w:rPr>
          <w:rFonts w:ascii="Book Antiqua" w:hAnsi="Book Antiqua" w:cs="Times New Roman"/>
          <w:bCs/>
          <w:sz w:val="24"/>
          <w:szCs w:val="24"/>
          <w:vertAlign w:val="superscript"/>
        </w:rPr>
        <w:fldChar w:fldCharType="separate"/>
      </w:r>
      <w:r w:rsidR="00286B87" w:rsidRPr="008A28E4">
        <w:rPr>
          <w:rFonts w:ascii="Book Antiqua" w:hAnsi="Book Antiqua" w:cs="Times New Roman"/>
          <w:bCs/>
          <w:noProof/>
          <w:sz w:val="24"/>
          <w:szCs w:val="24"/>
          <w:vertAlign w:val="superscript"/>
        </w:rPr>
        <w:t>[</w:t>
      </w:r>
      <w:r w:rsidRPr="008A28E4">
        <w:rPr>
          <w:rFonts w:ascii="Book Antiqua" w:hAnsi="Book Antiqua" w:cs="Times New Roman"/>
          <w:bCs/>
          <w:noProof/>
          <w:sz w:val="24"/>
          <w:szCs w:val="24"/>
          <w:vertAlign w:val="superscript"/>
        </w:rPr>
        <w:t>8</w:t>
      </w:r>
      <w:r w:rsidR="0098134D" w:rsidRPr="008A28E4">
        <w:rPr>
          <w:rFonts w:ascii="Book Antiqua" w:hAnsi="Book Antiqua" w:cs="Times New Roman"/>
          <w:bCs/>
          <w:sz w:val="24"/>
          <w:szCs w:val="24"/>
          <w:vertAlign w:val="superscript"/>
        </w:rPr>
        <w:fldChar w:fldCharType="end"/>
      </w:r>
      <w:r w:rsidR="00113CEF" w:rsidRPr="008A28E4">
        <w:rPr>
          <w:rFonts w:ascii="Book Antiqua" w:hAnsi="Book Antiqua" w:cs="Times New Roman"/>
          <w:bCs/>
          <w:sz w:val="24"/>
          <w:szCs w:val="24"/>
          <w:vertAlign w:val="superscript"/>
        </w:rPr>
        <w:t>9,</w:t>
      </w:r>
      <w:r w:rsidRPr="008A28E4">
        <w:rPr>
          <w:rFonts w:ascii="Book Antiqua" w:hAnsi="Book Antiqua" w:cs="Times New Roman"/>
          <w:bCs/>
          <w:sz w:val="24"/>
          <w:szCs w:val="24"/>
          <w:vertAlign w:val="superscript"/>
        </w:rPr>
        <w:t>90</w:t>
      </w:r>
      <w:r w:rsidR="00286B87" w:rsidRPr="008A28E4">
        <w:rPr>
          <w:rFonts w:ascii="Book Antiqua" w:hAnsi="Book Antiqua" w:cs="Times New Roman"/>
          <w:bCs/>
          <w:sz w:val="24"/>
          <w:szCs w:val="24"/>
          <w:vertAlign w:val="superscript"/>
        </w:rPr>
        <w:t>]</w:t>
      </w:r>
      <w:r w:rsidRPr="008A28E4">
        <w:rPr>
          <w:rFonts w:ascii="Book Antiqua" w:hAnsi="Book Antiqua" w:cs="Times New Roman"/>
          <w:sz w:val="24"/>
          <w:szCs w:val="24"/>
        </w:rPr>
        <w:t xml:space="preserve">. In patients with significant splenomegaly and hepatomegaly pre-operative CT scan could be used to decide a safe access. In rare situations, CT guided access could be made. Pre-operative awareness and planning is the only way to prevent these injuries. </w:t>
      </w:r>
    </w:p>
    <w:p w:rsidR="00C22D17" w:rsidRPr="008A28E4" w:rsidRDefault="00C22D17" w:rsidP="008A28E4">
      <w:pPr>
        <w:widowControl w:val="0"/>
        <w:autoSpaceDE w:val="0"/>
        <w:autoSpaceDN w:val="0"/>
        <w:adjustRightInd w:val="0"/>
        <w:spacing w:after="0" w:line="360" w:lineRule="auto"/>
        <w:jc w:val="both"/>
        <w:rPr>
          <w:rFonts w:ascii="Book Antiqua" w:hAnsi="Book Antiqua" w:cs="Times New Roman"/>
          <w:sz w:val="24"/>
          <w:szCs w:val="24"/>
          <w:u w:val="single"/>
          <w:lang w:eastAsia="zh-CN"/>
        </w:rPr>
      </w:pPr>
    </w:p>
    <w:p w:rsidR="00C2014D" w:rsidRPr="008A28E4" w:rsidRDefault="00C2014D" w:rsidP="008A28E4">
      <w:pPr>
        <w:widowControl w:val="0"/>
        <w:autoSpaceDE w:val="0"/>
        <w:autoSpaceDN w:val="0"/>
        <w:adjustRightInd w:val="0"/>
        <w:spacing w:after="0" w:line="360" w:lineRule="auto"/>
        <w:jc w:val="both"/>
        <w:rPr>
          <w:rFonts w:ascii="Book Antiqua" w:hAnsi="Book Antiqua" w:cs="Times New Roman"/>
          <w:b/>
          <w:i/>
          <w:sz w:val="24"/>
          <w:szCs w:val="24"/>
        </w:rPr>
      </w:pPr>
      <w:r w:rsidRPr="008A28E4">
        <w:rPr>
          <w:rFonts w:ascii="Book Antiqua" w:hAnsi="Book Antiqua" w:cs="Times New Roman"/>
          <w:b/>
          <w:i/>
          <w:sz w:val="24"/>
          <w:szCs w:val="24"/>
        </w:rPr>
        <w:t>Pleural injury</w:t>
      </w:r>
    </w:p>
    <w:p w:rsidR="00C2014D" w:rsidRPr="008A28E4" w:rsidRDefault="00C2014D" w:rsidP="008A28E4">
      <w:pPr>
        <w:widowControl w:val="0"/>
        <w:autoSpaceDE w:val="0"/>
        <w:autoSpaceDN w:val="0"/>
        <w:adjustRightInd w:val="0"/>
        <w:spacing w:after="0" w:line="360" w:lineRule="auto"/>
        <w:jc w:val="both"/>
        <w:rPr>
          <w:rFonts w:ascii="Book Antiqua" w:hAnsi="Book Antiqua" w:cs="Times New Roman"/>
          <w:sz w:val="24"/>
          <w:szCs w:val="24"/>
        </w:rPr>
      </w:pPr>
      <w:r w:rsidRPr="008A28E4">
        <w:rPr>
          <w:rFonts w:ascii="Book Antiqua" w:hAnsi="Book Antiqua" w:cs="Times New Roman"/>
          <w:sz w:val="24"/>
          <w:szCs w:val="24"/>
        </w:rPr>
        <w:t>Pleural injury is a definite risk associated with supra-costal access. All supra costal tracts traverse the diaphragm and hence there is risk of damage to the pleura and lung. The surgeon should be aware of this risk while u</w:t>
      </w:r>
      <w:r w:rsidR="00113CEF" w:rsidRPr="008A28E4">
        <w:rPr>
          <w:rFonts w:ascii="Book Antiqua" w:hAnsi="Book Antiqua" w:cs="Times New Roman"/>
          <w:sz w:val="24"/>
          <w:szCs w:val="24"/>
        </w:rPr>
        <w:t>ndertaking Supracostal puncture</w:t>
      </w:r>
      <w:r w:rsidR="0098134D" w:rsidRPr="008A28E4">
        <w:rPr>
          <w:rFonts w:ascii="Book Antiqua" w:hAnsi="Book Antiqua" w:cs="Times New Roman"/>
          <w:sz w:val="24"/>
          <w:szCs w:val="24"/>
          <w:vertAlign w:val="superscript"/>
        </w:rPr>
        <w:fldChar w:fldCharType="begin" w:fldLock="1"/>
      </w:r>
      <w:r w:rsidRPr="008A28E4">
        <w:rPr>
          <w:rFonts w:ascii="Book Antiqua" w:hAnsi="Book Antiqua" w:cs="Times New Roman"/>
          <w:sz w:val="24"/>
          <w:szCs w:val="24"/>
          <w:vertAlign w:val="superscript"/>
        </w:rPr>
        <w:instrText>ADDIN CSL_CITATION { "citationItems" : [ { "id" : "ITEM-1", "itemData" : { "DOI" : "10.1089/end.2009.1549", "ISSN" : "0892-7790", "PMID" : "19785558", "abstract" : "Abstract Pleural injury is a potential complication of supracostal access for percutaneous renal surgery. Vigilant observation by the surgeon for timely identification and prompt treatment of an injury goes a long way toward saving the patient from serious long-term thoracic morbidity.", "author" : [ { "dropping-particle" : "", "family" : "Maheshwari", "given" : "Pankaj N", "non-dropping-particle" : "", "parse-names" : false, "suffix" : "" }, { "dropping-particle" : "", "family" : "Mane", "given" : "Deepakkumar A", "non-dropping-particle" : "", "parse-names" : false, "suffix" : "" }, { "dropping-particle" : "", "family" : "Pathak", "given" : "Ashish B", "non-dropping-particle" : "", "parse-names" : false, "suffix" : "" } ], "container-title" : "Journal of endourology / Endourological Society", "id" : "ITEM-1", "issued" : { "date-parts" : [ [ "2009" ] ] }, "page" : "1769-1772", "title" : "Management of pleural injury after percutaneous renal surgery.", "type" : "article-journal", "volume" : "23" }, "uris" : [ "http://www.mendeley.com/documents/?uuid=a98d0b6a-9022-4fee-9987-1adfaa02d8a7", "http://www.mendeley.com/documents/?uuid=ee44c637-ef16-4faf-8342-d75089da037c" ] } ], "mendeley" : { "previouslyFormattedCitation" : "(83)" }, "properties" : { "noteIndex" : 0 }, "schema" : "https://github.com/citation-style-language/schema/raw/master/csl-citation.json" }</w:instrText>
      </w:r>
      <w:r w:rsidR="0098134D" w:rsidRPr="008A28E4">
        <w:rPr>
          <w:rFonts w:ascii="Book Antiqua" w:hAnsi="Book Antiqua" w:cs="Times New Roman"/>
          <w:sz w:val="24"/>
          <w:szCs w:val="24"/>
          <w:vertAlign w:val="superscript"/>
        </w:rPr>
        <w:fldChar w:fldCharType="separate"/>
      </w:r>
      <w:r w:rsidR="00286B87" w:rsidRPr="008A28E4">
        <w:rPr>
          <w:rFonts w:ascii="Book Antiqua" w:hAnsi="Book Antiqua" w:cs="Times New Roman"/>
          <w:noProof/>
          <w:sz w:val="24"/>
          <w:szCs w:val="24"/>
          <w:vertAlign w:val="superscript"/>
        </w:rPr>
        <w:t>[</w:t>
      </w:r>
      <w:r w:rsidRPr="008A28E4">
        <w:rPr>
          <w:rFonts w:ascii="Book Antiqua" w:hAnsi="Book Antiqua" w:cs="Times New Roman"/>
          <w:noProof/>
          <w:sz w:val="24"/>
          <w:szCs w:val="24"/>
          <w:vertAlign w:val="superscript"/>
        </w:rPr>
        <w:t>91</w:t>
      </w:r>
      <w:r w:rsidR="0098134D" w:rsidRPr="008A28E4">
        <w:rPr>
          <w:rFonts w:ascii="Book Antiqua" w:hAnsi="Book Antiqua" w:cs="Times New Roman"/>
          <w:sz w:val="24"/>
          <w:szCs w:val="24"/>
          <w:vertAlign w:val="superscript"/>
        </w:rPr>
        <w:fldChar w:fldCharType="end"/>
      </w:r>
      <w:r w:rsidR="00286B87" w:rsidRPr="008A28E4">
        <w:rPr>
          <w:rFonts w:ascii="Book Antiqua" w:hAnsi="Book Antiqua" w:cs="Times New Roman"/>
          <w:sz w:val="24"/>
          <w:szCs w:val="24"/>
          <w:vertAlign w:val="superscript"/>
        </w:rPr>
        <w:t>]</w:t>
      </w:r>
      <w:r w:rsidRPr="008A28E4">
        <w:rPr>
          <w:rFonts w:ascii="Book Antiqua" w:hAnsi="Book Antiqua" w:cs="Times New Roman"/>
          <w:sz w:val="24"/>
          <w:szCs w:val="24"/>
        </w:rPr>
        <w:t>. The risk increases as the tract moves higher on the intercostal space. The risk that is about 4% in supra 12</w:t>
      </w:r>
      <w:r w:rsidRPr="008A28E4">
        <w:rPr>
          <w:rFonts w:ascii="Book Antiqua" w:hAnsi="Book Antiqua" w:cs="Times New Roman"/>
          <w:sz w:val="24"/>
          <w:szCs w:val="24"/>
          <w:vertAlign w:val="superscript"/>
        </w:rPr>
        <w:t>th</w:t>
      </w:r>
      <w:r w:rsidRPr="008A28E4">
        <w:rPr>
          <w:rFonts w:ascii="Book Antiqua" w:hAnsi="Book Antiqua" w:cs="Times New Roman"/>
          <w:sz w:val="24"/>
          <w:szCs w:val="24"/>
        </w:rPr>
        <w:t xml:space="preserve"> rib access increases to ne</w:t>
      </w:r>
      <w:r w:rsidR="00113CEF" w:rsidRPr="008A28E4">
        <w:rPr>
          <w:rFonts w:ascii="Book Antiqua" w:hAnsi="Book Antiqua" w:cs="Times New Roman"/>
          <w:sz w:val="24"/>
          <w:szCs w:val="24"/>
        </w:rPr>
        <w:t>arly 20% in supra 11 rib access</w:t>
      </w:r>
      <w:r w:rsidR="0098134D" w:rsidRPr="008A28E4">
        <w:rPr>
          <w:rFonts w:ascii="Book Antiqua" w:hAnsi="Book Antiqua" w:cs="Times New Roman"/>
          <w:sz w:val="24"/>
          <w:szCs w:val="24"/>
          <w:vertAlign w:val="superscript"/>
        </w:rPr>
        <w:fldChar w:fldCharType="begin" w:fldLock="1"/>
      </w:r>
      <w:r w:rsidRPr="008A28E4">
        <w:rPr>
          <w:rFonts w:ascii="Book Antiqua" w:hAnsi="Book Antiqua" w:cs="Times New Roman"/>
          <w:sz w:val="24"/>
          <w:szCs w:val="24"/>
          <w:vertAlign w:val="superscript"/>
        </w:rPr>
        <w:instrText>ADDIN CSL_CITATION { "citationItems" : [ { "id" : "ITEM-1", "itemData" : { "DOI" : "10.1007/s11255-007-9270-2", "ISSN" : "03011623", "PMID" : "17899435", "abstract" : "OBJECTIVES: The aim of this research was to study the success and morbidity of supracostal access for percutaneous nephrolithotomy (PCNL), as it is often avoided for fear of complications. MATERIALS AND METHODS: Between July 2000 and May 2007, 565 patients underwent PCNL, of whom 110 had a supracostal access. All procedures were performed in a single sitting under general anesthesia. Data were analyzed prospectively for indications, stone clearance rates, and preoperative and postoperative complications. RESULTS: Indications for supracostal access included large pelvic stones in 39 patients, partial or complete staghorn stones in 32, calyceal stones with major stone bulk above the level of 12th rib in 35, and upper ureteric stones in four. Patients' ages ranged between 13 and 71 years (mean 44.2 years). Fifty-six cases were left sided and 54 right sided, whereas 103 (93.6%) were radiopaque stones. All tracts were in the 11th intercostal space, though one had an additional tract in the tenth space. Single-tract access was used in 101 cases (91.8%), but nine (8.2%) required a second tract. Overall stone clearance rate with PCNL monotherapy was 86.4%, and this increased to 97.3% with secondary procedures. Overall complication rate was 11.8% and included hydrothorax/hemothorax in ten, perinephric collection in one, infection/sepsis in two, and excessive bleeding in two. Postoperative hospital stay ranged from 2 to 15 days. CONCLUSIONS: The supracostal approach gives high stone clearance rates with acceptable morbidity rates and should be attempted in selected cases. Complications when present may be managed easily with conservative measures.", "author" : [ { "dropping-particle" : "", "family" : "Sukumar", "given" : "Sudhir", "non-dropping-particle" : "", "parse-names" : false, "suffix" : "" }, { "dropping-particle" : "", "family" : "Nair", "given" : "Balagopal", "non-dropping-particle" : "", "parse-names" : false, "suffix" : "" }, { "dropping-particle" : "", "family" : "Kumar", "given" : "P. Ginil", "non-dropping-particle" : "", "parse-names" : false, "suffix" : "" }, { "dropping-particle" : "V.", "family" : "Sanjeevan", "given" : "K.", "non-dropping-particle" : "", "parse-names" : false, "suffix" : "" }, { "dropping-particle" : "", "family" : "Bhat", "given" : "H. Sanjay", "non-dropping-particle" : "", "parse-names" : false, "suffix" : "" } ], "container-title" : "International Urology and Nephrology", "id" : "ITEM-1", "issued" : { "date-parts" : [ [ "2008" ] ] }, "page" : "263-267", "title" : "Supracostal access for percutaneous nephrolithotomy: Less morbid, more effective", "type" : "article-journal", "volume" : "40" }, "uris" : [ "http://www.mendeley.com/documents/?uuid=2b7904d8-0c12-48fa-9661-9e5264e611d6", "http://www.mendeley.com/documents/?uuid=6b2f39f8-e832-499b-8534-b39803cfe180" ] } ], "mendeley" : { "previouslyFormattedCitation" : "(84)" }, "properties" : { "noteIndex" : 0 }, "schema" : "https://github.com/citation-style-language/schema/raw/master/csl-citation.json" }</w:instrText>
      </w:r>
      <w:r w:rsidR="0098134D" w:rsidRPr="008A28E4">
        <w:rPr>
          <w:rFonts w:ascii="Book Antiqua" w:hAnsi="Book Antiqua" w:cs="Times New Roman"/>
          <w:sz w:val="24"/>
          <w:szCs w:val="24"/>
          <w:vertAlign w:val="superscript"/>
        </w:rPr>
        <w:fldChar w:fldCharType="separate"/>
      </w:r>
      <w:r w:rsidR="00286B87" w:rsidRPr="008A28E4">
        <w:rPr>
          <w:rFonts w:ascii="Book Antiqua" w:hAnsi="Book Antiqua" w:cs="Times New Roman"/>
          <w:noProof/>
          <w:sz w:val="24"/>
          <w:szCs w:val="24"/>
          <w:vertAlign w:val="superscript"/>
        </w:rPr>
        <w:t>[</w:t>
      </w:r>
      <w:r w:rsidRPr="008A28E4">
        <w:rPr>
          <w:rFonts w:ascii="Book Antiqua" w:hAnsi="Book Antiqua" w:cs="Times New Roman"/>
          <w:noProof/>
          <w:sz w:val="24"/>
          <w:szCs w:val="24"/>
          <w:vertAlign w:val="superscript"/>
        </w:rPr>
        <w:t>92</w:t>
      </w:r>
      <w:r w:rsidR="0098134D" w:rsidRPr="008A28E4">
        <w:rPr>
          <w:rFonts w:ascii="Book Antiqua" w:hAnsi="Book Antiqua" w:cs="Times New Roman"/>
          <w:sz w:val="24"/>
          <w:szCs w:val="24"/>
          <w:vertAlign w:val="superscript"/>
        </w:rPr>
        <w:fldChar w:fldCharType="end"/>
      </w:r>
      <w:r w:rsidR="00286B87" w:rsidRPr="008A28E4">
        <w:rPr>
          <w:rFonts w:ascii="Book Antiqua" w:hAnsi="Book Antiqua" w:cs="Times New Roman"/>
          <w:sz w:val="24"/>
          <w:szCs w:val="24"/>
          <w:vertAlign w:val="superscript"/>
        </w:rPr>
        <w:t>]</w:t>
      </w:r>
      <w:r w:rsidRPr="008A28E4">
        <w:rPr>
          <w:rFonts w:ascii="Book Antiqua" w:hAnsi="Book Antiqua" w:cs="Times New Roman"/>
          <w:sz w:val="24"/>
          <w:szCs w:val="24"/>
        </w:rPr>
        <w:t xml:space="preserve"> . </w:t>
      </w:r>
    </w:p>
    <w:p w:rsidR="00C2014D" w:rsidRPr="008A28E4" w:rsidRDefault="00C2014D" w:rsidP="008A28E4">
      <w:pPr>
        <w:widowControl w:val="0"/>
        <w:autoSpaceDE w:val="0"/>
        <w:autoSpaceDN w:val="0"/>
        <w:adjustRightInd w:val="0"/>
        <w:spacing w:after="0" w:line="360" w:lineRule="auto"/>
        <w:jc w:val="both"/>
        <w:rPr>
          <w:rFonts w:ascii="Book Antiqua" w:hAnsi="Book Antiqua" w:cs="Times New Roman"/>
          <w:b/>
          <w:bCs/>
          <w:sz w:val="24"/>
          <w:szCs w:val="24"/>
        </w:rPr>
      </w:pPr>
      <w:r w:rsidRPr="008A28E4">
        <w:rPr>
          <w:rFonts w:ascii="Book Antiqua" w:hAnsi="Book Antiqua" w:cs="Times New Roman"/>
          <w:sz w:val="24"/>
          <w:szCs w:val="24"/>
        </w:rPr>
        <w:t xml:space="preserve">To understand pleural injury during PCNL, it is important to understand the pleural anatomy. The parietal pleura crosses the 12th rib such that the medial half is </w:t>
      </w:r>
      <w:r w:rsidR="00113CEF" w:rsidRPr="008A28E4">
        <w:rPr>
          <w:rFonts w:ascii="Book Antiqua" w:hAnsi="Book Antiqua" w:cs="Times New Roman"/>
          <w:sz w:val="24"/>
          <w:szCs w:val="24"/>
        </w:rPr>
        <w:t>covered by the pleura while the</w:t>
      </w:r>
      <w:r w:rsidRPr="008A28E4">
        <w:rPr>
          <w:rFonts w:ascii="Book Antiqua" w:hAnsi="Book Antiqua" w:cs="Times New Roman"/>
          <w:sz w:val="24"/>
          <w:szCs w:val="24"/>
        </w:rPr>
        <w:t xml:space="preserve"> lateral half of the rib is not covered by the pleura. In the mid scapular line, while the parietal pleura is at the level of the 12th rib and the visceral pleura is at the level of the 10th rib,. The parietal and visceral pleura ascend cranially and laterally on the ribs, and </w:t>
      </w:r>
      <w:r w:rsidR="00113CEF" w:rsidRPr="008A28E4">
        <w:rPr>
          <w:rFonts w:ascii="Book Antiqua" w:hAnsi="Book Antiqua" w:cs="Times New Roman"/>
          <w:sz w:val="24"/>
          <w:szCs w:val="24"/>
        </w:rPr>
        <w:t>further rise in deep expiration</w:t>
      </w:r>
      <w:r w:rsidR="0098134D" w:rsidRPr="008A28E4">
        <w:rPr>
          <w:rFonts w:ascii="Book Antiqua" w:hAnsi="Book Antiqua" w:cs="Times New Roman"/>
          <w:sz w:val="24"/>
          <w:szCs w:val="24"/>
          <w:vertAlign w:val="superscript"/>
        </w:rPr>
        <w:fldChar w:fldCharType="begin" w:fldLock="1"/>
      </w:r>
      <w:r w:rsidRPr="008A28E4">
        <w:rPr>
          <w:rFonts w:ascii="Book Antiqua" w:hAnsi="Book Antiqua" w:cs="Times New Roman"/>
          <w:sz w:val="24"/>
          <w:szCs w:val="24"/>
          <w:vertAlign w:val="superscript"/>
        </w:rPr>
        <w:instrText>ADDIN CSL_CITATION { "citationItems" : [ { "id" : "ITEM-1", "itemData" : { "DOI" : "10.1089/end.1998.12.359", "ISBN" : "0892-7790 (Print)\\r0892-7790 (Linking)", "ISSN" : "0892-7790", "PMID" : "9726403", "abstract" : "The incidence of upper pole calculi is 15% of all caliceal calculi. The management of such calculi has been simplified since the advent of extracorporeal shockwave lithotripsy (SWL). In our experience, however, there is a subset of upper pole caliceal calculi wherein certain features can render SWL less than adequate treatment, namely diameter &gt;1.5 cm, narrowing of the caliceal infundibulum, either singly or combined, and morbid obesity. In such instances, percutaneous nephrolithotomy (PCNL) is indicated. Percutaneous access to an upper pole calix can be difficult by a subcostal track. The supracostal 12th rib approach provides direct and efficient access to an upper pole calix and is ideally suited for upper pole calculi. Twenty-one patients with large or complex upper pole calculi were treated by supracostal PCNL. The maximum diameter of the calculi ranged from 7 to 40 mm. Eight were branched (staghorn). There was one horseshoe kidney, and calculi were bilaterally represented in another patient. Two patients were morbidly obese. All procedures were performed in one stage under general anesthesia. Following cystoscopy and ureteral catheterization, the upper pole calix was accessed directly with the aid of C-arm fluoroscopy and retrograde ureteral contrast injection. The percutaneous tract was dilated to a maximum of 26 F, a working sheath was inserted, and the calculi were extracted after ultrasonic or pneumatic fragmentation. One patient required secondary SWL for residual fragments. There were no intrathoracic complications, and blood loss was minimal. Large or complex upper pole caliceal calculi, particularly in the morbidly obese, can be treated effectively by PCNL using supracostal percutaneous access.", "author" : [ { "dropping-particle" : "", "family" : "Stening", "given" : "S G", "non-dropping-particle" : "", "parse-names" : false, "suffix" : "" }, { "dropping-particle" : "", "family" : "Bourne", "given" : "S", "non-dropping-particle" : "", "parse-names" : false, "suffix" : "" } ], "container-title" : "Journal of endourology / Endourological Society", "id" : "ITEM-1", "issued" : { "date-parts" : [ [ "1998" ] ] }, "page" : "359-362", "title" : "Supracostal percutaneous nephrolithotomy for upper pole caliceal calculi.", "type" : "article-journal", "volume" : "12" }, "uris" : [ "http://www.mendeley.com/documents/?uuid=17dedddc-4e95-49c9-9ab5-2172b0b5e6fd", "http://www.mendeley.com/documents/?uuid=79ce904f-772c-4a75-b4df-0ec5537610d0" ] } ], "mendeley" : { "previouslyFormattedCitation" : "(85)" }, "properties" : { "noteIndex" : 0 }, "schema" : "https://github.com/citation-style-language/schema/raw/master/csl-citation.json" }</w:instrText>
      </w:r>
      <w:r w:rsidR="0098134D" w:rsidRPr="008A28E4">
        <w:rPr>
          <w:rFonts w:ascii="Book Antiqua" w:hAnsi="Book Antiqua" w:cs="Times New Roman"/>
          <w:sz w:val="24"/>
          <w:szCs w:val="24"/>
          <w:vertAlign w:val="superscript"/>
        </w:rPr>
        <w:fldChar w:fldCharType="separate"/>
      </w:r>
      <w:r w:rsidR="00286B87" w:rsidRPr="008A28E4">
        <w:rPr>
          <w:rFonts w:ascii="Book Antiqua" w:hAnsi="Book Antiqua" w:cs="Times New Roman"/>
          <w:noProof/>
          <w:sz w:val="24"/>
          <w:szCs w:val="24"/>
          <w:vertAlign w:val="superscript"/>
        </w:rPr>
        <w:t>[</w:t>
      </w:r>
      <w:r w:rsidR="00113CEF" w:rsidRPr="008A28E4">
        <w:rPr>
          <w:rFonts w:ascii="Book Antiqua" w:hAnsi="Book Antiqua" w:cs="Times New Roman"/>
          <w:noProof/>
          <w:sz w:val="24"/>
          <w:szCs w:val="24"/>
          <w:vertAlign w:val="superscript"/>
        </w:rPr>
        <w:t>91</w:t>
      </w:r>
      <w:r w:rsidR="00113CEF" w:rsidRPr="008A28E4">
        <w:rPr>
          <w:rFonts w:ascii="Book Antiqua" w:hAnsi="Book Antiqua" w:cs="Times New Roman"/>
          <w:noProof/>
          <w:sz w:val="24"/>
          <w:szCs w:val="24"/>
          <w:vertAlign w:val="superscript"/>
          <w:lang w:eastAsia="zh-CN"/>
        </w:rPr>
        <w:t>,</w:t>
      </w:r>
      <w:r w:rsidRPr="008A28E4">
        <w:rPr>
          <w:rFonts w:ascii="Book Antiqua" w:hAnsi="Book Antiqua" w:cs="Times New Roman"/>
          <w:noProof/>
          <w:sz w:val="24"/>
          <w:szCs w:val="24"/>
          <w:vertAlign w:val="superscript"/>
        </w:rPr>
        <w:t>93</w:t>
      </w:r>
      <w:r w:rsidR="0098134D" w:rsidRPr="008A28E4">
        <w:rPr>
          <w:rFonts w:ascii="Book Antiqua" w:hAnsi="Book Antiqua" w:cs="Times New Roman"/>
          <w:sz w:val="24"/>
          <w:szCs w:val="24"/>
          <w:vertAlign w:val="superscript"/>
        </w:rPr>
        <w:fldChar w:fldCharType="end"/>
      </w:r>
      <w:r w:rsidR="00286B87" w:rsidRPr="008A28E4">
        <w:rPr>
          <w:rFonts w:ascii="Book Antiqua" w:hAnsi="Book Antiqua" w:cs="Times New Roman"/>
          <w:sz w:val="24"/>
          <w:szCs w:val="24"/>
          <w:vertAlign w:val="superscript"/>
        </w:rPr>
        <w:t>]</w:t>
      </w:r>
      <w:r w:rsidRPr="008A28E4">
        <w:rPr>
          <w:rFonts w:ascii="Book Antiqua" w:hAnsi="Book Antiqua" w:cs="Times New Roman"/>
          <w:sz w:val="24"/>
          <w:szCs w:val="24"/>
        </w:rPr>
        <w:t>.</w:t>
      </w:r>
      <w:r w:rsidRPr="008A28E4">
        <w:rPr>
          <w:rFonts w:ascii="Book Antiqua" w:hAnsi="Book Antiqua" w:cs="Times New Roman"/>
          <w:b/>
          <w:bCs/>
          <w:sz w:val="24"/>
          <w:szCs w:val="24"/>
        </w:rPr>
        <w:t xml:space="preserve"> </w:t>
      </w:r>
    </w:p>
    <w:p w:rsidR="00C2014D" w:rsidRPr="008A28E4" w:rsidRDefault="00C2014D" w:rsidP="008A28E4">
      <w:pPr>
        <w:widowControl w:val="0"/>
        <w:autoSpaceDE w:val="0"/>
        <w:autoSpaceDN w:val="0"/>
        <w:adjustRightInd w:val="0"/>
        <w:spacing w:after="0" w:line="360" w:lineRule="auto"/>
        <w:ind w:firstLineChars="250" w:firstLine="600"/>
        <w:jc w:val="both"/>
        <w:rPr>
          <w:rFonts w:ascii="Book Antiqua" w:hAnsi="Book Antiqua" w:cs="Times New Roman"/>
          <w:sz w:val="24"/>
          <w:szCs w:val="24"/>
          <w:lang w:eastAsia="zh-CN"/>
        </w:rPr>
      </w:pPr>
      <w:r w:rsidRPr="008A28E4">
        <w:rPr>
          <w:rFonts w:ascii="Book Antiqua" w:hAnsi="Book Antiqua" w:cs="Times New Roman"/>
          <w:sz w:val="24"/>
          <w:szCs w:val="24"/>
        </w:rPr>
        <w:t>To prevent pleural violation</w:t>
      </w:r>
      <w:r w:rsidR="0098134D" w:rsidRPr="008A28E4">
        <w:rPr>
          <w:rFonts w:ascii="Book Antiqua" w:hAnsi="Book Antiqua" w:cs="Times New Roman"/>
          <w:sz w:val="24"/>
          <w:szCs w:val="24"/>
          <w:vertAlign w:val="superscript"/>
        </w:rPr>
        <w:fldChar w:fldCharType="begin" w:fldLock="1"/>
      </w:r>
      <w:r w:rsidRPr="008A28E4">
        <w:rPr>
          <w:rFonts w:ascii="Book Antiqua" w:hAnsi="Book Antiqua" w:cs="Times New Roman"/>
          <w:sz w:val="24"/>
          <w:szCs w:val="24"/>
          <w:vertAlign w:val="superscript"/>
        </w:rPr>
        <w:instrText>ADDIN CSL_CITATION { "citationItems" : [ { "id" : "ITEM-1", "itemData" : { "DOI" : "10.1089/end.2009.1549", "ISSN" : "0892-7790", "PMID" : "19785558", "abstract" : "Abstract Pleural injury is a potential complication of supracostal access for percutaneous renal surgery. Vigilant observation by the surgeon for timely identification and prompt treatment of an injury goes a long way toward saving the patient from serious long-term thoracic morbidity.", "author" : [ { "dropping-particle" : "", "family" : "Maheshwari", "given" : "Pankaj N", "non-dropping-particle" : "", "parse-names" : false, "suffix" : "" }, { "dropping-particle" : "", "family" : "Mane", "given" : "Deepakkumar A", "non-dropping-particle" : "", "parse-names" : false, "suffix" : "" }, { "dropping-particle" : "", "family" : "Pathak", "given" : "Ashish B", "non-dropping-particle" : "", "parse-names" : false, "suffix" : "" } ], "container-title" : "Journal of endourology / Endourological Society", "id" : "ITEM-1", "issued" : { "date-parts" : [ [ "2009" ] ] }, "page" : "1769-1772", "title" : "Management of pleural injury after percutaneous renal surgery.", "type" : "article-journal", "volume" : "23" }, "uris" : [ "http://www.mendeley.com/documents/?uuid=ee44c637-ef16-4faf-8342-d75089da037c" ] } ], "mendeley" : { "previouslyFormattedCitation" : "(83)" }, "properties" : { "noteIndex" : 0 }, "schema" : "https://github.com/citation-style-language/schema/raw/master/csl-citation.json" }</w:instrText>
      </w:r>
      <w:r w:rsidR="0098134D" w:rsidRPr="008A28E4">
        <w:rPr>
          <w:rFonts w:ascii="Book Antiqua" w:hAnsi="Book Antiqua" w:cs="Times New Roman"/>
          <w:sz w:val="24"/>
          <w:szCs w:val="24"/>
          <w:vertAlign w:val="superscript"/>
        </w:rPr>
        <w:fldChar w:fldCharType="separate"/>
      </w:r>
      <w:r w:rsidR="00286B87" w:rsidRPr="008A28E4">
        <w:rPr>
          <w:rFonts w:ascii="Book Antiqua" w:hAnsi="Book Antiqua" w:cs="Times New Roman"/>
          <w:noProof/>
          <w:sz w:val="24"/>
          <w:szCs w:val="24"/>
          <w:vertAlign w:val="superscript"/>
        </w:rPr>
        <w:t>[</w:t>
      </w:r>
      <w:r w:rsidRPr="008A28E4">
        <w:rPr>
          <w:rFonts w:ascii="Book Antiqua" w:hAnsi="Book Antiqua" w:cs="Times New Roman"/>
          <w:noProof/>
          <w:sz w:val="24"/>
          <w:szCs w:val="24"/>
          <w:vertAlign w:val="superscript"/>
        </w:rPr>
        <w:t>91</w:t>
      </w:r>
      <w:r w:rsidR="0098134D" w:rsidRPr="008A28E4">
        <w:rPr>
          <w:rFonts w:ascii="Book Antiqua" w:hAnsi="Book Antiqua" w:cs="Times New Roman"/>
          <w:sz w:val="24"/>
          <w:szCs w:val="24"/>
          <w:vertAlign w:val="superscript"/>
        </w:rPr>
        <w:fldChar w:fldCharType="end"/>
      </w:r>
      <w:r w:rsidR="00286B87" w:rsidRPr="008A28E4">
        <w:rPr>
          <w:rFonts w:ascii="Book Antiqua" w:hAnsi="Book Antiqua" w:cs="Times New Roman"/>
          <w:sz w:val="24"/>
          <w:szCs w:val="24"/>
          <w:vertAlign w:val="superscript"/>
        </w:rPr>
        <w:t>]</w:t>
      </w:r>
      <w:r w:rsidR="00C22D17" w:rsidRPr="008A28E4">
        <w:rPr>
          <w:rFonts w:ascii="Book Antiqua" w:hAnsi="Book Antiqua" w:cs="Times New Roman"/>
          <w:sz w:val="24"/>
          <w:szCs w:val="24"/>
          <w:lang w:eastAsia="zh-CN"/>
        </w:rPr>
        <w:t xml:space="preserve">: (1) </w:t>
      </w:r>
      <w:r w:rsidRPr="008A28E4">
        <w:rPr>
          <w:rFonts w:ascii="Book Antiqua" w:hAnsi="Book Antiqua" w:cs="Times New Roman"/>
          <w:sz w:val="24"/>
          <w:szCs w:val="24"/>
        </w:rPr>
        <w:t>Make the Tract l</w:t>
      </w:r>
      <w:r w:rsidR="00C22D17" w:rsidRPr="008A28E4">
        <w:rPr>
          <w:rFonts w:ascii="Book Antiqua" w:hAnsi="Book Antiqua" w:cs="Times New Roman"/>
          <w:sz w:val="24"/>
          <w:szCs w:val="24"/>
        </w:rPr>
        <w:t>ateral to the mid scapular line</w:t>
      </w:r>
      <w:r w:rsidR="00C22D17" w:rsidRPr="008A28E4">
        <w:rPr>
          <w:rFonts w:ascii="Book Antiqua" w:hAnsi="Book Antiqua" w:cs="Times New Roman"/>
          <w:sz w:val="24"/>
          <w:szCs w:val="24"/>
          <w:lang w:eastAsia="zh-CN"/>
        </w:rPr>
        <w:t xml:space="preserve">; (2) </w:t>
      </w:r>
      <w:r w:rsidRPr="008A28E4">
        <w:rPr>
          <w:rFonts w:ascii="Book Antiqua" w:hAnsi="Book Antiqua" w:cs="Times New Roman"/>
          <w:sz w:val="24"/>
          <w:szCs w:val="24"/>
        </w:rPr>
        <w:t>As far as feasible, stay below the 10th rib</w:t>
      </w:r>
      <w:r w:rsidR="00C22D17" w:rsidRPr="008A28E4">
        <w:rPr>
          <w:rFonts w:ascii="Book Antiqua" w:hAnsi="Book Antiqua" w:cs="Times New Roman"/>
          <w:sz w:val="24"/>
          <w:szCs w:val="24"/>
          <w:lang w:eastAsia="zh-CN"/>
        </w:rPr>
        <w:t xml:space="preserve">; (3) </w:t>
      </w:r>
      <w:r w:rsidRPr="008A28E4">
        <w:rPr>
          <w:rFonts w:ascii="Book Antiqua" w:hAnsi="Book Antiqua" w:cs="Times New Roman"/>
          <w:sz w:val="24"/>
          <w:szCs w:val="24"/>
        </w:rPr>
        <w:t xml:space="preserve">Tract making should </w:t>
      </w:r>
      <w:r w:rsidR="00C22D17" w:rsidRPr="008A28E4">
        <w:rPr>
          <w:rFonts w:ascii="Book Antiqua" w:hAnsi="Book Antiqua" w:cs="Times New Roman"/>
          <w:sz w:val="24"/>
          <w:szCs w:val="24"/>
        </w:rPr>
        <w:t>be performed in deep expiration</w:t>
      </w:r>
      <w:r w:rsidR="00C22D17" w:rsidRPr="008A28E4">
        <w:rPr>
          <w:rFonts w:ascii="Book Antiqua" w:hAnsi="Book Antiqua" w:cs="Times New Roman"/>
          <w:sz w:val="24"/>
          <w:szCs w:val="24"/>
          <w:lang w:eastAsia="zh-CN"/>
        </w:rPr>
        <w:t xml:space="preserve">; and (4) </w:t>
      </w:r>
      <w:r w:rsidRPr="008A28E4">
        <w:rPr>
          <w:rFonts w:ascii="Book Antiqua" w:hAnsi="Book Antiqua" w:cs="Times New Roman"/>
          <w:sz w:val="24"/>
          <w:szCs w:val="24"/>
        </w:rPr>
        <w:t>Tract should be kept to the minimum necessary size</w:t>
      </w:r>
      <w:r w:rsidR="00C22D17" w:rsidRPr="008A28E4">
        <w:rPr>
          <w:rFonts w:ascii="Book Antiqua" w:hAnsi="Book Antiqua" w:cs="Times New Roman"/>
          <w:sz w:val="24"/>
          <w:szCs w:val="24"/>
          <w:lang w:eastAsia="zh-CN"/>
        </w:rPr>
        <w:t>.</w:t>
      </w:r>
    </w:p>
    <w:p w:rsidR="00C2014D" w:rsidRPr="008A28E4" w:rsidRDefault="00C2014D" w:rsidP="008A28E4">
      <w:pPr>
        <w:widowControl w:val="0"/>
        <w:autoSpaceDE w:val="0"/>
        <w:autoSpaceDN w:val="0"/>
        <w:adjustRightInd w:val="0"/>
        <w:spacing w:after="0" w:line="360" w:lineRule="auto"/>
        <w:ind w:firstLineChars="200" w:firstLine="480"/>
        <w:jc w:val="both"/>
        <w:rPr>
          <w:rFonts w:ascii="Book Antiqua" w:hAnsi="Book Antiqua" w:cs="Times New Roman"/>
          <w:sz w:val="24"/>
          <w:szCs w:val="24"/>
        </w:rPr>
      </w:pPr>
      <w:r w:rsidRPr="008A28E4">
        <w:rPr>
          <w:rFonts w:ascii="Book Antiqua" w:hAnsi="Book Antiqua" w:cs="Times New Roman"/>
          <w:sz w:val="24"/>
          <w:szCs w:val="24"/>
        </w:rPr>
        <w:t>Based on the above mentioned anatomical caveats it would be rational to suggest that tracts below the 11th rib made lateral to the mid scapular line would miss not only the visceral pleura but mal also miss the parietal pleura. Tracts made through the parietal pleura may not be of clinical significance. Use of an Amplatz sheath would further mitigate major complications by preventing leakage of the irrigation fluid in the pleural space.</w:t>
      </w:r>
    </w:p>
    <w:p w:rsidR="00C2014D" w:rsidRPr="008A28E4" w:rsidRDefault="00C2014D" w:rsidP="008A28E4">
      <w:pPr>
        <w:widowControl w:val="0"/>
        <w:autoSpaceDE w:val="0"/>
        <w:autoSpaceDN w:val="0"/>
        <w:adjustRightInd w:val="0"/>
        <w:spacing w:after="0" w:line="360" w:lineRule="auto"/>
        <w:ind w:firstLineChars="200" w:firstLine="480"/>
        <w:jc w:val="both"/>
        <w:rPr>
          <w:rFonts w:ascii="Book Antiqua" w:hAnsi="Book Antiqua" w:cs="Times New Roman"/>
          <w:sz w:val="24"/>
          <w:szCs w:val="24"/>
        </w:rPr>
      </w:pPr>
      <w:r w:rsidRPr="008A28E4">
        <w:rPr>
          <w:rFonts w:ascii="Book Antiqua" w:hAnsi="Book Antiqua" w:cs="Times New Roman"/>
          <w:sz w:val="24"/>
          <w:szCs w:val="24"/>
        </w:rPr>
        <w:t>An anesthetist who understands the procedure and is involved during the procedure is important, as he would maintain the patient in deep expiration when the tract is being made. If the individual case demands higher tract, there is no harm in making it. Use of thoracosopy control would make this safer</w:t>
      </w:r>
      <w:r w:rsidR="0098134D" w:rsidRPr="008A28E4">
        <w:rPr>
          <w:rFonts w:ascii="Book Antiqua" w:hAnsi="Book Antiqua" w:cs="Times New Roman"/>
          <w:sz w:val="24"/>
          <w:szCs w:val="24"/>
          <w:vertAlign w:val="superscript"/>
        </w:rPr>
        <w:fldChar w:fldCharType="begin" w:fldLock="1"/>
      </w:r>
      <w:r w:rsidRPr="008A28E4">
        <w:rPr>
          <w:rFonts w:ascii="Book Antiqua" w:hAnsi="Book Antiqua" w:cs="Times New Roman"/>
          <w:sz w:val="24"/>
          <w:szCs w:val="24"/>
          <w:vertAlign w:val="superscript"/>
        </w:rPr>
        <w:instrText>ADDIN CSL_CITATION { "citationItems" : [ { "id" : "ITEM-1", "itemData" : { "DOI" : "10.1089/089277901750426337", "ISSN" : "0892-7790", "PMID" : "11552780", "abstract" : "PURPOSE: We describe a technique for safely accessing an upper pole calix through a 9th or 10th intercostal puncture. PATIENTS AND METHODS: A 9th or 10th intercostal access was used for percutaneous nephrolithotomy (PCNL) in nine patients. Thoracoscopy via the 5th or 6th intercostal space was used to ensure safe passage of the nephrostomy needle. RESULTS: Access was obtained in all patients without visceral injury. Seven patients were stone free after PCNL; the initial two required sandwich therapy to become so. Chest tubes were inserted routinely in the first eight cases. They were removed on postoperative day three and did not affect the length of hospital stay. CONCLUSIONS: Access through the 9th or 10th intercostal space is occasionally necessary and is ideal in certain circumstances. Thoracoscopy-assisted percutaneous renal access allows access under direct vision, thus preventing pulmonary injury.", "author" : [ { "dropping-particle" : "", "family" : "Finelli", "given" : "A", "non-dropping-particle" : "", "parse-names" : false, "suffix" : "" }, { "dropping-particle" : "", "family" : "Honey", "given" : "R J", "non-dropping-particle" : "", "parse-names" : false, "suffix" : "" } ], "container-title" : "Journal of endourology / Endourological Society", "id" : "ITEM-1", "issued" : { "date-parts" : [ [ "2001" ] ] }, "page" : "581-584; discussion 584-585", "title" : "Thoracoscopy-assisted high intercostal percutaneous renal access.", "type" : "article-journal", "volume" : "15" }, "uris" : [ "http://www.mendeley.com/documents/?uuid=f4e79b70-c2c5-4e72-a6e0-aaba148100bf", "http://www.mendeley.com/documents/?uuid=8caef57d-f18e-4efb-aee2-fe9bf93118bf" ] } ], "mendeley" : { "previouslyFormattedCitation" : "(86)" }, "properties" : { "noteIndex" : 0 }, "schema" : "https://github.com/citation-style-language/schema/raw/master/csl-citation.json" }</w:instrText>
      </w:r>
      <w:r w:rsidR="0098134D" w:rsidRPr="008A28E4">
        <w:rPr>
          <w:rFonts w:ascii="Book Antiqua" w:hAnsi="Book Antiqua" w:cs="Times New Roman"/>
          <w:sz w:val="24"/>
          <w:szCs w:val="24"/>
          <w:vertAlign w:val="superscript"/>
        </w:rPr>
        <w:fldChar w:fldCharType="separate"/>
      </w:r>
      <w:r w:rsidR="00286B87" w:rsidRPr="008A28E4">
        <w:rPr>
          <w:rFonts w:ascii="Book Antiqua" w:hAnsi="Book Antiqua" w:cs="Times New Roman"/>
          <w:noProof/>
          <w:sz w:val="24"/>
          <w:szCs w:val="24"/>
          <w:vertAlign w:val="superscript"/>
        </w:rPr>
        <w:t>[</w:t>
      </w:r>
      <w:r w:rsidRPr="008A28E4">
        <w:rPr>
          <w:rFonts w:ascii="Book Antiqua" w:hAnsi="Book Antiqua" w:cs="Times New Roman"/>
          <w:noProof/>
          <w:sz w:val="24"/>
          <w:szCs w:val="24"/>
          <w:vertAlign w:val="superscript"/>
        </w:rPr>
        <w:t>94</w:t>
      </w:r>
      <w:r w:rsidR="0098134D" w:rsidRPr="008A28E4">
        <w:rPr>
          <w:rFonts w:ascii="Book Antiqua" w:hAnsi="Book Antiqua" w:cs="Times New Roman"/>
          <w:sz w:val="24"/>
          <w:szCs w:val="24"/>
          <w:vertAlign w:val="superscript"/>
        </w:rPr>
        <w:fldChar w:fldCharType="end"/>
      </w:r>
      <w:r w:rsidR="00286B87" w:rsidRPr="008A28E4">
        <w:rPr>
          <w:rFonts w:ascii="Book Antiqua" w:hAnsi="Book Antiqua" w:cs="Times New Roman"/>
          <w:sz w:val="24"/>
          <w:szCs w:val="24"/>
          <w:vertAlign w:val="superscript"/>
        </w:rPr>
        <w:t>]</w:t>
      </w:r>
      <w:r w:rsidRPr="008A28E4">
        <w:rPr>
          <w:rFonts w:ascii="Book Antiqua" w:hAnsi="Book Antiqua" w:cs="Times New Roman"/>
          <w:sz w:val="24"/>
          <w:szCs w:val="24"/>
        </w:rPr>
        <w:t>. The pleural fluid collection, if occurs, can be easily managed by placing a chest drain at end of the procedure. It is vital to check the costo-phrenic angle at the end of the supra-costal access. A clear costo phrenic angle on fluoroscopy at the end of the procedure is a proof tha</w:t>
      </w:r>
      <w:r w:rsidR="00113CEF" w:rsidRPr="008A28E4">
        <w:rPr>
          <w:rFonts w:ascii="Book Antiqua" w:hAnsi="Book Antiqua" w:cs="Times New Roman"/>
          <w:sz w:val="24"/>
          <w:szCs w:val="24"/>
        </w:rPr>
        <w:t>t pleura have not been violated</w:t>
      </w:r>
      <w:r w:rsidR="0098134D" w:rsidRPr="008A28E4">
        <w:rPr>
          <w:rFonts w:ascii="Book Antiqua" w:hAnsi="Book Antiqua" w:cs="Times New Roman"/>
          <w:sz w:val="24"/>
          <w:szCs w:val="24"/>
          <w:vertAlign w:val="superscript"/>
        </w:rPr>
        <w:fldChar w:fldCharType="begin" w:fldLock="1"/>
      </w:r>
      <w:r w:rsidRPr="008A28E4">
        <w:rPr>
          <w:rFonts w:ascii="Book Antiqua" w:hAnsi="Book Antiqua" w:cs="Times New Roman"/>
          <w:sz w:val="24"/>
          <w:szCs w:val="24"/>
          <w:vertAlign w:val="superscript"/>
        </w:rPr>
        <w:instrText>ADDIN CSL_CITATION { "citationItems" : [ { "id" : "ITEM-1", "itemData" : { "DOI" : "10.1016/j.urology.2003.07.024", "ISSN" : "00904295", "PMID" : "14665341", "abstract" : "Objectives. Hydropneumothorax (HPTX) is recognized as a potential complication of percutaneous nephrostolithotomy (PCNL), particularly with supracostal access. Postoperative chest radiography (CXR) is routinely used to evaluate the chest after PCNL. We prospectively compared the sensitivity of intraoperative chest fluoroscopy with immediate postoperative portable CXR and postoperative day 1 chest computed tomography (CT) for the detection of pleural fluid. Methods. A total of 89 consecutive patients (mean age 47.9 ?? 13.3 years; 100 renal units) undergoing PCNL were prospectively evaluated with intraoperative fluoroscopy at the conclusion of the procedure and then with anteroposterior CXR in the postanesthesia care unit and postoperative day 1 noncontrast, thin-cut CT of the kidneys and lung bases. CT imaging of the lung bases comprised the reference standard for detecting pleural fluid. Results. A total of 104 percutaneous renal accesses in 100 renal units, 60 above and 44 below the 12th rib, were used. In 16 cases (16%), a second-stage procedure was performed to clear residual stone fragments detected on post-PCNL CT. HPTX was detected in 1, 8, and 38 cases by initial fluoroscopy, immediate postoperative CXR, and CT scan, respectively. Intervention was necessary in 7 patients. In 2 patients with fluoroscopic evidence of pleural fluid (1 at the initial PCNL and 1 during second-look flexible nephroscopy), intraoperative pleural drainage was performed percutaneously. In the other 5 patients, intervention was determined by the size of the HPTX on chest CT scan (n = 1) or the presence of symptoms (n = 4). In no case was intervention performed on the basis of the immediate postoperative CXR findings when intraoperative chest fluoroscopy was negative. Conclusions. Intraoperative chest fluoroscopy during PCNL is sufficient to detect clinically significant HPTXs, and, therefore, routine postoperative CXRs are not necessary. However, a high index of suspicion based on clinical symptoms postoperatively should prompt chest imaging. ?? 2003 Elsevier Inc.", "author" : [ { "dropping-particle" : "", "family" : "Ogan", "given" : "Kenneth", "non-dropping-particle" : "", "parse-names" : false, "suffix" : "" }, { "dropping-particle" : "", "family" : "Corwin", "given" : "T. Spark", "non-dropping-particle" : "", "parse-names" : false, "suffix" : "" }, { "dropping-particle" : "", "family" : "Smith", "given" : "Thomas", "non-dropping-particle" : "", "parse-names" : false, "suffix" : "" }, { "dropping-particle" : "", "family" : "Watumull", "given" : "Lori M.", "non-dropping-particle" : "", "parse-names" : false, "suffix" : "" }, { "dropping-particle" : "", "family" : "Mullican", "given" : "Mary Ann", "non-dropping-particle" : "", "parse-names" : false, "suffix" : "" }, { "dropping-particle" : "", "family" : "Cadeddu", "given" : "Jeffrey A.", "non-dropping-particle" : "", "parse-names" : false, "suffix" : "" }, { "dropping-particle" : "", "family" : "Pearle", "given" : "Margaret S.", "non-dropping-particle" : "", "parse-names" : false, "suffix" : "" } ], "container-title" : "Urology", "id" : "ITEM-1", "issued" : { "date-parts" : [ [ "2003" ] ] }, "page" : "988-992", "title" : "Sensitivity of chest fluoroscopy compared with chest CT and chest radiography for diagnosing hydropneumothorax in association with percutaneous nephrostolithotomy", "type" : "article-journal", "volume" : "62" }, "uris" : [ "http://www.mendeley.com/documents/?uuid=844f2a56-f11d-4611-9e21-9ddcf306982d", "http://www.mendeley.com/documents/?uuid=d0089c58-baa1-4660-904c-4e0464c524b4" ] } ], "mendeley" : { "previouslyFormattedCitation" : "(87)" }, "properties" : { "noteIndex" : 0 }, "schema" : "https://github.com/citation-style-language/schema/raw/master/csl-citation.json" }</w:instrText>
      </w:r>
      <w:r w:rsidR="0098134D" w:rsidRPr="008A28E4">
        <w:rPr>
          <w:rFonts w:ascii="Book Antiqua" w:hAnsi="Book Antiqua" w:cs="Times New Roman"/>
          <w:sz w:val="24"/>
          <w:szCs w:val="24"/>
          <w:vertAlign w:val="superscript"/>
        </w:rPr>
        <w:fldChar w:fldCharType="separate"/>
      </w:r>
      <w:r w:rsidR="00286B87" w:rsidRPr="008A28E4">
        <w:rPr>
          <w:rFonts w:ascii="Book Antiqua" w:hAnsi="Book Antiqua" w:cs="Times New Roman"/>
          <w:noProof/>
          <w:sz w:val="24"/>
          <w:szCs w:val="24"/>
          <w:vertAlign w:val="superscript"/>
        </w:rPr>
        <w:t>[</w:t>
      </w:r>
      <w:r w:rsidRPr="008A28E4">
        <w:rPr>
          <w:rFonts w:ascii="Book Antiqua" w:hAnsi="Book Antiqua" w:cs="Times New Roman"/>
          <w:noProof/>
          <w:sz w:val="24"/>
          <w:szCs w:val="24"/>
          <w:vertAlign w:val="superscript"/>
        </w:rPr>
        <w:t>95</w:t>
      </w:r>
      <w:r w:rsidR="0098134D" w:rsidRPr="008A28E4">
        <w:rPr>
          <w:rFonts w:ascii="Book Antiqua" w:hAnsi="Book Antiqua" w:cs="Times New Roman"/>
          <w:sz w:val="24"/>
          <w:szCs w:val="24"/>
          <w:vertAlign w:val="superscript"/>
        </w:rPr>
        <w:fldChar w:fldCharType="end"/>
      </w:r>
      <w:r w:rsidR="00286B87" w:rsidRPr="008A28E4">
        <w:rPr>
          <w:rFonts w:ascii="Book Antiqua" w:hAnsi="Book Antiqua" w:cs="Times New Roman"/>
          <w:sz w:val="24"/>
          <w:szCs w:val="24"/>
          <w:vertAlign w:val="superscript"/>
        </w:rPr>
        <w:t>]</w:t>
      </w:r>
      <w:r w:rsidRPr="008A28E4">
        <w:rPr>
          <w:rFonts w:ascii="Book Antiqua" w:hAnsi="Book Antiqua" w:cs="Times New Roman"/>
          <w:sz w:val="24"/>
          <w:szCs w:val="24"/>
        </w:rPr>
        <w:t xml:space="preserve">. </w:t>
      </w:r>
    </w:p>
    <w:p w:rsidR="00C22D17" w:rsidRPr="008A28E4" w:rsidRDefault="00C22D17" w:rsidP="008A28E4">
      <w:pPr>
        <w:pStyle w:val="ListParagraph"/>
        <w:spacing w:after="0" w:line="360" w:lineRule="auto"/>
        <w:ind w:left="0"/>
        <w:jc w:val="both"/>
        <w:rPr>
          <w:rFonts w:ascii="Book Antiqua" w:hAnsi="Book Antiqua" w:cs="Times New Roman"/>
          <w:b/>
          <w:sz w:val="24"/>
          <w:szCs w:val="24"/>
          <w:lang w:eastAsia="zh-CN"/>
        </w:rPr>
      </w:pPr>
    </w:p>
    <w:p w:rsidR="00C2014D" w:rsidRPr="008A28E4" w:rsidRDefault="00505DA4" w:rsidP="008A28E4">
      <w:pPr>
        <w:pStyle w:val="ListParagraph"/>
        <w:spacing w:after="0" w:line="360" w:lineRule="auto"/>
        <w:ind w:left="0"/>
        <w:jc w:val="both"/>
        <w:rPr>
          <w:rFonts w:ascii="Book Antiqua" w:hAnsi="Book Antiqua" w:cs="Times New Roman"/>
          <w:b/>
          <w:sz w:val="24"/>
          <w:szCs w:val="24"/>
        </w:rPr>
      </w:pPr>
      <w:r w:rsidRPr="008A28E4">
        <w:rPr>
          <w:rFonts w:ascii="Book Antiqua" w:hAnsi="Book Antiqua" w:cs="Times New Roman"/>
          <w:b/>
          <w:sz w:val="24"/>
          <w:szCs w:val="24"/>
        </w:rPr>
        <w:t>PROBLEMS DURING ACCESS</w:t>
      </w:r>
    </w:p>
    <w:p w:rsidR="00C2014D" w:rsidRPr="008A28E4" w:rsidRDefault="00C2014D" w:rsidP="008A28E4">
      <w:pPr>
        <w:pStyle w:val="ListParagraph"/>
        <w:spacing w:after="0" w:line="360" w:lineRule="auto"/>
        <w:ind w:left="0"/>
        <w:jc w:val="both"/>
        <w:rPr>
          <w:rFonts w:ascii="Book Antiqua" w:hAnsi="Book Antiqua" w:cs="Times New Roman"/>
          <w:b/>
          <w:i/>
          <w:sz w:val="24"/>
          <w:szCs w:val="24"/>
        </w:rPr>
      </w:pPr>
      <w:r w:rsidRPr="008A28E4">
        <w:rPr>
          <w:rFonts w:ascii="Book Antiqua" w:hAnsi="Book Antiqua" w:cs="Times New Roman"/>
          <w:b/>
          <w:i/>
          <w:sz w:val="24"/>
          <w:szCs w:val="24"/>
        </w:rPr>
        <w:t>Failure to opacify the system</w:t>
      </w:r>
    </w:p>
    <w:p w:rsidR="00C2014D" w:rsidRPr="008A28E4" w:rsidRDefault="00C2014D" w:rsidP="008A28E4">
      <w:pPr>
        <w:pStyle w:val="ListParagraph"/>
        <w:spacing w:after="0" w:line="360" w:lineRule="auto"/>
        <w:ind w:left="0"/>
        <w:jc w:val="both"/>
        <w:rPr>
          <w:rFonts w:ascii="Book Antiqua" w:hAnsi="Book Antiqua" w:cs="Times New Roman"/>
          <w:sz w:val="24"/>
          <w:szCs w:val="24"/>
        </w:rPr>
      </w:pPr>
      <w:r w:rsidRPr="008A28E4">
        <w:rPr>
          <w:rFonts w:ascii="Book Antiqua" w:hAnsi="Book Antiqua" w:cs="Times New Roman"/>
          <w:b/>
          <w:sz w:val="24"/>
          <w:szCs w:val="24"/>
        </w:rPr>
        <w:t>Cause:</w:t>
      </w:r>
      <w:r w:rsidRPr="008A28E4">
        <w:rPr>
          <w:rFonts w:ascii="Book Antiqua" w:hAnsi="Book Antiqua" w:cs="Times New Roman"/>
          <w:sz w:val="24"/>
          <w:szCs w:val="24"/>
        </w:rPr>
        <w:t xml:space="preserve"> This uncommon occurrence can occur either due to the ureteric catheter slipping out or a tightly impacted calculus preventing passage of contrast across it.                                        Prevention: The ureteric catheter needs to be fixed to the per urethral catheter inserted initially so that it does not slip out while making the patient prone. Using a hydrophilic glide wire also helps in negotiating the wire and then the ureteric catheter across the calculus</w:t>
      </w:r>
    </w:p>
    <w:p w:rsidR="00C22D17" w:rsidRPr="008A28E4" w:rsidRDefault="00C22D17" w:rsidP="008A28E4">
      <w:pPr>
        <w:pStyle w:val="ListParagraph"/>
        <w:spacing w:after="0" w:line="360" w:lineRule="auto"/>
        <w:ind w:left="0"/>
        <w:jc w:val="both"/>
        <w:rPr>
          <w:rFonts w:ascii="Book Antiqua" w:hAnsi="Book Antiqua" w:cs="Times New Roman"/>
          <w:sz w:val="24"/>
          <w:szCs w:val="24"/>
          <w:lang w:eastAsia="zh-CN"/>
        </w:rPr>
      </w:pPr>
    </w:p>
    <w:p w:rsidR="00C2014D" w:rsidRPr="008A28E4" w:rsidRDefault="00C2014D" w:rsidP="008A28E4">
      <w:pPr>
        <w:pStyle w:val="ListParagraph"/>
        <w:spacing w:after="0" w:line="360" w:lineRule="auto"/>
        <w:ind w:left="0"/>
        <w:jc w:val="both"/>
        <w:rPr>
          <w:rFonts w:ascii="Book Antiqua" w:hAnsi="Book Antiqua" w:cs="Times New Roman"/>
          <w:sz w:val="24"/>
          <w:szCs w:val="24"/>
        </w:rPr>
      </w:pPr>
      <w:r w:rsidRPr="008A28E4">
        <w:rPr>
          <w:rFonts w:ascii="Book Antiqua" w:hAnsi="Book Antiqua" w:cs="Times New Roman"/>
          <w:b/>
          <w:sz w:val="24"/>
          <w:szCs w:val="24"/>
        </w:rPr>
        <w:t>Remedy:</w:t>
      </w:r>
      <w:r w:rsidRPr="008A28E4">
        <w:rPr>
          <w:rFonts w:ascii="Book Antiqua" w:hAnsi="Book Antiqua" w:cs="Times New Roman"/>
          <w:sz w:val="24"/>
          <w:szCs w:val="24"/>
        </w:rPr>
        <w:t xml:space="preserve"> For a tightly impacted calculus, where the contrast does not go across it. Keeping the patient in ‘head-low’ position or reducing the concentration of the contrast (increase the dilution) may help some contrast go beyond the blocking calculus. If this does not work, then either an ultrasound guided puncture can be attempted or one can use a Chiba needle to opacify the system. Chiba needle is a much finer needle as compared to the initial puncture needle hence is likely to be less traumatic</w:t>
      </w:r>
      <w:r w:rsidR="0098134D" w:rsidRPr="008A28E4">
        <w:rPr>
          <w:rFonts w:ascii="Book Antiqua" w:hAnsi="Book Antiqua" w:cs="Times New Roman"/>
          <w:sz w:val="24"/>
          <w:szCs w:val="24"/>
          <w:vertAlign w:val="superscript"/>
        </w:rPr>
        <w:fldChar w:fldCharType="begin" w:fldLock="1"/>
      </w:r>
      <w:r w:rsidRPr="008A28E4">
        <w:rPr>
          <w:rFonts w:ascii="Book Antiqua" w:hAnsi="Book Antiqua" w:cs="Times New Roman"/>
          <w:sz w:val="24"/>
          <w:szCs w:val="24"/>
          <w:vertAlign w:val="superscript"/>
        </w:rPr>
        <w:instrText>ADDIN CSL_CITATION { "citationItems" : [ { "id" : "ITEM-1", "itemData" : { "DOI" : "10.1016/S1076-6332(99)80233-5", "ISSN" : "10766332", "PMID" : "10376069", "abstract" : "Percutaneous nephrostomy procedures generally are safe. The associated mortality rate is approximately 0.04%, and the incidence of important complications is 5% (2-4). To minimize complications, certain precautions always should be followed. First, radiologists should perform a preprocedural evaluation of the patient, with correction of marked coagulopathy or thrombocytopenia before all but the most emergent procedures. Second, antibiotics should be administered routinely before nephrostomy drainage; the choice of antibiotics can be based on the specific patient's risk factors for bacteriuria. To minimize the risk of clinically important renal vascular damage, radiologists should do the following: 1. Always achieve adequate visualization of the calices. 2. Identify a posterior calix for puncture that will give access to the appropriate segment of the kidney for anticipated procedures and allow safe creation of a tract. 3. Puncture below the 11th rib (and preferably below the 12th rib when feasible). 4. Puncture the tip of a posterior calix from a 20 degrees-30 degrees, posterolateral oblique approach to avoid major blood vessels. 5. Make a single-wall puncture of the calix. 6. Perform exchange transfusion for opacification of the renal pelvis and calices during percutaneous nephrostomy procedures to minimize the risk of sepsis. Overdistention can increase the likelihood of sepsis or retroperitoneal contamination. 7. Inject contrast material via a catheter placed over a wire to confirm the intracollecting system location of the entry. 8. Avoid unnecessary (complicated, prolonged) procedures in an infected, obstructed system. 9. Use only self-retaining drainage catheters to minimize the risk of inadvertent catheter dislodgment. 10. Create large-bore tracts with a balloon dilation system. By contrast, radiologists should not do the following: 1. Puncture above the 11th rib (unless all other avenues of approach have been exhausted). 2. Lose access to an obstructed kidney once the kidney has been punctured. Placement of a \"safety\" wire for all complex manipulations is recommended. 3. Panic if excessive bleeding or evidence of adjacent organ injury is seen. Excessive bleeding usually can be stopped with tract tamponade by using a balloon catheter advanced through the tract or with placement of an appropriate-sized nephrostomy tube to occlude the tract. If active bleeding continues or recurs, arteriography should be considered. The quantity of bleeding can be \u2026", "author" : [ { "dropping-particle" : "", "family" : "Zagoria", "given" : "R J", "non-dropping-particle" : "", "parse-names" : false, "suffix" : "" }, { "dropping-particle" : "", "family" : "Dyer", "given" : "R B", "non-dropping-particle" : "", "parse-names" : false, "suffix" : "" } ], "container-title" : "Academic radiology", "id" : "ITEM-1", "issued" : { "date-parts" : [ [ "1999" ] ] }, "page" : "370-377", "title" : "Do's and don't's of percutaneous nephrostomy.", "type" : "article-journal", "volume" : "6" }, "uris" : [ "http://www.mendeley.com/documents/?uuid=2209c9ff-b16a-4b8a-99da-57716efcc4e7" ] } ], "mendeley" : { "previouslyFormattedCitation" : "(88)" }, "properties" : { "noteIndex" : 0 }, "schema" : "https://github.com/citation-style-language/schema/raw/master/csl-citation.json" }</w:instrText>
      </w:r>
      <w:r w:rsidR="0098134D" w:rsidRPr="008A28E4">
        <w:rPr>
          <w:rFonts w:ascii="Book Antiqua" w:hAnsi="Book Antiqua" w:cs="Times New Roman"/>
          <w:sz w:val="24"/>
          <w:szCs w:val="24"/>
          <w:vertAlign w:val="superscript"/>
        </w:rPr>
        <w:fldChar w:fldCharType="separate"/>
      </w:r>
      <w:r w:rsidR="00286B87" w:rsidRPr="008A28E4">
        <w:rPr>
          <w:rFonts w:ascii="Book Antiqua" w:hAnsi="Book Antiqua" w:cs="Times New Roman"/>
          <w:noProof/>
          <w:sz w:val="24"/>
          <w:szCs w:val="24"/>
          <w:vertAlign w:val="superscript"/>
        </w:rPr>
        <w:t>[</w:t>
      </w:r>
      <w:r w:rsidRPr="008A28E4">
        <w:rPr>
          <w:rFonts w:ascii="Book Antiqua" w:hAnsi="Book Antiqua" w:cs="Times New Roman"/>
          <w:noProof/>
          <w:sz w:val="24"/>
          <w:szCs w:val="24"/>
          <w:vertAlign w:val="superscript"/>
        </w:rPr>
        <w:t>96</w:t>
      </w:r>
      <w:r w:rsidR="0098134D" w:rsidRPr="008A28E4">
        <w:rPr>
          <w:rFonts w:ascii="Book Antiqua" w:hAnsi="Book Antiqua" w:cs="Times New Roman"/>
          <w:sz w:val="24"/>
          <w:szCs w:val="24"/>
          <w:vertAlign w:val="superscript"/>
        </w:rPr>
        <w:fldChar w:fldCharType="end"/>
      </w:r>
      <w:r w:rsidR="00286B87" w:rsidRPr="008A28E4">
        <w:rPr>
          <w:rFonts w:ascii="Book Antiqua" w:hAnsi="Book Antiqua" w:cs="Times New Roman"/>
          <w:sz w:val="24"/>
          <w:szCs w:val="24"/>
          <w:vertAlign w:val="superscript"/>
        </w:rPr>
        <w:t>]</w:t>
      </w:r>
      <w:r w:rsidRPr="008A28E4">
        <w:rPr>
          <w:rFonts w:ascii="Book Antiqua" w:hAnsi="Book Antiqua" w:cs="Times New Roman"/>
          <w:sz w:val="24"/>
          <w:szCs w:val="24"/>
        </w:rPr>
        <w:t>. The needle is introduced around 2 cm lateral to the vertebral transverse process at L1-2 level. At this site it is likely to hit the renal pelvis. The CT scan images could help in identification of exact site of renal pelvis. Once the PCS is entered with a Chiba needle (confirmed by aspiration of urine from PCS), opacify the system and make the standard tract through the chosen calyx.</w:t>
      </w:r>
    </w:p>
    <w:p w:rsidR="00C2014D" w:rsidRPr="008A28E4" w:rsidRDefault="00C2014D" w:rsidP="008A28E4">
      <w:pPr>
        <w:pStyle w:val="ListParagraph"/>
        <w:spacing w:after="0" w:line="360" w:lineRule="auto"/>
        <w:ind w:left="0"/>
        <w:jc w:val="both"/>
        <w:rPr>
          <w:rFonts w:ascii="Book Antiqua" w:hAnsi="Book Antiqua" w:cs="Times New Roman"/>
          <w:sz w:val="24"/>
          <w:szCs w:val="24"/>
        </w:rPr>
      </w:pPr>
    </w:p>
    <w:p w:rsidR="00C2014D" w:rsidRPr="008A28E4" w:rsidRDefault="00C2014D" w:rsidP="008A28E4">
      <w:pPr>
        <w:pStyle w:val="ListParagraph"/>
        <w:spacing w:after="0" w:line="360" w:lineRule="auto"/>
        <w:ind w:left="0"/>
        <w:jc w:val="both"/>
        <w:rPr>
          <w:rFonts w:ascii="Book Antiqua" w:hAnsi="Book Antiqua" w:cs="Times New Roman"/>
          <w:b/>
          <w:i/>
          <w:sz w:val="24"/>
          <w:szCs w:val="24"/>
        </w:rPr>
      </w:pPr>
      <w:r w:rsidRPr="008A28E4">
        <w:rPr>
          <w:rFonts w:ascii="Book Antiqua" w:hAnsi="Book Antiqua" w:cs="Times New Roman"/>
          <w:b/>
          <w:i/>
          <w:sz w:val="24"/>
          <w:szCs w:val="24"/>
        </w:rPr>
        <w:t>Extravasation of contrast</w:t>
      </w:r>
    </w:p>
    <w:p w:rsidR="00C2014D" w:rsidRPr="008A28E4" w:rsidRDefault="00C2014D" w:rsidP="008A28E4">
      <w:pPr>
        <w:spacing w:after="0" w:line="360" w:lineRule="auto"/>
        <w:jc w:val="both"/>
        <w:rPr>
          <w:rFonts w:ascii="Book Antiqua" w:hAnsi="Book Antiqua" w:cs="Times New Roman"/>
          <w:sz w:val="24"/>
          <w:szCs w:val="24"/>
        </w:rPr>
      </w:pPr>
      <w:r w:rsidRPr="008A28E4">
        <w:rPr>
          <w:rFonts w:ascii="Book Antiqua" w:hAnsi="Book Antiqua" w:cs="Times New Roman"/>
          <w:b/>
          <w:sz w:val="24"/>
          <w:szCs w:val="24"/>
        </w:rPr>
        <w:t>Cause:</w:t>
      </w:r>
      <w:r w:rsidRPr="008A28E4">
        <w:rPr>
          <w:rFonts w:ascii="Book Antiqua" w:hAnsi="Book Antiqua" w:cs="Arial"/>
          <w:sz w:val="24"/>
          <w:szCs w:val="24"/>
        </w:rPr>
        <w:t xml:space="preserve"> </w:t>
      </w:r>
      <w:r w:rsidRPr="008A28E4">
        <w:rPr>
          <w:rFonts w:ascii="Book Antiqua" w:hAnsi="Book Antiqua" w:cs="Times New Roman"/>
          <w:sz w:val="24"/>
          <w:szCs w:val="24"/>
        </w:rPr>
        <w:t>Extravasation of the contrast is an unfortunate problem. It is important to avoid this situation, as extravasation would happen before the main procedure begins, and would complicate the further access making. The extravasated contrast would make the tract making difficult and also hamper the radiologic confirmation of stone clearance post procedure. The most common cause is when an enthusiastic assistant instills a large volume of contrast under high pressure. Rarely, the contrast may extravasate from an improperly placed ureteric catheter. This would be more common in patients with large impacted ureteric calculi with infection. It may also happen intra-op when the first attempt at needle insertion is not satisfactory and the contrast leaks from the needle puncture site that is made in the collecting system.</w:t>
      </w:r>
    </w:p>
    <w:p w:rsidR="00C2014D" w:rsidRPr="008A28E4" w:rsidRDefault="00C2014D" w:rsidP="008A28E4">
      <w:pPr>
        <w:spacing w:after="0" w:line="360" w:lineRule="auto"/>
        <w:ind w:firstLineChars="250" w:firstLine="600"/>
        <w:jc w:val="both"/>
        <w:rPr>
          <w:rFonts w:ascii="Book Antiqua" w:hAnsi="Book Antiqua" w:cs="Times New Roman"/>
          <w:sz w:val="24"/>
          <w:szCs w:val="24"/>
          <w:lang w:eastAsia="zh-CN"/>
        </w:rPr>
      </w:pPr>
      <w:r w:rsidRPr="008A28E4">
        <w:rPr>
          <w:rFonts w:ascii="Book Antiqua" w:hAnsi="Book Antiqua" w:cs="Times New Roman"/>
          <w:sz w:val="24"/>
          <w:szCs w:val="24"/>
        </w:rPr>
        <w:t>Prevention: To prevent extravasation of contrast, inject diluted contrast slowly while keeping the ureteric catheter in the pelvis so that sudden distension of the system with consequent extravasation does not occur. It is extremely important to instruct the assistant to instill a small amount of contrast gradually at a very low pressure. The volume of the normal collecting system is 5-8 m</w:t>
      </w:r>
      <w:r w:rsidR="00113CEF" w:rsidRPr="008A28E4">
        <w:rPr>
          <w:rFonts w:ascii="Book Antiqua" w:hAnsi="Book Antiqua" w:cs="Times New Roman"/>
          <w:sz w:val="24"/>
          <w:szCs w:val="24"/>
        </w:rPr>
        <w:t>L</w:t>
      </w:r>
      <w:r w:rsidRPr="008A28E4">
        <w:rPr>
          <w:rFonts w:ascii="Book Antiqua" w:hAnsi="Book Antiqua" w:cs="Times New Roman"/>
          <w:sz w:val="24"/>
          <w:szCs w:val="24"/>
        </w:rPr>
        <w:t>; hence gradual instillation of small volume is vital</w:t>
      </w:r>
      <w:r w:rsidR="00113CEF" w:rsidRPr="008A28E4">
        <w:rPr>
          <w:rFonts w:ascii="Book Antiqua" w:hAnsi="Book Antiqua" w:cs="Times New Roman"/>
          <w:sz w:val="24"/>
          <w:szCs w:val="24"/>
          <w:lang w:eastAsia="zh-CN"/>
        </w:rPr>
        <w:t>.</w:t>
      </w:r>
    </w:p>
    <w:p w:rsidR="00113CEF" w:rsidRPr="008A28E4" w:rsidRDefault="00113CEF" w:rsidP="008A28E4">
      <w:pPr>
        <w:spacing w:after="0" w:line="360" w:lineRule="auto"/>
        <w:ind w:firstLineChars="250" w:firstLine="600"/>
        <w:jc w:val="both"/>
        <w:rPr>
          <w:rFonts w:ascii="Book Antiqua" w:hAnsi="Book Antiqua" w:cs="Times New Roman"/>
          <w:sz w:val="24"/>
          <w:szCs w:val="24"/>
          <w:lang w:eastAsia="zh-CN"/>
        </w:rPr>
      </w:pPr>
    </w:p>
    <w:p w:rsidR="00C2014D" w:rsidRPr="008A28E4" w:rsidRDefault="00C2014D" w:rsidP="008A28E4">
      <w:pPr>
        <w:spacing w:after="0" w:line="360" w:lineRule="auto"/>
        <w:jc w:val="both"/>
        <w:rPr>
          <w:rFonts w:ascii="Book Antiqua" w:hAnsi="Book Antiqua" w:cs="Times New Roman"/>
          <w:sz w:val="24"/>
          <w:szCs w:val="24"/>
          <w:lang w:eastAsia="zh-CN"/>
        </w:rPr>
      </w:pPr>
      <w:r w:rsidRPr="008A28E4">
        <w:rPr>
          <w:rFonts w:ascii="Book Antiqua" w:hAnsi="Book Antiqua" w:cs="Times New Roman"/>
          <w:b/>
          <w:sz w:val="24"/>
          <w:szCs w:val="24"/>
        </w:rPr>
        <w:t xml:space="preserve">Remedy: </w:t>
      </w:r>
      <w:r w:rsidRPr="008A28E4">
        <w:rPr>
          <w:rFonts w:ascii="Book Antiqua" w:hAnsi="Book Antiqua" w:cs="Times New Roman"/>
          <w:sz w:val="24"/>
          <w:szCs w:val="24"/>
        </w:rPr>
        <w:t xml:space="preserve"> The problem ca</w:t>
      </w:r>
      <w:r w:rsidR="00C22D17" w:rsidRPr="008A28E4">
        <w:rPr>
          <w:rFonts w:ascii="Book Antiqua" w:hAnsi="Book Antiqua" w:cs="Times New Roman"/>
          <w:sz w:val="24"/>
          <w:szCs w:val="24"/>
        </w:rPr>
        <w:t>n be salvaged in multiple ways:</w:t>
      </w:r>
      <w:r w:rsidR="00C22D17" w:rsidRPr="008A28E4">
        <w:rPr>
          <w:rFonts w:ascii="Book Antiqua" w:hAnsi="Book Antiqua" w:cs="Times New Roman"/>
          <w:sz w:val="24"/>
          <w:szCs w:val="24"/>
          <w:lang w:eastAsia="zh-CN"/>
        </w:rPr>
        <w:t xml:space="preserve"> (1) </w:t>
      </w:r>
      <w:r w:rsidRPr="008A28E4">
        <w:rPr>
          <w:rFonts w:ascii="Book Antiqua" w:hAnsi="Book Antiqua" w:cs="Times New Roman"/>
          <w:sz w:val="24"/>
          <w:szCs w:val="24"/>
        </w:rPr>
        <w:t xml:space="preserve">Give diuretic and wait for the contrast to get absorbed. The concentration of the extravasated contrast would significantly reduce if you wait </w:t>
      </w:r>
      <w:r w:rsidR="004C27E6" w:rsidRPr="008A28E4">
        <w:rPr>
          <w:rFonts w:ascii="Book Antiqua" w:hAnsi="Book Antiqua" w:cs="Times New Roman"/>
          <w:sz w:val="24"/>
          <w:szCs w:val="24"/>
        </w:rPr>
        <w:t>for about 15 minutes after a fru</w:t>
      </w:r>
      <w:r w:rsidR="00C22D17" w:rsidRPr="008A28E4">
        <w:rPr>
          <w:rFonts w:ascii="Book Antiqua" w:hAnsi="Book Antiqua" w:cs="Times New Roman"/>
          <w:sz w:val="24"/>
          <w:szCs w:val="24"/>
        </w:rPr>
        <w:t>semide injection</w:t>
      </w:r>
      <w:r w:rsidR="00C22D17" w:rsidRPr="008A28E4">
        <w:rPr>
          <w:rFonts w:ascii="Book Antiqua" w:hAnsi="Book Antiqua" w:cs="Times New Roman"/>
          <w:sz w:val="24"/>
          <w:szCs w:val="24"/>
          <w:lang w:eastAsia="zh-CN"/>
        </w:rPr>
        <w:t xml:space="preserve">; (2) </w:t>
      </w:r>
      <w:r w:rsidRPr="008A28E4">
        <w:rPr>
          <w:rFonts w:ascii="Book Antiqua" w:hAnsi="Book Antiqua" w:cs="Times New Roman"/>
          <w:sz w:val="24"/>
          <w:szCs w:val="24"/>
        </w:rPr>
        <w:t>Use concentrated contrast that would help in identification of the PCS through the dilute extravasated contrast. The tract needs to be made fast before the concentrated contrast extravas</w:t>
      </w:r>
      <w:r w:rsidR="00C22D17" w:rsidRPr="008A28E4">
        <w:rPr>
          <w:rFonts w:ascii="Book Antiqua" w:hAnsi="Book Antiqua" w:cs="Times New Roman"/>
          <w:sz w:val="24"/>
          <w:szCs w:val="24"/>
        </w:rPr>
        <w:t>ates and compounds the problem</w:t>
      </w:r>
      <w:r w:rsidR="00C22D17" w:rsidRPr="008A28E4">
        <w:rPr>
          <w:rFonts w:ascii="Book Antiqua" w:hAnsi="Book Antiqua" w:cs="Times New Roman"/>
          <w:sz w:val="24"/>
          <w:szCs w:val="24"/>
          <w:lang w:eastAsia="zh-CN"/>
        </w:rPr>
        <w:t xml:space="preserve">; (3) </w:t>
      </w:r>
      <w:r w:rsidRPr="008A28E4">
        <w:rPr>
          <w:rFonts w:ascii="Book Antiqua" w:hAnsi="Book Antiqua" w:cs="Times New Roman"/>
          <w:sz w:val="24"/>
          <w:szCs w:val="24"/>
        </w:rPr>
        <w:t>Use of air-pyelogram to identify the PCS. The similar problem of air extravasation can happen through the needle hole in the co</w:t>
      </w:r>
      <w:r w:rsidR="00C22D17" w:rsidRPr="008A28E4">
        <w:rPr>
          <w:rFonts w:ascii="Book Antiqua" w:hAnsi="Book Antiqua" w:cs="Times New Roman"/>
          <w:sz w:val="24"/>
          <w:szCs w:val="24"/>
        </w:rPr>
        <w:t>rtex</w:t>
      </w:r>
      <w:r w:rsidR="00C22D17" w:rsidRPr="008A28E4">
        <w:rPr>
          <w:rFonts w:ascii="Book Antiqua" w:hAnsi="Book Antiqua" w:cs="Times New Roman"/>
          <w:sz w:val="24"/>
          <w:szCs w:val="24"/>
          <w:lang w:eastAsia="zh-CN"/>
        </w:rPr>
        <w:t xml:space="preserve">; (4) </w:t>
      </w:r>
      <w:r w:rsidRPr="008A28E4">
        <w:rPr>
          <w:rFonts w:ascii="Book Antiqua" w:hAnsi="Book Antiqua" w:cs="Times New Roman"/>
          <w:sz w:val="24"/>
          <w:szCs w:val="24"/>
        </w:rPr>
        <w:t>Ultrasound guided percutaneous access is a good option. However, even this technique would be difficult after contrast extravasates. Do not attempt air pyelogram, if yo</w:t>
      </w:r>
      <w:r w:rsidR="00C22D17" w:rsidRPr="008A28E4">
        <w:rPr>
          <w:rFonts w:ascii="Book Antiqua" w:hAnsi="Book Antiqua" w:cs="Times New Roman"/>
          <w:sz w:val="24"/>
          <w:szCs w:val="24"/>
        </w:rPr>
        <w:t>u want to do an ultrasonography</w:t>
      </w:r>
      <w:r w:rsidR="00C22D17" w:rsidRPr="008A28E4">
        <w:rPr>
          <w:rFonts w:ascii="Book Antiqua" w:hAnsi="Book Antiqua" w:cs="Times New Roman"/>
          <w:sz w:val="24"/>
          <w:szCs w:val="24"/>
          <w:lang w:eastAsia="zh-CN"/>
        </w:rPr>
        <w:t xml:space="preserve">; (5) </w:t>
      </w:r>
      <w:r w:rsidRPr="008A28E4">
        <w:rPr>
          <w:rFonts w:ascii="Book Antiqua" w:hAnsi="Book Antiqua" w:cs="Times New Roman"/>
          <w:sz w:val="24"/>
          <w:szCs w:val="24"/>
        </w:rPr>
        <w:t>Very rarely, it may be desirable to stage the procedure and r</w:t>
      </w:r>
      <w:r w:rsidR="00C22D17" w:rsidRPr="008A28E4">
        <w:rPr>
          <w:rFonts w:ascii="Book Antiqua" w:hAnsi="Book Antiqua" w:cs="Times New Roman"/>
          <w:sz w:val="24"/>
          <w:szCs w:val="24"/>
        </w:rPr>
        <w:t>e-attempt access after 48 h</w:t>
      </w:r>
      <w:r w:rsidR="00C22D17" w:rsidRPr="008A28E4">
        <w:rPr>
          <w:rFonts w:ascii="Book Antiqua" w:hAnsi="Book Antiqua" w:cs="Times New Roman"/>
          <w:sz w:val="24"/>
          <w:szCs w:val="24"/>
          <w:lang w:eastAsia="zh-CN"/>
        </w:rPr>
        <w:t xml:space="preserve">; (6) </w:t>
      </w:r>
      <w:r w:rsidRPr="008A28E4">
        <w:rPr>
          <w:rFonts w:ascii="Book Antiqua" w:hAnsi="Book Antiqua" w:cs="Times New Roman"/>
          <w:sz w:val="24"/>
          <w:szCs w:val="24"/>
        </w:rPr>
        <w:t xml:space="preserve">Grasso </w:t>
      </w:r>
      <w:r w:rsidRPr="008A28E4">
        <w:rPr>
          <w:rFonts w:ascii="Book Antiqua" w:hAnsi="Book Antiqua" w:cs="Times New Roman"/>
          <w:i/>
          <w:sz w:val="24"/>
          <w:szCs w:val="24"/>
        </w:rPr>
        <w:t>et al</w:t>
      </w:r>
      <w:r w:rsidR="00113CEF" w:rsidRPr="008A28E4">
        <w:rPr>
          <w:rFonts w:ascii="Book Antiqua" w:hAnsi="Book Antiqua" w:cs="Times New Roman"/>
          <w:sz w:val="24"/>
          <w:szCs w:val="24"/>
          <w:vertAlign w:val="superscript"/>
        </w:rPr>
        <w:fldChar w:fldCharType="begin" w:fldLock="1"/>
      </w:r>
      <w:r w:rsidR="00113CEF" w:rsidRPr="008A28E4">
        <w:rPr>
          <w:rFonts w:ascii="Book Antiqua" w:hAnsi="Book Antiqua" w:cs="Times New Roman"/>
          <w:sz w:val="24"/>
          <w:szCs w:val="24"/>
          <w:vertAlign w:val="superscript"/>
        </w:rPr>
        <w:instrText>ADDIN CSL_CITATION { "citationItems" : [ { "id" : "ITEM-1", "itemData" : { "ISSN" : "1079-3259", "PMID" : "9118366", "abstract" : "OBJECTIVE: To combine retrograde flexible ureteroscopic techniques with a simultaneous percutaneous puncture to gain precise antegrade renal access in selected patients. METHODS: Patients with minimally dilated collecting systems and complex stone burdens (including caliceal diverticular calculi) underwent adjunctive flexible ureteroscopy in an attempt to expedite percutaneous renal access. This combined retrograde and antegrade approach was also used in treating obese patients and those in whom prior attempts at percutaneous renal access had failed. The prone split-leg position and flexible retrograde ureteroscopy were employed. The exact calyx for percutaneous puncture was selected under direct vision using an actively deflectable, flexible ureteroscope. Access to narrow infundibula and caliceal diverticula was facilitated by employing injectable guidewires as well as small-diameter balloon dilators passed through the working channel of the flexible endoscope. A fluroscopically guided percutaneous puncture was then performed. The tip of the intrusive needle was visualized both fluoroscopically and endoscopically. An antegrade guidewire was advanced through a ureteroscopically positioned snare and withdrawn out the urethra. With this through-and-through guidewire access, standard percutaneous tract dilation and nephroscopic lithotripsy were performed expeditiously. RESULTS: Seven patients with renal disease or body habitus that made precise percutaneous access difficult underwent adjunctive retrograde flexible ureteroscopy. One patient had a large perinephric hematoma from previous attempts at nephrostomy placement. The other six patients presented with: tightly branched staghorn calculi (three patients) and lateral/anterior caliceal diverticular calculi (three patients). Four patients were morbidly obese (240-320 lb), which also complicated antegrade access. Percutaneous renal access was obtained in &lt; 30 min in all cases. CONCLUSION: A precise percutaneous puncture into a complex collecting system and establishing a through-and-through safety guidewire can be facilitated with simultaneous retrograde flexible ureteroscopic techniques.", "author" : [ { "dropping-particle" : "", "family" : "Grasso", "given" : "M", "non-dropping-particle" : "", "parse-names" : false, "suffix" : "" }, { "dropping-particle" : "", "family" : "Lang", "given" : "G", "non-dropping-particle" : "", "parse-names" : false, "suffix" : "" }, { "dropping-particle" : "", "family" : "Taylor", "given" : "F C", "non-dropping-particle" : "", "parse-names" : false, "suffix" : "" } ], "container-title" : "Techniques in urology", "id" : "ITEM-1", "issued" : { "date-parts" : [ [ "1995" ] ] }, "page" : "39-43", "title" : "Flexible ureteroscopically assisted percutaneous renal access.", "type" : "article-journal", "volume" : "1" }, "uris" : [ "http://www.mendeley.com/documents/?uuid=8cf92ce6-d53c-478c-858b-617fe01c47c0" ] } ], "mendeley" : { "previouslyFormattedCitation" : "(89)" }, "properties" : { "noteIndex" : 0 }, "schema" : "https://github.com/citation-style-language/schema/raw/master/csl-citation.json" }</w:instrText>
      </w:r>
      <w:r w:rsidR="00113CEF" w:rsidRPr="008A28E4">
        <w:rPr>
          <w:rFonts w:ascii="Book Antiqua" w:hAnsi="Book Antiqua" w:cs="Times New Roman"/>
          <w:sz w:val="24"/>
          <w:szCs w:val="24"/>
          <w:vertAlign w:val="superscript"/>
        </w:rPr>
        <w:fldChar w:fldCharType="separate"/>
      </w:r>
      <w:r w:rsidR="00113CEF" w:rsidRPr="008A28E4">
        <w:rPr>
          <w:rFonts w:ascii="Book Antiqua" w:hAnsi="Book Antiqua" w:cs="Times New Roman"/>
          <w:noProof/>
          <w:sz w:val="24"/>
          <w:szCs w:val="24"/>
          <w:vertAlign w:val="superscript"/>
        </w:rPr>
        <w:t>[97</w:t>
      </w:r>
      <w:r w:rsidR="00113CEF" w:rsidRPr="008A28E4">
        <w:rPr>
          <w:rFonts w:ascii="Book Antiqua" w:hAnsi="Book Antiqua" w:cs="Times New Roman"/>
          <w:sz w:val="24"/>
          <w:szCs w:val="24"/>
          <w:vertAlign w:val="superscript"/>
        </w:rPr>
        <w:fldChar w:fldCharType="end"/>
      </w:r>
      <w:r w:rsidR="00113CEF" w:rsidRPr="008A28E4">
        <w:rPr>
          <w:rFonts w:ascii="Book Antiqua" w:hAnsi="Book Antiqua" w:cs="Times New Roman"/>
          <w:sz w:val="24"/>
          <w:szCs w:val="24"/>
          <w:vertAlign w:val="superscript"/>
        </w:rPr>
        <w:t>]</w:t>
      </w:r>
      <w:r w:rsidRPr="008A28E4">
        <w:rPr>
          <w:rFonts w:ascii="Book Antiqua" w:hAnsi="Book Antiqua" w:cs="Times New Roman"/>
          <w:sz w:val="24"/>
          <w:szCs w:val="24"/>
        </w:rPr>
        <w:t xml:space="preserve"> initially described ureteroscopically assisted percutaneous renal access as a salva</w:t>
      </w:r>
      <w:r w:rsidR="00C22D17" w:rsidRPr="008A28E4">
        <w:rPr>
          <w:rFonts w:ascii="Book Antiqua" w:hAnsi="Book Antiqua" w:cs="Times New Roman"/>
          <w:sz w:val="24"/>
          <w:szCs w:val="24"/>
        </w:rPr>
        <w:t>ge procedure in difficult cases</w:t>
      </w:r>
      <w:r w:rsidRPr="008A28E4">
        <w:rPr>
          <w:rFonts w:ascii="Book Antiqua" w:hAnsi="Book Antiqua" w:cs="Times New Roman"/>
          <w:sz w:val="24"/>
          <w:szCs w:val="24"/>
        </w:rPr>
        <w:t>. This can be utilized in cases where significant extravasation has occurred. The major hindrance is the availability of a flexible scope, which is not the cas</w:t>
      </w:r>
      <w:r w:rsidR="00C22D17" w:rsidRPr="008A28E4">
        <w:rPr>
          <w:rFonts w:ascii="Book Antiqua" w:hAnsi="Book Antiqua" w:cs="Times New Roman"/>
          <w:sz w:val="24"/>
          <w:szCs w:val="24"/>
        </w:rPr>
        <w:t>e in many developing countries</w:t>
      </w:r>
      <w:r w:rsidR="00C22D17" w:rsidRPr="008A28E4">
        <w:rPr>
          <w:rFonts w:ascii="Book Antiqua" w:hAnsi="Book Antiqua" w:cs="Times New Roman"/>
          <w:sz w:val="24"/>
          <w:szCs w:val="24"/>
          <w:lang w:eastAsia="zh-CN"/>
        </w:rPr>
        <w:t xml:space="preserve">; and (7) </w:t>
      </w:r>
      <w:r w:rsidRPr="008A28E4">
        <w:rPr>
          <w:rFonts w:ascii="Book Antiqua" w:hAnsi="Book Antiqua" w:cs="Times New Roman"/>
          <w:sz w:val="24"/>
          <w:szCs w:val="24"/>
        </w:rPr>
        <w:t xml:space="preserve">Giannakopoulos </w:t>
      </w:r>
      <w:r w:rsidRPr="008A28E4">
        <w:rPr>
          <w:rFonts w:ascii="Book Antiqua" w:hAnsi="Book Antiqua" w:cs="Times New Roman"/>
          <w:i/>
          <w:sz w:val="24"/>
          <w:szCs w:val="24"/>
        </w:rPr>
        <w:t>et al</w:t>
      </w:r>
      <w:r w:rsidR="00113CEF" w:rsidRPr="008A28E4">
        <w:rPr>
          <w:rFonts w:ascii="Book Antiqua" w:hAnsi="Book Antiqua" w:cs="Times New Roman"/>
          <w:sz w:val="24"/>
          <w:szCs w:val="24"/>
          <w:vertAlign w:val="superscript"/>
        </w:rPr>
        <w:fldChar w:fldCharType="begin" w:fldLock="1"/>
      </w:r>
      <w:r w:rsidR="00113CEF" w:rsidRPr="008A28E4">
        <w:rPr>
          <w:rFonts w:ascii="Book Antiqua" w:hAnsi="Book Antiqua" w:cs="Times New Roman"/>
          <w:sz w:val="24"/>
          <w:szCs w:val="24"/>
          <w:vertAlign w:val="superscript"/>
        </w:rPr>
        <w:instrText>ADDIN CSL_CITATION { "citationItems" : [ { "id" : "ITEM-1", "itemData" : { "DOI" : "10.1089/end.2010.0019", "ISSN" : "1557-900X", "PMID" : "20818986", "abstract" : "PURPOSE: Occasionally during percutaneous surgery, significant contrast extravasation obscures the field, making fluoroscopic access no longer feasible. Herein, we describe a salvage technique.\n\nMATERIALS AND METHODS: The cystoscopically placed, open-end ureteral catheter is exchanged with an angled-tip angiographic catheter. With the aid of a guidewire and under fluoroscopic guidance, the tip of the catheter is placed in a posterior calix. The \"bull's eye\" technique is then applied to direct the needle into the tip of the catheter. This technique was used in four cases over a 7-year period.\n\nRESULTS: Successful access was accomplished in all cases through a middle or upper calix.\n\nCONCLUSION: The catheter serves as a target for providing access to the renal collecting system and facilitates final tract dilatation.", "author" : [ { "dropping-particle" : "", "family" : "Giannakopoulos", "given" : "Stilianos", "non-dropping-particle" : "", "parse-names" : false, "suffix" : "" }, { "dropping-particle" : "", "family" : "Bantis", "given" : "Athanasios", "non-dropping-particle" : "", "parse-names" : false, "suffix" : "" }, { "dropping-particle" : "", "family" : "Kalaitzis", "given" : "Christos", "non-dropping-particle" : "", "parse-names" : false, "suffix" : "" }, { "dropping-particle" : "", "family" : "Touloupidis", "given" : "Stavros", "non-dropping-particle" : "", "parse-names" : false, "suffix" : "" } ], "container-title" : "Journal of endourology / Endourological Society", "id" : "ITEM-1", "issue" : "10", "issued" : { "date-parts" : [ [ "2010", "10" ] ] }, "page" : "1575-8", "title" : "Use of an angiographic catheter to facilitate fluoroscopy-guided percutaneous renal access in cases with diffuse contrast extravasation.", "type" : "article-journal", "volume" : "24" }, "uris" : [ "http://www.mendeley.com/documents/?uuid=a0b5a10c-0a52-4162-a5f7-6c5d4eb9bce6" ] } ], "mendeley" : { "previouslyFormattedCitation" : "(90)" }, "properties" : { "noteIndex" : 0 }, "schema" : "https://github.com/citation-style-language/schema/raw/master/csl-citation.json" }</w:instrText>
      </w:r>
      <w:r w:rsidR="00113CEF" w:rsidRPr="008A28E4">
        <w:rPr>
          <w:rFonts w:ascii="Book Antiqua" w:hAnsi="Book Antiqua" w:cs="Times New Roman"/>
          <w:sz w:val="24"/>
          <w:szCs w:val="24"/>
          <w:vertAlign w:val="superscript"/>
        </w:rPr>
        <w:fldChar w:fldCharType="separate"/>
      </w:r>
      <w:r w:rsidR="00113CEF" w:rsidRPr="008A28E4">
        <w:rPr>
          <w:rFonts w:ascii="Book Antiqua" w:hAnsi="Book Antiqua" w:cs="Times New Roman"/>
          <w:noProof/>
          <w:sz w:val="24"/>
          <w:szCs w:val="24"/>
          <w:vertAlign w:val="superscript"/>
        </w:rPr>
        <w:t>[98</w:t>
      </w:r>
      <w:r w:rsidR="00113CEF" w:rsidRPr="008A28E4">
        <w:rPr>
          <w:rFonts w:ascii="Book Antiqua" w:hAnsi="Book Antiqua" w:cs="Times New Roman"/>
          <w:sz w:val="24"/>
          <w:szCs w:val="24"/>
          <w:vertAlign w:val="superscript"/>
        </w:rPr>
        <w:fldChar w:fldCharType="end"/>
      </w:r>
      <w:r w:rsidR="00113CEF" w:rsidRPr="008A28E4">
        <w:rPr>
          <w:rFonts w:ascii="Book Antiqua" w:hAnsi="Book Antiqua" w:cs="Times New Roman"/>
          <w:sz w:val="24"/>
          <w:szCs w:val="24"/>
          <w:vertAlign w:val="superscript"/>
        </w:rPr>
        <w:t>]</w:t>
      </w:r>
      <w:r w:rsidRPr="008A28E4">
        <w:rPr>
          <w:rFonts w:ascii="Book Antiqua" w:hAnsi="Book Antiqua" w:cs="Times New Roman"/>
          <w:sz w:val="24"/>
          <w:szCs w:val="24"/>
        </w:rPr>
        <w:t xml:space="preserve"> have described the use of an angiographic cat</w:t>
      </w:r>
      <w:r w:rsidR="00C22D17" w:rsidRPr="008A28E4">
        <w:rPr>
          <w:rFonts w:ascii="Book Antiqua" w:hAnsi="Book Antiqua" w:cs="Times New Roman"/>
          <w:sz w:val="24"/>
          <w:szCs w:val="24"/>
        </w:rPr>
        <w:t>heter to salvage such situation</w:t>
      </w:r>
      <w:r w:rsidRPr="008A28E4">
        <w:rPr>
          <w:rFonts w:ascii="Book Antiqua" w:hAnsi="Book Antiqua" w:cs="Times New Roman"/>
          <w:sz w:val="24"/>
          <w:szCs w:val="24"/>
        </w:rPr>
        <w:t>. A 0.038-inch guide wire is passed through open-end ureteral catheter which is then removed and an angled- tip angiographic catheter is passed. The radiopaque tip of the angiographic catheter is easily seen on the fluoroscopy despite significant extravasation of contrast. A guide wire is then passed through the angiographic catheter. It is manipulated and brought in a calyx which is to be punctured. The angiographic catheter is then brought till the calyx and the puncture is made aiming at the tip of the catheter. The intravenous urogram film or an initial normal fluoroscopic image before extravasation, which is captured on the second monitor of the fluoroscopy unit is very helpful in manipulating the guide wire and catheter in the proper calyx. The correct position of the catheter in a posterior calyx can also be c</w:t>
      </w:r>
      <w:r w:rsidR="00C22D17" w:rsidRPr="008A28E4">
        <w:rPr>
          <w:rFonts w:ascii="Book Antiqua" w:hAnsi="Book Antiqua" w:cs="Times New Roman"/>
          <w:sz w:val="24"/>
          <w:szCs w:val="24"/>
        </w:rPr>
        <w:t>onfirmed by rotating the C-arm</w:t>
      </w:r>
      <w:r w:rsidR="00286B87" w:rsidRPr="008A28E4">
        <w:rPr>
          <w:rFonts w:ascii="Book Antiqua" w:hAnsi="Book Antiqua" w:cs="Times New Roman"/>
          <w:sz w:val="24"/>
          <w:szCs w:val="24"/>
          <w:vertAlign w:val="superscript"/>
        </w:rPr>
        <w:t>[</w:t>
      </w:r>
      <w:r w:rsidRPr="008A28E4">
        <w:rPr>
          <w:rFonts w:ascii="Book Antiqua" w:hAnsi="Book Antiqua" w:cs="Times New Roman"/>
          <w:sz w:val="24"/>
          <w:szCs w:val="24"/>
          <w:vertAlign w:val="superscript"/>
        </w:rPr>
        <w:t>98</w:t>
      </w:r>
      <w:r w:rsidR="00286B87" w:rsidRPr="008A28E4">
        <w:rPr>
          <w:rFonts w:ascii="Book Antiqua" w:hAnsi="Book Antiqua" w:cs="Times New Roman"/>
          <w:sz w:val="24"/>
          <w:szCs w:val="24"/>
          <w:vertAlign w:val="superscript"/>
        </w:rPr>
        <w:t>]</w:t>
      </w:r>
      <w:r w:rsidRPr="008A28E4">
        <w:rPr>
          <w:rFonts w:ascii="Book Antiqua" w:hAnsi="Book Antiqua" w:cs="Times New Roman"/>
          <w:sz w:val="24"/>
          <w:szCs w:val="24"/>
        </w:rPr>
        <w:t>.</w:t>
      </w:r>
    </w:p>
    <w:p w:rsidR="00C22D17" w:rsidRPr="008A28E4" w:rsidRDefault="00C22D17" w:rsidP="008A28E4">
      <w:pPr>
        <w:pStyle w:val="ListParagraph"/>
        <w:spacing w:after="0" w:line="360" w:lineRule="auto"/>
        <w:ind w:left="0"/>
        <w:jc w:val="both"/>
        <w:rPr>
          <w:rFonts w:ascii="Book Antiqua" w:hAnsi="Book Antiqua" w:cs="Times New Roman"/>
          <w:sz w:val="24"/>
          <w:szCs w:val="24"/>
          <w:u w:val="single"/>
          <w:lang w:eastAsia="zh-CN"/>
        </w:rPr>
      </w:pPr>
    </w:p>
    <w:p w:rsidR="00C2014D" w:rsidRPr="008A28E4" w:rsidRDefault="00C2014D" w:rsidP="008A28E4">
      <w:pPr>
        <w:pStyle w:val="ListParagraph"/>
        <w:spacing w:after="0" w:line="360" w:lineRule="auto"/>
        <w:ind w:left="0"/>
        <w:jc w:val="both"/>
        <w:rPr>
          <w:rFonts w:ascii="Book Antiqua" w:hAnsi="Book Antiqua" w:cs="Times New Roman"/>
          <w:b/>
          <w:i/>
          <w:sz w:val="24"/>
          <w:szCs w:val="24"/>
        </w:rPr>
      </w:pPr>
      <w:r w:rsidRPr="008A28E4">
        <w:rPr>
          <w:rFonts w:ascii="Book Antiqua" w:hAnsi="Book Antiqua" w:cs="Times New Roman"/>
          <w:b/>
          <w:i/>
          <w:sz w:val="24"/>
          <w:szCs w:val="24"/>
        </w:rPr>
        <w:t>Inability to puncture</w:t>
      </w:r>
    </w:p>
    <w:p w:rsidR="00C2014D" w:rsidRPr="008A28E4" w:rsidRDefault="00C2014D" w:rsidP="008A28E4">
      <w:pPr>
        <w:pStyle w:val="ListParagraph"/>
        <w:spacing w:after="0" w:line="360" w:lineRule="auto"/>
        <w:ind w:left="0"/>
        <w:jc w:val="both"/>
        <w:rPr>
          <w:rFonts w:ascii="Book Antiqua" w:hAnsi="Book Antiqua" w:cs="Times New Roman"/>
          <w:sz w:val="24"/>
          <w:szCs w:val="24"/>
          <w:lang w:eastAsia="zh-CN"/>
        </w:rPr>
      </w:pPr>
      <w:r w:rsidRPr="008A28E4">
        <w:rPr>
          <w:rFonts w:ascii="Book Antiqua" w:hAnsi="Book Antiqua" w:cs="Times New Roman"/>
          <w:b/>
          <w:sz w:val="24"/>
          <w:szCs w:val="24"/>
        </w:rPr>
        <w:t>Cause:</w:t>
      </w:r>
      <w:r w:rsidRPr="008A28E4">
        <w:rPr>
          <w:rFonts w:ascii="Book Antiqua" w:hAnsi="Book Antiqua" w:cs="Times New Roman"/>
          <w:sz w:val="24"/>
          <w:szCs w:val="24"/>
        </w:rPr>
        <w:t xml:space="preserve"> Inability to puncture is often a technical problem .This happens either due to the inexperience of the operator or due to technical difficulty commonly while attempting puncture of a non-dilated system. This could be related to incorrect choice of the calyx for puncture</w:t>
      </w:r>
      <w:r w:rsidR="00C22D17" w:rsidRPr="008A28E4">
        <w:rPr>
          <w:rFonts w:ascii="Book Antiqua" w:hAnsi="Book Antiqua" w:cs="Times New Roman"/>
          <w:sz w:val="24"/>
          <w:szCs w:val="24"/>
          <w:lang w:eastAsia="zh-CN"/>
        </w:rPr>
        <w:t>.</w:t>
      </w:r>
    </w:p>
    <w:p w:rsidR="00C22D17" w:rsidRPr="008A28E4" w:rsidRDefault="00C22D17" w:rsidP="008A28E4">
      <w:pPr>
        <w:pStyle w:val="ListParagraph"/>
        <w:spacing w:after="0" w:line="360" w:lineRule="auto"/>
        <w:ind w:left="0"/>
        <w:jc w:val="both"/>
        <w:rPr>
          <w:rFonts w:ascii="Book Antiqua" w:hAnsi="Book Antiqua" w:cs="Times New Roman"/>
          <w:sz w:val="24"/>
          <w:szCs w:val="24"/>
          <w:lang w:eastAsia="zh-CN"/>
        </w:rPr>
      </w:pPr>
    </w:p>
    <w:p w:rsidR="00C2014D" w:rsidRPr="008A28E4" w:rsidRDefault="00C2014D" w:rsidP="008A28E4">
      <w:pPr>
        <w:spacing w:after="0" w:line="360" w:lineRule="auto"/>
        <w:jc w:val="both"/>
        <w:rPr>
          <w:rFonts w:ascii="Book Antiqua" w:hAnsi="Book Antiqua" w:cs="Times New Roman"/>
          <w:sz w:val="24"/>
          <w:szCs w:val="24"/>
          <w:lang w:eastAsia="zh-CN"/>
        </w:rPr>
      </w:pPr>
      <w:r w:rsidRPr="008A28E4">
        <w:rPr>
          <w:rFonts w:ascii="Book Antiqua" w:hAnsi="Book Antiqua" w:cs="Times New Roman"/>
          <w:b/>
          <w:sz w:val="24"/>
          <w:szCs w:val="24"/>
        </w:rPr>
        <w:t>Prevention:</w:t>
      </w:r>
      <w:r w:rsidRPr="008A28E4">
        <w:rPr>
          <w:rFonts w:ascii="Book Antiqua" w:hAnsi="Book Antiqua" w:cs="Times New Roman"/>
          <w:sz w:val="24"/>
          <w:szCs w:val="24"/>
        </w:rPr>
        <w:t xml:space="preserve"> In the initial learning phase, presence of a more experienced colleague goes a long way in minimizing the learning curve and overcoming difficulties during the procedure. It is important to keep the PCS adequately filled for ease of puncture. Ask the assistant to continuously flush fluid in the ureteric catheter so that the system remains distended. If despite multiple attempts it is still difficult, reassess the pre-operative radiological studies and re-plan the puncture. Add a drop of methylene blue or betadine solution to the contrast; aspiration of the colored fluid (blue or brown) from kidney would give confidence of correct puncture</w:t>
      </w:r>
      <w:r w:rsidR="0098134D" w:rsidRPr="008A28E4">
        <w:rPr>
          <w:rFonts w:ascii="Book Antiqua" w:hAnsi="Book Antiqua" w:cs="Times New Roman"/>
          <w:sz w:val="24"/>
          <w:szCs w:val="24"/>
          <w:vertAlign w:val="superscript"/>
        </w:rPr>
        <w:fldChar w:fldCharType="begin" w:fldLock="1"/>
      </w:r>
      <w:r w:rsidRPr="008A28E4">
        <w:rPr>
          <w:rFonts w:ascii="Book Antiqua" w:hAnsi="Book Antiqua" w:cs="Times New Roman"/>
          <w:sz w:val="24"/>
          <w:szCs w:val="24"/>
          <w:vertAlign w:val="superscript"/>
        </w:rPr>
        <w:instrText>ADDIN CSL_CITATION { "citationItems" : [ { "id" : "ITEM-1", "itemData" : { "DOI" : "10.1177/1756287211400661", "ISSN" : "1756-2880", "PMID" : "21869906", "abstract" : "Percutaneous renal surgery provides a minimally invasive approach to the kidney for stone extraction in a number of different clinical scenarios. Certain clinical cases present inherent challenges to percutaneous access to the kidney. Herein, we present scenarios in which obtaining and/or maintaining percutaneous access is difficult along with techniques to overcome the challenges commonly encountered. Also, complications associated with these challenging percutaneous renal surgeries are discussed.", "author" : [ { "dropping-particle" : "", "family" : "Rais-Bahrami", "given" : "Soroush", "non-dropping-particle" : "", "parse-names" : false, "suffix" : "" }, { "dropping-particle" : "", "family" : "Friedlander", "given" : "Justin I", "non-dropping-particle" : "", "parse-names" : false, "suffix" : "" }, { "dropping-particle" : "", "family" : "Duty", "given" : "Brian D", "non-dropping-particle" : "", "parse-names" : false, "suffix" : "" }, { "dropping-particle" : "", "family" : "Okeke", "given" : "Zeph", "non-dropping-particle" : "", "parse-names" : false, "suffix" : "" }, { "dropping-particle" : "", "family" : "Smith", "given" : "Arthur D", "non-dropping-particle" : "", "parse-names" : false, "suffix" : "" } ], "container-title" : "Therapeutic advances in urology", "id" : "ITEM-1", "issue" : "2", "issued" : { "date-parts" : [ [ "2011", "4" ] ] }, "page" : "59-68", "title" : "Difficulties with access in percutaneous renal surgery.", "type" : "article-journal", "volume" : "3" }, "uris" : [ "http://www.mendeley.com/documents/?uuid=65cce0c7-e8c4-4dc5-b79a-9951c07e7ad5" ] } ], "mendeley" : { "previouslyFormattedCitation" : "(91)" }, "properties" : { "noteIndex" : 0 }, "schema" : "https://github.com/citation-style-language/schema/raw/master/csl-citation.json" }</w:instrText>
      </w:r>
      <w:r w:rsidR="0098134D" w:rsidRPr="008A28E4">
        <w:rPr>
          <w:rFonts w:ascii="Book Antiqua" w:hAnsi="Book Antiqua" w:cs="Times New Roman"/>
          <w:sz w:val="24"/>
          <w:szCs w:val="24"/>
          <w:vertAlign w:val="superscript"/>
        </w:rPr>
        <w:fldChar w:fldCharType="separate"/>
      </w:r>
      <w:r w:rsidR="00286B87" w:rsidRPr="008A28E4">
        <w:rPr>
          <w:rFonts w:ascii="Book Antiqua" w:hAnsi="Book Antiqua" w:cs="Times New Roman"/>
          <w:noProof/>
          <w:sz w:val="24"/>
          <w:szCs w:val="24"/>
          <w:vertAlign w:val="superscript"/>
        </w:rPr>
        <w:t>[</w:t>
      </w:r>
      <w:r w:rsidRPr="008A28E4">
        <w:rPr>
          <w:rFonts w:ascii="Book Antiqua" w:hAnsi="Book Antiqua" w:cs="Times New Roman"/>
          <w:noProof/>
          <w:sz w:val="24"/>
          <w:szCs w:val="24"/>
          <w:vertAlign w:val="superscript"/>
        </w:rPr>
        <w:t>99</w:t>
      </w:r>
      <w:r w:rsidR="0098134D" w:rsidRPr="008A28E4">
        <w:rPr>
          <w:rFonts w:ascii="Book Antiqua" w:hAnsi="Book Antiqua" w:cs="Times New Roman"/>
          <w:sz w:val="24"/>
          <w:szCs w:val="24"/>
          <w:vertAlign w:val="superscript"/>
        </w:rPr>
        <w:fldChar w:fldCharType="end"/>
      </w:r>
      <w:r w:rsidR="00286B87" w:rsidRPr="008A28E4">
        <w:rPr>
          <w:rFonts w:ascii="Book Antiqua" w:hAnsi="Book Antiqua" w:cs="Times New Roman"/>
          <w:sz w:val="24"/>
          <w:szCs w:val="24"/>
          <w:vertAlign w:val="superscript"/>
        </w:rPr>
        <w:t>]</w:t>
      </w:r>
      <w:r w:rsidR="00C22D17" w:rsidRPr="008A28E4">
        <w:rPr>
          <w:rFonts w:ascii="Book Antiqua" w:hAnsi="Book Antiqua" w:cs="Times New Roman"/>
          <w:sz w:val="24"/>
          <w:szCs w:val="24"/>
          <w:lang w:eastAsia="zh-CN"/>
        </w:rPr>
        <w:t>.</w:t>
      </w:r>
    </w:p>
    <w:p w:rsidR="00C22D17" w:rsidRPr="008A28E4" w:rsidRDefault="00C22D17" w:rsidP="008A28E4">
      <w:pPr>
        <w:spacing w:after="0" w:line="360" w:lineRule="auto"/>
        <w:jc w:val="both"/>
        <w:rPr>
          <w:rFonts w:ascii="Book Antiqua" w:hAnsi="Book Antiqua" w:cs="Times New Roman"/>
          <w:sz w:val="24"/>
          <w:szCs w:val="24"/>
          <w:lang w:eastAsia="zh-CN"/>
        </w:rPr>
      </w:pPr>
    </w:p>
    <w:p w:rsidR="00C2014D" w:rsidRPr="008A28E4" w:rsidRDefault="00C2014D" w:rsidP="008A28E4">
      <w:pPr>
        <w:spacing w:after="0" w:line="360" w:lineRule="auto"/>
        <w:jc w:val="both"/>
        <w:rPr>
          <w:rFonts w:ascii="Book Antiqua" w:hAnsi="Book Antiqua" w:cs="Times New Roman"/>
          <w:sz w:val="24"/>
          <w:szCs w:val="24"/>
        </w:rPr>
      </w:pPr>
      <w:r w:rsidRPr="008A28E4">
        <w:rPr>
          <w:rFonts w:ascii="Book Antiqua" w:hAnsi="Book Antiqua" w:cs="Times New Roman"/>
          <w:b/>
          <w:sz w:val="24"/>
          <w:szCs w:val="24"/>
        </w:rPr>
        <w:t>Remedy:</w:t>
      </w:r>
      <w:r w:rsidRPr="008A28E4">
        <w:rPr>
          <w:rFonts w:ascii="Book Antiqua" w:hAnsi="Book Antiqua" w:cs="Times New Roman"/>
          <w:sz w:val="24"/>
          <w:szCs w:val="24"/>
        </w:rPr>
        <w:t xml:space="preserve"> In a non</w:t>
      </w:r>
      <w:r w:rsidR="00C22D17" w:rsidRPr="008A28E4">
        <w:rPr>
          <w:rFonts w:ascii="Book Antiqua" w:hAnsi="Book Antiqua" w:cs="Times New Roman"/>
          <w:sz w:val="24"/>
          <w:szCs w:val="24"/>
          <w:lang w:eastAsia="zh-CN"/>
        </w:rPr>
        <w:t>-</w:t>
      </w:r>
      <w:r w:rsidRPr="008A28E4">
        <w:rPr>
          <w:rFonts w:ascii="Book Antiqua" w:hAnsi="Book Antiqua" w:cs="Times New Roman"/>
          <w:sz w:val="24"/>
          <w:szCs w:val="24"/>
        </w:rPr>
        <w:t xml:space="preserve">dilated system, fluoroscopy guided puncture is usually feasible using the techniques described above. If the surgeon is worried about trauma to the kidney, then it is prudent to use a 21 G needle for initial puncture and pass a 0.018 inch guide wire, which can be exchanged for </w:t>
      </w:r>
      <w:r w:rsidR="00113CEF" w:rsidRPr="008A28E4">
        <w:rPr>
          <w:rFonts w:ascii="Book Antiqua" w:hAnsi="Book Antiqua" w:cs="Times New Roman"/>
          <w:sz w:val="24"/>
          <w:szCs w:val="24"/>
        </w:rPr>
        <w:t>a 0.035 inch stiffer guide wire</w:t>
      </w:r>
      <w:r w:rsidR="0098134D" w:rsidRPr="008A28E4">
        <w:rPr>
          <w:rFonts w:ascii="Book Antiqua" w:hAnsi="Book Antiqua" w:cs="Times New Roman"/>
          <w:sz w:val="24"/>
          <w:szCs w:val="24"/>
          <w:vertAlign w:val="superscript"/>
        </w:rPr>
        <w:fldChar w:fldCharType="begin" w:fldLock="1"/>
      </w:r>
      <w:r w:rsidRPr="008A28E4">
        <w:rPr>
          <w:rFonts w:ascii="Book Antiqua" w:hAnsi="Book Antiqua" w:cs="Times New Roman"/>
          <w:sz w:val="24"/>
          <w:szCs w:val="24"/>
          <w:vertAlign w:val="superscript"/>
        </w:rPr>
        <w:instrText>ADDIN CSL_CITATION { "citationItems" : [ { "id" : "ITEM-1", "itemData" : { "DOI" : "10.1016/B978-1-4160-6911-9.00061-X", "ISBN" : "978-1-4160-6911-9", "abstract" : "Master the most important elements in urology with Campbell-Walsh Urology 10th Edition Review, the companion study guide to the most trusted clinical reference in the field. This review source, skillfully constructed by Drs. McDougal, Wein, Kavoussi, Novick, Partin, Peters, and Ramchandani, covers all of the core material you need to know and offers an efficient, reliable approach for board exam preparation. Interactive multiple-choice questions, self-assessment tools, an extensive image bank, and more are accessible at www.expertconsult.com. Rely on definitive, expert guidance from the same respected authorities that made Campbell-Walsh Urology the most trusted clinical reference source in the field.  Assess and deepen your understanding of key information with answers and rationales for more than 2,800 board-style multiple-choice study questions. Over 2,800 board-style multiple-choice questions provide a realistic simulation of the actual board experience. Deepen your grasp of critical concepts by studying supporting pathology and radiologic images and understanding their correlation to key points. Benefit from the consistency of all questions, answers, and rationales re-written by a single author. Measure your proficiency with interactive self-assessment questions online. Access the complete text and question bank online at www.expertconsult.com. Get the most from your board prep by pairing this review with its parent text, Campbell-Walsh Urology, for detailed explanations and an enhanced learning experience.", "author" : [ { "dropping-particle" : "", "family" : "Wein", "given" : "Alan J.", "non-dropping-particle" : "", "parse-names" : false, "suffix" : "" }, { "dropping-particle" : "", "family" : "Kavoussi", "given" : "Louis R.", "non-dropping-particle" : "", "parse-names" : false, "suffix" : "" }, { "dropping-particle" : "", "family" : "Novick", "given" : "Andrew C.", "non-dropping-particle" : "", "parse-names" : false, "suffix" : "" }, { "dropping-particle" : "", "family" : "Partin", "given" : "Alan W.", "non-dropping-particle" : "", "parse-names" : false, "suffix" : "" }, { "dropping-particle" : "", "family" : "Peters", "given" : "Craig A.", "non-dropping-particle" : "", "parse-names" : false, "suffix" : "" } ], "container-title" : "Campbell-Walsh Urology", "id" : "ITEM-1", "issued" : { "date-parts" : [ [ "2012" ] ] }, "page" : "1834-1846", "title" : "Campbell-Walsh Urology 10th Edition", "type" : "book" }, "uris" : [ "http://www.mendeley.com/documents/?uuid=aa562c25-7ea9-4b50-8cf3-7a1f416cd49f" ] } ], "mendeley" : { "previouslyFormattedCitation" : "(35)" }, "properties" : { "noteIndex" : 0 }, "schema" : "https://github.com/citation-style-language/schema/raw/master/csl-citation.json" }</w:instrText>
      </w:r>
      <w:r w:rsidR="0098134D" w:rsidRPr="008A28E4">
        <w:rPr>
          <w:rFonts w:ascii="Book Antiqua" w:hAnsi="Book Antiqua" w:cs="Times New Roman"/>
          <w:sz w:val="24"/>
          <w:szCs w:val="24"/>
          <w:vertAlign w:val="superscript"/>
        </w:rPr>
        <w:fldChar w:fldCharType="separate"/>
      </w:r>
      <w:r w:rsidR="00286B87" w:rsidRPr="008A28E4">
        <w:rPr>
          <w:rFonts w:ascii="Book Antiqua" w:hAnsi="Book Antiqua" w:cs="Times New Roman"/>
          <w:noProof/>
          <w:sz w:val="24"/>
          <w:szCs w:val="24"/>
          <w:vertAlign w:val="superscript"/>
        </w:rPr>
        <w:t>[</w:t>
      </w:r>
      <w:r w:rsidRPr="008A28E4">
        <w:rPr>
          <w:rFonts w:ascii="Book Antiqua" w:hAnsi="Book Antiqua" w:cs="Times New Roman"/>
          <w:noProof/>
          <w:sz w:val="24"/>
          <w:szCs w:val="24"/>
          <w:vertAlign w:val="superscript"/>
        </w:rPr>
        <w:t>40</w:t>
      </w:r>
      <w:r w:rsidR="0098134D" w:rsidRPr="008A28E4">
        <w:rPr>
          <w:rFonts w:ascii="Book Antiqua" w:hAnsi="Book Antiqua" w:cs="Times New Roman"/>
          <w:sz w:val="24"/>
          <w:szCs w:val="24"/>
          <w:vertAlign w:val="superscript"/>
        </w:rPr>
        <w:fldChar w:fldCharType="end"/>
      </w:r>
      <w:r w:rsidR="00286B87" w:rsidRPr="008A28E4">
        <w:rPr>
          <w:rFonts w:ascii="Book Antiqua" w:hAnsi="Book Antiqua" w:cs="Times New Roman"/>
          <w:sz w:val="24"/>
          <w:szCs w:val="24"/>
          <w:vertAlign w:val="superscript"/>
        </w:rPr>
        <w:t>]</w:t>
      </w:r>
      <w:r w:rsidRPr="008A28E4">
        <w:rPr>
          <w:rFonts w:ascii="Book Antiqua" w:hAnsi="Book Antiqua" w:cs="Times New Roman"/>
          <w:sz w:val="24"/>
          <w:szCs w:val="24"/>
        </w:rPr>
        <w:t>. If these attempts fail, take the help of a senior colleague from the department. An interventional radiologist may help with difficult punctures. Re-planning the procedure under CT scan guidance or ultrasonograph</w:t>
      </w:r>
      <w:r w:rsidR="00113CEF" w:rsidRPr="008A28E4">
        <w:rPr>
          <w:rFonts w:ascii="Book Antiqua" w:hAnsi="Book Antiqua" w:cs="Times New Roman"/>
          <w:sz w:val="24"/>
          <w:szCs w:val="24"/>
        </w:rPr>
        <w:t>y guidance may rarely be needed</w:t>
      </w:r>
      <w:r w:rsidR="0098134D" w:rsidRPr="008A28E4">
        <w:rPr>
          <w:rFonts w:ascii="Book Antiqua" w:hAnsi="Book Antiqua" w:cs="Times New Roman"/>
          <w:sz w:val="24"/>
          <w:szCs w:val="24"/>
          <w:vertAlign w:val="superscript"/>
        </w:rPr>
        <w:fldChar w:fldCharType="begin" w:fldLock="1"/>
      </w:r>
      <w:r w:rsidRPr="008A28E4">
        <w:rPr>
          <w:rFonts w:ascii="Book Antiqua" w:hAnsi="Book Antiqua" w:cs="Times New Roman"/>
          <w:sz w:val="24"/>
          <w:szCs w:val="24"/>
          <w:vertAlign w:val="superscript"/>
        </w:rPr>
        <w:instrText>ADDIN CSL_CITATION { "citationItems" : [ { "id" : "ITEM-1", "itemData" : { "DOI" : "10.4103/0970-1591.117284", "ISSN" : "0970-1591", "PMID" : "24082442", "abstract" : "Percutaneous renal access is a common procedure in urologic practice. The main indications are drainage of an obstructed and hydronephrotic kidney and antegrade renal access prior to percutaneous renal surgeries such as percutaneous nephrolithotomy (PCNL) and percutaneous endopyelotomy (EP). The contraindications for this technique are patients with history of allergy to topical or local anesthesia and patients with coagulopathy. The creation of a percutaneous tract into the renal collecting system is one of the important steps for percutaneous renal access. This step usually requires imaging. The advantages and disadvantages of each modality of image guidance are controversial. We performed a structured review using the terms: Percutaneous nephrostomy, guidance, fluoroscopy, ultrasonography, computed tomography (CT) scan, and magnetic resonance imaging (MRI). The outcomes are discussed.", "author" : [ { "dropping-particle" : "", "family" : "Lojanapiwat", "given" : "Bannakij", "non-dropping-particle" : "", "parse-names" : false, "suffix" : "" } ], "container-title" : "Indian journal of urology : IJU : journal of the Urological Society of India", "id" : "ITEM-1", "issued" : { "date-parts" : [ [ "2013" ] ] }, "page" : "208-13", "title" : "The ideal puncture approach for PCNL: Fluoroscopy, ultrasound or endoscopy?", "type" : "article-journal", "volume" : "29" }, "uris" : [ "http://www.mendeley.com/documents/?uuid=5c908787-6b15-4546-b7f3-c64f603aeda3" ] } ], "mendeley" : { "previouslyFormattedCitation" : "(92)" }, "properties" : { "noteIndex" : 0 }, "schema" : "https://github.com/citation-style-language/schema/raw/master/csl-citation.json" }</w:instrText>
      </w:r>
      <w:r w:rsidR="0098134D" w:rsidRPr="008A28E4">
        <w:rPr>
          <w:rFonts w:ascii="Book Antiqua" w:hAnsi="Book Antiqua" w:cs="Times New Roman"/>
          <w:sz w:val="24"/>
          <w:szCs w:val="24"/>
          <w:vertAlign w:val="superscript"/>
        </w:rPr>
        <w:fldChar w:fldCharType="separate"/>
      </w:r>
      <w:r w:rsidR="00286B87" w:rsidRPr="008A28E4">
        <w:rPr>
          <w:rFonts w:ascii="Book Antiqua" w:hAnsi="Book Antiqua" w:cs="Times New Roman"/>
          <w:noProof/>
          <w:sz w:val="24"/>
          <w:szCs w:val="24"/>
          <w:vertAlign w:val="superscript"/>
        </w:rPr>
        <w:t>[1</w:t>
      </w:r>
      <w:r w:rsidRPr="008A28E4">
        <w:rPr>
          <w:rFonts w:ascii="Book Antiqua" w:hAnsi="Book Antiqua" w:cs="Times New Roman"/>
          <w:noProof/>
          <w:sz w:val="24"/>
          <w:szCs w:val="24"/>
          <w:vertAlign w:val="superscript"/>
        </w:rPr>
        <w:t>00</w:t>
      </w:r>
      <w:r w:rsidR="0098134D" w:rsidRPr="008A28E4">
        <w:rPr>
          <w:rFonts w:ascii="Book Antiqua" w:hAnsi="Book Antiqua" w:cs="Times New Roman"/>
          <w:sz w:val="24"/>
          <w:szCs w:val="24"/>
          <w:vertAlign w:val="superscript"/>
        </w:rPr>
        <w:fldChar w:fldCharType="end"/>
      </w:r>
      <w:r w:rsidR="00286B87" w:rsidRPr="008A28E4">
        <w:rPr>
          <w:rFonts w:ascii="Book Antiqua" w:hAnsi="Book Antiqua" w:cs="Times New Roman"/>
          <w:sz w:val="24"/>
          <w:szCs w:val="24"/>
          <w:vertAlign w:val="superscript"/>
        </w:rPr>
        <w:t>]</w:t>
      </w:r>
      <w:r w:rsidRPr="008A28E4">
        <w:rPr>
          <w:rFonts w:ascii="Book Antiqua" w:hAnsi="Book Antiqua" w:cs="Times New Roman"/>
          <w:sz w:val="24"/>
          <w:szCs w:val="24"/>
        </w:rPr>
        <w:t xml:space="preserve"> Puncture would also be difficult in a patient who has a very thin renal cortex. The renal cortex tends to move away from the needle or to get tented by the needle rather than getting punctured. Forcefully pushing the needle in, once near the cortex, can help the needle enter the PCS. Forceful insertion would be safe as in this patient with thin renal cortex the PCS is likely to be hugely dilated. Proper care of the wire once inserted is very important in these patients. It is also important to keep a safety wire if possible. If there were a tract loss, it would be very difficult to get inside these deflated hydronephrotic sacs. Puncture will also be awkward in very thin patients. As there is no perirenal fat pad, the kidney tends to get pushed by the needle. A bolster kept below the kidney can hold the kidney in place so that puncture can be made. </w:t>
      </w:r>
    </w:p>
    <w:p w:rsidR="00C2014D" w:rsidRPr="008A28E4" w:rsidRDefault="00C2014D" w:rsidP="008A28E4">
      <w:pPr>
        <w:spacing w:after="0" w:line="360" w:lineRule="auto"/>
        <w:jc w:val="both"/>
        <w:rPr>
          <w:rFonts w:ascii="Book Antiqua" w:hAnsi="Book Antiqua" w:cs="Times New Roman"/>
          <w:sz w:val="24"/>
          <w:szCs w:val="24"/>
        </w:rPr>
      </w:pPr>
      <w:r w:rsidRPr="008A28E4">
        <w:rPr>
          <w:rFonts w:ascii="Book Antiqua" w:hAnsi="Book Antiqua" w:cs="Times New Roman"/>
          <w:sz w:val="24"/>
          <w:szCs w:val="24"/>
        </w:rPr>
        <w:t xml:space="preserve"> </w:t>
      </w:r>
    </w:p>
    <w:p w:rsidR="00C2014D" w:rsidRPr="008A28E4" w:rsidRDefault="00C2014D" w:rsidP="008A28E4">
      <w:pPr>
        <w:pStyle w:val="ListParagraph"/>
        <w:spacing w:after="0" w:line="360" w:lineRule="auto"/>
        <w:ind w:left="0"/>
        <w:jc w:val="both"/>
        <w:rPr>
          <w:rFonts w:ascii="Book Antiqua" w:hAnsi="Book Antiqua" w:cs="Times New Roman"/>
          <w:b/>
          <w:i/>
          <w:sz w:val="24"/>
          <w:szCs w:val="24"/>
        </w:rPr>
      </w:pPr>
      <w:r w:rsidRPr="008A28E4">
        <w:rPr>
          <w:rFonts w:ascii="Book Antiqua" w:hAnsi="Book Antiqua" w:cs="Times New Roman"/>
          <w:b/>
          <w:i/>
          <w:sz w:val="24"/>
          <w:szCs w:val="24"/>
        </w:rPr>
        <w:t>Blood at tip of needle and not urine</w:t>
      </w:r>
    </w:p>
    <w:p w:rsidR="00C2014D" w:rsidRPr="008A28E4" w:rsidRDefault="00C2014D" w:rsidP="008A28E4">
      <w:pPr>
        <w:pStyle w:val="ListParagraph"/>
        <w:spacing w:after="0" w:line="360" w:lineRule="auto"/>
        <w:ind w:left="0"/>
        <w:jc w:val="both"/>
        <w:rPr>
          <w:rFonts w:ascii="Book Antiqua" w:hAnsi="Book Antiqua" w:cs="Times New Roman"/>
          <w:sz w:val="24"/>
          <w:szCs w:val="24"/>
        </w:rPr>
      </w:pPr>
      <w:r w:rsidRPr="008A28E4">
        <w:rPr>
          <w:rFonts w:ascii="Book Antiqua" w:hAnsi="Book Antiqua" w:cs="Times New Roman"/>
          <w:b/>
          <w:sz w:val="24"/>
          <w:szCs w:val="24"/>
        </w:rPr>
        <w:t>Cause:</w:t>
      </w:r>
      <w:r w:rsidRPr="008A28E4">
        <w:rPr>
          <w:rFonts w:ascii="Book Antiqua" w:hAnsi="Book Antiqua" w:cs="Times New Roman"/>
          <w:sz w:val="24"/>
          <w:szCs w:val="24"/>
        </w:rPr>
        <w:t xml:space="preserve"> It is not uncommon to have made a puncture and after removing the trocar and aspiration have blood and not urine. This happens if the needle is in a blood vessel or needle is in renal parenchyma instead of in the pelvicalyceal system.  It can also occur if multiple attempts have been made to achieve access. </w:t>
      </w:r>
    </w:p>
    <w:p w:rsidR="00C22D17" w:rsidRPr="008A28E4" w:rsidRDefault="00C22D17" w:rsidP="008A28E4">
      <w:pPr>
        <w:pStyle w:val="ListParagraph"/>
        <w:spacing w:after="0" w:line="360" w:lineRule="auto"/>
        <w:ind w:left="0"/>
        <w:jc w:val="both"/>
        <w:rPr>
          <w:rFonts w:ascii="Book Antiqua" w:hAnsi="Book Antiqua" w:cs="Times New Roman"/>
          <w:b/>
          <w:sz w:val="24"/>
          <w:szCs w:val="24"/>
          <w:lang w:eastAsia="zh-CN"/>
        </w:rPr>
      </w:pPr>
    </w:p>
    <w:p w:rsidR="00C2014D" w:rsidRPr="008A28E4" w:rsidRDefault="00C2014D" w:rsidP="008A28E4">
      <w:pPr>
        <w:pStyle w:val="ListParagraph"/>
        <w:spacing w:after="0" w:line="360" w:lineRule="auto"/>
        <w:ind w:left="0"/>
        <w:jc w:val="both"/>
        <w:rPr>
          <w:rFonts w:ascii="Book Antiqua" w:hAnsi="Book Antiqua" w:cs="Times New Roman"/>
          <w:sz w:val="24"/>
          <w:szCs w:val="24"/>
        </w:rPr>
      </w:pPr>
      <w:r w:rsidRPr="008A28E4">
        <w:rPr>
          <w:rFonts w:ascii="Book Antiqua" w:hAnsi="Book Antiqua" w:cs="Times New Roman"/>
          <w:b/>
          <w:sz w:val="24"/>
          <w:szCs w:val="24"/>
        </w:rPr>
        <w:t xml:space="preserve">Prevention: </w:t>
      </w:r>
      <w:r w:rsidRPr="008A28E4">
        <w:rPr>
          <w:rFonts w:ascii="Book Antiqua" w:hAnsi="Book Antiqua" w:cs="Times New Roman"/>
          <w:sz w:val="24"/>
          <w:szCs w:val="24"/>
        </w:rPr>
        <w:t>Avoid trauma by making multiple attempts of puncture using a 18 G needle, instead use a 21 G needle. Follow a proper puncture technique so that we aim at the calyx through the fornix.</w:t>
      </w:r>
    </w:p>
    <w:p w:rsidR="00C22D17" w:rsidRPr="008A28E4" w:rsidRDefault="00C22D17" w:rsidP="008A28E4">
      <w:pPr>
        <w:spacing w:after="0" w:line="360" w:lineRule="auto"/>
        <w:jc w:val="both"/>
        <w:rPr>
          <w:rFonts w:ascii="Book Antiqua" w:hAnsi="Book Antiqua" w:cs="Times New Roman"/>
          <w:sz w:val="24"/>
          <w:szCs w:val="24"/>
          <w:lang w:eastAsia="zh-CN"/>
        </w:rPr>
      </w:pPr>
    </w:p>
    <w:p w:rsidR="00C2014D" w:rsidRPr="008A28E4" w:rsidRDefault="00C2014D" w:rsidP="008A28E4">
      <w:pPr>
        <w:spacing w:after="0" w:line="360" w:lineRule="auto"/>
        <w:jc w:val="both"/>
        <w:rPr>
          <w:rFonts w:ascii="Book Antiqua" w:hAnsi="Book Antiqua" w:cs="Times New Roman"/>
          <w:sz w:val="24"/>
          <w:szCs w:val="24"/>
        </w:rPr>
      </w:pPr>
      <w:r w:rsidRPr="008A28E4">
        <w:rPr>
          <w:rFonts w:ascii="Book Antiqua" w:hAnsi="Book Antiqua" w:cs="Times New Roman"/>
          <w:b/>
          <w:sz w:val="24"/>
          <w:szCs w:val="24"/>
        </w:rPr>
        <w:t xml:space="preserve">Remedy: </w:t>
      </w:r>
      <w:r w:rsidRPr="008A28E4">
        <w:rPr>
          <w:rFonts w:ascii="Book Antiqua" w:hAnsi="Book Antiqua" w:cs="Times New Roman"/>
          <w:sz w:val="24"/>
          <w:szCs w:val="24"/>
        </w:rPr>
        <w:t>If after injecting saline through the ureteric catheter, the efflux clears then it suggests that the needle tip is in the collecting system and glide wire can be passed in the collecting system. If the efflux or the aspirated fluid is frank blood then the needle’s position should be readjusted. This entails with drawing the needle and adjusting the medio-lateral and anteroposterior position. It is usually the depth of the needle which needs to be adjusted. Either the needle is superficial or deep the desired calyx. This adjustment is best made after withdrawing the needle outside the parenchyma. Manipulations within the parenchyma cause trauma and should be avoided. The 3 finger techniq</w:t>
      </w:r>
      <w:r w:rsidR="00C22D17" w:rsidRPr="008A28E4">
        <w:rPr>
          <w:rFonts w:ascii="Book Antiqua" w:hAnsi="Book Antiqua" w:cs="Times New Roman"/>
          <w:sz w:val="24"/>
          <w:szCs w:val="24"/>
        </w:rPr>
        <w:t xml:space="preserve">ue described by Shergill </w:t>
      </w:r>
      <w:r w:rsidR="00C22D17" w:rsidRPr="008A28E4">
        <w:rPr>
          <w:rFonts w:ascii="Book Antiqua" w:hAnsi="Book Antiqua" w:cs="Times New Roman"/>
          <w:i/>
          <w:sz w:val="24"/>
          <w:szCs w:val="24"/>
        </w:rPr>
        <w:t>et al</w:t>
      </w:r>
      <w:r w:rsidR="0098134D" w:rsidRPr="008A28E4">
        <w:rPr>
          <w:rFonts w:ascii="Book Antiqua" w:hAnsi="Book Antiqua" w:cs="Times New Roman"/>
          <w:sz w:val="24"/>
          <w:szCs w:val="24"/>
          <w:vertAlign w:val="superscript"/>
        </w:rPr>
        <w:fldChar w:fldCharType="begin" w:fldLock="1"/>
      </w:r>
      <w:r w:rsidRPr="008A28E4">
        <w:rPr>
          <w:rFonts w:ascii="Book Antiqua" w:hAnsi="Book Antiqua" w:cs="Times New Roman"/>
          <w:sz w:val="24"/>
          <w:szCs w:val="24"/>
          <w:vertAlign w:val="superscript"/>
        </w:rPr>
        <w:instrText>ADDIN CSL_CITATION { "citationItems" : [ { "id" : "ITEM-1", "itemData" : { "DOI" : "10.1016/j.jsurg.2012.03.004", "ISSN" : "1878-7452", "PMID" : "22677596", "abstract" : "INTRODUCTION AND OBJECTIVES: Urology trainees may lack experience in gaining renal access during percutaneous nephrolithomy (PCNL). Establishing the correct depth of initial percutaneous needle insertion is one of the major obstacles. As such, we have identified an easy technique, which can be performed, to establish correct depth adjustment allowing easier access.\n\nMATERIALS AND METHODS: An initial attempt is made to insert the percutaneous needle into the desired posterior calyx in the antero-posterior (AP) plane. If the needle does not traverse into the desired calyx immediately, it is concluded that the needle track must be too shallow or too deep. The C-arm is then rotated 20 to 30 degrees from the vertical, in the axial plane, towards the operating surgeon and, using the image intensifier, very careful note is made of the end of the needle in this plane, compared with the end of the needle initially in the AP plane, to see if it has moved \"medially\" or \"laterally.\" The 3-finger technique is then performed by the surgeon, to establish if the needle path is too deep or too shallow. This technique is currently being performed by trainees under direct consultant supervision with 13 successful cases so far.\n\nRESULTS: The 3-finger technique has been successfully used to demonstrate and teach PCNL access to urology trainees. In all 13 cases, percutaneous renal access was achieved successfully by trainees without immediate or late complications. Also, positive and encouraging feedbacks were received from those trainees, and all expressed willingness to continue using the same new technique in the future.\n\nCONCLUSIONS: Our new technique is cheap, safe, easy to learn and use, and of particular benefit to junior trainees who are beginning to perform PCNL access.", "author" : [ { "dropping-particle" : "", "family" : "Shergill", "given" : "Iqbal S.", "non-dropping-particle" : "", "parse-names" : false, "suffix" : "" }, { "dropping-particle" : "", "family" : "Abdulmajed", "given" : "Mohamed I.", "non-dropping-particle" : "", "parse-names" : false, "suffix" : "" }, { "dropping-particle" : "", "family" : "Moussa", "given" : "Sami a.", "non-dropping-particle" : "", "parse-names" : false, "suffix" : "" }, { "dropping-particle" : "", "family" : "Rix", "given" : "Gerald H.", "non-dropping-particle" : "", "parse-names" : false, "suffix" : "" } ], "container-title" : "Journal of surgical education", "id" : "ITEM-1", "issue" : "4", "issued" : { "date-parts" : [ [ "2012" ] ] }, "page" : "550-3", "publisher" : "Elsevier Inc.", "title" : "The 3-finger technique in establishing percutaneous renal access: a new and simple method for junior trainees.", "type" : "article-journal", "volume" : "69" }, "uris" : [ "http://www.mendeley.com/documents/?uuid=3a0c5016-8ab2-4515-9616-ddd6eb32b277" ] } ], "mendeley" : { "previouslyFormattedCitation" : "(41)" }, "properties" : { "noteIndex" : 0 }, "schema" : "https://github.com/citation-style-language/schema/raw/master/csl-citation.json" }</w:instrText>
      </w:r>
      <w:r w:rsidR="0098134D" w:rsidRPr="008A28E4">
        <w:rPr>
          <w:rFonts w:ascii="Book Antiqua" w:hAnsi="Book Antiqua" w:cs="Times New Roman"/>
          <w:sz w:val="24"/>
          <w:szCs w:val="24"/>
          <w:vertAlign w:val="superscript"/>
        </w:rPr>
        <w:fldChar w:fldCharType="separate"/>
      </w:r>
      <w:r w:rsidR="00286B87" w:rsidRPr="008A28E4">
        <w:rPr>
          <w:rFonts w:ascii="Book Antiqua" w:hAnsi="Book Antiqua" w:cs="Times New Roman"/>
          <w:noProof/>
          <w:sz w:val="24"/>
          <w:szCs w:val="24"/>
          <w:vertAlign w:val="superscript"/>
        </w:rPr>
        <w:t>[</w:t>
      </w:r>
      <w:r w:rsidRPr="008A28E4">
        <w:rPr>
          <w:rFonts w:ascii="Book Antiqua" w:hAnsi="Book Antiqua" w:cs="Times New Roman"/>
          <w:noProof/>
          <w:sz w:val="24"/>
          <w:szCs w:val="24"/>
          <w:vertAlign w:val="superscript"/>
        </w:rPr>
        <w:t>46</w:t>
      </w:r>
      <w:r w:rsidR="0098134D" w:rsidRPr="008A28E4">
        <w:rPr>
          <w:rFonts w:ascii="Book Antiqua" w:hAnsi="Book Antiqua" w:cs="Times New Roman"/>
          <w:sz w:val="24"/>
          <w:szCs w:val="24"/>
          <w:vertAlign w:val="superscript"/>
        </w:rPr>
        <w:fldChar w:fldCharType="end"/>
      </w:r>
      <w:r w:rsidR="00286B87" w:rsidRPr="008A28E4">
        <w:rPr>
          <w:rFonts w:ascii="Book Antiqua" w:hAnsi="Book Antiqua" w:cs="Times New Roman"/>
          <w:sz w:val="24"/>
          <w:szCs w:val="24"/>
          <w:vertAlign w:val="superscript"/>
        </w:rPr>
        <w:t>]</w:t>
      </w:r>
      <w:r w:rsidRPr="008A28E4">
        <w:rPr>
          <w:rFonts w:ascii="Book Antiqua" w:hAnsi="Book Antiqua" w:cs="Times New Roman"/>
          <w:sz w:val="24"/>
          <w:szCs w:val="24"/>
        </w:rPr>
        <w:t xml:space="preserve"> is an attempt to help the junior trainee to overcome this difficulty. The tip of the needle should be towards the desired calyx with the C arm in the anteroposterior position or tilted towards or away from the surgeon or tilted in cephalo caudal direction. The surgeon should remember the medio-lateral adjustments should be made with the C arm at 0</w:t>
      </w:r>
      <w:r w:rsidRPr="008A28E4">
        <w:rPr>
          <w:rFonts w:ascii="Book Antiqua" w:hAnsi="Book Antiqua" w:cs="Times New Roman"/>
          <w:sz w:val="24"/>
          <w:szCs w:val="24"/>
          <w:vertAlign w:val="superscript"/>
        </w:rPr>
        <w:t>0</w:t>
      </w:r>
      <w:r w:rsidRPr="008A28E4">
        <w:rPr>
          <w:rFonts w:ascii="Book Antiqua" w:hAnsi="Book Antiqua" w:cs="Times New Roman"/>
          <w:sz w:val="24"/>
          <w:szCs w:val="24"/>
        </w:rPr>
        <w:t xml:space="preserve"> and the depth adjustment should be made after tilting the C arm towards or away from the surgeon, as in Bull’s eye technique or tilting it in the cephalo-caudal direction, as in the triangulation technique.</w:t>
      </w:r>
      <w:r w:rsidRPr="008A28E4">
        <w:rPr>
          <w:rFonts w:ascii="Book Antiqua" w:hAnsi="Book Antiqua"/>
          <w:sz w:val="24"/>
          <w:szCs w:val="24"/>
        </w:rPr>
        <w:t xml:space="preserve"> An easy way to determine the depth would be to place another needle on the skin surface over the target calyx. If the calyx is between the two needles than the puncture needle is deep and should be adjusted superficially. If the target calyx is below the two needles, then the puncture needle is superficial and should be adjusted towards the depth. Use of the Hybrid Technique described above minimizes these problems.</w:t>
      </w:r>
    </w:p>
    <w:p w:rsidR="00C22D17" w:rsidRPr="008A28E4" w:rsidRDefault="00C22D17" w:rsidP="008A28E4">
      <w:pPr>
        <w:pStyle w:val="ListParagraph"/>
        <w:spacing w:after="0" w:line="360" w:lineRule="auto"/>
        <w:ind w:left="0"/>
        <w:jc w:val="both"/>
        <w:rPr>
          <w:rFonts w:ascii="Book Antiqua" w:hAnsi="Book Antiqua" w:cs="Times New Roman"/>
          <w:sz w:val="24"/>
          <w:szCs w:val="24"/>
          <w:u w:val="single"/>
          <w:lang w:eastAsia="zh-CN"/>
        </w:rPr>
      </w:pPr>
    </w:p>
    <w:p w:rsidR="00C2014D" w:rsidRPr="008A28E4" w:rsidRDefault="00C2014D" w:rsidP="008A28E4">
      <w:pPr>
        <w:pStyle w:val="ListParagraph"/>
        <w:spacing w:after="0" w:line="360" w:lineRule="auto"/>
        <w:ind w:left="0"/>
        <w:jc w:val="both"/>
        <w:rPr>
          <w:rFonts w:ascii="Book Antiqua" w:hAnsi="Book Antiqua" w:cs="Times New Roman"/>
          <w:b/>
          <w:i/>
          <w:sz w:val="24"/>
          <w:szCs w:val="24"/>
        </w:rPr>
      </w:pPr>
      <w:r w:rsidRPr="008A28E4">
        <w:rPr>
          <w:rFonts w:ascii="Book Antiqua" w:hAnsi="Book Antiqua" w:cs="Times New Roman"/>
          <w:b/>
          <w:i/>
          <w:sz w:val="24"/>
          <w:szCs w:val="24"/>
        </w:rPr>
        <w:t>Inability to park the guide wire</w:t>
      </w:r>
    </w:p>
    <w:p w:rsidR="00C2014D" w:rsidRPr="008A28E4" w:rsidRDefault="00C2014D" w:rsidP="008A28E4">
      <w:pPr>
        <w:pStyle w:val="ListParagraph"/>
        <w:spacing w:after="0" w:line="360" w:lineRule="auto"/>
        <w:ind w:left="0"/>
        <w:jc w:val="both"/>
        <w:rPr>
          <w:rFonts w:ascii="Book Antiqua" w:hAnsi="Book Antiqua" w:cs="Times New Roman"/>
          <w:sz w:val="24"/>
          <w:szCs w:val="24"/>
        </w:rPr>
      </w:pPr>
      <w:r w:rsidRPr="008A28E4">
        <w:rPr>
          <w:rFonts w:ascii="Book Antiqua" w:hAnsi="Book Antiqua" w:cs="Times New Roman"/>
          <w:b/>
          <w:sz w:val="24"/>
          <w:szCs w:val="24"/>
        </w:rPr>
        <w:t xml:space="preserve">Cause: </w:t>
      </w:r>
      <w:r w:rsidRPr="008A28E4">
        <w:rPr>
          <w:rFonts w:ascii="Book Antiqua" w:hAnsi="Book Antiqua" w:cs="Times New Roman"/>
          <w:sz w:val="24"/>
          <w:szCs w:val="24"/>
        </w:rPr>
        <w:t>This occurs either if the glide wire is outside the collecting system or if the calyx is completely occupied by a calculus. Rarely, inadvertent puncture of a renal cyst and aspiration of clear fluid can cause a mistaken assumption of a good puncture. But the glide wire does not enter the collecting system in such cases. If an anterior calyx s punctured then also the glide wire will not enter the pelvis easily (</w:t>
      </w:r>
      <w:r w:rsidRPr="008A28E4">
        <w:rPr>
          <w:rFonts w:ascii="Book Antiqua" w:hAnsi="Book Antiqua" w:cs="Times New Roman"/>
          <w:bCs/>
          <w:sz w:val="24"/>
          <w:szCs w:val="24"/>
        </w:rPr>
        <w:t>Figure 1</w:t>
      </w:r>
      <w:r w:rsidR="004B1524" w:rsidRPr="008A28E4">
        <w:rPr>
          <w:rFonts w:ascii="Book Antiqua" w:hAnsi="Book Antiqua" w:cs="Times New Roman"/>
          <w:bCs/>
          <w:sz w:val="24"/>
          <w:szCs w:val="24"/>
        </w:rPr>
        <w:t>0</w:t>
      </w:r>
      <w:r w:rsidR="00113CEF" w:rsidRPr="008A28E4">
        <w:rPr>
          <w:rFonts w:ascii="Book Antiqua" w:hAnsi="Book Antiqua" w:cs="Times New Roman"/>
          <w:bCs/>
          <w:sz w:val="24"/>
          <w:szCs w:val="24"/>
        </w:rPr>
        <w:t>B</w:t>
      </w:r>
      <w:r w:rsidRPr="008A28E4">
        <w:rPr>
          <w:rFonts w:ascii="Book Antiqua" w:hAnsi="Book Antiqua" w:cs="Times New Roman"/>
          <w:sz w:val="24"/>
          <w:szCs w:val="24"/>
        </w:rPr>
        <w:t>)</w:t>
      </w:r>
    </w:p>
    <w:p w:rsidR="00113CEF" w:rsidRPr="008A28E4" w:rsidRDefault="00113CEF" w:rsidP="008A28E4">
      <w:pPr>
        <w:pStyle w:val="ListParagraph"/>
        <w:spacing w:after="0" w:line="360" w:lineRule="auto"/>
        <w:ind w:left="0"/>
        <w:jc w:val="both"/>
        <w:rPr>
          <w:rFonts w:ascii="Book Antiqua" w:hAnsi="Book Antiqua" w:cs="Times New Roman"/>
          <w:sz w:val="24"/>
          <w:szCs w:val="24"/>
          <w:lang w:eastAsia="zh-CN"/>
        </w:rPr>
      </w:pPr>
    </w:p>
    <w:p w:rsidR="00C2014D" w:rsidRPr="008A28E4" w:rsidRDefault="00C2014D" w:rsidP="008A28E4">
      <w:pPr>
        <w:pStyle w:val="ListParagraph"/>
        <w:spacing w:after="0" w:line="360" w:lineRule="auto"/>
        <w:ind w:left="0"/>
        <w:jc w:val="both"/>
        <w:rPr>
          <w:rFonts w:ascii="Book Antiqua" w:hAnsi="Book Antiqua" w:cs="Times New Roman"/>
          <w:sz w:val="24"/>
          <w:szCs w:val="24"/>
        </w:rPr>
      </w:pPr>
      <w:r w:rsidRPr="008A28E4">
        <w:rPr>
          <w:rFonts w:ascii="Book Antiqua" w:hAnsi="Book Antiqua" w:cs="Times New Roman"/>
          <w:b/>
          <w:sz w:val="24"/>
          <w:szCs w:val="24"/>
        </w:rPr>
        <w:t>Prevention:</w:t>
      </w:r>
      <w:r w:rsidRPr="008A28E4">
        <w:rPr>
          <w:rFonts w:ascii="Book Antiqua" w:hAnsi="Book Antiqua" w:cs="Times New Roman"/>
          <w:sz w:val="24"/>
          <w:szCs w:val="24"/>
        </w:rPr>
        <w:t xml:space="preserve"> Free flow of urine from the needle usually is a sure shot sign of a correct puncture. A hydrophilic glide wire usually passes easily in the pelvis even across an impacted calculus. As regards inadvertent cyst puncture, the ultrasound findings and the intravenous urogram or the CT scan picture should alert the surgeon regarding such a possibility.</w:t>
      </w:r>
    </w:p>
    <w:p w:rsidR="00C22D17" w:rsidRPr="008A28E4" w:rsidRDefault="00C22D17" w:rsidP="008A28E4">
      <w:pPr>
        <w:spacing w:after="0" w:line="360" w:lineRule="auto"/>
        <w:jc w:val="both"/>
        <w:rPr>
          <w:rFonts w:ascii="Book Antiqua" w:hAnsi="Book Antiqua" w:cs="Times New Roman"/>
          <w:b/>
          <w:sz w:val="24"/>
          <w:szCs w:val="24"/>
          <w:lang w:eastAsia="zh-CN"/>
        </w:rPr>
      </w:pPr>
    </w:p>
    <w:p w:rsidR="00C2014D" w:rsidRPr="008A28E4" w:rsidRDefault="00C2014D" w:rsidP="008A28E4">
      <w:pPr>
        <w:spacing w:after="0" w:line="360" w:lineRule="auto"/>
        <w:jc w:val="both"/>
        <w:rPr>
          <w:rFonts w:ascii="Book Antiqua" w:hAnsi="Book Antiqua" w:cs="Times New Roman"/>
          <w:sz w:val="24"/>
          <w:szCs w:val="24"/>
        </w:rPr>
      </w:pPr>
      <w:r w:rsidRPr="008A28E4">
        <w:rPr>
          <w:rFonts w:ascii="Book Antiqua" w:hAnsi="Book Antiqua" w:cs="Times New Roman"/>
          <w:b/>
          <w:sz w:val="24"/>
          <w:szCs w:val="24"/>
        </w:rPr>
        <w:t xml:space="preserve">Remedy: </w:t>
      </w:r>
      <w:r w:rsidRPr="008A28E4">
        <w:rPr>
          <w:rFonts w:ascii="Book Antiqua" w:hAnsi="Book Antiqua" w:cs="Times New Roman"/>
          <w:sz w:val="24"/>
          <w:szCs w:val="24"/>
        </w:rPr>
        <w:t xml:space="preserve">Re puncture or re insert the glide wire if one suspects that the glide wire is outside the system. Injecting diluted contrast or diluted methylene blue can also confirm that the needle is properly positioned in the desired calyx. There may be a calculus blocking the passage of the wire down the ureter, in this situation, the second best place to park the wire would be a distant calyx. If the wire does not coil in distant calyx then keep as much length as possible of </w:t>
      </w:r>
      <w:r w:rsidR="00C22D17" w:rsidRPr="008A28E4">
        <w:rPr>
          <w:rFonts w:ascii="Book Antiqua" w:hAnsi="Book Antiqua" w:cs="Times New Roman"/>
          <w:sz w:val="24"/>
          <w:szCs w:val="24"/>
        </w:rPr>
        <w:t>the wire in the punctured calyx</w:t>
      </w:r>
      <w:r w:rsidR="0098134D" w:rsidRPr="008A28E4">
        <w:rPr>
          <w:rFonts w:ascii="Book Antiqua" w:hAnsi="Book Antiqua" w:cs="Times New Roman"/>
          <w:sz w:val="24"/>
          <w:szCs w:val="24"/>
          <w:vertAlign w:val="superscript"/>
        </w:rPr>
        <w:fldChar w:fldCharType="begin" w:fldLock="1"/>
      </w:r>
      <w:r w:rsidRPr="008A28E4">
        <w:rPr>
          <w:rFonts w:ascii="Book Antiqua" w:hAnsi="Book Antiqua" w:cs="Times New Roman"/>
          <w:sz w:val="24"/>
          <w:szCs w:val="24"/>
          <w:vertAlign w:val="superscript"/>
        </w:rPr>
        <w:instrText>ADDIN CSL_CITATION { "citationItems" : [ { "id" : "ITEM-1", "itemData" : { "DOI" : "10.1177/1756287211400661", "ISSN" : "1756-2880", "PMID" : "21869906", "abstract" : "Percutaneous renal surgery provides a minimally invasive approach to the kidney for stone extraction in a number of different clinical scenarios. Certain clinical cases present inherent challenges to percutaneous access to the kidney. Herein, we present scenarios in which obtaining and/or maintaining percutaneous access is difficult along with techniques to overcome the challenges commonly encountered. Also, complications associated with these challenging percutaneous renal surgeries are discussed.", "author" : [ { "dropping-particle" : "", "family" : "Rais-Bahrami", "given" : "Soroush", "non-dropping-particle" : "", "parse-names" : false, "suffix" : "" }, { "dropping-particle" : "", "family" : "Friedlander", "given" : "Justin I", "non-dropping-particle" : "", "parse-names" : false, "suffix" : "" }, { "dropping-particle" : "", "family" : "Duty", "given" : "Brian D", "non-dropping-particle" : "", "parse-names" : false, "suffix" : "" }, { "dropping-particle" : "", "family" : "Okeke", "given" : "Zeph", "non-dropping-particle" : "", "parse-names" : false, "suffix" : "" }, { "dropping-particle" : "", "family" : "Smith", "given" : "Arthur D", "non-dropping-particle" : "", "parse-names" : false, "suffix" : "" } ], "container-title" : "Therapeutic advances in urology", "id" : "ITEM-1", "issue" : "2", "issued" : { "date-parts" : [ [ "2011", "4" ] ] }, "page" : "59-68", "title" : "Difficulties with access in percutaneous renal surgery.", "type" : "article-journal", "volume" : "3" }, "uris" : [ "http://www.mendeley.com/documents/?uuid=65cce0c7-e8c4-4dc5-b79a-9951c07e7ad5" ] } ], "mendeley" : { "previouslyFormattedCitation" : "(91)" }, "properties" : { "noteIndex" : 0 }, "schema" : "https://github.com/citation-style-language/schema/raw/master/csl-citation.json" }</w:instrText>
      </w:r>
      <w:r w:rsidR="0098134D" w:rsidRPr="008A28E4">
        <w:rPr>
          <w:rFonts w:ascii="Book Antiqua" w:hAnsi="Book Antiqua" w:cs="Times New Roman"/>
          <w:sz w:val="24"/>
          <w:szCs w:val="24"/>
          <w:vertAlign w:val="superscript"/>
        </w:rPr>
        <w:fldChar w:fldCharType="separate"/>
      </w:r>
      <w:r w:rsidR="00286B87" w:rsidRPr="008A28E4">
        <w:rPr>
          <w:rFonts w:ascii="Book Antiqua" w:hAnsi="Book Antiqua" w:cs="Times New Roman"/>
          <w:noProof/>
          <w:sz w:val="24"/>
          <w:szCs w:val="24"/>
          <w:vertAlign w:val="superscript"/>
        </w:rPr>
        <w:t>[</w:t>
      </w:r>
      <w:r w:rsidRPr="008A28E4">
        <w:rPr>
          <w:rFonts w:ascii="Book Antiqua" w:hAnsi="Book Antiqua" w:cs="Times New Roman"/>
          <w:noProof/>
          <w:sz w:val="24"/>
          <w:szCs w:val="24"/>
          <w:vertAlign w:val="superscript"/>
        </w:rPr>
        <w:t>99</w:t>
      </w:r>
      <w:r w:rsidR="0098134D" w:rsidRPr="008A28E4">
        <w:rPr>
          <w:rFonts w:ascii="Book Antiqua" w:hAnsi="Book Antiqua" w:cs="Times New Roman"/>
          <w:sz w:val="24"/>
          <w:szCs w:val="24"/>
          <w:vertAlign w:val="superscript"/>
        </w:rPr>
        <w:fldChar w:fldCharType="end"/>
      </w:r>
      <w:r w:rsidR="00286B87" w:rsidRPr="008A28E4">
        <w:rPr>
          <w:rFonts w:ascii="Book Antiqua" w:hAnsi="Book Antiqua" w:cs="Times New Roman"/>
          <w:sz w:val="24"/>
          <w:szCs w:val="24"/>
          <w:vertAlign w:val="superscript"/>
        </w:rPr>
        <w:t>]</w:t>
      </w:r>
      <w:r w:rsidRPr="008A28E4">
        <w:rPr>
          <w:rFonts w:ascii="Book Antiqua" w:hAnsi="Book Antiqua" w:cs="Times New Roman"/>
          <w:sz w:val="24"/>
          <w:szCs w:val="24"/>
        </w:rPr>
        <w:t xml:space="preserve">. </w:t>
      </w:r>
    </w:p>
    <w:p w:rsidR="00C2014D" w:rsidRPr="008A28E4" w:rsidRDefault="00C2014D" w:rsidP="008A28E4">
      <w:pPr>
        <w:pStyle w:val="ListParagraph"/>
        <w:spacing w:after="0" w:line="360" w:lineRule="auto"/>
        <w:ind w:left="0"/>
        <w:jc w:val="both"/>
        <w:rPr>
          <w:rFonts w:ascii="Book Antiqua" w:hAnsi="Book Antiqua" w:cs="Times New Roman"/>
          <w:sz w:val="24"/>
          <w:szCs w:val="24"/>
        </w:rPr>
      </w:pPr>
    </w:p>
    <w:p w:rsidR="00C2014D" w:rsidRPr="008A28E4" w:rsidRDefault="00C2014D" w:rsidP="008A28E4">
      <w:pPr>
        <w:pStyle w:val="ListParagraph"/>
        <w:spacing w:after="0" w:line="360" w:lineRule="auto"/>
        <w:ind w:left="0"/>
        <w:jc w:val="both"/>
        <w:rPr>
          <w:rFonts w:ascii="Book Antiqua" w:hAnsi="Book Antiqua" w:cs="Times New Roman"/>
          <w:b/>
          <w:i/>
          <w:sz w:val="24"/>
          <w:szCs w:val="24"/>
        </w:rPr>
      </w:pPr>
      <w:r w:rsidRPr="008A28E4">
        <w:rPr>
          <w:rFonts w:ascii="Book Antiqua" w:hAnsi="Book Antiqua" w:cs="Times New Roman"/>
          <w:b/>
          <w:i/>
          <w:sz w:val="24"/>
          <w:szCs w:val="24"/>
        </w:rPr>
        <w:t>Kinking of guide wire</w:t>
      </w:r>
    </w:p>
    <w:p w:rsidR="00C2014D" w:rsidRPr="008A28E4" w:rsidRDefault="00C2014D" w:rsidP="008A28E4">
      <w:pPr>
        <w:pStyle w:val="ListParagraph"/>
        <w:spacing w:after="0" w:line="360" w:lineRule="auto"/>
        <w:ind w:left="0"/>
        <w:jc w:val="both"/>
        <w:rPr>
          <w:rFonts w:ascii="Book Antiqua" w:hAnsi="Book Antiqua" w:cs="Times New Roman"/>
          <w:sz w:val="24"/>
          <w:szCs w:val="24"/>
          <w:lang w:eastAsia="zh-CN"/>
        </w:rPr>
      </w:pPr>
      <w:r w:rsidRPr="008A28E4">
        <w:rPr>
          <w:rFonts w:ascii="Book Antiqua" w:hAnsi="Book Antiqua" w:cs="Times New Roman"/>
          <w:b/>
          <w:sz w:val="24"/>
          <w:szCs w:val="24"/>
        </w:rPr>
        <w:t xml:space="preserve">Cause: </w:t>
      </w:r>
      <w:r w:rsidRPr="008A28E4">
        <w:rPr>
          <w:rFonts w:ascii="Book Antiqua" w:hAnsi="Book Antiqua" w:cs="Times New Roman"/>
          <w:sz w:val="24"/>
          <w:szCs w:val="24"/>
        </w:rPr>
        <w:t>This usually occurs due to forceful dilatation in the wrong direction and/ or against resistance of the initial dilator. Once the guide rod is in place this problem cannot occur.</w:t>
      </w:r>
    </w:p>
    <w:p w:rsidR="00C22D17" w:rsidRPr="008A28E4" w:rsidRDefault="00C22D17" w:rsidP="008A28E4">
      <w:pPr>
        <w:pStyle w:val="ListParagraph"/>
        <w:spacing w:after="0" w:line="360" w:lineRule="auto"/>
        <w:ind w:left="0"/>
        <w:jc w:val="both"/>
        <w:rPr>
          <w:rFonts w:ascii="Book Antiqua" w:hAnsi="Book Antiqua" w:cs="Times New Roman"/>
          <w:sz w:val="24"/>
          <w:szCs w:val="24"/>
          <w:lang w:eastAsia="zh-CN"/>
        </w:rPr>
      </w:pPr>
    </w:p>
    <w:p w:rsidR="00C2014D" w:rsidRPr="008A28E4" w:rsidRDefault="00C2014D" w:rsidP="008A28E4">
      <w:pPr>
        <w:pStyle w:val="ListParagraph"/>
        <w:spacing w:after="0" w:line="360" w:lineRule="auto"/>
        <w:ind w:left="0"/>
        <w:jc w:val="both"/>
        <w:rPr>
          <w:rFonts w:ascii="Book Antiqua" w:hAnsi="Book Antiqua" w:cs="Times New Roman"/>
          <w:sz w:val="24"/>
          <w:szCs w:val="24"/>
        </w:rPr>
      </w:pPr>
      <w:r w:rsidRPr="008A28E4">
        <w:rPr>
          <w:rFonts w:ascii="Book Antiqua" w:hAnsi="Book Antiqua" w:cs="Times New Roman"/>
          <w:b/>
          <w:sz w:val="24"/>
          <w:szCs w:val="24"/>
        </w:rPr>
        <w:t xml:space="preserve">Prevention: </w:t>
      </w:r>
      <w:r w:rsidRPr="008A28E4">
        <w:rPr>
          <w:rFonts w:ascii="Book Antiqua" w:hAnsi="Book Antiqua" w:cs="Times New Roman"/>
          <w:sz w:val="24"/>
          <w:szCs w:val="24"/>
        </w:rPr>
        <w:t>The wire usually kinks at the level of the thoracolumbar fascia. Hence the fascia needs to be incised well before starting the dilatation. Use of super stiff wire is recommended due to its properties to resist kinking</w:t>
      </w:r>
      <w:r w:rsidR="004B1524" w:rsidRPr="008A28E4">
        <w:rPr>
          <w:rFonts w:ascii="Book Antiqua" w:hAnsi="Book Antiqua" w:cs="Times New Roman"/>
          <w:sz w:val="24"/>
          <w:szCs w:val="24"/>
        </w:rPr>
        <w:t xml:space="preserve"> more than the PTFE guide wire</w:t>
      </w:r>
      <w:r w:rsidR="0098134D" w:rsidRPr="008A28E4">
        <w:rPr>
          <w:rFonts w:ascii="Book Antiqua" w:hAnsi="Book Antiqua" w:cs="Times New Roman"/>
          <w:sz w:val="24"/>
          <w:szCs w:val="24"/>
          <w:vertAlign w:val="superscript"/>
        </w:rPr>
        <w:fldChar w:fldCharType="begin" w:fldLock="1"/>
      </w:r>
      <w:r w:rsidRPr="008A28E4">
        <w:rPr>
          <w:rFonts w:ascii="Book Antiqua" w:hAnsi="Book Antiqua" w:cs="Times New Roman"/>
          <w:sz w:val="24"/>
          <w:szCs w:val="24"/>
          <w:vertAlign w:val="superscript"/>
        </w:rPr>
        <w:instrText>ADDIN CSL_CITATION { "citationItems" : [ { "id" : "ITEM-1", "itemData" : { "DOI" : "10.1016/j.eururo.2004.08.009", "ISSN" : "03022838", "PMID" : "15582245", "abstract" : "We review the indications of Percutaneous Nephrolithotomy (PNL), its safety and efficacy when applied to various patient groups as well as the different points of technique, giving emphasis on new tips and ongoing debates. A literature search was performed using MEDLINE database on PNL between 1980 and 2004. Percutaneous nephrolithotomy (PNL) has been successfully and safely used to treat patients with renal stones for more than a quarter of a century. Still, the use of PNL in treating renal stones in different patient groups, such as children, obese patients, patients with renal congenital anomalies, patients who had previous open renal surgery and patients who have undergone renal transplantation are always of high interest. Simultaneous bilateral percutaneous nephrolithotomy seems to have a certain role in treating bilateral renal stones, especially when proficiency is achieved for unilateral PNL. Various aspects of the procedure such as patient positioning, renal access, the ideal dilating method, the type of nephrostomy tube used, as well as the actual need for drainage, have been debated. PNL is currently the procedure of choice for removal of large renal calculi. The need for well designed prospective randomized trials comparing PNL with alternative treatment modalities arises through the literature review. ?? 2004 Elsevier B.V. All rights reserved.", "author" : [ { "dropping-particle" : "", "family" : "Skolarikos", "given" : "A.", "non-dropping-particle" : "", "parse-names" : false, "suffix" : "" }, { "dropping-particle" : "", "family" : "Alivizatos", "given" : "G.", "non-dropping-particle" : "", "parse-names" : false, "suffix" : "" }, { "dropping-particle" : "", "family" : "La Rosette", "given" : "J. J M C H", "non-dropping-particle" : "De", "parse-names" : false, "suffix" : "" } ], "container-title" : "European Urology", "id" : "ITEM-1", "issued" : { "date-parts" : [ [ "2005" ] ] }, "page" : "22-28", "title" : "Percutaneous nephrolithotomy and its legacy", "type" : "article", "volume" : "47" }, "uris" : [ "http://www.mendeley.com/documents/?uuid=ca7afba9-74e4-4854-8be5-3ebc67dd4bee", "http://www.mendeley.com/documents/?uuid=22c5c053-7107-460c-b237-04cf173ba638" ] } ], "mendeley" : { "previouslyFormattedCitation" : "(93)" }, "properties" : { "noteIndex" : 0 }, "schema" : "https://github.com/citation-style-language/schema/raw/master/csl-citation.json" }</w:instrText>
      </w:r>
      <w:r w:rsidR="0098134D" w:rsidRPr="008A28E4">
        <w:rPr>
          <w:rFonts w:ascii="Book Antiqua" w:hAnsi="Book Antiqua" w:cs="Times New Roman"/>
          <w:sz w:val="24"/>
          <w:szCs w:val="24"/>
          <w:vertAlign w:val="superscript"/>
        </w:rPr>
        <w:fldChar w:fldCharType="separate"/>
      </w:r>
      <w:r w:rsidR="00286B87" w:rsidRPr="008A28E4">
        <w:rPr>
          <w:rFonts w:ascii="Book Antiqua" w:hAnsi="Book Antiqua" w:cs="Times New Roman"/>
          <w:noProof/>
          <w:sz w:val="24"/>
          <w:szCs w:val="24"/>
          <w:vertAlign w:val="superscript"/>
        </w:rPr>
        <w:t>[</w:t>
      </w:r>
      <w:r w:rsidRPr="008A28E4">
        <w:rPr>
          <w:rFonts w:ascii="Book Antiqua" w:hAnsi="Book Antiqua" w:cs="Times New Roman"/>
          <w:noProof/>
          <w:sz w:val="24"/>
          <w:szCs w:val="24"/>
          <w:vertAlign w:val="superscript"/>
        </w:rPr>
        <w:t>101</w:t>
      </w:r>
      <w:r w:rsidR="0098134D" w:rsidRPr="008A28E4">
        <w:rPr>
          <w:rFonts w:ascii="Book Antiqua" w:hAnsi="Book Antiqua" w:cs="Times New Roman"/>
          <w:sz w:val="24"/>
          <w:szCs w:val="24"/>
          <w:vertAlign w:val="superscript"/>
        </w:rPr>
        <w:fldChar w:fldCharType="end"/>
      </w:r>
      <w:r w:rsidR="00286B87" w:rsidRPr="008A28E4">
        <w:rPr>
          <w:rFonts w:ascii="Book Antiqua" w:hAnsi="Book Antiqua" w:cs="Times New Roman"/>
          <w:sz w:val="24"/>
          <w:szCs w:val="24"/>
          <w:vertAlign w:val="superscript"/>
        </w:rPr>
        <w:t>]</w:t>
      </w:r>
      <w:r w:rsidRPr="008A28E4">
        <w:rPr>
          <w:rFonts w:ascii="Book Antiqua" w:hAnsi="Book Antiqua" w:cs="Times New Roman"/>
          <w:sz w:val="24"/>
          <w:szCs w:val="24"/>
        </w:rPr>
        <w:t>. The dilatation should be in the correct direction and with adequate force. A simple rule would be to achieve the 2/3 of the progress of the dilator by rotational screwing movements and 1/3 by force. If there is doubt regarding the correct direction then moving the glide wire gives a good indication. If the wire moves freely then it indicates that the direction and trajectory is correct. Vice versa, if the glide wire does not move freely then the direction and trajectory needs to be adjusted. This simple friction test can be of immense help in the initial learning of percutaneous renal access. Use of the 5 part PANG needle system largely avoids this proble</w:t>
      </w:r>
      <w:r w:rsidR="00113CEF" w:rsidRPr="008A28E4">
        <w:rPr>
          <w:rFonts w:ascii="Book Antiqua" w:hAnsi="Book Antiqua" w:cs="Times New Roman"/>
          <w:sz w:val="24"/>
          <w:szCs w:val="24"/>
        </w:rPr>
        <w:t>m</w:t>
      </w:r>
      <w:r w:rsidR="00286B87" w:rsidRPr="008A28E4">
        <w:rPr>
          <w:rFonts w:ascii="Book Antiqua" w:hAnsi="Book Antiqua" w:cs="Times New Roman"/>
          <w:sz w:val="24"/>
          <w:szCs w:val="24"/>
          <w:vertAlign w:val="superscript"/>
        </w:rPr>
        <w:t>[</w:t>
      </w:r>
      <w:r w:rsidRPr="008A28E4">
        <w:rPr>
          <w:rFonts w:ascii="Book Antiqua" w:hAnsi="Book Antiqua" w:cs="Times New Roman"/>
          <w:sz w:val="24"/>
          <w:szCs w:val="24"/>
          <w:vertAlign w:val="superscript"/>
        </w:rPr>
        <w:t>70</w:t>
      </w:r>
      <w:r w:rsidR="00286B87" w:rsidRPr="008A28E4">
        <w:rPr>
          <w:rFonts w:ascii="Book Antiqua" w:hAnsi="Book Antiqua" w:cs="Times New Roman"/>
          <w:sz w:val="24"/>
          <w:szCs w:val="24"/>
          <w:vertAlign w:val="superscript"/>
        </w:rPr>
        <w:t>]</w:t>
      </w:r>
      <w:r w:rsidRPr="008A28E4">
        <w:rPr>
          <w:rFonts w:ascii="Book Antiqua" w:hAnsi="Book Antiqua" w:cs="Times New Roman"/>
          <w:sz w:val="24"/>
          <w:szCs w:val="24"/>
        </w:rPr>
        <w:t>.</w:t>
      </w:r>
    </w:p>
    <w:p w:rsidR="00C22D17" w:rsidRPr="008A28E4" w:rsidRDefault="00C22D17" w:rsidP="008A28E4">
      <w:pPr>
        <w:pStyle w:val="ListParagraph"/>
        <w:spacing w:after="0" w:line="360" w:lineRule="auto"/>
        <w:ind w:left="0"/>
        <w:jc w:val="both"/>
        <w:rPr>
          <w:rFonts w:ascii="Book Antiqua" w:hAnsi="Book Antiqua" w:cs="Times New Roman"/>
          <w:sz w:val="24"/>
          <w:szCs w:val="24"/>
          <w:lang w:eastAsia="zh-CN"/>
        </w:rPr>
      </w:pPr>
    </w:p>
    <w:p w:rsidR="00C2014D" w:rsidRPr="008A28E4" w:rsidRDefault="00C2014D" w:rsidP="008A28E4">
      <w:pPr>
        <w:pStyle w:val="ListParagraph"/>
        <w:spacing w:after="0" w:line="360" w:lineRule="auto"/>
        <w:ind w:left="0"/>
        <w:jc w:val="both"/>
        <w:rPr>
          <w:rFonts w:ascii="Book Antiqua" w:hAnsi="Book Antiqua" w:cs="Times New Roman"/>
          <w:sz w:val="24"/>
          <w:szCs w:val="24"/>
          <w:lang w:eastAsia="zh-CN"/>
        </w:rPr>
      </w:pPr>
      <w:r w:rsidRPr="008A28E4">
        <w:rPr>
          <w:rFonts w:ascii="Book Antiqua" w:hAnsi="Book Antiqua" w:cs="Times New Roman"/>
          <w:b/>
          <w:sz w:val="24"/>
          <w:szCs w:val="24"/>
        </w:rPr>
        <w:t>Remedy:</w:t>
      </w:r>
      <w:r w:rsidRPr="008A28E4">
        <w:rPr>
          <w:rFonts w:ascii="Book Antiqua" w:hAnsi="Book Antiqua" w:cs="Times New Roman"/>
          <w:sz w:val="24"/>
          <w:szCs w:val="24"/>
        </w:rPr>
        <w:t xml:space="preserve"> If a kink has occurred then the initial dilator should be advanced close to the kink and it should be pulled inside the dilator. The correct direction should then be ascertained and further dilation should be done. At times a re-puncture is </w:t>
      </w:r>
      <w:r w:rsidR="004B1524" w:rsidRPr="008A28E4">
        <w:rPr>
          <w:rFonts w:ascii="Book Antiqua" w:hAnsi="Book Antiqua" w:cs="Times New Roman"/>
          <w:sz w:val="24"/>
          <w:szCs w:val="24"/>
        </w:rPr>
        <w:t>needed. If</w:t>
      </w:r>
      <w:r w:rsidRPr="008A28E4">
        <w:rPr>
          <w:rFonts w:ascii="Book Antiqua" w:hAnsi="Book Antiqua" w:cs="Times New Roman"/>
          <w:sz w:val="24"/>
          <w:szCs w:val="24"/>
        </w:rPr>
        <w:t xml:space="preserve"> a safety wire has been inserted then it can be used for dilatation. Recently Lezrek et al have described a use of bi prong forceps to overcome renal mobility and prevent guide wire </w:t>
      </w:r>
      <w:r w:rsidR="00C22D17" w:rsidRPr="008A28E4">
        <w:rPr>
          <w:rFonts w:ascii="Book Antiqua" w:hAnsi="Book Antiqua" w:cs="Times New Roman"/>
          <w:sz w:val="24"/>
          <w:szCs w:val="24"/>
        </w:rPr>
        <w:t>kinking during tract dilatation</w:t>
      </w:r>
      <w:r w:rsidR="0098134D" w:rsidRPr="008A28E4">
        <w:rPr>
          <w:rFonts w:ascii="Book Antiqua" w:hAnsi="Book Antiqua" w:cs="Times New Roman"/>
          <w:sz w:val="24"/>
          <w:szCs w:val="24"/>
          <w:vertAlign w:val="superscript"/>
        </w:rPr>
        <w:fldChar w:fldCharType="begin" w:fldLock="1"/>
      </w:r>
      <w:r w:rsidRPr="008A28E4">
        <w:rPr>
          <w:rFonts w:ascii="Book Antiqua" w:hAnsi="Book Antiqua" w:cs="Times New Roman"/>
          <w:sz w:val="24"/>
          <w:szCs w:val="24"/>
          <w:vertAlign w:val="superscript"/>
        </w:rPr>
        <w:instrText>ADDIN CSL_CITATION { "citationItems" : [ { "id" : "ITEM-1", "itemData" : { "id" : "ITEM-1", "issued" : { "date-parts" : [ [ "0" ] ] }, "title" : "\u00cd\u00ab\u00ae\u00b9\u00bb\u00ae\u00a7 \u00d7\u00b4\u00b4\u00ab\u00ad\u00ac\u00ae\u00bf\u00ac\u00bb\u00bc \u00fa\u00b1\u00bd\u00ab\u00ad \u00b1\u00b2 \u00fc\u00bb\u00ac\u00bf\u00b7\u00b4\u00ad", "type" : "article-journal" }, "uris" : [ "http://www.mendeley.com/documents/?uuid=ac4d4b26-dc3d-4af5-b5e4-9d0bf6f1c880" ] } ], "mendeley" : { "previouslyFormattedCitation" : "(94)" }, "properties" : { "noteIndex" : 0 }, "schema" : "https://github.com/citation-style-language/schema/raw/master/csl-citation.json" }</w:instrText>
      </w:r>
      <w:r w:rsidR="0098134D" w:rsidRPr="008A28E4">
        <w:rPr>
          <w:rFonts w:ascii="Book Antiqua" w:hAnsi="Book Antiqua" w:cs="Times New Roman"/>
          <w:sz w:val="24"/>
          <w:szCs w:val="24"/>
          <w:vertAlign w:val="superscript"/>
        </w:rPr>
        <w:fldChar w:fldCharType="separate"/>
      </w:r>
      <w:r w:rsidR="00286B87" w:rsidRPr="008A28E4">
        <w:rPr>
          <w:rFonts w:ascii="Book Antiqua" w:hAnsi="Book Antiqua" w:cs="Times New Roman"/>
          <w:noProof/>
          <w:sz w:val="24"/>
          <w:szCs w:val="24"/>
          <w:vertAlign w:val="superscript"/>
        </w:rPr>
        <w:t>[</w:t>
      </w:r>
      <w:r w:rsidRPr="008A28E4">
        <w:rPr>
          <w:rFonts w:ascii="Book Antiqua" w:hAnsi="Book Antiqua" w:cs="Times New Roman"/>
          <w:noProof/>
          <w:sz w:val="24"/>
          <w:szCs w:val="24"/>
          <w:vertAlign w:val="superscript"/>
        </w:rPr>
        <w:t>102</w:t>
      </w:r>
      <w:r w:rsidR="0098134D" w:rsidRPr="008A28E4">
        <w:rPr>
          <w:rFonts w:ascii="Book Antiqua" w:hAnsi="Book Antiqua" w:cs="Times New Roman"/>
          <w:sz w:val="24"/>
          <w:szCs w:val="24"/>
          <w:vertAlign w:val="superscript"/>
        </w:rPr>
        <w:fldChar w:fldCharType="end"/>
      </w:r>
      <w:r w:rsidR="00286B87" w:rsidRPr="008A28E4">
        <w:rPr>
          <w:rFonts w:ascii="Book Antiqua" w:hAnsi="Book Antiqua" w:cs="Times New Roman"/>
          <w:sz w:val="24"/>
          <w:szCs w:val="24"/>
          <w:vertAlign w:val="superscript"/>
        </w:rPr>
        <w:t>]</w:t>
      </w:r>
      <w:r w:rsidR="00C22D17" w:rsidRPr="008A28E4">
        <w:rPr>
          <w:rFonts w:ascii="Book Antiqua" w:hAnsi="Book Antiqua" w:cs="Times New Roman"/>
          <w:sz w:val="24"/>
          <w:szCs w:val="24"/>
          <w:lang w:eastAsia="zh-CN"/>
        </w:rPr>
        <w:t>.</w:t>
      </w:r>
    </w:p>
    <w:p w:rsidR="00C22D17" w:rsidRPr="008A28E4" w:rsidRDefault="00C22D17" w:rsidP="008A28E4">
      <w:pPr>
        <w:pStyle w:val="ListParagraph"/>
        <w:spacing w:after="0" w:line="360" w:lineRule="auto"/>
        <w:ind w:left="0"/>
        <w:jc w:val="both"/>
        <w:rPr>
          <w:rFonts w:ascii="Book Antiqua" w:hAnsi="Book Antiqua" w:cs="Times New Roman"/>
          <w:sz w:val="24"/>
          <w:szCs w:val="24"/>
          <w:u w:val="single"/>
          <w:lang w:eastAsia="zh-CN"/>
        </w:rPr>
      </w:pPr>
    </w:p>
    <w:p w:rsidR="00C2014D" w:rsidRPr="008A28E4" w:rsidRDefault="00C2014D" w:rsidP="008A28E4">
      <w:pPr>
        <w:pStyle w:val="ListParagraph"/>
        <w:spacing w:after="0" w:line="360" w:lineRule="auto"/>
        <w:ind w:left="0"/>
        <w:jc w:val="both"/>
        <w:rPr>
          <w:rFonts w:ascii="Book Antiqua" w:hAnsi="Book Antiqua" w:cs="Times New Roman"/>
          <w:b/>
          <w:i/>
          <w:sz w:val="24"/>
          <w:szCs w:val="24"/>
        </w:rPr>
      </w:pPr>
      <w:r w:rsidRPr="008A28E4">
        <w:rPr>
          <w:rFonts w:ascii="Book Antiqua" w:hAnsi="Book Antiqua" w:cs="Times New Roman"/>
          <w:b/>
          <w:i/>
          <w:sz w:val="24"/>
          <w:szCs w:val="24"/>
        </w:rPr>
        <w:t>Under dilatation</w:t>
      </w:r>
    </w:p>
    <w:p w:rsidR="00C2014D" w:rsidRPr="008A28E4" w:rsidRDefault="00C2014D" w:rsidP="008A28E4">
      <w:pPr>
        <w:pStyle w:val="ListParagraph"/>
        <w:spacing w:after="0" w:line="360" w:lineRule="auto"/>
        <w:ind w:left="0"/>
        <w:jc w:val="both"/>
        <w:rPr>
          <w:rFonts w:ascii="Book Antiqua" w:hAnsi="Book Antiqua" w:cs="Arial"/>
          <w:sz w:val="24"/>
          <w:szCs w:val="24"/>
        </w:rPr>
      </w:pPr>
      <w:r w:rsidRPr="008A28E4">
        <w:rPr>
          <w:rFonts w:ascii="Book Antiqua" w:hAnsi="Book Antiqua" w:cs="Times New Roman"/>
          <w:b/>
          <w:sz w:val="24"/>
          <w:szCs w:val="24"/>
        </w:rPr>
        <w:t>Cause:</w:t>
      </w:r>
      <w:r w:rsidRPr="008A28E4">
        <w:rPr>
          <w:rFonts w:ascii="Book Antiqua" w:hAnsi="Book Antiqua" w:cs="Times New Roman"/>
          <w:sz w:val="24"/>
          <w:szCs w:val="24"/>
        </w:rPr>
        <w:t xml:space="preserve"> Under dilatation is a condition when the wire was initially well placed but during dilatation the dilators and the Amplatz sheath remained short of the PCS. This usually occurs early during the learning curve. Use of Amplatz dilators is also associated with this as the terminal taper end of the dilator enters the calyx but the amplatz sheath introduced over it does not enter the calyx and remains outside the collecting system. This may cause brisk bleeding as there is a portion of parenchyma that has been partially dilated, which does not have the tamponade effects of the Amplatz sheath. This situation needs rapid management</w:t>
      </w:r>
      <w:r w:rsidRPr="008A28E4">
        <w:rPr>
          <w:rFonts w:ascii="Book Antiqua" w:hAnsi="Book Antiqua" w:cs="Arial"/>
          <w:sz w:val="24"/>
          <w:szCs w:val="24"/>
        </w:rPr>
        <w:t xml:space="preserve">. </w:t>
      </w:r>
    </w:p>
    <w:p w:rsidR="00C22D17" w:rsidRPr="008A28E4" w:rsidRDefault="00C22D17" w:rsidP="008A28E4">
      <w:pPr>
        <w:pStyle w:val="ListParagraph"/>
        <w:spacing w:after="0" w:line="360" w:lineRule="auto"/>
        <w:ind w:left="0"/>
        <w:jc w:val="both"/>
        <w:rPr>
          <w:rFonts w:ascii="Book Antiqua" w:hAnsi="Book Antiqua" w:cs="Times New Roman"/>
          <w:sz w:val="24"/>
          <w:szCs w:val="24"/>
          <w:lang w:eastAsia="zh-CN"/>
        </w:rPr>
      </w:pPr>
    </w:p>
    <w:p w:rsidR="00C2014D" w:rsidRPr="008A28E4" w:rsidRDefault="00C2014D" w:rsidP="008A28E4">
      <w:pPr>
        <w:pStyle w:val="ListParagraph"/>
        <w:spacing w:after="0" w:line="360" w:lineRule="auto"/>
        <w:ind w:left="0"/>
        <w:jc w:val="both"/>
        <w:rPr>
          <w:rFonts w:ascii="Book Antiqua" w:hAnsi="Book Antiqua" w:cs="Times New Roman"/>
          <w:sz w:val="24"/>
          <w:szCs w:val="24"/>
        </w:rPr>
      </w:pPr>
      <w:r w:rsidRPr="008A28E4">
        <w:rPr>
          <w:rFonts w:ascii="Book Antiqua" w:hAnsi="Book Antiqua" w:cs="Times New Roman"/>
          <w:b/>
          <w:sz w:val="24"/>
          <w:szCs w:val="24"/>
        </w:rPr>
        <w:t>Prevention:</w:t>
      </w:r>
      <w:r w:rsidRPr="008A28E4">
        <w:rPr>
          <w:rFonts w:ascii="Book Antiqua" w:hAnsi="Book Antiqua" w:cs="Times New Roman"/>
          <w:sz w:val="24"/>
          <w:szCs w:val="24"/>
        </w:rPr>
        <w:t xml:space="preserve"> Flushing saline from the ureteric catheter during the process of dilatation helps in confirming that the dilator/ dilators are within the collecting system by seeing the efflux of saline form the dilators. Small frequent bursts of screening on the C Arm confirm the correct position of the dilators.</w:t>
      </w:r>
    </w:p>
    <w:p w:rsidR="00C22D17" w:rsidRPr="008A28E4" w:rsidRDefault="00C22D17" w:rsidP="008A28E4">
      <w:pPr>
        <w:pStyle w:val="ListParagraph"/>
        <w:spacing w:after="0" w:line="360" w:lineRule="auto"/>
        <w:ind w:left="0"/>
        <w:jc w:val="both"/>
        <w:rPr>
          <w:rFonts w:ascii="Book Antiqua" w:hAnsi="Book Antiqua" w:cs="Times New Roman"/>
          <w:sz w:val="24"/>
          <w:szCs w:val="24"/>
          <w:lang w:eastAsia="zh-CN"/>
        </w:rPr>
      </w:pPr>
    </w:p>
    <w:p w:rsidR="00C2014D" w:rsidRPr="008A28E4" w:rsidRDefault="00C2014D" w:rsidP="008A28E4">
      <w:pPr>
        <w:pStyle w:val="ListParagraph"/>
        <w:spacing w:after="0" w:line="360" w:lineRule="auto"/>
        <w:ind w:left="0"/>
        <w:jc w:val="both"/>
        <w:rPr>
          <w:rFonts w:ascii="Book Antiqua" w:hAnsi="Book Antiqua" w:cs="Times New Roman"/>
          <w:sz w:val="24"/>
          <w:szCs w:val="24"/>
        </w:rPr>
      </w:pPr>
      <w:r w:rsidRPr="008A28E4">
        <w:rPr>
          <w:rFonts w:ascii="Book Antiqua" w:hAnsi="Book Antiqua" w:cs="Times New Roman"/>
          <w:b/>
          <w:sz w:val="24"/>
          <w:szCs w:val="24"/>
        </w:rPr>
        <w:t xml:space="preserve">Remedy: </w:t>
      </w:r>
      <w:r w:rsidRPr="008A28E4">
        <w:rPr>
          <w:rFonts w:ascii="Book Antiqua" w:hAnsi="Book Antiqua" w:cs="Times New Roman"/>
          <w:sz w:val="24"/>
          <w:szCs w:val="24"/>
        </w:rPr>
        <w:t xml:space="preserve">The treatment would depend on the position of the wire. If the wire is still inside the PCS, thread the guide rod on the wire so that the bulbous end of the rod is fluoroscopically positioned in the PCS. Using the flexible guide rod may be easy in this situation. Once the guide rod is placed, use Amplatz dilators to dilate the remaining non dilated tract and the reposition the Amplatz sheath in the collecting system. If the wire has also slipped out and the nephroscope is outside the parenchyma in the perirenal fat, it is important to find the hole in the renal capsule through which partial dilatation had been done. This can be identified as a site of bleeding in the parenchyma. To identify this site one may need to reduce the irrigation pressure of the nephroscope so that venous bleeding is visible. Once the site is identified, place the guide rod through the capsular hole and confirm its position on the fluoroscopy. A guide wire may be placed through the rod to make the access secure. Once this is done, the remaining dilatation could continue with Amplatz dilators. If no bleeding site is identified, for identifying the capsular hole some colored fluid will be needed. Methylene blue or betadine solution can be used. The methylene blue solution should be very dilute. Add just 1-2 drops of methylene blue in 10 cc normal saline. For betadine solution, undiluted betadine or betadine with one-in-one dilution could be used. Flush either solution through the ureteric catheter. Watch for egress of colored solution. Once identified, place a guide rod through that site and continue with the remaining dilatation. If despite colored solution, puncture site cannot be identified, attempts re-puncture and repeat tract making. This may be difficult as the contrast may extravasate or the calyx may not fill due to leakage of contrast. Choosing an access through another calyx or sonography guided puncture may help. In a rare situation, it may be needed to stage the procedure. The puncture site seals in 48-72 h and a repeat procedure can be done after that time. </w:t>
      </w:r>
    </w:p>
    <w:p w:rsidR="00C2014D" w:rsidRPr="008A28E4" w:rsidRDefault="00C2014D" w:rsidP="008A28E4">
      <w:pPr>
        <w:pStyle w:val="ListParagraph"/>
        <w:spacing w:after="0" w:line="360" w:lineRule="auto"/>
        <w:ind w:left="0"/>
        <w:jc w:val="both"/>
        <w:rPr>
          <w:rFonts w:ascii="Book Antiqua" w:hAnsi="Book Antiqua" w:cs="Times New Roman"/>
          <w:sz w:val="24"/>
          <w:szCs w:val="24"/>
        </w:rPr>
      </w:pPr>
    </w:p>
    <w:p w:rsidR="00C2014D" w:rsidRPr="008A28E4" w:rsidRDefault="00C2014D" w:rsidP="008A28E4">
      <w:pPr>
        <w:pStyle w:val="ListParagraph"/>
        <w:spacing w:after="0" w:line="360" w:lineRule="auto"/>
        <w:ind w:left="0"/>
        <w:jc w:val="both"/>
        <w:rPr>
          <w:rFonts w:ascii="Book Antiqua" w:hAnsi="Book Antiqua" w:cs="Times New Roman"/>
          <w:b/>
          <w:i/>
          <w:sz w:val="24"/>
          <w:szCs w:val="24"/>
        </w:rPr>
      </w:pPr>
      <w:r w:rsidRPr="008A28E4">
        <w:rPr>
          <w:rFonts w:ascii="Book Antiqua" w:hAnsi="Book Antiqua" w:cs="Times New Roman"/>
          <w:b/>
          <w:i/>
          <w:sz w:val="24"/>
          <w:szCs w:val="24"/>
        </w:rPr>
        <w:t>Overdilatation</w:t>
      </w:r>
    </w:p>
    <w:p w:rsidR="00C2014D" w:rsidRPr="008A28E4" w:rsidRDefault="00C2014D" w:rsidP="008A28E4">
      <w:pPr>
        <w:pStyle w:val="ListParagraph"/>
        <w:spacing w:after="0" w:line="360" w:lineRule="auto"/>
        <w:ind w:left="0"/>
        <w:jc w:val="both"/>
        <w:rPr>
          <w:rFonts w:ascii="Book Antiqua" w:hAnsi="Book Antiqua" w:cs="Times New Roman"/>
          <w:sz w:val="24"/>
          <w:szCs w:val="24"/>
        </w:rPr>
      </w:pPr>
      <w:r w:rsidRPr="008A28E4">
        <w:rPr>
          <w:rFonts w:ascii="Book Antiqua" w:hAnsi="Book Antiqua" w:cs="Times New Roman"/>
          <w:b/>
          <w:sz w:val="24"/>
          <w:szCs w:val="24"/>
        </w:rPr>
        <w:t xml:space="preserve">Cause: </w:t>
      </w:r>
      <w:r w:rsidRPr="008A28E4">
        <w:rPr>
          <w:rFonts w:ascii="Book Antiqua" w:hAnsi="Book Antiqua" w:cs="Times New Roman"/>
          <w:sz w:val="24"/>
          <w:szCs w:val="24"/>
        </w:rPr>
        <w:t>Over dilatation is a state when the dilators have traversed the opposite wall of the PCS and the Amplatz sheath is now placed anterior to the kidney.</w:t>
      </w:r>
      <w:r w:rsidRPr="008A28E4">
        <w:rPr>
          <w:rFonts w:ascii="Book Antiqua" w:hAnsi="Book Antiqua" w:cs="Arial"/>
          <w:sz w:val="24"/>
          <w:szCs w:val="24"/>
        </w:rPr>
        <w:t xml:space="preserve"> </w:t>
      </w:r>
      <w:r w:rsidRPr="008A28E4">
        <w:rPr>
          <w:rFonts w:ascii="Book Antiqua" w:hAnsi="Book Antiqua" w:cs="Times New Roman"/>
          <w:sz w:val="24"/>
          <w:szCs w:val="24"/>
        </w:rPr>
        <w:t>Forceful dilatation is the usual reason for this problem</w:t>
      </w:r>
    </w:p>
    <w:p w:rsidR="00C22D17" w:rsidRPr="008A28E4" w:rsidRDefault="00C22D17" w:rsidP="008A28E4">
      <w:pPr>
        <w:pStyle w:val="ListParagraph"/>
        <w:spacing w:after="0" w:line="360" w:lineRule="auto"/>
        <w:ind w:left="0"/>
        <w:jc w:val="both"/>
        <w:rPr>
          <w:rFonts w:ascii="Book Antiqua" w:hAnsi="Book Antiqua" w:cs="Times New Roman"/>
          <w:b/>
          <w:sz w:val="24"/>
          <w:szCs w:val="24"/>
          <w:lang w:eastAsia="zh-CN"/>
        </w:rPr>
      </w:pPr>
    </w:p>
    <w:p w:rsidR="00C2014D" w:rsidRPr="008A28E4" w:rsidRDefault="00C2014D" w:rsidP="008A28E4">
      <w:pPr>
        <w:pStyle w:val="ListParagraph"/>
        <w:spacing w:after="0" w:line="360" w:lineRule="auto"/>
        <w:ind w:left="0"/>
        <w:jc w:val="both"/>
        <w:rPr>
          <w:rFonts w:ascii="Book Antiqua" w:hAnsi="Book Antiqua" w:cs="Times New Roman"/>
          <w:sz w:val="24"/>
          <w:szCs w:val="24"/>
        </w:rPr>
      </w:pPr>
      <w:r w:rsidRPr="008A28E4">
        <w:rPr>
          <w:rFonts w:ascii="Book Antiqua" w:hAnsi="Book Antiqua" w:cs="Times New Roman"/>
          <w:b/>
          <w:sz w:val="24"/>
          <w:szCs w:val="24"/>
        </w:rPr>
        <w:t xml:space="preserve">Prevention: </w:t>
      </w:r>
      <w:r w:rsidRPr="008A28E4">
        <w:rPr>
          <w:rFonts w:ascii="Book Antiqua" w:hAnsi="Book Antiqua" w:cs="Times New Roman"/>
          <w:sz w:val="24"/>
          <w:szCs w:val="24"/>
        </w:rPr>
        <w:t>Hold the guide rod firmly and dilate 2/3 by rotation and 1/3 by force. Attempt should be to dilate till the calyx and not till the calculus. It is better to under dilate than to over dilate.</w:t>
      </w:r>
    </w:p>
    <w:p w:rsidR="00C22D17" w:rsidRPr="008A28E4" w:rsidRDefault="00C22D17" w:rsidP="008A28E4">
      <w:pPr>
        <w:spacing w:after="0" w:line="360" w:lineRule="auto"/>
        <w:jc w:val="both"/>
        <w:rPr>
          <w:rFonts w:ascii="Book Antiqua" w:hAnsi="Book Antiqua" w:cs="Times New Roman"/>
          <w:sz w:val="24"/>
          <w:szCs w:val="24"/>
          <w:lang w:eastAsia="zh-CN"/>
        </w:rPr>
      </w:pPr>
    </w:p>
    <w:p w:rsidR="00C2014D" w:rsidRPr="008A28E4" w:rsidRDefault="00C2014D" w:rsidP="008A28E4">
      <w:pPr>
        <w:spacing w:after="0" w:line="360" w:lineRule="auto"/>
        <w:jc w:val="both"/>
        <w:rPr>
          <w:rFonts w:ascii="Book Antiqua" w:hAnsi="Book Antiqua" w:cs="Times New Roman"/>
          <w:sz w:val="24"/>
          <w:szCs w:val="24"/>
        </w:rPr>
      </w:pPr>
      <w:r w:rsidRPr="008A28E4">
        <w:rPr>
          <w:rFonts w:ascii="Book Antiqua" w:hAnsi="Book Antiqua" w:cs="Times New Roman"/>
          <w:b/>
          <w:sz w:val="24"/>
          <w:szCs w:val="24"/>
        </w:rPr>
        <w:t>Remedy:</w:t>
      </w:r>
      <w:r w:rsidRPr="008A28E4">
        <w:rPr>
          <w:rFonts w:ascii="Book Antiqua" w:hAnsi="Book Antiqua" w:cs="Times New Roman"/>
          <w:sz w:val="24"/>
          <w:szCs w:val="24"/>
        </w:rPr>
        <w:t xml:space="preserve"> The problem with this complication is that when the Amplatz sheath is withdrawn back to get it in the PCS, the dilated anterior wall will not have any tamponade effect and is likely to bleed briskly.  Also, the irrigation fluid would leak through the hole in anterior wall. The further Nephroscopy would become difficult as the PCS may collapse due to fluid leakage. The fluid that extravasates would cause significant fluid overload. Even the stone or stone fragments can migrate outside the PCS through the hole in the anterior wall. The Amplatz sheath needs to be withdrawn gradually till the sheath is back in PCS. The further plan after this would depend on the size of perforation and the amount of bleeding.  If over dilatation has resulted in a small pelvic perforation than one can get back properly in the system and quickly finish the procedure without causing much extravasation. However if there is a large perforation or significant bleeding than it is prudent to insert a nephrostomy tube, abandon the procedure and live to fight another day. Always a keep a large bore nephrostomy tube during such situations. The second procedure can be staged after 3-4 d, as the perforation usually heals within </w:t>
      </w:r>
      <w:r w:rsidR="000F6E77" w:rsidRPr="008A28E4">
        <w:rPr>
          <w:rFonts w:ascii="Book Antiqua" w:hAnsi="Book Antiqua" w:cs="Times New Roman"/>
          <w:sz w:val="24"/>
          <w:szCs w:val="24"/>
        </w:rPr>
        <w:t>this period</w:t>
      </w:r>
      <w:r w:rsidR="0098134D" w:rsidRPr="008A28E4">
        <w:rPr>
          <w:rFonts w:ascii="Book Antiqua" w:hAnsi="Book Antiqua" w:cs="Times New Roman"/>
          <w:sz w:val="24"/>
          <w:szCs w:val="24"/>
          <w:vertAlign w:val="superscript"/>
        </w:rPr>
        <w:fldChar w:fldCharType="begin" w:fldLock="1"/>
      </w:r>
      <w:r w:rsidRPr="008A28E4">
        <w:rPr>
          <w:rFonts w:ascii="Book Antiqua" w:hAnsi="Book Antiqua" w:cs="Times New Roman"/>
          <w:sz w:val="24"/>
          <w:szCs w:val="24"/>
          <w:vertAlign w:val="superscript"/>
        </w:rPr>
        <w:instrText>ADDIN CSL_CITATION { "citationItems" : [ { "id" : "ITEM-1", "itemData" : { "DOI" : "10.1089/end.2000.14.735", "ISSN" : "0892-7790", "PMID" : "11110567", "abstract" : "BACKGROUND AND PURPOSE: A nephrostomy tube is an integral part of any percutaneous renal surgery. Commonly, a nephrostomy tube that is 2F to 3F smaller than the percutaneous tract is used after percutaneous nephrolithotomy (PCNL). In our experience, quite a few patients have pain at the nephrostomy tube site, and many patients complain of a prolonged urinary leak after tube removal when a large nephrostomy tube is used. This prospective study was planned to document whether these symptoms could be attributed to the size of the nephrostomy tube and whether a small pigtail catheter could reduce these problems without increasing complications. PATIENTS AND METHODS: Forty well-matched patients in whom a one-stage PCNL was done for calculus disease were studied prospectively. Alternate patients had a 28F nephrostomy tube or a 9F pigtail catheter placed at the end of the procedure. Patients were observed for the duration of hematuria, number of analgesic injections needed, and the duration of urinary leak after tube removal. RESULTS: The groups were comparable in the amount and duration of hematuria after PCNL. There was a statistically significant difference in the analgesic need and the duration of urinary leak after tube removal, both of which were less in patients having a pigtail catheter. CONCLUSIONS: A pigtail catheter nephrostomy tube after PCNL reduces the hospital stay by reducing the duration of the urinary leak. The postoperative course is smooth, as patient has less pain and needs less analgesic support. There is no statistically significant increase in the postoperative bleeding secondary to use of a pigtail catheter. Second-look nephroscopy was easy in the one patient with a pigtail nephrostomy catheter who needed the procedure.", "author" : [ { "dropping-particle" : "", "family" : "Maheshwari", "given" : "P N", "non-dropping-particle" : "", "parse-names" : false, "suffix" : "" }, { "dropping-particle" : "", "family" : "Andankar", "given" : "M G", "non-dropping-particle" : "", "parse-names" : false, "suffix" : "" }, { "dropping-particle" : "", "family" : "Bansal", "given" : "M", "non-dropping-particle" : "", "parse-names" : false, "suffix" : "" } ], "container-title" : "Journal of endourology / Endourological Society", "id" : "ITEM-1", "issued" : { "date-parts" : [ [ "2000" ] ] }, "page" : "735-737; discussion 737-738", "title" : "Nephrostomy tube after percutaneous nephrolithotomy: large-bore or pigtail catheter?", "type" : "article-journal", "volume" : "14" }, "uris" : [ "http://www.mendeley.com/documents/?uuid=719fde13-769a-43d2-8bfd-87d2b0abd236", "http://www.mendeley.com/documents/?uuid=7303f2b3-72cd-48b9-be31-ceb8ab9c7d56" ] } ], "mendeley" : { "previouslyFormattedCitation" : "(95)" }, "properties" : { "noteIndex" : 0 }, "schema" : "https://github.com/citation-style-language/schema/raw/master/csl-citation.json" }</w:instrText>
      </w:r>
      <w:r w:rsidR="0098134D" w:rsidRPr="008A28E4">
        <w:rPr>
          <w:rFonts w:ascii="Book Antiqua" w:hAnsi="Book Antiqua" w:cs="Times New Roman"/>
          <w:sz w:val="24"/>
          <w:szCs w:val="24"/>
          <w:vertAlign w:val="superscript"/>
        </w:rPr>
        <w:fldChar w:fldCharType="separate"/>
      </w:r>
      <w:r w:rsidR="00286B87" w:rsidRPr="008A28E4">
        <w:rPr>
          <w:rFonts w:ascii="Book Antiqua" w:hAnsi="Book Antiqua" w:cs="Times New Roman"/>
          <w:noProof/>
          <w:sz w:val="24"/>
          <w:szCs w:val="24"/>
          <w:vertAlign w:val="superscript"/>
        </w:rPr>
        <w:t>[</w:t>
      </w:r>
      <w:r w:rsidRPr="008A28E4">
        <w:rPr>
          <w:rFonts w:ascii="Book Antiqua" w:hAnsi="Book Antiqua" w:cs="Times New Roman"/>
          <w:noProof/>
          <w:sz w:val="24"/>
          <w:szCs w:val="24"/>
          <w:vertAlign w:val="superscript"/>
        </w:rPr>
        <w:t>103</w:t>
      </w:r>
      <w:r w:rsidR="0098134D" w:rsidRPr="008A28E4">
        <w:rPr>
          <w:rFonts w:ascii="Book Antiqua" w:hAnsi="Book Antiqua" w:cs="Times New Roman"/>
          <w:sz w:val="24"/>
          <w:szCs w:val="24"/>
          <w:vertAlign w:val="superscript"/>
        </w:rPr>
        <w:fldChar w:fldCharType="end"/>
      </w:r>
      <w:r w:rsidR="00286B87" w:rsidRPr="008A28E4">
        <w:rPr>
          <w:rFonts w:ascii="Book Antiqua" w:hAnsi="Book Antiqua" w:cs="Times New Roman"/>
          <w:sz w:val="24"/>
          <w:szCs w:val="24"/>
          <w:vertAlign w:val="superscript"/>
        </w:rPr>
        <w:t>]</w:t>
      </w:r>
      <w:r w:rsidRPr="008A28E4">
        <w:rPr>
          <w:rFonts w:ascii="Book Antiqua" w:hAnsi="Book Antiqua" w:cs="Times New Roman"/>
          <w:sz w:val="24"/>
          <w:szCs w:val="24"/>
        </w:rPr>
        <w:t>.</w:t>
      </w:r>
    </w:p>
    <w:p w:rsidR="00C22D17" w:rsidRPr="008A28E4" w:rsidRDefault="00C22D17" w:rsidP="008A28E4">
      <w:pPr>
        <w:pStyle w:val="ListParagraph"/>
        <w:spacing w:after="0" w:line="360" w:lineRule="auto"/>
        <w:ind w:left="0"/>
        <w:jc w:val="both"/>
        <w:rPr>
          <w:rFonts w:ascii="Book Antiqua" w:hAnsi="Book Antiqua" w:cs="Times New Roman"/>
          <w:sz w:val="24"/>
          <w:szCs w:val="24"/>
          <w:u w:val="single"/>
          <w:lang w:eastAsia="zh-CN"/>
        </w:rPr>
      </w:pPr>
    </w:p>
    <w:p w:rsidR="00C2014D" w:rsidRPr="008A28E4" w:rsidRDefault="00C2014D" w:rsidP="008A28E4">
      <w:pPr>
        <w:pStyle w:val="ListParagraph"/>
        <w:spacing w:after="0" w:line="360" w:lineRule="auto"/>
        <w:ind w:left="0"/>
        <w:jc w:val="both"/>
        <w:rPr>
          <w:rFonts w:ascii="Book Antiqua" w:hAnsi="Book Antiqua" w:cs="Times New Roman"/>
          <w:b/>
          <w:i/>
          <w:sz w:val="24"/>
          <w:szCs w:val="24"/>
        </w:rPr>
      </w:pPr>
      <w:r w:rsidRPr="008A28E4">
        <w:rPr>
          <w:rFonts w:ascii="Book Antiqua" w:hAnsi="Book Antiqua" w:cs="Times New Roman"/>
          <w:b/>
          <w:i/>
          <w:sz w:val="24"/>
          <w:szCs w:val="24"/>
        </w:rPr>
        <w:t>Loss of tract</w:t>
      </w:r>
    </w:p>
    <w:p w:rsidR="00C2014D" w:rsidRPr="008A28E4" w:rsidRDefault="00C2014D" w:rsidP="008A28E4">
      <w:pPr>
        <w:pStyle w:val="ListParagraph"/>
        <w:spacing w:after="0" w:line="360" w:lineRule="auto"/>
        <w:ind w:left="0"/>
        <w:jc w:val="both"/>
        <w:rPr>
          <w:rFonts w:ascii="Book Antiqua" w:hAnsi="Book Antiqua" w:cs="Times New Roman"/>
          <w:sz w:val="24"/>
          <w:szCs w:val="24"/>
        </w:rPr>
      </w:pPr>
      <w:r w:rsidRPr="008A28E4">
        <w:rPr>
          <w:rFonts w:ascii="Book Antiqua" w:hAnsi="Book Antiqua" w:cs="Times New Roman"/>
          <w:b/>
          <w:sz w:val="24"/>
          <w:szCs w:val="24"/>
        </w:rPr>
        <w:t xml:space="preserve">Cause: </w:t>
      </w:r>
      <w:r w:rsidRPr="008A28E4">
        <w:rPr>
          <w:rFonts w:ascii="Book Antiqua" w:hAnsi="Book Antiqua" w:cs="Times New Roman"/>
          <w:sz w:val="24"/>
          <w:szCs w:val="24"/>
        </w:rPr>
        <w:t>Loss of tract means initially that the tract was well made but during Nephroscopy or lithotripsy, the Amplatz sheath has slipped out of the PCS. This happens when the glide wire slips out before the dilatation is completed. At times during the fragmentation of the calculus, the guide wire comes out and if the amplatz is not held properly then it too can come out of the collecting system.</w:t>
      </w:r>
    </w:p>
    <w:p w:rsidR="00C22D17" w:rsidRPr="008A28E4" w:rsidRDefault="00C22D17" w:rsidP="008A28E4">
      <w:pPr>
        <w:pStyle w:val="ListParagraph"/>
        <w:spacing w:after="0" w:line="360" w:lineRule="auto"/>
        <w:ind w:left="0"/>
        <w:jc w:val="both"/>
        <w:rPr>
          <w:rFonts w:ascii="Book Antiqua" w:hAnsi="Book Antiqua" w:cs="Times New Roman"/>
          <w:sz w:val="24"/>
          <w:szCs w:val="24"/>
          <w:lang w:eastAsia="zh-CN"/>
        </w:rPr>
      </w:pPr>
    </w:p>
    <w:p w:rsidR="00C2014D" w:rsidRPr="008A28E4" w:rsidRDefault="00C2014D" w:rsidP="008A28E4">
      <w:pPr>
        <w:pStyle w:val="ListParagraph"/>
        <w:spacing w:after="0" w:line="360" w:lineRule="auto"/>
        <w:ind w:left="0"/>
        <w:jc w:val="both"/>
        <w:rPr>
          <w:rFonts w:ascii="Book Antiqua" w:hAnsi="Book Antiqua" w:cs="Times New Roman"/>
          <w:sz w:val="24"/>
          <w:szCs w:val="24"/>
        </w:rPr>
      </w:pPr>
      <w:r w:rsidRPr="008A28E4">
        <w:rPr>
          <w:rFonts w:ascii="Book Antiqua" w:hAnsi="Book Antiqua" w:cs="Times New Roman"/>
          <w:b/>
          <w:sz w:val="24"/>
          <w:szCs w:val="24"/>
        </w:rPr>
        <w:t>Prevention:</w:t>
      </w:r>
      <w:r w:rsidRPr="008A28E4">
        <w:rPr>
          <w:rFonts w:ascii="Book Antiqua" w:hAnsi="Book Antiqua" w:cs="Times New Roman"/>
          <w:sz w:val="24"/>
          <w:szCs w:val="24"/>
        </w:rPr>
        <w:t xml:space="preserve"> To prevent loss of tract, the guide wire should be adequately parked in the collecting system or passed till the bladder. Use of a safety wire is another maneuver which can prevent a complete loss of tract. Also using a super stiff guide wire instead of a slippery hydrophilic glide wire prevents complete loss of tract.</w:t>
      </w:r>
    </w:p>
    <w:p w:rsidR="00C22D17" w:rsidRPr="008A28E4" w:rsidRDefault="00C22D17" w:rsidP="008A28E4">
      <w:pPr>
        <w:spacing w:after="0" w:line="360" w:lineRule="auto"/>
        <w:jc w:val="both"/>
        <w:rPr>
          <w:rFonts w:ascii="Book Antiqua" w:hAnsi="Book Antiqua" w:cs="Times New Roman"/>
          <w:sz w:val="24"/>
          <w:szCs w:val="24"/>
          <w:lang w:eastAsia="zh-CN"/>
        </w:rPr>
      </w:pPr>
    </w:p>
    <w:p w:rsidR="00505DA4" w:rsidRPr="008A28E4" w:rsidRDefault="00C2014D" w:rsidP="008A28E4">
      <w:pPr>
        <w:spacing w:after="0" w:line="360" w:lineRule="auto"/>
        <w:jc w:val="both"/>
        <w:rPr>
          <w:rFonts w:ascii="Book Antiqua" w:hAnsi="Book Antiqua" w:cs="Times New Roman"/>
          <w:sz w:val="24"/>
          <w:szCs w:val="24"/>
          <w:lang w:eastAsia="zh-CN"/>
        </w:rPr>
      </w:pPr>
      <w:r w:rsidRPr="008A28E4">
        <w:rPr>
          <w:rFonts w:ascii="Book Antiqua" w:hAnsi="Book Antiqua" w:cs="Times New Roman"/>
          <w:b/>
          <w:sz w:val="24"/>
          <w:szCs w:val="24"/>
        </w:rPr>
        <w:t>Remedy:</w:t>
      </w:r>
      <w:r w:rsidRPr="008A28E4">
        <w:rPr>
          <w:rFonts w:ascii="Book Antiqua" w:hAnsi="Book Antiqua" w:cs="Times New Roman"/>
          <w:sz w:val="24"/>
          <w:szCs w:val="24"/>
        </w:rPr>
        <w:t xml:space="preserve"> The treatment depends on the position of the guide wire. If either the guide wire or the safety wire is well placed, it is possible to follow the wire endoscopically till the nephroscope is positioned in the PCS; the Amplatz sheath can be threaded over the nephroscope once the scope is well placed. If there is no wire, the steps are same as for under-dilatation. Look for the bleeding site or look for egress of the colored fluid. One important concern of the lost tract is that calculi or calculi fragments may extrude and can get misplaced in the perirenal fat. These calculi can be a source of persistent infection. If possible, an attempt should be made to remove all calculi. During endoscopic exploration of the perirenal space, reduce the irrigation pressure so that patient does not land in fluid overload. If despite care, the extruded calculi are misplaced in the perirenal fat, it is important to document that the radio-opaque shadows seen on post-op imaging are outside PCS. They would cause apprehension to the patient hence proper explanation to th</w:t>
      </w:r>
      <w:r w:rsidR="00F6592F" w:rsidRPr="008A28E4">
        <w:rPr>
          <w:rFonts w:ascii="Book Antiqua" w:hAnsi="Book Antiqua" w:cs="Times New Roman"/>
          <w:sz w:val="24"/>
          <w:szCs w:val="24"/>
        </w:rPr>
        <w:t xml:space="preserve">e patient is vital. </w:t>
      </w:r>
    </w:p>
    <w:p w:rsidR="00505DA4" w:rsidRPr="008A28E4" w:rsidRDefault="00505DA4" w:rsidP="008A28E4">
      <w:pPr>
        <w:spacing w:after="0" w:line="360" w:lineRule="auto"/>
        <w:jc w:val="both"/>
        <w:rPr>
          <w:rFonts w:ascii="Book Antiqua" w:hAnsi="Book Antiqua" w:cs="Times New Roman"/>
          <w:b/>
          <w:bCs/>
          <w:sz w:val="24"/>
          <w:szCs w:val="24"/>
          <w:lang w:eastAsia="zh-CN"/>
        </w:rPr>
      </w:pPr>
    </w:p>
    <w:p w:rsidR="00C2014D" w:rsidRPr="008A28E4" w:rsidRDefault="00505DA4" w:rsidP="008A28E4">
      <w:pPr>
        <w:spacing w:after="0" w:line="360" w:lineRule="auto"/>
        <w:jc w:val="both"/>
        <w:rPr>
          <w:rFonts w:ascii="Book Antiqua" w:hAnsi="Book Antiqua" w:cs="Times New Roman"/>
          <w:b/>
          <w:bCs/>
          <w:sz w:val="24"/>
          <w:szCs w:val="24"/>
        </w:rPr>
      </w:pPr>
      <w:r w:rsidRPr="008A28E4">
        <w:rPr>
          <w:rFonts w:ascii="Book Antiqua" w:hAnsi="Book Antiqua" w:cs="Times New Roman"/>
          <w:b/>
          <w:bCs/>
          <w:sz w:val="24"/>
          <w:szCs w:val="24"/>
        </w:rPr>
        <w:t>CONCLUSION</w:t>
      </w:r>
    </w:p>
    <w:p w:rsidR="00C2014D" w:rsidRPr="008A28E4" w:rsidRDefault="00C2014D" w:rsidP="008A28E4">
      <w:pPr>
        <w:spacing w:after="0" w:line="360" w:lineRule="auto"/>
        <w:jc w:val="both"/>
        <w:rPr>
          <w:rFonts w:ascii="Book Antiqua" w:hAnsi="Book Antiqua" w:cs="Times New Roman"/>
          <w:sz w:val="24"/>
          <w:szCs w:val="24"/>
        </w:rPr>
      </w:pPr>
      <w:r w:rsidRPr="008A28E4">
        <w:rPr>
          <w:rFonts w:ascii="Book Antiqua" w:hAnsi="Book Antiqua" w:cs="Times New Roman"/>
          <w:sz w:val="24"/>
          <w:szCs w:val="24"/>
        </w:rPr>
        <w:t>“Good results of surgery are results of good surgery”. This adage is most appropriate for a percutaneous renal access, for a correct access decides to a large extent the success of PCNL. More innovations would come in the management of renal calculus and technology would make percutaneous access easier in future ; but adherence to the understanding of renal anatomy would still be the base on which a percutaneous renal access would be based.</w:t>
      </w:r>
    </w:p>
    <w:p w:rsidR="00C2014D" w:rsidRPr="008A28E4" w:rsidRDefault="00C2014D" w:rsidP="008A28E4">
      <w:pPr>
        <w:spacing w:after="0" w:line="360" w:lineRule="auto"/>
        <w:jc w:val="both"/>
        <w:rPr>
          <w:rFonts w:ascii="Book Antiqua" w:hAnsi="Book Antiqua" w:cs="Times New Roman"/>
          <w:sz w:val="24"/>
          <w:szCs w:val="24"/>
        </w:rPr>
      </w:pPr>
    </w:p>
    <w:p w:rsidR="00C2014D" w:rsidRPr="008A28E4" w:rsidRDefault="00C2014D" w:rsidP="008A28E4">
      <w:pPr>
        <w:spacing w:after="0" w:line="360" w:lineRule="auto"/>
        <w:jc w:val="both"/>
        <w:rPr>
          <w:rFonts w:ascii="Book Antiqua" w:hAnsi="Book Antiqua" w:cs="Times New Roman"/>
          <w:sz w:val="24"/>
          <w:szCs w:val="24"/>
          <w:lang w:eastAsia="zh-CN"/>
        </w:rPr>
      </w:pPr>
    </w:p>
    <w:p w:rsidR="00E503CC" w:rsidRPr="008A28E4" w:rsidRDefault="00113CEF" w:rsidP="008A28E4">
      <w:pPr>
        <w:spacing w:after="0" w:line="360" w:lineRule="auto"/>
        <w:jc w:val="both"/>
        <w:rPr>
          <w:rFonts w:ascii="Book Antiqua" w:hAnsi="Book Antiqua" w:cs="Times New Roman"/>
          <w:b/>
          <w:sz w:val="24"/>
          <w:szCs w:val="24"/>
          <w:lang w:eastAsia="zh-CN"/>
        </w:rPr>
      </w:pPr>
      <w:r w:rsidRPr="008A28E4">
        <w:rPr>
          <w:rFonts w:ascii="Book Antiqua" w:hAnsi="Book Antiqua" w:cs="Times New Roman"/>
          <w:b/>
          <w:sz w:val="24"/>
          <w:szCs w:val="24"/>
        </w:rPr>
        <w:t>REFERENCES</w:t>
      </w:r>
    </w:p>
    <w:p w:rsidR="00E503CC" w:rsidRPr="008A28E4" w:rsidRDefault="00E503CC" w:rsidP="008A28E4">
      <w:pPr>
        <w:spacing w:after="0" w:line="360" w:lineRule="auto"/>
        <w:jc w:val="both"/>
        <w:rPr>
          <w:rFonts w:ascii="Book Antiqua" w:eastAsia="宋体" w:hAnsi="Book Antiqua" w:cs="宋体"/>
          <w:sz w:val="24"/>
          <w:szCs w:val="24"/>
          <w:lang w:eastAsia="zh-CN"/>
        </w:rPr>
      </w:pPr>
      <w:r w:rsidRPr="008A28E4">
        <w:rPr>
          <w:rFonts w:ascii="Book Antiqua" w:eastAsia="宋体" w:hAnsi="Book Antiqua" w:cs="宋体"/>
          <w:sz w:val="24"/>
          <w:szCs w:val="24"/>
        </w:rPr>
        <w:t xml:space="preserve">1 </w:t>
      </w:r>
      <w:r w:rsidRPr="008A28E4">
        <w:rPr>
          <w:rFonts w:ascii="Book Antiqua" w:eastAsia="宋体" w:hAnsi="Book Antiqua" w:cs="宋体"/>
          <w:b/>
          <w:sz w:val="24"/>
          <w:szCs w:val="24"/>
        </w:rPr>
        <w:t>Rupel E,</w:t>
      </w:r>
      <w:r w:rsidRPr="008A28E4">
        <w:rPr>
          <w:rFonts w:ascii="Book Antiqua" w:eastAsia="宋体" w:hAnsi="Book Antiqua" w:cs="宋体"/>
          <w:sz w:val="24"/>
          <w:szCs w:val="24"/>
        </w:rPr>
        <w:t xml:space="preserve"> Brown R. Nephroscopy with removal of stone following nephrostomy for obstructing calculus anuria. </w:t>
      </w:r>
      <w:r w:rsidRPr="008A28E4">
        <w:rPr>
          <w:rFonts w:ascii="Book Antiqua" w:eastAsia="宋体" w:hAnsi="Book Antiqua" w:cs="宋体"/>
          <w:i/>
          <w:sz w:val="24"/>
          <w:szCs w:val="24"/>
        </w:rPr>
        <w:t xml:space="preserve">J Urol </w:t>
      </w:r>
      <w:r w:rsidRPr="008A28E4">
        <w:rPr>
          <w:rFonts w:ascii="Book Antiqua" w:eastAsia="宋体" w:hAnsi="Book Antiqua" w:cs="宋体"/>
          <w:sz w:val="24"/>
          <w:szCs w:val="24"/>
        </w:rPr>
        <w:t xml:space="preserve">1941; </w:t>
      </w:r>
      <w:r w:rsidRPr="008A28E4">
        <w:rPr>
          <w:rFonts w:ascii="Book Antiqua" w:eastAsia="宋体" w:hAnsi="Book Antiqua" w:cs="宋体"/>
          <w:b/>
          <w:sz w:val="24"/>
          <w:szCs w:val="24"/>
        </w:rPr>
        <w:t>46</w:t>
      </w:r>
      <w:r w:rsidR="003E5A19">
        <w:rPr>
          <w:rFonts w:ascii="Book Antiqua" w:eastAsia="宋体" w:hAnsi="Book Antiqua" w:cs="宋体"/>
          <w:sz w:val="24"/>
          <w:szCs w:val="24"/>
        </w:rPr>
        <w:t>: 177-</w:t>
      </w:r>
      <w:r w:rsidR="003E5A19">
        <w:rPr>
          <w:rFonts w:ascii="Book Antiqua" w:eastAsia="宋体" w:hAnsi="Book Antiqua" w:cs="宋体" w:hint="eastAsia"/>
          <w:sz w:val="24"/>
          <w:szCs w:val="24"/>
          <w:lang w:eastAsia="zh-CN"/>
        </w:rPr>
        <w:t>1</w:t>
      </w:r>
      <w:r w:rsidR="003E5A19">
        <w:rPr>
          <w:rFonts w:ascii="Book Antiqua" w:eastAsia="宋体" w:hAnsi="Book Antiqua" w:cs="宋体"/>
          <w:sz w:val="24"/>
          <w:szCs w:val="24"/>
        </w:rPr>
        <w:t>82</w:t>
      </w:r>
    </w:p>
    <w:p w:rsidR="00E503CC" w:rsidRPr="008A28E4" w:rsidRDefault="00E503CC" w:rsidP="008A28E4">
      <w:pPr>
        <w:spacing w:after="0" w:line="360" w:lineRule="auto"/>
        <w:jc w:val="both"/>
        <w:rPr>
          <w:rFonts w:ascii="Book Antiqua" w:eastAsia="宋体" w:hAnsi="Book Antiqua" w:cs="宋体"/>
          <w:sz w:val="24"/>
          <w:szCs w:val="24"/>
        </w:rPr>
      </w:pPr>
      <w:r w:rsidRPr="008A28E4">
        <w:rPr>
          <w:rFonts w:ascii="Book Antiqua" w:eastAsia="宋体" w:hAnsi="Book Antiqua" w:cs="宋体"/>
          <w:sz w:val="24"/>
          <w:szCs w:val="24"/>
        </w:rPr>
        <w:t xml:space="preserve">2 </w:t>
      </w:r>
      <w:r w:rsidRPr="008A28E4">
        <w:rPr>
          <w:rFonts w:ascii="Book Antiqua" w:eastAsia="宋体" w:hAnsi="Book Antiqua" w:cs="宋体"/>
          <w:b/>
          <w:bCs/>
          <w:sz w:val="24"/>
          <w:szCs w:val="24"/>
        </w:rPr>
        <w:t>Goodwin WE</w:t>
      </w:r>
      <w:r w:rsidRPr="008A28E4">
        <w:rPr>
          <w:rFonts w:ascii="Book Antiqua" w:eastAsia="宋体" w:hAnsi="Book Antiqua" w:cs="宋体"/>
          <w:sz w:val="24"/>
          <w:szCs w:val="24"/>
        </w:rPr>
        <w:t xml:space="preserve">, Casey WC, Woolf W. Percutaneous trocar (needle) nephrostomy in hydronephrosis. </w:t>
      </w:r>
      <w:r w:rsidRPr="008A28E4">
        <w:rPr>
          <w:rFonts w:ascii="Book Antiqua" w:eastAsia="宋体" w:hAnsi="Book Antiqua" w:cs="宋体"/>
          <w:i/>
          <w:iCs/>
          <w:sz w:val="24"/>
          <w:szCs w:val="24"/>
        </w:rPr>
        <w:t>J Am Med Assoc</w:t>
      </w:r>
      <w:r w:rsidRPr="008A28E4">
        <w:rPr>
          <w:rFonts w:ascii="Book Antiqua" w:eastAsia="宋体" w:hAnsi="Book Antiqua" w:cs="宋体"/>
          <w:sz w:val="24"/>
          <w:szCs w:val="24"/>
        </w:rPr>
        <w:t xml:space="preserve"> 1955; </w:t>
      </w:r>
      <w:r w:rsidRPr="008A28E4">
        <w:rPr>
          <w:rFonts w:ascii="Book Antiqua" w:eastAsia="宋体" w:hAnsi="Book Antiqua" w:cs="宋体"/>
          <w:b/>
          <w:bCs/>
          <w:sz w:val="24"/>
          <w:szCs w:val="24"/>
        </w:rPr>
        <w:t>157</w:t>
      </w:r>
      <w:r w:rsidRPr="008A28E4">
        <w:rPr>
          <w:rFonts w:ascii="Book Antiqua" w:eastAsia="宋体" w:hAnsi="Book Antiqua" w:cs="宋体"/>
          <w:sz w:val="24"/>
          <w:szCs w:val="24"/>
        </w:rPr>
        <w:t>: 891-894 [PMID: 13233046 DOI: 10.1001/jama.1955.02950280015005]</w:t>
      </w:r>
    </w:p>
    <w:p w:rsidR="00E503CC" w:rsidRPr="008A28E4" w:rsidRDefault="00E503CC" w:rsidP="008A28E4">
      <w:pPr>
        <w:spacing w:after="0" w:line="360" w:lineRule="auto"/>
        <w:jc w:val="both"/>
        <w:rPr>
          <w:rFonts w:ascii="Book Antiqua" w:eastAsia="宋体" w:hAnsi="Book Antiqua" w:cs="宋体"/>
          <w:sz w:val="24"/>
          <w:szCs w:val="24"/>
        </w:rPr>
      </w:pPr>
      <w:r w:rsidRPr="008A28E4">
        <w:rPr>
          <w:rFonts w:ascii="Book Antiqua" w:eastAsia="宋体" w:hAnsi="Book Antiqua" w:cs="宋体"/>
          <w:sz w:val="24"/>
          <w:szCs w:val="24"/>
        </w:rPr>
        <w:t xml:space="preserve">3 </w:t>
      </w:r>
      <w:r w:rsidRPr="008A28E4">
        <w:rPr>
          <w:rFonts w:ascii="Book Antiqua" w:eastAsia="宋体" w:hAnsi="Book Antiqua" w:cs="宋体"/>
          <w:b/>
          <w:bCs/>
          <w:sz w:val="24"/>
          <w:szCs w:val="24"/>
        </w:rPr>
        <w:t>Bissada NK</w:t>
      </w:r>
      <w:r w:rsidRPr="008A28E4">
        <w:rPr>
          <w:rFonts w:ascii="Book Antiqua" w:eastAsia="宋体" w:hAnsi="Book Antiqua" w:cs="宋体"/>
          <w:sz w:val="24"/>
          <w:szCs w:val="24"/>
        </w:rPr>
        <w:t xml:space="preserve">, Meacham KR, Redman JF. Nephrostoscopy with removal of renal pelvic calculi. </w:t>
      </w:r>
      <w:r w:rsidRPr="008A28E4">
        <w:rPr>
          <w:rFonts w:ascii="Book Antiqua" w:eastAsia="宋体" w:hAnsi="Book Antiqua" w:cs="宋体"/>
          <w:i/>
          <w:iCs/>
          <w:sz w:val="24"/>
          <w:szCs w:val="24"/>
        </w:rPr>
        <w:t>J Urol</w:t>
      </w:r>
      <w:r w:rsidRPr="008A28E4">
        <w:rPr>
          <w:rFonts w:ascii="Book Antiqua" w:eastAsia="宋体" w:hAnsi="Book Antiqua" w:cs="宋体"/>
          <w:sz w:val="24"/>
          <w:szCs w:val="24"/>
        </w:rPr>
        <w:t xml:space="preserve"> 1974; </w:t>
      </w:r>
      <w:r w:rsidRPr="008A28E4">
        <w:rPr>
          <w:rFonts w:ascii="Book Antiqua" w:eastAsia="宋体" w:hAnsi="Book Antiqua" w:cs="宋体"/>
          <w:b/>
          <w:bCs/>
          <w:sz w:val="24"/>
          <w:szCs w:val="24"/>
        </w:rPr>
        <w:t>112</w:t>
      </w:r>
      <w:r w:rsidRPr="008A28E4">
        <w:rPr>
          <w:rFonts w:ascii="Book Antiqua" w:eastAsia="宋体" w:hAnsi="Book Antiqua" w:cs="宋体"/>
          <w:sz w:val="24"/>
          <w:szCs w:val="24"/>
        </w:rPr>
        <w:t>: 414-416 [PMID: 4414790]</w:t>
      </w:r>
    </w:p>
    <w:p w:rsidR="00E503CC" w:rsidRPr="008A28E4" w:rsidRDefault="00E503CC" w:rsidP="008A28E4">
      <w:pPr>
        <w:spacing w:after="0" w:line="360" w:lineRule="auto"/>
        <w:jc w:val="both"/>
        <w:rPr>
          <w:rFonts w:ascii="Book Antiqua" w:eastAsia="宋体" w:hAnsi="Book Antiqua" w:cs="宋体"/>
          <w:sz w:val="24"/>
          <w:szCs w:val="24"/>
        </w:rPr>
      </w:pPr>
      <w:r w:rsidRPr="008A28E4">
        <w:rPr>
          <w:rFonts w:ascii="Book Antiqua" w:eastAsia="宋体" w:hAnsi="Book Antiqua" w:cs="宋体"/>
          <w:sz w:val="24"/>
          <w:szCs w:val="24"/>
        </w:rPr>
        <w:t xml:space="preserve">4 </w:t>
      </w:r>
      <w:r w:rsidRPr="008A28E4">
        <w:rPr>
          <w:rFonts w:ascii="Book Antiqua" w:eastAsia="宋体" w:hAnsi="Book Antiqua" w:cs="宋体"/>
          <w:b/>
          <w:sz w:val="24"/>
          <w:szCs w:val="24"/>
        </w:rPr>
        <w:t>Karametchi A,</w:t>
      </w:r>
      <w:r w:rsidRPr="008A28E4">
        <w:rPr>
          <w:rFonts w:ascii="Book Antiqua" w:eastAsia="宋体" w:hAnsi="Book Antiqua" w:cs="宋体"/>
          <w:sz w:val="24"/>
          <w:szCs w:val="24"/>
        </w:rPr>
        <w:t xml:space="preserve"> O'donnell WF. Percutaneous nephrolithotomy: an innovative extraction technique. </w:t>
      </w:r>
      <w:r w:rsidRPr="008A28E4">
        <w:rPr>
          <w:rFonts w:ascii="Book Antiqua" w:eastAsia="宋体" w:hAnsi="Book Antiqua" w:cs="宋体"/>
          <w:i/>
          <w:sz w:val="24"/>
          <w:szCs w:val="24"/>
        </w:rPr>
        <w:t xml:space="preserve">J Urol </w:t>
      </w:r>
      <w:r w:rsidRPr="008A28E4">
        <w:rPr>
          <w:rFonts w:ascii="Book Antiqua" w:eastAsia="宋体" w:hAnsi="Book Antiqua" w:cs="宋体"/>
          <w:sz w:val="24"/>
          <w:szCs w:val="24"/>
        </w:rPr>
        <w:t xml:space="preserve">1977; </w:t>
      </w:r>
      <w:r w:rsidRPr="008A28E4">
        <w:rPr>
          <w:rFonts w:ascii="Book Antiqua" w:eastAsia="宋体" w:hAnsi="Book Antiqua" w:cs="宋体"/>
          <w:b/>
          <w:sz w:val="24"/>
          <w:szCs w:val="24"/>
        </w:rPr>
        <w:t>118</w:t>
      </w:r>
      <w:r w:rsidRPr="008A28E4">
        <w:rPr>
          <w:rFonts w:ascii="Book Antiqua" w:eastAsia="宋体" w:hAnsi="Book Antiqua" w:cs="宋体"/>
          <w:sz w:val="24"/>
          <w:szCs w:val="24"/>
        </w:rPr>
        <w:t>: 671[PMID: 916071]</w:t>
      </w:r>
    </w:p>
    <w:p w:rsidR="00E503CC" w:rsidRPr="008A28E4" w:rsidRDefault="00E503CC" w:rsidP="008A28E4">
      <w:pPr>
        <w:spacing w:after="0" w:line="360" w:lineRule="auto"/>
        <w:jc w:val="both"/>
        <w:rPr>
          <w:rFonts w:ascii="Book Antiqua" w:eastAsia="宋体" w:hAnsi="Book Antiqua" w:cs="宋体"/>
          <w:sz w:val="24"/>
          <w:szCs w:val="24"/>
        </w:rPr>
      </w:pPr>
      <w:r w:rsidRPr="008A28E4">
        <w:rPr>
          <w:rFonts w:ascii="Book Antiqua" w:eastAsia="宋体" w:hAnsi="Book Antiqua" w:cs="宋体"/>
          <w:sz w:val="24"/>
          <w:szCs w:val="24"/>
        </w:rPr>
        <w:t xml:space="preserve">5 </w:t>
      </w:r>
      <w:r w:rsidRPr="008A28E4">
        <w:rPr>
          <w:rFonts w:ascii="Book Antiqua" w:eastAsia="宋体" w:hAnsi="Book Antiqua" w:cs="宋体"/>
          <w:b/>
          <w:bCs/>
          <w:sz w:val="24"/>
          <w:szCs w:val="24"/>
        </w:rPr>
        <w:t>Fernström I</w:t>
      </w:r>
      <w:r w:rsidRPr="008A28E4">
        <w:rPr>
          <w:rFonts w:ascii="Book Antiqua" w:eastAsia="宋体" w:hAnsi="Book Antiqua" w:cs="宋体"/>
          <w:sz w:val="24"/>
          <w:szCs w:val="24"/>
        </w:rPr>
        <w:t xml:space="preserve">, Johansson B. Percutaneous pyelolithotomy. A new extraction technique. </w:t>
      </w:r>
      <w:r w:rsidRPr="008A28E4">
        <w:rPr>
          <w:rFonts w:ascii="Book Antiqua" w:eastAsia="宋体" w:hAnsi="Book Antiqua" w:cs="宋体"/>
          <w:i/>
          <w:iCs/>
          <w:sz w:val="24"/>
          <w:szCs w:val="24"/>
        </w:rPr>
        <w:t>Scand J Urol Nephrol</w:t>
      </w:r>
      <w:r w:rsidRPr="008A28E4">
        <w:rPr>
          <w:rFonts w:ascii="Book Antiqua" w:eastAsia="宋体" w:hAnsi="Book Antiqua" w:cs="宋体"/>
          <w:sz w:val="24"/>
          <w:szCs w:val="24"/>
        </w:rPr>
        <w:t xml:space="preserve"> 1976; </w:t>
      </w:r>
      <w:r w:rsidRPr="008A28E4">
        <w:rPr>
          <w:rFonts w:ascii="Book Antiqua" w:eastAsia="宋体" w:hAnsi="Book Antiqua" w:cs="宋体"/>
          <w:b/>
          <w:bCs/>
          <w:sz w:val="24"/>
          <w:szCs w:val="24"/>
        </w:rPr>
        <w:t>10</w:t>
      </w:r>
      <w:r w:rsidRPr="008A28E4">
        <w:rPr>
          <w:rFonts w:ascii="Book Antiqua" w:eastAsia="宋体" w:hAnsi="Book Antiqua" w:cs="宋体"/>
          <w:sz w:val="24"/>
          <w:szCs w:val="24"/>
        </w:rPr>
        <w:t>: 257-259 [PMID: 1006190]</w:t>
      </w:r>
    </w:p>
    <w:p w:rsidR="00E503CC" w:rsidRPr="008A28E4" w:rsidRDefault="00E503CC" w:rsidP="008A28E4">
      <w:pPr>
        <w:spacing w:after="0" w:line="360" w:lineRule="auto"/>
        <w:jc w:val="both"/>
        <w:rPr>
          <w:rFonts w:ascii="Book Antiqua" w:eastAsia="宋体" w:hAnsi="Book Antiqua" w:cs="宋体"/>
          <w:sz w:val="24"/>
          <w:szCs w:val="24"/>
        </w:rPr>
      </w:pPr>
      <w:r w:rsidRPr="008A28E4">
        <w:rPr>
          <w:rFonts w:ascii="Book Antiqua" w:eastAsia="宋体" w:hAnsi="Book Antiqua" w:cs="宋体"/>
          <w:sz w:val="24"/>
          <w:szCs w:val="24"/>
        </w:rPr>
        <w:t>6</w:t>
      </w:r>
      <w:r w:rsidRPr="008A28E4">
        <w:rPr>
          <w:rFonts w:ascii="Book Antiqua" w:eastAsia="宋体" w:hAnsi="Book Antiqua" w:cs="宋体"/>
          <w:b/>
          <w:sz w:val="24"/>
          <w:szCs w:val="24"/>
        </w:rPr>
        <w:t xml:space="preserve"> Morris DS,</w:t>
      </w:r>
      <w:r w:rsidRPr="008A28E4">
        <w:rPr>
          <w:rFonts w:ascii="Book Antiqua" w:eastAsia="宋体" w:hAnsi="Book Antiqua" w:cs="宋体"/>
          <w:sz w:val="24"/>
          <w:szCs w:val="24"/>
        </w:rPr>
        <w:t xml:space="preserve"> Wei JT, Taub DA, Dunn RL, Wolf JS, Hollenbeck BK. </w:t>
      </w:r>
      <w:bookmarkStart w:id="63" w:name="OLE_LINK13"/>
      <w:bookmarkStart w:id="64" w:name="OLE_LINK14"/>
      <w:r w:rsidRPr="008A28E4">
        <w:rPr>
          <w:rFonts w:ascii="Book Antiqua" w:eastAsia="宋体" w:hAnsi="Book Antiqua" w:cs="宋体"/>
          <w:sz w:val="24"/>
          <w:szCs w:val="24"/>
        </w:rPr>
        <w:t>Temporal trends in the use of percutaneous nephrolithotomy.</w:t>
      </w:r>
      <w:bookmarkEnd w:id="63"/>
      <w:bookmarkEnd w:id="64"/>
      <w:r w:rsidRPr="008A28E4">
        <w:rPr>
          <w:rFonts w:ascii="Book Antiqua" w:eastAsia="宋体" w:hAnsi="Book Antiqua" w:cs="宋体"/>
          <w:sz w:val="24"/>
          <w:szCs w:val="24"/>
        </w:rPr>
        <w:t xml:space="preserve"> </w:t>
      </w:r>
      <w:r w:rsidRPr="008A28E4">
        <w:rPr>
          <w:rFonts w:ascii="Book Antiqua" w:eastAsia="宋体" w:hAnsi="Book Antiqua" w:cs="宋体"/>
          <w:i/>
          <w:sz w:val="24"/>
          <w:szCs w:val="24"/>
        </w:rPr>
        <w:t>J Urol</w:t>
      </w:r>
      <w:r w:rsidRPr="008A28E4">
        <w:rPr>
          <w:rFonts w:ascii="Book Antiqua" w:eastAsia="宋体" w:hAnsi="Book Antiqua" w:cs="宋体"/>
          <w:sz w:val="24"/>
          <w:szCs w:val="24"/>
        </w:rPr>
        <w:t xml:space="preserve"> 2006; </w:t>
      </w:r>
      <w:r w:rsidRPr="008A28E4">
        <w:rPr>
          <w:rFonts w:ascii="Book Antiqua" w:eastAsia="宋体" w:hAnsi="Book Antiqua" w:cs="宋体"/>
          <w:b/>
          <w:sz w:val="24"/>
          <w:szCs w:val="24"/>
        </w:rPr>
        <w:t>175</w:t>
      </w:r>
      <w:r w:rsidRPr="008A28E4">
        <w:rPr>
          <w:rFonts w:ascii="Book Antiqua" w:eastAsia="宋体" w:hAnsi="Book Antiqua" w:cs="宋体"/>
          <w:sz w:val="24"/>
          <w:szCs w:val="24"/>
        </w:rPr>
        <w:t>: 1731-1376[</w:t>
      </w:r>
      <w:r w:rsidRPr="008A28E4">
        <w:rPr>
          <w:rFonts w:ascii="Book Antiqua" w:hAnsi="Book Antiqua"/>
          <w:sz w:val="24"/>
          <w:szCs w:val="24"/>
        </w:rPr>
        <w:t xml:space="preserve"> </w:t>
      </w:r>
      <w:r w:rsidRPr="008A28E4">
        <w:rPr>
          <w:rFonts w:ascii="Book Antiqua" w:eastAsia="宋体" w:hAnsi="Book Antiqua" w:cs="宋体"/>
          <w:sz w:val="24"/>
          <w:szCs w:val="24"/>
        </w:rPr>
        <w:t>PMID: 16600744 DOI: 10.1016/S0022-5347(05)00994-8]</w:t>
      </w:r>
    </w:p>
    <w:p w:rsidR="00E503CC" w:rsidRPr="008A28E4" w:rsidRDefault="00E503CC" w:rsidP="008A28E4">
      <w:pPr>
        <w:spacing w:after="0" w:line="360" w:lineRule="auto"/>
        <w:jc w:val="both"/>
        <w:rPr>
          <w:rFonts w:ascii="Book Antiqua" w:eastAsia="宋体" w:hAnsi="Book Antiqua" w:cs="宋体"/>
          <w:sz w:val="24"/>
          <w:szCs w:val="24"/>
        </w:rPr>
      </w:pPr>
      <w:r w:rsidRPr="008A28E4">
        <w:rPr>
          <w:rFonts w:ascii="Book Antiqua" w:eastAsia="宋体" w:hAnsi="Book Antiqua" w:cs="宋体"/>
          <w:sz w:val="24"/>
          <w:szCs w:val="24"/>
        </w:rPr>
        <w:t xml:space="preserve">7 </w:t>
      </w:r>
      <w:r w:rsidRPr="008A28E4">
        <w:rPr>
          <w:rFonts w:ascii="Book Antiqua" w:eastAsia="宋体" w:hAnsi="Book Antiqua" w:cs="宋体"/>
          <w:b/>
          <w:bCs/>
          <w:sz w:val="24"/>
          <w:szCs w:val="24"/>
        </w:rPr>
        <w:t>de la Rosette J</w:t>
      </w:r>
      <w:r w:rsidRPr="008A28E4">
        <w:rPr>
          <w:rFonts w:ascii="Book Antiqua" w:eastAsia="宋体" w:hAnsi="Book Antiqua" w:cs="宋体"/>
          <w:sz w:val="24"/>
          <w:szCs w:val="24"/>
        </w:rPr>
        <w:t xml:space="preserve">, Assimos D, Desai M, Gutierrez J, Lingeman J, Scarpa R, Tefekli A. The Clinical Research Office of the Endourological Society Percutaneous Nephrolithotomy Global Study: indications, complications, and outcomes in 5803 patients. </w:t>
      </w:r>
      <w:r w:rsidRPr="008A28E4">
        <w:rPr>
          <w:rFonts w:ascii="Book Antiqua" w:eastAsia="宋体" w:hAnsi="Book Antiqua" w:cs="宋体"/>
          <w:i/>
          <w:iCs/>
          <w:sz w:val="24"/>
          <w:szCs w:val="24"/>
        </w:rPr>
        <w:t>J Endourol</w:t>
      </w:r>
      <w:r w:rsidRPr="008A28E4">
        <w:rPr>
          <w:rFonts w:ascii="Book Antiqua" w:eastAsia="宋体" w:hAnsi="Book Antiqua" w:cs="宋体"/>
          <w:sz w:val="24"/>
          <w:szCs w:val="24"/>
        </w:rPr>
        <w:t xml:space="preserve"> 2011; </w:t>
      </w:r>
      <w:r w:rsidRPr="008A28E4">
        <w:rPr>
          <w:rFonts w:ascii="Book Antiqua" w:eastAsia="宋体" w:hAnsi="Book Antiqua" w:cs="宋体"/>
          <w:b/>
          <w:bCs/>
          <w:sz w:val="24"/>
          <w:szCs w:val="24"/>
        </w:rPr>
        <w:t>25</w:t>
      </w:r>
      <w:r w:rsidRPr="008A28E4">
        <w:rPr>
          <w:rFonts w:ascii="Book Antiqua" w:eastAsia="宋体" w:hAnsi="Book Antiqua" w:cs="宋体"/>
          <w:sz w:val="24"/>
          <w:szCs w:val="24"/>
        </w:rPr>
        <w:t>: 11-17 [PMID: 21247286 DOI: 10.1089/end.2010.0424]</w:t>
      </w:r>
    </w:p>
    <w:p w:rsidR="00E503CC" w:rsidRPr="008A28E4" w:rsidRDefault="00E503CC" w:rsidP="008A28E4">
      <w:pPr>
        <w:spacing w:after="0" w:line="360" w:lineRule="auto"/>
        <w:jc w:val="both"/>
        <w:rPr>
          <w:rFonts w:ascii="Book Antiqua" w:eastAsia="宋体" w:hAnsi="Book Antiqua" w:cs="宋体"/>
          <w:sz w:val="24"/>
          <w:szCs w:val="24"/>
        </w:rPr>
      </w:pPr>
      <w:r w:rsidRPr="008A28E4">
        <w:rPr>
          <w:rFonts w:ascii="Book Antiqua" w:eastAsia="宋体" w:hAnsi="Book Antiqua" w:cs="宋体"/>
          <w:sz w:val="24"/>
          <w:szCs w:val="24"/>
        </w:rPr>
        <w:t xml:space="preserve">8 </w:t>
      </w:r>
      <w:r w:rsidRPr="008A28E4">
        <w:rPr>
          <w:rFonts w:ascii="Book Antiqua" w:eastAsia="宋体" w:hAnsi="Book Antiqua" w:cs="宋体"/>
          <w:b/>
          <w:bCs/>
          <w:sz w:val="24"/>
          <w:szCs w:val="24"/>
        </w:rPr>
        <w:t>Agarwal M</w:t>
      </w:r>
      <w:r w:rsidRPr="008A28E4">
        <w:rPr>
          <w:rFonts w:ascii="Book Antiqua" w:eastAsia="宋体" w:hAnsi="Book Antiqua" w:cs="宋体"/>
          <w:sz w:val="24"/>
          <w:szCs w:val="24"/>
        </w:rPr>
        <w:t xml:space="preserve">, Agrawal MS, Jaiswal A, Kumar D, Yadav H, Lavania P. Safety and efficacy of ultrasonography as an adjunct to fluoroscopy for renal access in percutaneous nephrolithotomy (PCNL). </w:t>
      </w:r>
      <w:r w:rsidRPr="008A28E4">
        <w:rPr>
          <w:rFonts w:ascii="Book Antiqua" w:eastAsia="宋体" w:hAnsi="Book Antiqua" w:cs="宋体"/>
          <w:i/>
          <w:iCs/>
          <w:sz w:val="24"/>
          <w:szCs w:val="24"/>
        </w:rPr>
        <w:t>BJU Int</w:t>
      </w:r>
      <w:r w:rsidRPr="008A28E4">
        <w:rPr>
          <w:rFonts w:ascii="Book Antiqua" w:eastAsia="宋体" w:hAnsi="Book Antiqua" w:cs="宋体"/>
          <w:sz w:val="24"/>
          <w:szCs w:val="24"/>
        </w:rPr>
        <w:t xml:space="preserve"> 2011; </w:t>
      </w:r>
      <w:r w:rsidRPr="008A28E4">
        <w:rPr>
          <w:rFonts w:ascii="Book Antiqua" w:eastAsia="宋体" w:hAnsi="Book Antiqua" w:cs="宋体"/>
          <w:b/>
          <w:bCs/>
          <w:sz w:val="24"/>
          <w:szCs w:val="24"/>
        </w:rPr>
        <w:t>108</w:t>
      </w:r>
      <w:r w:rsidRPr="008A28E4">
        <w:rPr>
          <w:rFonts w:ascii="Book Antiqua" w:eastAsia="宋体" w:hAnsi="Book Antiqua" w:cs="宋体"/>
          <w:sz w:val="24"/>
          <w:szCs w:val="24"/>
        </w:rPr>
        <w:t>: 1346-1349 [PMID: 21251187 DOI: 10.1111/j.1464-410X.2010.10002.x]</w:t>
      </w:r>
    </w:p>
    <w:p w:rsidR="00E503CC" w:rsidRPr="008A28E4" w:rsidRDefault="00E503CC" w:rsidP="008A28E4">
      <w:pPr>
        <w:spacing w:after="0" w:line="360" w:lineRule="auto"/>
        <w:jc w:val="both"/>
        <w:rPr>
          <w:rFonts w:ascii="Book Antiqua" w:eastAsia="宋体" w:hAnsi="Book Antiqua" w:cs="宋体"/>
          <w:sz w:val="24"/>
          <w:szCs w:val="24"/>
        </w:rPr>
      </w:pPr>
      <w:r w:rsidRPr="008A28E4">
        <w:rPr>
          <w:rFonts w:ascii="Book Antiqua" w:eastAsia="宋体" w:hAnsi="Book Antiqua" w:cs="宋体"/>
          <w:sz w:val="24"/>
          <w:szCs w:val="24"/>
        </w:rPr>
        <w:t xml:space="preserve">9 </w:t>
      </w:r>
      <w:r w:rsidRPr="008A28E4">
        <w:rPr>
          <w:rFonts w:ascii="Book Antiqua" w:eastAsia="宋体" w:hAnsi="Book Antiqua" w:cs="宋体"/>
          <w:b/>
          <w:bCs/>
          <w:sz w:val="24"/>
          <w:szCs w:val="24"/>
        </w:rPr>
        <w:t>Ray AA</w:t>
      </w:r>
      <w:r w:rsidRPr="008A28E4">
        <w:rPr>
          <w:rFonts w:ascii="Book Antiqua" w:eastAsia="宋体" w:hAnsi="Book Antiqua" w:cs="宋体"/>
          <w:sz w:val="24"/>
          <w:szCs w:val="24"/>
        </w:rPr>
        <w:t xml:space="preserve">, Chung DG, Honey RJ. Percutaneous nephrolithotomy in the prone and prone-flexed positions: anatomic considerations. </w:t>
      </w:r>
      <w:r w:rsidRPr="008A28E4">
        <w:rPr>
          <w:rFonts w:ascii="Book Antiqua" w:eastAsia="宋体" w:hAnsi="Book Antiqua" w:cs="宋体"/>
          <w:i/>
          <w:iCs/>
          <w:sz w:val="24"/>
          <w:szCs w:val="24"/>
        </w:rPr>
        <w:t>J Endourol</w:t>
      </w:r>
      <w:r w:rsidRPr="008A28E4">
        <w:rPr>
          <w:rFonts w:ascii="Book Antiqua" w:eastAsia="宋体" w:hAnsi="Book Antiqua" w:cs="宋体"/>
          <w:sz w:val="24"/>
          <w:szCs w:val="24"/>
        </w:rPr>
        <w:t xml:space="preserve"> 2009; </w:t>
      </w:r>
      <w:r w:rsidRPr="008A28E4">
        <w:rPr>
          <w:rFonts w:ascii="Book Antiqua" w:eastAsia="宋体" w:hAnsi="Book Antiqua" w:cs="宋体"/>
          <w:b/>
          <w:bCs/>
          <w:sz w:val="24"/>
          <w:szCs w:val="24"/>
        </w:rPr>
        <w:t>23</w:t>
      </w:r>
      <w:r w:rsidRPr="008A28E4">
        <w:rPr>
          <w:rFonts w:ascii="Book Antiqua" w:eastAsia="宋体" w:hAnsi="Book Antiqua" w:cs="宋体"/>
          <w:sz w:val="24"/>
          <w:szCs w:val="24"/>
        </w:rPr>
        <w:t>: 1607-1614 [PMID: 19630486 DOI: 10.1089/end.2009.0294]</w:t>
      </w:r>
    </w:p>
    <w:p w:rsidR="00E503CC" w:rsidRPr="008A28E4" w:rsidRDefault="00E503CC" w:rsidP="008A28E4">
      <w:pPr>
        <w:spacing w:after="0" w:line="360" w:lineRule="auto"/>
        <w:jc w:val="both"/>
        <w:rPr>
          <w:rFonts w:ascii="Book Antiqua" w:eastAsia="宋体" w:hAnsi="Book Antiqua" w:cs="宋体"/>
          <w:sz w:val="24"/>
          <w:szCs w:val="24"/>
        </w:rPr>
      </w:pPr>
      <w:r w:rsidRPr="008A28E4">
        <w:rPr>
          <w:rFonts w:ascii="Book Antiqua" w:eastAsia="宋体" w:hAnsi="Book Antiqua" w:cs="宋体"/>
          <w:sz w:val="24"/>
          <w:szCs w:val="24"/>
        </w:rPr>
        <w:t xml:space="preserve">10 </w:t>
      </w:r>
      <w:r w:rsidRPr="008A28E4">
        <w:rPr>
          <w:rFonts w:ascii="Book Antiqua" w:eastAsia="宋体" w:hAnsi="Book Antiqua" w:cs="宋体"/>
          <w:b/>
          <w:bCs/>
          <w:sz w:val="24"/>
          <w:szCs w:val="24"/>
        </w:rPr>
        <w:t>Tepeler A</w:t>
      </w:r>
      <w:r w:rsidRPr="008A28E4">
        <w:rPr>
          <w:rFonts w:ascii="Book Antiqua" w:eastAsia="宋体" w:hAnsi="Book Antiqua" w:cs="宋体"/>
          <w:sz w:val="24"/>
          <w:szCs w:val="24"/>
        </w:rPr>
        <w:t>, Arma</w:t>
      </w:r>
      <w:r w:rsidRPr="008A28E4">
        <w:rPr>
          <w:rFonts w:ascii="Book Antiqua" w:eastAsia="MS Mincho" w:hAnsi="Book Antiqua" w:cs="MS Mincho"/>
          <w:sz w:val="24"/>
          <w:szCs w:val="24"/>
        </w:rPr>
        <w:t>ğ</w:t>
      </w:r>
      <w:r w:rsidRPr="008A28E4">
        <w:rPr>
          <w:rFonts w:ascii="Book Antiqua" w:eastAsia="宋体" w:hAnsi="Book Antiqua" w:cs="宋体"/>
          <w:sz w:val="24"/>
          <w:szCs w:val="24"/>
        </w:rPr>
        <w:t>an A, Akman T, Polat EC, Ersöz C, Topakta</w:t>
      </w:r>
      <w:r w:rsidRPr="008A28E4">
        <w:rPr>
          <w:rFonts w:ascii="Book Antiqua" w:eastAsia="MS Mincho" w:hAnsi="Book Antiqua" w:cs="MS Mincho"/>
          <w:sz w:val="24"/>
          <w:szCs w:val="24"/>
        </w:rPr>
        <w:t>ş</w:t>
      </w:r>
      <w:r w:rsidRPr="008A28E4">
        <w:rPr>
          <w:rFonts w:ascii="Book Antiqua" w:eastAsia="宋体" w:hAnsi="Book Antiqua" w:cs="宋体"/>
          <w:sz w:val="24"/>
          <w:szCs w:val="24"/>
        </w:rPr>
        <w:t xml:space="preserve"> R, Erdem MR, Onol SY. Impact of percutaneous renal access technique on outcomes of percutaneous nephrolithotomy. </w:t>
      </w:r>
      <w:r w:rsidRPr="008A28E4">
        <w:rPr>
          <w:rFonts w:ascii="Book Antiqua" w:eastAsia="宋体" w:hAnsi="Book Antiqua" w:cs="宋体"/>
          <w:i/>
          <w:iCs/>
          <w:sz w:val="24"/>
          <w:szCs w:val="24"/>
        </w:rPr>
        <w:t>J Endourol</w:t>
      </w:r>
      <w:r w:rsidRPr="008A28E4">
        <w:rPr>
          <w:rFonts w:ascii="Book Antiqua" w:eastAsia="宋体" w:hAnsi="Book Antiqua" w:cs="宋体"/>
          <w:sz w:val="24"/>
          <w:szCs w:val="24"/>
        </w:rPr>
        <w:t xml:space="preserve"> 2012; </w:t>
      </w:r>
      <w:r w:rsidRPr="008A28E4">
        <w:rPr>
          <w:rFonts w:ascii="Book Antiqua" w:eastAsia="宋体" w:hAnsi="Book Antiqua" w:cs="宋体"/>
          <w:b/>
          <w:bCs/>
          <w:sz w:val="24"/>
          <w:szCs w:val="24"/>
        </w:rPr>
        <w:t>26</w:t>
      </w:r>
      <w:r w:rsidRPr="008A28E4">
        <w:rPr>
          <w:rFonts w:ascii="Book Antiqua" w:eastAsia="宋体" w:hAnsi="Book Antiqua" w:cs="宋体"/>
          <w:sz w:val="24"/>
          <w:szCs w:val="24"/>
        </w:rPr>
        <w:t>: 828-833 [PMID: 22283962 DOI: 10.1089/end.2011.0563]</w:t>
      </w:r>
    </w:p>
    <w:p w:rsidR="00E503CC" w:rsidRPr="008A28E4" w:rsidRDefault="00E503CC" w:rsidP="008A28E4">
      <w:pPr>
        <w:spacing w:after="0" w:line="360" w:lineRule="auto"/>
        <w:jc w:val="both"/>
        <w:rPr>
          <w:rFonts w:ascii="Book Antiqua" w:eastAsia="宋体" w:hAnsi="Book Antiqua" w:cs="宋体"/>
          <w:sz w:val="24"/>
          <w:szCs w:val="24"/>
        </w:rPr>
      </w:pPr>
      <w:r w:rsidRPr="008A28E4">
        <w:rPr>
          <w:rFonts w:ascii="Book Antiqua" w:eastAsia="宋体" w:hAnsi="Book Antiqua" w:cs="宋体"/>
          <w:sz w:val="24"/>
          <w:szCs w:val="24"/>
        </w:rPr>
        <w:t xml:space="preserve">11 </w:t>
      </w:r>
      <w:r w:rsidRPr="008A28E4">
        <w:rPr>
          <w:rFonts w:ascii="Book Antiqua" w:eastAsia="宋体" w:hAnsi="Book Antiqua" w:cs="宋体"/>
          <w:b/>
          <w:bCs/>
          <w:sz w:val="24"/>
          <w:szCs w:val="24"/>
        </w:rPr>
        <w:t>Duty B</w:t>
      </w:r>
      <w:r w:rsidRPr="008A28E4">
        <w:rPr>
          <w:rFonts w:ascii="Book Antiqua" w:eastAsia="宋体" w:hAnsi="Book Antiqua" w:cs="宋体"/>
          <w:sz w:val="24"/>
          <w:szCs w:val="24"/>
        </w:rPr>
        <w:t xml:space="preserve">, Waingankar N, Okhunov Z, Ben Levi E, Smith A, Okeke Z. Anatomical variation between the prone, supine, and supine oblique positions on computed tomography: implications for percutaneous nephrolithotomy access. </w:t>
      </w:r>
      <w:r w:rsidRPr="008A28E4">
        <w:rPr>
          <w:rFonts w:ascii="Book Antiqua" w:eastAsia="宋体" w:hAnsi="Book Antiqua" w:cs="宋体"/>
          <w:i/>
          <w:iCs/>
          <w:sz w:val="24"/>
          <w:szCs w:val="24"/>
        </w:rPr>
        <w:t>Urology</w:t>
      </w:r>
      <w:r w:rsidRPr="008A28E4">
        <w:rPr>
          <w:rFonts w:ascii="Book Antiqua" w:eastAsia="宋体" w:hAnsi="Book Antiqua" w:cs="宋体"/>
          <w:sz w:val="24"/>
          <w:szCs w:val="24"/>
        </w:rPr>
        <w:t xml:space="preserve"> 2012; </w:t>
      </w:r>
      <w:r w:rsidRPr="008A28E4">
        <w:rPr>
          <w:rFonts w:ascii="Book Antiqua" w:eastAsia="宋体" w:hAnsi="Book Antiqua" w:cs="宋体"/>
          <w:b/>
          <w:bCs/>
          <w:sz w:val="24"/>
          <w:szCs w:val="24"/>
        </w:rPr>
        <w:t>79</w:t>
      </w:r>
      <w:r w:rsidRPr="008A28E4">
        <w:rPr>
          <w:rFonts w:ascii="Book Antiqua" w:eastAsia="宋体" w:hAnsi="Book Antiqua" w:cs="宋体"/>
          <w:sz w:val="24"/>
          <w:szCs w:val="24"/>
        </w:rPr>
        <w:t>: 67-71 [PMID: 21820700]</w:t>
      </w:r>
    </w:p>
    <w:p w:rsidR="00E503CC" w:rsidRPr="008A28E4" w:rsidRDefault="00E503CC" w:rsidP="008A28E4">
      <w:pPr>
        <w:spacing w:after="0" w:line="360" w:lineRule="auto"/>
        <w:jc w:val="both"/>
        <w:rPr>
          <w:rFonts w:ascii="Book Antiqua" w:eastAsia="宋体" w:hAnsi="Book Antiqua" w:cs="宋体"/>
          <w:sz w:val="24"/>
          <w:szCs w:val="24"/>
        </w:rPr>
      </w:pPr>
      <w:r w:rsidRPr="008A28E4">
        <w:rPr>
          <w:rFonts w:ascii="Book Antiqua" w:eastAsia="宋体" w:hAnsi="Book Antiqua" w:cs="宋体"/>
          <w:sz w:val="24"/>
          <w:szCs w:val="24"/>
        </w:rPr>
        <w:t xml:space="preserve">12 </w:t>
      </w:r>
      <w:r w:rsidRPr="008A28E4">
        <w:rPr>
          <w:rFonts w:ascii="Book Antiqua" w:eastAsia="宋体" w:hAnsi="Book Antiqua" w:cs="宋体"/>
          <w:b/>
          <w:sz w:val="24"/>
          <w:szCs w:val="24"/>
        </w:rPr>
        <w:t>Lashley DB,</w:t>
      </w:r>
      <w:r w:rsidRPr="008A28E4">
        <w:rPr>
          <w:rFonts w:ascii="Book Antiqua" w:eastAsia="宋体" w:hAnsi="Book Antiqua" w:cs="宋体"/>
          <w:sz w:val="24"/>
          <w:szCs w:val="24"/>
        </w:rPr>
        <w:t xml:space="preserve"> Fuchs EF. Urologist-acquired renal access for percutaneous renal surgery. </w:t>
      </w:r>
      <w:r w:rsidRPr="008A28E4">
        <w:rPr>
          <w:rFonts w:ascii="Book Antiqua" w:eastAsia="宋体" w:hAnsi="Book Antiqua" w:cs="宋体"/>
          <w:i/>
          <w:sz w:val="24"/>
          <w:szCs w:val="24"/>
        </w:rPr>
        <w:t>Urology</w:t>
      </w:r>
      <w:r w:rsidRPr="008A28E4">
        <w:rPr>
          <w:rFonts w:ascii="Book Antiqua" w:eastAsia="宋体" w:hAnsi="Book Antiqua" w:cs="宋体"/>
          <w:sz w:val="24"/>
          <w:szCs w:val="24"/>
        </w:rPr>
        <w:t xml:space="preserve"> 1998; 51: 927-931 [PMID: 9609628 DOI: 10.1016/S0090-4295(98)00101-0]</w:t>
      </w:r>
    </w:p>
    <w:p w:rsidR="00E503CC" w:rsidRPr="008A28E4" w:rsidRDefault="00E503CC" w:rsidP="008A28E4">
      <w:pPr>
        <w:spacing w:after="0" w:line="360" w:lineRule="auto"/>
        <w:jc w:val="both"/>
        <w:rPr>
          <w:rFonts w:ascii="Book Antiqua" w:eastAsia="宋体" w:hAnsi="Book Antiqua" w:cs="宋体"/>
          <w:sz w:val="24"/>
          <w:szCs w:val="24"/>
        </w:rPr>
      </w:pPr>
      <w:r w:rsidRPr="008A28E4">
        <w:rPr>
          <w:rFonts w:ascii="Book Antiqua" w:eastAsia="宋体" w:hAnsi="Book Antiqua" w:cs="宋体"/>
          <w:sz w:val="24"/>
          <w:szCs w:val="24"/>
        </w:rPr>
        <w:t xml:space="preserve">13 </w:t>
      </w:r>
      <w:r w:rsidRPr="008A28E4">
        <w:rPr>
          <w:rFonts w:ascii="Book Antiqua" w:eastAsia="宋体" w:hAnsi="Book Antiqua" w:cs="宋体"/>
          <w:b/>
          <w:bCs/>
          <w:sz w:val="24"/>
          <w:szCs w:val="24"/>
        </w:rPr>
        <w:t>Tomaszewski JJ</w:t>
      </w:r>
      <w:r w:rsidRPr="008A28E4">
        <w:rPr>
          <w:rFonts w:ascii="Book Antiqua" w:eastAsia="宋体" w:hAnsi="Book Antiqua" w:cs="宋体"/>
          <w:sz w:val="24"/>
          <w:szCs w:val="24"/>
        </w:rPr>
        <w:t xml:space="preserve">, Ortiz TD, Gayed BA, Smaldone MC, Jackman SV, Averch TD. Renal access by urologist or radiologist during percutaneous nephrolithotomy. </w:t>
      </w:r>
      <w:r w:rsidRPr="008A28E4">
        <w:rPr>
          <w:rFonts w:ascii="Book Antiqua" w:eastAsia="宋体" w:hAnsi="Book Antiqua" w:cs="宋体"/>
          <w:i/>
          <w:iCs/>
          <w:sz w:val="24"/>
          <w:szCs w:val="24"/>
        </w:rPr>
        <w:t>J Endourol</w:t>
      </w:r>
      <w:r w:rsidRPr="008A28E4">
        <w:rPr>
          <w:rFonts w:ascii="Book Antiqua" w:eastAsia="宋体" w:hAnsi="Book Antiqua" w:cs="宋体"/>
          <w:sz w:val="24"/>
          <w:szCs w:val="24"/>
        </w:rPr>
        <w:t xml:space="preserve"> 2010; </w:t>
      </w:r>
      <w:r w:rsidRPr="008A28E4">
        <w:rPr>
          <w:rFonts w:ascii="Book Antiqua" w:eastAsia="宋体" w:hAnsi="Book Antiqua" w:cs="宋体"/>
          <w:b/>
          <w:bCs/>
          <w:sz w:val="24"/>
          <w:szCs w:val="24"/>
        </w:rPr>
        <w:t>24</w:t>
      </w:r>
      <w:r w:rsidRPr="008A28E4">
        <w:rPr>
          <w:rFonts w:ascii="Book Antiqua" w:eastAsia="宋体" w:hAnsi="Book Antiqua" w:cs="宋体"/>
          <w:sz w:val="24"/>
          <w:szCs w:val="24"/>
        </w:rPr>
        <w:t>: 1733-1737 [PMID: 20919919 DOI: 10.1089/end.2010.0191]</w:t>
      </w:r>
    </w:p>
    <w:p w:rsidR="00E503CC" w:rsidRPr="008A28E4" w:rsidRDefault="00E503CC" w:rsidP="008A28E4">
      <w:pPr>
        <w:spacing w:after="0" w:line="360" w:lineRule="auto"/>
        <w:jc w:val="both"/>
        <w:rPr>
          <w:rFonts w:ascii="Book Antiqua" w:eastAsia="宋体" w:hAnsi="Book Antiqua" w:cs="宋体"/>
          <w:sz w:val="24"/>
          <w:szCs w:val="24"/>
        </w:rPr>
      </w:pPr>
      <w:r w:rsidRPr="008A28E4">
        <w:rPr>
          <w:rFonts w:ascii="Book Antiqua" w:eastAsia="宋体" w:hAnsi="Book Antiqua" w:cs="宋体"/>
          <w:sz w:val="24"/>
          <w:szCs w:val="24"/>
        </w:rPr>
        <w:t xml:space="preserve">14 </w:t>
      </w:r>
      <w:r w:rsidRPr="008A28E4">
        <w:rPr>
          <w:rFonts w:ascii="Book Antiqua" w:eastAsia="宋体" w:hAnsi="Book Antiqua" w:cs="宋体"/>
          <w:b/>
          <w:bCs/>
          <w:sz w:val="24"/>
          <w:szCs w:val="24"/>
        </w:rPr>
        <w:t>El-Assmy AM</w:t>
      </w:r>
      <w:r w:rsidRPr="008A28E4">
        <w:rPr>
          <w:rFonts w:ascii="Book Antiqua" w:eastAsia="宋体" w:hAnsi="Book Antiqua" w:cs="宋体"/>
          <w:sz w:val="24"/>
          <w:szCs w:val="24"/>
        </w:rPr>
        <w:t xml:space="preserve">, Shokeir AA, Mohsen T, El-Tabey N, El-Nahas AR, Shoma AM, Eraky I, El-Kenawy MR, El-Kappany HA. Renal access by urologist or radiologist for percutaneous nephrolithotomy--is it still an issue? </w:t>
      </w:r>
      <w:r w:rsidRPr="008A28E4">
        <w:rPr>
          <w:rFonts w:ascii="Book Antiqua" w:eastAsia="宋体" w:hAnsi="Book Antiqua" w:cs="宋体"/>
          <w:i/>
          <w:iCs/>
          <w:sz w:val="24"/>
          <w:szCs w:val="24"/>
        </w:rPr>
        <w:t>J Urol</w:t>
      </w:r>
      <w:r w:rsidRPr="008A28E4">
        <w:rPr>
          <w:rFonts w:ascii="Book Antiqua" w:eastAsia="宋体" w:hAnsi="Book Antiqua" w:cs="宋体"/>
          <w:sz w:val="24"/>
          <w:szCs w:val="24"/>
        </w:rPr>
        <w:t xml:space="preserve"> 2007; </w:t>
      </w:r>
      <w:r w:rsidRPr="008A28E4">
        <w:rPr>
          <w:rFonts w:ascii="Book Antiqua" w:eastAsia="宋体" w:hAnsi="Book Antiqua" w:cs="宋体"/>
          <w:b/>
          <w:bCs/>
          <w:sz w:val="24"/>
          <w:szCs w:val="24"/>
        </w:rPr>
        <w:t>178</w:t>
      </w:r>
      <w:r w:rsidRPr="008A28E4">
        <w:rPr>
          <w:rFonts w:ascii="Book Antiqua" w:eastAsia="宋体" w:hAnsi="Book Antiqua" w:cs="宋体"/>
          <w:sz w:val="24"/>
          <w:szCs w:val="24"/>
        </w:rPr>
        <w:t>: 916-920; discussion 920 [PMID: 17632136 DOI: 10.1016/j.juro.2007.05.015]</w:t>
      </w:r>
    </w:p>
    <w:p w:rsidR="00E503CC" w:rsidRPr="008A28E4" w:rsidRDefault="00E503CC" w:rsidP="008A28E4">
      <w:pPr>
        <w:spacing w:after="0" w:line="360" w:lineRule="auto"/>
        <w:jc w:val="both"/>
        <w:rPr>
          <w:rFonts w:ascii="Book Antiqua" w:eastAsia="宋体" w:hAnsi="Book Antiqua" w:cs="宋体"/>
          <w:sz w:val="24"/>
          <w:szCs w:val="24"/>
        </w:rPr>
      </w:pPr>
      <w:r w:rsidRPr="008A28E4">
        <w:rPr>
          <w:rFonts w:ascii="Book Antiqua" w:eastAsia="宋体" w:hAnsi="Book Antiqua" w:cs="宋体"/>
          <w:sz w:val="24"/>
          <w:szCs w:val="24"/>
        </w:rPr>
        <w:t xml:space="preserve">15 </w:t>
      </w:r>
      <w:r w:rsidRPr="008A28E4">
        <w:rPr>
          <w:rFonts w:ascii="Book Antiqua" w:eastAsia="宋体" w:hAnsi="Book Antiqua" w:cs="宋体"/>
          <w:b/>
          <w:bCs/>
          <w:sz w:val="24"/>
          <w:szCs w:val="24"/>
        </w:rPr>
        <w:t>Bird VG</w:t>
      </w:r>
      <w:r w:rsidRPr="008A28E4">
        <w:rPr>
          <w:rFonts w:ascii="Book Antiqua" w:eastAsia="宋体" w:hAnsi="Book Antiqua" w:cs="宋体"/>
          <w:sz w:val="24"/>
          <w:szCs w:val="24"/>
        </w:rPr>
        <w:t xml:space="preserve">, Fallon B, Winfield HN. Practice patterns in the treatment of large renal stones. </w:t>
      </w:r>
      <w:r w:rsidRPr="008A28E4">
        <w:rPr>
          <w:rFonts w:ascii="Book Antiqua" w:eastAsia="宋体" w:hAnsi="Book Antiqua" w:cs="宋体"/>
          <w:i/>
          <w:iCs/>
          <w:sz w:val="24"/>
          <w:szCs w:val="24"/>
        </w:rPr>
        <w:t>J Endourol</w:t>
      </w:r>
      <w:r w:rsidRPr="008A28E4">
        <w:rPr>
          <w:rFonts w:ascii="Book Antiqua" w:eastAsia="宋体" w:hAnsi="Book Antiqua" w:cs="宋体"/>
          <w:sz w:val="24"/>
          <w:szCs w:val="24"/>
        </w:rPr>
        <w:t xml:space="preserve"> 2003; </w:t>
      </w:r>
      <w:r w:rsidRPr="008A28E4">
        <w:rPr>
          <w:rFonts w:ascii="Book Antiqua" w:eastAsia="宋体" w:hAnsi="Book Antiqua" w:cs="宋体"/>
          <w:b/>
          <w:bCs/>
          <w:sz w:val="24"/>
          <w:szCs w:val="24"/>
        </w:rPr>
        <w:t>17</w:t>
      </w:r>
      <w:r w:rsidRPr="008A28E4">
        <w:rPr>
          <w:rFonts w:ascii="Book Antiqua" w:eastAsia="宋体" w:hAnsi="Book Antiqua" w:cs="宋体"/>
          <w:sz w:val="24"/>
          <w:szCs w:val="24"/>
        </w:rPr>
        <w:t>: 355-363 [PMID: 12965059 DOI: 10.1089/089277903767923119]</w:t>
      </w:r>
    </w:p>
    <w:p w:rsidR="00E503CC" w:rsidRPr="008A28E4" w:rsidRDefault="00E503CC" w:rsidP="008A28E4">
      <w:pPr>
        <w:spacing w:after="0" w:line="360" w:lineRule="auto"/>
        <w:jc w:val="both"/>
        <w:rPr>
          <w:rFonts w:ascii="Book Antiqua" w:eastAsia="宋体" w:hAnsi="Book Antiqua" w:cs="宋体"/>
          <w:sz w:val="24"/>
          <w:szCs w:val="24"/>
        </w:rPr>
      </w:pPr>
      <w:r w:rsidRPr="008A28E4">
        <w:rPr>
          <w:rFonts w:ascii="Book Antiqua" w:eastAsia="宋体" w:hAnsi="Book Antiqua" w:cs="宋体"/>
          <w:sz w:val="24"/>
          <w:szCs w:val="24"/>
        </w:rPr>
        <w:t xml:space="preserve">16 </w:t>
      </w:r>
      <w:r w:rsidRPr="008A28E4">
        <w:rPr>
          <w:rFonts w:ascii="Book Antiqua" w:eastAsia="宋体" w:hAnsi="Book Antiqua" w:cs="宋体"/>
          <w:b/>
          <w:bCs/>
          <w:sz w:val="24"/>
          <w:szCs w:val="24"/>
        </w:rPr>
        <w:t>Lee CL</w:t>
      </w:r>
      <w:r w:rsidRPr="008A28E4">
        <w:rPr>
          <w:rFonts w:ascii="Book Antiqua" w:eastAsia="宋体" w:hAnsi="Book Antiqua" w:cs="宋体"/>
          <w:sz w:val="24"/>
          <w:szCs w:val="24"/>
        </w:rPr>
        <w:t xml:space="preserve">, Anderson JK, Monga M. Residency training in percutaneous renal access: does it affect urological practice? </w:t>
      </w:r>
      <w:r w:rsidRPr="008A28E4">
        <w:rPr>
          <w:rFonts w:ascii="Book Antiqua" w:eastAsia="宋体" w:hAnsi="Book Antiqua" w:cs="宋体"/>
          <w:i/>
          <w:iCs/>
          <w:sz w:val="24"/>
          <w:szCs w:val="24"/>
        </w:rPr>
        <w:t>J Urol</w:t>
      </w:r>
      <w:r w:rsidRPr="008A28E4">
        <w:rPr>
          <w:rFonts w:ascii="Book Antiqua" w:eastAsia="宋体" w:hAnsi="Book Antiqua" w:cs="宋体"/>
          <w:sz w:val="24"/>
          <w:szCs w:val="24"/>
        </w:rPr>
        <w:t xml:space="preserve"> 2004; </w:t>
      </w:r>
      <w:r w:rsidRPr="008A28E4">
        <w:rPr>
          <w:rFonts w:ascii="Book Antiqua" w:eastAsia="宋体" w:hAnsi="Book Antiqua" w:cs="宋体"/>
          <w:b/>
          <w:bCs/>
          <w:sz w:val="24"/>
          <w:szCs w:val="24"/>
        </w:rPr>
        <w:t>171</w:t>
      </w:r>
      <w:r w:rsidRPr="008A28E4">
        <w:rPr>
          <w:rFonts w:ascii="Book Antiqua" w:eastAsia="宋体" w:hAnsi="Book Antiqua" w:cs="宋体"/>
          <w:sz w:val="24"/>
          <w:szCs w:val="24"/>
        </w:rPr>
        <w:t>: 592-595 [PMID: 14713766 DOI: 10.1097/01.ju.0000104849.25168.6d]</w:t>
      </w:r>
    </w:p>
    <w:p w:rsidR="00E503CC" w:rsidRPr="008A28E4" w:rsidRDefault="00E503CC" w:rsidP="008A28E4">
      <w:pPr>
        <w:spacing w:after="0" w:line="360" w:lineRule="auto"/>
        <w:jc w:val="both"/>
        <w:rPr>
          <w:rFonts w:ascii="Book Antiqua" w:eastAsia="宋体" w:hAnsi="Book Antiqua" w:cs="宋体"/>
          <w:sz w:val="24"/>
          <w:szCs w:val="24"/>
        </w:rPr>
      </w:pPr>
      <w:r w:rsidRPr="008A28E4">
        <w:rPr>
          <w:rFonts w:ascii="Book Antiqua" w:eastAsia="宋体" w:hAnsi="Book Antiqua" w:cs="宋体"/>
          <w:sz w:val="24"/>
          <w:szCs w:val="24"/>
        </w:rPr>
        <w:t xml:space="preserve">17 </w:t>
      </w:r>
      <w:r w:rsidRPr="008A28E4">
        <w:rPr>
          <w:rFonts w:ascii="Book Antiqua" w:eastAsia="宋体" w:hAnsi="Book Antiqua" w:cs="宋体"/>
          <w:b/>
          <w:bCs/>
          <w:sz w:val="24"/>
          <w:szCs w:val="24"/>
        </w:rPr>
        <w:t>Miller J</w:t>
      </w:r>
      <w:r w:rsidRPr="008A28E4">
        <w:rPr>
          <w:rFonts w:ascii="Book Antiqua" w:eastAsia="宋体" w:hAnsi="Book Antiqua" w:cs="宋体"/>
          <w:sz w:val="24"/>
          <w:szCs w:val="24"/>
        </w:rPr>
        <w:t xml:space="preserve">, Durack JC, Sorensen MD, Wang JH, Stoller ML. Renal calyceal anatomy characterization with 3-dimensional in vivo computerized tomography imaging. </w:t>
      </w:r>
      <w:r w:rsidRPr="008A28E4">
        <w:rPr>
          <w:rFonts w:ascii="Book Antiqua" w:eastAsia="宋体" w:hAnsi="Book Antiqua" w:cs="宋体"/>
          <w:i/>
          <w:iCs/>
          <w:sz w:val="24"/>
          <w:szCs w:val="24"/>
        </w:rPr>
        <w:t>J Urol</w:t>
      </w:r>
      <w:r w:rsidRPr="008A28E4">
        <w:rPr>
          <w:rFonts w:ascii="Book Antiqua" w:eastAsia="宋体" w:hAnsi="Book Antiqua" w:cs="宋体"/>
          <w:sz w:val="24"/>
          <w:szCs w:val="24"/>
        </w:rPr>
        <w:t xml:space="preserve"> 2013; </w:t>
      </w:r>
      <w:r w:rsidRPr="008A28E4">
        <w:rPr>
          <w:rFonts w:ascii="Book Antiqua" w:eastAsia="宋体" w:hAnsi="Book Antiqua" w:cs="宋体"/>
          <w:b/>
          <w:bCs/>
          <w:sz w:val="24"/>
          <w:szCs w:val="24"/>
        </w:rPr>
        <w:t>189</w:t>
      </w:r>
      <w:r w:rsidRPr="008A28E4">
        <w:rPr>
          <w:rFonts w:ascii="Book Antiqua" w:eastAsia="宋体" w:hAnsi="Book Antiqua" w:cs="宋体"/>
          <w:sz w:val="24"/>
          <w:szCs w:val="24"/>
        </w:rPr>
        <w:t>: 562-567 [PMID: 23260557 DOI: 10.1016/j.juro.2012.09.040]</w:t>
      </w:r>
    </w:p>
    <w:p w:rsidR="00E503CC" w:rsidRPr="008A28E4" w:rsidRDefault="00E503CC" w:rsidP="008A28E4">
      <w:pPr>
        <w:spacing w:after="0" w:line="360" w:lineRule="auto"/>
        <w:jc w:val="both"/>
        <w:rPr>
          <w:rFonts w:ascii="Book Antiqua" w:eastAsia="宋体" w:hAnsi="Book Antiqua" w:cs="宋体"/>
          <w:sz w:val="24"/>
          <w:szCs w:val="24"/>
        </w:rPr>
      </w:pPr>
      <w:r w:rsidRPr="008A28E4">
        <w:rPr>
          <w:rFonts w:ascii="Book Antiqua" w:eastAsia="宋体" w:hAnsi="Book Antiqua" w:cs="宋体"/>
          <w:sz w:val="24"/>
          <w:szCs w:val="24"/>
        </w:rPr>
        <w:t xml:space="preserve">18 </w:t>
      </w:r>
      <w:r w:rsidRPr="008A28E4">
        <w:rPr>
          <w:rFonts w:ascii="Book Antiqua" w:eastAsia="宋体" w:hAnsi="Book Antiqua" w:cs="宋体"/>
          <w:b/>
          <w:bCs/>
          <w:sz w:val="24"/>
          <w:szCs w:val="24"/>
        </w:rPr>
        <w:t>Edgcombe H</w:t>
      </w:r>
      <w:r w:rsidRPr="008A28E4">
        <w:rPr>
          <w:rFonts w:ascii="Book Antiqua" w:eastAsia="宋体" w:hAnsi="Book Antiqua" w:cs="宋体"/>
          <w:sz w:val="24"/>
          <w:szCs w:val="24"/>
        </w:rPr>
        <w:t xml:space="preserve">, Carter K, Yarrow S. Anaesthesia in the prone position. </w:t>
      </w:r>
      <w:r w:rsidRPr="008A28E4">
        <w:rPr>
          <w:rFonts w:ascii="Book Antiqua" w:eastAsia="宋体" w:hAnsi="Book Antiqua" w:cs="宋体"/>
          <w:i/>
          <w:iCs/>
          <w:sz w:val="24"/>
          <w:szCs w:val="24"/>
        </w:rPr>
        <w:t>Br J Anaesth</w:t>
      </w:r>
      <w:r w:rsidRPr="008A28E4">
        <w:rPr>
          <w:rFonts w:ascii="Book Antiqua" w:eastAsia="宋体" w:hAnsi="Book Antiqua" w:cs="宋体"/>
          <w:sz w:val="24"/>
          <w:szCs w:val="24"/>
        </w:rPr>
        <w:t xml:space="preserve"> 2008; </w:t>
      </w:r>
      <w:r w:rsidRPr="008A28E4">
        <w:rPr>
          <w:rFonts w:ascii="Book Antiqua" w:eastAsia="宋体" w:hAnsi="Book Antiqua" w:cs="宋体"/>
          <w:b/>
          <w:bCs/>
          <w:sz w:val="24"/>
          <w:szCs w:val="24"/>
        </w:rPr>
        <w:t>100</w:t>
      </w:r>
      <w:r w:rsidRPr="008A28E4">
        <w:rPr>
          <w:rFonts w:ascii="Book Antiqua" w:eastAsia="宋体" w:hAnsi="Book Antiqua" w:cs="宋体"/>
          <w:sz w:val="24"/>
          <w:szCs w:val="24"/>
        </w:rPr>
        <w:t>: 165-183 [PMID: 18211991 DOI: 10.1093/bja/aem380]</w:t>
      </w:r>
    </w:p>
    <w:p w:rsidR="00E503CC" w:rsidRPr="008A28E4" w:rsidRDefault="00E503CC" w:rsidP="008A28E4">
      <w:pPr>
        <w:spacing w:after="0" w:line="360" w:lineRule="auto"/>
        <w:jc w:val="both"/>
        <w:rPr>
          <w:rFonts w:ascii="Book Antiqua" w:eastAsia="宋体" w:hAnsi="Book Antiqua" w:cs="宋体"/>
          <w:sz w:val="24"/>
          <w:szCs w:val="24"/>
        </w:rPr>
      </w:pPr>
      <w:r w:rsidRPr="008A28E4">
        <w:rPr>
          <w:rFonts w:ascii="Book Antiqua" w:eastAsia="宋体" w:hAnsi="Book Antiqua" w:cs="宋体"/>
          <w:sz w:val="24"/>
          <w:szCs w:val="24"/>
        </w:rPr>
        <w:t xml:space="preserve">19 </w:t>
      </w:r>
      <w:r w:rsidRPr="008A28E4">
        <w:rPr>
          <w:rFonts w:ascii="Book Antiqua" w:eastAsia="宋体" w:hAnsi="Book Antiqua" w:cs="宋体"/>
          <w:b/>
          <w:bCs/>
          <w:sz w:val="24"/>
          <w:szCs w:val="24"/>
        </w:rPr>
        <w:t>Stevens WR</w:t>
      </w:r>
      <w:r w:rsidRPr="008A28E4">
        <w:rPr>
          <w:rFonts w:ascii="Book Antiqua" w:eastAsia="宋体" w:hAnsi="Book Antiqua" w:cs="宋体"/>
          <w:sz w:val="24"/>
          <w:szCs w:val="24"/>
        </w:rPr>
        <w:t xml:space="preserve">, Glazer PA, Kelley SD, Lietman TM, Bradford DS. Ophthalmic complications after spinal surgery. </w:t>
      </w:r>
      <w:r w:rsidRPr="008A28E4">
        <w:rPr>
          <w:rFonts w:ascii="Book Antiqua" w:eastAsia="宋体" w:hAnsi="Book Antiqua" w:cs="宋体"/>
          <w:i/>
          <w:iCs/>
          <w:sz w:val="24"/>
          <w:szCs w:val="24"/>
        </w:rPr>
        <w:t xml:space="preserve">Spine </w:t>
      </w:r>
      <w:r w:rsidRPr="003E5A19">
        <w:rPr>
          <w:rFonts w:ascii="Book Antiqua" w:eastAsia="宋体" w:hAnsi="Book Antiqua" w:cs="宋体"/>
          <w:iCs/>
          <w:sz w:val="24"/>
          <w:szCs w:val="24"/>
        </w:rPr>
        <w:t>(Phila Pa 1976)</w:t>
      </w:r>
      <w:r w:rsidRPr="008A28E4">
        <w:rPr>
          <w:rFonts w:ascii="Book Antiqua" w:eastAsia="宋体" w:hAnsi="Book Antiqua" w:cs="宋体"/>
          <w:sz w:val="24"/>
          <w:szCs w:val="24"/>
        </w:rPr>
        <w:t xml:space="preserve"> 1997; </w:t>
      </w:r>
      <w:r w:rsidRPr="008A28E4">
        <w:rPr>
          <w:rFonts w:ascii="Book Antiqua" w:eastAsia="宋体" w:hAnsi="Book Antiqua" w:cs="宋体"/>
          <w:b/>
          <w:bCs/>
          <w:sz w:val="24"/>
          <w:szCs w:val="24"/>
        </w:rPr>
        <w:t>22</w:t>
      </w:r>
      <w:r w:rsidRPr="008A28E4">
        <w:rPr>
          <w:rFonts w:ascii="Book Antiqua" w:eastAsia="宋体" w:hAnsi="Book Antiqua" w:cs="宋体"/>
          <w:sz w:val="24"/>
          <w:szCs w:val="24"/>
        </w:rPr>
        <w:t>: 1319-1324 [PMID: 9201834]</w:t>
      </w:r>
    </w:p>
    <w:p w:rsidR="00E503CC" w:rsidRPr="008A28E4" w:rsidRDefault="00E503CC" w:rsidP="008A28E4">
      <w:pPr>
        <w:spacing w:after="0" w:line="360" w:lineRule="auto"/>
        <w:jc w:val="both"/>
        <w:rPr>
          <w:rFonts w:ascii="Book Antiqua" w:eastAsia="宋体" w:hAnsi="Book Antiqua" w:cs="宋体"/>
          <w:sz w:val="24"/>
          <w:szCs w:val="24"/>
        </w:rPr>
      </w:pPr>
      <w:r w:rsidRPr="008A28E4">
        <w:rPr>
          <w:rFonts w:ascii="Book Antiqua" w:eastAsia="宋体" w:hAnsi="Book Antiqua" w:cs="宋体"/>
          <w:sz w:val="24"/>
          <w:szCs w:val="24"/>
        </w:rPr>
        <w:t xml:space="preserve">20 </w:t>
      </w:r>
      <w:r w:rsidRPr="008A28E4">
        <w:rPr>
          <w:rFonts w:ascii="Book Antiqua" w:eastAsia="宋体" w:hAnsi="Book Antiqua" w:cs="宋体"/>
          <w:b/>
          <w:bCs/>
          <w:sz w:val="24"/>
          <w:szCs w:val="24"/>
        </w:rPr>
        <w:t>Miller NL</w:t>
      </w:r>
      <w:r w:rsidRPr="008A28E4">
        <w:rPr>
          <w:rFonts w:ascii="Book Antiqua" w:eastAsia="宋体" w:hAnsi="Book Antiqua" w:cs="宋体"/>
          <w:sz w:val="24"/>
          <w:szCs w:val="24"/>
        </w:rPr>
        <w:t xml:space="preserve">, Matlaga BR, Lingeman JE. Techniques for fluoroscopic percutaneous renal access. </w:t>
      </w:r>
      <w:r w:rsidRPr="008A28E4">
        <w:rPr>
          <w:rFonts w:ascii="Book Antiqua" w:eastAsia="宋体" w:hAnsi="Book Antiqua" w:cs="宋体"/>
          <w:i/>
          <w:iCs/>
          <w:sz w:val="24"/>
          <w:szCs w:val="24"/>
        </w:rPr>
        <w:t>J Urol</w:t>
      </w:r>
      <w:r w:rsidRPr="008A28E4">
        <w:rPr>
          <w:rFonts w:ascii="Book Antiqua" w:eastAsia="宋体" w:hAnsi="Book Antiqua" w:cs="宋体"/>
          <w:sz w:val="24"/>
          <w:szCs w:val="24"/>
        </w:rPr>
        <w:t xml:space="preserve"> 2007; </w:t>
      </w:r>
      <w:r w:rsidRPr="008A28E4">
        <w:rPr>
          <w:rFonts w:ascii="Book Antiqua" w:eastAsia="宋体" w:hAnsi="Book Antiqua" w:cs="宋体"/>
          <w:b/>
          <w:bCs/>
          <w:sz w:val="24"/>
          <w:szCs w:val="24"/>
        </w:rPr>
        <w:t>178</w:t>
      </w:r>
      <w:r w:rsidRPr="008A28E4">
        <w:rPr>
          <w:rFonts w:ascii="Book Antiqua" w:eastAsia="宋体" w:hAnsi="Book Antiqua" w:cs="宋体"/>
          <w:sz w:val="24"/>
          <w:szCs w:val="24"/>
        </w:rPr>
        <w:t>: 15-23 [PMID: 17574053 DOI: 10.1016/j.juro.2007.03.014]</w:t>
      </w:r>
    </w:p>
    <w:p w:rsidR="00E503CC" w:rsidRPr="008A28E4" w:rsidRDefault="00E503CC" w:rsidP="008A28E4">
      <w:pPr>
        <w:spacing w:after="0" w:line="360" w:lineRule="auto"/>
        <w:jc w:val="both"/>
        <w:rPr>
          <w:rFonts w:ascii="Book Antiqua" w:eastAsia="宋体" w:hAnsi="Book Antiqua" w:cs="宋体"/>
          <w:sz w:val="24"/>
          <w:szCs w:val="24"/>
        </w:rPr>
      </w:pPr>
      <w:r w:rsidRPr="008A28E4">
        <w:rPr>
          <w:rFonts w:ascii="Book Antiqua" w:eastAsia="宋体" w:hAnsi="Book Antiqua" w:cs="宋体"/>
          <w:sz w:val="24"/>
          <w:szCs w:val="24"/>
        </w:rPr>
        <w:t xml:space="preserve">21 </w:t>
      </w:r>
      <w:r w:rsidRPr="008A28E4">
        <w:rPr>
          <w:rFonts w:ascii="Book Antiqua" w:eastAsia="宋体" w:hAnsi="Book Antiqua" w:cs="宋体"/>
          <w:b/>
          <w:bCs/>
          <w:sz w:val="24"/>
          <w:szCs w:val="24"/>
        </w:rPr>
        <w:t>Ko R</w:t>
      </w:r>
      <w:r w:rsidRPr="008A28E4">
        <w:rPr>
          <w:rFonts w:ascii="Book Antiqua" w:eastAsia="宋体" w:hAnsi="Book Antiqua" w:cs="宋体"/>
          <w:sz w:val="24"/>
          <w:szCs w:val="24"/>
        </w:rPr>
        <w:t xml:space="preserve">, Soucy F, Denstedt JD, Razvi H. Percutaneous nephrolithotomy made easier: a practical guide, tips and tricks. </w:t>
      </w:r>
      <w:r w:rsidRPr="008A28E4">
        <w:rPr>
          <w:rFonts w:ascii="Book Antiqua" w:eastAsia="宋体" w:hAnsi="Book Antiqua" w:cs="宋体"/>
          <w:i/>
          <w:iCs/>
          <w:sz w:val="24"/>
          <w:szCs w:val="24"/>
        </w:rPr>
        <w:t>BJU Int</w:t>
      </w:r>
      <w:r w:rsidRPr="008A28E4">
        <w:rPr>
          <w:rFonts w:ascii="Book Antiqua" w:eastAsia="宋体" w:hAnsi="Book Antiqua" w:cs="宋体"/>
          <w:sz w:val="24"/>
          <w:szCs w:val="24"/>
        </w:rPr>
        <w:t xml:space="preserve"> 2008; </w:t>
      </w:r>
      <w:r w:rsidRPr="008A28E4">
        <w:rPr>
          <w:rFonts w:ascii="Book Antiqua" w:eastAsia="宋体" w:hAnsi="Book Antiqua" w:cs="宋体"/>
          <w:b/>
          <w:bCs/>
          <w:sz w:val="24"/>
          <w:szCs w:val="24"/>
        </w:rPr>
        <w:t>101</w:t>
      </w:r>
      <w:r w:rsidRPr="008A28E4">
        <w:rPr>
          <w:rFonts w:ascii="Book Antiqua" w:eastAsia="宋体" w:hAnsi="Book Antiqua" w:cs="宋体"/>
          <w:sz w:val="24"/>
          <w:szCs w:val="24"/>
        </w:rPr>
        <w:t>: 535-539 [PMID: 17922862 DOI: 10.1111/j.1464-410X.2007.07259.x]</w:t>
      </w:r>
    </w:p>
    <w:p w:rsidR="00E503CC" w:rsidRPr="008A28E4" w:rsidRDefault="00E503CC" w:rsidP="008A28E4">
      <w:pPr>
        <w:spacing w:after="0" w:line="360" w:lineRule="auto"/>
        <w:jc w:val="both"/>
        <w:rPr>
          <w:rFonts w:ascii="Book Antiqua" w:eastAsia="宋体" w:hAnsi="Book Antiqua" w:cs="宋体"/>
          <w:sz w:val="24"/>
          <w:szCs w:val="24"/>
        </w:rPr>
      </w:pPr>
      <w:r w:rsidRPr="008A28E4">
        <w:rPr>
          <w:rFonts w:ascii="Book Antiqua" w:eastAsia="宋体" w:hAnsi="Book Antiqua" w:cs="宋体"/>
          <w:sz w:val="24"/>
          <w:szCs w:val="24"/>
        </w:rPr>
        <w:t xml:space="preserve">22 </w:t>
      </w:r>
      <w:r w:rsidRPr="008A28E4">
        <w:rPr>
          <w:rFonts w:ascii="Book Antiqua" w:eastAsia="宋体" w:hAnsi="Book Antiqua" w:cs="宋体"/>
          <w:b/>
          <w:sz w:val="24"/>
          <w:szCs w:val="24"/>
        </w:rPr>
        <w:t>Sampaio FJ.</w:t>
      </w:r>
      <w:r w:rsidRPr="008A28E4">
        <w:rPr>
          <w:rFonts w:ascii="Book Antiqua" w:eastAsia="宋体" w:hAnsi="Book Antiqua" w:cs="宋体"/>
          <w:sz w:val="24"/>
          <w:szCs w:val="24"/>
        </w:rPr>
        <w:t xml:space="preserve"> Renal anatomy. Endourologic con</w:t>
      </w:r>
      <w:r w:rsidR="00602B09">
        <w:rPr>
          <w:rFonts w:ascii="Book Antiqua" w:eastAsia="宋体" w:hAnsi="Book Antiqua" w:cs="宋体"/>
          <w:sz w:val="24"/>
          <w:szCs w:val="24"/>
        </w:rPr>
        <w:t xml:space="preserve">siderations. </w:t>
      </w:r>
      <w:r w:rsidR="00602B09" w:rsidRPr="00602B09">
        <w:rPr>
          <w:rFonts w:ascii="Book Antiqua" w:eastAsia="宋体" w:hAnsi="Book Antiqua" w:cs="宋体"/>
          <w:i/>
          <w:sz w:val="24"/>
          <w:szCs w:val="24"/>
        </w:rPr>
        <w:t>Urol Clin North Am</w:t>
      </w:r>
      <w:r w:rsidRPr="008A28E4">
        <w:rPr>
          <w:rFonts w:ascii="Book Antiqua" w:eastAsia="宋体" w:hAnsi="Book Antiqua" w:cs="宋体"/>
          <w:sz w:val="24"/>
          <w:szCs w:val="24"/>
        </w:rPr>
        <w:t xml:space="preserve"> 2000; </w:t>
      </w:r>
      <w:r w:rsidRPr="008A28E4">
        <w:rPr>
          <w:rFonts w:ascii="Book Antiqua" w:eastAsia="宋体" w:hAnsi="Book Antiqua" w:cs="宋体"/>
          <w:b/>
          <w:sz w:val="24"/>
          <w:szCs w:val="24"/>
        </w:rPr>
        <w:t>27:</w:t>
      </w:r>
      <w:r w:rsidRPr="008A28E4">
        <w:rPr>
          <w:rFonts w:ascii="Book Antiqua" w:eastAsia="宋体" w:hAnsi="Book Antiqua" w:cs="宋体"/>
          <w:sz w:val="24"/>
          <w:szCs w:val="24"/>
        </w:rPr>
        <w:t xml:space="preserve"> 585–607 [DOI: 10.1016/S0094-0143(05)70109-9] </w:t>
      </w:r>
    </w:p>
    <w:p w:rsidR="00E503CC" w:rsidRPr="008A28E4" w:rsidRDefault="00E503CC" w:rsidP="008A28E4">
      <w:pPr>
        <w:spacing w:after="0" w:line="360" w:lineRule="auto"/>
        <w:jc w:val="both"/>
        <w:rPr>
          <w:rFonts w:ascii="Book Antiqua" w:eastAsia="宋体" w:hAnsi="Book Antiqua" w:cs="宋体"/>
          <w:sz w:val="24"/>
          <w:szCs w:val="24"/>
        </w:rPr>
      </w:pPr>
      <w:r w:rsidRPr="008A28E4">
        <w:rPr>
          <w:rFonts w:ascii="Book Antiqua" w:eastAsia="宋体" w:hAnsi="Book Antiqua" w:cs="宋体"/>
          <w:sz w:val="24"/>
          <w:szCs w:val="24"/>
        </w:rPr>
        <w:t xml:space="preserve">23 </w:t>
      </w:r>
      <w:r w:rsidRPr="008A28E4">
        <w:rPr>
          <w:rFonts w:ascii="Book Antiqua" w:eastAsia="宋体" w:hAnsi="Book Antiqua" w:cs="宋体"/>
          <w:b/>
          <w:sz w:val="24"/>
          <w:szCs w:val="24"/>
        </w:rPr>
        <w:t>Carrico CW,</w:t>
      </w:r>
      <w:r w:rsidRPr="008A28E4">
        <w:rPr>
          <w:rFonts w:ascii="Book Antiqua" w:eastAsia="宋体" w:hAnsi="Book Antiqua" w:cs="宋体"/>
          <w:sz w:val="24"/>
          <w:szCs w:val="24"/>
        </w:rPr>
        <w:t xml:space="preserve"> Zerin JM. Sonographic measurement of renal length in children: does the position of the patient matter? </w:t>
      </w:r>
      <w:r w:rsidRPr="008A28E4">
        <w:rPr>
          <w:rFonts w:ascii="Book Antiqua" w:eastAsia="宋体" w:hAnsi="Book Antiqua" w:cs="宋体"/>
          <w:i/>
          <w:sz w:val="24"/>
          <w:szCs w:val="24"/>
        </w:rPr>
        <w:t>Pediatr Radiol</w:t>
      </w:r>
      <w:r w:rsidRPr="008A28E4">
        <w:rPr>
          <w:rFonts w:ascii="Book Antiqua" w:eastAsia="宋体" w:hAnsi="Book Antiqua" w:cs="宋体"/>
          <w:sz w:val="24"/>
          <w:szCs w:val="24"/>
        </w:rPr>
        <w:t xml:space="preserve"> 1996; </w:t>
      </w:r>
      <w:r w:rsidRPr="008A28E4">
        <w:rPr>
          <w:rFonts w:ascii="Book Antiqua" w:eastAsia="宋体" w:hAnsi="Book Antiqua" w:cs="宋体"/>
          <w:b/>
          <w:sz w:val="24"/>
          <w:szCs w:val="24"/>
        </w:rPr>
        <w:t>26:</w:t>
      </w:r>
      <w:r w:rsidRPr="008A28E4">
        <w:rPr>
          <w:rFonts w:ascii="Book Antiqua" w:eastAsia="宋体" w:hAnsi="Book Antiqua" w:cs="宋体"/>
          <w:sz w:val="24"/>
          <w:szCs w:val="24"/>
        </w:rPr>
        <w:t xml:space="preserve"> 553-555 [PMID: 8753670 DOI: 10.1007/BF01372240] DOI: 10.1007/BF01372240</w:t>
      </w:r>
    </w:p>
    <w:p w:rsidR="00E503CC" w:rsidRPr="008A28E4" w:rsidRDefault="00E503CC" w:rsidP="008A28E4">
      <w:pPr>
        <w:spacing w:after="0" w:line="360" w:lineRule="auto"/>
        <w:jc w:val="both"/>
        <w:rPr>
          <w:rFonts w:ascii="Book Antiqua" w:eastAsia="宋体" w:hAnsi="Book Antiqua" w:cs="宋体"/>
          <w:sz w:val="24"/>
          <w:szCs w:val="24"/>
        </w:rPr>
      </w:pPr>
      <w:r w:rsidRPr="008A28E4">
        <w:rPr>
          <w:rFonts w:ascii="Book Antiqua" w:eastAsia="宋体" w:hAnsi="Book Antiqua" w:cs="宋体"/>
          <w:sz w:val="24"/>
          <w:szCs w:val="24"/>
        </w:rPr>
        <w:t xml:space="preserve">24 </w:t>
      </w:r>
      <w:r w:rsidRPr="008A28E4">
        <w:rPr>
          <w:rFonts w:ascii="Book Antiqua" w:eastAsia="宋体" w:hAnsi="Book Antiqua" w:cs="宋体"/>
          <w:b/>
          <w:sz w:val="24"/>
          <w:szCs w:val="24"/>
        </w:rPr>
        <w:t xml:space="preserve">Sharma G, </w:t>
      </w:r>
      <w:r w:rsidRPr="008A28E4">
        <w:rPr>
          <w:rFonts w:ascii="Book Antiqua" w:eastAsia="宋体" w:hAnsi="Book Antiqua" w:cs="宋体"/>
          <w:sz w:val="24"/>
          <w:szCs w:val="24"/>
        </w:rPr>
        <w:t xml:space="preserve">Sharma A, Maheshwari P. Predictive value of decreased renal pelvis anteroposterior diameter in prone position for prenatally detected hydronephrosis. </w:t>
      </w:r>
      <w:r w:rsidRPr="008A28E4">
        <w:rPr>
          <w:rFonts w:ascii="Book Antiqua" w:eastAsia="宋体" w:hAnsi="Book Antiqua" w:cs="宋体"/>
          <w:i/>
          <w:sz w:val="24"/>
          <w:szCs w:val="24"/>
        </w:rPr>
        <w:t xml:space="preserve">J Urol </w:t>
      </w:r>
      <w:r w:rsidRPr="008A28E4">
        <w:rPr>
          <w:rFonts w:ascii="Book Antiqua" w:eastAsia="宋体" w:hAnsi="Book Antiqua" w:cs="宋体"/>
          <w:sz w:val="24"/>
          <w:szCs w:val="24"/>
        </w:rPr>
        <w:t xml:space="preserve">2012; </w:t>
      </w:r>
      <w:r w:rsidRPr="008A28E4">
        <w:rPr>
          <w:rFonts w:ascii="Book Antiqua" w:eastAsia="宋体" w:hAnsi="Book Antiqua" w:cs="宋体"/>
          <w:b/>
          <w:sz w:val="24"/>
          <w:szCs w:val="24"/>
        </w:rPr>
        <w:t>187</w:t>
      </w:r>
      <w:r w:rsidRPr="008A28E4">
        <w:rPr>
          <w:rFonts w:ascii="Book Antiqua" w:eastAsia="宋体" w:hAnsi="Book Antiqua" w:cs="宋体"/>
          <w:sz w:val="24"/>
          <w:szCs w:val="24"/>
        </w:rPr>
        <w:t xml:space="preserve">: 1839-1843 [PMID: 22425050 DOI: 10.1016/j.juro.2011.12.093] </w:t>
      </w:r>
    </w:p>
    <w:p w:rsidR="00E503CC" w:rsidRPr="008A28E4" w:rsidRDefault="00E503CC" w:rsidP="008A28E4">
      <w:pPr>
        <w:spacing w:after="0" w:line="360" w:lineRule="auto"/>
        <w:jc w:val="both"/>
        <w:rPr>
          <w:rFonts w:ascii="Book Antiqua" w:eastAsia="宋体" w:hAnsi="Book Antiqua" w:cs="宋体"/>
          <w:sz w:val="24"/>
          <w:szCs w:val="24"/>
        </w:rPr>
      </w:pPr>
      <w:r w:rsidRPr="008A28E4">
        <w:rPr>
          <w:rFonts w:ascii="Book Antiqua" w:eastAsia="宋体" w:hAnsi="Book Antiqua" w:cs="宋体"/>
          <w:sz w:val="24"/>
          <w:szCs w:val="24"/>
        </w:rPr>
        <w:t xml:space="preserve">25 </w:t>
      </w:r>
      <w:r w:rsidRPr="008A28E4">
        <w:rPr>
          <w:rFonts w:ascii="Book Antiqua" w:eastAsia="宋体" w:hAnsi="Book Antiqua" w:cs="宋体"/>
          <w:b/>
          <w:sz w:val="24"/>
          <w:szCs w:val="24"/>
        </w:rPr>
        <w:t>Park S,</w:t>
      </w:r>
      <w:r w:rsidRPr="008A28E4">
        <w:rPr>
          <w:rFonts w:ascii="Book Antiqua" w:eastAsia="宋体" w:hAnsi="Book Antiqua" w:cs="宋体"/>
          <w:sz w:val="24"/>
          <w:szCs w:val="24"/>
        </w:rPr>
        <w:t xml:space="preserve"> Pearle MS. Imaging for percutaneous renal access and management of renal calculi. </w:t>
      </w:r>
      <w:r w:rsidRPr="008A28E4">
        <w:rPr>
          <w:rFonts w:ascii="Book Antiqua" w:eastAsia="宋体" w:hAnsi="Book Antiqua" w:cs="宋体"/>
          <w:i/>
          <w:sz w:val="24"/>
          <w:szCs w:val="24"/>
        </w:rPr>
        <w:t>Urol Clin North Am</w:t>
      </w:r>
      <w:r w:rsidRPr="008A28E4">
        <w:rPr>
          <w:rFonts w:ascii="Book Antiqua" w:eastAsia="宋体" w:hAnsi="Book Antiqua" w:cs="宋体"/>
          <w:sz w:val="24"/>
          <w:szCs w:val="24"/>
        </w:rPr>
        <w:t xml:space="preserve"> 2006; </w:t>
      </w:r>
      <w:r w:rsidRPr="008A28E4">
        <w:rPr>
          <w:rFonts w:ascii="Book Antiqua" w:eastAsia="宋体" w:hAnsi="Book Antiqua" w:cs="宋体"/>
          <w:b/>
          <w:sz w:val="24"/>
          <w:szCs w:val="24"/>
        </w:rPr>
        <w:t>33</w:t>
      </w:r>
      <w:r w:rsidRPr="008A28E4">
        <w:rPr>
          <w:rFonts w:ascii="Book Antiqua" w:eastAsia="宋体" w:hAnsi="Book Antiqua" w:cs="宋体"/>
          <w:sz w:val="24"/>
          <w:szCs w:val="24"/>
        </w:rPr>
        <w:t xml:space="preserve">: 353–364[PMID: 16829270 DOI: 10.1016/j.ucl.2006.03.003] </w:t>
      </w:r>
    </w:p>
    <w:p w:rsidR="00E503CC" w:rsidRPr="008A28E4" w:rsidRDefault="00E503CC" w:rsidP="008A28E4">
      <w:pPr>
        <w:spacing w:after="0" w:line="360" w:lineRule="auto"/>
        <w:jc w:val="both"/>
        <w:rPr>
          <w:rFonts w:ascii="Book Antiqua" w:eastAsia="宋体" w:hAnsi="Book Antiqua" w:cs="宋体"/>
          <w:sz w:val="24"/>
          <w:szCs w:val="24"/>
        </w:rPr>
      </w:pPr>
      <w:r w:rsidRPr="008A28E4">
        <w:rPr>
          <w:rFonts w:ascii="Book Antiqua" w:eastAsia="宋体" w:hAnsi="Book Antiqua" w:cs="宋体"/>
          <w:sz w:val="24"/>
          <w:szCs w:val="24"/>
        </w:rPr>
        <w:t>26</w:t>
      </w:r>
      <w:r w:rsidRPr="008A28E4">
        <w:rPr>
          <w:rFonts w:ascii="Book Antiqua" w:eastAsia="宋体" w:hAnsi="Book Antiqua" w:cs="宋体"/>
          <w:b/>
          <w:sz w:val="24"/>
          <w:szCs w:val="24"/>
        </w:rPr>
        <w:t xml:space="preserve"> Thiruchelvam N,</w:t>
      </w:r>
      <w:r w:rsidRPr="008A28E4">
        <w:rPr>
          <w:rFonts w:ascii="Book Antiqua" w:eastAsia="宋体" w:hAnsi="Book Antiqua" w:cs="宋体"/>
          <w:sz w:val="24"/>
          <w:szCs w:val="24"/>
        </w:rPr>
        <w:t xml:space="preserve"> Mostafid H, Ubhayakar G. Planning percutaneous nephrolithotomy using multidetector computed tomography urography, multiplanar reconstruction and three-dimensional reformatting. </w:t>
      </w:r>
      <w:r w:rsidRPr="008A28E4">
        <w:rPr>
          <w:rFonts w:ascii="Book Antiqua" w:eastAsia="宋体" w:hAnsi="Book Antiqua" w:cs="宋体"/>
          <w:i/>
          <w:sz w:val="24"/>
          <w:szCs w:val="24"/>
        </w:rPr>
        <w:t>BJU Int</w:t>
      </w:r>
      <w:r w:rsidRPr="008A28E4">
        <w:rPr>
          <w:rFonts w:ascii="Book Antiqua" w:eastAsia="宋体" w:hAnsi="Book Antiqua" w:cs="宋体"/>
          <w:sz w:val="24"/>
          <w:szCs w:val="24"/>
        </w:rPr>
        <w:t xml:space="preserve"> 2005; </w:t>
      </w:r>
      <w:r w:rsidRPr="008A28E4">
        <w:rPr>
          <w:rFonts w:ascii="Book Antiqua" w:eastAsia="宋体" w:hAnsi="Book Antiqua" w:cs="宋体"/>
          <w:b/>
          <w:sz w:val="24"/>
          <w:szCs w:val="24"/>
        </w:rPr>
        <w:t>95</w:t>
      </w:r>
      <w:r w:rsidRPr="008A28E4">
        <w:rPr>
          <w:rFonts w:ascii="Book Antiqua" w:eastAsia="宋体" w:hAnsi="Book Antiqua" w:cs="宋体"/>
          <w:sz w:val="24"/>
          <w:szCs w:val="24"/>
        </w:rPr>
        <w:t xml:space="preserve">: 1280–1284[PMID: 15892817 DOI: 10.1111/j.1464-410X.2005.05519.x] </w:t>
      </w:r>
    </w:p>
    <w:p w:rsidR="00E503CC" w:rsidRPr="008A28E4" w:rsidRDefault="00E503CC" w:rsidP="008A28E4">
      <w:pPr>
        <w:spacing w:after="0" w:line="360" w:lineRule="auto"/>
        <w:jc w:val="both"/>
        <w:rPr>
          <w:rFonts w:ascii="Book Antiqua" w:eastAsia="宋体" w:hAnsi="Book Antiqua" w:cs="宋体"/>
          <w:sz w:val="24"/>
          <w:szCs w:val="24"/>
        </w:rPr>
      </w:pPr>
      <w:r w:rsidRPr="008A28E4">
        <w:rPr>
          <w:rFonts w:ascii="Book Antiqua" w:eastAsia="宋体" w:hAnsi="Book Antiqua" w:cs="宋体"/>
          <w:sz w:val="24"/>
          <w:szCs w:val="24"/>
        </w:rPr>
        <w:t xml:space="preserve">27 </w:t>
      </w:r>
      <w:r w:rsidRPr="008A28E4">
        <w:rPr>
          <w:rFonts w:ascii="Book Antiqua" w:eastAsia="宋体" w:hAnsi="Book Antiqua" w:cs="宋体"/>
          <w:b/>
          <w:bCs/>
          <w:sz w:val="24"/>
          <w:szCs w:val="24"/>
        </w:rPr>
        <w:t>Hopper KD</w:t>
      </w:r>
      <w:r w:rsidRPr="008A28E4">
        <w:rPr>
          <w:rFonts w:ascii="Book Antiqua" w:eastAsia="宋体" w:hAnsi="Book Antiqua" w:cs="宋体"/>
          <w:sz w:val="24"/>
          <w:szCs w:val="24"/>
        </w:rPr>
        <w:t xml:space="preserve">, Yakes WF. The posterior intercostal approach for percutaneous renal procedures: risk of puncturing the lung, spleen, and liver as determined by CT. </w:t>
      </w:r>
      <w:r w:rsidRPr="008A28E4">
        <w:rPr>
          <w:rFonts w:ascii="Book Antiqua" w:eastAsia="宋体" w:hAnsi="Book Antiqua" w:cs="宋体"/>
          <w:i/>
          <w:iCs/>
          <w:sz w:val="24"/>
          <w:szCs w:val="24"/>
        </w:rPr>
        <w:t>AJR Am J Roentgenol</w:t>
      </w:r>
      <w:r w:rsidRPr="008A28E4">
        <w:rPr>
          <w:rFonts w:ascii="Book Antiqua" w:eastAsia="宋体" w:hAnsi="Book Antiqua" w:cs="宋体"/>
          <w:sz w:val="24"/>
          <w:szCs w:val="24"/>
        </w:rPr>
        <w:t xml:space="preserve"> 1990; </w:t>
      </w:r>
      <w:r w:rsidRPr="008A28E4">
        <w:rPr>
          <w:rFonts w:ascii="Book Antiqua" w:eastAsia="宋体" w:hAnsi="Book Antiqua" w:cs="宋体"/>
          <w:b/>
          <w:bCs/>
          <w:sz w:val="24"/>
          <w:szCs w:val="24"/>
        </w:rPr>
        <w:t>154</w:t>
      </w:r>
      <w:r w:rsidRPr="008A28E4">
        <w:rPr>
          <w:rFonts w:ascii="Book Antiqua" w:eastAsia="宋体" w:hAnsi="Book Antiqua" w:cs="宋体"/>
          <w:sz w:val="24"/>
          <w:szCs w:val="24"/>
        </w:rPr>
        <w:t>: 115-117 [PMID: 2104692 DOI: 10.2214/ajr.154.1.2104692]</w:t>
      </w:r>
    </w:p>
    <w:p w:rsidR="00E503CC" w:rsidRPr="008A28E4" w:rsidRDefault="00E503CC" w:rsidP="008A28E4">
      <w:pPr>
        <w:spacing w:after="0" w:line="360" w:lineRule="auto"/>
        <w:jc w:val="both"/>
        <w:rPr>
          <w:rFonts w:ascii="Book Antiqua" w:eastAsia="宋体" w:hAnsi="Book Antiqua" w:cs="宋体"/>
          <w:sz w:val="24"/>
          <w:szCs w:val="24"/>
        </w:rPr>
      </w:pPr>
      <w:r w:rsidRPr="008A28E4">
        <w:rPr>
          <w:rFonts w:ascii="Book Antiqua" w:eastAsia="宋体" w:hAnsi="Book Antiqua" w:cs="宋体"/>
          <w:sz w:val="24"/>
          <w:szCs w:val="24"/>
        </w:rPr>
        <w:t xml:space="preserve">28 </w:t>
      </w:r>
      <w:r w:rsidRPr="008A28E4">
        <w:rPr>
          <w:rFonts w:ascii="Book Antiqua" w:eastAsia="宋体" w:hAnsi="Book Antiqua" w:cs="宋体"/>
          <w:b/>
          <w:bCs/>
          <w:sz w:val="24"/>
          <w:szCs w:val="24"/>
        </w:rPr>
        <w:t>Ghani KR</w:t>
      </w:r>
      <w:r w:rsidRPr="008A28E4">
        <w:rPr>
          <w:rFonts w:ascii="Book Antiqua" w:eastAsia="宋体" w:hAnsi="Book Antiqua" w:cs="宋体"/>
          <w:sz w:val="24"/>
          <w:szCs w:val="24"/>
        </w:rPr>
        <w:t xml:space="preserve">, Patel U, Anson K. Computed tomography for percutaneous renal access. </w:t>
      </w:r>
      <w:r w:rsidRPr="008A28E4">
        <w:rPr>
          <w:rFonts w:ascii="Book Antiqua" w:eastAsia="宋体" w:hAnsi="Book Antiqua" w:cs="宋体"/>
          <w:i/>
          <w:iCs/>
          <w:sz w:val="24"/>
          <w:szCs w:val="24"/>
        </w:rPr>
        <w:t>J Endourol</w:t>
      </w:r>
      <w:r w:rsidRPr="008A28E4">
        <w:rPr>
          <w:rFonts w:ascii="Book Antiqua" w:eastAsia="宋体" w:hAnsi="Book Antiqua" w:cs="宋体"/>
          <w:sz w:val="24"/>
          <w:szCs w:val="24"/>
        </w:rPr>
        <w:t xml:space="preserve"> 2009; </w:t>
      </w:r>
      <w:r w:rsidRPr="008A28E4">
        <w:rPr>
          <w:rFonts w:ascii="Book Antiqua" w:eastAsia="宋体" w:hAnsi="Book Antiqua" w:cs="宋体"/>
          <w:b/>
          <w:bCs/>
          <w:sz w:val="24"/>
          <w:szCs w:val="24"/>
        </w:rPr>
        <w:t>23</w:t>
      </w:r>
      <w:r w:rsidRPr="008A28E4">
        <w:rPr>
          <w:rFonts w:ascii="Book Antiqua" w:eastAsia="宋体" w:hAnsi="Book Antiqua" w:cs="宋体"/>
          <w:sz w:val="24"/>
          <w:szCs w:val="24"/>
        </w:rPr>
        <w:t>: 1633-1639 [PMID: 19814578 DOI: 10.1089/end.2009.1529]</w:t>
      </w:r>
    </w:p>
    <w:p w:rsidR="00E503CC" w:rsidRPr="008A28E4" w:rsidRDefault="00E503CC" w:rsidP="008A28E4">
      <w:pPr>
        <w:spacing w:after="0" w:line="360" w:lineRule="auto"/>
        <w:jc w:val="both"/>
        <w:rPr>
          <w:rFonts w:ascii="Book Antiqua" w:eastAsia="宋体" w:hAnsi="Book Antiqua" w:cs="宋体"/>
          <w:sz w:val="24"/>
          <w:szCs w:val="24"/>
        </w:rPr>
      </w:pPr>
      <w:r w:rsidRPr="008A28E4">
        <w:rPr>
          <w:rFonts w:ascii="Book Antiqua" w:eastAsia="宋体" w:hAnsi="Book Antiqua" w:cs="宋体"/>
          <w:sz w:val="24"/>
          <w:szCs w:val="24"/>
        </w:rPr>
        <w:t xml:space="preserve">29 </w:t>
      </w:r>
      <w:r w:rsidRPr="008A28E4">
        <w:rPr>
          <w:rFonts w:ascii="Book Antiqua" w:eastAsia="宋体" w:hAnsi="Book Antiqua" w:cs="宋体"/>
          <w:b/>
          <w:bCs/>
          <w:sz w:val="24"/>
          <w:szCs w:val="24"/>
        </w:rPr>
        <w:t>Bilen CY</w:t>
      </w:r>
      <w:r w:rsidRPr="008A28E4">
        <w:rPr>
          <w:rFonts w:ascii="Book Antiqua" w:eastAsia="宋体" w:hAnsi="Book Antiqua" w:cs="宋体"/>
          <w:sz w:val="24"/>
          <w:szCs w:val="24"/>
        </w:rPr>
        <w:t xml:space="preserve">, Koçak B, Kitirci G, Danaci M, Sarikaya S. Simple trigonometry on computed tomography helps in planning renal access. </w:t>
      </w:r>
      <w:r w:rsidRPr="008A28E4">
        <w:rPr>
          <w:rFonts w:ascii="Book Antiqua" w:eastAsia="宋体" w:hAnsi="Book Antiqua" w:cs="宋体"/>
          <w:i/>
          <w:iCs/>
          <w:sz w:val="24"/>
          <w:szCs w:val="24"/>
        </w:rPr>
        <w:t>Urology</w:t>
      </w:r>
      <w:r w:rsidRPr="008A28E4">
        <w:rPr>
          <w:rFonts w:ascii="Book Antiqua" w:eastAsia="宋体" w:hAnsi="Book Antiqua" w:cs="宋体"/>
          <w:sz w:val="24"/>
          <w:szCs w:val="24"/>
        </w:rPr>
        <w:t xml:space="preserve"> 2007; </w:t>
      </w:r>
      <w:r w:rsidRPr="008A28E4">
        <w:rPr>
          <w:rFonts w:ascii="Book Antiqua" w:eastAsia="宋体" w:hAnsi="Book Antiqua" w:cs="宋体"/>
          <w:b/>
          <w:bCs/>
          <w:sz w:val="24"/>
          <w:szCs w:val="24"/>
        </w:rPr>
        <w:t>70</w:t>
      </w:r>
      <w:r w:rsidRPr="008A28E4">
        <w:rPr>
          <w:rFonts w:ascii="Book Antiqua" w:eastAsia="宋体" w:hAnsi="Book Antiqua" w:cs="宋体"/>
          <w:sz w:val="24"/>
          <w:szCs w:val="24"/>
        </w:rPr>
        <w:t>: 242-245; discussion 245 [PMID: 17826479 DOI: 10.1016/j.urology.2007.03.079]</w:t>
      </w:r>
    </w:p>
    <w:p w:rsidR="00E503CC" w:rsidRPr="008A28E4" w:rsidRDefault="00E503CC" w:rsidP="008A28E4">
      <w:pPr>
        <w:spacing w:after="0" w:line="360" w:lineRule="auto"/>
        <w:jc w:val="both"/>
        <w:rPr>
          <w:rFonts w:ascii="Book Antiqua" w:eastAsia="宋体" w:hAnsi="Book Antiqua" w:cs="宋体"/>
          <w:sz w:val="24"/>
          <w:szCs w:val="24"/>
        </w:rPr>
      </w:pPr>
      <w:r w:rsidRPr="008A28E4">
        <w:rPr>
          <w:rFonts w:ascii="Book Antiqua" w:eastAsia="宋体" w:hAnsi="Book Antiqua" w:cs="宋体"/>
          <w:sz w:val="24"/>
          <w:szCs w:val="24"/>
        </w:rPr>
        <w:t xml:space="preserve">30 </w:t>
      </w:r>
      <w:r w:rsidRPr="008A28E4">
        <w:rPr>
          <w:rFonts w:ascii="Book Antiqua" w:eastAsia="宋体" w:hAnsi="Book Antiqua" w:cs="宋体"/>
          <w:b/>
          <w:bCs/>
          <w:sz w:val="24"/>
          <w:szCs w:val="24"/>
        </w:rPr>
        <w:t>Sampaio FJ</w:t>
      </w:r>
      <w:r w:rsidRPr="008A28E4">
        <w:rPr>
          <w:rFonts w:ascii="Book Antiqua" w:eastAsia="宋体" w:hAnsi="Book Antiqua" w:cs="宋体"/>
          <w:sz w:val="24"/>
          <w:szCs w:val="24"/>
        </w:rPr>
        <w:t xml:space="preserve">, Zanier JF, Aragão AH, Favorito LA. Intrarenal access: 3-dimensional anatomical study. </w:t>
      </w:r>
      <w:r w:rsidRPr="008A28E4">
        <w:rPr>
          <w:rFonts w:ascii="Book Antiqua" w:eastAsia="宋体" w:hAnsi="Book Antiqua" w:cs="宋体"/>
          <w:i/>
          <w:iCs/>
          <w:sz w:val="24"/>
          <w:szCs w:val="24"/>
        </w:rPr>
        <w:t>J Urol</w:t>
      </w:r>
      <w:r w:rsidRPr="008A28E4">
        <w:rPr>
          <w:rFonts w:ascii="Book Antiqua" w:eastAsia="宋体" w:hAnsi="Book Antiqua" w:cs="宋体"/>
          <w:sz w:val="24"/>
          <w:szCs w:val="24"/>
        </w:rPr>
        <w:t xml:space="preserve"> 1992; </w:t>
      </w:r>
      <w:r w:rsidRPr="008A28E4">
        <w:rPr>
          <w:rFonts w:ascii="Book Antiqua" w:eastAsia="宋体" w:hAnsi="Book Antiqua" w:cs="宋体"/>
          <w:b/>
          <w:bCs/>
          <w:sz w:val="24"/>
          <w:szCs w:val="24"/>
        </w:rPr>
        <w:t>148</w:t>
      </w:r>
      <w:r w:rsidRPr="008A28E4">
        <w:rPr>
          <w:rFonts w:ascii="Book Antiqua" w:eastAsia="宋体" w:hAnsi="Book Antiqua" w:cs="宋体"/>
          <w:sz w:val="24"/>
          <w:szCs w:val="24"/>
        </w:rPr>
        <w:t>: 1769-1773 [PMID: 1433604]</w:t>
      </w:r>
    </w:p>
    <w:p w:rsidR="00E503CC" w:rsidRPr="008A28E4" w:rsidRDefault="00E503CC" w:rsidP="008A28E4">
      <w:pPr>
        <w:spacing w:after="0" w:line="360" w:lineRule="auto"/>
        <w:jc w:val="both"/>
        <w:rPr>
          <w:rFonts w:ascii="Book Antiqua" w:eastAsia="宋体" w:hAnsi="Book Antiqua" w:cs="宋体"/>
          <w:sz w:val="24"/>
          <w:szCs w:val="24"/>
        </w:rPr>
      </w:pPr>
      <w:r w:rsidRPr="008A28E4">
        <w:rPr>
          <w:rFonts w:ascii="Book Antiqua" w:eastAsia="宋体" w:hAnsi="Book Antiqua" w:cs="宋体"/>
          <w:sz w:val="24"/>
          <w:szCs w:val="24"/>
        </w:rPr>
        <w:t xml:space="preserve">31 </w:t>
      </w:r>
      <w:r w:rsidRPr="00602B09">
        <w:rPr>
          <w:rFonts w:ascii="Book Antiqua" w:eastAsia="宋体" w:hAnsi="Book Antiqua" w:cs="宋体"/>
          <w:b/>
          <w:sz w:val="24"/>
          <w:szCs w:val="24"/>
        </w:rPr>
        <w:t>Schultheiss D,</w:t>
      </w:r>
      <w:r w:rsidRPr="008A28E4">
        <w:rPr>
          <w:rFonts w:ascii="Book Antiqua" w:eastAsia="宋体" w:hAnsi="Book Antiqua" w:cs="宋体"/>
          <w:sz w:val="24"/>
          <w:szCs w:val="24"/>
        </w:rPr>
        <w:t xml:space="preserve"> Engel RM, Crosby RW, Lees GP, Truss MC, Jonas U. Max Brödel (1870-1941) and medical illustration in urology. </w:t>
      </w:r>
      <w:r w:rsidRPr="008A28E4">
        <w:rPr>
          <w:rFonts w:ascii="Book Antiqua" w:eastAsia="宋体" w:hAnsi="Book Antiqua" w:cs="宋体"/>
          <w:i/>
          <w:sz w:val="24"/>
          <w:szCs w:val="24"/>
        </w:rPr>
        <w:t>J Urol</w:t>
      </w:r>
      <w:r w:rsidRPr="008A28E4">
        <w:rPr>
          <w:rFonts w:ascii="Book Antiqua" w:eastAsia="宋体" w:hAnsi="Book Antiqua" w:cs="宋体"/>
          <w:sz w:val="24"/>
          <w:szCs w:val="24"/>
        </w:rPr>
        <w:t xml:space="preserve"> 2000; </w:t>
      </w:r>
      <w:r w:rsidRPr="008A28E4">
        <w:rPr>
          <w:rFonts w:ascii="Book Antiqua" w:eastAsia="宋体" w:hAnsi="Book Antiqua" w:cs="宋体"/>
          <w:b/>
          <w:sz w:val="24"/>
          <w:szCs w:val="24"/>
        </w:rPr>
        <w:t>164</w:t>
      </w:r>
      <w:r w:rsidRPr="008A28E4">
        <w:rPr>
          <w:rFonts w:ascii="Book Antiqua" w:eastAsia="宋体" w:hAnsi="Book Antiqua" w:cs="宋体"/>
          <w:sz w:val="24"/>
          <w:szCs w:val="24"/>
        </w:rPr>
        <w:t xml:space="preserve">: 1137-1142 [PMID: 10992353 DOI: 10.1016/S0022-5347(05)67128-5] </w:t>
      </w:r>
    </w:p>
    <w:p w:rsidR="00E503CC" w:rsidRPr="008A28E4" w:rsidRDefault="00E503CC" w:rsidP="008A28E4">
      <w:pPr>
        <w:spacing w:after="0" w:line="360" w:lineRule="auto"/>
        <w:jc w:val="both"/>
        <w:rPr>
          <w:rFonts w:ascii="Book Antiqua" w:eastAsia="宋体" w:hAnsi="Book Antiqua" w:cs="宋体"/>
          <w:color w:val="000000" w:themeColor="text1"/>
          <w:sz w:val="24"/>
          <w:szCs w:val="24"/>
          <w:lang w:eastAsia="zh-CN"/>
        </w:rPr>
      </w:pPr>
      <w:r w:rsidRPr="008A28E4">
        <w:rPr>
          <w:rFonts w:ascii="Book Antiqua" w:eastAsia="宋体" w:hAnsi="Book Antiqua" w:cs="宋体"/>
          <w:color w:val="000000" w:themeColor="text1"/>
          <w:sz w:val="24"/>
          <w:szCs w:val="24"/>
        </w:rPr>
        <w:t xml:space="preserve">32 </w:t>
      </w:r>
      <w:r w:rsidRPr="008A28E4">
        <w:rPr>
          <w:rFonts w:ascii="Book Antiqua" w:eastAsia="宋体" w:hAnsi="Book Antiqua" w:cs="宋体"/>
          <w:b/>
          <w:color w:val="000000" w:themeColor="text1"/>
          <w:sz w:val="24"/>
          <w:szCs w:val="24"/>
        </w:rPr>
        <w:t>Settlage J.</w:t>
      </w:r>
      <w:r w:rsidRPr="008A28E4">
        <w:rPr>
          <w:rFonts w:ascii="Book Antiqua" w:eastAsia="宋体" w:hAnsi="Book Antiqua" w:cs="宋体"/>
          <w:color w:val="000000" w:themeColor="text1"/>
          <w:sz w:val="24"/>
          <w:szCs w:val="24"/>
        </w:rPr>
        <w:t xml:space="preserve"> Derek Hodson: Teaching and Learning About Science: Language, Theories, Methods, History, Traditions and Value. </w:t>
      </w:r>
      <w:r w:rsidRPr="008A28E4">
        <w:rPr>
          <w:rFonts w:ascii="Book Antiqua" w:eastAsia="宋体" w:hAnsi="Book Antiqua" w:cs="宋体"/>
          <w:i/>
          <w:color w:val="000000" w:themeColor="text1"/>
          <w:sz w:val="24"/>
          <w:szCs w:val="24"/>
        </w:rPr>
        <w:t>Science &amp; Education</w:t>
      </w:r>
      <w:r w:rsidRPr="008A28E4">
        <w:rPr>
          <w:rFonts w:ascii="Book Antiqua" w:eastAsia="宋体" w:hAnsi="Book Antiqua" w:cs="宋体"/>
          <w:color w:val="000000" w:themeColor="text1"/>
          <w:sz w:val="24"/>
          <w:szCs w:val="24"/>
        </w:rPr>
        <w:t xml:space="preserve"> 2011; </w:t>
      </w:r>
      <w:r w:rsidRPr="008A28E4">
        <w:rPr>
          <w:rFonts w:ascii="Book Antiqua" w:eastAsia="宋体" w:hAnsi="Book Antiqua" w:cs="宋体"/>
          <w:b/>
          <w:color w:val="000000" w:themeColor="text1"/>
          <w:sz w:val="24"/>
          <w:szCs w:val="24"/>
        </w:rPr>
        <w:t>20</w:t>
      </w:r>
      <w:r w:rsidRPr="008A28E4">
        <w:rPr>
          <w:rFonts w:ascii="Book Antiqua" w:eastAsia="宋体" w:hAnsi="Book Antiqua" w:cs="宋体"/>
          <w:color w:val="000000" w:themeColor="text1"/>
          <w:sz w:val="24"/>
          <w:szCs w:val="24"/>
        </w:rPr>
        <w:t xml:space="preserve">: 393-396 [DOI: 10.1007/s11191-010-9266-7] </w:t>
      </w:r>
    </w:p>
    <w:p w:rsidR="00E503CC" w:rsidRPr="008A28E4" w:rsidRDefault="00E503CC" w:rsidP="008A28E4">
      <w:pPr>
        <w:spacing w:after="0" w:line="360" w:lineRule="auto"/>
        <w:jc w:val="both"/>
        <w:rPr>
          <w:rFonts w:ascii="Book Antiqua" w:eastAsia="宋体" w:hAnsi="Book Antiqua" w:cs="宋体"/>
          <w:sz w:val="24"/>
          <w:szCs w:val="24"/>
        </w:rPr>
      </w:pPr>
      <w:r w:rsidRPr="008A28E4">
        <w:rPr>
          <w:rFonts w:ascii="Book Antiqua" w:eastAsia="宋体" w:hAnsi="Book Antiqua" w:cs="宋体"/>
          <w:sz w:val="24"/>
          <w:szCs w:val="24"/>
        </w:rPr>
        <w:t xml:space="preserve">33 </w:t>
      </w:r>
      <w:r w:rsidRPr="008A28E4">
        <w:rPr>
          <w:rFonts w:ascii="Book Antiqua" w:eastAsia="宋体" w:hAnsi="Book Antiqua" w:cs="宋体"/>
          <w:b/>
          <w:bCs/>
          <w:sz w:val="24"/>
          <w:szCs w:val="24"/>
        </w:rPr>
        <w:t>Kaye KW</w:t>
      </w:r>
      <w:r w:rsidRPr="008A28E4">
        <w:rPr>
          <w:rFonts w:ascii="Book Antiqua" w:eastAsia="宋体" w:hAnsi="Book Antiqua" w:cs="宋体"/>
          <w:sz w:val="24"/>
          <w:szCs w:val="24"/>
        </w:rPr>
        <w:t xml:space="preserve">, Reinke DB. Detailed caliceal anatomy for endourology. </w:t>
      </w:r>
      <w:r w:rsidRPr="008A28E4">
        <w:rPr>
          <w:rFonts w:ascii="Book Antiqua" w:eastAsia="宋体" w:hAnsi="Book Antiqua" w:cs="宋体"/>
          <w:i/>
          <w:iCs/>
          <w:sz w:val="24"/>
          <w:szCs w:val="24"/>
        </w:rPr>
        <w:t>J Urol</w:t>
      </w:r>
      <w:r w:rsidRPr="008A28E4">
        <w:rPr>
          <w:rFonts w:ascii="Book Antiqua" w:eastAsia="宋体" w:hAnsi="Book Antiqua" w:cs="宋体"/>
          <w:sz w:val="24"/>
          <w:szCs w:val="24"/>
        </w:rPr>
        <w:t xml:space="preserve"> 1984; </w:t>
      </w:r>
      <w:r w:rsidRPr="008A28E4">
        <w:rPr>
          <w:rFonts w:ascii="Book Antiqua" w:eastAsia="宋体" w:hAnsi="Book Antiqua" w:cs="宋体"/>
          <w:b/>
          <w:bCs/>
          <w:sz w:val="24"/>
          <w:szCs w:val="24"/>
        </w:rPr>
        <w:t>132</w:t>
      </w:r>
      <w:r w:rsidRPr="008A28E4">
        <w:rPr>
          <w:rFonts w:ascii="Book Antiqua" w:eastAsia="宋体" w:hAnsi="Book Antiqua" w:cs="宋体"/>
          <w:sz w:val="24"/>
          <w:szCs w:val="24"/>
        </w:rPr>
        <w:t>: 1085-1088 [PMID: 6502793]</w:t>
      </w:r>
    </w:p>
    <w:p w:rsidR="00E503CC" w:rsidRPr="008A28E4" w:rsidRDefault="00E503CC" w:rsidP="008A28E4">
      <w:pPr>
        <w:spacing w:after="0" w:line="360" w:lineRule="auto"/>
        <w:jc w:val="both"/>
        <w:rPr>
          <w:rFonts w:ascii="Book Antiqua" w:eastAsia="宋体" w:hAnsi="Book Antiqua" w:cs="宋体"/>
          <w:color w:val="000000" w:themeColor="text1"/>
          <w:sz w:val="24"/>
          <w:szCs w:val="24"/>
        </w:rPr>
      </w:pPr>
      <w:r w:rsidRPr="008A28E4">
        <w:rPr>
          <w:rFonts w:ascii="Book Antiqua" w:eastAsia="宋体" w:hAnsi="Book Antiqua" w:cs="宋体"/>
          <w:color w:val="000000" w:themeColor="text1"/>
          <w:sz w:val="24"/>
          <w:szCs w:val="24"/>
        </w:rPr>
        <w:t xml:space="preserve">34 </w:t>
      </w:r>
      <w:r w:rsidRPr="008A28E4">
        <w:rPr>
          <w:rFonts w:ascii="Book Antiqua" w:eastAsia="宋体" w:hAnsi="Book Antiqua" w:cs="宋体"/>
          <w:b/>
          <w:color w:val="000000" w:themeColor="text1"/>
          <w:sz w:val="24"/>
          <w:szCs w:val="24"/>
        </w:rPr>
        <w:t xml:space="preserve">Sampaio FJ, </w:t>
      </w:r>
      <w:r w:rsidRPr="008A28E4">
        <w:rPr>
          <w:rFonts w:ascii="Book Antiqua" w:eastAsia="宋体" w:hAnsi="Book Antiqua" w:cs="宋体"/>
          <w:color w:val="000000" w:themeColor="text1"/>
          <w:sz w:val="24"/>
          <w:szCs w:val="24"/>
        </w:rPr>
        <w:t xml:space="preserve">Mandarim-De-Lacerda CA, De Aragão AH. [The collector system of the kidney. Applied anatomy based on the analysis of 3-dimensional casts]. </w:t>
      </w:r>
      <w:r w:rsidRPr="008A28E4">
        <w:rPr>
          <w:rFonts w:ascii="Book Antiqua" w:eastAsia="宋体" w:hAnsi="Book Antiqua" w:cs="宋体"/>
          <w:i/>
          <w:color w:val="000000" w:themeColor="text1"/>
          <w:sz w:val="24"/>
          <w:szCs w:val="24"/>
        </w:rPr>
        <w:t xml:space="preserve">J Urol </w:t>
      </w:r>
      <w:r w:rsidRPr="008A28E4">
        <w:rPr>
          <w:rFonts w:ascii="Book Antiqua" w:eastAsia="宋体" w:hAnsi="Book Antiqua" w:cs="宋体"/>
          <w:color w:val="000000" w:themeColor="text1"/>
          <w:sz w:val="24"/>
          <w:szCs w:val="24"/>
        </w:rPr>
        <w:t xml:space="preserve">(Paris) 1987; </w:t>
      </w:r>
      <w:r w:rsidRPr="008A28E4">
        <w:rPr>
          <w:rFonts w:ascii="Book Antiqua" w:eastAsia="宋体" w:hAnsi="Book Antiqua" w:cs="宋体"/>
          <w:b/>
          <w:color w:val="000000" w:themeColor="text1"/>
          <w:sz w:val="24"/>
          <w:szCs w:val="24"/>
        </w:rPr>
        <w:t>93</w:t>
      </w:r>
      <w:r w:rsidRPr="008A28E4">
        <w:rPr>
          <w:rFonts w:ascii="Book Antiqua" w:eastAsia="宋体" w:hAnsi="Book Antiqua" w:cs="宋体"/>
          <w:color w:val="000000" w:themeColor="text1"/>
          <w:sz w:val="24"/>
          <w:szCs w:val="24"/>
        </w:rPr>
        <w:t>: 183-185 [PMID: 3680967]</w:t>
      </w:r>
    </w:p>
    <w:p w:rsidR="00E503CC" w:rsidRPr="008A28E4" w:rsidRDefault="00E503CC" w:rsidP="008A28E4">
      <w:pPr>
        <w:spacing w:after="0" w:line="360" w:lineRule="auto"/>
        <w:jc w:val="both"/>
        <w:rPr>
          <w:rFonts w:ascii="Book Antiqua" w:eastAsia="宋体" w:hAnsi="Book Antiqua" w:cs="宋体"/>
          <w:sz w:val="24"/>
          <w:szCs w:val="24"/>
        </w:rPr>
      </w:pPr>
      <w:r w:rsidRPr="008A28E4">
        <w:rPr>
          <w:rFonts w:ascii="Book Antiqua" w:eastAsia="宋体" w:hAnsi="Book Antiqua" w:cs="宋体"/>
          <w:sz w:val="24"/>
          <w:szCs w:val="24"/>
        </w:rPr>
        <w:t xml:space="preserve">35 </w:t>
      </w:r>
      <w:r w:rsidRPr="008A28E4">
        <w:rPr>
          <w:rFonts w:ascii="Book Antiqua" w:eastAsia="宋体" w:hAnsi="Book Antiqua" w:cs="宋体"/>
          <w:b/>
          <w:bCs/>
          <w:sz w:val="24"/>
          <w:szCs w:val="24"/>
        </w:rPr>
        <w:t>Sampaio FJ</w:t>
      </w:r>
      <w:r w:rsidRPr="008A28E4">
        <w:rPr>
          <w:rFonts w:ascii="Book Antiqua" w:eastAsia="宋体" w:hAnsi="Book Antiqua" w:cs="宋体"/>
          <w:sz w:val="24"/>
          <w:szCs w:val="24"/>
        </w:rPr>
        <w:t xml:space="preserve">. Renal collecting system anatomy: its possible role in the effectiveness of renal stone treatment. </w:t>
      </w:r>
      <w:r w:rsidRPr="008A28E4">
        <w:rPr>
          <w:rFonts w:ascii="Book Antiqua" w:eastAsia="宋体" w:hAnsi="Book Antiqua" w:cs="宋体"/>
          <w:i/>
          <w:iCs/>
          <w:sz w:val="24"/>
          <w:szCs w:val="24"/>
        </w:rPr>
        <w:t>Curr Opin Urol</w:t>
      </w:r>
      <w:r w:rsidRPr="008A28E4">
        <w:rPr>
          <w:rFonts w:ascii="Book Antiqua" w:eastAsia="宋体" w:hAnsi="Book Antiqua" w:cs="宋体"/>
          <w:sz w:val="24"/>
          <w:szCs w:val="24"/>
        </w:rPr>
        <w:t xml:space="preserve"> 2001; </w:t>
      </w:r>
      <w:r w:rsidRPr="008A28E4">
        <w:rPr>
          <w:rFonts w:ascii="Book Antiqua" w:eastAsia="宋体" w:hAnsi="Book Antiqua" w:cs="宋体"/>
          <w:b/>
          <w:bCs/>
          <w:sz w:val="24"/>
          <w:szCs w:val="24"/>
        </w:rPr>
        <w:t>11</w:t>
      </w:r>
      <w:r w:rsidRPr="008A28E4">
        <w:rPr>
          <w:rFonts w:ascii="Book Antiqua" w:eastAsia="宋体" w:hAnsi="Book Antiqua" w:cs="宋体"/>
          <w:sz w:val="24"/>
          <w:szCs w:val="24"/>
        </w:rPr>
        <w:t>: 359-366 [PMID: 11429494 DOI: 10.1097/00042307-200107000-00004]</w:t>
      </w:r>
    </w:p>
    <w:p w:rsidR="00E503CC" w:rsidRPr="008A28E4" w:rsidRDefault="00E503CC" w:rsidP="008A28E4">
      <w:pPr>
        <w:spacing w:after="0" w:line="360" w:lineRule="auto"/>
        <w:jc w:val="both"/>
        <w:rPr>
          <w:rFonts w:ascii="Book Antiqua" w:eastAsia="宋体" w:hAnsi="Book Antiqua" w:cs="宋体"/>
          <w:sz w:val="24"/>
          <w:szCs w:val="24"/>
        </w:rPr>
      </w:pPr>
      <w:r w:rsidRPr="008A28E4">
        <w:rPr>
          <w:rFonts w:ascii="Book Antiqua" w:eastAsia="宋体" w:hAnsi="Book Antiqua" w:cs="宋体"/>
          <w:sz w:val="24"/>
          <w:szCs w:val="24"/>
        </w:rPr>
        <w:t xml:space="preserve">36 </w:t>
      </w:r>
      <w:r w:rsidRPr="008A28E4">
        <w:rPr>
          <w:rFonts w:ascii="Book Antiqua" w:eastAsia="宋体" w:hAnsi="Book Antiqua" w:cs="宋体"/>
          <w:b/>
          <w:bCs/>
          <w:sz w:val="24"/>
          <w:szCs w:val="24"/>
        </w:rPr>
        <w:t>Hwang TK</w:t>
      </w:r>
      <w:r w:rsidRPr="008A28E4">
        <w:rPr>
          <w:rFonts w:ascii="Book Antiqua" w:eastAsia="宋体" w:hAnsi="Book Antiqua" w:cs="宋体"/>
          <w:sz w:val="24"/>
          <w:szCs w:val="24"/>
        </w:rPr>
        <w:t xml:space="preserve">. Percutaneous nephroscopic surgery. </w:t>
      </w:r>
      <w:r w:rsidRPr="008A28E4">
        <w:rPr>
          <w:rFonts w:ascii="Book Antiqua" w:eastAsia="宋体" w:hAnsi="Book Antiqua" w:cs="宋体"/>
          <w:i/>
          <w:iCs/>
          <w:sz w:val="24"/>
          <w:szCs w:val="24"/>
        </w:rPr>
        <w:t>Korean J Urol</w:t>
      </w:r>
      <w:r w:rsidRPr="008A28E4">
        <w:rPr>
          <w:rFonts w:ascii="Book Antiqua" w:eastAsia="宋体" w:hAnsi="Book Antiqua" w:cs="宋体"/>
          <w:sz w:val="24"/>
          <w:szCs w:val="24"/>
        </w:rPr>
        <w:t xml:space="preserve"> 2010; </w:t>
      </w:r>
      <w:r w:rsidRPr="008A28E4">
        <w:rPr>
          <w:rFonts w:ascii="Book Antiqua" w:eastAsia="宋体" w:hAnsi="Book Antiqua" w:cs="宋体"/>
          <w:b/>
          <w:bCs/>
          <w:sz w:val="24"/>
          <w:szCs w:val="24"/>
        </w:rPr>
        <w:t>51</w:t>
      </w:r>
      <w:r w:rsidRPr="008A28E4">
        <w:rPr>
          <w:rFonts w:ascii="Book Antiqua" w:eastAsia="宋体" w:hAnsi="Book Antiqua" w:cs="宋体"/>
          <w:sz w:val="24"/>
          <w:szCs w:val="24"/>
        </w:rPr>
        <w:t>: 298-307 [PMID: 20495691 DOI: 10.4111/kju.2010.51.5.298]</w:t>
      </w:r>
    </w:p>
    <w:p w:rsidR="00E503CC" w:rsidRPr="008A28E4" w:rsidRDefault="00E503CC" w:rsidP="008A28E4">
      <w:pPr>
        <w:spacing w:after="0" w:line="360" w:lineRule="auto"/>
        <w:jc w:val="both"/>
        <w:rPr>
          <w:rFonts w:ascii="Book Antiqua" w:eastAsia="宋体" w:hAnsi="Book Antiqua" w:cs="宋体"/>
          <w:sz w:val="24"/>
          <w:szCs w:val="24"/>
        </w:rPr>
      </w:pPr>
      <w:r w:rsidRPr="008A28E4">
        <w:rPr>
          <w:rFonts w:ascii="Book Antiqua" w:eastAsia="宋体" w:hAnsi="Book Antiqua" w:cs="宋体"/>
          <w:sz w:val="24"/>
          <w:szCs w:val="24"/>
        </w:rPr>
        <w:t xml:space="preserve">37 </w:t>
      </w:r>
      <w:r w:rsidRPr="008A28E4">
        <w:rPr>
          <w:rFonts w:ascii="Book Antiqua" w:eastAsia="宋体" w:hAnsi="Book Antiqua" w:cs="宋体"/>
          <w:b/>
          <w:bCs/>
          <w:sz w:val="24"/>
          <w:szCs w:val="24"/>
        </w:rPr>
        <w:t>Eisner BH</w:t>
      </w:r>
      <w:r w:rsidRPr="008A28E4">
        <w:rPr>
          <w:rFonts w:ascii="Book Antiqua" w:eastAsia="宋体" w:hAnsi="Book Antiqua" w:cs="宋体"/>
          <w:sz w:val="24"/>
          <w:szCs w:val="24"/>
        </w:rPr>
        <w:t xml:space="preserve">, Cloyd J, Stoller ML. Lower-pole fluoroscopy-guided percutaneous renal access: which calix is posterior? </w:t>
      </w:r>
      <w:r w:rsidRPr="008A28E4">
        <w:rPr>
          <w:rFonts w:ascii="Book Antiqua" w:eastAsia="宋体" w:hAnsi="Book Antiqua" w:cs="宋体"/>
          <w:i/>
          <w:iCs/>
          <w:sz w:val="24"/>
          <w:szCs w:val="24"/>
        </w:rPr>
        <w:t>J Endourol</w:t>
      </w:r>
      <w:r w:rsidRPr="008A28E4">
        <w:rPr>
          <w:rFonts w:ascii="Book Antiqua" w:eastAsia="宋体" w:hAnsi="Book Antiqua" w:cs="宋体"/>
          <w:sz w:val="24"/>
          <w:szCs w:val="24"/>
        </w:rPr>
        <w:t xml:space="preserve"> 2009; </w:t>
      </w:r>
      <w:r w:rsidRPr="008A28E4">
        <w:rPr>
          <w:rFonts w:ascii="Book Antiqua" w:eastAsia="宋体" w:hAnsi="Book Antiqua" w:cs="宋体"/>
          <w:b/>
          <w:bCs/>
          <w:sz w:val="24"/>
          <w:szCs w:val="24"/>
        </w:rPr>
        <w:t>23</w:t>
      </w:r>
      <w:r w:rsidRPr="008A28E4">
        <w:rPr>
          <w:rFonts w:ascii="Book Antiqua" w:eastAsia="宋体" w:hAnsi="Book Antiqua" w:cs="宋体"/>
          <w:sz w:val="24"/>
          <w:szCs w:val="24"/>
        </w:rPr>
        <w:t>: 1621-1625 [PMID: 19814577 DOI: 10.1089/end.2009.1527]</w:t>
      </w:r>
    </w:p>
    <w:p w:rsidR="00E503CC" w:rsidRPr="008A28E4" w:rsidRDefault="00E503CC" w:rsidP="008A28E4">
      <w:pPr>
        <w:spacing w:after="0" w:line="360" w:lineRule="auto"/>
        <w:jc w:val="both"/>
        <w:rPr>
          <w:rFonts w:ascii="Book Antiqua" w:eastAsia="宋体" w:hAnsi="Book Antiqua" w:cs="宋体"/>
          <w:sz w:val="24"/>
          <w:szCs w:val="24"/>
        </w:rPr>
      </w:pPr>
      <w:r w:rsidRPr="008A28E4">
        <w:rPr>
          <w:rFonts w:ascii="Book Antiqua" w:eastAsia="宋体" w:hAnsi="Book Antiqua" w:cs="宋体"/>
          <w:sz w:val="24"/>
          <w:szCs w:val="24"/>
        </w:rPr>
        <w:t xml:space="preserve">38 </w:t>
      </w:r>
      <w:r w:rsidRPr="008A28E4">
        <w:rPr>
          <w:rFonts w:ascii="Book Antiqua" w:eastAsia="宋体" w:hAnsi="Book Antiqua" w:cs="宋体"/>
          <w:b/>
          <w:bCs/>
          <w:sz w:val="24"/>
          <w:szCs w:val="24"/>
        </w:rPr>
        <w:t>Osman M</w:t>
      </w:r>
      <w:r w:rsidRPr="008A28E4">
        <w:rPr>
          <w:rFonts w:ascii="Book Antiqua" w:eastAsia="宋体" w:hAnsi="Book Antiqua" w:cs="宋体"/>
          <w:sz w:val="24"/>
          <w:szCs w:val="24"/>
        </w:rPr>
        <w:t xml:space="preserve">, Wendt-Nordahl G, Heger K, Michel MS, Alken P, Knoll T. Percutaneous nephrolithotomy with ultrasonography-guided renal access: experience from over 300 cases. </w:t>
      </w:r>
      <w:r w:rsidRPr="008A28E4">
        <w:rPr>
          <w:rFonts w:ascii="Book Antiqua" w:eastAsia="宋体" w:hAnsi="Book Antiqua" w:cs="宋体"/>
          <w:i/>
          <w:iCs/>
          <w:sz w:val="24"/>
          <w:szCs w:val="24"/>
        </w:rPr>
        <w:t>BJU Int</w:t>
      </w:r>
      <w:r w:rsidRPr="008A28E4">
        <w:rPr>
          <w:rFonts w:ascii="Book Antiqua" w:eastAsia="宋体" w:hAnsi="Book Antiqua" w:cs="宋体"/>
          <w:sz w:val="24"/>
          <w:szCs w:val="24"/>
        </w:rPr>
        <w:t xml:space="preserve"> 2005; </w:t>
      </w:r>
      <w:r w:rsidRPr="008A28E4">
        <w:rPr>
          <w:rFonts w:ascii="Book Antiqua" w:eastAsia="宋体" w:hAnsi="Book Antiqua" w:cs="宋体"/>
          <w:b/>
          <w:bCs/>
          <w:sz w:val="24"/>
          <w:szCs w:val="24"/>
        </w:rPr>
        <w:t>96</w:t>
      </w:r>
      <w:r w:rsidRPr="008A28E4">
        <w:rPr>
          <w:rFonts w:ascii="Book Antiqua" w:eastAsia="宋体" w:hAnsi="Book Antiqua" w:cs="宋体"/>
          <w:sz w:val="24"/>
          <w:szCs w:val="24"/>
        </w:rPr>
        <w:t>: 875-878 [PMID: 16153221 DOI: 10.1111/j.1464-410X.2005.05749.x]</w:t>
      </w:r>
    </w:p>
    <w:p w:rsidR="00E503CC" w:rsidRPr="008A28E4" w:rsidRDefault="00E503CC" w:rsidP="008A28E4">
      <w:pPr>
        <w:spacing w:after="0" w:line="360" w:lineRule="auto"/>
        <w:jc w:val="both"/>
        <w:rPr>
          <w:rFonts w:ascii="Book Antiqua" w:eastAsia="宋体" w:hAnsi="Book Antiqua" w:cs="宋体"/>
          <w:sz w:val="24"/>
          <w:szCs w:val="24"/>
        </w:rPr>
      </w:pPr>
      <w:r w:rsidRPr="008A28E4">
        <w:rPr>
          <w:rFonts w:ascii="Book Antiqua" w:eastAsia="宋体" w:hAnsi="Book Antiqua" w:cs="宋体"/>
          <w:sz w:val="24"/>
          <w:szCs w:val="24"/>
        </w:rPr>
        <w:t xml:space="preserve">39 </w:t>
      </w:r>
      <w:r w:rsidRPr="008A28E4">
        <w:rPr>
          <w:rFonts w:ascii="Book Antiqua" w:eastAsia="宋体" w:hAnsi="Book Antiqua" w:cs="宋体"/>
          <w:b/>
          <w:bCs/>
          <w:sz w:val="24"/>
          <w:szCs w:val="24"/>
        </w:rPr>
        <w:t>Abolhassani N</w:t>
      </w:r>
      <w:r w:rsidRPr="008A28E4">
        <w:rPr>
          <w:rFonts w:ascii="Book Antiqua" w:eastAsia="宋体" w:hAnsi="Book Antiqua" w:cs="宋体"/>
          <w:sz w:val="24"/>
          <w:szCs w:val="24"/>
        </w:rPr>
        <w:t xml:space="preserve">, Patel R, Moallem M. Needle insertion into soft tissue: a survey. </w:t>
      </w:r>
      <w:r w:rsidRPr="008A28E4">
        <w:rPr>
          <w:rFonts w:ascii="Book Antiqua" w:eastAsia="宋体" w:hAnsi="Book Antiqua" w:cs="宋体"/>
          <w:i/>
          <w:iCs/>
          <w:sz w:val="24"/>
          <w:szCs w:val="24"/>
        </w:rPr>
        <w:t>Med Eng Phys</w:t>
      </w:r>
      <w:r w:rsidRPr="008A28E4">
        <w:rPr>
          <w:rFonts w:ascii="Book Antiqua" w:eastAsia="宋体" w:hAnsi="Book Antiqua" w:cs="宋体"/>
          <w:sz w:val="24"/>
          <w:szCs w:val="24"/>
        </w:rPr>
        <w:t xml:space="preserve"> 2007; </w:t>
      </w:r>
      <w:r w:rsidRPr="008A28E4">
        <w:rPr>
          <w:rFonts w:ascii="Book Antiqua" w:eastAsia="宋体" w:hAnsi="Book Antiqua" w:cs="宋体"/>
          <w:b/>
          <w:bCs/>
          <w:sz w:val="24"/>
          <w:szCs w:val="24"/>
        </w:rPr>
        <w:t>29</w:t>
      </w:r>
      <w:r w:rsidRPr="008A28E4">
        <w:rPr>
          <w:rFonts w:ascii="Book Antiqua" w:eastAsia="宋体" w:hAnsi="Book Antiqua" w:cs="宋体"/>
          <w:sz w:val="24"/>
          <w:szCs w:val="24"/>
        </w:rPr>
        <w:t>: 413-431 [PMID: 16938481 DOI: 10.1016/j.medengphy.2006.07.003]</w:t>
      </w:r>
    </w:p>
    <w:p w:rsidR="00E503CC" w:rsidRPr="008A28E4" w:rsidRDefault="00E503CC" w:rsidP="008A28E4">
      <w:pPr>
        <w:spacing w:after="0" w:line="360" w:lineRule="auto"/>
        <w:jc w:val="both"/>
        <w:rPr>
          <w:rFonts w:ascii="Book Antiqua" w:eastAsia="宋体" w:hAnsi="Book Antiqua" w:cs="宋体"/>
          <w:color w:val="000000" w:themeColor="text1"/>
          <w:sz w:val="24"/>
          <w:szCs w:val="24"/>
        </w:rPr>
      </w:pPr>
      <w:r w:rsidRPr="008A28E4">
        <w:rPr>
          <w:rFonts w:ascii="Book Antiqua" w:eastAsia="宋体" w:hAnsi="Book Antiqua" w:cs="宋体"/>
          <w:color w:val="000000" w:themeColor="text1"/>
          <w:sz w:val="24"/>
          <w:szCs w:val="24"/>
        </w:rPr>
        <w:t xml:space="preserve">40 </w:t>
      </w:r>
      <w:r w:rsidRPr="008A28E4">
        <w:rPr>
          <w:rFonts w:ascii="Book Antiqua" w:eastAsia="宋体" w:hAnsi="Book Antiqua" w:cs="宋体"/>
          <w:b/>
          <w:color w:val="000000" w:themeColor="text1"/>
          <w:sz w:val="24"/>
          <w:szCs w:val="24"/>
        </w:rPr>
        <w:t>Wolf JS.</w:t>
      </w:r>
      <w:r w:rsidRPr="008A28E4">
        <w:rPr>
          <w:rFonts w:ascii="Book Antiqua" w:eastAsia="宋体" w:hAnsi="Book Antiqua" w:cs="宋体"/>
          <w:color w:val="000000" w:themeColor="text1"/>
          <w:sz w:val="24"/>
          <w:szCs w:val="24"/>
        </w:rPr>
        <w:t xml:space="preserve"> Percutaneous approaches to the upper urinary tract collecting system. Campbell-Walsh Urology, 10th ed. Philadelphia, PA: Saunders Elsevier, 2011 </w:t>
      </w:r>
    </w:p>
    <w:p w:rsidR="00E503CC" w:rsidRPr="008A28E4" w:rsidRDefault="00E503CC" w:rsidP="008A28E4">
      <w:pPr>
        <w:spacing w:after="0" w:line="360" w:lineRule="auto"/>
        <w:jc w:val="both"/>
        <w:rPr>
          <w:rFonts w:ascii="Book Antiqua" w:eastAsia="宋体" w:hAnsi="Book Antiqua" w:cs="宋体"/>
          <w:color w:val="000000" w:themeColor="text1"/>
          <w:sz w:val="24"/>
          <w:szCs w:val="24"/>
        </w:rPr>
      </w:pPr>
      <w:r w:rsidRPr="008A28E4">
        <w:rPr>
          <w:rFonts w:ascii="Book Antiqua" w:eastAsia="宋体" w:hAnsi="Book Antiqua" w:cs="宋体"/>
          <w:color w:val="000000" w:themeColor="text1"/>
          <w:sz w:val="24"/>
          <w:szCs w:val="24"/>
        </w:rPr>
        <w:t xml:space="preserve">41 </w:t>
      </w:r>
      <w:r w:rsidRPr="008A28E4">
        <w:rPr>
          <w:rFonts w:ascii="Book Antiqua" w:eastAsia="宋体" w:hAnsi="Book Antiqua" w:cs="宋体"/>
          <w:b/>
          <w:color w:val="000000" w:themeColor="text1"/>
          <w:sz w:val="24"/>
          <w:szCs w:val="24"/>
        </w:rPr>
        <w:t>Bernardo NO.</w:t>
      </w:r>
      <w:r w:rsidRPr="008A28E4">
        <w:rPr>
          <w:rFonts w:ascii="Book Antiqua" w:eastAsia="宋体" w:hAnsi="Book Antiqua" w:cs="宋体"/>
          <w:color w:val="000000" w:themeColor="text1"/>
          <w:sz w:val="24"/>
          <w:szCs w:val="24"/>
        </w:rPr>
        <w:t xml:space="preserve"> Percutaneous Renal Access Under Fluoroscopic Control. Smith's Textbook of Endourology. 3rd ed. 2011: 180-188</w:t>
      </w:r>
    </w:p>
    <w:p w:rsidR="00E503CC" w:rsidRPr="008A28E4" w:rsidRDefault="00E503CC" w:rsidP="008A28E4">
      <w:pPr>
        <w:spacing w:after="0" w:line="360" w:lineRule="auto"/>
        <w:jc w:val="both"/>
        <w:rPr>
          <w:rFonts w:ascii="Book Antiqua" w:eastAsia="宋体" w:hAnsi="Book Antiqua" w:cs="宋体"/>
          <w:sz w:val="24"/>
          <w:szCs w:val="24"/>
        </w:rPr>
      </w:pPr>
      <w:r w:rsidRPr="008A28E4">
        <w:rPr>
          <w:rFonts w:ascii="Book Antiqua" w:eastAsia="宋体" w:hAnsi="Book Antiqua" w:cs="宋体"/>
          <w:sz w:val="24"/>
          <w:szCs w:val="24"/>
        </w:rPr>
        <w:t xml:space="preserve">42 </w:t>
      </w:r>
      <w:r w:rsidRPr="008A28E4">
        <w:rPr>
          <w:rFonts w:ascii="Book Antiqua" w:eastAsia="宋体" w:hAnsi="Book Antiqua" w:cs="宋体"/>
          <w:b/>
          <w:bCs/>
          <w:sz w:val="24"/>
          <w:szCs w:val="24"/>
        </w:rPr>
        <w:t>Steinberg PL</w:t>
      </w:r>
      <w:r w:rsidRPr="008A28E4">
        <w:rPr>
          <w:rFonts w:ascii="Book Antiqua" w:eastAsia="宋体" w:hAnsi="Book Antiqua" w:cs="宋体"/>
          <w:sz w:val="24"/>
          <w:szCs w:val="24"/>
        </w:rPr>
        <w:t xml:space="preserve">, Semins MJ, Wason SE, Matlaga BR, Pais VM. Fluoroscopy-guided percutaneous renal access. </w:t>
      </w:r>
      <w:r w:rsidRPr="008A28E4">
        <w:rPr>
          <w:rFonts w:ascii="Book Antiqua" w:eastAsia="宋体" w:hAnsi="Book Antiqua" w:cs="宋体"/>
          <w:i/>
          <w:iCs/>
          <w:sz w:val="24"/>
          <w:szCs w:val="24"/>
        </w:rPr>
        <w:t>J Endourol</w:t>
      </w:r>
      <w:r w:rsidRPr="008A28E4">
        <w:rPr>
          <w:rFonts w:ascii="Book Antiqua" w:eastAsia="宋体" w:hAnsi="Book Antiqua" w:cs="宋体"/>
          <w:sz w:val="24"/>
          <w:szCs w:val="24"/>
        </w:rPr>
        <w:t xml:space="preserve"> 2009; </w:t>
      </w:r>
      <w:r w:rsidRPr="008A28E4">
        <w:rPr>
          <w:rFonts w:ascii="Book Antiqua" w:eastAsia="宋体" w:hAnsi="Book Antiqua" w:cs="宋体"/>
          <w:b/>
          <w:bCs/>
          <w:sz w:val="24"/>
          <w:szCs w:val="24"/>
        </w:rPr>
        <w:t>23</w:t>
      </w:r>
      <w:r w:rsidRPr="008A28E4">
        <w:rPr>
          <w:rFonts w:ascii="Book Antiqua" w:eastAsia="宋体" w:hAnsi="Book Antiqua" w:cs="宋体"/>
          <w:sz w:val="24"/>
          <w:szCs w:val="24"/>
        </w:rPr>
        <w:t>: 1627-1631 [PMID: 19785549 DOI: 10.1089/end.2009.1528]</w:t>
      </w:r>
    </w:p>
    <w:p w:rsidR="00E503CC" w:rsidRPr="008A28E4" w:rsidRDefault="00E503CC" w:rsidP="008A28E4">
      <w:pPr>
        <w:spacing w:after="0" w:line="360" w:lineRule="auto"/>
        <w:jc w:val="both"/>
        <w:rPr>
          <w:rFonts w:ascii="Book Antiqua" w:eastAsia="宋体" w:hAnsi="Book Antiqua" w:cs="宋体"/>
          <w:sz w:val="24"/>
          <w:szCs w:val="24"/>
        </w:rPr>
      </w:pPr>
      <w:r w:rsidRPr="008A28E4">
        <w:rPr>
          <w:rFonts w:ascii="Book Antiqua" w:eastAsia="宋体" w:hAnsi="Book Antiqua" w:cs="宋体"/>
          <w:sz w:val="24"/>
          <w:szCs w:val="24"/>
        </w:rPr>
        <w:t xml:space="preserve">43 </w:t>
      </w:r>
      <w:r w:rsidRPr="008A28E4">
        <w:rPr>
          <w:rFonts w:ascii="Book Antiqua" w:eastAsia="宋体" w:hAnsi="Book Antiqua" w:cs="宋体"/>
          <w:b/>
          <w:bCs/>
          <w:sz w:val="24"/>
          <w:szCs w:val="24"/>
        </w:rPr>
        <w:t>Bilen CY</w:t>
      </w:r>
      <w:r w:rsidRPr="008A28E4">
        <w:rPr>
          <w:rFonts w:ascii="Book Antiqua" w:eastAsia="宋体" w:hAnsi="Book Antiqua" w:cs="宋体"/>
          <w:sz w:val="24"/>
          <w:szCs w:val="24"/>
        </w:rPr>
        <w:t>, A</w:t>
      </w:r>
      <w:r w:rsidRPr="008A28E4">
        <w:rPr>
          <w:rFonts w:ascii="Book Antiqua" w:eastAsia="MS Mincho" w:hAnsi="Book Antiqua" w:cs="MS Mincho"/>
          <w:sz w:val="24"/>
          <w:szCs w:val="24"/>
        </w:rPr>
        <w:t>ş</w:t>
      </w:r>
      <w:r w:rsidRPr="008A28E4">
        <w:rPr>
          <w:rFonts w:ascii="Book Antiqua" w:eastAsia="宋体" w:hAnsi="Book Antiqua" w:cs="宋体"/>
          <w:sz w:val="24"/>
          <w:szCs w:val="24"/>
        </w:rPr>
        <w:t xml:space="preserve">çi R, Sarikaya S, Büyükalpelli R, Yilmaz AF. Laser-assisted fluoroscopic puncture: a new technique for accessing the kidney. </w:t>
      </w:r>
      <w:r w:rsidRPr="008A28E4">
        <w:rPr>
          <w:rFonts w:ascii="Book Antiqua" w:eastAsia="宋体" w:hAnsi="Book Antiqua" w:cs="宋体"/>
          <w:i/>
          <w:iCs/>
          <w:sz w:val="24"/>
          <w:szCs w:val="24"/>
        </w:rPr>
        <w:t>J Endourol</w:t>
      </w:r>
      <w:r w:rsidRPr="008A28E4">
        <w:rPr>
          <w:rFonts w:ascii="Book Antiqua" w:eastAsia="宋体" w:hAnsi="Book Antiqua" w:cs="宋体"/>
          <w:sz w:val="24"/>
          <w:szCs w:val="24"/>
        </w:rPr>
        <w:t xml:space="preserve"> 2003; </w:t>
      </w:r>
      <w:r w:rsidRPr="008A28E4">
        <w:rPr>
          <w:rFonts w:ascii="Book Antiqua" w:eastAsia="宋体" w:hAnsi="Book Antiqua" w:cs="宋体"/>
          <w:b/>
          <w:bCs/>
          <w:sz w:val="24"/>
          <w:szCs w:val="24"/>
        </w:rPr>
        <w:t>17</w:t>
      </w:r>
      <w:r w:rsidRPr="008A28E4">
        <w:rPr>
          <w:rFonts w:ascii="Book Antiqua" w:eastAsia="宋体" w:hAnsi="Book Antiqua" w:cs="宋体"/>
          <w:sz w:val="24"/>
          <w:szCs w:val="24"/>
        </w:rPr>
        <w:t>: 485-491 [PMID: 14565879]</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503CC" w:rsidRPr="008A28E4" w:rsidTr="003E5A19">
        <w:trPr>
          <w:tblCellSpacing w:w="15" w:type="dxa"/>
        </w:trPr>
        <w:tc>
          <w:tcPr>
            <w:tcW w:w="0" w:type="auto"/>
            <w:vAlign w:val="center"/>
            <w:hideMark/>
          </w:tcPr>
          <w:p w:rsidR="00E503CC" w:rsidRPr="008A28E4" w:rsidRDefault="00E503CC" w:rsidP="008A28E4">
            <w:pPr>
              <w:spacing w:after="0" w:line="360" w:lineRule="auto"/>
              <w:jc w:val="both"/>
              <w:rPr>
                <w:rFonts w:ascii="Book Antiqua" w:eastAsia="宋体" w:hAnsi="Book Antiqua" w:cs="宋体"/>
                <w:sz w:val="24"/>
                <w:szCs w:val="24"/>
              </w:rPr>
            </w:pPr>
          </w:p>
        </w:tc>
      </w:tr>
    </w:tbl>
    <w:p w:rsidR="00E503CC" w:rsidRPr="008A28E4" w:rsidRDefault="00E503CC" w:rsidP="008A28E4">
      <w:pPr>
        <w:spacing w:after="0" w:line="360" w:lineRule="auto"/>
        <w:jc w:val="both"/>
        <w:rPr>
          <w:rFonts w:ascii="Book Antiqua" w:eastAsia="宋体" w:hAnsi="Book Antiqua" w:cs="宋体"/>
          <w:sz w:val="24"/>
          <w:szCs w:val="24"/>
        </w:rPr>
      </w:pPr>
      <w:r w:rsidRPr="008A28E4">
        <w:rPr>
          <w:rFonts w:ascii="Book Antiqua" w:eastAsia="宋体" w:hAnsi="Book Antiqua" w:cs="宋体"/>
          <w:sz w:val="24"/>
          <w:szCs w:val="24"/>
        </w:rPr>
        <w:t xml:space="preserve">44 </w:t>
      </w:r>
      <w:r w:rsidRPr="008A28E4">
        <w:rPr>
          <w:rFonts w:ascii="Book Antiqua" w:eastAsia="宋体" w:hAnsi="Book Antiqua" w:cs="宋体"/>
          <w:b/>
          <w:bCs/>
          <w:sz w:val="24"/>
          <w:szCs w:val="24"/>
        </w:rPr>
        <w:t>Ko R</w:t>
      </w:r>
      <w:r w:rsidRPr="008A28E4">
        <w:rPr>
          <w:rFonts w:ascii="Book Antiqua" w:eastAsia="宋体" w:hAnsi="Book Antiqua" w:cs="宋体"/>
          <w:sz w:val="24"/>
          <w:szCs w:val="24"/>
        </w:rPr>
        <w:t xml:space="preserve">, Razvi H. C-arm laser positioning device to facilitate percutaneous renal access. </w:t>
      </w:r>
      <w:r w:rsidRPr="008A28E4">
        <w:rPr>
          <w:rFonts w:ascii="Book Antiqua" w:eastAsia="宋体" w:hAnsi="Book Antiqua" w:cs="宋体"/>
          <w:i/>
          <w:iCs/>
          <w:sz w:val="24"/>
          <w:szCs w:val="24"/>
        </w:rPr>
        <w:t>Urology</w:t>
      </w:r>
      <w:r w:rsidRPr="008A28E4">
        <w:rPr>
          <w:rFonts w:ascii="Book Antiqua" w:eastAsia="宋体" w:hAnsi="Book Antiqua" w:cs="宋体"/>
          <w:sz w:val="24"/>
          <w:szCs w:val="24"/>
        </w:rPr>
        <w:t xml:space="preserve"> 2007; </w:t>
      </w:r>
      <w:r w:rsidRPr="008A28E4">
        <w:rPr>
          <w:rFonts w:ascii="Book Antiqua" w:eastAsia="宋体" w:hAnsi="Book Antiqua" w:cs="宋体"/>
          <w:b/>
          <w:bCs/>
          <w:sz w:val="24"/>
          <w:szCs w:val="24"/>
        </w:rPr>
        <w:t>70</w:t>
      </w:r>
      <w:r w:rsidRPr="008A28E4">
        <w:rPr>
          <w:rFonts w:ascii="Book Antiqua" w:eastAsia="宋体" w:hAnsi="Book Antiqua" w:cs="宋体"/>
          <w:sz w:val="24"/>
          <w:szCs w:val="24"/>
        </w:rPr>
        <w:t>: 360-361 [PMID: 17826509 DOI: 10.1016/j.urology.2007.05.013]</w:t>
      </w:r>
    </w:p>
    <w:p w:rsidR="00E503CC" w:rsidRPr="008A28E4" w:rsidRDefault="00E503CC" w:rsidP="008A28E4">
      <w:pPr>
        <w:spacing w:after="0" w:line="360" w:lineRule="auto"/>
        <w:jc w:val="both"/>
        <w:rPr>
          <w:rFonts w:ascii="Book Antiqua" w:eastAsia="宋体" w:hAnsi="Book Antiqua" w:cs="宋体"/>
          <w:sz w:val="24"/>
          <w:szCs w:val="24"/>
        </w:rPr>
      </w:pPr>
      <w:r w:rsidRPr="008A28E4">
        <w:rPr>
          <w:rFonts w:ascii="Book Antiqua" w:eastAsia="宋体" w:hAnsi="Book Antiqua" w:cs="宋体"/>
          <w:sz w:val="24"/>
          <w:szCs w:val="24"/>
        </w:rPr>
        <w:t xml:space="preserve">45 </w:t>
      </w:r>
      <w:r w:rsidRPr="008A28E4">
        <w:rPr>
          <w:rFonts w:ascii="Book Antiqua" w:eastAsia="宋体" w:hAnsi="Book Antiqua" w:cs="宋体"/>
          <w:b/>
          <w:bCs/>
          <w:sz w:val="24"/>
          <w:szCs w:val="24"/>
        </w:rPr>
        <w:t>Tanriverdi O</w:t>
      </w:r>
      <w:r w:rsidRPr="008A28E4">
        <w:rPr>
          <w:rFonts w:ascii="Book Antiqua" w:eastAsia="宋体" w:hAnsi="Book Antiqua" w:cs="宋体"/>
          <w:sz w:val="24"/>
          <w:szCs w:val="24"/>
        </w:rPr>
        <w:t xml:space="preserve">, Boylu U, Kendirci M, Kadihasanoglu M, Horasanli K, Miroglu C. The learning curve in the training of percutaneous nephrolithotomy. </w:t>
      </w:r>
      <w:r w:rsidRPr="008A28E4">
        <w:rPr>
          <w:rFonts w:ascii="Book Antiqua" w:eastAsia="宋体" w:hAnsi="Book Antiqua" w:cs="宋体"/>
          <w:i/>
          <w:iCs/>
          <w:sz w:val="24"/>
          <w:szCs w:val="24"/>
        </w:rPr>
        <w:t>Eur Urol</w:t>
      </w:r>
      <w:r w:rsidRPr="008A28E4">
        <w:rPr>
          <w:rFonts w:ascii="Book Antiqua" w:eastAsia="宋体" w:hAnsi="Book Antiqua" w:cs="宋体"/>
          <w:sz w:val="24"/>
          <w:szCs w:val="24"/>
        </w:rPr>
        <w:t xml:space="preserve"> 2007; </w:t>
      </w:r>
      <w:r w:rsidRPr="008A28E4">
        <w:rPr>
          <w:rFonts w:ascii="Book Antiqua" w:eastAsia="宋体" w:hAnsi="Book Antiqua" w:cs="宋体"/>
          <w:b/>
          <w:bCs/>
          <w:sz w:val="24"/>
          <w:szCs w:val="24"/>
        </w:rPr>
        <w:t>52</w:t>
      </w:r>
      <w:r w:rsidRPr="008A28E4">
        <w:rPr>
          <w:rFonts w:ascii="Book Antiqua" w:eastAsia="宋体" w:hAnsi="Book Antiqua" w:cs="宋体"/>
          <w:sz w:val="24"/>
          <w:szCs w:val="24"/>
        </w:rPr>
        <w:t>: 206-211 [PMID: 17229522 DOI: 10.1016/j.eururo.2007.01.001]</w:t>
      </w:r>
    </w:p>
    <w:p w:rsidR="00E503CC" w:rsidRPr="008A28E4" w:rsidRDefault="00E503CC" w:rsidP="008A28E4">
      <w:pPr>
        <w:spacing w:after="0" w:line="360" w:lineRule="auto"/>
        <w:jc w:val="both"/>
        <w:rPr>
          <w:rFonts w:ascii="Book Antiqua" w:eastAsia="宋体" w:hAnsi="Book Antiqua" w:cs="宋体"/>
          <w:sz w:val="24"/>
          <w:szCs w:val="24"/>
        </w:rPr>
      </w:pPr>
      <w:r w:rsidRPr="008A28E4">
        <w:rPr>
          <w:rFonts w:ascii="Book Antiqua" w:eastAsia="宋体" w:hAnsi="Book Antiqua" w:cs="宋体"/>
          <w:sz w:val="24"/>
          <w:szCs w:val="24"/>
        </w:rPr>
        <w:t xml:space="preserve">46 </w:t>
      </w:r>
      <w:r w:rsidRPr="008A28E4">
        <w:rPr>
          <w:rFonts w:ascii="Book Antiqua" w:eastAsia="宋体" w:hAnsi="Book Antiqua" w:cs="宋体"/>
          <w:b/>
          <w:bCs/>
          <w:sz w:val="24"/>
          <w:szCs w:val="24"/>
        </w:rPr>
        <w:t>Shergill IS</w:t>
      </w:r>
      <w:r w:rsidRPr="008A28E4">
        <w:rPr>
          <w:rFonts w:ascii="Book Antiqua" w:eastAsia="宋体" w:hAnsi="Book Antiqua" w:cs="宋体"/>
          <w:sz w:val="24"/>
          <w:szCs w:val="24"/>
        </w:rPr>
        <w:t xml:space="preserve">, Abdulmajed MI, Moussa SA, Rix GH. The 3-finger technique in establishing percutaneous renal access: a new and simple method for junior trainees. </w:t>
      </w:r>
      <w:r w:rsidRPr="008A28E4">
        <w:rPr>
          <w:rFonts w:ascii="Book Antiqua" w:eastAsia="宋体" w:hAnsi="Book Antiqua" w:cs="宋体"/>
          <w:i/>
          <w:iCs/>
          <w:sz w:val="24"/>
          <w:szCs w:val="24"/>
        </w:rPr>
        <w:t>J Surg Educ</w:t>
      </w:r>
      <w:r w:rsidRPr="008A28E4">
        <w:rPr>
          <w:rFonts w:ascii="Book Antiqua" w:eastAsia="宋体" w:hAnsi="Book Antiqua" w:cs="宋体"/>
          <w:sz w:val="24"/>
          <w:szCs w:val="24"/>
        </w:rPr>
        <w:t xml:space="preserve"> 2012; </w:t>
      </w:r>
      <w:r w:rsidRPr="008A28E4">
        <w:rPr>
          <w:rFonts w:ascii="Book Antiqua" w:eastAsia="宋体" w:hAnsi="Book Antiqua" w:cs="宋体"/>
          <w:b/>
          <w:bCs/>
          <w:sz w:val="24"/>
          <w:szCs w:val="24"/>
        </w:rPr>
        <w:t>69</w:t>
      </w:r>
      <w:r w:rsidRPr="008A28E4">
        <w:rPr>
          <w:rFonts w:ascii="Book Antiqua" w:eastAsia="宋体" w:hAnsi="Book Antiqua" w:cs="宋体"/>
          <w:sz w:val="24"/>
          <w:szCs w:val="24"/>
        </w:rPr>
        <w:t>: 550-553 [PMID: 22677596 DOI: 10.1016/j.jsurg.2012.03.004]</w:t>
      </w:r>
    </w:p>
    <w:p w:rsidR="00E503CC" w:rsidRPr="008A28E4" w:rsidRDefault="00E503CC" w:rsidP="008A28E4">
      <w:pPr>
        <w:spacing w:after="0" w:line="360" w:lineRule="auto"/>
        <w:jc w:val="both"/>
        <w:rPr>
          <w:rFonts w:ascii="Book Antiqua" w:eastAsia="宋体" w:hAnsi="Book Antiqua" w:cs="宋体"/>
          <w:sz w:val="24"/>
          <w:szCs w:val="24"/>
        </w:rPr>
      </w:pPr>
      <w:r w:rsidRPr="008A28E4">
        <w:rPr>
          <w:rFonts w:ascii="Book Antiqua" w:eastAsia="宋体" w:hAnsi="Book Antiqua" w:cs="宋体"/>
          <w:sz w:val="24"/>
          <w:szCs w:val="24"/>
        </w:rPr>
        <w:t xml:space="preserve">47 </w:t>
      </w:r>
      <w:r w:rsidRPr="008A28E4">
        <w:rPr>
          <w:rFonts w:ascii="Book Antiqua" w:eastAsia="宋体" w:hAnsi="Book Antiqua" w:cs="宋体"/>
          <w:b/>
          <w:bCs/>
          <w:sz w:val="24"/>
          <w:szCs w:val="24"/>
        </w:rPr>
        <w:t>Mues E</w:t>
      </w:r>
      <w:r w:rsidRPr="008A28E4">
        <w:rPr>
          <w:rFonts w:ascii="Book Antiqua" w:eastAsia="宋体" w:hAnsi="Book Antiqua" w:cs="宋体"/>
          <w:sz w:val="24"/>
          <w:szCs w:val="24"/>
        </w:rPr>
        <w:t xml:space="preserve">, Gutiérrez J, Loske AM. Percutaneous renal access: a simplified approach. </w:t>
      </w:r>
      <w:r w:rsidRPr="008A28E4">
        <w:rPr>
          <w:rFonts w:ascii="Book Antiqua" w:eastAsia="宋体" w:hAnsi="Book Antiqua" w:cs="宋体"/>
          <w:i/>
          <w:iCs/>
          <w:sz w:val="24"/>
          <w:szCs w:val="24"/>
        </w:rPr>
        <w:t>J Endourol</w:t>
      </w:r>
      <w:r w:rsidRPr="008A28E4">
        <w:rPr>
          <w:rFonts w:ascii="Book Antiqua" w:eastAsia="宋体" w:hAnsi="Book Antiqua" w:cs="宋体"/>
          <w:sz w:val="24"/>
          <w:szCs w:val="24"/>
        </w:rPr>
        <w:t xml:space="preserve"> 2007; </w:t>
      </w:r>
      <w:r w:rsidRPr="008A28E4">
        <w:rPr>
          <w:rFonts w:ascii="Book Antiqua" w:eastAsia="宋体" w:hAnsi="Book Antiqua" w:cs="宋体"/>
          <w:b/>
          <w:bCs/>
          <w:sz w:val="24"/>
          <w:szCs w:val="24"/>
        </w:rPr>
        <w:t>21</w:t>
      </w:r>
      <w:r w:rsidRPr="008A28E4">
        <w:rPr>
          <w:rFonts w:ascii="Book Antiqua" w:eastAsia="宋体" w:hAnsi="Book Antiqua" w:cs="宋体"/>
          <w:sz w:val="24"/>
          <w:szCs w:val="24"/>
        </w:rPr>
        <w:t>: 1271-1275 [PMID: 18042013]</w:t>
      </w:r>
    </w:p>
    <w:p w:rsidR="00E503CC" w:rsidRPr="008A28E4" w:rsidRDefault="00E503CC" w:rsidP="008A28E4">
      <w:pPr>
        <w:spacing w:after="0" w:line="360" w:lineRule="auto"/>
        <w:jc w:val="both"/>
        <w:rPr>
          <w:rFonts w:ascii="Book Antiqua" w:eastAsia="宋体" w:hAnsi="Book Antiqua" w:cs="宋体"/>
          <w:sz w:val="24"/>
          <w:szCs w:val="24"/>
        </w:rPr>
      </w:pPr>
      <w:r w:rsidRPr="008A28E4">
        <w:rPr>
          <w:rFonts w:ascii="Book Antiqua" w:eastAsia="宋体" w:hAnsi="Book Antiqua" w:cs="宋体"/>
          <w:sz w:val="24"/>
          <w:szCs w:val="24"/>
        </w:rPr>
        <w:t xml:space="preserve">48 </w:t>
      </w:r>
      <w:r w:rsidRPr="008A28E4">
        <w:rPr>
          <w:rFonts w:ascii="Book Antiqua" w:eastAsia="宋体" w:hAnsi="Book Antiqua" w:cs="宋体"/>
          <w:b/>
          <w:bCs/>
          <w:sz w:val="24"/>
          <w:szCs w:val="24"/>
        </w:rPr>
        <w:t>Liatsikos EN</w:t>
      </w:r>
      <w:r w:rsidRPr="008A28E4">
        <w:rPr>
          <w:rFonts w:ascii="Book Antiqua" w:eastAsia="宋体" w:hAnsi="Book Antiqua" w:cs="宋体"/>
          <w:sz w:val="24"/>
          <w:szCs w:val="24"/>
        </w:rPr>
        <w:t xml:space="preserve">, Kapoor R, Lee B, Jabbour M, Barbalias G, Smith AD. "Angular percutaneous renal access". Multiple tracts through a single incision for staghorn calculous treatment in a single session. </w:t>
      </w:r>
      <w:r w:rsidRPr="008A28E4">
        <w:rPr>
          <w:rFonts w:ascii="Book Antiqua" w:eastAsia="宋体" w:hAnsi="Book Antiqua" w:cs="宋体"/>
          <w:i/>
          <w:iCs/>
          <w:sz w:val="24"/>
          <w:szCs w:val="24"/>
        </w:rPr>
        <w:t>Eur Urol</w:t>
      </w:r>
      <w:r w:rsidRPr="008A28E4">
        <w:rPr>
          <w:rFonts w:ascii="Book Antiqua" w:eastAsia="宋体" w:hAnsi="Book Antiqua" w:cs="宋体"/>
          <w:sz w:val="24"/>
          <w:szCs w:val="24"/>
        </w:rPr>
        <w:t xml:space="preserve"> 2005; </w:t>
      </w:r>
      <w:r w:rsidRPr="008A28E4">
        <w:rPr>
          <w:rFonts w:ascii="Book Antiqua" w:eastAsia="宋体" w:hAnsi="Book Antiqua" w:cs="宋体"/>
          <w:b/>
          <w:bCs/>
          <w:sz w:val="24"/>
          <w:szCs w:val="24"/>
        </w:rPr>
        <w:t>48</w:t>
      </w:r>
      <w:r w:rsidRPr="008A28E4">
        <w:rPr>
          <w:rFonts w:ascii="Book Antiqua" w:eastAsia="宋体" w:hAnsi="Book Antiqua" w:cs="宋体"/>
          <w:sz w:val="24"/>
          <w:szCs w:val="24"/>
        </w:rPr>
        <w:t>: 832-837 [PMID: 16203078 DOI: 10.1016/j.eururo.2005.08.009]</w:t>
      </w:r>
    </w:p>
    <w:p w:rsidR="00E503CC" w:rsidRPr="008A28E4" w:rsidRDefault="00E503CC" w:rsidP="008A28E4">
      <w:pPr>
        <w:spacing w:after="0" w:line="360" w:lineRule="auto"/>
        <w:jc w:val="both"/>
        <w:rPr>
          <w:rFonts w:ascii="Book Antiqua" w:eastAsia="宋体" w:hAnsi="Book Antiqua" w:cs="宋体"/>
          <w:sz w:val="24"/>
          <w:szCs w:val="24"/>
        </w:rPr>
      </w:pPr>
      <w:r w:rsidRPr="008A28E4">
        <w:rPr>
          <w:rFonts w:ascii="Book Antiqua" w:eastAsia="宋体" w:hAnsi="Book Antiqua" w:cs="宋体"/>
          <w:sz w:val="24"/>
          <w:szCs w:val="24"/>
        </w:rPr>
        <w:t xml:space="preserve">49 </w:t>
      </w:r>
      <w:r w:rsidRPr="008A28E4">
        <w:rPr>
          <w:rFonts w:ascii="Book Antiqua" w:eastAsia="宋体" w:hAnsi="Book Antiqua" w:cs="宋体"/>
          <w:b/>
          <w:bCs/>
          <w:sz w:val="24"/>
          <w:szCs w:val="24"/>
        </w:rPr>
        <w:t>Mozer P</w:t>
      </w:r>
      <w:r w:rsidRPr="008A28E4">
        <w:rPr>
          <w:rFonts w:ascii="Book Antiqua" w:eastAsia="宋体" w:hAnsi="Book Antiqua" w:cs="宋体"/>
          <w:sz w:val="24"/>
          <w:szCs w:val="24"/>
        </w:rPr>
        <w:t xml:space="preserve">, Conort P, Leroy A, Baumann M, Payan Y, Troccaz J, Chartier-Kastler E, Richard F. Aid to percutaneous renal access by virtual projection of the ultrasound puncture tract onto fluoroscopic images. </w:t>
      </w:r>
      <w:r w:rsidRPr="008A28E4">
        <w:rPr>
          <w:rFonts w:ascii="Book Antiqua" w:eastAsia="宋体" w:hAnsi="Book Antiqua" w:cs="宋体"/>
          <w:i/>
          <w:iCs/>
          <w:sz w:val="24"/>
          <w:szCs w:val="24"/>
        </w:rPr>
        <w:t>J Endourol</w:t>
      </w:r>
      <w:r w:rsidRPr="008A28E4">
        <w:rPr>
          <w:rFonts w:ascii="Book Antiqua" w:eastAsia="宋体" w:hAnsi="Book Antiqua" w:cs="宋体"/>
          <w:sz w:val="24"/>
          <w:szCs w:val="24"/>
        </w:rPr>
        <w:t xml:space="preserve"> 2007; </w:t>
      </w:r>
      <w:r w:rsidRPr="008A28E4">
        <w:rPr>
          <w:rFonts w:ascii="Book Antiqua" w:eastAsia="宋体" w:hAnsi="Book Antiqua" w:cs="宋体"/>
          <w:b/>
          <w:bCs/>
          <w:sz w:val="24"/>
          <w:szCs w:val="24"/>
        </w:rPr>
        <w:t>21</w:t>
      </w:r>
      <w:r w:rsidRPr="008A28E4">
        <w:rPr>
          <w:rFonts w:ascii="Book Antiqua" w:eastAsia="宋体" w:hAnsi="Book Antiqua" w:cs="宋体"/>
          <w:sz w:val="24"/>
          <w:szCs w:val="24"/>
        </w:rPr>
        <w:t>: 460-465 [PMID: 17523896 DOI: 10.1089/end.2006.0168]</w:t>
      </w:r>
    </w:p>
    <w:p w:rsidR="00E503CC" w:rsidRPr="008A28E4" w:rsidRDefault="00E503CC" w:rsidP="008A28E4">
      <w:pPr>
        <w:spacing w:after="0" w:line="360" w:lineRule="auto"/>
        <w:jc w:val="both"/>
        <w:rPr>
          <w:rFonts w:ascii="Book Antiqua" w:eastAsia="宋体" w:hAnsi="Book Antiqua" w:cs="宋体"/>
          <w:sz w:val="24"/>
          <w:szCs w:val="24"/>
        </w:rPr>
      </w:pPr>
      <w:r w:rsidRPr="008A28E4">
        <w:rPr>
          <w:rFonts w:ascii="Book Antiqua" w:eastAsia="宋体" w:hAnsi="Book Antiqua" w:cs="宋体"/>
          <w:sz w:val="24"/>
          <w:szCs w:val="24"/>
        </w:rPr>
        <w:t xml:space="preserve">50 </w:t>
      </w:r>
      <w:r w:rsidRPr="008A28E4">
        <w:rPr>
          <w:rFonts w:ascii="Book Antiqua" w:eastAsia="宋体" w:hAnsi="Book Antiqua" w:cs="宋体"/>
          <w:b/>
          <w:bCs/>
          <w:sz w:val="24"/>
          <w:szCs w:val="24"/>
        </w:rPr>
        <w:t>Soria F</w:t>
      </w:r>
      <w:r w:rsidRPr="008A28E4">
        <w:rPr>
          <w:rFonts w:ascii="Book Antiqua" w:eastAsia="宋体" w:hAnsi="Book Antiqua" w:cs="宋体"/>
          <w:sz w:val="24"/>
          <w:szCs w:val="24"/>
        </w:rPr>
        <w:t xml:space="preserve">, Delgado MI, Sánchez FM, Allona A, Jiménez Cruz JF, Morell E, Usón J. Effectiveness of three-dimensional fluoroscopy in percutaneous nephrostomy: an animal model study. </w:t>
      </w:r>
      <w:r w:rsidRPr="008A28E4">
        <w:rPr>
          <w:rFonts w:ascii="Book Antiqua" w:eastAsia="宋体" w:hAnsi="Book Antiqua" w:cs="宋体"/>
          <w:i/>
          <w:iCs/>
          <w:sz w:val="24"/>
          <w:szCs w:val="24"/>
        </w:rPr>
        <w:t>Urology</w:t>
      </w:r>
      <w:r w:rsidRPr="008A28E4">
        <w:rPr>
          <w:rFonts w:ascii="Book Antiqua" w:eastAsia="宋体" w:hAnsi="Book Antiqua" w:cs="宋体"/>
          <w:sz w:val="24"/>
          <w:szCs w:val="24"/>
        </w:rPr>
        <w:t xml:space="preserve"> 2009; </w:t>
      </w:r>
      <w:r w:rsidRPr="008A28E4">
        <w:rPr>
          <w:rFonts w:ascii="Book Antiqua" w:eastAsia="宋体" w:hAnsi="Book Antiqua" w:cs="宋体"/>
          <w:b/>
          <w:bCs/>
          <w:sz w:val="24"/>
          <w:szCs w:val="24"/>
        </w:rPr>
        <w:t>73</w:t>
      </w:r>
      <w:r w:rsidRPr="008A28E4">
        <w:rPr>
          <w:rFonts w:ascii="Book Antiqua" w:eastAsia="宋体" w:hAnsi="Book Antiqua" w:cs="宋体"/>
          <w:sz w:val="24"/>
          <w:szCs w:val="24"/>
        </w:rPr>
        <w:t>: 649-652; discussion 652-654 [PMID: 19100601 DOI: 10.1016/j.urology.2008.09.063]</w:t>
      </w:r>
    </w:p>
    <w:p w:rsidR="00E503CC" w:rsidRPr="008A28E4" w:rsidRDefault="00E503CC" w:rsidP="008A28E4">
      <w:pPr>
        <w:spacing w:after="0" w:line="360" w:lineRule="auto"/>
        <w:jc w:val="both"/>
        <w:rPr>
          <w:rFonts w:ascii="Book Antiqua" w:eastAsia="宋体" w:hAnsi="Book Antiqua" w:cs="宋体"/>
          <w:sz w:val="24"/>
          <w:szCs w:val="24"/>
        </w:rPr>
      </w:pPr>
      <w:r w:rsidRPr="008A28E4">
        <w:rPr>
          <w:rFonts w:ascii="Book Antiqua" w:eastAsia="宋体" w:hAnsi="Book Antiqua" w:cs="宋体"/>
          <w:sz w:val="24"/>
          <w:szCs w:val="24"/>
        </w:rPr>
        <w:t xml:space="preserve">51 </w:t>
      </w:r>
      <w:r w:rsidRPr="008A28E4">
        <w:rPr>
          <w:rFonts w:ascii="Book Antiqua" w:eastAsia="宋体" w:hAnsi="Book Antiqua" w:cs="宋体"/>
          <w:b/>
          <w:sz w:val="24"/>
          <w:szCs w:val="24"/>
        </w:rPr>
        <w:t>Cadeddu JA,</w:t>
      </w:r>
      <w:r w:rsidRPr="008A28E4">
        <w:rPr>
          <w:rFonts w:ascii="Book Antiqua" w:eastAsia="宋体" w:hAnsi="Book Antiqua" w:cs="宋体"/>
          <w:sz w:val="24"/>
          <w:szCs w:val="24"/>
        </w:rPr>
        <w:t xml:space="preserve"> Bzostek A, Schreiner S, Barnes AC, Roberts WW, Anderson JH, Taylor RH, Kavoussi LR. A robotic system for percutaneous renal access. </w:t>
      </w:r>
      <w:r w:rsidRPr="008A28E4">
        <w:rPr>
          <w:rFonts w:ascii="Book Antiqua" w:eastAsia="宋体" w:hAnsi="Book Antiqua" w:cs="宋体"/>
          <w:i/>
          <w:sz w:val="24"/>
          <w:szCs w:val="24"/>
        </w:rPr>
        <w:t>J Urol</w:t>
      </w:r>
      <w:r w:rsidRPr="008A28E4">
        <w:rPr>
          <w:rFonts w:ascii="Book Antiqua" w:eastAsia="宋体" w:hAnsi="Book Antiqua" w:cs="宋体"/>
          <w:sz w:val="24"/>
          <w:szCs w:val="24"/>
        </w:rPr>
        <w:t xml:space="preserve"> 1997; </w:t>
      </w:r>
      <w:r w:rsidRPr="008A28E4">
        <w:rPr>
          <w:rFonts w:ascii="Book Antiqua" w:eastAsia="宋体" w:hAnsi="Book Antiqua" w:cs="宋体"/>
          <w:b/>
          <w:sz w:val="24"/>
          <w:szCs w:val="24"/>
        </w:rPr>
        <w:t>158</w:t>
      </w:r>
      <w:r w:rsidRPr="008A28E4">
        <w:rPr>
          <w:rFonts w:ascii="Book Antiqua" w:eastAsia="宋体" w:hAnsi="Book Antiqua" w:cs="宋体"/>
          <w:sz w:val="24"/>
          <w:szCs w:val="24"/>
        </w:rPr>
        <w:t xml:space="preserve">: 1589-1593[PMID: 9302179 DOI: 10.1016/S0022-5347(01)64285-X] </w:t>
      </w:r>
    </w:p>
    <w:p w:rsidR="00E503CC" w:rsidRPr="008A28E4" w:rsidRDefault="00E503CC" w:rsidP="008A28E4">
      <w:pPr>
        <w:spacing w:after="0" w:line="360" w:lineRule="auto"/>
        <w:jc w:val="both"/>
        <w:rPr>
          <w:rFonts w:ascii="Book Antiqua" w:eastAsia="宋体" w:hAnsi="Book Antiqua" w:cs="宋体"/>
          <w:sz w:val="24"/>
          <w:szCs w:val="24"/>
        </w:rPr>
      </w:pPr>
      <w:r w:rsidRPr="008A28E4">
        <w:rPr>
          <w:rFonts w:ascii="Book Antiqua" w:eastAsia="宋体" w:hAnsi="Book Antiqua" w:cs="宋体"/>
          <w:sz w:val="24"/>
          <w:szCs w:val="24"/>
        </w:rPr>
        <w:t xml:space="preserve">52 </w:t>
      </w:r>
      <w:r w:rsidRPr="008A28E4">
        <w:rPr>
          <w:rFonts w:ascii="Book Antiqua" w:eastAsia="宋体" w:hAnsi="Book Antiqua" w:cs="宋体"/>
          <w:b/>
          <w:sz w:val="24"/>
          <w:szCs w:val="24"/>
        </w:rPr>
        <w:t>Bauer J,</w:t>
      </w:r>
      <w:r w:rsidRPr="008A28E4">
        <w:rPr>
          <w:rFonts w:ascii="Book Antiqua" w:eastAsia="宋体" w:hAnsi="Book Antiqua" w:cs="宋体"/>
          <w:sz w:val="24"/>
          <w:szCs w:val="24"/>
        </w:rPr>
        <w:t xml:space="preserve"> Lee BR, Stoianovici D, Bishoff JT, Micali S, Micali F, Kavoussi LR. Remote percutaneous renal access using a new automated telesurgical robotic system.</w:t>
      </w:r>
      <w:r w:rsidRPr="008A28E4">
        <w:rPr>
          <w:rFonts w:ascii="Book Antiqua" w:eastAsia="宋体" w:hAnsi="Book Antiqua" w:cs="宋体"/>
          <w:i/>
          <w:sz w:val="24"/>
          <w:szCs w:val="24"/>
        </w:rPr>
        <w:t xml:space="preserve"> Telemed J E Health</w:t>
      </w:r>
      <w:r w:rsidRPr="008A28E4">
        <w:rPr>
          <w:rFonts w:ascii="Book Antiqua" w:eastAsia="宋体" w:hAnsi="Book Antiqua" w:cs="宋体"/>
          <w:sz w:val="24"/>
          <w:szCs w:val="24"/>
        </w:rPr>
        <w:t xml:space="preserve"> 2001; </w:t>
      </w:r>
      <w:r w:rsidRPr="008A28E4">
        <w:rPr>
          <w:rFonts w:ascii="Book Antiqua" w:eastAsia="宋体" w:hAnsi="Book Antiqua" w:cs="宋体"/>
          <w:b/>
          <w:sz w:val="24"/>
          <w:szCs w:val="24"/>
        </w:rPr>
        <w:t>7</w:t>
      </w:r>
      <w:r w:rsidRPr="008A28E4">
        <w:rPr>
          <w:rFonts w:ascii="Book Antiqua" w:eastAsia="宋体" w:hAnsi="Book Antiqua" w:cs="宋体"/>
          <w:sz w:val="24"/>
          <w:szCs w:val="24"/>
        </w:rPr>
        <w:t>: 341-346 [PMID: 11886670]</w:t>
      </w:r>
    </w:p>
    <w:p w:rsidR="00E503CC" w:rsidRPr="008A28E4" w:rsidRDefault="00E503CC" w:rsidP="008A28E4">
      <w:pPr>
        <w:spacing w:after="0" w:line="360" w:lineRule="auto"/>
        <w:jc w:val="both"/>
        <w:rPr>
          <w:rFonts w:ascii="Book Antiqua" w:eastAsia="宋体" w:hAnsi="Book Antiqua" w:cs="宋体"/>
          <w:sz w:val="24"/>
          <w:szCs w:val="24"/>
        </w:rPr>
      </w:pPr>
      <w:r w:rsidRPr="008A28E4">
        <w:rPr>
          <w:rFonts w:ascii="Book Antiqua" w:eastAsia="宋体" w:hAnsi="Book Antiqua" w:cs="宋体"/>
          <w:sz w:val="24"/>
          <w:szCs w:val="24"/>
        </w:rPr>
        <w:t xml:space="preserve">53 </w:t>
      </w:r>
      <w:r w:rsidRPr="008A28E4">
        <w:rPr>
          <w:rFonts w:ascii="Book Antiqua" w:eastAsia="宋体" w:hAnsi="Book Antiqua" w:cs="宋体"/>
          <w:b/>
          <w:bCs/>
          <w:sz w:val="24"/>
          <w:szCs w:val="24"/>
        </w:rPr>
        <w:t>Su LM</w:t>
      </w:r>
      <w:r w:rsidRPr="008A28E4">
        <w:rPr>
          <w:rFonts w:ascii="Book Antiqua" w:eastAsia="宋体" w:hAnsi="Book Antiqua" w:cs="宋体"/>
          <w:sz w:val="24"/>
          <w:szCs w:val="24"/>
        </w:rPr>
        <w:t xml:space="preserve">, Stoianovici D, Jarrett TW, Patriciu A, Roberts WW, Cadeddu JA, Ramakumar S, Solomon SB, Kavoussi LR. Robotic percutaneous access to the kidney: comparison with standard manual access. </w:t>
      </w:r>
      <w:r w:rsidRPr="008A28E4">
        <w:rPr>
          <w:rFonts w:ascii="Book Antiqua" w:eastAsia="宋体" w:hAnsi="Book Antiqua" w:cs="宋体"/>
          <w:i/>
          <w:iCs/>
          <w:sz w:val="24"/>
          <w:szCs w:val="24"/>
        </w:rPr>
        <w:t>J Endourol</w:t>
      </w:r>
      <w:r w:rsidRPr="008A28E4">
        <w:rPr>
          <w:rFonts w:ascii="Book Antiqua" w:eastAsia="宋体" w:hAnsi="Book Antiqua" w:cs="宋体"/>
          <w:sz w:val="24"/>
          <w:szCs w:val="24"/>
        </w:rPr>
        <w:t xml:space="preserve"> 2002; </w:t>
      </w:r>
      <w:r w:rsidRPr="008A28E4">
        <w:rPr>
          <w:rFonts w:ascii="Book Antiqua" w:eastAsia="宋体" w:hAnsi="Book Antiqua" w:cs="宋体"/>
          <w:b/>
          <w:bCs/>
          <w:sz w:val="24"/>
          <w:szCs w:val="24"/>
        </w:rPr>
        <w:t>16</w:t>
      </w:r>
      <w:r w:rsidRPr="008A28E4">
        <w:rPr>
          <w:rFonts w:ascii="Book Antiqua" w:eastAsia="宋体" w:hAnsi="Book Antiqua" w:cs="宋体"/>
          <w:sz w:val="24"/>
          <w:szCs w:val="24"/>
        </w:rPr>
        <w:t>: 471-475 [PMID: 12396439 DOI: 10.1089/089277902760367421]</w:t>
      </w:r>
    </w:p>
    <w:p w:rsidR="00E503CC" w:rsidRPr="008A28E4" w:rsidRDefault="00E503CC" w:rsidP="008A28E4">
      <w:pPr>
        <w:spacing w:after="0" w:line="360" w:lineRule="auto"/>
        <w:jc w:val="both"/>
        <w:rPr>
          <w:rFonts w:ascii="Book Antiqua" w:eastAsia="宋体" w:hAnsi="Book Antiqua" w:cs="宋体"/>
          <w:sz w:val="24"/>
          <w:szCs w:val="24"/>
        </w:rPr>
      </w:pPr>
      <w:r w:rsidRPr="008A28E4">
        <w:rPr>
          <w:rFonts w:ascii="Book Antiqua" w:eastAsia="宋体" w:hAnsi="Book Antiqua" w:cs="宋体"/>
          <w:sz w:val="24"/>
          <w:szCs w:val="24"/>
        </w:rPr>
        <w:t xml:space="preserve">54 </w:t>
      </w:r>
      <w:r w:rsidRPr="008A28E4">
        <w:rPr>
          <w:rFonts w:ascii="Book Antiqua" w:eastAsia="宋体" w:hAnsi="Book Antiqua" w:cs="宋体"/>
          <w:b/>
          <w:bCs/>
          <w:sz w:val="24"/>
          <w:szCs w:val="24"/>
        </w:rPr>
        <w:t>Li X</w:t>
      </w:r>
      <w:r w:rsidRPr="008A28E4">
        <w:rPr>
          <w:rFonts w:ascii="Book Antiqua" w:eastAsia="宋体" w:hAnsi="Book Antiqua" w:cs="宋体"/>
          <w:sz w:val="24"/>
          <w:szCs w:val="24"/>
        </w:rPr>
        <w:t xml:space="preserve">, Liao S, Yu Y, Dai Q, Song B, Li L. Stereotactic localisation system: a modified puncture technique for percutaneous nephrolithotomy. </w:t>
      </w:r>
      <w:r w:rsidRPr="008A28E4">
        <w:rPr>
          <w:rFonts w:ascii="Book Antiqua" w:eastAsia="宋体" w:hAnsi="Book Antiqua" w:cs="宋体"/>
          <w:i/>
          <w:iCs/>
          <w:sz w:val="24"/>
          <w:szCs w:val="24"/>
        </w:rPr>
        <w:t>Urol Res</w:t>
      </w:r>
      <w:r w:rsidRPr="008A28E4">
        <w:rPr>
          <w:rFonts w:ascii="Book Antiqua" w:eastAsia="宋体" w:hAnsi="Book Antiqua" w:cs="宋体"/>
          <w:sz w:val="24"/>
          <w:szCs w:val="24"/>
        </w:rPr>
        <w:t xml:space="preserve"> 2012; </w:t>
      </w:r>
      <w:r w:rsidRPr="008A28E4">
        <w:rPr>
          <w:rFonts w:ascii="Book Antiqua" w:eastAsia="宋体" w:hAnsi="Book Antiqua" w:cs="宋体"/>
          <w:b/>
          <w:bCs/>
          <w:sz w:val="24"/>
          <w:szCs w:val="24"/>
        </w:rPr>
        <w:t>40</w:t>
      </w:r>
      <w:r w:rsidRPr="008A28E4">
        <w:rPr>
          <w:rFonts w:ascii="Book Antiqua" w:eastAsia="宋体" w:hAnsi="Book Antiqua" w:cs="宋体"/>
          <w:sz w:val="24"/>
          <w:szCs w:val="24"/>
        </w:rPr>
        <w:t>: 395-401 [PMID: 22057205 DOI: 10.1007/s00240-011-0434-2]</w:t>
      </w:r>
    </w:p>
    <w:p w:rsidR="00E503CC" w:rsidRPr="008A28E4" w:rsidRDefault="00E503CC" w:rsidP="008A28E4">
      <w:pPr>
        <w:spacing w:after="0" w:line="360" w:lineRule="auto"/>
        <w:jc w:val="both"/>
        <w:rPr>
          <w:rFonts w:ascii="Book Antiqua" w:eastAsia="宋体" w:hAnsi="Book Antiqua" w:cs="宋体"/>
          <w:sz w:val="24"/>
          <w:szCs w:val="24"/>
        </w:rPr>
      </w:pPr>
      <w:r w:rsidRPr="008A28E4">
        <w:rPr>
          <w:rFonts w:ascii="Book Antiqua" w:eastAsia="宋体" w:hAnsi="Book Antiqua" w:cs="宋体"/>
          <w:sz w:val="24"/>
          <w:szCs w:val="24"/>
        </w:rPr>
        <w:t xml:space="preserve">55 </w:t>
      </w:r>
      <w:r w:rsidRPr="008A28E4">
        <w:rPr>
          <w:rFonts w:ascii="Book Antiqua" w:eastAsia="宋体" w:hAnsi="Book Antiqua" w:cs="宋体"/>
          <w:b/>
          <w:bCs/>
          <w:sz w:val="24"/>
          <w:szCs w:val="24"/>
        </w:rPr>
        <w:t>Hatipoglu NK</w:t>
      </w:r>
      <w:r w:rsidRPr="008A28E4">
        <w:rPr>
          <w:rFonts w:ascii="Book Antiqua" w:eastAsia="宋体" w:hAnsi="Book Antiqua" w:cs="宋体"/>
          <w:sz w:val="24"/>
          <w:szCs w:val="24"/>
        </w:rPr>
        <w:t xml:space="preserve">, Bodakci MN, Penbegül N, Bozkurt Y, Sancaktutar AA, Atar M, Söylemez H. Monoplanar access technique for percutaneous nephrolithotomy. </w:t>
      </w:r>
      <w:r w:rsidRPr="008A28E4">
        <w:rPr>
          <w:rFonts w:ascii="Book Antiqua" w:eastAsia="宋体" w:hAnsi="Book Antiqua" w:cs="宋体"/>
          <w:i/>
          <w:iCs/>
          <w:sz w:val="24"/>
          <w:szCs w:val="24"/>
        </w:rPr>
        <w:t>Urolithiasis</w:t>
      </w:r>
      <w:r w:rsidRPr="008A28E4">
        <w:rPr>
          <w:rFonts w:ascii="Book Antiqua" w:eastAsia="宋体" w:hAnsi="Book Antiqua" w:cs="宋体"/>
          <w:sz w:val="24"/>
          <w:szCs w:val="24"/>
        </w:rPr>
        <w:t xml:space="preserve"> 2013; </w:t>
      </w:r>
      <w:r w:rsidRPr="008A28E4">
        <w:rPr>
          <w:rFonts w:ascii="Book Antiqua" w:eastAsia="宋体" w:hAnsi="Book Antiqua" w:cs="宋体"/>
          <w:b/>
          <w:bCs/>
          <w:sz w:val="24"/>
          <w:szCs w:val="24"/>
        </w:rPr>
        <w:t>41</w:t>
      </w:r>
      <w:r w:rsidRPr="008A28E4">
        <w:rPr>
          <w:rFonts w:ascii="Book Antiqua" w:eastAsia="宋体" w:hAnsi="Book Antiqua" w:cs="宋体"/>
          <w:sz w:val="24"/>
          <w:szCs w:val="24"/>
        </w:rPr>
        <w:t>: 257-263 [PMID: 23564416 DOI: 10.1007/s00240-013-0557-8]</w:t>
      </w:r>
    </w:p>
    <w:p w:rsidR="00E503CC" w:rsidRPr="008A28E4" w:rsidRDefault="00E503CC" w:rsidP="008A28E4">
      <w:pPr>
        <w:spacing w:after="0" w:line="360" w:lineRule="auto"/>
        <w:jc w:val="both"/>
        <w:rPr>
          <w:rFonts w:ascii="Book Antiqua" w:eastAsia="宋体" w:hAnsi="Book Antiqua" w:cs="宋体"/>
          <w:sz w:val="24"/>
          <w:szCs w:val="24"/>
        </w:rPr>
      </w:pPr>
      <w:r w:rsidRPr="008A28E4">
        <w:rPr>
          <w:rFonts w:ascii="Book Antiqua" w:eastAsia="宋体" w:hAnsi="Book Antiqua" w:cs="宋体"/>
          <w:sz w:val="24"/>
          <w:szCs w:val="24"/>
        </w:rPr>
        <w:t xml:space="preserve">56 </w:t>
      </w:r>
      <w:r w:rsidRPr="008A28E4">
        <w:rPr>
          <w:rFonts w:ascii="Book Antiqua" w:eastAsia="宋体" w:hAnsi="Book Antiqua" w:cs="宋体"/>
          <w:b/>
          <w:bCs/>
          <w:sz w:val="24"/>
          <w:szCs w:val="24"/>
        </w:rPr>
        <w:t>Lang EK</w:t>
      </w:r>
      <w:r w:rsidRPr="008A28E4">
        <w:rPr>
          <w:rFonts w:ascii="Book Antiqua" w:eastAsia="宋体" w:hAnsi="Book Antiqua" w:cs="宋体"/>
          <w:sz w:val="24"/>
          <w:szCs w:val="24"/>
        </w:rPr>
        <w:t xml:space="preserve">. Percutaneous nephrostolithotomy and lithotripsy: a multi-institutional survey of complications. </w:t>
      </w:r>
      <w:r w:rsidRPr="008A28E4">
        <w:rPr>
          <w:rFonts w:ascii="Book Antiqua" w:eastAsia="宋体" w:hAnsi="Book Antiqua" w:cs="宋体"/>
          <w:i/>
          <w:iCs/>
          <w:sz w:val="24"/>
          <w:szCs w:val="24"/>
        </w:rPr>
        <w:t>Radiology</w:t>
      </w:r>
      <w:r w:rsidRPr="008A28E4">
        <w:rPr>
          <w:rFonts w:ascii="Book Antiqua" w:eastAsia="宋体" w:hAnsi="Book Antiqua" w:cs="宋体"/>
          <w:sz w:val="24"/>
          <w:szCs w:val="24"/>
        </w:rPr>
        <w:t xml:space="preserve"> 1987; </w:t>
      </w:r>
      <w:r w:rsidRPr="008A28E4">
        <w:rPr>
          <w:rFonts w:ascii="Book Antiqua" w:eastAsia="宋体" w:hAnsi="Book Antiqua" w:cs="宋体"/>
          <w:b/>
          <w:bCs/>
          <w:sz w:val="24"/>
          <w:szCs w:val="24"/>
        </w:rPr>
        <w:t>162</w:t>
      </w:r>
      <w:r w:rsidRPr="008A28E4">
        <w:rPr>
          <w:rFonts w:ascii="Book Antiqua" w:eastAsia="宋体" w:hAnsi="Book Antiqua" w:cs="宋体"/>
          <w:sz w:val="24"/>
          <w:szCs w:val="24"/>
        </w:rPr>
        <w:t>: 25-30 [PMID: 3786771 DOI: 10.1148/radiology.162.1.3786771]</w:t>
      </w:r>
    </w:p>
    <w:p w:rsidR="00E503CC" w:rsidRPr="008A28E4" w:rsidRDefault="00E503CC" w:rsidP="008A28E4">
      <w:pPr>
        <w:spacing w:after="0" w:line="360" w:lineRule="auto"/>
        <w:jc w:val="both"/>
        <w:rPr>
          <w:rFonts w:ascii="Book Antiqua" w:eastAsia="宋体" w:hAnsi="Book Antiqua" w:cs="宋体"/>
          <w:sz w:val="24"/>
          <w:szCs w:val="24"/>
        </w:rPr>
      </w:pPr>
      <w:r w:rsidRPr="008A28E4">
        <w:rPr>
          <w:rFonts w:ascii="Book Antiqua" w:eastAsia="宋体" w:hAnsi="Book Antiqua" w:cs="宋体"/>
          <w:sz w:val="24"/>
          <w:szCs w:val="24"/>
        </w:rPr>
        <w:t xml:space="preserve">57 </w:t>
      </w:r>
      <w:r w:rsidRPr="008A28E4">
        <w:rPr>
          <w:rFonts w:ascii="Book Antiqua" w:eastAsia="宋体" w:hAnsi="Book Antiqua" w:cs="宋体"/>
          <w:b/>
          <w:bCs/>
          <w:sz w:val="24"/>
          <w:szCs w:val="24"/>
        </w:rPr>
        <w:t>Sharma G</w:t>
      </w:r>
      <w:r w:rsidRPr="008A28E4">
        <w:rPr>
          <w:rFonts w:ascii="Book Antiqua" w:eastAsia="宋体" w:hAnsi="Book Antiqua" w:cs="宋体"/>
          <w:sz w:val="24"/>
          <w:szCs w:val="24"/>
        </w:rPr>
        <w:t xml:space="preserve">, Sharma A. Determining site of skin puncture for percutaneous renal access using fluoroscopy-guided triangulation technique. </w:t>
      </w:r>
      <w:r w:rsidRPr="008A28E4">
        <w:rPr>
          <w:rFonts w:ascii="Book Antiqua" w:eastAsia="宋体" w:hAnsi="Book Antiqua" w:cs="宋体"/>
          <w:i/>
          <w:iCs/>
          <w:sz w:val="24"/>
          <w:szCs w:val="24"/>
        </w:rPr>
        <w:t>J Endourol</w:t>
      </w:r>
      <w:r w:rsidRPr="008A28E4">
        <w:rPr>
          <w:rFonts w:ascii="Book Antiqua" w:eastAsia="宋体" w:hAnsi="Book Antiqua" w:cs="宋体"/>
          <w:sz w:val="24"/>
          <w:szCs w:val="24"/>
        </w:rPr>
        <w:t xml:space="preserve"> 2009; </w:t>
      </w:r>
      <w:r w:rsidRPr="008A28E4">
        <w:rPr>
          <w:rFonts w:ascii="Book Antiqua" w:eastAsia="宋体" w:hAnsi="Book Antiqua" w:cs="宋体"/>
          <w:b/>
          <w:bCs/>
          <w:sz w:val="24"/>
          <w:szCs w:val="24"/>
        </w:rPr>
        <w:t>23</w:t>
      </w:r>
      <w:r w:rsidRPr="008A28E4">
        <w:rPr>
          <w:rFonts w:ascii="Book Antiqua" w:eastAsia="宋体" w:hAnsi="Book Antiqua" w:cs="宋体"/>
          <w:sz w:val="24"/>
          <w:szCs w:val="24"/>
        </w:rPr>
        <w:t>: 193-195 [PMID: 19220081 DOI: 10.1089/end.2008.0170]</w:t>
      </w:r>
    </w:p>
    <w:p w:rsidR="00E503CC" w:rsidRPr="008A28E4" w:rsidRDefault="00E503CC" w:rsidP="008A28E4">
      <w:pPr>
        <w:spacing w:after="0" w:line="360" w:lineRule="auto"/>
        <w:jc w:val="both"/>
        <w:rPr>
          <w:rFonts w:ascii="Book Antiqua" w:eastAsia="宋体" w:hAnsi="Book Antiqua" w:cs="宋体"/>
          <w:sz w:val="24"/>
          <w:szCs w:val="24"/>
        </w:rPr>
      </w:pPr>
      <w:r w:rsidRPr="008A28E4">
        <w:rPr>
          <w:rFonts w:ascii="Book Antiqua" w:eastAsia="宋体" w:hAnsi="Book Antiqua" w:cs="宋体"/>
          <w:sz w:val="24"/>
          <w:szCs w:val="24"/>
        </w:rPr>
        <w:t xml:space="preserve">58 </w:t>
      </w:r>
      <w:r w:rsidRPr="008A28E4">
        <w:rPr>
          <w:rFonts w:ascii="Book Antiqua" w:eastAsia="宋体" w:hAnsi="Book Antiqua" w:cs="宋体"/>
          <w:b/>
          <w:bCs/>
          <w:sz w:val="24"/>
          <w:szCs w:val="24"/>
        </w:rPr>
        <w:t>Handa RK</w:t>
      </w:r>
      <w:r w:rsidRPr="008A28E4">
        <w:rPr>
          <w:rFonts w:ascii="Book Antiqua" w:eastAsia="宋体" w:hAnsi="Book Antiqua" w:cs="宋体"/>
          <w:sz w:val="24"/>
          <w:szCs w:val="24"/>
        </w:rPr>
        <w:t xml:space="preserve">, Matlaga BR, Connors BA, Ying J, Paterson RF, Kuo RL, Kim SC, Lingeman JE, Evan AP, Willis LR. Acute effects of percutaneous tract dilation on renal function and structure. </w:t>
      </w:r>
      <w:r w:rsidRPr="008A28E4">
        <w:rPr>
          <w:rFonts w:ascii="Book Antiqua" w:eastAsia="宋体" w:hAnsi="Book Antiqua" w:cs="宋体"/>
          <w:i/>
          <w:iCs/>
          <w:sz w:val="24"/>
          <w:szCs w:val="24"/>
        </w:rPr>
        <w:t>J Endourol</w:t>
      </w:r>
      <w:r w:rsidRPr="008A28E4">
        <w:rPr>
          <w:rFonts w:ascii="Book Antiqua" w:eastAsia="宋体" w:hAnsi="Book Antiqua" w:cs="宋体"/>
          <w:sz w:val="24"/>
          <w:szCs w:val="24"/>
        </w:rPr>
        <w:t xml:space="preserve"> 2006; </w:t>
      </w:r>
      <w:r w:rsidRPr="008A28E4">
        <w:rPr>
          <w:rFonts w:ascii="Book Antiqua" w:eastAsia="宋体" w:hAnsi="Book Antiqua" w:cs="宋体"/>
          <w:b/>
          <w:bCs/>
          <w:sz w:val="24"/>
          <w:szCs w:val="24"/>
        </w:rPr>
        <w:t>20</w:t>
      </w:r>
      <w:r w:rsidRPr="008A28E4">
        <w:rPr>
          <w:rFonts w:ascii="Book Antiqua" w:eastAsia="宋体" w:hAnsi="Book Antiqua" w:cs="宋体"/>
          <w:sz w:val="24"/>
          <w:szCs w:val="24"/>
        </w:rPr>
        <w:t>: 1030-1040 [PMID: 17206897 DOI: 10.1089/end.2006.20.1030]</w:t>
      </w:r>
    </w:p>
    <w:p w:rsidR="00E503CC" w:rsidRPr="008A28E4" w:rsidRDefault="00E503CC" w:rsidP="008A28E4">
      <w:pPr>
        <w:spacing w:after="0" w:line="360" w:lineRule="auto"/>
        <w:jc w:val="both"/>
        <w:rPr>
          <w:rFonts w:ascii="Book Antiqua" w:eastAsia="宋体" w:hAnsi="Book Antiqua" w:cs="宋体"/>
          <w:sz w:val="24"/>
          <w:szCs w:val="24"/>
        </w:rPr>
      </w:pPr>
      <w:r w:rsidRPr="008A28E4">
        <w:rPr>
          <w:rFonts w:ascii="Book Antiqua" w:eastAsia="宋体" w:hAnsi="Book Antiqua" w:cs="宋体"/>
          <w:sz w:val="24"/>
          <w:szCs w:val="24"/>
        </w:rPr>
        <w:t xml:space="preserve">59 </w:t>
      </w:r>
      <w:r w:rsidRPr="008A28E4">
        <w:rPr>
          <w:rFonts w:ascii="Book Antiqua" w:eastAsia="宋体" w:hAnsi="Book Antiqua" w:cs="宋体"/>
          <w:b/>
          <w:sz w:val="24"/>
          <w:szCs w:val="24"/>
        </w:rPr>
        <w:t>Davidoff R,</w:t>
      </w:r>
      <w:r w:rsidRPr="008A28E4">
        <w:rPr>
          <w:rFonts w:ascii="Book Antiqua" w:eastAsia="宋体" w:hAnsi="Book Antiqua" w:cs="宋体"/>
          <w:sz w:val="24"/>
          <w:szCs w:val="24"/>
        </w:rPr>
        <w:t xml:space="preserve"> Bellman GC. Influence of technique of percutaneous tract creation on incidence of renal hemorrhage. </w:t>
      </w:r>
      <w:r w:rsidRPr="008A28E4">
        <w:rPr>
          <w:rFonts w:ascii="Book Antiqua" w:eastAsia="宋体" w:hAnsi="Book Antiqua" w:cs="宋体"/>
          <w:i/>
          <w:sz w:val="24"/>
          <w:szCs w:val="24"/>
        </w:rPr>
        <w:t>J Urol</w:t>
      </w:r>
      <w:r w:rsidRPr="008A28E4">
        <w:rPr>
          <w:rFonts w:ascii="Book Antiqua" w:eastAsia="宋体" w:hAnsi="Book Antiqua" w:cs="宋体"/>
          <w:sz w:val="24"/>
          <w:szCs w:val="24"/>
        </w:rPr>
        <w:t xml:space="preserve"> 1997; </w:t>
      </w:r>
      <w:r w:rsidRPr="008A28E4">
        <w:rPr>
          <w:rFonts w:ascii="Book Antiqua" w:eastAsia="宋体" w:hAnsi="Book Antiqua" w:cs="宋体"/>
          <w:b/>
          <w:sz w:val="24"/>
          <w:szCs w:val="24"/>
        </w:rPr>
        <w:t>157</w:t>
      </w:r>
      <w:r w:rsidRPr="008A28E4">
        <w:rPr>
          <w:rFonts w:ascii="Book Antiqua" w:eastAsia="宋体" w:hAnsi="Book Antiqua" w:cs="宋体"/>
          <w:sz w:val="24"/>
          <w:szCs w:val="24"/>
        </w:rPr>
        <w:t>: 1229-1231[PMID: 9120908 DOI: 10.1016/S0022-5347(01)64931-0]</w:t>
      </w:r>
    </w:p>
    <w:p w:rsidR="00E503CC" w:rsidRPr="008A28E4" w:rsidRDefault="00E503CC" w:rsidP="008A28E4">
      <w:pPr>
        <w:spacing w:after="0" w:line="360" w:lineRule="auto"/>
        <w:jc w:val="both"/>
        <w:rPr>
          <w:rFonts w:ascii="Book Antiqua" w:eastAsia="宋体" w:hAnsi="Book Antiqua" w:cs="宋体"/>
          <w:sz w:val="24"/>
          <w:szCs w:val="24"/>
        </w:rPr>
      </w:pPr>
      <w:r w:rsidRPr="008A28E4">
        <w:rPr>
          <w:rFonts w:ascii="Book Antiqua" w:eastAsia="宋体" w:hAnsi="Book Antiqua" w:cs="宋体"/>
          <w:sz w:val="24"/>
          <w:szCs w:val="24"/>
        </w:rPr>
        <w:t xml:space="preserve">60 </w:t>
      </w:r>
      <w:r w:rsidRPr="008A28E4">
        <w:rPr>
          <w:rFonts w:ascii="Book Antiqua" w:eastAsia="宋体" w:hAnsi="Book Antiqua" w:cs="宋体"/>
          <w:b/>
          <w:bCs/>
          <w:sz w:val="24"/>
          <w:szCs w:val="24"/>
        </w:rPr>
        <w:t>Ozok HU</w:t>
      </w:r>
      <w:r w:rsidRPr="008A28E4">
        <w:rPr>
          <w:rFonts w:ascii="Book Antiqua" w:eastAsia="宋体" w:hAnsi="Book Antiqua" w:cs="宋体"/>
          <w:sz w:val="24"/>
          <w:szCs w:val="24"/>
        </w:rPr>
        <w:t xml:space="preserve">, Sagnak L, Senturk AB, Karakoyunlu N, Topaloglu H, Ersoy H. A comparison of metal telescopic dilators and Amplatz dilators for nephrostomy tract dilation in percutaneous nephrolithotomy. </w:t>
      </w:r>
      <w:r w:rsidRPr="008A28E4">
        <w:rPr>
          <w:rFonts w:ascii="Book Antiqua" w:eastAsia="宋体" w:hAnsi="Book Antiqua" w:cs="宋体"/>
          <w:i/>
          <w:iCs/>
          <w:sz w:val="24"/>
          <w:szCs w:val="24"/>
        </w:rPr>
        <w:t>J Endourol</w:t>
      </w:r>
      <w:r w:rsidRPr="008A28E4">
        <w:rPr>
          <w:rFonts w:ascii="Book Antiqua" w:eastAsia="宋体" w:hAnsi="Book Antiqua" w:cs="宋体"/>
          <w:sz w:val="24"/>
          <w:szCs w:val="24"/>
        </w:rPr>
        <w:t xml:space="preserve"> 2012; </w:t>
      </w:r>
      <w:r w:rsidRPr="008A28E4">
        <w:rPr>
          <w:rFonts w:ascii="Book Antiqua" w:eastAsia="宋体" w:hAnsi="Book Antiqua" w:cs="宋体"/>
          <w:b/>
          <w:bCs/>
          <w:sz w:val="24"/>
          <w:szCs w:val="24"/>
        </w:rPr>
        <w:t>26</w:t>
      </w:r>
      <w:r w:rsidRPr="008A28E4">
        <w:rPr>
          <w:rFonts w:ascii="Book Antiqua" w:eastAsia="宋体" w:hAnsi="Book Antiqua" w:cs="宋体"/>
          <w:sz w:val="24"/>
          <w:szCs w:val="24"/>
        </w:rPr>
        <w:t>: 630-634 [PMID: 21999400 DOI: 10.1089/end.2011.0291]</w:t>
      </w:r>
    </w:p>
    <w:p w:rsidR="00E503CC" w:rsidRPr="008A28E4" w:rsidRDefault="00E503CC" w:rsidP="008A28E4">
      <w:pPr>
        <w:spacing w:after="0" w:line="360" w:lineRule="auto"/>
        <w:jc w:val="both"/>
        <w:rPr>
          <w:rFonts w:ascii="Book Antiqua" w:eastAsia="宋体" w:hAnsi="Book Antiqua" w:cs="宋体"/>
          <w:sz w:val="24"/>
          <w:szCs w:val="24"/>
        </w:rPr>
      </w:pPr>
      <w:r w:rsidRPr="008A28E4">
        <w:rPr>
          <w:rFonts w:ascii="Book Antiqua" w:eastAsia="宋体" w:hAnsi="Book Antiqua" w:cs="宋体"/>
          <w:sz w:val="24"/>
          <w:szCs w:val="24"/>
        </w:rPr>
        <w:t xml:space="preserve">61 </w:t>
      </w:r>
      <w:r w:rsidRPr="008A28E4">
        <w:rPr>
          <w:rFonts w:ascii="Book Antiqua" w:eastAsia="宋体" w:hAnsi="Book Antiqua" w:cs="宋体"/>
          <w:b/>
          <w:bCs/>
          <w:sz w:val="24"/>
          <w:szCs w:val="24"/>
        </w:rPr>
        <w:t>Falahatkar S</w:t>
      </w:r>
      <w:r w:rsidRPr="008A28E4">
        <w:rPr>
          <w:rFonts w:ascii="Book Antiqua" w:eastAsia="宋体" w:hAnsi="Book Antiqua" w:cs="宋体"/>
          <w:sz w:val="24"/>
          <w:szCs w:val="24"/>
        </w:rPr>
        <w:t xml:space="preserve">, Neiroomand H, Akbarpour M, Emadi SA, Khaki N. One-shot versus metal telescopic dilation technique for tract creation in percutaneous nephrolithotomy: comparison of safety and efficacy. </w:t>
      </w:r>
      <w:r w:rsidRPr="008A28E4">
        <w:rPr>
          <w:rFonts w:ascii="Book Antiqua" w:eastAsia="宋体" w:hAnsi="Book Antiqua" w:cs="宋体"/>
          <w:i/>
          <w:iCs/>
          <w:sz w:val="24"/>
          <w:szCs w:val="24"/>
        </w:rPr>
        <w:t>J Endourol</w:t>
      </w:r>
      <w:r w:rsidRPr="008A28E4">
        <w:rPr>
          <w:rFonts w:ascii="Book Antiqua" w:eastAsia="宋体" w:hAnsi="Book Antiqua" w:cs="宋体"/>
          <w:sz w:val="24"/>
          <w:szCs w:val="24"/>
        </w:rPr>
        <w:t xml:space="preserve"> 2009; </w:t>
      </w:r>
      <w:r w:rsidRPr="008A28E4">
        <w:rPr>
          <w:rFonts w:ascii="Book Antiqua" w:eastAsia="宋体" w:hAnsi="Book Antiqua" w:cs="宋体"/>
          <w:b/>
          <w:bCs/>
          <w:sz w:val="24"/>
          <w:szCs w:val="24"/>
        </w:rPr>
        <w:t>23</w:t>
      </w:r>
      <w:r w:rsidRPr="008A28E4">
        <w:rPr>
          <w:rFonts w:ascii="Book Antiqua" w:eastAsia="宋体" w:hAnsi="Book Antiqua" w:cs="宋体"/>
          <w:sz w:val="24"/>
          <w:szCs w:val="24"/>
        </w:rPr>
        <w:t>: 615-618 [PMID: 19335153 DOI: 10.1089/end.2008.0330]</w:t>
      </w:r>
    </w:p>
    <w:p w:rsidR="00E503CC" w:rsidRPr="008A28E4" w:rsidRDefault="00E503CC" w:rsidP="008A28E4">
      <w:pPr>
        <w:spacing w:after="0" w:line="360" w:lineRule="auto"/>
        <w:jc w:val="both"/>
        <w:rPr>
          <w:rFonts w:ascii="Book Antiqua" w:eastAsia="宋体" w:hAnsi="Book Antiqua" w:cs="宋体"/>
          <w:b/>
          <w:sz w:val="24"/>
          <w:szCs w:val="24"/>
        </w:rPr>
      </w:pPr>
      <w:r w:rsidRPr="008A28E4">
        <w:rPr>
          <w:rFonts w:ascii="Book Antiqua" w:eastAsia="宋体" w:hAnsi="Book Antiqua" w:cs="宋体"/>
          <w:sz w:val="24"/>
          <w:szCs w:val="24"/>
        </w:rPr>
        <w:t xml:space="preserve">62 </w:t>
      </w:r>
      <w:r w:rsidRPr="008A28E4">
        <w:rPr>
          <w:rFonts w:ascii="Book Antiqua" w:eastAsia="宋体" w:hAnsi="Book Antiqua" w:cs="宋体"/>
          <w:b/>
          <w:sz w:val="24"/>
          <w:szCs w:val="24"/>
        </w:rPr>
        <w:t>Li Y,</w:t>
      </w:r>
      <w:r w:rsidRPr="008A28E4">
        <w:rPr>
          <w:rFonts w:ascii="Book Antiqua" w:eastAsia="宋体" w:hAnsi="Book Antiqua" w:cs="宋体"/>
          <w:sz w:val="24"/>
          <w:szCs w:val="24"/>
        </w:rPr>
        <w:t xml:space="preserve"> Yang L, Xu P, Shen P, Qian S, Wei W, Wang J. One-shot versus gradual dilation technique for tract creation in percutaneous nephrolithotomy: A systematic review and meta-analysis. </w:t>
      </w:r>
      <w:r w:rsidRPr="008A28E4">
        <w:rPr>
          <w:rFonts w:ascii="Book Antiqua" w:eastAsia="宋体" w:hAnsi="Book Antiqua" w:cs="宋体"/>
          <w:i/>
          <w:sz w:val="24"/>
          <w:szCs w:val="24"/>
        </w:rPr>
        <w:t>Urol Res</w:t>
      </w:r>
      <w:r w:rsidRPr="008A28E4">
        <w:rPr>
          <w:rFonts w:ascii="Book Antiqua" w:eastAsia="宋体" w:hAnsi="Book Antiqua" w:cs="宋体"/>
          <w:sz w:val="24"/>
          <w:szCs w:val="24"/>
        </w:rPr>
        <w:t xml:space="preserve"> 2013; </w:t>
      </w:r>
      <w:r w:rsidRPr="008A28E4">
        <w:rPr>
          <w:rFonts w:ascii="Book Antiqua" w:eastAsia="宋体" w:hAnsi="Book Antiqua" w:cs="宋体"/>
          <w:b/>
          <w:sz w:val="24"/>
          <w:szCs w:val="24"/>
        </w:rPr>
        <w:t>41</w:t>
      </w:r>
      <w:r w:rsidRPr="008A28E4">
        <w:rPr>
          <w:rFonts w:ascii="Book Antiqua" w:eastAsia="宋体" w:hAnsi="Book Antiqua" w:cs="宋体"/>
          <w:sz w:val="24"/>
          <w:szCs w:val="24"/>
        </w:rPr>
        <w:t>: 443-448 [PMID: 23775113]</w:t>
      </w:r>
    </w:p>
    <w:p w:rsidR="00E503CC" w:rsidRPr="008A28E4" w:rsidRDefault="00E503CC" w:rsidP="008A28E4">
      <w:pPr>
        <w:spacing w:after="0" w:line="360" w:lineRule="auto"/>
        <w:jc w:val="both"/>
        <w:rPr>
          <w:rFonts w:ascii="Book Antiqua" w:eastAsia="宋体" w:hAnsi="Book Antiqua" w:cs="宋体"/>
          <w:sz w:val="24"/>
          <w:szCs w:val="24"/>
        </w:rPr>
      </w:pPr>
      <w:r w:rsidRPr="008A28E4">
        <w:rPr>
          <w:rFonts w:ascii="Book Antiqua" w:eastAsia="宋体" w:hAnsi="Book Antiqua" w:cs="宋体"/>
          <w:sz w:val="24"/>
          <w:szCs w:val="24"/>
        </w:rPr>
        <w:t xml:space="preserve">63 </w:t>
      </w:r>
      <w:r w:rsidRPr="008A28E4">
        <w:rPr>
          <w:rFonts w:ascii="Book Antiqua" w:eastAsia="宋体" w:hAnsi="Book Antiqua" w:cs="宋体"/>
          <w:b/>
          <w:sz w:val="24"/>
          <w:szCs w:val="24"/>
        </w:rPr>
        <w:t xml:space="preserve">Dehong C, </w:t>
      </w:r>
      <w:r w:rsidRPr="008A28E4">
        <w:rPr>
          <w:rFonts w:ascii="Book Antiqua" w:eastAsia="宋体" w:hAnsi="Book Antiqua" w:cs="宋体"/>
          <w:sz w:val="24"/>
          <w:szCs w:val="24"/>
        </w:rPr>
        <w:t xml:space="preserve">Liangren L, Huawei L, Qiang W. A comparison among four tract dilation methods of percutaneous nephrolithotomy: A systematic review and meta-analysis. </w:t>
      </w:r>
      <w:r w:rsidRPr="008A28E4">
        <w:rPr>
          <w:rFonts w:ascii="Book Antiqua" w:eastAsia="宋体" w:hAnsi="Book Antiqua" w:cs="宋体"/>
          <w:i/>
          <w:sz w:val="24"/>
          <w:szCs w:val="24"/>
        </w:rPr>
        <w:t>Urolithiasis</w:t>
      </w:r>
      <w:r w:rsidRPr="008A28E4">
        <w:rPr>
          <w:rFonts w:ascii="Book Antiqua" w:eastAsia="宋体" w:hAnsi="Book Antiqua" w:cs="宋体"/>
          <w:sz w:val="24"/>
          <w:szCs w:val="24"/>
        </w:rPr>
        <w:t xml:space="preserve"> 2013; </w:t>
      </w:r>
      <w:r w:rsidRPr="008A28E4">
        <w:rPr>
          <w:rFonts w:ascii="Book Antiqua" w:eastAsia="宋体" w:hAnsi="Book Antiqua" w:cs="宋体"/>
          <w:b/>
          <w:sz w:val="24"/>
          <w:szCs w:val="24"/>
        </w:rPr>
        <w:t>41</w:t>
      </w:r>
      <w:r w:rsidRPr="008A28E4">
        <w:rPr>
          <w:rFonts w:ascii="Book Antiqua" w:eastAsia="宋体" w:hAnsi="Book Antiqua" w:cs="宋体"/>
          <w:sz w:val="24"/>
          <w:szCs w:val="24"/>
        </w:rPr>
        <w:t xml:space="preserve">: 523-530 [PMID: 23975408 DOI: 10.1007/s00240-013-0598-z] </w:t>
      </w:r>
    </w:p>
    <w:p w:rsidR="00E503CC" w:rsidRPr="008A28E4" w:rsidRDefault="00E503CC" w:rsidP="008A28E4">
      <w:pPr>
        <w:spacing w:after="0" w:line="360" w:lineRule="auto"/>
        <w:jc w:val="both"/>
        <w:rPr>
          <w:rFonts w:ascii="Book Antiqua" w:eastAsia="宋体" w:hAnsi="Book Antiqua" w:cs="宋体"/>
          <w:sz w:val="24"/>
          <w:szCs w:val="24"/>
        </w:rPr>
      </w:pPr>
      <w:r w:rsidRPr="008A28E4">
        <w:rPr>
          <w:rFonts w:ascii="Book Antiqua" w:eastAsia="宋体" w:hAnsi="Book Antiqua" w:cs="宋体"/>
          <w:sz w:val="24"/>
          <w:szCs w:val="24"/>
        </w:rPr>
        <w:t xml:space="preserve">64 </w:t>
      </w:r>
      <w:r w:rsidRPr="008A28E4">
        <w:rPr>
          <w:rFonts w:ascii="Book Antiqua" w:eastAsia="宋体" w:hAnsi="Book Antiqua" w:cs="宋体"/>
          <w:b/>
          <w:bCs/>
          <w:sz w:val="24"/>
          <w:szCs w:val="24"/>
        </w:rPr>
        <w:t>Wezel F</w:t>
      </w:r>
      <w:r w:rsidRPr="008A28E4">
        <w:rPr>
          <w:rFonts w:ascii="Book Antiqua" w:eastAsia="宋体" w:hAnsi="Book Antiqua" w:cs="宋体"/>
          <w:sz w:val="24"/>
          <w:szCs w:val="24"/>
        </w:rPr>
        <w:t xml:space="preserve">, Mamoulakis C, Rioja J, Michel MS, de la Rosette J, Alken P. Two contemporary series of percutaneous tract dilation for percutaneous nephrolithotomy. </w:t>
      </w:r>
      <w:r w:rsidRPr="008A28E4">
        <w:rPr>
          <w:rFonts w:ascii="Book Antiqua" w:eastAsia="宋体" w:hAnsi="Book Antiqua" w:cs="宋体"/>
          <w:i/>
          <w:iCs/>
          <w:sz w:val="24"/>
          <w:szCs w:val="24"/>
        </w:rPr>
        <w:t>J Endourol</w:t>
      </w:r>
      <w:r w:rsidRPr="008A28E4">
        <w:rPr>
          <w:rFonts w:ascii="Book Antiqua" w:eastAsia="宋体" w:hAnsi="Book Antiqua" w:cs="宋体"/>
          <w:sz w:val="24"/>
          <w:szCs w:val="24"/>
        </w:rPr>
        <w:t xml:space="preserve"> 2009; </w:t>
      </w:r>
      <w:r w:rsidRPr="008A28E4">
        <w:rPr>
          <w:rFonts w:ascii="Book Antiqua" w:eastAsia="宋体" w:hAnsi="Book Antiqua" w:cs="宋体"/>
          <w:b/>
          <w:bCs/>
          <w:sz w:val="24"/>
          <w:szCs w:val="24"/>
        </w:rPr>
        <w:t>23</w:t>
      </w:r>
      <w:r w:rsidRPr="008A28E4">
        <w:rPr>
          <w:rFonts w:ascii="Book Antiqua" w:eastAsia="宋体" w:hAnsi="Book Antiqua" w:cs="宋体"/>
          <w:sz w:val="24"/>
          <w:szCs w:val="24"/>
        </w:rPr>
        <w:t>: 1655-1661 [PMID: 19558265 DOI: 10.1089/end.2009.0213]</w:t>
      </w:r>
    </w:p>
    <w:p w:rsidR="00E503CC" w:rsidRPr="008A28E4" w:rsidRDefault="00E503CC" w:rsidP="008A28E4">
      <w:pPr>
        <w:spacing w:after="0" w:line="360" w:lineRule="auto"/>
        <w:jc w:val="both"/>
        <w:rPr>
          <w:rFonts w:ascii="Book Antiqua" w:eastAsia="宋体" w:hAnsi="Book Antiqua" w:cs="宋体"/>
          <w:sz w:val="24"/>
          <w:szCs w:val="24"/>
        </w:rPr>
      </w:pPr>
      <w:r w:rsidRPr="008A28E4">
        <w:rPr>
          <w:rFonts w:ascii="Book Antiqua" w:eastAsia="宋体" w:hAnsi="Book Antiqua" w:cs="宋体"/>
          <w:sz w:val="24"/>
          <w:szCs w:val="24"/>
        </w:rPr>
        <w:t xml:space="preserve">65 </w:t>
      </w:r>
      <w:r w:rsidRPr="008A28E4">
        <w:rPr>
          <w:rFonts w:ascii="Book Antiqua" w:eastAsia="宋体" w:hAnsi="Book Antiqua" w:cs="宋体"/>
          <w:b/>
          <w:bCs/>
          <w:sz w:val="24"/>
          <w:szCs w:val="24"/>
        </w:rPr>
        <w:t>Gönen M</w:t>
      </w:r>
      <w:r w:rsidRPr="008A28E4">
        <w:rPr>
          <w:rFonts w:ascii="Book Antiqua" w:eastAsia="宋体" w:hAnsi="Book Antiqua" w:cs="宋体"/>
          <w:sz w:val="24"/>
          <w:szCs w:val="24"/>
        </w:rPr>
        <w:t xml:space="preserve">, Istanbulluoglu OM, Cicek T, Ozturk B, Ozkardes H. Balloon dilatation versus Amplatz dilatation for nephrostomy tract dilatation. </w:t>
      </w:r>
      <w:r w:rsidRPr="008A28E4">
        <w:rPr>
          <w:rFonts w:ascii="Book Antiqua" w:eastAsia="宋体" w:hAnsi="Book Antiqua" w:cs="宋体"/>
          <w:i/>
          <w:iCs/>
          <w:sz w:val="24"/>
          <w:szCs w:val="24"/>
        </w:rPr>
        <w:t>J Endourol</w:t>
      </w:r>
      <w:r w:rsidRPr="008A28E4">
        <w:rPr>
          <w:rFonts w:ascii="Book Antiqua" w:eastAsia="宋体" w:hAnsi="Book Antiqua" w:cs="宋体"/>
          <w:sz w:val="24"/>
          <w:szCs w:val="24"/>
        </w:rPr>
        <w:t xml:space="preserve"> 2008; </w:t>
      </w:r>
      <w:r w:rsidRPr="008A28E4">
        <w:rPr>
          <w:rFonts w:ascii="Book Antiqua" w:eastAsia="宋体" w:hAnsi="Book Antiqua" w:cs="宋体"/>
          <w:b/>
          <w:bCs/>
          <w:sz w:val="24"/>
          <w:szCs w:val="24"/>
        </w:rPr>
        <w:t>22</w:t>
      </w:r>
      <w:r w:rsidRPr="008A28E4">
        <w:rPr>
          <w:rFonts w:ascii="Book Antiqua" w:eastAsia="宋体" w:hAnsi="Book Antiqua" w:cs="宋体"/>
          <w:sz w:val="24"/>
          <w:szCs w:val="24"/>
        </w:rPr>
        <w:t>: 901-904 [PMID: 18429681 DOI: 10.1089/end.2007.0167]</w:t>
      </w:r>
    </w:p>
    <w:p w:rsidR="00E503CC" w:rsidRPr="008A28E4" w:rsidRDefault="00E503CC" w:rsidP="008A28E4">
      <w:pPr>
        <w:spacing w:after="0" w:line="360" w:lineRule="auto"/>
        <w:jc w:val="both"/>
        <w:rPr>
          <w:rFonts w:ascii="Book Antiqua" w:eastAsia="宋体" w:hAnsi="Book Antiqua" w:cs="宋体"/>
          <w:sz w:val="24"/>
          <w:szCs w:val="24"/>
        </w:rPr>
      </w:pPr>
      <w:r w:rsidRPr="008A28E4">
        <w:rPr>
          <w:rFonts w:ascii="Book Antiqua" w:eastAsia="宋体" w:hAnsi="Book Antiqua" w:cs="宋体"/>
          <w:sz w:val="24"/>
          <w:szCs w:val="24"/>
        </w:rPr>
        <w:t xml:space="preserve">66 </w:t>
      </w:r>
      <w:r w:rsidRPr="00602B09">
        <w:rPr>
          <w:rFonts w:ascii="Book Antiqua" w:eastAsia="宋体" w:hAnsi="Book Antiqua" w:cs="宋体"/>
          <w:b/>
          <w:sz w:val="24"/>
          <w:szCs w:val="24"/>
        </w:rPr>
        <w:t>Safak M,</w:t>
      </w:r>
      <w:r w:rsidRPr="008A28E4">
        <w:rPr>
          <w:rFonts w:ascii="Book Antiqua" w:eastAsia="宋体" w:hAnsi="Book Antiqua" w:cs="宋体"/>
          <w:sz w:val="24"/>
          <w:szCs w:val="24"/>
        </w:rPr>
        <w:t xml:space="preserve"> Gokus C, Soygur T. Nephrostomy tract dilation using a balloon dilator in percutaneous renal surgery: Experience with 95 cases and comparison with the fascial dilator system. </w:t>
      </w:r>
      <w:r w:rsidRPr="008A28E4">
        <w:rPr>
          <w:rFonts w:ascii="Book Antiqua" w:eastAsia="宋体" w:hAnsi="Book Antiqua" w:cs="宋体"/>
          <w:i/>
          <w:sz w:val="24"/>
          <w:szCs w:val="24"/>
        </w:rPr>
        <w:t xml:space="preserve">Urol Int </w:t>
      </w:r>
      <w:r w:rsidRPr="008A28E4">
        <w:rPr>
          <w:rFonts w:ascii="Book Antiqua" w:eastAsia="宋体" w:hAnsi="Book Antiqua" w:cs="宋体"/>
          <w:sz w:val="24"/>
          <w:szCs w:val="24"/>
        </w:rPr>
        <w:t xml:space="preserve">2003; </w:t>
      </w:r>
      <w:r w:rsidRPr="008A28E4">
        <w:rPr>
          <w:rFonts w:ascii="Book Antiqua" w:eastAsia="宋体" w:hAnsi="Book Antiqua" w:cs="宋体"/>
          <w:b/>
          <w:sz w:val="24"/>
          <w:szCs w:val="24"/>
        </w:rPr>
        <w:t>71</w:t>
      </w:r>
      <w:r w:rsidRPr="008A28E4">
        <w:rPr>
          <w:rFonts w:ascii="Book Antiqua" w:eastAsia="宋体" w:hAnsi="Book Antiqua" w:cs="宋体"/>
          <w:sz w:val="24"/>
          <w:szCs w:val="24"/>
        </w:rPr>
        <w:t>: 382-384[PMID: 14646437 DOI: 10.1159/000074090]</w:t>
      </w:r>
    </w:p>
    <w:p w:rsidR="00E503CC" w:rsidRPr="008A28E4" w:rsidRDefault="00E503CC" w:rsidP="008A28E4">
      <w:pPr>
        <w:spacing w:after="0" w:line="360" w:lineRule="auto"/>
        <w:jc w:val="both"/>
        <w:rPr>
          <w:rFonts w:ascii="Book Antiqua" w:eastAsia="宋体" w:hAnsi="Book Antiqua" w:cs="宋体"/>
          <w:sz w:val="24"/>
          <w:szCs w:val="24"/>
        </w:rPr>
      </w:pPr>
      <w:r w:rsidRPr="008A28E4">
        <w:rPr>
          <w:rFonts w:ascii="Book Antiqua" w:eastAsia="宋体" w:hAnsi="Book Antiqua" w:cs="宋体"/>
          <w:sz w:val="24"/>
          <w:szCs w:val="24"/>
        </w:rPr>
        <w:t xml:space="preserve">67 </w:t>
      </w:r>
      <w:r w:rsidRPr="008A28E4">
        <w:rPr>
          <w:rFonts w:ascii="Book Antiqua" w:eastAsia="宋体" w:hAnsi="Book Antiqua" w:cs="宋体"/>
          <w:b/>
          <w:bCs/>
          <w:sz w:val="24"/>
          <w:szCs w:val="24"/>
        </w:rPr>
        <w:t>Al-Kandari AM</w:t>
      </w:r>
      <w:r w:rsidRPr="008A28E4">
        <w:rPr>
          <w:rFonts w:ascii="Book Antiqua" w:eastAsia="宋体" w:hAnsi="Book Antiqua" w:cs="宋体"/>
          <w:sz w:val="24"/>
          <w:szCs w:val="24"/>
        </w:rPr>
        <w:t xml:space="preserve">, Jabbour M, Anderson A, Shokeir AA, Smith AD. Comparative study of degree of renal trauma between Amplatz sequential fascial dilation and balloon dilation during percutaneous renal surgery in an animal model. </w:t>
      </w:r>
      <w:r w:rsidRPr="008A28E4">
        <w:rPr>
          <w:rFonts w:ascii="Book Antiqua" w:eastAsia="宋体" w:hAnsi="Book Antiqua" w:cs="宋体"/>
          <w:i/>
          <w:iCs/>
          <w:sz w:val="24"/>
          <w:szCs w:val="24"/>
        </w:rPr>
        <w:t>Urology</w:t>
      </w:r>
      <w:r w:rsidRPr="008A28E4">
        <w:rPr>
          <w:rFonts w:ascii="Book Antiqua" w:eastAsia="宋体" w:hAnsi="Book Antiqua" w:cs="宋体"/>
          <w:sz w:val="24"/>
          <w:szCs w:val="24"/>
        </w:rPr>
        <w:t xml:space="preserve"> 2007; </w:t>
      </w:r>
      <w:r w:rsidRPr="008A28E4">
        <w:rPr>
          <w:rFonts w:ascii="Book Antiqua" w:eastAsia="宋体" w:hAnsi="Book Antiqua" w:cs="宋体"/>
          <w:b/>
          <w:bCs/>
          <w:sz w:val="24"/>
          <w:szCs w:val="24"/>
        </w:rPr>
        <w:t>69</w:t>
      </w:r>
      <w:r w:rsidRPr="008A28E4">
        <w:rPr>
          <w:rFonts w:ascii="Book Antiqua" w:eastAsia="宋体" w:hAnsi="Book Antiqua" w:cs="宋体"/>
          <w:sz w:val="24"/>
          <w:szCs w:val="24"/>
        </w:rPr>
        <w:t>: 586-589 [PMID: 17382184 DOI: 10.1016/j.urology.2007.01.025]</w:t>
      </w:r>
    </w:p>
    <w:p w:rsidR="00E503CC" w:rsidRPr="008A28E4" w:rsidRDefault="00E503CC" w:rsidP="008A28E4">
      <w:pPr>
        <w:spacing w:after="0" w:line="360" w:lineRule="auto"/>
        <w:jc w:val="both"/>
        <w:rPr>
          <w:rFonts w:ascii="Book Antiqua" w:eastAsia="宋体" w:hAnsi="Book Antiqua" w:cs="宋体"/>
          <w:sz w:val="24"/>
          <w:szCs w:val="24"/>
        </w:rPr>
      </w:pPr>
      <w:r w:rsidRPr="008A28E4">
        <w:rPr>
          <w:rFonts w:ascii="Book Antiqua" w:eastAsia="宋体" w:hAnsi="Book Antiqua" w:cs="宋体"/>
          <w:sz w:val="24"/>
          <w:szCs w:val="24"/>
        </w:rPr>
        <w:t xml:space="preserve">68 </w:t>
      </w:r>
      <w:r w:rsidRPr="008A28E4">
        <w:rPr>
          <w:rFonts w:ascii="Book Antiqua" w:eastAsia="宋体" w:hAnsi="Book Antiqua" w:cs="宋体"/>
          <w:b/>
          <w:bCs/>
          <w:sz w:val="24"/>
          <w:szCs w:val="24"/>
        </w:rPr>
        <w:t>Chiang PH</w:t>
      </w:r>
      <w:r w:rsidRPr="008A28E4">
        <w:rPr>
          <w:rFonts w:ascii="Book Antiqua" w:eastAsia="宋体" w:hAnsi="Book Antiqua" w:cs="宋体"/>
          <w:sz w:val="24"/>
          <w:szCs w:val="24"/>
        </w:rPr>
        <w:t xml:space="preserve">, Su HH. Randomized and prospective trial comparing tract creation using plasma vaporization with balloon dilatation in percutaneous nephrolithotomy. </w:t>
      </w:r>
      <w:r w:rsidRPr="008A28E4">
        <w:rPr>
          <w:rFonts w:ascii="Book Antiqua" w:eastAsia="宋体" w:hAnsi="Book Antiqua" w:cs="宋体"/>
          <w:i/>
          <w:iCs/>
          <w:sz w:val="24"/>
          <w:szCs w:val="24"/>
        </w:rPr>
        <w:t>BJU Int</w:t>
      </w:r>
      <w:r w:rsidRPr="008A28E4">
        <w:rPr>
          <w:rFonts w:ascii="Book Antiqua" w:eastAsia="宋体" w:hAnsi="Book Antiqua" w:cs="宋体"/>
          <w:sz w:val="24"/>
          <w:szCs w:val="24"/>
        </w:rPr>
        <w:t xml:space="preserve"> 2013; </w:t>
      </w:r>
      <w:r w:rsidRPr="008A28E4">
        <w:rPr>
          <w:rFonts w:ascii="Book Antiqua" w:eastAsia="宋体" w:hAnsi="Book Antiqua" w:cs="宋体"/>
          <w:b/>
          <w:bCs/>
          <w:sz w:val="24"/>
          <w:szCs w:val="24"/>
        </w:rPr>
        <w:t>112</w:t>
      </w:r>
      <w:r w:rsidRPr="008A28E4">
        <w:rPr>
          <w:rFonts w:ascii="Book Antiqua" w:eastAsia="宋体" w:hAnsi="Book Antiqua" w:cs="宋体"/>
          <w:sz w:val="24"/>
          <w:szCs w:val="24"/>
        </w:rPr>
        <w:t>: 89-93 [PMID: 23035747 DOI: 10.1111/j.1464-410X.2012.11507.x]</w:t>
      </w:r>
    </w:p>
    <w:p w:rsidR="00E503CC" w:rsidRPr="008A28E4" w:rsidRDefault="00E503CC" w:rsidP="008A28E4">
      <w:pPr>
        <w:spacing w:after="0" w:line="360" w:lineRule="auto"/>
        <w:jc w:val="both"/>
        <w:rPr>
          <w:rFonts w:ascii="Book Antiqua" w:eastAsia="宋体" w:hAnsi="Book Antiqua" w:cs="宋体"/>
          <w:sz w:val="24"/>
          <w:szCs w:val="24"/>
        </w:rPr>
      </w:pPr>
      <w:r w:rsidRPr="008A28E4">
        <w:rPr>
          <w:rFonts w:ascii="Book Antiqua" w:eastAsia="宋体" w:hAnsi="Book Antiqua" w:cs="宋体"/>
          <w:sz w:val="24"/>
          <w:szCs w:val="24"/>
        </w:rPr>
        <w:t xml:space="preserve">69 </w:t>
      </w:r>
      <w:r w:rsidRPr="008A28E4">
        <w:rPr>
          <w:rFonts w:ascii="Book Antiqua" w:eastAsia="宋体" w:hAnsi="Book Antiqua" w:cs="宋体"/>
          <w:b/>
          <w:sz w:val="24"/>
          <w:szCs w:val="24"/>
        </w:rPr>
        <w:t>Goharderakhshan RZ,</w:t>
      </w:r>
      <w:r w:rsidRPr="008A28E4">
        <w:rPr>
          <w:rFonts w:ascii="Book Antiqua" w:eastAsia="宋体" w:hAnsi="Book Antiqua" w:cs="宋体"/>
          <w:sz w:val="24"/>
          <w:szCs w:val="24"/>
        </w:rPr>
        <w:t xml:space="preserve"> Schwartz BF, Rudnick DM, Irby PB, Stoller ML. Radially expanding single-step nephrostomy tract dilator. </w:t>
      </w:r>
      <w:r w:rsidRPr="008A28E4">
        <w:rPr>
          <w:rFonts w:ascii="Book Antiqua" w:eastAsia="宋体" w:hAnsi="Book Antiqua" w:cs="宋体"/>
          <w:i/>
          <w:sz w:val="24"/>
          <w:szCs w:val="24"/>
        </w:rPr>
        <w:t>Urology</w:t>
      </w:r>
      <w:r w:rsidRPr="008A28E4">
        <w:rPr>
          <w:rFonts w:ascii="Book Antiqua" w:eastAsia="宋体" w:hAnsi="Book Antiqua" w:cs="宋体"/>
          <w:sz w:val="24"/>
          <w:szCs w:val="24"/>
        </w:rPr>
        <w:t xml:space="preserve"> 2001;</w:t>
      </w:r>
      <w:r w:rsidRPr="008A28E4">
        <w:rPr>
          <w:rFonts w:ascii="Book Antiqua" w:eastAsia="宋体" w:hAnsi="Book Antiqua" w:cs="宋体"/>
          <w:b/>
          <w:sz w:val="24"/>
          <w:szCs w:val="24"/>
        </w:rPr>
        <w:t xml:space="preserve"> 58</w:t>
      </w:r>
      <w:r w:rsidRPr="008A28E4">
        <w:rPr>
          <w:rFonts w:ascii="Book Antiqua" w:eastAsia="宋体" w:hAnsi="Book Antiqua" w:cs="宋体"/>
          <w:sz w:val="24"/>
          <w:szCs w:val="24"/>
        </w:rPr>
        <w:t>: 693-696 [PMID: 11711342 DOI: 10.1016/S0090-4295(01)01359-0]</w:t>
      </w:r>
    </w:p>
    <w:p w:rsidR="00E503CC" w:rsidRPr="008A28E4" w:rsidRDefault="00E503CC" w:rsidP="008A28E4">
      <w:pPr>
        <w:spacing w:after="0" w:line="360" w:lineRule="auto"/>
        <w:jc w:val="both"/>
        <w:rPr>
          <w:rFonts w:ascii="Book Antiqua" w:eastAsia="宋体" w:hAnsi="Book Antiqua" w:cs="宋体"/>
          <w:sz w:val="24"/>
          <w:szCs w:val="24"/>
        </w:rPr>
      </w:pPr>
      <w:r w:rsidRPr="008A28E4">
        <w:rPr>
          <w:rFonts w:ascii="Book Antiqua" w:eastAsia="宋体" w:hAnsi="Book Antiqua" w:cs="宋体"/>
          <w:sz w:val="24"/>
          <w:szCs w:val="24"/>
        </w:rPr>
        <w:t xml:space="preserve">70 </w:t>
      </w:r>
      <w:r w:rsidRPr="008A28E4">
        <w:rPr>
          <w:rFonts w:ascii="Book Antiqua" w:eastAsia="宋体" w:hAnsi="Book Antiqua" w:cs="宋体"/>
          <w:b/>
          <w:bCs/>
          <w:sz w:val="24"/>
          <w:szCs w:val="24"/>
        </w:rPr>
        <w:t>Patil AV</w:t>
      </w:r>
      <w:r w:rsidRPr="008A28E4">
        <w:rPr>
          <w:rFonts w:ascii="Book Antiqua" w:eastAsia="宋体" w:hAnsi="Book Antiqua" w:cs="宋体"/>
          <w:sz w:val="24"/>
          <w:szCs w:val="24"/>
        </w:rPr>
        <w:t xml:space="preserve">. A novel 5-part Percutaneous Access Needle with Glidewire technique (5-PANG) for percutaneous nephrolithotomy: our initial experience. </w:t>
      </w:r>
      <w:r w:rsidRPr="008A28E4">
        <w:rPr>
          <w:rFonts w:ascii="Book Antiqua" w:eastAsia="宋体" w:hAnsi="Book Antiqua" w:cs="宋体"/>
          <w:i/>
          <w:iCs/>
          <w:sz w:val="24"/>
          <w:szCs w:val="24"/>
        </w:rPr>
        <w:t>Urology</w:t>
      </w:r>
      <w:r w:rsidRPr="008A28E4">
        <w:rPr>
          <w:rFonts w:ascii="Book Antiqua" w:eastAsia="宋体" w:hAnsi="Book Antiqua" w:cs="宋体"/>
          <w:sz w:val="24"/>
          <w:szCs w:val="24"/>
        </w:rPr>
        <w:t xml:space="preserve"> 2010; </w:t>
      </w:r>
      <w:r w:rsidRPr="008A28E4">
        <w:rPr>
          <w:rFonts w:ascii="Book Antiqua" w:eastAsia="宋体" w:hAnsi="Book Antiqua" w:cs="宋体"/>
          <w:b/>
          <w:bCs/>
          <w:sz w:val="24"/>
          <w:szCs w:val="24"/>
        </w:rPr>
        <w:t>75</w:t>
      </w:r>
      <w:r w:rsidRPr="008A28E4">
        <w:rPr>
          <w:rFonts w:ascii="Book Antiqua" w:eastAsia="宋体" w:hAnsi="Book Antiqua" w:cs="宋体"/>
          <w:sz w:val="24"/>
          <w:szCs w:val="24"/>
        </w:rPr>
        <w:t>: 1206-1208 [PMID: 20138340 DOI: 10.1016/j.urology.2009.11.027]</w:t>
      </w:r>
    </w:p>
    <w:p w:rsidR="00E503CC" w:rsidRPr="008A28E4" w:rsidRDefault="00E503CC" w:rsidP="008A28E4">
      <w:pPr>
        <w:spacing w:after="0" w:line="360" w:lineRule="auto"/>
        <w:jc w:val="both"/>
        <w:rPr>
          <w:rFonts w:ascii="Book Antiqua" w:eastAsia="宋体" w:hAnsi="Book Antiqua" w:cs="宋体"/>
          <w:sz w:val="24"/>
          <w:szCs w:val="24"/>
        </w:rPr>
      </w:pPr>
      <w:r w:rsidRPr="008A28E4">
        <w:rPr>
          <w:rFonts w:ascii="Book Antiqua" w:eastAsia="宋体" w:hAnsi="Book Antiqua" w:cs="宋体"/>
          <w:sz w:val="24"/>
          <w:szCs w:val="24"/>
        </w:rPr>
        <w:t xml:space="preserve">71 </w:t>
      </w:r>
      <w:r w:rsidRPr="008A28E4">
        <w:rPr>
          <w:rFonts w:ascii="Book Antiqua" w:eastAsia="宋体" w:hAnsi="Book Antiqua" w:cs="宋体"/>
          <w:b/>
          <w:sz w:val="24"/>
          <w:szCs w:val="24"/>
        </w:rPr>
        <w:t>Abraham JB,</w:t>
      </w:r>
      <w:r w:rsidRPr="008A28E4">
        <w:rPr>
          <w:rFonts w:ascii="Book Antiqua" w:eastAsia="宋体" w:hAnsi="Book Antiqua" w:cs="宋体"/>
          <w:sz w:val="24"/>
          <w:szCs w:val="24"/>
        </w:rPr>
        <w:t xml:space="preserve"> Gamboa AJ, Finley DS, Beck SM, Lee HJ, Santos RJ, Box GN, Deane LA, Vajgrt DJ, McDougall EM, Clayman RV. he UCI Seldinger technique for percutaneous renal cryoablation: protecting the tract and achieving hemostasis.</w:t>
      </w:r>
      <w:r w:rsidRPr="008A28E4">
        <w:rPr>
          <w:rFonts w:ascii="Book Antiqua" w:eastAsia="宋体" w:hAnsi="Book Antiqua" w:cs="宋体"/>
          <w:i/>
          <w:sz w:val="24"/>
          <w:szCs w:val="24"/>
        </w:rPr>
        <w:t xml:space="preserve"> J Endourol</w:t>
      </w:r>
      <w:r w:rsidRPr="008A28E4">
        <w:rPr>
          <w:rFonts w:ascii="Book Antiqua" w:eastAsia="宋体" w:hAnsi="Book Antiqua" w:cs="宋体"/>
          <w:sz w:val="24"/>
          <w:szCs w:val="24"/>
        </w:rPr>
        <w:t xml:space="preserve"> 2009; </w:t>
      </w:r>
      <w:r w:rsidRPr="008A28E4">
        <w:rPr>
          <w:rFonts w:ascii="Book Antiqua" w:eastAsia="宋体" w:hAnsi="Book Antiqua" w:cs="宋体"/>
          <w:b/>
          <w:sz w:val="24"/>
          <w:szCs w:val="24"/>
        </w:rPr>
        <w:t>23</w:t>
      </w:r>
      <w:r w:rsidRPr="008A28E4">
        <w:rPr>
          <w:rFonts w:ascii="Book Antiqua" w:eastAsia="宋体" w:hAnsi="Book Antiqua" w:cs="宋体"/>
          <w:sz w:val="24"/>
          <w:szCs w:val="24"/>
        </w:rPr>
        <w:t>: 43-49 [PMID: 19178171 DOI: 10.1089/end.2008.0032]</w:t>
      </w:r>
    </w:p>
    <w:p w:rsidR="00E503CC" w:rsidRPr="008A28E4" w:rsidRDefault="00E503CC" w:rsidP="008A28E4">
      <w:pPr>
        <w:spacing w:after="0" w:line="360" w:lineRule="auto"/>
        <w:jc w:val="both"/>
        <w:rPr>
          <w:rFonts w:ascii="Book Antiqua" w:eastAsia="宋体" w:hAnsi="Book Antiqua" w:cs="宋体"/>
          <w:sz w:val="24"/>
          <w:szCs w:val="24"/>
        </w:rPr>
      </w:pPr>
      <w:r w:rsidRPr="008A28E4">
        <w:rPr>
          <w:rFonts w:ascii="Book Antiqua" w:eastAsia="宋体" w:hAnsi="Book Antiqua" w:cs="宋体"/>
          <w:sz w:val="24"/>
          <w:szCs w:val="24"/>
        </w:rPr>
        <w:t xml:space="preserve">72 </w:t>
      </w:r>
      <w:r w:rsidRPr="008A28E4">
        <w:rPr>
          <w:rFonts w:ascii="Book Antiqua" w:eastAsia="宋体" w:hAnsi="Book Antiqua" w:cs="宋体"/>
          <w:b/>
          <w:sz w:val="24"/>
          <w:szCs w:val="24"/>
        </w:rPr>
        <w:t>Muslumanoglu AY,</w:t>
      </w:r>
      <w:r w:rsidRPr="008A28E4">
        <w:rPr>
          <w:rFonts w:ascii="Book Antiqua" w:eastAsia="宋体" w:hAnsi="Book Antiqua" w:cs="宋体"/>
          <w:sz w:val="24"/>
          <w:szCs w:val="24"/>
        </w:rPr>
        <w:t xml:space="preserve"> Tefekli A, Karadag MA, Tok A, Sari E, Berberoglu Y. Impact of percutaneous access point number and location on complication and success rates in percutaneous nephrolithotomy. </w:t>
      </w:r>
      <w:r w:rsidRPr="008A28E4">
        <w:rPr>
          <w:rFonts w:ascii="Book Antiqua" w:eastAsia="宋体" w:hAnsi="Book Antiqua" w:cs="宋体"/>
          <w:i/>
          <w:sz w:val="24"/>
          <w:szCs w:val="24"/>
        </w:rPr>
        <w:t>Urol Int</w:t>
      </w:r>
      <w:r w:rsidRPr="008A28E4">
        <w:rPr>
          <w:rFonts w:ascii="Book Antiqua" w:eastAsia="宋体" w:hAnsi="Book Antiqua" w:cs="宋体"/>
          <w:sz w:val="24"/>
          <w:szCs w:val="24"/>
        </w:rPr>
        <w:t xml:space="preserve"> 2006; </w:t>
      </w:r>
      <w:r w:rsidRPr="008A28E4">
        <w:rPr>
          <w:rFonts w:ascii="Book Antiqua" w:eastAsia="宋体" w:hAnsi="Book Antiqua" w:cs="宋体"/>
          <w:b/>
          <w:sz w:val="24"/>
          <w:szCs w:val="24"/>
        </w:rPr>
        <w:t>77</w:t>
      </w:r>
      <w:r w:rsidR="00602B09">
        <w:rPr>
          <w:rFonts w:ascii="Book Antiqua" w:eastAsia="宋体" w:hAnsi="Book Antiqua" w:cs="宋体"/>
          <w:sz w:val="24"/>
          <w:szCs w:val="24"/>
        </w:rPr>
        <w:t>: 340-346</w:t>
      </w:r>
      <w:r w:rsidR="00602B09">
        <w:rPr>
          <w:rFonts w:ascii="Book Antiqua" w:eastAsia="宋体" w:hAnsi="Book Antiqua" w:cs="宋体" w:hint="eastAsia"/>
          <w:sz w:val="24"/>
          <w:szCs w:val="24"/>
          <w:lang w:eastAsia="zh-CN"/>
        </w:rPr>
        <w:t xml:space="preserve"> </w:t>
      </w:r>
      <w:r w:rsidRPr="008A28E4">
        <w:rPr>
          <w:rFonts w:ascii="Book Antiqua" w:eastAsia="宋体" w:hAnsi="Book Antiqua" w:cs="宋体"/>
          <w:sz w:val="24"/>
          <w:szCs w:val="24"/>
        </w:rPr>
        <w:t>[PMID: 17135785 DOI: 10.1159/000096339]</w:t>
      </w:r>
    </w:p>
    <w:p w:rsidR="00E503CC" w:rsidRPr="008A28E4" w:rsidRDefault="00E503CC" w:rsidP="008A28E4">
      <w:pPr>
        <w:spacing w:after="0" w:line="360" w:lineRule="auto"/>
        <w:jc w:val="both"/>
        <w:rPr>
          <w:rFonts w:ascii="Book Antiqua" w:eastAsia="宋体" w:hAnsi="Book Antiqua" w:cs="宋体"/>
          <w:sz w:val="24"/>
          <w:szCs w:val="24"/>
        </w:rPr>
      </w:pPr>
      <w:r w:rsidRPr="008A28E4">
        <w:rPr>
          <w:rFonts w:ascii="Book Antiqua" w:eastAsia="宋体" w:hAnsi="Book Antiqua" w:cs="宋体"/>
          <w:sz w:val="24"/>
          <w:szCs w:val="24"/>
        </w:rPr>
        <w:t xml:space="preserve">73 </w:t>
      </w:r>
      <w:r w:rsidRPr="008A28E4">
        <w:rPr>
          <w:rFonts w:ascii="Book Antiqua" w:eastAsia="宋体" w:hAnsi="Book Antiqua" w:cs="宋体"/>
          <w:b/>
          <w:bCs/>
          <w:sz w:val="24"/>
          <w:szCs w:val="24"/>
        </w:rPr>
        <w:t>Williams SK</w:t>
      </w:r>
      <w:r w:rsidRPr="008A28E4">
        <w:rPr>
          <w:rFonts w:ascii="Book Antiqua" w:eastAsia="宋体" w:hAnsi="Book Antiqua" w:cs="宋体"/>
          <w:sz w:val="24"/>
          <w:szCs w:val="24"/>
        </w:rPr>
        <w:t xml:space="preserve">, Leveillee RJ. Management of staghorn calculus: single puncture with judicious use of the flexible nephroscope. </w:t>
      </w:r>
      <w:r w:rsidRPr="008A28E4">
        <w:rPr>
          <w:rFonts w:ascii="Book Antiqua" w:eastAsia="宋体" w:hAnsi="Book Antiqua" w:cs="宋体"/>
          <w:i/>
          <w:iCs/>
          <w:sz w:val="24"/>
          <w:szCs w:val="24"/>
        </w:rPr>
        <w:t>Curr Opin Urol</w:t>
      </w:r>
      <w:r w:rsidRPr="008A28E4">
        <w:rPr>
          <w:rFonts w:ascii="Book Antiqua" w:eastAsia="宋体" w:hAnsi="Book Antiqua" w:cs="宋体"/>
          <w:sz w:val="24"/>
          <w:szCs w:val="24"/>
        </w:rPr>
        <w:t xml:space="preserve"> 2008; </w:t>
      </w:r>
      <w:r w:rsidRPr="008A28E4">
        <w:rPr>
          <w:rFonts w:ascii="Book Antiqua" w:eastAsia="宋体" w:hAnsi="Book Antiqua" w:cs="宋体"/>
          <w:b/>
          <w:bCs/>
          <w:sz w:val="24"/>
          <w:szCs w:val="24"/>
        </w:rPr>
        <w:t>18</w:t>
      </w:r>
      <w:r w:rsidRPr="008A28E4">
        <w:rPr>
          <w:rFonts w:ascii="Book Antiqua" w:eastAsia="宋体" w:hAnsi="Book Antiqua" w:cs="宋体"/>
          <w:sz w:val="24"/>
          <w:szCs w:val="24"/>
        </w:rPr>
        <w:t>: 224-228 [PMID: 18303549 DOI: 10.1097/MOU.0b013e3282f517c0]</w:t>
      </w:r>
    </w:p>
    <w:p w:rsidR="00E503CC" w:rsidRPr="008A28E4" w:rsidRDefault="00E503CC" w:rsidP="008A28E4">
      <w:pPr>
        <w:spacing w:after="0" w:line="360" w:lineRule="auto"/>
        <w:jc w:val="both"/>
        <w:rPr>
          <w:rFonts w:ascii="Book Antiqua" w:eastAsia="宋体" w:hAnsi="Book Antiqua" w:cs="宋体"/>
          <w:sz w:val="24"/>
          <w:szCs w:val="24"/>
        </w:rPr>
      </w:pPr>
      <w:r w:rsidRPr="008A28E4">
        <w:rPr>
          <w:rFonts w:ascii="Book Antiqua" w:eastAsia="宋体" w:hAnsi="Book Antiqua" w:cs="宋体"/>
          <w:sz w:val="24"/>
          <w:szCs w:val="24"/>
        </w:rPr>
        <w:t xml:space="preserve">74 </w:t>
      </w:r>
      <w:r w:rsidRPr="008A28E4">
        <w:rPr>
          <w:rFonts w:ascii="Book Antiqua" w:eastAsia="宋体" w:hAnsi="Book Antiqua" w:cs="宋体"/>
          <w:b/>
          <w:bCs/>
          <w:sz w:val="24"/>
          <w:szCs w:val="24"/>
        </w:rPr>
        <w:t>Golijanin D</w:t>
      </w:r>
      <w:r w:rsidRPr="008A28E4">
        <w:rPr>
          <w:rFonts w:ascii="Book Antiqua" w:eastAsia="宋体" w:hAnsi="Book Antiqua" w:cs="宋体"/>
          <w:sz w:val="24"/>
          <w:szCs w:val="24"/>
        </w:rPr>
        <w:t xml:space="preserve">, Katz R, Verstandig A, Sasson T, Landau EH, Meretyk S. The supracostal percutaneous nephrostomy for treatment of staghorn and complex kidney stones. </w:t>
      </w:r>
      <w:r w:rsidRPr="008A28E4">
        <w:rPr>
          <w:rFonts w:ascii="Book Antiqua" w:eastAsia="宋体" w:hAnsi="Book Antiqua" w:cs="宋体"/>
          <w:i/>
          <w:iCs/>
          <w:sz w:val="24"/>
          <w:szCs w:val="24"/>
        </w:rPr>
        <w:t>J Endourol</w:t>
      </w:r>
      <w:r w:rsidRPr="008A28E4">
        <w:rPr>
          <w:rFonts w:ascii="Book Antiqua" w:eastAsia="宋体" w:hAnsi="Book Antiqua" w:cs="宋体"/>
          <w:sz w:val="24"/>
          <w:szCs w:val="24"/>
        </w:rPr>
        <w:t xml:space="preserve"> 1998; </w:t>
      </w:r>
      <w:r w:rsidRPr="008A28E4">
        <w:rPr>
          <w:rFonts w:ascii="Book Antiqua" w:eastAsia="宋体" w:hAnsi="Book Antiqua" w:cs="宋体"/>
          <w:b/>
          <w:bCs/>
          <w:sz w:val="24"/>
          <w:szCs w:val="24"/>
        </w:rPr>
        <w:t>12</w:t>
      </w:r>
      <w:r w:rsidRPr="008A28E4">
        <w:rPr>
          <w:rFonts w:ascii="Book Antiqua" w:eastAsia="宋体" w:hAnsi="Book Antiqua" w:cs="宋体"/>
          <w:sz w:val="24"/>
          <w:szCs w:val="24"/>
        </w:rPr>
        <w:t>: 403-405 [PMID: 9847059 DOI: 10.1089/end.1998.12.403]</w:t>
      </w:r>
    </w:p>
    <w:p w:rsidR="00E503CC" w:rsidRPr="008A28E4" w:rsidRDefault="00E503CC" w:rsidP="008A28E4">
      <w:pPr>
        <w:spacing w:after="0" w:line="360" w:lineRule="auto"/>
        <w:jc w:val="both"/>
        <w:rPr>
          <w:rFonts w:ascii="Book Antiqua" w:eastAsia="宋体" w:hAnsi="Book Antiqua" w:cs="宋体"/>
          <w:sz w:val="24"/>
          <w:szCs w:val="24"/>
        </w:rPr>
      </w:pPr>
      <w:r w:rsidRPr="008A28E4">
        <w:rPr>
          <w:rFonts w:ascii="Book Antiqua" w:eastAsia="宋体" w:hAnsi="Book Antiqua" w:cs="宋体"/>
          <w:sz w:val="24"/>
          <w:szCs w:val="24"/>
        </w:rPr>
        <w:t xml:space="preserve">75 </w:t>
      </w:r>
      <w:r w:rsidRPr="008A28E4">
        <w:rPr>
          <w:rFonts w:ascii="Book Antiqua" w:eastAsia="宋体" w:hAnsi="Book Antiqua" w:cs="宋体"/>
          <w:b/>
          <w:bCs/>
          <w:sz w:val="24"/>
          <w:szCs w:val="24"/>
        </w:rPr>
        <w:t>Aron M</w:t>
      </w:r>
      <w:r w:rsidRPr="008A28E4">
        <w:rPr>
          <w:rFonts w:ascii="Book Antiqua" w:eastAsia="宋体" w:hAnsi="Book Antiqua" w:cs="宋体"/>
          <w:sz w:val="24"/>
          <w:szCs w:val="24"/>
        </w:rPr>
        <w:t xml:space="preserve">, Yadav R, Goel R, Kolla SB, Gautam G, Hemal AK, Gupta NP. Multi-tract percutaneous nephrolithotomy for large complete staghorn calculi. </w:t>
      </w:r>
      <w:r w:rsidRPr="008A28E4">
        <w:rPr>
          <w:rFonts w:ascii="Book Antiqua" w:eastAsia="宋体" w:hAnsi="Book Antiqua" w:cs="宋体"/>
          <w:i/>
          <w:iCs/>
          <w:sz w:val="24"/>
          <w:szCs w:val="24"/>
        </w:rPr>
        <w:t>Urol Int</w:t>
      </w:r>
      <w:r w:rsidRPr="008A28E4">
        <w:rPr>
          <w:rFonts w:ascii="Book Antiqua" w:eastAsia="宋体" w:hAnsi="Book Antiqua" w:cs="宋体"/>
          <w:sz w:val="24"/>
          <w:szCs w:val="24"/>
        </w:rPr>
        <w:t xml:space="preserve"> 2005; </w:t>
      </w:r>
      <w:r w:rsidRPr="008A28E4">
        <w:rPr>
          <w:rFonts w:ascii="Book Antiqua" w:eastAsia="宋体" w:hAnsi="Book Antiqua" w:cs="宋体"/>
          <w:b/>
          <w:bCs/>
          <w:sz w:val="24"/>
          <w:szCs w:val="24"/>
        </w:rPr>
        <w:t>75</w:t>
      </w:r>
      <w:r w:rsidRPr="008A28E4">
        <w:rPr>
          <w:rFonts w:ascii="Book Antiqua" w:eastAsia="宋体" w:hAnsi="Book Antiqua" w:cs="宋体"/>
          <w:sz w:val="24"/>
          <w:szCs w:val="24"/>
        </w:rPr>
        <w:t>: 327-332 [PMID: 16327300 DOI: 10.1159/000089168]</w:t>
      </w:r>
    </w:p>
    <w:p w:rsidR="00E503CC" w:rsidRPr="008A28E4" w:rsidRDefault="00E503CC" w:rsidP="008A28E4">
      <w:pPr>
        <w:spacing w:after="0" w:line="360" w:lineRule="auto"/>
        <w:jc w:val="both"/>
        <w:rPr>
          <w:rFonts w:ascii="Book Antiqua" w:eastAsia="宋体" w:hAnsi="Book Antiqua" w:cs="宋体"/>
          <w:sz w:val="24"/>
          <w:szCs w:val="24"/>
        </w:rPr>
      </w:pPr>
      <w:r w:rsidRPr="008A28E4">
        <w:rPr>
          <w:rFonts w:ascii="Book Antiqua" w:eastAsia="宋体" w:hAnsi="Book Antiqua" w:cs="宋体"/>
          <w:sz w:val="24"/>
          <w:szCs w:val="24"/>
        </w:rPr>
        <w:t xml:space="preserve">76 </w:t>
      </w:r>
      <w:r w:rsidRPr="008A28E4">
        <w:rPr>
          <w:rFonts w:ascii="Book Antiqua" w:eastAsia="宋体" w:hAnsi="Book Antiqua" w:cs="宋体"/>
          <w:b/>
          <w:bCs/>
          <w:sz w:val="24"/>
          <w:szCs w:val="24"/>
        </w:rPr>
        <w:t>Ferrandino MN</w:t>
      </w:r>
      <w:r w:rsidRPr="008A28E4">
        <w:rPr>
          <w:rFonts w:ascii="Book Antiqua" w:eastAsia="宋体" w:hAnsi="Book Antiqua" w:cs="宋体"/>
          <w:sz w:val="24"/>
          <w:szCs w:val="24"/>
        </w:rPr>
        <w:t xml:space="preserve">, Bagrodia A, Pierre SA, Scales CD, Rampersaud E, Pearle MS, Preminger GM. Radiation exposure in the acute and short-term management of urolithiasis at 2 academic centers. </w:t>
      </w:r>
      <w:r w:rsidRPr="008A28E4">
        <w:rPr>
          <w:rFonts w:ascii="Book Antiqua" w:eastAsia="宋体" w:hAnsi="Book Antiqua" w:cs="宋体"/>
          <w:i/>
          <w:iCs/>
          <w:sz w:val="24"/>
          <w:szCs w:val="24"/>
        </w:rPr>
        <w:t>J Urol</w:t>
      </w:r>
      <w:r w:rsidRPr="008A28E4">
        <w:rPr>
          <w:rFonts w:ascii="Book Antiqua" w:eastAsia="宋体" w:hAnsi="Book Antiqua" w:cs="宋体"/>
          <w:sz w:val="24"/>
          <w:szCs w:val="24"/>
        </w:rPr>
        <w:t xml:space="preserve"> 2009; </w:t>
      </w:r>
      <w:r w:rsidRPr="008A28E4">
        <w:rPr>
          <w:rFonts w:ascii="Book Antiqua" w:eastAsia="宋体" w:hAnsi="Book Antiqua" w:cs="宋体"/>
          <w:b/>
          <w:bCs/>
          <w:sz w:val="24"/>
          <w:szCs w:val="24"/>
        </w:rPr>
        <w:t>181</w:t>
      </w:r>
      <w:r w:rsidRPr="008A28E4">
        <w:rPr>
          <w:rFonts w:ascii="Book Antiqua" w:eastAsia="宋体" w:hAnsi="Book Antiqua" w:cs="宋体"/>
          <w:sz w:val="24"/>
          <w:szCs w:val="24"/>
        </w:rPr>
        <w:t>: 668-672; discussion 673 [PMID: 19100573 DOI: 10.1016/j.juro.2008.10.012]</w:t>
      </w:r>
    </w:p>
    <w:p w:rsidR="00E503CC" w:rsidRPr="008A28E4" w:rsidRDefault="00E503CC" w:rsidP="008A28E4">
      <w:pPr>
        <w:spacing w:after="0" w:line="360" w:lineRule="auto"/>
        <w:jc w:val="both"/>
        <w:rPr>
          <w:rFonts w:ascii="Book Antiqua" w:eastAsia="宋体" w:hAnsi="Book Antiqua" w:cs="宋体"/>
          <w:sz w:val="24"/>
          <w:szCs w:val="24"/>
        </w:rPr>
      </w:pPr>
      <w:r w:rsidRPr="008A28E4">
        <w:rPr>
          <w:rFonts w:ascii="Book Antiqua" w:eastAsia="宋体" w:hAnsi="Book Antiqua" w:cs="宋体"/>
          <w:sz w:val="24"/>
          <w:szCs w:val="24"/>
        </w:rPr>
        <w:t xml:space="preserve">77 </w:t>
      </w:r>
      <w:r w:rsidRPr="008A28E4">
        <w:rPr>
          <w:rFonts w:ascii="Book Antiqua" w:eastAsia="宋体" w:hAnsi="Book Antiqua" w:cs="宋体"/>
          <w:b/>
          <w:bCs/>
          <w:sz w:val="24"/>
          <w:szCs w:val="24"/>
        </w:rPr>
        <w:t>Wrixon AD</w:t>
      </w:r>
      <w:r w:rsidRPr="008A28E4">
        <w:rPr>
          <w:rFonts w:ascii="Book Antiqua" w:eastAsia="宋体" w:hAnsi="Book Antiqua" w:cs="宋体"/>
          <w:sz w:val="24"/>
          <w:szCs w:val="24"/>
        </w:rPr>
        <w:t xml:space="preserve">. New recommendations from the International Commission on Radiological Protection--a review. </w:t>
      </w:r>
      <w:r w:rsidRPr="008A28E4">
        <w:rPr>
          <w:rFonts w:ascii="Book Antiqua" w:eastAsia="宋体" w:hAnsi="Book Antiqua" w:cs="宋体"/>
          <w:i/>
          <w:iCs/>
          <w:sz w:val="24"/>
          <w:szCs w:val="24"/>
        </w:rPr>
        <w:t>Phys Med Biol</w:t>
      </w:r>
      <w:r w:rsidRPr="008A28E4">
        <w:rPr>
          <w:rFonts w:ascii="Book Antiqua" w:eastAsia="宋体" w:hAnsi="Book Antiqua" w:cs="宋体"/>
          <w:sz w:val="24"/>
          <w:szCs w:val="24"/>
        </w:rPr>
        <w:t xml:space="preserve"> 2008; </w:t>
      </w:r>
      <w:r w:rsidRPr="008A28E4">
        <w:rPr>
          <w:rFonts w:ascii="Book Antiqua" w:eastAsia="宋体" w:hAnsi="Book Antiqua" w:cs="宋体"/>
          <w:b/>
          <w:bCs/>
          <w:sz w:val="24"/>
          <w:szCs w:val="24"/>
        </w:rPr>
        <w:t>53</w:t>
      </w:r>
      <w:r w:rsidRPr="008A28E4">
        <w:rPr>
          <w:rFonts w:ascii="Book Antiqua" w:eastAsia="宋体" w:hAnsi="Book Antiqua" w:cs="宋体"/>
          <w:sz w:val="24"/>
          <w:szCs w:val="24"/>
        </w:rPr>
        <w:t>: R41-R60 [PMID: 18364557 DOI: 10.1088/0031-9155/53/8/R01]</w:t>
      </w:r>
    </w:p>
    <w:p w:rsidR="00E503CC" w:rsidRPr="008A28E4" w:rsidRDefault="00E503CC" w:rsidP="008A28E4">
      <w:pPr>
        <w:spacing w:after="0" w:line="360" w:lineRule="auto"/>
        <w:jc w:val="both"/>
        <w:rPr>
          <w:rFonts w:ascii="Book Antiqua" w:eastAsia="宋体" w:hAnsi="Book Antiqua" w:cs="宋体"/>
          <w:sz w:val="24"/>
          <w:szCs w:val="24"/>
        </w:rPr>
      </w:pPr>
      <w:r w:rsidRPr="008A28E4">
        <w:rPr>
          <w:rFonts w:ascii="Book Antiqua" w:eastAsia="宋体" w:hAnsi="Book Antiqua" w:cs="宋体"/>
          <w:sz w:val="24"/>
          <w:szCs w:val="24"/>
        </w:rPr>
        <w:t xml:space="preserve">78 </w:t>
      </w:r>
      <w:r w:rsidRPr="008A28E4">
        <w:rPr>
          <w:rFonts w:ascii="Book Antiqua" w:eastAsia="宋体" w:hAnsi="Book Antiqua" w:cs="宋体"/>
          <w:b/>
          <w:sz w:val="24"/>
          <w:szCs w:val="24"/>
        </w:rPr>
        <w:t>Bowsher WG,</w:t>
      </w:r>
      <w:r w:rsidRPr="008A28E4">
        <w:rPr>
          <w:rFonts w:ascii="Book Antiqua" w:eastAsia="宋体" w:hAnsi="Book Antiqua" w:cs="宋体"/>
          <w:sz w:val="24"/>
          <w:szCs w:val="24"/>
        </w:rPr>
        <w:t xml:space="preserve"> Blott P, Whitfield HN. Radiation protection in percutaneous renal surgery. </w:t>
      </w:r>
      <w:r w:rsidRPr="008A28E4">
        <w:rPr>
          <w:rFonts w:ascii="Book Antiqua" w:eastAsia="宋体" w:hAnsi="Book Antiqua" w:cs="宋体"/>
          <w:i/>
          <w:sz w:val="24"/>
          <w:szCs w:val="24"/>
        </w:rPr>
        <w:t>Br J Urol</w:t>
      </w:r>
      <w:r w:rsidRPr="008A28E4">
        <w:rPr>
          <w:rFonts w:ascii="Book Antiqua" w:eastAsia="宋体" w:hAnsi="Book Antiqua" w:cs="宋体"/>
          <w:sz w:val="24"/>
          <w:szCs w:val="24"/>
        </w:rPr>
        <w:t xml:space="preserve"> 1992; </w:t>
      </w:r>
      <w:r w:rsidRPr="008A28E4">
        <w:rPr>
          <w:rFonts w:ascii="Book Antiqua" w:eastAsia="宋体" w:hAnsi="Book Antiqua" w:cs="宋体"/>
          <w:b/>
          <w:sz w:val="24"/>
          <w:szCs w:val="24"/>
        </w:rPr>
        <w:t>69</w:t>
      </w:r>
      <w:r w:rsidRPr="008A28E4">
        <w:rPr>
          <w:rFonts w:ascii="Book Antiqua" w:eastAsia="宋体" w:hAnsi="Book Antiqua" w:cs="宋体"/>
          <w:sz w:val="24"/>
          <w:szCs w:val="24"/>
        </w:rPr>
        <w:t>: 231-233 [PMID:1568094 DOI: 10.1111/j.1464-410X.1992.tb15518.x]</w:t>
      </w:r>
    </w:p>
    <w:p w:rsidR="00E503CC" w:rsidRPr="008A28E4" w:rsidRDefault="00E503CC" w:rsidP="008A28E4">
      <w:pPr>
        <w:spacing w:after="0" w:line="360" w:lineRule="auto"/>
        <w:jc w:val="both"/>
        <w:rPr>
          <w:rFonts w:ascii="Book Antiqua" w:eastAsia="宋体" w:hAnsi="Book Antiqua" w:cs="宋体"/>
          <w:sz w:val="24"/>
          <w:szCs w:val="24"/>
        </w:rPr>
      </w:pPr>
      <w:r w:rsidRPr="008A28E4">
        <w:rPr>
          <w:rFonts w:ascii="Book Antiqua" w:eastAsia="宋体" w:hAnsi="Book Antiqua" w:cs="宋体"/>
          <w:sz w:val="24"/>
          <w:szCs w:val="24"/>
        </w:rPr>
        <w:t xml:space="preserve">79 </w:t>
      </w:r>
      <w:r w:rsidRPr="008A28E4">
        <w:rPr>
          <w:rFonts w:ascii="Book Antiqua" w:eastAsia="宋体" w:hAnsi="Book Antiqua" w:cs="宋体"/>
          <w:b/>
          <w:bCs/>
          <w:sz w:val="24"/>
          <w:szCs w:val="24"/>
        </w:rPr>
        <w:t>Mancini JG</w:t>
      </w:r>
      <w:r w:rsidRPr="008A28E4">
        <w:rPr>
          <w:rFonts w:ascii="Book Antiqua" w:eastAsia="宋体" w:hAnsi="Book Antiqua" w:cs="宋体"/>
          <w:sz w:val="24"/>
          <w:szCs w:val="24"/>
        </w:rPr>
        <w:t xml:space="preserve">, Raymundo EM, Lipkin M, Zilberman D, Yong D, Bañez LL, Miller MJ, Preminger GM, Ferrandino MN. Factors affecting patient radiation exposure during percutaneous nephrolithotomy. </w:t>
      </w:r>
      <w:r w:rsidRPr="008A28E4">
        <w:rPr>
          <w:rFonts w:ascii="Book Antiqua" w:eastAsia="宋体" w:hAnsi="Book Antiqua" w:cs="宋体"/>
          <w:i/>
          <w:iCs/>
          <w:sz w:val="24"/>
          <w:szCs w:val="24"/>
        </w:rPr>
        <w:t>J Urol</w:t>
      </w:r>
      <w:r w:rsidRPr="008A28E4">
        <w:rPr>
          <w:rFonts w:ascii="Book Antiqua" w:eastAsia="宋体" w:hAnsi="Book Antiqua" w:cs="宋体"/>
          <w:sz w:val="24"/>
          <w:szCs w:val="24"/>
        </w:rPr>
        <w:t xml:space="preserve"> 2010; </w:t>
      </w:r>
      <w:r w:rsidRPr="008A28E4">
        <w:rPr>
          <w:rFonts w:ascii="Book Antiqua" w:eastAsia="宋体" w:hAnsi="Book Antiqua" w:cs="宋体"/>
          <w:b/>
          <w:bCs/>
          <w:sz w:val="24"/>
          <w:szCs w:val="24"/>
        </w:rPr>
        <w:t>184</w:t>
      </w:r>
      <w:r w:rsidRPr="008A28E4">
        <w:rPr>
          <w:rFonts w:ascii="Book Antiqua" w:eastAsia="宋体" w:hAnsi="Book Antiqua" w:cs="宋体"/>
          <w:sz w:val="24"/>
          <w:szCs w:val="24"/>
        </w:rPr>
        <w:t>: 2373-2377 [PMID: 20952034 DOI: 10.1016/j.juro.2010.08.033]</w:t>
      </w:r>
    </w:p>
    <w:p w:rsidR="00E503CC" w:rsidRPr="008A28E4" w:rsidRDefault="00E503CC" w:rsidP="008A28E4">
      <w:pPr>
        <w:spacing w:after="0" w:line="360" w:lineRule="auto"/>
        <w:jc w:val="both"/>
        <w:rPr>
          <w:rFonts w:ascii="Book Antiqua" w:eastAsia="宋体" w:hAnsi="Book Antiqua" w:cs="宋体"/>
          <w:sz w:val="24"/>
          <w:szCs w:val="24"/>
        </w:rPr>
      </w:pPr>
      <w:r w:rsidRPr="008A28E4">
        <w:rPr>
          <w:rFonts w:ascii="Book Antiqua" w:eastAsia="宋体" w:hAnsi="Book Antiqua" w:cs="宋体"/>
          <w:sz w:val="24"/>
          <w:szCs w:val="24"/>
        </w:rPr>
        <w:t xml:space="preserve">80 </w:t>
      </w:r>
      <w:r w:rsidRPr="008A28E4">
        <w:rPr>
          <w:rFonts w:ascii="Book Antiqua" w:eastAsia="宋体" w:hAnsi="Book Antiqua" w:cs="宋体"/>
          <w:b/>
          <w:bCs/>
          <w:sz w:val="24"/>
          <w:szCs w:val="24"/>
        </w:rPr>
        <w:t>Tepeler A</w:t>
      </w:r>
      <w:r w:rsidRPr="008A28E4">
        <w:rPr>
          <w:rFonts w:ascii="Book Antiqua" w:eastAsia="宋体" w:hAnsi="Book Antiqua" w:cs="宋体"/>
          <w:sz w:val="24"/>
          <w:szCs w:val="24"/>
        </w:rPr>
        <w:t xml:space="preserve">, Binbay M, Yuruk E, Sari E, Kaba M, Muslumanoglu AY, Tefekli A. Factors affecting the fluoroscopic screening time during percutaneous nephrolithotomy. </w:t>
      </w:r>
      <w:r w:rsidRPr="008A28E4">
        <w:rPr>
          <w:rFonts w:ascii="Book Antiqua" w:eastAsia="宋体" w:hAnsi="Book Antiqua" w:cs="宋体"/>
          <w:i/>
          <w:iCs/>
          <w:sz w:val="24"/>
          <w:szCs w:val="24"/>
        </w:rPr>
        <w:t>J Endourol</w:t>
      </w:r>
      <w:r w:rsidRPr="008A28E4">
        <w:rPr>
          <w:rFonts w:ascii="Book Antiqua" w:eastAsia="宋体" w:hAnsi="Book Antiqua" w:cs="宋体"/>
          <w:sz w:val="24"/>
          <w:szCs w:val="24"/>
        </w:rPr>
        <w:t xml:space="preserve"> 2009; </w:t>
      </w:r>
      <w:r w:rsidRPr="008A28E4">
        <w:rPr>
          <w:rFonts w:ascii="Book Antiqua" w:eastAsia="宋体" w:hAnsi="Book Antiqua" w:cs="宋体"/>
          <w:b/>
          <w:bCs/>
          <w:sz w:val="24"/>
          <w:szCs w:val="24"/>
        </w:rPr>
        <w:t>23</w:t>
      </w:r>
      <w:r w:rsidRPr="008A28E4">
        <w:rPr>
          <w:rFonts w:ascii="Book Antiqua" w:eastAsia="宋体" w:hAnsi="Book Antiqua" w:cs="宋体"/>
          <w:sz w:val="24"/>
          <w:szCs w:val="24"/>
        </w:rPr>
        <w:t>: 1825-1829 [PMID: 19811060 DOI: 10.1089/end.2009.0256]</w:t>
      </w:r>
    </w:p>
    <w:p w:rsidR="00E503CC" w:rsidRPr="008A28E4" w:rsidRDefault="00E503CC" w:rsidP="008A28E4">
      <w:pPr>
        <w:spacing w:after="0" w:line="360" w:lineRule="auto"/>
        <w:jc w:val="both"/>
        <w:rPr>
          <w:rFonts w:ascii="Book Antiqua" w:eastAsia="宋体" w:hAnsi="Book Antiqua" w:cs="宋体"/>
          <w:sz w:val="24"/>
          <w:szCs w:val="24"/>
        </w:rPr>
      </w:pPr>
      <w:r w:rsidRPr="008A28E4">
        <w:rPr>
          <w:rFonts w:ascii="Book Antiqua" w:eastAsia="宋体" w:hAnsi="Book Antiqua" w:cs="宋体"/>
          <w:sz w:val="24"/>
          <w:szCs w:val="24"/>
        </w:rPr>
        <w:t xml:space="preserve">81 </w:t>
      </w:r>
      <w:r w:rsidRPr="008A28E4">
        <w:rPr>
          <w:rFonts w:ascii="Book Antiqua" w:eastAsia="宋体" w:hAnsi="Book Antiqua" w:cs="宋体"/>
          <w:b/>
          <w:bCs/>
          <w:sz w:val="24"/>
          <w:szCs w:val="24"/>
        </w:rPr>
        <w:t>Dias J</w:t>
      </w:r>
      <w:r w:rsidRPr="008A28E4">
        <w:rPr>
          <w:rFonts w:ascii="Book Antiqua" w:eastAsia="宋体" w:hAnsi="Book Antiqua" w:cs="宋体"/>
          <w:sz w:val="24"/>
          <w:szCs w:val="24"/>
        </w:rPr>
        <w:t xml:space="preserve">, Unsworth DJ, Walker-Smith JA. Antigliadin and antireticulin antibodies in screening for coeliac disease. </w:t>
      </w:r>
      <w:r w:rsidRPr="008A28E4">
        <w:rPr>
          <w:rFonts w:ascii="Book Antiqua" w:eastAsia="宋体" w:hAnsi="Book Antiqua" w:cs="宋体"/>
          <w:i/>
          <w:iCs/>
          <w:sz w:val="24"/>
          <w:szCs w:val="24"/>
        </w:rPr>
        <w:t>Lancet</w:t>
      </w:r>
      <w:r w:rsidRPr="008A28E4">
        <w:rPr>
          <w:rFonts w:ascii="Book Antiqua" w:eastAsia="宋体" w:hAnsi="Book Antiqua" w:cs="宋体"/>
          <w:sz w:val="24"/>
          <w:szCs w:val="24"/>
        </w:rPr>
        <w:t xml:space="preserve"> 1987; </w:t>
      </w:r>
      <w:r w:rsidRPr="008A28E4">
        <w:rPr>
          <w:rFonts w:ascii="Book Antiqua" w:eastAsia="宋体" w:hAnsi="Book Antiqua" w:cs="宋体"/>
          <w:b/>
          <w:bCs/>
          <w:sz w:val="24"/>
          <w:szCs w:val="24"/>
        </w:rPr>
        <w:t>2</w:t>
      </w:r>
      <w:r w:rsidRPr="008A28E4">
        <w:rPr>
          <w:rFonts w:ascii="Book Antiqua" w:eastAsia="宋体" w:hAnsi="Book Antiqua" w:cs="宋体"/>
          <w:sz w:val="24"/>
          <w:szCs w:val="24"/>
        </w:rPr>
        <w:t>: 157-158 [PMID: 2885617 DOI: 10.1007/s00345-012-0923-0]</w:t>
      </w:r>
    </w:p>
    <w:p w:rsidR="00E503CC" w:rsidRPr="008A28E4" w:rsidRDefault="00E503CC" w:rsidP="008A28E4">
      <w:pPr>
        <w:spacing w:after="0" w:line="360" w:lineRule="auto"/>
        <w:jc w:val="both"/>
        <w:rPr>
          <w:rFonts w:ascii="Book Antiqua" w:eastAsia="宋体" w:hAnsi="Book Antiqua" w:cs="宋体"/>
          <w:sz w:val="24"/>
          <w:szCs w:val="24"/>
        </w:rPr>
      </w:pPr>
      <w:r w:rsidRPr="008A28E4">
        <w:rPr>
          <w:rFonts w:ascii="Book Antiqua" w:eastAsia="宋体" w:hAnsi="Book Antiqua" w:cs="宋体"/>
          <w:sz w:val="24"/>
          <w:szCs w:val="24"/>
        </w:rPr>
        <w:t xml:space="preserve">82 </w:t>
      </w:r>
      <w:r w:rsidRPr="008A28E4">
        <w:rPr>
          <w:rFonts w:ascii="Book Antiqua" w:eastAsia="宋体" w:hAnsi="Book Antiqua" w:cs="宋体"/>
          <w:b/>
          <w:bCs/>
          <w:sz w:val="24"/>
          <w:szCs w:val="24"/>
        </w:rPr>
        <w:t>Yang RM</w:t>
      </w:r>
      <w:r w:rsidRPr="008A28E4">
        <w:rPr>
          <w:rFonts w:ascii="Book Antiqua" w:eastAsia="宋体" w:hAnsi="Book Antiqua" w:cs="宋体"/>
          <w:sz w:val="24"/>
          <w:szCs w:val="24"/>
        </w:rPr>
        <w:t xml:space="preserve">, Morgan T, Bellman GC. Radiation protection during percutaneous nephrolithotomy: a new urologic surgery radiation shield. </w:t>
      </w:r>
      <w:r w:rsidRPr="008A28E4">
        <w:rPr>
          <w:rFonts w:ascii="Book Antiqua" w:eastAsia="宋体" w:hAnsi="Book Antiqua" w:cs="宋体"/>
          <w:i/>
          <w:iCs/>
          <w:sz w:val="24"/>
          <w:szCs w:val="24"/>
        </w:rPr>
        <w:t>J Endourol</w:t>
      </w:r>
      <w:r w:rsidRPr="008A28E4">
        <w:rPr>
          <w:rFonts w:ascii="Book Antiqua" w:eastAsia="宋体" w:hAnsi="Book Antiqua" w:cs="宋体"/>
          <w:sz w:val="24"/>
          <w:szCs w:val="24"/>
        </w:rPr>
        <w:t xml:space="preserve"> 2002; </w:t>
      </w:r>
      <w:r w:rsidRPr="008A28E4">
        <w:rPr>
          <w:rFonts w:ascii="Book Antiqua" w:eastAsia="宋体" w:hAnsi="Book Antiqua" w:cs="宋体"/>
          <w:b/>
          <w:bCs/>
          <w:sz w:val="24"/>
          <w:szCs w:val="24"/>
        </w:rPr>
        <w:t>16</w:t>
      </w:r>
      <w:r w:rsidRPr="008A28E4">
        <w:rPr>
          <w:rFonts w:ascii="Book Antiqua" w:eastAsia="宋体" w:hAnsi="Book Antiqua" w:cs="宋体"/>
          <w:sz w:val="24"/>
          <w:szCs w:val="24"/>
        </w:rPr>
        <w:t>: 727-731 [PMID: 12542875 DOI: 10.1089/08927790260472872]</w:t>
      </w:r>
    </w:p>
    <w:p w:rsidR="00E503CC" w:rsidRPr="008A28E4" w:rsidRDefault="00E503CC" w:rsidP="008A28E4">
      <w:pPr>
        <w:spacing w:after="0" w:line="360" w:lineRule="auto"/>
        <w:jc w:val="both"/>
        <w:rPr>
          <w:rFonts w:ascii="Book Antiqua" w:eastAsia="宋体" w:hAnsi="Book Antiqua" w:cs="宋体"/>
          <w:sz w:val="24"/>
          <w:szCs w:val="24"/>
        </w:rPr>
      </w:pPr>
      <w:r w:rsidRPr="008A28E4">
        <w:rPr>
          <w:rFonts w:ascii="Book Antiqua" w:eastAsia="宋体" w:hAnsi="Book Antiqua" w:cs="宋体"/>
          <w:sz w:val="24"/>
          <w:szCs w:val="24"/>
        </w:rPr>
        <w:t xml:space="preserve">83 </w:t>
      </w:r>
      <w:r w:rsidRPr="008A28E4">
        <w:rPr>
          <w:rFonts w:ascii="Book Antiqua" w:eastAsia="宋体" w:hAnsi="Book Antiqua" w:cs="宋体"/>
          <w:b/>
          <w:bCs/>
          <w:sz w:val="24"/>
          <w:szCs w:val="24"/>
        </w:rPr>
        <w:t>Elkoushy MA</w:t>
      </w:r>
      <w:r w:rsidRPr="008A28E4">
        <w:rPr>
          <w:rFonts w:ascii="Book Antiqua" w:eastAsia="宋体" w:hAnsi="Book Antiqua" w:cs="宋体"/>
          <w:sz w:val="24"/>
          <w:szCs w:val="24"/>
        </w:rPr>
        <w:t xml:space="preserve">, Shahrour W, Andonian S. Pulsed fluoroscopy in ureteroscopy and percutaneous nephrolithotomy. </w:t>
      </w:r>
      <w:r w:rsidRPr="008A28E4">
        <w:rPr>
          <w:rFonts w:ascii="Book Antiqua" w:eastAsia="宋体" w:hAnsi="Book Antiqua" w:cs="宋体"/>
          <w:i/>
          <w:iCs/>
          <w:sz w:val="24"/>
          <w:szCs w:val="24"/>
        </w:rPr>
        <w:t>Urology</w:t>
      </w:r>
      <w:r w:rsidRPr="008A28E4">
        <w:rPr>
          <w:rFonts w:ascii="Book Antiqua" w:eastAsia="宋体" w:hAnsi="Book Antiqua" w:cs="宋体"/>
          <w:sz w:val="24"/>
          <w:szCs w:val="24"/>
        </w:rPr>
        <w:t xml:space="preserve"> 2012; </w:t>
      </w:r>
      <w:r w:rsidRPr="008A28E4">
        <w:rPr>
          <w:rFonts w:ascii="Book Antiqua" w:eastAsia="宋体" w:hAnsi="Book Antiqua" w:cs="宋体"/>
          <w:b/>
          <w:bCs/>
          <w:sz w:val="24"/>
          <w:szCs w:val="24"/>
        </w:rPr>
        <w:t>79</w:t>
      </w:r>
      <w:r w:rsidRPr="008A28E4">
        <w:rPr>
          <w:rFonts w:ascii="Book Antiqua" w:eastAsia="宋体" w:hAnsi="Book Antiqua" w:cs="宋体"/>
          <w:sz w:val="24"/>
          <w:szCs w:val="24"/>
        </w:rPr>
        <w:t>: 1230-1235 [PMID: 22465084 DOI: 10.1016/j.urology.2012.01.027]</w:t>
      </w:r>
    </w:p>
    <w:p w:rsidR="00E503CC" w:rsidRPr="008A28E4" w:rsidRDefault="00E503CC" w:rsidP="008A28E4">
      <w:pPr>
        <w:spacing w:after="0" w:line="360" w:lineRule="auto"/>
        <w:jc w:val="both"/>
        <w:rPr>
          <w:rFonts w:ascii="Book Antiqua" w:eastAsia="宋体" w:hAnsi="Book Antiqua" w:cs="宋体"/>
          <w:sz w:val="24"/>
          <w:szCs w:val="24"/>
        </w:rPr>
      </w:pPr>
      <w:r w:rsidRPr="008A28E4">
        <w:rPr>
          <w:rFonts w:ascii="Book Antiqua" w:eastAsia="宋体" w:hAnsi="Book Antiqua" w:cs="宋体"/>
          <w:sz w:val="24"/>
          <w:szCs w:val="24"/>
        </w:rPr>
        <w:t xml:space="preserve">84 </w:t>
      </w:r>
      <w:r w:rsidRPr="008A28E4">
        <w:rPr>
          <w:rFonts w:ascii="Book Antiqua" w:eastAsia="宋体" w:hAnsi="Book Antiqua" w:cs="宋体"/>
          <w:b/>
          <w:bCs/>
          <w:sz w:val="24"/>
          <w:szCs w:val="24"/>
        </w:rPr>
        <w:t>Lipkin ME</w:t>
      </w:r>
      <w:r w:rsidRPr="008A28E4">
        <w:rPr>
          <w:rFonts w:ascii="Book Antiqua" w:eastAsia="宋体" w:hAnsi="Book Antiqua" w:cs="宋体"/>
          <w:sz w:val="24"/>
          <w:szCs w:val="24"/>
        </w:rPr>
        <w:t xml:space="preserve">, Mancini JG, Zilberman DE, Raymundo ME, Yong D, Ferrandino MN, Miller MJ, Yoshizumi TT, Preminger GM. Reduced radiation exposure with the use of an air retrograde pyelogram during fluoroscopic access for percutaneous nephrolithotomy. </w:t>
      </w:r>
      <w:r w:rsidRPr="008A28E4">
        <w:rPr>
          <w:rFonts w:ascii="Book Antiqua" w:eastAsia="宋体" w:hAnsi="Book Antiqua" w:cs="宋体"/>
          <w:i/>
          <w:iCs/>
          <w:sz w:val="24"/>
          <w:szCs w:val="24"/>
        </w:rPr>
        <w:t>J Endourol</w:t>
      </w:r>
      <w:r w:rsidRPr="008A28E4">
        <w:rPr>
          <w:rFonts w:ascii="Book Antiqua" w:eastAsia="宋体" w:hAnsi="Book Antiqua" w:cs="宋体"/>
          <w:sz w:val="24"/>
          <w:szCs w:val="24"/>
        </w:rPr>
        <w:t xml:space="preserve"> 2011; </w:t>
      </w:r>
      <w:r w:rsidRPr="008A28E4">
        <w:rPr>
          <w:rFonts w:ascii="Book Antiqua" w:eastAsia="宋体" w:hAnsi="Book Antiqua" w:cs="宋体"/>
          <w:b/>
          <w:bCs/>
          <w:sz w:val="24"/>
          <w:szCs w:val="24"/>
        </w:rPr>
        <w:t>25</w:t>
      </w:r>
      <w:r w:rsidRPr="008A28E4">
        <w:rPr>
          <w:rFonts w:ascii="Book Antiqua" w:eastAsia="宋体" w:hAnsi="Book Antiqua" w:cs="宋体"/>
          <w:sz w:val="24"/>
          <w:szCs w:val="24"/>
        </w:rPr>
        <w:t>: 563-567 [PMID: 21426236 DOI: 10.1089/end.2010.0431]</w:t>
      </w:r>
    </w:p>
    <w:p w:rsidR="00E503CC" w:rsidRPr="008A28E4" w:rsidRDefault="00E503CC" w:rsidP="008A28E4">
      <w:pPr>
        <w:spacing w:after="0" w:line="360" w:lineRule="auto"/>
        <w:jc w:val="both"/>
        <w:rPr>
          <w:rFonts w:ascii="Book Antiqua" w:eastAsia="宋体" w:hAnsi="Book Antiqua" w:cs="宋体"/>
          <w:sz w:val="24"/>
          <w:szCs w:val="24"/>
        </w:rPr>
      </w:pPr>
      <w:r w:rsidRPr="008A28E4">
        <w:rPr>
          <w:rFonts w:ascii="Book Antiqua" w:eastAsia="宋体" w:hAnsi="Book Antiqua" w:cs="宋体"/>
          <w:sz w:val="24"/>
          <w:szCs w:val="24"/>
        </w:rPr>
        <w:t xml:space="preserve">85 </w:t>
      </w:r>
      <w:r w:rsidRPr="008A28E4">
        <w:rPr>
          <w:rFonts w:ascii="Book Antiqua" w:eastAsia="宋体" w:hAnsi="Book Antiqua" w:cs="宋体"/>
          <w:b/>
          <w:bCs/>
          <w:sz w:val="24"/>
          <w:szCs w:val="24"/>
        </w:rPr>
        <w:t>Zeng G</w:t>
      </w:r>
      <w:r w:rsidRPr="008A28E4">
        <w:rPr>
          <w:rFonts w:ascii="Book Antiqua" w:eastAsia="宋体" w:hAnsi="Book Antiqua" w:cs="宋体"/>
          <w:sz w:val="24"/>
          <w:szCs w:val="24"/>
        </w:rPr>
        <w:t xml:space="preserve">, Zhao Z, Zhong W, Wu K, Chen W, Wu W, Xiao C, Liu Y. Evaluation of a novel fascial dilator modified with scale marker in percutaneous nephrolithotomy for reducing the X-ray exposure: a randomized clinical study. </w:t>
      </w:r>
      <w:r w:rsidRPr="008A28E4">
        <w:rPr>
          <w:rFonts w:ascii="Book Antiqua" w:eastAsia="宋体" w:hAnsi="Book Antiqua" w:cs="宋体"/>
          <w:i/>
          <w:iCs/>
          <w:sz w:val="24"/>
          <w:szCs w:val="24"/>
        </w:rPr>
        <w:t>J Endourol</w:t>
      </w:r>
      <w:r w:rsidRPr="008A28E4">
        <w:rPr>
          <w:rFonts w:ascii="Book Antiqua" w:eastAsia="宋体" w:hAnsi="Book Antiqua" w:cs="宋体"/>
          <w:sz w:val="24"/>
          <w:szCs w:val="24"/>
        </w:rPr>
        <w:t xml:space="preserve"> 2013; </w:t>
      </w:r>
      <w:r w:rsidRPr="008A28E4">
        <w:rPr>
          <w:rFonts w:ascii="Book Antiqua" w:eastAsia="宋体" w:hAnsi="Book Antiqua" w:cs="宋体"/>
          <w:b/>
          <w:bCs/>
          <w:sz w:val="24"/>
          <w:szCs w:val="24"/>
        </w:rPr>
        <w:t>27</w:t>
      </w:r>
      <w:r w:rsidRPr="008A28E4">
        <w:rPr>
          <w:rFonts w:ascii="Book Antiqua" w:eastAsia="宋体" w:hAnsi="Book Antiqua" w:cs="宋体"/>
          <w:sz w:val="24"/>
          <w:szCs w:val="24"/>
        </w:rPr>
        <w:t>: 1335-1340 [PMID: 23527890 DOI: 10.1089/end.2012.0671]</w:t>
      </w:r>
    </w:p>
    <w:p w:rsidR="00E503CC" w:rsidRPr="008A28E4" w:rsidRDefault="00E503CC" w:rsidP="008A28E4">
      <w:pPr>
        <w:spacing w:after="0" w:line="360" w:lineRule="auto"/>
        <w:jc w:val="both"/>
        <w:rPr>
          <w:rFonts w:ascii="Book Antiqua" w:eastAsia="宋体" w:hAnsi="Book Antiqua" w:cs="宋体"/>
          <w:sz w:val="24"/>
          <w:szCs w:val="24"/>
        </w:rPr>
      </w:pPr>
      <w:r w:rsidRPr="008A28E4">
        <w:rPr>
          <w:rFonts w:ascii="Book Antiqua" w:eastAsia="宋体" w:hAnsi="Book Antiqua" w:cs="宋体"/>
          <w:sz w:val="24"/>
          <w:szCs w:val="24"/>
        </w:rPr>
        <w:t xml:space="preserve">86 </w:t>
      </w:r>
      <w:r w:rsidRPr="008A28E4">
        <w:rPr>
          <w:rFonts w:ascii="Book Antiqua" w:eastAsia="宋体" w:hAnsi="Book Antiqua" w:cs="宋体"/>
          <w:b/>
          <w:bCs/>
          <w:sz w:val="24"/>
          <w:szCs w:val="24"/>
        </w:rPr>
        <w:t>El-Nahas AR</w:t>
      </w:r>
      <w:r w:rsidRPr="008A28E4">
        <w:rPr>
          <w:rFonts w:ascii="Book Antiqua" w:eastAsia="宋体" w:hAnsi="Book Antiqua" w:cs="宋体"/>
          <w:sz w:val="24"/>
          <w:szCs w:val="24"/>
        </w:rPr>
        <w:t xml:space="preserve">, Shokeir AA, El-Assmy AM, Shoma AM, Eraky I, El-Kenawy MR, El-Kappany HA. Colonic perforation during percutaneous nephrolithotomy: study of risk factors. </w:t>
      </w:r>
      <w:r w:rsidRPr="008A28E4">
        <w:rPr>
          <w:rFonts w:ascii="Book Antiqua" w:eastAsia="宋体" w:hAnsi="Book Antiqua" w:cs="宋体"/>
          <w:i/>
          <w:iCs/>
          <w:sz w:val="24"/>
          <w:szCs w:val="24"/>
        </w:rPr>
        <w:t>Urology</w:t>
      </w:r>
      <w:r w:rsidRPr="008A28E4">
        <w:rPr>
          <w:rFonts w:ascii="Book Antiqua" w:eastAsia="宋体" w:hAnsi="Book Antiqua" w:cs="宋体"/>
          <w:sz w:val="24"/>
          <w:szCs w:val="24"/>
        </w:rPr>
        <w:t xml:space="preserve"> 2006; </w:t>
      </w:r>
      <w:r w:rsidRPr="008A28E4">
        <w:rPr>
          <w:rFonts w:ascii="Book Antiqua" w:eastAsia="宋体" w:hAnsi="Book Antiqua" w:cs="宋体"/>
          <w:b/>
          <w:bCs/>
          <w:sz w:val="24"/>
          <w:szCs w:val="24"/>
        </w:rPr>
        <w:t>67</w:t>
      </w:r>
      <w:r w:rsidRPr="008A28E4">
        <w:rPr>
          <w:rFonts w:ascii="Book Antiqua" w:eastAsia="宋体" w:hAnsi="Book Antiqua" w:cs="宋体"/>
          <w:sz w:val="24"/>
          <w:szCs w:val="24"/>
        </w:rPr>
        <w:t>: 937-941 [PMID: 16635515 DOI: 10.1016/j.urology.2005.11.025]</w:t>
      </w:r>
    </w:p>
    <w:p w:rsidR="00E503CC" w:rsidRPr="008A28E4" w:rsidRDefault="00E503CC" w:rsidP="008A28E4">
      <w:pPr>
        <w:spacing w:after="0" w:line="360" w:lineRule="auto"/>
        <w:jc w:val="both"/>
        <w:rPr>
          <w:rFonts w:ascii="Book Antiqua" w:eastAsia="宋体" w:hAnsi="Book Antiqua" w:cs="宋体"/>
          <w:sz w:val="24"/>
          <w:szCs w:val="24"/>
        </w:rPr>
      </w:pPr>
      <w:r w:rsidRPr="008A28E4">
        <w:rPr>
          <w:rFonts w:ascii="Book Antiqua" w:eastAsia="宋体" w:hAnsi="Book Antiqua" w:cs="宋体"/>
          <w:sz w:val="24"/>
          <w:szCs w:val="24"/>
        </w:rPr>
        <w:t xml:space="preserve">87 </w:t>
      </w:r>
      <w:r w:rsidRPr="008A28E4">
        <w:rPr>
          <w:rFonts w:ascii="Book Antiqua" w:eastAsia="宋体" w:hAnsi="Book Antiqua" w:cs="宋体"/>
          <w:b/>
          <w:bCs/>
          <w:sz w:val="24"/>
          <w:szCs w:val="24"/>
        </w:rPr>
        <w:t>Korkes F</w:t>
      </w:r>
      <w:r w:rsidRPr="008A28E4">
        <w:rPr>
          <w:rFonts w:ascii="Book Antiqua" w:eastAsia="宋体" w:hAnsi="Book Antiqua" w:cs="宋体"/>
          <w:sz w:val="24"/>
          <w:szCs w:val="24"/>
        </w:rPr>
        <w:t xml:space="preserve">, Lopes Neto AC, Lucio J, Bezerra CA, Wroklawski ER. Management of colon injury after percutaneous renal surgery. </w:t>
      </w:r>
      <w:r w:rsidRPr="008A28E4">
        <w:rPr>
          <w:rFonts w:ascii="Book Antiqua" w:eastAsia="宋体" w:hAnsi="Book Antiqua" w:cs="宋体"/>
          <w:i/>
          <w:iCs/>
          <w:sz w:val="24"/>
          <w:szCs w:val="24"/>
        </w:rPr>
        <w:t>J Endourol</w:t>
      </w:r>
      <w:r w:rsidRPr="008A28E4">
        <w:rPr>
          <w:rFonts w:ascii="Book Antiqua" w:eastAsia="宋体" w:hAnsi="Book Antiqua" w:cs="宋体"/>
          <w:sz w:val="24"/>
          <w:szCs w:val="24"/>
        </w:rPr>
        <w:t xml:space="preserve"> 2009; </w:t>
      </w:r>
      <w:r w:rsidRPr="008A28E4">
        <w:rPr>
          <w:rFonts w:ascii="Book Antiqua" w:eastAsia="宋体" w:hAnsi="Book Antiqua" w:cs="宋体"/>
          <w:b/>
          <w:bCs/>
          <w:sz w:val="24"/>
          <w:szCs w:val="24"/>
        </w:rPr>
        <w:t>23</w:t>
      </w:r>
      <w:r w:rsidRPr="008A28E4">
        <w:rPr>
          <w:rFonts w:ascii="Book Antiqua" w:eastAsia="宋体" w:hAnsi="Book Antiqua" w:cs="宋体"/>
          <w:sz w:val="24"/>
          <w:szCs w:val="24"/>
        </w:rPr>
        <w:t>: 569-573 [PMID: 19335215 DOI: 10.1089/end.2008.0506]</w:t>
      </w:r>
    </w:p>
    <w:p w:rsidR="00E503CC" w:rsidRPr="008A28E4" w:rsidRDefault="00E503CC" w:rsidP="008A28E4">
      <w:pPr>
        <w:spacing w:after="0" w:line="360" w:lineRule="auto"/>
        <w:jc w:val="both"/>
        <w:rPr>
          <w:rFonts w:ascii="Book Antiqua" w:eastAsia="宋体" w:hAnsi="Book Antiqua" w:cs="宋体"/>
          <w:sz w:val="24"/>
          <w:szCs w:val="24"/>
        </w:rPr>
      </w:pPr>
      <w:r w:rsidRPr="008A28E4">
        <w:rPr>
          <w:rFonts w:ascii="Book Antiqua" w:eastAsia="宋体" w:hAnsi="Book Antiqua" w:cs="宋体"/>
          <w:sz w:val="24"/>
          <w:szCs w:val="24"/>
        </w:rPr>
        <w:t xml:space="preserve">88 </w:t>
      </w:r>
      <w:r w:rsidRPr="008A28E4">
        <w:rPr>
          <w:rFonts w:ascii="Book Antiqua" w:eastAsia="宋体" w:hAnsi="Book Antiqua" w:cs="宋体"/>
          <w:b/>
          <w:sz w:val="24"/>
          <w:szCs w:val="24"/>
        </w:rPr>
        <w:t>Maheshwari PN.</w:t>
      </w:r>
      <w:r w:rsidRPr="008A28E4">
        <w:rPr>
          <w:rFonts w:ascii="Book Antiqua" w:eastAsia="宋体" w:hAnsi="Book Antiqua" w:cs="宋体"/>
          <w:sz w:val="24"/>
          <w:szCs w:val="24"/>
        </w:rPr>
        <w:t xml:space="preserve"> Retro-renal colon: Is it an acquired anomaly? </w:t>
      </w:r>
      <w:r w:rsidRPr="008A28E4">
        <w:rPr>
          <w:rFonts w:ascii="Book Antiqua" w:eastAsia="宋体" w:hAnsi="Book Antiqua" w:cs="宋体"/>
          <w:i/>
          <w:sz w:val="24"/>
          <w:szCs w:val="24"/>
        </w:rPr>
        <w:t>J Endourol</w:t>
      </w:r>
      <w:r w:rsidRPr="008A28E4">
        <w:rPr>
          <w:rFonts w:ascii="Book Antiqua" w:eastAsia="宋体" w:hAnsi="Book Antiqua" w:cs="宋体"/>
          <w:sz w:val="24"/>
          <w:szCs w:val="24"/>
        </w:rPr>
        <w:t xml:space="preserve"> 2011; </w:t>
      </w:r>
      <w:r w:rsidRPr="008A28E4">
        <w:rPr>
          <w:rFonts w:ascii="Book Antiqua" w:eastAsia="宋体" w:hAnsi="Book Antiqua" w:cs="宋体"/>
          <w:b/>
          <w:sz w:val="24"/>
          <w:szCs w:val="24"/>
        </w:rPr>
        <w:t>28</w:t>
      </w:r>
      <w:r w:rsidRPr="008A28E4">
        <w:rPr>
          <w:rFonts w:ascii="Book Antiqua" w:eastAsia="宋体" w:hAnsi="Book Antiqua" w:cs="宋体"/>
          <w:sz w:val="24"/>
          <w:szCs w:val="24"/>
        </w:rPr>
        <w:t>: A16U</w:t>
      </w:r>
    </w:p>
    <w:p w:rsidR="00E503CC" w:rsidRPr="008A28E4" w:rsidRDefault="00E503CC" w:rsidP="008A28E4">
      <w:pPr>
        <w:spacing w:after="0" w:line="360" w:lineRule="auto"/>
        <w:jc w:val="both"/>
        <w:rPr>
          <w:rFonts w:ascii="Book Antiqua" w:eastAsia="宋体" w:hAnsi="Book Antiqua" w:cs="宋体"/>
          <w:sz w:val="24"/>
          <w:szCs w:val="24"/>
        </w:rPr>
      </w:pPr>
      <w:r w:rsidRPr="008A28E4">
        <w:rPr>
          <w:rFonts w:ascii="Book Antiqua" w:eastAsia="宋体" w:hAnsi="Book Antiqua" w:cs="宋体"/>
          <w:sz w:val="24"/>
          <w:szCs w:val="24"/>
        </w:rPr>
        <w:t xml:space="preserve">89 </w:t>
      </w:r>
      <w:r w:rsidRPr="008A28E4">
        <w:rPr>
          <w:rFonts w:ascii="Book Antiqua" w:eastAsia="宋体" w:hAnsi="Book Antiqua" w:cs="宋体"/>
          <w:b/>
          <w:bCs/>
          <w:sz w:val="24"/>
          <w:szCs w:val="24"/>
        </w:rPr>
        <w:t>El-Nahas AR</w:t>
      </w:r>
      <w:r w:rsidRPr="008A28E4">
        <w:rPr>
          <w:rFonts w:ascii="Book Antiqua" w:eastAsia="宋体" w:hAnsi="Book Antiqua" w:cs="宋体"/>
          <w:sz w:val="24"/>
          <w:szCs w:val="24"/>
        </w:rPr>
        <w:t xml:space="preserve">, Mansour AM, Ellaithy R, Abol-Enein H. Case report: conservative treatment of liver injury during percutaneous nephrolithotomy. </w:t>
      </w:r>
      <w:r w:rsidRPr="008A28E4">
        <w:rPr>
          <w:rFonts w:ascii="Book Antiqua" w:eastAsia="宋体" w:hAnsi="Book Antiqua" w:cs="宋体"/>
          <w:i/>
          <w:iCs/>
          <w:sz w:val="24"/>
          <w:szCs w:val="24"/>
        </w:rPr>
        <w:t>J Endourol</w:t>
      </w:r>
      <w:r w:rsidRPr="008A28E4">
        <w:rPr>
          <w:rFonts w:ascii="Book Antiqua" w:eastAsia="宋体" w:hAnsi="Book Antiqua" w:cs="宋体"/>
          <w:sz w:val="24"/>
          <w:szCs w:val="24"/>
        </w:rPr>
        <w:t xml:space="preserve"> 2008; </w:t>
      </w:r>
      <w:r w:rsidRPr="008A28E4">
        <w:rPr>
          <w:rFonts w:ascii="Book Antiqua" w:eastAsia="宋体" w:hAnsi="Book Antiqua" w:cs="宋体"/>
          <w:b/>
          <w:bCs/>
          <w:sz w:val="24"/>
          <w:szCs w:val="24"/>
        </w:rPr>
        <w:t>22</w:t>
      </w:r>
      <w:r w:rsidRPr="008A28E4">
        <w:rPr>
          <w:rFonts w:ascii="Book Antiqua" w:eastAsia="宋体" w:hAnsi="Book Antiqua" w:cs="宋体"/>
          <w:sz w:val="24"/>
          <w:szCs w:val="24"/>
        </w:rPr>
        <w:t>: 1649-1652 [PMID: 18657040]</w:t>
      </w:r>
    </w:p>
    <w:p w:rsidR="00E503CC" w:rsidRPr="008A28E4" w:rsidRDefault="00E503CC" w:rsidP="008A28E4">
      <w:pPr>
        <w:spacing w:after="0" w:line="360" w:lineRule="auto"/>
        <w:jc w:val="both"/>
        <w:rPr>
          <w:rFonts w:ascii="Book Antiqua" w:eastAsia="宋体" w:hAnsi="Book Antiqua" w:cs="宋体"/>
          <w:sz w:val="24"/>
          <w:szCs w:val="24"/>
        </w:rPr>
      </w:pPr>
      <w:r w:rsidRPr="008A28E4">
        <w:rPr>
          <w:rFonts w:ascii="Book Antiqua" w:eastAsia="宋体" w:hAnsi="Book Antiqua" w:cs="宋体"/>
          <w:sz w:val="24"/>
          <w:szCs w:val="24"/>
        </w:rPr>
        <w:t xml:space="preserve">90 </w:t>
      </w:r>
      <w:r w:rsidRPr="008A28E4">
        <w:rPr>
          <w:rFonts w:ascii="Book Antiqua" w:eastAsia="宋体" w:hAnsi="Book Antiqua" w:cs="宋体"/>
          <w:b/>
          <w:bCs/>
          <w:sz w:val="24"/>
          <w:szCs w:val="24"/>
        </w:rPr>
        <w:t>Shah HN</w:t>
      </w:r>
      <w:r w:rsidRPr="008A28E4">
        <w:rPr>
          <w:rFonts w:ascii="Book Antiqua" w:eastAsia="宋体" w:hAnsi="Book Antiqua" w:cs="宋体"/>
          <w:sz w:val="24"/>
          <w:szCs w:val="24"/>
        </w:rPr>
        <w:t xml:space="preserve">, Hegde SS, Mahajan AP, Sodha H, Shah R, Bansal M. Splenic injury: rare complication of percutaneous nephrolithotomy: report of two cases with review of literature. </w:t>
      </w:r>
      <w:r w:rsidRPr="008A28E4">
        <w:rPr>
          <w:rFonts w:ascii="Book Antiqua" w:eastAsia="宋体" w:hAnsi="Book Antiqua" w:cs="宋体"/>
          <w:i/>
          <w:iCs/>
          <w:sz w:val="24"/>
          <w:szCs w:val="24"/>
        </w:rPr>
        <w:t>J Endourol</w:t>
      </w:r>
      <w:r w:rsidRPr="008A28E4">
        <w:rPr>
          <w:rFonts w:ascii="Book Antiqua" w:eastAsia="宋体" w:hAnsi="Book Antiqua" w:cs="宋体"/>
          <w:sz w:val="24"/>
          <w:szCs w:val="24"/>
        </w:rPr>
        <w:t xml:space="preserve"> 2007; </w:t>
      </w:r>
      <w:r w:rsidRPr="008A28E4">
        <w:rPr>
          <w:rFonts w:ascii="Book Antiqua" w:eastAsia="宋体" w:hAnsi="Book Antiqua" w:cs="宋体"/>
          <w:b/>
          <w:bCs/>
          <w:sz w:val="24"/>
          <w:szCs w:val="24"/>
        </w:rPr>
        <w:t>21</w:t>
      </w:r>
      <w:r w:rsidRPr="008A28E4">
        <w:rPr>
          <w:rFonts w:ascii="Book Antiqua" w:eastAsia="宋体" w:hAnsi="Book Antiqua" w:cs="宋体"/>
          <w:sz w:val="24"/>
          <w:szCs w:val="24"/>
        </w:rPr>
        <w:t>: 919-922 [PMID: 17867954]</w:t>
      </w:r>
    </w:p>
    <w:p w:rsidR="00E503CC" w:rsidRPr="008A28E4" w:rsidRDefault="00E503CC" w:rsidP="008A28E4">
      <w:pPr>
        <w:spacing w:after="0" w:line="360" w:lineRule="auto"/>
        <w:jc w:val="both"/>
        <w:rPr>
          <w:rFonts w:ascii="Book Antiqua" w:eastAsia="宋体" w:hAnsi="Book Antiqua" w:cs="宋体"/>
          <w:sz w:val="24"/>
          <w:szCs w:val="24"/>
        </w:rPr>
      </w:pPr>
      <w:r w:rsidRPr="008A28E4">
        <w:rPr>
          <w:rFonts w:ascii="Book Antiqua" w:eastAsia="宋体" w:hAnsi="Book Antiqua" w:cs="宋体"/>
          <w:sz w:val="24"/>
          <w:szCs w:val="24"/>
        </w:rPr>
        <w:t xml:space="preserve">91 </w:t>
      </w:r>
      <w:r w:rsidRPr="008A28E4">
        <w:rPr>
          <w:rFonts w:ascii="Book Antiqua" w:eastAsia="宋体" w:hAnsi="Book Antiqua" w:cs="宋体"/>
          <w:b/>
          <w:bCs/>
          <w:sz w:val="24"/>
          <w:szCs w:val="24"/>
        </w:rPr>
        <w:t>Maheshwari PN</w:t>
      </w:r>
      <w:r w:rsidRPr="008A28E4">
        <w:rPr>
          <w:rFonts w:ascii="Book Antiqua" w:eastAsia="宋体" w:hAnsi="Book Antiqua" w:cs="宋体"/>
          <w:sz w:val="24"/>
          <w:szCs w:val="24"/>
        </w:rPr>
        <w:t xml:space="preserve">, Mane DA, Pathak AB. Management of pleural injury after percutaneous renal surgery. </w:t>
      </w:r>
      <w:r w:rsidRPr="008A28E4">
        <w:rPr>
          <w:rFonts w:ascii="Book Antiqua" w:eastAsia="宋体" w:hAnsi="Book Antiqua" w:cs="宋体"/>
          <w:i/>
          <w:iCs/>
          <w:sz w:val="24"/>
          <w:szCs w:val="24"/>
        </w:rPr>
        <w:t>J Endourol</w:t>
      </w:r>
      <w:r w:rsidRPr="008A28E4">
        <w:rPr>
          <w:rFonts w:ascii="Book Antiqua" w:eastAsia="宋体" w:hAnsi="Book Antiqua" w:cs="宋体"/>
          <w:sz w:val="24"/>
          <w:szCs w:val="24"/>
        </w:rPr>
        <w:t xml:space="preserve"> 2009; </w:t>
      </w:r>
      <w:r w:rsidRPr="008A28E4">
        <w:rPr>
          <w:rFonts w:ascii="Book Antiqua" w:eastAsia="宋体" w:hAnsi="Book Antiqua" w:cs="宋体"/>
          <w:b/>
          <w:bCs/>
          <w:sz w:val="24"/>
          <w:szCs w:val="24"/>
        </w:rPr>
        <w:t>23</w:t>
      </w:r>
      <w:r w:rsidRPr="008A28E4">
        <w:rPr>
          <w:rFonts w:ascii="Book Antiqua" w:eastAsia="宋体" w:hAnsi="Book Antiqua" w:cs="宋体"/>
          <w:sz w:val="24"/>
          <w:szCs w:val="24"/>
        </w:rPr>
        <w:t>: 1769-1772 [PMID: 19785558 DOI: 10.1089/end.2009.1549]</w:t>
      </w:r>
    </w:p>
    <w:p w:rsidR="00E503CC" w:rsidRPr="008A28E4" w:rsidRDefault="00E503CC" w:rsidP="008A28E4">
      <w:pPr>
        <w:spacing w:after="0" w:line="360" w:lineRule="auto"/>
        <w:jc w:val="both"/>
        <w:rPr>
          <w:rFonts w:ascii="Book Antiqua" w:eastAsia="宋体" w:hAnsi="Book Antiqua" w:cs="宋体"/>
          <w:sz w:val="24"/>
          <w:szCs w:val="24"/>
        </w:rPr>
      </w:pPr>
      <w:r w:rsidRPr="008A28E4">
        <w:rPr>
          <w:rFonts w:ascii="Book Antiqua" w:eastAsia="宋体" w:hAnsi="Book Antiqua" w:cs="宋体"/>
          <w:sz w:val="24"/>
          <w:szCs w:val="24"/>
        </w:rPr>
        <w:t xml:space="preserve">92 </w:t>
      </w:r>
      <w:r w:rsidRPr="008A28E4">
        <w:rPr>
          <w:rFonts w:ascii="Book Antiqua" w:eastAsia="宋体" w:hAnsi="Book Antiqua" w:cs="宋体"/>
          <w:b/>
          <w:bCs/>
          <w:sz w:val="24"/>
          <w:szCs w:val="24"/>
        </w:rPr>
        <w:t>Sukumar S</w:t>
      </w:r>
      <w:r w:rsidRPr="008A28E4">
        <w:rPr>
          <w:rFonts w:ascii="Book Antiqua" w:eastAsia="宋体" w:hAnsi="Book Antiqua" w:cs="宋体"/>
          <w:sz w:val="24"/>
          <w:szCs w:val="24"/>
        </w:rPr>
        <w:t xml:space="preserve">, Nair B, Ginil KP, Sanjeevan KV, Sanjay BH. Supracostal access for percutaneous nephrolithotomy: less morbid, more effective. </w:t>
      </w:r>
      <w:r w:rsidRPr="008A28E4">
        <w:rPr>
          <w:rFonts w:ascii="Book Antiqua" w:eastAsia="宋体" w:hAnsi="Book Antiqua" w:cs="宋体"/>
          <w:i/>
          <w:iCs/>
          <w:sz w:val="24"/>
          <w:szCs w:val="24"/>
        </w:rPr>
        <w:t>Int Urol Nephrol</w:t>
      </w:r>
      <w:r w:rsidRPr="008A28E4">
        <w:rPr>
          <w:rFonts w:ascii="Book Antiqua" w:eastAsia="宋体" w:hAnsi="Book Antiqua" w:cs="宋体"/>
          <w:sz w:val="24"/>
          <w:szCs w:val="24"/>
        </w:rPr>
        <w:t xml:space="preserve"> 2008; </w:t>
      </w:r>
      <w:r w:rsidRPr="008A28E4">
        <w:rPr>
          <w:rFonts w:ascii="Book Antiqua" w:eastAsia="宋体" w:hAnsi="Book Antiqua" w:cs="宋体"/>
          <w:b/>
          <w:bCs/>
          <w:sz w:val="24"/>
          <w:szCs w:val="24"/>
        </w:rPr>
        <w:t>40</w:t>
      </w:r>
      <w:r w:rsidRPr="008A28E4">
        <w:rPr>
          <w:rFonts w:ascii="Book Antiqua" w:eastAsia="宋体" w:hAnsi="Book Antiqua" w:cs="宋体"/>
          <w:sz w:val="24"/>
          <w:szCs w:val="24"/>
        </w:rPr>
        <w:t>: 263-267 [PMID: 17899435 DOI: 10.1007/s11255-007-9270-2]</w:t>
      </w:r>
    </w:p>
    <w:p w:rsidR="00E503CC" w:rsidRPr="008A28E4" w:rsidRDefault="00E503CC" w:rsidP="008A28E4">
      <w:pPr>
        <w:spacing w:after="0" w:line="360" w:lineRule="auto"/>
        <w:jc w:val="both"/>
        <w:rPr>
          <w:rFonts w:ascii="Book Antiqua" w:eastAsia="宋体" w:hAnsi="Book Antiqua" w:cs="宋体"/>
          <w:sz w:val="24"/>
          <w:szCs w:val="24"/>
        </w:rPr>
      </w:pPr>
      <w:r w:rsidRPr="008A28E4">
        <w:rPr>
          <w:rFonts w:ascii="Book Antiqua" w:eastAsia="宋体" w:hAnsi="Book Antiqua" w:cs="宋体"/>
          <w:sz w:val="24"/>
          <w:szCs w:val="24"/>
        </w:rPr>
        <w:t xml:space="preserve">93 </w:t>
      </w:r>
      <w:r w:rsidRPr="008A28E4">
        <w:rPr>
          <w:rFonts w:ascii="Book Antiqua" w:eastAsia="宋体" w:hAnsi="Book Antiqua" w:cs="宋体"/>
          <w:b/>
          <w:bCs/>
          <w:sz w:val="24"/>
          <w:szCs w:val="24"/>
        </w:rPr>
        <w:t>Stening SG</w:t>
      </w:r>
      <w:r w:rsidRPr="008A28E4">
        <w:rPr>
          <w:rFonts w:ascii="Book Antiqua" w:eastAsia="宋体" w:hAnsi="Book Antiqua" w:cs="宋体"/>
          <w:sz w:val="24"/>
          <w:szCs w:val="24"/>
        </w:rPr>
        <w:t xml:space="preserve">, Bourne S. Supracostal percutaneous nephrolithotomy for upper pole caliceal calculi. </w:t>
      </w:r>
      <w:r w:rsidRPr="008A28E4">
        <w:rPr>
          <w:rFonts w:ascii="Book Antiqua" w:eastAsia="宋体" w:hAnsi="Book Antiqua" w:cs="宋体"/>
          <w:i/>
          <w:iCs/>
          <w:sz w:val="24"/>
          <w:szCs w:val="24"/>
        </w:rPr>
        <w:t>J Endourol</w:t>
      </w:r>
      <w:r w:rsidRPr="008A28E4">
        <w:rPr>
          <w:rFonts w:ascii="Book Antiqua" w:eastAsia="宋体" w:hAnsi="Book Antiqua" w:cs="宋体"/>
          <w:sz w:val="24"/>
          <w:szCs w:val="24"/>
        </w:rPr>
        <w:t xml:space="preserve"> 1998; </w:t>
      </w:r>
      <w:r w:rsidRPr="008A28E4">
        <w:rPr>
          <w:rFonts w:ascii="Book Antiqua" w:eastAsia="宋体" w:hAnsi="Book Antiqua" w:cs="宋体"/>
          <w:b/>
          <w:bCs/>
          <w:sz w:val="24"/>
          <w:szCs w:val="24"/>
        </w:rPr>
        <w:t>12</w:t>
      </w:r>
      <w:r w:rsidRPr="008A28E4">
        <w:rPr>
          <w:rFonts w:ascii="Book Antiqua" w:eastAsia="宋体" w:hAnsi="Book Antiqua" w:cs="宋体"/>
          <w:sz w:val="24"/>
          <w:szCs w:val="24"/>
        </w:rPr>
        <w:t>: 359-362 [PMID: 9726403 DOI: 10.1089/end.1998.12.359]</w:t>
      </w:r>
    </w:p>
    <w:p w:rsidR="00E503CC" w:rsidRPr="008A28E4" w:rsidRDefault="00E503CC" w:rsidP="008A28E4">
      <w:pPr>
        <w:spacing w:after="0" w:line="360" w:lineRule="auto"/>
        <w:jc w:val="both"/>
        <w:rPr>
          <w:rFonts w:ascii="Book Antiqua" w:eastAsia="宋体" w:hAnsi="Book Antiqua" w:cs="宋体"/>
          <w:sz w:val="24"/>
          <w:szCs w:val="24"/>
        </w:rPr>
      </w:pPr>
      <w:r w:rsidRPr="008A28E4">
        <w:rPr>
          <w:rFonts w:ascii="Book Antiqua" w:eastAsia="宋体" w:hAnsi="Book Antiqua" w:cs="宋体"/>
          <w:sz w:val="24"/>
          <w:szCs w:val="24"/>
        </w:rPr>
        <w:t xml:space="preserve">94 </w:t>
      </w:r>
      <w:r w:rsidRPr="008A28E4">
        <w:rPr>
          <w:rFonts w:ascii="Book Antiqua" w:eastAsia="宋体" w:hAnsi="Book Antiqua" w:cs="宋体"/>
          <w:b/>
          <w:bCs/>
          <w:sz w:val="24"/>
          <w:szCs w:val="24"/>
        </w:rPr>
        <w:t>Finelli A</w:t>
      </w:r>
      <w:r w:rsidRPr="008A28E4">
        <w:rPr>
          <w:rFonts w:ascii="Book Antiqua" w:eastAsia="宋体" w:hAnsi="Book Antiqua" w:cs="宋体"/>
          <w:sz w:val="24"/>
          <w:szCs w:val="24"/>
        </w:rPr>
        <w:t xml:space="preserve">, Honey RJ. Thoracoscopy-assisted high intercostal percutaneous renal access. </w:t>
      </w:r>
      <w:r w:rsidRPr="008A28E4">
        <w:rPr>
          <w:rFonts w:ascii="Book Antiqua" w:eastAsia="宋体" w:hAnsi="Book Antiqua" w:cs="宋体"/>
          <w:i/>
          <w:iCs/>
          <w:sz w:val="24"/>
          <w:szCs w:val="24"/>
        </w:rPr>
        <w:t>J Endourol</w:t>
      </w:r>
      <w:r w:rsidRPr="008A28E4">
        <w:rPr>
          <w:rFonts w:ascii="Book Antiqua" w:eastAsia="宋体" w:hAnsi="Book Antiqua" w:cs="宋体"/>
          <w:sz w:val="24"/>
          <w:szCs w:val="24"/>
        </w:rPr>
        <w:t xml:space="preserve"> 2001; </w:t>
      </w:r>
      <w:r w:rsidRPr="008A28E4">
        <w:rPr>
          <w:rFonts w:ascii="Book Antiqua" w:eastAsia="宋体" w:hAnsi="Book Antiqua" w:cs="宋体"/>
          <w:b/>
          <w:bCs/>
          <w:sz w:val="24"/>
          <w:szCs w:val="24"/>
        </w:rPr>
        <w:t>15</w:t>
      </w:r>
      <w:r w:rsidRPr="008A28E4">
        <w:rPr>
          <w:rFonts w:ascii="Book Antiqua" w:eastAsia="宋体" w:hAnsi="Book Antiqua" w:cs="宋体"/>
          <w:sz w:val="24"/>
          <w:szCs w:val="24"/>
        </w:rPr>
        <w:t>: 581-5</w:t>
      </w:r>
      <w:r w:rsidR="00602B09">
        <w:rPr>
          <w:rFonts w:ascii="Book Antiqua" w:eastAsia="宋体" w:hAnsi="Book Antiqua" w:cs="宋体" w:hint="eastAsia"/>
          <w:sz w:val="24"/>
          <w:szCs w:val="24"/>
          <w:lang w:eastAsia="zh-CN"/>
        </w:rPr>
        <w:t>8</w:t>
      </w:r>
      <w:r w:rsidRPr="008A28E4">
        <w:rPr>
          <w:rFonts w:ascii="Book Antiqua" w:eastAsia="宋体" w:hAnsi="Book Antiqua" w:cs="宋体"/>
          <w:sz w:val="24"/>
          <w:szCs w:val="24"/>
        </w:rPr>
        <w:t>4; discussion 58</w:t>
      </w:r>
      <w:r w:rsidR="00602B09">
        <w:rPr>
          <w:rFonts w:ascii="Book Antiqua" w:eastAsia="宋体" w:hAnsi="Book Antiqua" w:cs="宋体" w:hint="eastAsia"/>
          <w:sz w:val="24"/>
          <w:szCs w:val="24"/>
          <w:lang w:eastAsia="zh-CN"/>
        </w:rPr>
        <w:t>4</w:t>
      </w:r>
      <w:r w:rsidRPr="008A28E4">
        <w:rPr>
          <w:rFonts w:ascii="Book Antiqua" w:eastAsia="宋体" w:hAnsi="Book Antiqua" w:cs="宋体"/>
          <w:sz w:val="24"/>
          <w:szCs w:val="24"/>
        </w:rPr>
        <w:t>-5</w:t>
      </w:r>
      <w:r w:rsidR="00602B09">
        <w:rPr>
          <w:rFonts w:ascii="Book Antiqua" w:eastAsia="宋体" w:hAnsi="Book Antiqua" w:cs="宋体" w:hint="eastAsia"/>
          <w:sz w:val="24"/>
          <w:szCs w:val="24"/>
          <w:lang w:eastAsia="zh-CN"/>
        </w:rPr>
        <w:t>85</w:t>
      </w:r>
      <w:r w:rsidRPr="008A28E4">
        <w:rPr>
          <w:rFonts w:ascii="Book Antiqua" w:eastAsia="宋体" w:hAnsi="Book Antiqua" w:cs="宋体"/>
          <w:sz w:val="24"/>
          <w:szCs w:val="24"/>
        </w:rPr>
        <w:t xml:space="preserve"> [PMID: 11552780 DOI: 10.1089/089277901750426337]</w:t>
      </w:r>
    </w:p>
    <w:p w:rsidR="00E503CC" w:rsidRPr="008A28E4" w:rsidRDefault="00E503CC" w:rsidP="008A28E4">
      <w:pPr>
        <w:spacing w:after="0" w:line="360" w:lineRule="auto"/>
        <w:jc w:val="both"/>
        <w:rPr>
          <w:rFonts w:ascii="Book Antiqua" w:eastAsia="宋体" w:hAnsi="Book Antiqua" w:cs="宋体"/>
          <w:sz w:val="24"/>
          <w:szCs w:val="24"/>
        </w:rPr>
      </w:pPr>
      <w:r w:rsidRPr="008A28E4">
        <w:rPr>
          <w:rFonts w:ascii="Book Antiqua" w:eastAsia="宋体" w:hAnsi="Book Antiqua" w:cs="宋体"/>
          <w:sz w:val="24"/>
          <w:szCs w:val="24"/>
        </w:rPr>
        <w:t xml:space="preserve">95 </w:t>
      </w:r>
      <w:r w:rsidRPr="008A28E4">
        <w:rPr>
          <w:rFonts w:ascii="Book Antiqua" w:eastAsia="宋体" w:hAnsi="Book Antiqua" w:cs="宋体"/>
          <w:b/>
          <w:bCs/>
          <w:sz w:val="24"/>
          <w:szCs w:val="24"/>
        </w:rPr>
        <w:t>Ogan K</w:t>
      </w:r>
      <w:r w:rsidRPr="008A28E4">
        <w:rPr>
          <w:rFonts w:ascii="Book Antiqua" w:eastAsia="宋体" w:hAnsi="Book Antiqua" w:cs="宋体"/>
          <w:sz w:val="24"/>
          <w:szCs w:val="24"/>
        </w:rPr>
        <w:t xml:space="preserve">, Corwin TS, Smith T, Watumull LM, Mullican MA, Cadeddu JA, Pearle MS. Sensitivity of chest fluoroscopy compared with chest CT and chest radiography for diagnosing hydropneumothorax in association with percutaneous nephrostolithotomy. </w:t>
      </w:r>
      <w:r w:rsidRPr="008A28E4">
        <w:rPr>
          <w:rFonts w:ascii="Book Antiqua" w:eastAsia="宋体" w:hAnsi="Book Antiqua" w:cs="宋体"/>
          <w:i/>
          <w:iCs/>
          <w:sz w:val="24"/>
          <w:szCs w:val="24"/>
        </w:rPr>
        <w:t>Urology</w:t>
      </w:r>
      <w:r w:rsidRPr="008A28E4">
        <w:rPr>
          <w:rFonts w:ascii="Book Antiqua" w:eastAsia="宋体" w:hAnsi="Book Antiqua" w:cs="宋体"/>
          <w:sz w:val="24"/>
          <w:szCs w:val="24"/>
        </w:rPr>
        <w:t xml:space="preserve"> 2003; </w:t>
      </w:r>
      <w:r w:rsidRPr="008A28E4">
        <w:rPr>
          <w:rFonts w:ascii="Book Antiqua" w:eastAsia="宋体" w:hAnsi="Book Antiqua" w:cs="宋体"/>
          <w:b/>
          <w:bCs/>
          <w:sz w:val="24"/>
          <w:szCs w:val="24"/>
        </w:rPr>
        <w:t>62</w:t>
      </w:r>
      <w:r w:rsidRPr="008A28E4">
        <w:rPr>
          <w:rFonts w:ascii="Book Antiqua" w:eastAsia="宋体" w:hAnsi="Book Antiqua" w:cs="宋体"/>
          <w:sz w:val="24"/>
          <w:szCs w:val="24"/>
        </w:rPr>
        <w:t>: 988-992 [PMID: 14665341 DOI: 10.1016/j.urology.2003.07.024]</w:t>
      </w:r>
    </w:p>
    <w:p w:rsidR="00E503CC" w:rsidRPr="008A28E4" w:rsidRDefault="00E503CC" w:rsidP="008A28E4">
      <w:pPr>
        <w:spacing w:after="0" w:line="360" w:lineRule="auto"/>
        <w:jc w:val="both"/>
        <w:rPr>
          <w:rFonts w:ascii="Book Antiqua" w:eastAsia="宋体" w:hAnsi="Book Antiqua" w:cs="宋体"/>
          <w:sz w:val="24"/>
          <w:szCs w:val="24"/>
        </w:rPr>
      </w:pPr>
      <w:r w:rsidRPr="008A28E4">
        <w:rPr>
          <w:rFonts w:ascii="Book Antiqua" w:eastAsia="宋体" w:hAnsi="Book Antiqua" w:cs="宋体"/>
          <w:sz w:val="24"/>
          <w:szCs w:val="24"/>
        </w:rPr>
        <w:t xml:space="preserve">96 </w:t>
      </w:r>
      <w:r w:rsidRPr="008A28E4">
        <w:rPr>
          <w:rFonts w:ascii="Book Antiqua" w:eastAsia="宋体" w:hAnsi="Book Antiqua" w:cs="宋体"/>
          <w:b/>
          <w:sz w:val="24"/>
          <w:szCs w:val="24"/>
        </w:rPr>
        <w:t>Zagoria RJ,</w:t>
      </w:r>
      <w:r w:rsidRPr="008A28E4">
        <w:rPr>
          <w:rFonts w:ascii="Book Antiqua" w:eastAsia="宋体" w:hAnsi="Book Antiqua" w:cs="宋体"/>
          <w:sz w:val="24"/>
          <w:szCs w:val="24"/>
        </w:rPr>
        <w:t xml:space="preserve"> Dyer RB. Do's and don't's of percutaneous nephrostomy. </w:t>
      </w:r>
      <w:r w:rsidRPr="008A28E4">
        <w:rPr>
          <w:rFonts w:ascii="Book Antiqua" w:eastAsia="宋体" w:hAnsi="Book Antiqua" w:cs="宋体"/>
          <w:i/>
          <w:sz w:val="24"/>
          <w:szCs w:val="24"/>
        </w:rPr>
        <w:t>Acad Radiol</w:t>
      </w:r>
      <w:r w:rsidRPr="008A28E4">
        <w:rPr>
          <w:rFonts w:ascii="Book Antiqua" w:eastAsia="宋体" w:hAnsi="Book Antiqua" w:cs="宋体"/>
          <w:sz w:val="24"/>
          <w:szCs w:val="24"/>
        </w:rPr>
        <w:t xml:space="preserve"> 1999; </w:t>
      </w:r>
      <w:r w:rsidRPr="008A28E4">
        <w:rPr>
          <w:rFonts w:ascii="Book Antiqua" w:eastAsia="宋体" w:hAnsi="Book Antiqua" w:cs="宋体"/>
          <w:b/>
          <w:sz w:val="24"/>
          <w:szCs w:val="24"/>
        </w:rPr>
        <w:t>6</w:t>
      </w:r>
      <w:r w:rsidRPr="008A28E4">
        <w:rPr>
          <w:rFonts w:ascii="Book Antiqua" w:eastAsia="宋体" w:hAnsi="Book Antiqua" w:cs="宋体"/>
          <w:sz w:val="24"/>
          <w:szCs w:val="24"/>
        </w:rPr>
        <w:t xml:space="preserve">: 370-377 [PMID: 10376069 DOI: 10.1016/S1076-6332(99)80233-5] </w:t>
      </w:r>
    </w:p>
    <w:p w:rsidR="00E503CC" w:rsidRPr="008A28E4" w:rsidRDefault="00E503CC" w:rsidP="008A28E4">
      <w:pPr>
        <w:spacing w:after="0" w:line="360" w:lineRule="auto"/>
        <w:jc w:val="both"/>
        <w:rPr>
          <w:rFonts w:ascii="Book Antiqua" w:eastAsia="宋体" w:hAnsi="Book Antiqua" w:cs="宋体"/>
          <w:sz w:val="24"/>
          <w:szCs w:val="24"/>
        </w:rPr>
      </w:pPr>
      <w:r w:rsidRPr="008A28E4">
        <w:rPr>
          <w:rFonts w:ascii="Book Antiqua" w:eastAsia="宋体" w:hAnsi="Book Antiqua" w:cs="宋体"/>
          <w:sz w:val="24"/>
          <w:szCs w:val="24"/>
        </w:rPr>
        <w:t xml:space="preserve">97 </w:t>
      </w:r>
      <w:r w:rsidRPr="008A28E4">
        <w:rPr>
          <w:rFonts w:ascii="Book Antiqua" w:eastAsia="宋体" w:hAnsi="Book Antiqua" w:cs="宋体"/>
          <w:b/>
          <w:bCs/>
          <w:sz w:val="24"/>
          <w:szCs w:val="24"/>
        </w:rPr>
        <w:t>Grasso M</w:t>
      </w:r>
      <w:r w:rsidRPr="008A28E4">
        <w:rPr>
          <w:rFonts w:ascii="Book Antiqua" w:eastAsia="宋体" w:hAnsi="Book Antiqua" w:cs="宋体"/>
          <w:sz w:val="24"/>
          <w:szCs w:val="24"/>
        </w:rPr>
        <w:t xml:space="preserve">, Lang G, Taylor FC. Flexible ureteroscopically assisted percutaneous renal access. </w:t>
      </w:r>
      <w:r w:rsidRPr="008A28E4">
        <w:rPr>
          <w:rFonts w:ascii="Book Antiqua" w:eastAsia="宋体" w:hAnsi="Book Antiqua" w:cs="宋体"/>
          <w:i/>
          <w:iCs/>
          <w:sz w:val="24"/>
          <w:szCs w:val="24"/>
        </w:rPr>
        <w:t>Tech Urol</w:t>
      </w:r>
      <w:r w:rsidRPr="008A28E4">
        <w:rPr>
          <w:rFonts w:ascii="Book Antiqua" w:eastAsia="宋体" w:hAnsi="Book Antiqua" w:cs="宋体"/>
          <w:sz w:val="24"/>
          <w:szCs w:val="24"/>
        </w:rPr>
        <w:t xml:space="preserve"> 1995; </w:t>
      </w:r>
      <w:r w:rsidRPr="008A28E4">
        <w:rPr>
          <w:rFonts w:ascii="Book Antiqua" w:eastAsia="宋体" w:hAnsi="Book Antiqua" w:cs="宋体"/>
          <w:b/>
          <w:bCs/>
          <w:sz w:val="24"/>
          <w:szCs w:val="24"/>
        </w:rPr>
        <w:t>1</w:t>
      </w:r>
      <w:r w:rsidRPr="008A28E4">
        <w:rPr>
          <w:rFonts w:ascii="Book Antiqua" w:eastAsia="宋体" w:hAnsi="Book Antiqua" w:cs="宋体"/>
          <w:sz w:val="24"/>
          <w:szCs w:val="24"/>
        </w:rPr>
        <w:t>: 39-43 [PMID: 9118366]</w:t>
      </w:r>
    </w:p>
    <w:p w:rsidR="00E503CC" w:rsidRPr="008A28E4" w:rsidRDefault="00E503CC" w:rsidP="008A28E4">
      <w:pPr>
        <w:spacing w:after="0" w:line="360" w:lineRule="auto"/>
        <w:jc w:val="both"/>
        <w:rPr>
          <w:rFonts w:ascii="Book Antiqua" w:eastAsia="宋体" w:hAnsi="Book Antiqua" w:cs="宋体"/>
          <w:sz w:val="24"/>
          <w:szCs w:val="24"/>
        </w:rPr>
      </w:pPr>
      <w:r w:rsidRPr="008A28E4">
        <w:rPr>
          <w:rFonts w:ascii="Book Antiqua" w:eastAsia="宋体" w:hAnsi="Book Antiqua" w:cs="宋体"/>
          <w:sz w:val="24"/>
          <w:szCs w:val="24"/>
        </w:rPr>
        <w:t xml:space="preserve">98 </w:t>
      </w:r>
      <w:r w:rsidRPr="008A28E4">
        <w:rPr>
          <w:rFonts w:ascii="Book Antiqua" w:eastAsia="宋体" w:hAnsi="Book Antiqua" w:cs="宋体"/>
          <w:b/>
          <w:sz w:val="24"/>
          <w:szCs w:val="24"/>
        </w:rPr>
        <w:t>Giannakopoulos S,</w:t>
      </w:r>
      <w:r w:rsidRPr="008A28E4">
        <w:rPr>
          <w:rFonts w:ascii="Book Antiqua" w:eastAsia="宋体" w:hAnsi="Book Antiqua" w:cs="宋体"/>
          <w:sz w:val="24"/>
          <w:szCs w:val="24"/>
        </w:rPr>
        <w:t xml:space="preserve"> Bantis A, Kalaitzis C, Touloupidis S. Use of an angiographic catheter to facilitate fluoroscopy-guided percutaneous renal access in cases with diffuse contrast extravasation. </w:t>
      </w:r>
      <w:r w:rsidRPr="008A28E4">
        <w:rPr>
          <w:rFonts w:ascii="Book Antiqua" w:eastAsia="宋体" w:hAnsi="Book Antiqua" w:cs="宋体"/>
          <w:i/>
          <w:sz w:val="24"/>
          <w:szCs w:val="24"/>
        </w:rPr>
        <w:t xml:space="preserve">J Endourol </w:t>
      </w:r>
      <w:r w:rsidRPr="008A28E4">
        <w:rPr>
          <w:rFonts w:ascii="Book Antiqua" w:eastAsia="宋体" w:hAnsi="Book Antiqua" w:cs="宋体"/>
          <w:sz w:val="24"/>
          <w:szCs w:val="24"/>
        </w:rPr>
        <w:t xml:space="preserve">2010; 24: 1575-1578 [PMID: 20818986 DOI: 10.1089/end.2010.0019] </w:t>
      </w:r>
    </w:p>
    <w:p w:rsidR="00E503CC" w:rsidRPr="008A28E4" w:rsidRDefault="00E503CC" w:rsidP="008A28E4">
      <w:pPr>
        <w:spacing w:after="0" w:line="360" w:lineRule="auto"/>
        <w:jc w:val="both"/>
        <w:rPr>
          <w:rFonts w:ascii="Book Antiqua" w:eastAsia="宋体" w:hAnsi="Book Antiqua" w:cs="宋体"/>
          <w:sz w:val="24"/>
          <w:szCs w:val="24"/>
        </w:rPr>
      </w:pPr>
      <w:r w:rsidRPr="008A28E4">
        <w:rPr>
          <w:rFonts w:ascii="Book Antiqua" w:eastAsia="宋体" w:hAnsi="Book Antiqua" w:cs="宋体"/>
          <w:sz w:val="24"/>
          <w:szCs w:val="24"/>
        </w:rPr>
        <w:t xml:space="preserve">99 </w:t>
      </w:r>
      <w:r w:rsidRPr="008A28E4">
        <w:rPr>
          <w:rFonts w:ascii="Book Antiqua" w:eastAsia="宋体" w:hAnsi="Book Antiqua" w:cs="宋体"/>
          <w:b/>
          <w:bCs/>
          <w:sz w:val="24"/>
          <w:szCs w:val="24"/>
        </w:rPr>
        <w:t>Rais-Bahrami S</w:t>
      </w:r>
      <w:r w:rsidRPr="008A28E4">
        <w:rPr>
          <w:rFonts w:ascii="Book Antiqua" w:eastAsia="宋体" w:hAnsi="Book Antiqua" w:cs="宋体"/>
          <w:sz w:val="24"/>
          <w:szCs w:val="24"/>
        </w:rPr>
        <w:t xml:space="preserve">, Friedlander JI, Duty BD, Okeke Z, Smith AD. Difficulties with access in percutaneous renal surgery. </w:t>
      </w:r>
      <w:r w:rsidRPr="008A28E4">
        <w:rPr>
          <w:rFonts w:ascii="Book Antiqua" w:eastAsia="宋体" w:hAnsi="Book Antiqua" w:cs="宋体"/>
          <w:i/>
          <w:iCs/>
          <w:sz w:val="24"/>
          <w:szCs w:val="24"/>
        </w:rPr>
        <w:t>Ther Adv Urol</w:t>
      </w:r>
      <w:r w:rsidRPr="008A28E4">
        <w:rPr>
          <w:rFonts w:ascii="Book Antiqua" w:eastAsia="宋体" w:hAnsi="Book Antiqua" w:cs="宋体"/>
          <w:sz w:val="24"/>
          <w:szCs w:val="24"/>
        </w:rPr>
        <w:t xml:space="preserve"> 2011; </w:t>
      </w:r>
      <w:r w:rsidRPr="008A28E4">
        <w:rPr>
          <w:rFonts w:ascii="Book Antiqua" w:eastAsia="宋体" w:hAnsi="Book Antiqua" w:cs="宋体"/>
          <w:b/>
          <w:bCs/>
          <w:sz w:val="24"/>
          <w:szCs w:val="24"/>
        </w:rPr>
        <w:t>3</w:t>
      </w:r>
      <w:r w:rsidRPr="008A28E4">
        <w:rPr>
          <w:rFonts w:ascii="Book Antiqua" w:eastAsia="宋体" w:hAnsi="Book Antiqua" w:cs="宋体"/>
          <w:sz w:val="24"/>
          <w:szCs w:val="24"/>
        </w:rPr>
        <w:t>: 59-68 [PMID: 21869906 DOI: 10.1177/1756287211400661]</w:t>
      </w:r>
    </w:p>
    <w:p w:rsidR="00E503CC" w:rsidRPr="008A28E4" w:rsidRDefault="00E503CC" w:rsidP="008A28E4">
      <w:pPr>
        <w:spacing w:after="0" w:line="360" w:lineRule="auto"/>
        <w:jc w:val="both"/>
        <w:rPr>
          <w:rFonts w:ascii="Book Antiqua" w:eastAsia="宋体" w:hAnsi="Book Antiqua" w:cs="宋体"/>
          <w:sz w:val="24"/>
          <w:szCs w:val="24"/>
        </w:rPr>
      </w:pPr>
      <w:r w:rsidRPr="008A28E4">
        <w:rPr>
          <w:rFonts w:ascii="Book Antiqua" w:eastAsia="宋体" w:hAnsi="Book Antiqua" w:cs="宋体"/>
          <w:sz w:val="24"/>
          <w:szCs w:val="24"/>
        </w:rPr>
        <w:t xml:space="preserve">100 </w:t>
      </w:r>
      <w:r w:rsidRPr="008A28E4">
        <w:rPr>
          <w:rFonts w:ascii="Book Antiqua" w:eastAsia="宋体" w:hAnsi="Book Antiqua" w:cs="宋体"/>
          <w:b/>
          <w:bCs/>
          <w:sz w:val="24"/>
          <w:szCs w:val="24"/>
        </w:rPr>
        <w:t>Lojanapiwat B</w:t>
      </w:r>
      <w:r w:rsidRPr="008A28E4">
        <w:rPr>
          <w:rFonts w:ascii="Book Antiqua" w:eastAsia="宋体" w:hAnsi="Book Antiqua" w:cs="宋体"/>
          <w:sz w:val="24"/>
          <w:szCs w:val="24"/>
        </w:rPr>
        <w:t xml:space="preserve">. The ideal puncture approach for PCNL: Fluoroscopy, ultrasound or endoscopy? </w:t>
      </w:r>
      <w:r w:rsidRPr="008A28E4">
        <w:rPr>
          <w:rFonts w:ascii="Book Antiqua" w:eastAsia="宋体" w:hAnsi="Book Antiqua" w:cs="宋体"/>
          <w:i/>
          <w:iCs/>
          <w:sz w:val="24"/>
          <w:szCs w:val="24"/>
        </w:rPr>
        <w:t>Indian J Urol</w:t>
      </w:r>
      <w:r w:rsidRPr="008A28E4">
        <w:rPr>
          <w:rFonts w:ascii="Book Antiqua" w:eastAsia="宋体" w:hAnsi="Book Antiqua" w:cs="宋体"/>
          <w:sz w:val="24"/>
          <w:szCs w:val="24"/>
        </w:rPr>
        <w:t xml:space="preserve"> 2013; </w:t>
      </w:r>
      <w:r w:rsidRPr="008A28E4">
        <w:rPr>
          <w:rFonts w:ascii="Book Antiqua" w:eastAsia="宋体" w:hAnsi="Book Antiqua" w:cs="宋体"/>
          <w:b/>
          <w:bCs/>
          <w:sz w:val="24"/>
          <w:szCs w:val="24"/>
        </w:rPr>
        <w:t>29</w:t>
      </w:r>
      <w:r w:rsidRPr="008A28E4">
        <w:rPr>
          <w:rFonts w:ascii="Book Antiqua" w:eastAsia="宋体" w:hAnsi="Book Antiqua" w:cs="宋体"/>
          <w:sz w:val="24"/>
          <w:szCs w:val="24"/>
        </w:rPr>
        <w:t>: 208-213 [PMID: 24082442 DOI: 10.4103/0970-1591.117284]</w:t>
      </w:r>
    </w:p>
    <w:p w:rsidR="00E503CC" w:rsidRPr="008A28E4" w:rsidRDefault="00E503CC" w:rsidP="008A28E4">
      <w:pPr>
        <w:spacing w:after="0" w:line="360" w:lineRule="auto"/>
        <w:jc w:val="both"/>
        <w:rPr>
          <w:rFonts w:ascii="Book Antiqua" w:eastAsia="宋体" w:hAnsi="Book Antiqua" w:cs="宋体"/>
          <w:sz w:val="24"/>
          <w:szCs w:val="24"/>
        </w:rPr>
      </w:pPr>
      <w:r w:rsidRPr="008A28E4">
        <w:rPr>
          <w:rFonts w:ascii="Book Antiqua" w:eastAsia="宋体" w:hAnsi="Book Antiqua" w:cs="宋体"/>
          <w:sz w:val="24"/>
          <w:szCs w:val="24"/>
        </w:rPr>
        <w:t xml:space="preserve">101 </w:t>
      </w:r>
      <w:r w:rsidRPr="008A28E4">
        <w:rPr>
          <w:rFonts w:ascii="Book Antiqua" w:eastAsia="宋体" w:hAnsi="Book Antiqua" w:cs="宋体"/>
          <w:b/>
          <w:bCs/>
          <w:sz w:val="24"/>
          <w:szCs w:val="24"/>
        </w:rPr>
        <w:t>Skolarikos A</w:t>
      </w:r>
      <w:r w:rsidRPr="008A28E4">
        <w:rPr>
          <w:rFonts w:ascii="Book Antiqua" w:eastAsia="宋体" w:hAnsi="Book Antiqua" w:cs="宋体"/>
          <w:sz w:val="24"/>
          <w:szCs w:val="24"/>
        </w:rPr>
        <w:t xml:space="preserve">, Alivizatos G, de la Rosette JJ. Percutaneous nephrolithotomy and its legacy. </w:t>
      </w:r>
      <w:r w:rsidRPr="008A28E4">
        <w:rPr>
          <w:rFonts w:ascii="Book Antiqua" w:eastAsia="宋体" w:hAnsi="Book Antiqua" w:cs="宋体"/>
          <w:i/>
          <w:iCs/>
          <w:sz w:val="24"/>
          <w:szCs w:val="24"/>
        </w:rPr>
        <w:t>Eur Urol</w:t>
      </w:r>
      <w:r w:rsidRPr="008A28E4">
        <w:rPr>
          <w:rFonts w:ascii="Book Antiqua" w:eastAsia="宋体" w:hAnsi="Book Antiqua" w:cs="宋体"/>
          <w:sz w:val="24"/>
          <w:szCs w:val="24"/>
        </w:rPr>
        <w:t xml:space="preserve"> 2005; </w:t>
      </w:r>
      <w:r w:rsidRPr="008A28E4">
        <w:rPr>
          <w:rFonts w:ascii="Book Antiqua" w:eastAsia="宋体" w:hAnsi="Book Antiqua" w:cs="宋体"/>
          <w:b/>
          <w:bCs/>
          <w:sz w:val="24"/>
          <w:szCs w:val="24"/>
        </w:rPr>
        <w:t>47</w:t>
      </w:r>
      <w:r w:rsidRPr="008A28E4">
        <w:rPr>
          <w:rFonts w:ascii="Book Antiqua" w:eastAsia="宋体" w:hAnsi="Book Antiqua" w:cs="宋体"/>
          <w:sz w:val="24"/>
          <w:szCs w:val="24"/>
        </w:rPr>
        <w:t>: 22-28 [PMID: 15582245 DOI: 10.1016/j.eururo.2004.08.009]</w:t>
      </w:r>
    </w:p>
    <w:p w:rsidR="00E503CC" w:rsidRPr="008A28E4" w:rsidRDefault="00E503CC" w:rsidP="008A28E4">
      <w:pPr>
        <w:spacing w:after="0" w:line="360" w:lineRule="auto"/>
        <w:jc w:val="both"/>
        <w:rPr>
          <w:rFonts w:ascii="Book Antiqua" w:eastAsia="宋体" w:hAnsi="Book Antiqua" w:cs="宋体"/>
          <w:sz w:val="24"/>
          <w:szCs w:val="24"/>
        </w:rPr>
      </w:pPr>
      <w:r w:rsidRPr="008A28E4">
        <w:rPr>
          <w:rFonts w:ascii="Book Antiqua" w:eastAsia="宋体" w:hAnsi="Book Antiqua" w:cs="宋体"/>
          <w:sz w:val="24"/>
          <w:szCs w:val="24"/>
        </w:rPr>
        <w:t xml:space="preserve">102 </w:t>
      </w:r>
      <w:r w:rsidRPr="008A28E4">
        <w:rPr>
          <w:rFonts w:ascii="Book Antiqua" w:eastAsia="宋体" w:hAnsi="Book Antiqua" w:cs="宋体"/>
          <w:b/>
          <w:bCs/>
          <w:sz w:val="24"/>
          <w:szCs w:val="24"/>
        </w:rPr>
        <w:t>Lezrek M</w:t>
      </w:r>
      <w:r w:rsidRPr="008A28E4">
        <w:rPr>
          <w:rFonts w:ascii="Book Antiqua" w:eastAsia="宋体" w:hAnsi="Book Antiqua" w:cs="宋体"/>
          <w:sz w:val="24"/>
          <w:szCs w:val="24"/>
        </w:rPr>
        <w:t xml:space="preserve">, Bazine K, Asseban M, Ammani A, Moufid K, Beddouch A, Alami M. Technique to overcome renal mobility during percutaneous tract dilatation: bi-prong forceps renal parenchyma dissection. </w:t>
      </w:r>
      <w:r w:rsidRPr="008A28E4">
        <w:rPr>
          <w:rFonts w:ascii="Book Antiqua" w:eastAsia="宋体" w:hAnsi="Book Antiqua" w:cs="宋体"/>
          <w:i/>
          <w:iCs/>
          <w:sz w:val="24"/>
          <w:szCs w:val="24"/>
        </w:rPr>
        <w:t>BJU Int</w:t>
      </w:r>
      <w:r w:rsidRPr="008A28E4">
        <w:rPr>
          <w:rFonts w:ascii="Book Antiqua" w:eastAsia="宋体" w:hAnsi="Book Antiqua" w:cs="宋体"/>
          <w:sz w:val="24"/>
          <w:szCs w:val="24"/>
        </w:rPr>
        <w:t xml:space="preserve"> 2013; </w:t>
      </w:r>
      <w:r w:rsidRPr="008A28E4">
        <w:rPr>
          <w:rFonts w:ascii="Book Antiqua" w:eastAsia="宋体" w:hAnsi="Book Antiqua" w:cs="宋体"/>
          <w:b/>
          <w:bCs/>
          <w:sz w:val="24"/>
          <w:szCs w:val="24"/>
        </w:rPr>
        <w:t>112</w:t>
      </w:r>
      <w:r w:rsidRPr="008A28E4">
        <w:rPr>
          <w:rFonts w:ascii="Book Antiqua" w:eastAsia="宋体" w:hAnsi="Book Antiqua" w:cs="宋体"/>
          <w:sz w:val="24"/>
          <w:szCs w:val="24"/>
        </w:rPr>
        <w:t>: 697-702 [PMID: 23924426]</w:t>
      </w:r>
    </w:p>
    <w:p w:rsidR="00E503CC" w:rsidRPr="008A28E4" w:rsidRDefault="00E503CC" w:rsidP="008A28E4">
      <w:pPr>
        <w:spacing w:after="0" w:line="360" w:lineRule="auto"/>
        <w:jc w:val="both"/>
        <w:rPr>
          <w:rFonts w:ascii="Book Antiqua" w:eastAsia="宋体" w:hAnsi="Book Antiqua" w:cs="宋体"/>
          <w:sz w:val="24"/>
          <w:szCs w:val="24"/>
          <w:lang w:eastAsia="zh-CN"/>
        </w:rPr>
      </w:pPr>
      <w:r w:rsidRPr="008A28E4">
        <w:rPr>
          <w:rFonts w:ascii="Book Antiqua" w:eastAsia="宋体" w:hAnsi="Book Antiqua" w:cs="宋体"/>
          <w:sz w:val="24"/>
          <w:szCs w:val="24"/>
        </w:rPr>
        <w:t xml:space="preserve">103 </w:t>
      </w:r>
      <w:r w:rsidRPr="008A28E4">
        <w:rPr>
          <w:rFonts w:ascii="Book Antiqua" w:eastAsia="宋体" w:hAnsi="Book Antiqua" w:cs="宋体"/>
          <w:b/>
          <w:bCs/>
          <w:sz w:val="24"/>
          <w:szCs w:val="24"/>
        </w:rPr>
        <w:t>Maheshwari PN</w:t>
      </w:r>
      <w:r w:rsidRPr="008A28E4">
        <w:rPr>
          <w:rFonts w:ascii="Book Antiqua" w:eastAsia="宋体" w:hAnsi="Book Antiqua" w:cs="宋体"/>
          <w:sz w:val="24"/>
          <w:szCs w:val="24"/>
        </w:rPr>
        <w:t xml:space="preserve">, Andankar MG, Bansal M. Nephrostomy tube after percutaneous nephrolithotomy: large-bore or pigtail catheter? </w:t>
      </w:r>
      <w:r w:rsidRPr="008A28E4">
        <w:rPr>
          <w:rFonts w:ascii="Book Antiqua" w:eastAsia="宋体" w:hAnsi="Book Antiqua" w:cs="宋体"/>
          <w:i/>
          <w:iCs/>
          <w:sz w:val="24"/>
          <w:szCs w:val="24"/>
        </w:rPr>
        <w:t>J Endourol</w:t>
      </w:r>
      <w:r w:rsidRPr="008A28E4">
        <w:rPr>
          <w:rFonts w:ascii="Book Antiqua" w:eastAsia="宋体" w:hAnsi="Book Antiqua" w:cs="宋体"/>
          <w:sz w:val="24"/>
          <w:szCs w:val="24"/>
        </w:rPr>
        <w:t xml:space="preserve"> 2000; </w:t>
      </w:r>
      <w:r w:rsidRPr="008A28E4">
        <w:rPr>
          <w:rFonts w:ascii="Book Antiqua" w:eastAsia="宋体" w:hAnsi="Book Antiqua" w:cs="宋体"/>
          <w:b/>
          <w:bCs/>
          <w:sz w:val="24"/>
          <w:szCs w:val="24"/>
        </w:rPr>
        <w:t>14</w:t>
      </w:r>
      <w:r w:rsidRPr="008A28E4">
        <w:rPr>
          <w:rFonts w:ascii="Book Antiqua" w:eastAsia="宋体" w:hAnsi="Book Antiqua" w:cs="宋体"/>
          <w:sz w:val="24"/>
          <w:szCs w:val="24"/>
        </w:rPr>
        <w:t>: 735-737; discussion 737-738 [PMID: 11110567 DOI: 10.1089/end.2000.14.735]</w:t>
      </w:r>
    </w:p>
    <w:p w:rsidR="00E503CC" w:rsidRPr="008A28E4" w:rsidRDefault="00E503CC" w:rsidP="008A28E4">
      <w:pPr>
        <w:adjustRightInd w:val="0"/>
        <w:snapToGrid w:val="0"/>
        <w:spacing w:after="0" w:line="360" w:lineRule="auto"/>
        <w:ind w:right="239"/>
        <w:jc w:val="right"/>
        <w:rPr>
          <w:rFonts w:ascii="Book Antiqua" w:hAnsi="Book Antiqua"/>
          <w:b/>
          <w:bCs/>
          <w:sz w:val="24"/>
          <w:szCs w:val="24"/>
          <w:lang w:val="en-GB"/>
        </w:rPr>
      </w:pPr>
      <w:r w:rsidRPr="008A28E4">
        <w:rPr>
          <w:rStyle w:val="Strong"/>
          <w:rFonts w:ascii="Book Antiqua" w:hAnsi="Book Antiqua" w:cs="Arial"/>
          <w:noProof/>
          <w:sz w:val="24"/>
          <w:szCs w:val="24"/>
          <w:lang w:val="en-GB"/>
        </w:rPr>
        <w:t>P-Reviewer:</w:t>
      </w:r>
      <w:r w:rsidRPr="008A28E4">
        <w:rPr>
          <w:rFonts w:ascii="Book Antiqua" w:hAnsi="Book Antiqua"/>
          <w:color w:val="000000"/>
          <w:sz w:val="24"/>
          <w:szCs w:val="24"/>
          <w:lang w:val="en-GB"/>
        </w:rPr>
        <w:t xml:space="preserve"> Louboutin JP, Taheri S</w:t>
      </w:r>
      <w:r w:rsidRPr="008A28E4">
        <w:rPr>
          <w:rFonts w:ascii="Book Antiqua" w:hAnsi="Book Antiqua"/>
          <w:color w:val="000000"/>
          <w:sz w:val="24"/>
          <w:szCs w:val="24"/>
          <w:lang w:val="en-GB" w:eastAsia="zh-CN"/>
        </w:rPr>
        <w:t>, Verma S</w:t>
      </w:r>
      <w:r w:rsidRPr="008A28E4">
        <w:rPr>
          <w:rFonts w:ascii="Book Antiqua" w:hAnsi="Book Antiqua"/>
          <w:bCs/>
          <w:sz w:val="24"/>
          <w:szCs w:val="24"/>
          <w:lang w:val="en-GB"/>
        </w:rPr>
        <w:t xml:space="preserve"> </w:t>
      </w:r>
      <w:r w:rsidRPr="008A28E4">
        <w:rPr>
          <w:rFonts w:ascii="Book Antiqua" w:hAnsi="Book Antiqua"/>
          <w:b/>
          <w:bCs/>
          <w:sz w:val="24"/>
          <w:szCs w:val="24"/>
          <w:lang w:val="en-GB"/>
        </w:rPr>
        <w:t>S-Editor:</w:t>
      </w:r>
      <w:r w:rsidRPr="008A28E4">
        <w:rPr>
          <w:rFonts w:ascii="Book Antiqua" w:hAnsi="Book Antiqua"/>
          <w:bCs/>
          <w:sz w:val="24"/>
          <w:szCs w:val="24"/>
          <w:lang w:val="en-GB"/>
        </w:rPr>
        <w:t xml:space="preserve"> Tian YL</w:t>
      </w:r>
    </w:p>
    <w:p w:rsidR="00E503CC" w:rsidRPr="008A28E4" w:rsidRDefault="00E503CC" w:rsidP="008A28E4">
      <w:pPr>
        <w:adjustRightInd w:val="0"/>
        <w:snapToGrid w:val="0"/>
        <w:spacing w:after="0" w:line="360" w:lineRule="auto"/>
        <w:ind w:right="239"/>
        <w:jc w:val="right"/>
        <w:rPr>
          <w:rFonts w:ascii="Book Antiqua" w:hAnsi="Book Antiqua"/>
          <w:bCs/>
          <w:sz w:val="24"/>
          <w:szCs w:val="24"/>
        </w:rPr>
      </w:pPr>
      <w:r w:rsidRPr="008A28E4">
        <w:rPr>
          <w:rFonts w:ascii="Book Antiqua" w:hAnsi="Book Antiqua"/>
          <w:b/>
          <w:bCs/>
          <w:sz w:val="24"/>
          <w:szCs w:val="24"/>
        </w:rPr>
        <w:t>L-Editor:   E-Editor:</w:t>
      </w:r>
    </w:p>
    <w:p w:rsidR="00E503CC" w:rsidRPr="008A28E4" w:rsidRDefault="00E503CC" w:rsidP="008A28E4">
      <w:pPr>
        <w:spacing w:after="0" w:line="360" w:lineRule="auto"/>
        <w:jc w:val="both"/>
        <w:rPr>
          <w:rFonts w:ascii="Book Antiqua" w:eastAsia="宋体" w:hAnsi="Book Antiqua" w:cs="宋体"/>
          <w:color w:val="000000" w:themeColor="text1"/>
          <w:sz w:val="24"/>
          <w:szCs w:val="24"/>
          <w:lang w:eastAsia="zh-CN"/>
        </w:rPr>
      </w:pPr>
    </w:p>
    <w:p w:rsidR="00E503CC" w:rsidRPr="008A28E4" w:rsidRDefault="00E503CC" w:rsidP="008A28E4">
      <w:pPr>
        <w:spacing w:after="0" w:line="360" w:lineRule="auto"/>
        <w:jc w:val="both"/>
        <w:rPr>
          <w:rFonts w:ascii="Book Antiqua" w:hAnsi="Book Antiqua" w:cs="Times New Roman"/>
          <w:b/>
          <w:sz w:val="24"/>
          <w:szCs w:val="24"/>
          <w:lang w:eastAsia="zh-CN"/>
        </w:rPr>
      </w:pPr>
      <w:r w:rsidRPr="008A28E4">
        <w:rPr>
          <w:rFonts w:ascii="Book Antiqua" w:hAnsi="Book Antiqua" w:cs="Times New Roman"/>
          <w:b/>
          <w:sz w:val="24"/>
          <w:szCs w:val="24"/>
          <w:lang w:eastAsia="zh-CN"/>
        </w:rPr>
        <w:br w:type="page"/>
      </w:r>
    </w:p>
    <w:p w:rsidR="00E503CC" w:rsidRPr="008A28E4" w:rsidRDefault="008A28E4" w:rsidP="008A28E4">
      <w:pPr>
        <w:spacing w:after="0" w:line="360" w:lineRule="auto"/>
        <w:jc w:val="both"/>
        <w:rPr>
          <w:rFonts w:ascii="Book Antiqua" w:hAnsi="Book Antiqua" w:cs="Times New Roman"/>
          <w:b/>
          <w:sz w:val="24"/>
          <w:szCs w:val="24"/>
          <w:lang w:eastAsia="zh-CN"/>
        </w:rPr>
      </w:pPr>
      <w:r>
        <w:rPr>
          <w:rFonts w:ascii="Book Antiqua" w:hAnsi="Book Antiqua" w:cs="Times New Roman"/>
          <w:b/>
          <w:noProof/>
          <w:sz w:val="24"/>
          <w:szCs w:val="24"/>
        </w:rPr>
        <w:drawing>
          <wp:inline distT="0" distB="0" distL="0" distR="0">
            <wp:extent cx="3651151" cy="2750515"/>
            <wp:effectExtent l="0" t="0" r="0" b="0"/>
            <wp:docPr id="1" name="图片 1" descr="E:\修回稿件\可以编的稿子\12826\12826-Figures\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修回稿件\可以编的稿子\12826\12826-Figures\Figure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1624" cy="2750871"/>
                    </a:xfrm>
                    <a:prstGeom prst="rect">
                      <a:avLst/>
                    </a:prstGeom>
                    <a:noFill/>
                    <a:ln>
                      <a:noFill/>
                    </a:ln>
                  </pic:spPr>
                </pic:pic>
              </a:graphicData>
            </a:graphic>
          </wp:inline>
        </w:drawing>
      </w:r>
    </w:p>
    <w:p w:rsidR="008A28E4" w:rsidRPr="008A28E4" w:rsidRDefault="008A28E4" w:rsidP="008A28E4">
      <w:pPr>
        <w:spacing w:line="360" w:lineRule="auto"/>
        <w:jc w:val="both"/>
        <w:rPr>
          <w:rFonts w:ascii="Book Antiqua" w:hAnsi="Book Antiqua" w:cs="Times New Roman"/>
          <w:b/>
          <w:bCs/>
          <w:sz w:val="24"/>
          <w:szCs w:val="24"/>
          <w:lang w:eastAsia="zh-CN"/>
        </w:rPr>
      </w:pPr>
      <w:r w:rsidRPr="008A28E4">
        <w:rPr>
          <w:rFonts w:ascii="Book Antiqua" w:hAnsi="Book Antiqua" w:cs="Times New Roman"/>
          <w:b/>
          <w:bCs/>
          <w:sz w:val="24"/>
          <w:szCs w:val="24"/>
        </w:rPr>
        <w:t>Figure1 Position of patient</w:t>
      </w:r>
      <w:r w:rsidRPr="008A28E4">
        <w:rPr>
          <w:rFonts w:ascii="Book Antiqua" w:hAnsi="Book Antiqua" w:cs="Times New Roman"/>
          <w:b/>
          <w:bCs/>
          <w:sz w:val="24"/>
          <w:szCs w:val="24"/>
          <w:lang w:eastAsia="zh-CN"/>
        </w:rPr>
        <w:t>.</w:t>
      </w:r>
    </w:p>
    <w:p w:rsidR="008A28E4" w:rsidRPr="008A28E4" w:rsidRDefault="008A28E4" w:rsidP="008A28E4">
      <w:pPr>
        <w:spacing w:line="360" w:lineRule="auto"/>
        <w:jc w:val="both"/>
        <w:rPr>
          <w:rFonts w:ascii="Book Antiqua" w:hAnsi="Book Antiqua" w:cs="Times New Roman"/>
          <w:b/>
          <w:bCs/>
          <w:sz w:val="24"/>
          <w:szCs w:val="24"/>
          <w:lang w:eastAsia="zh-CN"/>
        </w:rPr>
      </w:pPr>
      <w:r>
        <w:rPr>
          <w:rFonts w:ascii="Book Antiqua" w:hAnsi="Book Antiqua" w:cs="Times New Roman"/>
          <w:b/>
          <w:bCs/>
          <w:noProof/>
          <w:sz w:val="24"/>
          <w:szCs w:val="24"/>
        </w:rPr>
        <w:drawing>
          <wp:inline distT="0" distB="0" distL="0" distR="0">
            <wp:extent cx="2580794" cy="2640787"/>
            <wp:effectExtent l="0" t="0" r="0" b="0"/>
            <wp:docPr id="2" name="图片 2" descr="E:\修回稿件\可以编的稿子\12826\12826-Figures\Figure 2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修回稿件\可以编的稿子\12826\12826-Figures\Figure 2a.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80090" cy="2640066"/>
                    </a:xfrm>
                    <a:prstGeom prst="rect">
                      <a:avLst/>
                    </a:prstGeom>
                    <a:noFill/>
                    <a:ln>
                      <a:noFill/>
                    </a:ln>
                  </pic:spPr>
                </pic:pic>
              </a:graphicData>
            </a:graphic>
          </wp:inline>
        </w:drawing>
      </w:r>
      <w:r w:rsidRPr="008A28E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Book Antiqua" w:hAnsi="Book Antiqua" w:cs="Times New Roman"/>
          <w:b/>
          <w:bCs/>
          <w:noProof/>
          <w:sz w:val="24"/>
          <w:szCs w:val="24"/>
        </w:rPr>
        <w:drawing>
          <wp:inline distT="0" distB="0" distL="0" distR="0">
            <wp:extent cx="2775300" cy="2933395"/>
            <wp:effectExtent l="0" t="0" r="0" b="0"/>
            <wp:docPr id="3" name="图片 3" descr="E:\修回稿件\可以编的稿子\12826\12826-Figures\Figure 2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修回稿件\可以编的稿子\12826\12826-Figures\Figure 2b.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75353" cy="2933451"/>
                    </a:xfrm>
                    <a:prstGeom prst="rect">
                      <a:avLst/>
                    </a:prstGeom>
                    <a:noFill/>
                    <a:ln>
                      <a:noFill/>
                    </a:ln>
                  </pic:spPr>
                </pic:pic>
              </a:graphicData>
            </a:graphic>
          </wp:inline>
        </w:drawing>
      </w:r>
    </w:p>
    <w:p w:rsidR="008A28E4" w:rsidRPr="008A28E4" w:rsidRDefault="008A28E4" w:rsidP="008A28E4">
      <w:pPr>
        <w:spacing w:line="360" w:lineRule="auto"/>
        <w:jc w:val="both"/>
        <w:rPr>
          <w:rFonts w:ascii="Book Antiqua" w:hAnsi="Book Antiqua" w:cs="Times New Roman"/>
          <w:sz w:val="24"/>
          <w:szCs w:val="24"/>
          <w:lang w:eastAsia="zh-CN"/>
        </w:rPr>
      </w:pPr>
      <w:r w:rsidRPr="008A28E4">
        <w:rPr>
          <w:rFonts w:ascii="Book Antiqua" w:hAnsi="Book Antiqua" w:cs="Times New Roman"/>
          <w:b/>
          <w:bCs/>
          <w:sz w:val="24"/>
          <w:szCs w:val="24"/>
        </w:rPr>
        <w:t>Figure 2 Arrangement of trolleys</w:t>
      </w:r>
      <w:r w:rsidRPr="008A28E4">
        <w:rPr>
          <w:rFonts w:ascii="Book Antiqua" w:hAnsi="Book Antiqua" w:cs="Times New Roman"/>
          <w:sz w:val="24"/>
          <w:szCs w:val="24"/>
        </w:rPr>
        <w:t>. A: Arrangement for lower pole puncture</w:t>
      </w:r>
      <w:r>
        <w:rPr>
          <w:rFonts w:ascii="Book Antiqua" w:hAnsi="Book Antiqua" w:cs="Times New Roman" w:hint="eastAsia"/>
          <w:sz w:val="24"/>
          <w:szCs w:val="24"/>
          <w:lang w:eastAsia="zh-CN"/>
        </w:rPr>
        <w:t>;</w:t>
      </w:r>
      <w:r w:rsidRPr="008A28E4">
        <w:rPr>
          <w:rFonts w:ascii="Book Antiqua" w:hAnsi="Book Antiqua" w:cs="Times New Roman"/>
          <w:sz w:val="24"/>
          <w:szCs w:val="24"/>
        </w:rPr>
        <w:t xml:space="preserve"> B: Arrangement for upper pole puncture</w:t>
      </w:r>
      <w:r>
        <w:rPr>
          <w:rFonts w:ascii="Book Antiqua" w:hAnsi="Book Antiqua" w:cs="Times New Roman" w:hint="eastAsia"/>
          <w:sz w:val="24"/>
          <w:szCs w:val="24"/>
          <w:lang w:eastAsia="zh-CN"/>
        </w:rPr>
        <w:t>.</w:t>
      </w:r>
    </w:p>
    <w:p w:rsidR="008A28E4" w:rsidRDefault="008A28E4" w:rsidP="008A28E4">
      <w:pPr>
        <w:spacing w:line="360" w:lineRule="auto"/>
        <w:jc w:val="both"/>
        <w:rPr>
          <w:rFonts w:ascii="Book Antiqua" w:hAnsi="Book Antiqua" w:cs="Times New Roman"/>
          <w:b/>
          <w:bCs/>
          <w:sz w:val="24"/>
          <w:szCs w:val="24"/>
          <w:lang w:eastAsia="zh-CN"/>
        </w:rPr>
      </w:pPr>
      <w:r>
        <w:rPr>
          <w:rFonts w:ascii="Book Antiqua" w:hAnsi="Book Antiqua" w:cs="Times New Roman"/>
          <w:b/>
          <w:bCs/>
          <w:noProof/>
          <w:sz w:val="24"/>
          <w:szCs w:val="24"/>
        </w:rPr>
        <w:drawing>
          <wp:inline distT="0" distB="0" distL="0" distR="0">
            <wp:extent cx="3172074" cy="2604211"/>
            <wp:effectExtent l="0" t="0" r="0" b="0"/>
            <wp:docPr id="4" name="图片 4" descr="E:\修回稿件\可以编的稿子\12826\12826-Figures\Figure 3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修回稿件\可以编的稿子\12826\12826-Figures\Figure 3a.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72219" cy="2604330"/>
                    </a:xfrm>
                    <a:prstGeom prst="rect">
                      <a:avLst/>
                    </a:prstGeom>
                    <a:noFill/>
                    <a:ln>
                      <a:noFill/>
                    </a:ln>
                  </pic:spPr>
                </pic:pic>
              </a:graphicData>
            </a:graphic>
          </wp:inline>
        </w:drawing>
      </w:r>
      <w:r w:rsidRPr="008A28E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Book Antiqua" w:hAnsi="Book Antiqua" w:cs="Times New Roman"/>
          <w:b/>
          <w:bCs/>
          <w:noProof/>
          <w:sz w:val="24"/>
          <w:szCs w:val="24"/>
        </w:rPr>
        <w:drawing>
          <wp:inline distT="0" distB="0" distL="0" distR="0">
            <wp:extent cx="2708208" cy="2048256"/>
            <wp:effectExtent l="0" t="0" r="0" b="0"/>
            <wp:docPr id="5" name="图片 5" descr="E:\修回稿件\可以编的稿子\12826\12826-Figures\Figure 3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修回稿件\可以编的稿子\12826\12826-Figures\Figure 3b.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2199" cy="2051275"/>
                    </a:xfrm>
                    <a:prstGeom prst="rect">
                      <a:avLst/>
                    </a:prstGeom>
                    <a:noFill/>
                    <a:ln>
                      <a:noFill/>
                    </a:ln>
                  </pic:spPr>
                </pic:pic>
              </a:graphicData>
            </a:graphic>
          </wp:inline>
        </w:drawing>
      </w:r>
    </w:p>
    <w:p w:rsidR="008A28E4" w:rsidRPr="008A28E4" w:rsidRDefault="008A28E4" w:rsidP="008A28E4">
      <w:pPr>
        <w:spacing w:line="360" w:lineRule="auto"/>
        <w:jc w:val="both"/>
        <w:rPr>
          <w:rFonts w:ascii="Book Antiqua" w:hAnsi="Book Antiqua" w:cs="Times New Roman"/>
          <w:sz w:val="24"/>
          <w:szCs w:val="24"/>
          <w:lang w:eastAsia="zh-CN"/>
        </w:rPr>
      </w:pPr>
      <w:r>
        <w:rPr>
          <w:rFonts w:ascii="Book Antiqua" w:hAnsi="Book Antiqua" w:cs="Times New Roman"/>
          <w:b/>
          <w:bCs/>
          <w:sz w:val="24"/>
          <w:szCs w:val="24"/>
        </w:rPr>
        <w:t>Figure 3 Outline-o-</w:t>
      </w:r>
      <w:r w:rsidRPr="008A28E4">
        <w:rPr>
          <w:rFonts w:ascii="Book Antiqua" w:hAnsi="Book Antiqua" w:cs="Times New Roman"/>
          <w:b/>
          <w:bCs/>
          <w:sz w:val="24"/>
          <w:szCs w:val="24"/>
        </w:rPr>
        <w:t xml:space="preserve">gram. </w:t>
      </w:r>
      <w:r w:rsidRPr="008A28E4">
        <w:rPr>
          <w:rFonts w:ascii="Book Antiqua" w:hAnsi="Book Antiqua" w:cs="Times New Roman"/>
          <w:sz w:val="24"/>
          <w:szCs w:val="24"/>
        </w:rPr>
        <w:t xml:space="preserve">A: KUB showing a Left staghorn </w:t>
      </w:r>
      <w:r>
        <w:rPr>
          <w:rFonts w:ascii="Book Antiqua" w:hAnsi="Book Antiqua" w:cs="Times New Roman"/>
          <w:sz w:val="24"/>
          <w:szCs w:val="24"/>
        </w:rPr>
        <w:t>calculus</w:t>
      </w:r>
      <w:r>
        <w:rPr>
          <w:rFonts w:ascii="Book Antiqua" w:hAnsi="Book Antiqua" w:cs="Times New Roman" w:hint="eastAsia"/>
          <w:sz w:val="24"/>
          <w:szCs w:val="24"/>
          <w:lang w:eastAsia="zh-CN"/>
        </w:rPr>
        <w:t xml:space="preserve">; </w:t>
      </w:r>
      <w:r>
        <w:rPr>
          <w:rFonts w:ascii="Book Antiqua" w:hAnsi="Book Antiqua" w:cs="Times New Roman"/>
          <w:sz w:val="24"/>
          <w:szCs w:val="24"/>
        </w:rPr>
        <w:t>B: Outline-o-</w:t>
      </w:r>
      <w:r w:rsidRPr="008A28E4">
        <w:rPr>
          <w:rFonts w:ascii="Book Antiqua" w:hAnsi="Book Antiqua" w:cs="Times New Roman"/>
          <w:sz w:val="24"/>
          <w:szCs w:val="24"/>
        </w:rPr>
        <w:t>gram  suggests that most of the calculus can be cleared by  the lower puncture and a separate puncture may be needed for the residual fragment</w:t>
      </w:r>
    </w:p>
    <w:p w:rsidR="008A28E4" w:rsidRDefault="008A28E4" w:rsidP="008A28E4">
      <w:pPr>
        <w:spacing w:line="360" w:lineRule="auto"/>
        <w:jc w:val="both"/>
        <w:rPr>
          <w:rFonts w:ascii="Book Antiqua" w:hAnsi="Book Antiqua" w:cs="Times New Roman"/>
          <w:b/>
          <w:bCs/>
          <w:sz w:val="24"/>
          <w:szCs w:val="24"/>
          <w:lang w:eastAsia="zh-CN"/>
        </w:rPr>
      </w:pPr>
      <w:r>
        <w:rPr>
          <w:rFonts w:ascii="Book Antiqua" w:hAnsi="Book Antiqua" w:cs="Times New Roman"/>
          <w:b/>
          <w:bCs/>
          <w:noProof/>
          <w:sz w:val="24"/>
          <w:szCs w:val="24"/>
        </w:rPr>
        <w:drawing>
          <wp:inline distT="0" distB="0" distL="0" distR="0">
            <wp:extent cx="3566648" cy="2677363"/>
            <wp:effectExtent l="0" t="0" r="0" b="0"/>
            <wp:docPr id="6" name="图片 6" descr="E:\修回稿件\可以编的稿子\12826\12826-Figures\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修回稿件\可以编的稿子\12826\12826-Figures\Figure 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66160" cy="2676997"/>
                    </a:xfrm>
                    <a:prstGeom prst="rect">
                      <a:avLst/>
                    </a:prstGeom>
                    <a:noFill/>
                    <a:ln>
                      <a:noFill/>
                    </a:ln>
                  </pic:spPr>
                </pic:pic>
              </a:graphicData>
            </a:graphic>
          </wp:inline>
        </w:drawing>
      </w:r>
    </w:p>
    <w:p w:rsidR="008A28E4" w:rsidRDefault="008A28E4" w:rsidP="008A28E4">
      <w:pPr>
        <w:spacing w:line="360" w:lineRule="auto"/>
        <w:jc w:val="both"/>
        <w:rPr>
          <w:rFonts w:ascii="Book Antiqua" w:hAnsi="Book Antiqua" w:cs="Times New Roman"/>
          <w:b/>
          <w:bCs/>
          <w:sz w:val="24"/>
          <w:szCs w:val="24"/>
          <w:lang w:eastAsia="zh-CN"/>
        </w:rPr>
      </w:pPr>
      <w:r w:rsidRPr="008A28E4">
        <w:rPr>
          <w:rFonts w:ascii="Book Antiqua" w:hAnsi="Book Antiqua" w:cs="Times New Roman"/>
          <w:b/>
          <w:bCs/>
          <w:sz w:val="24"/>
          <w:szCs w:val="24"/>
        </w:rPr>
        <w:t>Figure 4 Arterial blood supply of kidney</w:t>
      </w:r>
      <w:r>
        <w:rPr>
          <w:rFonts w:ascii="Book Antiqua" w:hAnsi="Book Antiqua" w:cs="Times New Roman" w:hint="eastAsia"/>
          <w:b/>
          <w:bCs/>
          <w:sz w:val="24"/>
          <w:szCs w:val="24"/>
          <w:lang w:eastAsia="zh-CN"/>
        </w:rPr>
        <w:t>.</w:t>
      </w:r>
    </w:p>
    <w:p w:rsidR="008A28E4" w:rsidRPr="008A28E4" w:rsidRDefault="008A28E4" w:rsidP="008A28E4">
      <w:pPr>
        <w:spacing w:line="360" w:lineRule="auto"/>
        <w:jc w:val="both"/>
        <w:rPr>
          <w:rFonts w:ascii="Book Antiqua" w:hAnsi="Book Antiqua" w:cs="Times New Roman"/>
          <w:b/>
          <w:bCs/>
          <w:sz w:val="24"/>
          <w:szCs w:val="24"/>
          <w:lang w:eastAsia="zh-CN"/>
        </w:rPr>
      </w:pPr>
      <w:r>
        <w:rPr>
          <w:rFonts w:ascii="Book Antiqua" w:hAnsi="Book Antiqua" w:cs="Times New Roman"/>
          <w:b/>
          <w:bCs/>
          <w:noProof/>
          <w:sz w:val="24"/>
          <w:szCs w:val="24"/>
        </w:rPr>
        <w:drawing>
          <wp:inline distT="0" distB="0" distL="0" distR="0">
            <wp:extent cx="3115391" cy="2370125"/>
            <wp:effectExtent l="0" t="0" r="0" b="0"/>
            <wp:docPr id="7" name="图片 7" descr="E:\修回稿件\可以编的稿子\12826\12826-Figures\Figur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修回稿件\可以编的稿子\12826\12826-Figures\Figure 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15555" cy="2370250"/>
                    </a:xfrm>
                    <a:prstGeom prst="rect">
                      <a:avLst/>
                    </a:prstGeom>
                    <a:noFill/>
                    <a:ln>
                      <a:noFill/>
                    </a:ln>
                  </pic:spPr>
                </pic:pic>
              </a:graphicData>
            </a:graphic>
          </wp:inline>
        </w:drawing>
      </w:r>
    </w:p>
    <w:p w:rsidR="008A28E4" w:rsidRPr="008A28E4" w:rsidRDefault="008A28E4" w:rsidP="008A28E4">
      <w:pPr>
        <w:spacing w:line="360" w:lineRule="auto"/>
        <w:jc w:val="both"/>
        <w:rPr>
          <w:rFonts w:ascii="Book Antiqua" w:hAnsi="Book Antiqua" w:cs="Times New Roman"/>
          <w:b/>
          <w:bCs/>
          <w:sz w:val="24"/>
          <w:szCs w:val="24"/>
        </w:rPr>
      </w:pPr>
      <w:r w:rsidRPr="008A28E4">
        <w:rPr>
          <w:rFonts w:ascii="Book Antiqua" w:hAnsi="Book Antiqua" w:cs="Times New Roman"/>
          <w:b/>
          <w:bCs/>
          <w:sz w:val="24"/>
          <w:szCs w:val="24"/>
        </w:rPr>
        <w:t xml:space="preserve">Figure 5 Trajectory of needle during puncture. </w:t>
      </w:r>
    </w:p>
    <w:p w:rsidR="008A28E4" w:rsidRDefault="008A28E4" w:rsidP="008A28E4">
      <w:pPr>
        <w:spacing w:line="360" w:lineRule="auto"/>
        <w:jc w:val="both"/>
        <w:rPr>
          <w:rFonts w:ascii="Book Antiqua" w:hAnsi="Book Antiqua" w:cs="Times New Roman"/>
          <w:b/>
          <w:bCs/>
          <w:sz w:val="24"/>
          <w:szCs w:val="24"/>
          <w:lang w:eastAsia="zh-CN"/>
        </w:rPr>
      </w:pPr>
      <w:r>
        <w:rPr>
          <w:rFonts w:ascii="Book Antiqua" w:hAnsi="Book Antiqua" w:cs="Times New Roman"/>
          <w:b/>
          <w:bCs/>
          <w:noProof/>
          <w:sz w:val="24"/>
          <w:szCs w:val="24"/>
        </w:rPr>
        <w:drawing>
          <wp:inline distT="0" distB="0" distL="0" distR="0">
            <wp:extent cx="3749038" cy="2816352"/>
            <wp:effectExtent l="0" t="0" r="0" b="0"/>
            <wp:docPr id="8" name="图片 8" descr="E:\修回稿件\可以编的稿子\12826\12826-Figures\Figure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修回稿件\可以编的稿子\12826\12826-Figures\Figure 6.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51289" cy="2818043"/>
                    </a:xfrm>
                    <a:prstGeom prst="rect">
                      <a:avLst/>
                    </a:prstGeom>
                    <a:noFill/>
                    <a:ln>
                      <a:noFill/>
                    </a:ln>
                  </pic:spPr>
                </pic:pic>
              </a:graphicData>
            </a:graphic>
          </wp:inline>
        </w:drawing>
      </w:r>
    </w:p>
    <w:p w:rsidR="008A28E4" w:rsidRDefault="008A28E4" w:rsidP="008A28E4">
      <w:pPr>
        <w:spacing w:line="360" w:lineRule="auto"/>
        <w:jc w:val="both"/>
        <w:rPr>
          <w:rFonts w:ascii="Book Antiqua" w:hAnsi="Book Antiqua" w:cs="Times New Roman"/>
          <w:b/>
          <w:bCs/>
          <w:sz w:val="24"/>
          <w:szCs w:val="24"/>
          <w:lang w:eastAsia="zh-CN"/>
        </w:rPr>
      </w:pPr>
      <w:r w:rsidRPr="008A28E4">
        <w:rPr>
          <w:rFonts w:ascii="Book Antiqua" w:hAnsi="Book Antiqua" w:cs="Times New Roman"/>
          <w:b/>
          <w:bCs/>
          <w:sz w:val="24"/>
          <w:szCs w:val="24"/>
        </w:rPr>
        <w:t>Figure 6 Bull’s eye appearance of the needle</w:t>
      </w:r>
      <w:r>
        <w:rPr>
          <w:rFonts w:ascii="Book Antiqua" w:hAnsi="Book Antiqua" w:cs="Times New Roman" w:hint="eastAsia"/>
          <w:b/>
          <w:bCs/>
          <w:sz w:val="24"/>
          <w:szCs w:val="24"/>
          <w:lang w:eastAsia="zh-CN"/>
        </w:rPr>
        <w:t>.</w:t>
      </w:r>
    </w:p>
    <w:p w:rsidR="008A28E4" w:rsidRPr="008A28E4" w:rsidRDefault="008A28E4" w:rsidP="008A28E4">
      <w:pPr>
        <w:spacing w:line="360" w:lineRule="auto"/>
        <w:jc w:val="both"/>
        <w:rPr>
          <w:rFonts w:ascii="Book Antiqua" w:hAnsi="Book Antiqua" w:cs="Times New Roman"/>
          <w:b/>
          <w:bCs/>
          <w:sz w:val="24"/>
          <w:szCs w:val="24"/>
          <w:lang w:eastAsia="zh-CN"/>
        </w:rPr>
      </w:pPr>
      <w:r>
        <w:rPr>
          <w:rFonts w:ascii="Book Antiqua" w:hAnsi="Book Antiqua" w:cs="Times New Roman"/>
          <w:b/>
          <w:bCs/>
          <w:noProof/>
          <w:sz w:val="24"/>
          <w:szCs w:val="24"/>
        </w:rPr>
        <w:drawing>
          <wp:inline distT="0" distB="0" distL="0" distR="0">
            <wp:extent cx="4104348" cy="3547872"/>
            <wp:effectExtent l="0" t="0" r="0" b="0"/>
            <wp:docPr id="9" name="图片 9" descr="E:\修回稿件\可以编的稿子\12826\12826-Figures\Figur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修回稿件\可以编的稿子\12826\12826-Figures\Figure 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06333" cy="3549588"/>
                    </a:xfrm>
                    <a:prstGeom prst="rect">
                      <a:avLst/>
                    </a:prstGeom>
                    <a:noFill/>
                    <a:ln>
                      <a:noFill/>
                    </a:ln>
                  </pic:spPr>
                </pic:pic>
              </a:graphicData>
            </a:graphic>
          </wp:inline>
        </w:drawing>
      </w:r>
    </w:p>
    <w:p w:rsidR="008A28E4" w:rsidRPr="008A28E4" w:rsidRDefault="008A28E4" w:rsidP="008A28E4">
      <w:pPr>
        <w:spacing w:line="360" w:lineRule="auto"/>
        <w:jc w:val="both"/>
        <w:rPr>
          <w:rFonts w:ascii="Book Antiqua" w:hAnsi="Book Antiqua" w:cs="Times New Roman"/>
          <w:b/>
          <w:bCs/>
          <w:sz w:val="24"/>
          <w:szCs w:val="24"/>
        </w:rPr>
      </w:pPr>
      <w:r w:rsidRPr="008A28E4">
        <w:rPr>
          <w:rFonts w:ascii="Book Antiqua" w:hAnsi="Book Antiqua" w:cs="Times New Roman"/>
          <w:b/>
          <w:bCs/>
          <w:sz w:val="24"/>
          <w:szCs w:val="24"/>
        </w:rPr>
        <w:t xml:space="preserve">Figure 7 Hybrid Technique. </w:t>
      </w:r>
      <w:r w:rsidRPr="008A28E4">
        <w:rPr>
          <w:rFonts w:ascii="Book Antiqua" w:hAnsi="Book Antiqua" w:cs="Times New Roman"/>
          <w:sz w:val="24"/>
          <w:szCs w:val="24"/>
        </w:rPr>
        <w:t>Point C is the calyx to be punctured. Point A corresponds to the Point C with the C arm at 0</w:t>
      </w:r>
      <w:r>
        <w:rPr>
          <w:rFonts w:ascii="Book Antiqua" w:hAnsi="Book Antiqua" w:cs="Times New Roman"/>
          <w:sz w:val="24"/>
          <w:szCs w:val="24"/>
          <w:vertAlign w:val="superscript"/>
        </w:rPr>
        <w:t>°</w:t>
      </w:r>
      <w:r w:rsidRPr="008A28E4">
        <w:rPr>
          <w:rFonts w:ascii="Book Antiqua" w:hAnsi="Book Antiqua" w:cs="Times New Roman"/>
          <w:sz w:val="24"/>
          <w:szCs w:val="24"/>
        </w:rPr>
        <w:t>. Point B corresponds to the point C with the Carm rotated towards the surgeon by 30</w:t>
      </w:r>
      <w:r>
        <w:rPr>
          <w:rFonts w:ascii="Book Antiqua" w:hAnsi="Book Antiqua" w:cs="Times New Roman"/>
          <w:sz w:val="24"/>
          <w:szCs w:val="24"/>
          <w:vertAlign w:val="superscript"/>
        </w:rPr>
        <w:t>°</w:t>
      </w:r>
      <w:r w:rsidRPr="008A28E4">
        <w:rPr>
          <w:rFonts w:ascii="Book Antiqua" w:hAnsi="Book Antiqua" w:cs="Times New Roman"/>
          <w:sz w:val="24"/>
          <w:szCs w:val="24"/>
        </w:rPr>
        <w:t>. The needle held at Point A or B is seen as a Bull's eye effect on the Carm monitor. The distance between points A &amp; B is measured.</w:t>
      </w:r>
      <w:r w:rsidRPr="008A28E4">
        <w:rPr>
          <w:rFonts w:ascii="Book Antiqua" w:hAnsi="Book Antiqua" w:cs="Times New Roman"/>
          <w:b/>
          <w:bCs/>
          <w:sz w:val="24"/>
          <w:szCs w:val="24"/>
        </w:rPr>
        <w:t xml:space="preserve">  </w:t>
      </w:r>
    </w:p>
    <w:p w:rsidR="008A28E4" w:rsidRDefault="008A28E4" w:rsidP="008A28E4">
      <w:pPr>
        <w:spacing w:line="360" w:lineRule="auto"/>
        <w:jc w:val="both"/>
        <w:rPr>
          <w:rFonts w:ascii="Book Antiqua" w:hAnsi="Book Antiqua" w:cs="Times New Roman"/>
          <w:b/>
          <w:bCs/>
          <w:sz w:val="24"/>
          <w:szCs w:val="24"/>
          <w:lang w:eastAsia="zh-CN"/>
        </w:rPr>
      </w:pPr>
      <w:r>
        <w:rPr>
          <w:rFonts w:ascii="Book Antiqua" w:hAnsi="Book Antiqua" w:cs="Times New Roman"/>
          <w:b/>
          <w:bCs/>
          <w:noProof/>
          <w:sz w:val="24"/>
          <w:szCs w:val="24"/>
        </w:rPr>
        <w:drawing>
          <wp:inline distT="0" distB="0" distL="0" distR="0">
            <wp:extent cx="2273675" cy="3006547"/>
            <wp:effectExtent l="0" t="0" r="0" b="0"/>
            <wp:docPr id="10" name="图片 10" descr="E:\修回稿件\可以编的稿子\12826\12826-Figures\Figure 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修回稿件\可以编的稿子\12826\12826-Figures\Figure 8.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73801" cy="3006714"/>
                    </a:xfrm>
                    <a:prstGeom prst="rect">
                      <a:avLst/>
                    </a:prstGeom>
                    <a:noFill/>
                    <a:ln>
                      <a:noFill/>
                    </a:ln>
                  </pic:spPr>
                </pic:pic>
              </a:graphicData>
            </a:graphic>
          </wp:inline>
        </w:drawing>
      </w:r>
    </w:p>
    <w:p w:rsidR="008A28E4" w:rsidRDefault="008A28E4" w:rsidP="008A28E4">
      <w:pPr>
        <w:spacing w:line="360" w:lineRule="auto"/>
        <w:jc w:val="both"/>
        <w:rPr>
          <w:rFonts w:ascii="Book Antiqua" w:hAnsi="Book Antiqua" w:cs="Times New Roman"/>
          <w:sz w:val="24"/>
          <w:szCs w:val="24"/>
          <w:lang w:eastAsia="zh-CN"/>
        </w:rPr>
      </w:pPr>
      <w:r w:rsidRPr="008A28E4">
        <w:rPr>
          <w:rFonts w:ascii="Book Antiqua" w:hAnsi="Book Antiqua" w:cs="Times New Roman"/>
          <w:b/>
          <w:bCs/>
          <w:sz w:val="24"/>
          <w:szCs w:val="24"/>
        </w:rPr>
        <w:t>Figure 8 Hybrid technique.</w:t>
      </w:r>
      <w:r w:rsidRPr="008A28E4">
        <w:rPr>
          <w:rFonts w:ascii="Book Antiqua" w:hAnsi="Book Antiqua" w:cs="Times New Roman"/>
          <w:sz w:val="24"/>
          <w:szCs w:val="24"/>
        </w:rPr>
        <w:t xml:space="preserve"> </w:t>
      </w:r>
      <w:r>
        <w:rPr>
          <w:rFonts w:ascii="Book Antiqua" w:hAnsi="Book Antiqua" w:cs="Times New Roman"/>
          <w:sz w:val="24"/>
          <w:szCs w:val="24"/>
          <w:lang w:eastAsia="zh-CN"/>
        </w:rPr>
        <w:t>“</w:t>
      </w:r>
      <w:r w:rsidRPr="008A28E4">
        <w:rPr>
          <w:rFonts w:ascii="Book Antiqua" w:hAnsi="Book Antiqua" w:cs="Times New Roman"/>
          <w:sz w:val="24"/>
          <w:szCs w:val="24"/>
        </w:rPr>
        <w:t>A</w:t>
      </w:r>
      <w:r>
        <w:rPr>
          <w:rFonts w:ascii="Book Antiqua" w:hAnsi="Book Antiqua" w:cs="Times New Roman"/>
          <w:sz w:val="24"/>
          <w:szCs w:val="24"/>
          <w:lang w:eastAsia="zh-CN"/>
        </w:rPr>
        <w:t>”</w:t>
      </w:r>
      <w:r w:rsidRPr="008A28E4">
        <w:rPr>
          <w:rFonts w:ascii="Book Antiqua" w:hAnsi="Book Antiqua" w:cs="Times New Roman"/>
          <w:sz w:val="24"/>
          <w:szCs w:val="24"/>
        </w:rPr>
        <w:t xml:space="preserve"> is the point on the skin which corresponds to the targeted calyx with the C arm at 0 degree and is the center of an imaginary circle. The distance between </w:t>
      </w:r>
      <w:r>
        <w:rPr>
          <w:rFonts w:ascii="Book Antiqua" w:hAnsi="Book Antiqua" w:cs="Times New Roman"/>
          <w:sz w:val="24"/>
          <w:szCs w:val="24"/>
          <w:lang w:eastAsia="zh-CN"/>
        </w:rPr>
        <w:t>“</w:t>
      </w:r>
      <w:r w:rsidRPr="008A28E4">
        <w:rPr>
          <w:rFonts w:ascii="Book Antiqua" w:hAnsi="Book Antiqua" w:cs="Times New Roman"/>
          <w:sz w:val="24"/>
          <w:szCs w:val="24"/>
        </w:rPr>
        <w:t>A</w:t>
      </w:r>
      <w:r>
        <w:rPr>
          <w:rFonts w:ascii="Book Antiqua" w:hAnsi="Book Antiqua" w:cs="Times New Roman"/>
          <w:sz w:val="24"/>
          <w:szCs w:val="24"/>
          <w:lang w:eastAsia="zh-CN"/>
        </w:rPr>
        <w:t>”</w:t>
      </w:r>
      <w:r w:rsidRPr="008A28E4">
        <w:rPr>
          <w:rFonts w:ascii="Book Antiqua" w:hAnsi="Book Antiqua" w:cs="Times New Roman"/>
          <w:sz w:val="24"/>
          <w:szCs w:val="24"/>
        </w:rPr>
        <w:t xml:space="preserve"> to </w:t>
      </w:r>
      <w:r>
        <w:rPr>
          <w:rFonts w:ascii="Book Antiqua" w:hAnsi="Book Antiqua" w:cs="Times New Roman"/>
          <w:sz w:val="24"/>
          <w:szCs w:val="24"/>
          <w:lang w:eastAsia="zh-CN"/>
        </w:rPr>
        <w:t>“</w:t>
      </w:r>
      <w:r w:rsidRPr="008A28E4">
        <w:rPr>
          <w:rFonts w:ascii="Book Antiqua" w:hAnsi="Book Antiqua" w:cs="Times New Roman"/>
          <w:sz w:val="24"/>
          <w:szCs w:val="24"/>
        </w:rPr>
        <w:t>B1</w:t>
      </w:r>
      <w:r>
        <w:rPr>
          <w:rFonts w:ascii="Book Antiqua" w:hAnsi="Book Antiqua" w:cs="Times New Roman"/>
          <w:sz w:val="24"/>
          <w:szCs w:val="24"/>
          <w:lang w:eastAsia="zh-CN"/>
        </w:rPr>
        <w:t>”</w:t>
      </w:r>
      <w:r w:rsidRPr="008A28E4">
        <w:rPr>
          <w:rFonts w:ascii="Book Antiqua" w:hAnsi="Book Antiqua" w:cs="Times New Roman"/>
          <w:sz w:val="24"/>
          <w:szCs w:val="24"/>
        </w:rPr>
        <w:t xml:space="preserve"> is equal to the distance between the </w:t>
      </w:r>
      <w:r>
        <w:rPr>
          <w:rFonts w:ascii="Book Antiqua" w:hAnsi="Book Antiqua" w:cs="Times New Roman"/>
          <w:sz w:val="24"/>
          <w:szCs w:val="24"/>
          <w:lang w:eastAsia="zh-CN"/>
        </w:rPr>
        <w:t>“</w:t>
      </w:r>
      <w:r w:rsidRPr="008A28E4">
        <w:rPr>
          <w:rFonts w:ascii="Book Antiqua" w:hAnsi="Book Antiqua" w:cs="Times New Roman"/>
          <w:sz w:val="24"/>
          <w:szCs w:val="24"/>
        </w:rPr>
        <w:t>A</w:t>
      </w:r>
      <w:r>
        <w:rPr>
          <w:rFonts w:ascii="Book Antiqua" w:hAnsi="Book Antiqua" w:cs="Times New Roman"/>
          <w:sz w:val="24"/>
          <w:szCs w:val="24"/>
          <w:lang w:eastAsia="zh-CN"/>
        </w:rPr>
        <w:t>”</w:t>
      </w:r>
      <w:r w:rsidRPr="008A28E4">
        <w:rPr>
          <w:rFonts w:ascii="Book Antiqua" w:hAnsi="Book Antiqua" w:cs="Times New Roman"/>
          <w:sz w:val="24"/>
          <w:szCs w:val="24"/>
        </w:rPr>
        <w:t xml:space="preserve"> to </w:t>
      </w:r>
      <w:r>
        <w:rPr>
          <w:rFonts w:ascii="Book Antiqua" w:hAnsi="Book Antiqua" w:cs="Times New Roman"/>
          <w:sz w:val="24"/>
          <w:szCs w:val="24"/>
          <w:lang w:eastAsia="zh-CN"/>
        </w:rPr>
        <w:t>“</w:t>
      </w:r>
      <w:r w:rsidRPr="008A28E4">
        <w:rPr>
          <w:rFonts w:ascii="Book Antiqua" w:hAnsi="Book Antiqua" w:cs="Times New Roman"/>
          <w:sz w:val="24"/>
          <w:szCs w:val="24"/>
        </w:rPr>
        <w:t>B</w:t>
      </w:r>
      <w:r>
        <w:rPr>
          <w:rFonts w:ascii="Book Antiqua" w:hAnsi="Book Antiqua" w:cs="Times New Roman"/>
          <w:sz w:val="24"/>
          <w:szCs w:val="24"/>
          <w:lang w:eastAsia="zh-CN"/>
        </w:rPr>
        <w:t>”</w:t>
      </w:r>
      <w:r>
        <w:rPr>
          <w:rFonts w:ascii="Book Antiqua" w:hAnsi="Book Antiqua" w:cs="Times New Roman" w:hint="eastAsia"/>
          <w:sz w:val="24"/>
          <w:szCs w:val="24"/>
          <w:lang w:eastAsia="zh-CN"/>
        </w:rPr>
        <w:t>,</w:t>
      </w:r>
      <w:r w:rsidRPr="008A28E4">
        <w:rPr>
          <w:rFonts w:ascii="Book Antiqua" w:hAnsi="Book Antiqua" w:cs="Times New Roman"/>
          <w:sz w:val="24"/>
          <w:szCs w:val="24"/>
        </w:rPr>
        <w:t xml:space="preserve"> </w:t>
      </w:r>
      <w:r w:rsidRPr="008A28E4">
        <w:rPr>
          <w:rFonts w:ascii="Book Antiqua" w:hAnsi="Book Antiqua" w:cs="Times New Roman"/>
          <w:i/>
          <w:sz w:val="24"/>
          <w:szCs w:val="24"/>
        </w:rPr>
        <w:t>i.e.</w:t>
      </w:r>
      <w:r w:rsidRPr="008A28E4">
        <w:rPr>
          <w:rFonts w:ascii="Book Antiqua" w:hAnsi="Book Antiqua" w:cs="Times New Roman" w:hint="eastAsia"/>
          <w:i/>
          <w:sz w:val="24"/>
          <w:szCs w:val="24"/>
          <w:lang w:eastAsia="zh-CN"/>
        </w:rPr>
        <w:t>,</w:t>
      </w:r>
      <w:r w:rsidRPr="008A28E4">
        <w:rPr>
          <w:rFonts w:ascii="Book Antiqua" w:hAnsi="Book Antiqua" w:cs="Times New Roman"/>
          <w:sz w:val="24"/>
          <w:szCs w:val="24"/>
        </w:rPr>
        <w:t xml:space="preserve"> the radius of the circle</w:t>
      </w:r>
      <w:r>
        <w:rPr>
          <w:rFonts w:ascii="Book Antiqua" w:hAnsi="Book Antiqua" w:cs="Times New Roman" w:hint="eastAsia"/>
          <w:sz w:val="24"/>
          <w:szCs w:val="24"/>
          <w:lang w:eastAsia="zh-CN"/>
        </w:rPr>
        <w:t>.</w:t>
      </w:r>
    </w:p>
    <w:p w:rsidR="008A28E4" w:rsidRPr="008A28E4" w:rsidRDefault="008A28E4" w:rsidP="008A28E4">
      <w:pPr>
        <w:spacing w:line="360" w:lineRule="auto"/>
        <w:jc w:val="both"/>
        <w:rPr>
          <w:rFonts w:ascii="Book Antiqua" w:hAnsi="Book Antiqua" w:cs="Times New Roman"/>
          <w:sz w:val="24"/>
          <w:szCs w:val="24"/>
          <w:lang w:eastAsia="zh-CN"/>
        </w:rPr>
      </w:pPr>
      <w:r>
        <w:rPr>
          <w:rFonts w:ascii="Book Antiqua" w:hAnsi="Book Antiqua" w:cs="Times New Roman"/>
          <w:noProof/>
          <w:sz w:val="24"/>
          <w:szCs w:val="24"/>
        </w:rPr>
        <w:drawing>
          <wp:inline distT="0" distB="0" distL="0" distR="0">
            <wp:extent cx="3081119" cy="2523744"/>
            <wp:effectExtent l="0" t="0" r="0" b="0"/>
            <wp:docPr id="11" name="图片 11" descr="E:\修回稿件\可以编的稿子\12826\12826-Figures\Figure 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修回稿件\可以编的稿子\12826\12826-Figures\Figure 9.t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81309" cy="2523900"/>
                    </a:xfrm>
                    <a:prstGeom prst="rect">
                      <a:avLst/>
                    </a:prstGeom>
                    <a:noFill/>
                    <a:ln>
                      <a:noFill/>
                    </a:ln>
                  </pic:spPr>
                </pic:pic>
              </a:graphicData>
            </a:graphic>
          </wp:inline>
        </w:drawing>
      </w:r>
    </w:p>
    <w:p w:rsidR="008A28E4" w:rsidRDefault="008A28E4" w:rsidP="008A28E4">
      <w:pPr>
        <w:spacing w:line="360" w:lineRule="auto"/>
        <w:jc w:val="both"/>
        <w:rPr>
          <w:rFonts w:ascii="Book Antiqua" w:hAnsi="Book Antiqua" w:cs="Times New Roman"/>
          <w:sz w:val="24"/>
          <w:szCs w:val="24"/>
          <w:lang w:eastAsia="zh-CN"/>
        </w:rPr>
      </w:pPr>
      <w:r w:rsidRPr="008A28E4">
        <w:rPr>
          <w:rFonts w:ascii="Book Antiqua" w:hAnsi="Book Antiqua" w:cs="Times New Roman"/>
          <w:b/>
          <w:bCs/>
          <w:sz w:val="24"/>
          <w:szCs w:val="24"/>
        </w:rPr>
        <w:t>Figure 9 Hybrid technique</w:t>
      </w:r>
      <w:r w:rsidRPr="008A28E4">
        <w:rPr>
          <w:rFonts w:ascii="Book Antiqua" w:hAnsi="Book Antiqua" w:cs="Times New Roman"/>
          <w:sz w:val="24"/>
          <w:szCs w:val="24"/>
        </w:rPr>
        <w:t>. The angle which the needle makes with the skin surface is measured using a protractor.</w:t>
      </w:r>
    </w:p>
    <w:p w:rsidR="008A28E4" w:rsidRPr="008A28E4" w:rsidRDefault="008A28E4" w:rsidP="008A28E4">
      <w:pPr>
        <w:spacing w:line="360" w:lineRule="auto"/>
        <w:jc w:val="both"/>
        <w:rPr>
          <w:rFonts w:ascii="Book Antiqua" w:hAnsi="Book Antiqua" w:cs="Times New Roman"/>
          <w:sz w:val="24"/>
          <w:szCs w:val="24"/>
          <w:lang w:eastAsia="zh-CN"/>
        </w:rPr>
      </w:pPr>
      <w:r w:rsidRPr="008A28E4">
        <w:rPr>
          <w:rFonts w:ascii="Book Antiqua" w:hAnsi="Book Antiqua" w:cs="Times New Roman"/>
          <w:noProof/>
          <w:sz w:val="24"/>
          <w:szCs w:val="24"/>
        </w:rPr>
        <w:drawing>
          <wp:inline distT="0" distB="0" distL="0" distR="0" wp14:anchorId="4BDE64FF" wp14:editId="2DD56B85">
            <wp:extent cx="2756106" cy="1858060"/>
            <wp:effectExtent l="0" t="0" r="0" b="0"/>
            <wp:docPr id="89090" name="Content Placeholder 3" descr="DSC02698.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9090" name="Content Placeholder 3" descr="DSC02698.JPG"/>
                    <pic:cNvPicPr>
                      <a:picLocks noGrp="1" noChangeAspect="1"/>
                    </pic:cNvPicPr>
                  </pic:nvPicPr>
                  <pic:blipFill>
                    <a:blip r:embed="rId20" cstate="print"/>
                    <a:srcRect t="49673" r="8904"/>
                    <a:stretch>
                      <a:fillRect/>
                    </a:stretch>
                  </pic:blipFill>
                  <pic:spPr>
                    <a:xfrm>
                      <a:off x="0" y="0"/>
                      <a:ext cx="2758259" cy="1859511"/>
                    </a:xfrm>
                    <a:prstGeom prst="rect">
                      <a:avLst/>
                    </a:prstGeom>
                  </pic:spPr>
                </pic:pic>
              </a:graphicData>
            </a:graphic>
          </wp:inline>
        </w:drawing>
      </w:r>
      <w:r w:rsidRPr="008A28E4">
        <w:rPr>
          <w:rFonts w:ascii="Book Antiqua" w:hAnsi="Book Antiqua" w:cs="Times New Roman"/>
          <w:noProof/>
          <w:sz w:val="24"/>
          <w:szCs w:val="24"/>
        </w:rPr>
        <w:drawing>
          <wp:inline distT="0" distB="0" distL="0" distR="0" wp14:anchorId="4AB2F315" wp14:editId="4E243F20">
            <wp:extent cx="2677364" cy="1805664"/>
            <wp:effectExtent l="0" t="0" r="0" b="0"/>
            <wp:docPr id="89092" name="Content Placeholder 3" descr="DSC02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2" name="Content Placeholder 3" descr="DSC02698.JPG"/>
                    <pic:cNvPicPr>
                      <a:picLocks noChangeAspect="1"/>
                    </pic:cNvPicPr>
                  </pic:nvPicPr>
                  <pic:blipFill>
                    <a:blip r:embed="rId20" cstate="print"/>
                    <a:srcRect t="49673" r="8904"/>
                    <a:stretch>
                      <a:fillRect/>
                    </a:stretch>
                  </pic:blipFill>
                  <pic:spPr bwMode="auto">
                    <a:xfrm>
                      <a:off x="0" y="0"/>
                      <a:ext cx="2678434" cy="1806386"/>
                    </a:xfrm>
                    <a:prstGeom prst="rect">
                      <a:avLst/>
                    </a:prstGeom>
                    <a:noFill/>
                    <a:ln w="9525">
                      <a:noFill/>
                      <a:miter lim="800000"/>
                      <a:headEnd/>
                      <a:tailEnd/>
                    </a:ln>
                  </pic:spPr>
                </pic:pic>
              </a:graphicData>
            </a:graphic>
          </wp:inline>
        </w:drawing>
      </w:r>
    </w:p>
    <w:p w:rsidR="008A28E4" w:rsidRPr="008A28E4" w:rsidRDefault="008A28E4" w:rsidP="008A28E4">
      <w:pPr>
        <w:spacing w:line="360" w:lineRule="auto"/>
        <w:jc w:val="both"/>
        <w:rPr>
          <w:rFonts w:ascii="Book Antiqua" w:hAnsi="Book Antiqua" w:cs="Times New Roman"/>
          <w:sz w:val="24"/>
          <w:szCs w:val="24"/>
          <w:lang w:eastAsia="zh-CN"/>
        </w:rPr>
      </w:pPr>
      <w:r w:rsidRPr="008A28E4">
        <w:rPr>
          <w:rFonts w:ascii="Book Antiqua" w:hAnsi="Book Antiqua" w:cs="Times New Roman"/>
          <w:b/>
          <w:bCs/>
          <w:sz w:val="24"/>
          <w:szCs w:val="24"/>
        </w:rPr>
        <w:t>Figure</w:t>
      </w:r>
      <w:r w:rsidR="004B6E8A">
        <w:rPr>
          <w:rFonts w:ascii="Book Antiqua" w:hAnsi="Book Antiqua" w:cs="Times New Roman"/>
          <w:b/>
          <w:bCs/>
          <w:sz w:val="24"/>
          <w:szCs w:val="24"/>
        </w:rPr>
        <w:t xml:space="preserve"> </w:t>
      </w:r>
      <w:bookmarkStart w:id="65" w:name="_GoBack"/>
      <w:bookmarkEnd w:id="65"/>
      <w:r w:rsidRPr="008A28E4">
        <w:rPr>
          <w:rFonts w:ascii="Book Antiqua" w:hAnsi="Book Antiqua" w:cs="Times New Roman"/>
          <w:b/>
          <w:bCs/>
          <w:sz w:val="24"/>
          <w:szCs w:val="24"/>
        </w:rPr>
        <w:t xml:space="preserve">10 Calyceal Puncture.  </w:t>
      </w:r>
      <w:r w:rsidRPr="008A28E4">
        <w:rPr>
          <w:rFonts w:ascii="Book Antiqua" w:hAnsi="Book Antiqua" w:cs="Times New Roman"/>
          <w:sz w:val="24"/>
          <w:szCs w:val="24"/>
        </w:rPr>
        <w:t>A:</w:t>
      </w:r>
      <w:r w:rsidRPr="008A28E4">
        <w:rPr>
          <w:rFonts w:ascii="Book Antiqua" w:hAnsi="Book Antiqua" w:cs="Times New Roman"/>
          <w:b/>
          <w:bCs/>
          <w:sz w:val="24"/>
          <w:szCs w:val="24"/>
        </w:rPr>
        <w:t xml:space="preserve"> </w:t>
      </w:r>
      <w:r w:rsidRPr="008A28E4">
        <w:rPr>
          <w:rFonts w:ascii="Book Antiqua" w:hAnsi="Book Antiqua" w:cs="Times New Roman"/>
          <w:sz w:val="24"/>
          <w:szCs w:val="24"/>
        </w:rPr>
        <w:t>If the posterior calyx is punctured than the glide w</w:t>
      </w:r>
      <w:r>
        <w:rPr>
          <w:rFonts w:ascii="Book Antiqua" w:hAnsi="Book Antiqua" w:cs="Times New Roman"/>
          <w:sz w:val="24"/>
          <w:szCs w:val="24"/>
        </w:rPr>
        <w:t>ire passes easily in the pelvis</w:t>
      </w:r>
      <w:r>
        <w:rPr>
          <w:rFonts w:ascii="Book Antiqua" w:hAnsi="Book Antiqua" w:cs="Times New Roman" w:hint="eastAsia"/>
          <w:sz w:val="24"/>
          <w:szCs w:val="24"/>
          <w:lang w:eastAsia="zh-CN"/>
        </w:rPr>
        <w:t>;</w:t>
      </w:r>
      <w:r w:rsidRPr="008A28E4">
        <w:rPr>
          <w:rFonts w:ascii="Book Antiqua" w:hAnsi="Book Antiqua" w:cs="Times New Roman"/>
          <w:sz w:val="24"/>
          <w:szCs w:val="24"/>
        </w:rPr>
        <w:t xml:space="preserve"> B: if the anterior calyx is punctured than the glide wire gets coiled in the calyx before it makes its way to the pelvis</w:t>
      </w:r>
      <w:r w:rsidR="00EA414E">
        <w:rPr>
          <w:rFonts w:ascii="Book Antiqua" w:hAnsi="Book Antiqua" w:cs="Times New Roman" w:hint="eastAsia"/>
          <w:sz w:val="24"/>
          <w:szCs w:val="24"/>
          <w:lang w:eastAsia="zh-CN"/>
        </w:rPr>
        <w:t>.</w:t>
      </w:r>
    </w:p>
    <w:p w:rsidR="00E503CC" w:rsidRPr="008A28E4" w:rsidRDefault="00E503CC" w:rsidP="008A28E4">
      <w:pPr>
        <w:spacing w:after="0" w:line="360" w:lineRule="auto"/>
        <w:jc w:val="both"/>
        <w:rPr>
          <w:rFonts w:ascii="Book Antiqua" w:hAnsi="Book Antiqua" w:cs="Times New Roman"/>
          <w:b/>
          <w:sz w:val="24"/>
          <w:szCs w:val="24"/>
          <w:lang w:eastAsia="zh-CN"/>
        </w:rPr>
      </w:pPr>
    </w:p>
    <w:sectPr w:rsidR="00E503CC" w:rsidRPr="008A28E4" w:rsidSect="00472E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23EB" w:rsidRDefault="008723EB" w:rsidP="0077312E">
      <w:pPr>
        <w:spacing w:after="0" w:line="240" w:lineRule="auto"/>
      </w:pPr>
      <w:r>
        <w:separator/>
      </w:r>
    </w:p>
  </w:endnote>
  <w:endnote w:type="continuationSeparator" w:id="0">
    <w:p w:rsidR="008723EB" w:rsidRDefault="008723EB" w:rsidP="007731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auto"/>
    <w:pitch w:val="variable"/>
    <w:sig w:usb0="E0002AFF" w:usb1="C0007843" w:usb2="00000009" w:usb3="00000000" w:csb0="000001FF" w:csb1="00000000"/>
  </w:font>
  <w:font w:name="Calibri">
    <w:altName w:val="Calibri"/>
    <w:panose1 w:val="020F0502020204030204"/>
    <w:charset w:val="00"/>
    <w:family w:val="auto"/>
    <w:pitch w:val="variable"/>
    <w:sig w:usb0="E10002FF" w:usb1="4000ACFF" w:usb2="00000009" w:usb3="00000000" w:csb0="0000019F" w:csb1="00000000"/>
  </w:font>
  <w:font w:name="宋体">
    <w:altName w:val="SimSun"/>
    <w:charset w:val="50"/>
    <w:family w:val="auto"/>
    <w:pitch w:val="variable"/>
    <w:sig w:usb0="00000001" w:usb1="080E0000" w:usb2="00000010" w:usb3="00000000" w:csb0="00040000" w:csb1="00000000"/>
  </w:font>
  <w:font w:name="Mangal">
    <w:panose1 w:val="00000000000000000000"/>
    <w:charset w:val="01"/>
    <w:family w:val="roman"/>
    <w:notTrueType/>
    <w:pitch w:val="variable"/>
    <w:sig w:usb0="00002000" w:usb1="00000000" w:usb2="00000000" w:usb3="00000000" w:csb0="00000000"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Book Antiqua">
    <w:altName w:val="Book Antiqua"/>
    <w:panose1 w:val="02040602050305030304"/>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MS Mincho">
    <w:altName w:val="ＭＳ 明朝"/>
    <w:charset w:val="80"/>
    <w:family w:val="modern"/>
    <w:pitch w:val="fixed"/>
    <w:sig w:usb0="E00002FF" w:usb1="6AC7FDFB" w:usb2="00000012" w:usb3="00000000" w:csb0="0002009F" w:csb1="00000000"/>
  </w:font>
  <w:font w:name="Gulim">
    <w:altName w:val="굴림"/>
    <w:charset w:val="81"/>
    <w:family w:val="swiss"/>
    <w:pitch w:val="variable"/>
    <w:sig w:usb0="B00002AF" w:usb1="69D77CFB" w:usb2="00000030" w:usb3="00000000" w:csb0="0008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23EB" w:rsidRDefault="008723EB" w:rsidP="0077312E">
      <w:pPr>
        <w:spacing w:after="0" w:line="240" w:lineRule="auto"/>
      </w:pPr>
      <w:r>
        <w:separator/>
      </w:r>
    </w:p>
  </w:footnote>
  <w:footnote w:type="continuationSeparator" w:id="0">
    <w:p w:rsidR="008723EB" w:rsidRDefault="008723EB" w:rsidP="0077312E">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0019B"/>
    <w:multiLevelType w:val="hybridMultilevel"/>
    <w:tmpl w:val="6798B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B84498"/>
    <w:multiLevelType w:val="hybridMultilevel"/>
    <w:tmpl w:val="8A846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155956"/>
    <w:multiLevelType w:val="hybridMultilevel"/>
    <w:tmpl w:val="17DE03F4"/>
    <w:lvl w:ilvl="0" w:tplc="04090001">
      <w:start w:val="1"/>
      <w:numFmt w:val="bullet"/>
      <w:lvlText w:val=""/>
      <w:lvlJc w:val="left"/>
      <w:pPr>
        <w:ind w:left="1496" w:hanging="360"/>
      </w:pPr>
      <w:rPr>
        <w:rFonts w:ascii="Symbol" w:hAnsi="Symbol" w:hint="default"/>
      </w:rPr>
    </w:lvl>
    <w:lvl w:ilvl="1" w:tplc="04090003" w:tentative="1">
      <w:start w:val="1"/>
      <w:numFmt w:val="bullet"/>
      <w:lvlText w:val="o"/>
      <w:lvlJc w:val="left"/>
      <w:pPr>
        <w:ind w:left="2216" w:hanging="360"/>
      </w:pPr>
      <w:rPr>
        <w:rFonts w:ascii="Courier New" w:hAnsi="Courier New" w:cs="Courier New" w:hint="default"/>
      </w:rPr>
    </w:lvl>
    <w:lvl w:ilvl="2" w:tplc="04090005" w:tentative="1">
      <w:start w:val="1"/>
      <w:numFmt w:val="bullet"/>
      <w:lvlText w:val=""/>
      <w:lvlJc w:val="left"/>
      <w:pPr>
        <w:ind w:left="2936" w:hanging="360"/>
      </w:pPr>
      <w:rPr>
        <w:rFonts w:ascii="Wingdings" w:hAnsi="Wingdings" w:hint="default"/>
      </w:rPr>
    </w:lvl>
    <w:lvl w:ilvl="3" w:tplc="04090001" w:tentative="1">
      <w:start w:val="1"/>
      <w:numFmt w:val="bullet"/>
      <w:lvlText w:val=""/>
      <w:lvlJc w:val="left"/>
      <w:pPr>
        <w:ind w:left="3656" w:hanging="360"/>
      </w:pPr>
      <w:rPr>
        <w:rFonts w:ascii="Symbol" w:hAnsi="Symbol" w:hint="default"/>
      </w:rPr>
    </w:lvl>
    <w:lvl w:ilvl="4" w:tplc="04090003" w:tentative="1">
      <w:start w:val="1"/>
      <w:numFmt w:val="bullet"/>
      <w:lvlText w:val="o"/>
      <w:lvlJc w:val="left"/>
      <w:pPr>
        <w:ind w:left="4376" w:hanging="360"/>
      </w:pPr>
      <w:rPr>
        <w:rFonts w:ascii="Courier New" w:hAnsi="Courier New" w:cs="Courier New" w:hint="default"/>
      </w:rPr>
    </w:lvl>
    <w:lvl w:ilvl="5" w:tplc="04090005" w:tentative="1">
      <w:start w:val="1"/>
      <w:numFmt w:val="bullet"/>
      <w:lvlText w:val=""/>
      <w:lvlJc w:val="left"/>
      <w:pPr>
        <w:ind w:left="5096" w:hanging="360"/>
      </w:pPr>
      <w:rPr>
        <w:rFonts w:ascii="Wingdings" w:hAnsi="Wingdings" w:hint="default"/>
      </w:rPr>
    </w:lvl>
    <w:lvl w:ilvl="6" w:tplc="04090001" w:tentative="1">
      <w:start w:val="1"/>
      <w:numFmt w:val="bullet"/>
      <w:lvlText w:val=""/>
      <w:lvlJc w:val="left"/>
      <w:pPr>
        <w:ind w:left="5816" w:hanging="360"/>
      </w:pPr>
      <w:rPr>
        <w:rFonts w:ascii="Symbol" w:hAnsi="Symbol" w:hint="default"/>
      </w:rPr>
    </w:lvl>
    <w:lvl w:ilvl="7" w:tplc="04090003" w:tentative="1">
      <w:start w:val="1"/>
      <w:numFmt w:val="bullet"/>
      <w:lvlText w:val="o"/>
      <w:lvlJc w:val="left"/>
      <w:pPr>
        <w:ind w:left="6536" w:hanging="360"/>
      </w:pPr>
      <w:rPr>
        <w:rFonts w:ascii="Courier New" w:hAnsi="Courier New" w:cs="Courier New" w:hint="default"/>
      </w:rPr>
    </w:lvl>
    <w:lvl w:ilvl="8" w:tplc="04090005" w:tentative="1">
      <w:start w:val="1"/>
      <w:numFmt w:val="bullet"/>
      <w:lvlText w:val=""/>
      <w:lvlJc w:val="left"/>
      <w:pPr>
        <w:ind w:left="7256" w:hanging="360"/>
      </w:pPr>
      <w:rPr>
        <w:rFonts w:ascii="Wingdings" w:hAnsi="Wingdings" w:hint="default"/>
      </w:rPr>
    </w:lvl>
  </w:abstractNum>
  <w:abstractNum w:abstractNumId="3">
    <w:nsid w:val="0FA97DD8"/>
    <w:multiLevelType w:val="hybridMultilevel"/>
    <w:tmpl w:val="37F8AB16"/>
    <w:lvl w:ilvl="0" w:tplc="0409000F">
      <w:start w:val="1"/>
      <w:numFmt w:val="decimal"/>
      <w:lvlText w:val="%1."/>
      <w:lvlJc w:val="left"/>
      <w:pPr>
        <w:ind w:left="90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206178"/>
    <w:multiLevelType w:val="hybridMultilevel"/>
    <w:tmpl w:val="10FC0970"/>
    <w:lvl w:ilvl="0" w:tplc="52260B20">
      <w:start w:val="1"/>
      <w:numFmt w:val="bullet"/>
      <w:lvlText w:val="•"/>
      <w:lvlJc w:val="left"/>
      <w:pPr>
        <w:tabs>
          <w:tab w:val="num" w:pos="720"/>
        </w:tabs>
        <w:ind w:left="720" w:hanging="360"/>
      </w:pPr>
      <w:rPr>
        <w:rFonts w:ascii="Arial" w:hAnsi="Arial" w:hint="default"/>
      </w:rPr>
    </w:lvl>
    <w:lvl w:ilvl="1" w:tplc="4BA2DD6A" w:tentative="1">
      <w:start w:val="1"/>
      <w:numFmt w:val="bullet"/>
      <w:lvlText w:val="•"/>
      <w:lvlJc w:val="left"/>
      <w:pPr>
        <w:tabs>
          <w:tab w:val="num" w:pos="1440"/>
        </w:tabs>
        <w:ind w:left="1440" w:hanging="360"/>
      </w:pPr>
      <w:rPr>
        <w:rFonts w:ascii="Arial" w:hAnsi="Arial" w:hint="default"/>
      </w:rPr>
    </w:lvl>
    <w:lvl w:ilvl="2" w:tplc="D5FA8EF6" w:tentative="1">
      <w:start w:val="1"/>
      <w:numFmt w:val="bullet"/>
      <w:lvlText w:val="•"/>
      <w:lvlJc w:val="left"/>
      <w:pPr>
        <w:tabs>
          <w:tab w:val="num" w:pos="2160"/>
        </w:tabs>
        <w:ind w:left="2160" w:hanging="360"/>
      </w:pPr>
      <w:rPr>
        <w:rFonts w:ascii="Arial" w:hAnsi="Arial" w:hint="default"/>
      </w:rPr>
    </w:lvl>
    <w:lvl w:ilvl="3" w:tplc="0A223756" w:tentative="1">
      <w:start w:val="1"/>
      <w:numFmt w:val="bullet"/>
      <w:lvlText w:val="•"/>
      <w:lvlJc w:val="left"/>
      <w:pPr>
        <w:tabs>
          <w:tab w:val="num" w:pos="2880"/>
        </w:tabs>
        <w:ind w:left="2880" w:hanging="360"/>
      </w:pPr>
      <w:rPr>
        <w:rFonts w:ascii="Arial" w:hAnsi="Arial" w:hint="default"/>
      </w:rPr>
    </w:lvl>
    <w:lvl w:ilvl="4" w:tplc="3CDE765E" w:tentative="1">
      <w:start w:val="1"/>
      <w:numFmt w:val="bullet"/>
      <w:lvlText w:val="•"/>
      <w:lvlJc w:val="left"/>
      <w:pPr>
        <w:tabs>
          <w:tab w:val="num" w:pos="3600"/>
        </w:tabs>
        <w:ind w:left="3600" w:hanging="360"/>
      </w:pPr>
      <w:rPr>
        <w:rFonts w:ascii="Arial" w:hAnsi="Arial" w:hint="default"/>
      </w:rPr>
    </w:lvl>
    <w:lvl w:ilvl="5" w:tplc="67EC4492" w:tentative="1">
      <w:start w:val="1"/>
      <w:numFmt w:val="bullet"/>
      <w:lvlText w:val="•"/>
      <w:lvlJc w:val="left"/>
      <w:pPr>
        <w:tabs>
          <w:tab w:val="num" w:pos="4320"/>
        </w:tabs>
        <w:ind w:left="4320" w:hanging="360"/>
      </w:pPr>
      <w:rPr>
        <w:rFonts w:ascii="Arial" w:hAnsi="Arial" w:hint="default"/>
      </w:rPr>
    </w:lvl>
    <w:lvl w:ilvl="6" w:tplc="0786F41A" w:tentative="1">
      <w:start w:val="1"/>
      <w:numFmt w:val="bullet"/>
      <w:lvlText w:val="•"/>
      <w:lvlJc w:val="left"/>
      <w:pPr>
        <w:tabs>
          <w:tab w:val="num" w:pos="5040"/>
        </w:tabs>
        <w:ind w:left="5040" w:hanging="360"/>
      </w:pPr>
      <w:rPr>
        <w:rFonts w:ascii="Arial" w:hAnsi="Arial" w:hint="default"/>
      </w:rPr>
    </w:lvl>
    <w:lvl w:ilvl="7" w:tplc="1C987A64" w:tentative="1">
      <w:start w:val="1"/>
      <w:numFmt w:val="bullet"/>
      <w:lvlText w:val="•"/>
      <w:lvlJc w:val="left"/>
      <w:pPr>
        <w:tabs>
          <w:tab w:val="num" w:pos="5760"/>
        </w:tabs>
        <w:ind w:left="5760" w:hanging="360"/>
      </w:pPr>
      <w:rPr>
        <w:rFonts w:ascii="Arial" w:hAnsi="Arial" w:hint="default"/>
      </w:rPr>
    </w:lvl>
    <w:lvl w:ilvl="8" w:tplc="F286935A" w:tentative="1">
      <w:start w:val="1"/>
      <w:numFmt w:val="bullet"/>
      <w:lvlText w:val="•"/>
      <w:lvlJc w:val="left"/>
      <w:pPr>
        <w:tabs>
          <w:tab w:val="num" w:pos="6480"/>
        </w:tabs>
        <w:ind w:left="6480" w:hanging="360"/>
      </w:pPr>
      <w:rPr>
        <w:rFonts w:ascii="Arial" w:hAnsi="Arial" w:hint="default"/>
      </w:rPr>
    </w:lvl>
  </w:abstractNum>
  <w:abstractNum w:abstractNumId="5">
    <w:nsid w:val="216A26EE"/>
    <w:multiLevelType w:val="hybridMultilevel"/>
    <w:tmpl w:val="6F2EA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5AD253F"/>
    <w:multiLevelType w:val="hybridMultilevel"/>
    <w:tmpl w:val="516E3F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C5557E"/>
    <w:multiLevelType w:val="hybridMultilevel"/>
    <w:tmpl w:val="299CA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F9F30AA"/>
    <w:multiLevelType w:val="hybridMultilevel"/>
    <w:tmpl w:val="4DB461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8CC2799"/>
    <w:multiLevelType w:val="hybridMultilevel"/>
    <w:tmpl w:val="86CA65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D343A88"/>
    <w:multiLevelType w:val="hybridMultilevel"/>
    <w:tmpl w:val="83B4F9CA"/>
    <w:lvl w:ilvl="0" w:tplc="0409000B">
      <w:start w:val="1"/>
      <w:numFmt w:val="bullet"/>
      <w:lvlText w:val=""/>
      <w:lvlJc w:val="left"/>
      <w:pPr>
        <w:ind w:left="1496" w:hanging="360"/>
      </w:pPr>
      <w:rPr>
        <w:rFonts w:ascii="Wingdings" w:hAnsi="Wingdings" w:hint="default"/>
      </w:rPr>
    </w:lvl>
    <w:lvl w:ilvl="1" w:tplc="04090003" w:tentative="1">
      <w:start w:val="1"/>
      <w:numFmt w:val="bullet"/>
      <w:lvlText w:val="o"/>
      <w:lvlJc w:val="left"/>
      <w:pPr>
        <w:ind w:left="2216" w:hanging="360"/>
      </w:pPr>
      <w:rPr>
        <w:rFonts w:ascii="Courier New" w:hAnsi="Courier New" w:cs="Courier New" w:hint="default"/>
      </w:rPr>
    </w:lvl>
    <w:lvl w:ilvl="2" w:tplc="04090005" w:tentative="1">
      <w:start w:val="1"/>
      <w:numFmt w:val="bullet"/>
      <w:lvlText w:val=""/>
      <w:lvlJc w:val="left"/>
      <w:pPr>
        <w:ind w:left="2936" w:hanging="360"/>
      </w:pPr>
      <w:rPr>
        <w:rFonts w:ascii="Wingdings" w:hAnsi="Wingdings" w:hint="default"/>
      </w:rPr>
    </w:lvl>
    <w:lvl w:ilvl="3" w:tplc="04090001" w:tentative="1">
      <w:start w:val="1"/>
      <w:numFmt w:val="bullet"/>
      <w:lvlText w:val=""/>
      <w:lvlJc w:val="left"/>
      <w:pPr>
        <w:ind w:left="3656" w:hanging="360"/>
      </w:pPr>
      <w:rPr>
        <w:rFonts w:ascii="Symbol" w:hAnsi="Symbol" w:hint="default"/>
      </w:rPr>
    </w:lvl>
    <w:lvl w:ilvl="4" w:tplc="04090003" w:tentative="1">
      <w:start w:val="1"/>
      <w:numFmt w:val="bullet"/>
      <w:lvlText w:val="o"/>
      <w:lvlJc w:val="left"/>
      <w:pPr>
        <w:ind w:left="4376" w:hanging="360"/>
      </w:pPr>
      <w:rPr>
        <w:rFonts w:ascii="Courier New" w:hAnsi="Courier New" w:cs="Courier New" w:hint="default"/>
      </w:rPr>
    </w:lvl>
    <w:lvl w:ilvl="5" w:tplc="04090005" w:tentative="1">
      <w:start w:val="1"/>
      <w:numFmt w:val="bullet"/>
      <w:lvlText w:val=""/>
      <w:lvlJc w:val="left"/>
      <w:pPr>
        <w:ind w:left="5096" w:hanging="360"/>
      </w:pPr>
      <w:rPr>
        <w:rFonts w:ascii="Wingdings" w:hAnsi="Wingdings" w:hint="default"/>
      </w:rPr>
    </w:lvl>
    <w:lvl w:ilvl="6" w:tplc="04090001" w:tentative="1">
      <w:start w:val="1"/>
      <w:numFmt w:val="bullet"/>
      <w:lvlText w:val=""/>
      <w:lvlJc w:val="left"/>
      <w:pPr>
        <w:ind w:left="5816" w:hanging="360"/>
      </w:pPr>
      <w:rPr>
        <w:rFonts w:ascii="Symbol" w:hAnsi="Symbol" w:hint="default"/>
      </w:rPr>
    </w:lvl>
    <w:lvl w:ilvl="7" w:tplc="04090003" w:tentative="1">
      <w:start w:val="1"/>
      <w:numFmt w:val="bullet"/>
      <w:lvlText w:val="o"/>
      <w:lvlJc w:val="left"/>
      <w:pPr>
        <w:ind w:left="6536" w:hanging="360"/>
      </w:pPr>
      <w:rPr>
        <w:rFonts w:ascii="Courier New" w:hAnsi="Courier New" w:cs="Courier New" w:hint="default"/>
      </w:rPr>
    </w:lvl>
    <w:lvl w:ilvl="8" w:tplc="04090005" w:tentative="1">
      <w:start w:val="1"/>
      <w:numFmt w:val="bullet"/>
      <w:lvlText w:val=""/>
      <w:lvlJc w:val="left"/>
      <w:pPr>
        <w:ind w:left="7256" w:hanging="360"/>
      </w:pPr>
      <w:rPr>
        <w:rFonts w:ascii="Wingdings" w:hAnsi="Wingdings" w:hint="default"/>
      </w:rPr>
    </w:lvl>
  </w:abstractNum>
  <w:abstractNum w:abstractNumId="11">
    <w:nsid w:val="3D6C2163"/>
    <w:multiLevelType w:val="multilevel"/>
    <w:tmpl w:val="3A449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E0871B9"/>
    <w:multiLevelType w:val="hybridMultilevel"/>
    <w:tmpl w:val="20ACD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EC41697"/>
    <w:multiLevelType w:val="hybridMultilevel"/>
    <w:tmpl w:val="5ED4675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F5F6A12"/>
    <w:multiLevelType w:val="hybridMultilevel"/>
    <w:tmpl w:val="0E82E50C"/>
    <w:lvl w:ilvl="0" w:tplc="7178922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445658E0"/>
    <w:multiLevelType w:val="hybridMultilevel"/>
    <w:tmpl w:val="95EAD2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59BB3431"/>
    <w:multiLevelType w:val="hybridMultilevel"/>
    <w:tmpl w:val="F1783A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B2662B6"/>
    <w:multiLevelType w:val="multilevel"/>
    <w:tmpl w:val="04090029"/>
    <w:lvl w:ilvl="0">
      <w:start w:val="1"/>
      <w:numFmt w:val="decimal"/>
      <w:pStyle w:val="Heading1"/>
      <w:suff w:val="space"/>
      <w:lvlText w:val="Chapter %1"/>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8">
    <w:nsid w:val="6C843F8C"/>
    <w:multiLevelType w:val="hybridMultilevel"/>
    <w:tmpl w:val="410CD45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72BD7FB1"/>
    <w:multiLevelType w:val="hybridMultilevel"/>
    <w:tmpl w:val="EB0E0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46A5153"/>
    <w:multiLevelType w:val="hybridMultilevel"/>
    <w:tmpl w:val="7BA4A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6515F8C"/>
    <w:multiLevelType w:val="hybridMultilevel"/>
    <w:tmpl w:val="3360540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6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7"/>
  </w:num>
  <w:num w:numId="2">
    <w:abstractNumId w:val="17"/>
  </w:num>
  <w:num w:numId="3">
    <w:abstractNumId w:val="17"/>
  </w:num>
  <w:num w:numId="4">
    <w:abstractNumId w:val="17"/>
  </w:num>
  <w:num w:numId="5">
    <w:abstractNumId w:val="17"/>
  </w:num>
  <w:num w:numId="6">
    <w:abstractNumId w:val="17"/>
  </w:num>
  <w:num w:numId="7">
    <w:abstractNumId w:val="17"/>
  </w:num>
  <w:num w:numId="8">
    <w:abstractNumId w:val="17"/>
  </w:num>
  <w:num w:numId="9">
    <w:abstractNumId w:val="17"/>
  </w:num>
  <w:num w:numId="10">
    <w:abstractNumId w:val="17"/>
  </w:num>
  <w:num w:numId="11">
    <w:abstractNumId w:val="17"/>
  </w:num>
  <w:num w:numId="12">
    <w:abstractNumId w:val="17"/>
  </w:num>
  <w:num w:numId="13">
    <w:abstractNumId w:val="17"/>
  </w:num>
  <w:num w:numId="14">
    <w:abstractNumId w:val="17"/>
  </w:num>
  <w:num w:numId="15">
    <w:abstractNumId w:val="17"/>
  </w:num>
  <w:num w:numId="16">
    <w:abstractNumId w:val="17"/>
  </w:num>
  <w:num w:numId="17">
    <w:abstractNumId w:val="17"/>
  </w:num>
  <w:num w:numId="18">
    <w:abstractNumId w:val="17"/>
  </w:num>
  <w:num w:numId="19">
    <w:abstractNumId w:val="0"/>
  </w:num>
  <w:num w:numId="20">
    <w:abstractNumId w:val="13"/>
  </w:num>
  <w:num w:numId="21">
    <w:abstractNumId w:val="21"/>
  </w:num>
  <w:num w:numId="22">
    <w:abstractNumId w:val="18"/>
  </w:num>
  <w:num w:numId="23">
    <w:abstractNumId w:val="4"/>
  </w:num>
  <w:num w:numId="24">
    <w:abstractNumId w:val="5"/>
  </w:num>
  <w:num w:numId="25">
    <w:abstractNumId w:val="3"/>
  </w:num>
  <w:num w:numId="26">
    <w:abstractNumId w:val="1"/>
  </w:num>
  <w:num w:numId="27">
    <w:abstractNumId w:val="2"/>
  </w:num>
  <w:num w:numId="28">
    <w:abstractNumId w:val="12"/>
  </w:num>
  <w:num w:numId="29">
    <w:abstractNumId w:val="20"/>
  </w:num>
  <w:num w:numId="30">
    <w:abstractNumId w:val="19"/>
  </w:num>
  <w:num w:numId="31">
    <w:abstractNumId w:val="7"/>
  </w:num>
  <w:num w:numId="32">
    <w:abstractNumId w:val="6"/>
  </w:num>
  <w:num w:numId="33">
    <w:abstractNumId w:val="10"/>
  </w:num>
  <w:num w:numId="34">
    <w:abstractNumId w:val="8"/>
  </w:num>
  <w:num w:numId="35">
    <w:abstractNumId w:val="16"/>
  </w:num>
  <w:num w:numId="36">
    <w:abstractNumId w:val="9"/>
  </w:num>
  <w:num w:numId="37">
    <w:abstractNumId w:val="11"/>
  </w:num>
  <w:num w:numId="38">
    <w:abstractNumId w:val="15"/>
  </w:num>
  <w:num w:numId="3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014D"/>
    <w:rsid w:val="00000931"/>
    <w:rsid w:val="0000796D"/>
    <w:rsid w:val="00036E04"/>
    <w:rsid w:val="00086A6D"/>
    <w:rsid w:val="000F6E77"/>
    <w:rsid w:val="00113CEF"/>
    <w:rsid w:val="00196245"/>
    <w:rsid w:val="001B4A31"/>
    <w:rsid w:val="001D7D8E"/>
    <w:rsid w:val="00273D91"/>
    <w:rsid w:val="00286B87"/>
    <w:rsid w:val="002C053B"/>
    <w:rsid w:val="002E0DA9"/>
    <w:rsid w:val="00307604"/>
    <w:rsid w:val="003127AE"/>
    <w:rsid w:val="00323B78"/>
    <w:rsid w:val="00365A36"/>
    <w:rsid w:val="0037211F"/>
    <w:rsid w:val="003862FB"/>
    <w:rsid w:val="003914CB"/>
    <w:rsid w:val="003A2B3A"/>
    <w:rsid w:val="003E5A19"/>
    <w:rsid w:val="00472E23"/>
    <w:rsid w:val="00487BD6"/>
    <w:rsid w:val="004B1524"/>
    <w:rsid w:val="004B6E8A"/>
    <w:rsid w:val="004C27E6"/>
    <w:rsid w:val="004D3195"/>
    <w:rsid w:val="004D5159"/>
    <w:rsid w:val="004F3480"/>
    <w:rsid w:val="005009F7"/>
    <w:rsid w:val="00505DA4"/>
    <w:rsid w:val="00512BF4"/>
    <w:rsid w:val="00602B09"/>
    <w:rsid w:val="00607D59"/>
    <w:rsid w:val="0062295D"/>
    <w:rsid w:val="006239C6"/>
    <w:rsid w:val="006A3872"/>
    <w:rsid w:val="006B0543"/>
    <w:rsid w:val="00742B85"/>
    <w:rsid w:val="0077312E"/>
    <w:rsid w:val="00774A3F"/>
    <w:rsid w:val="00780ED7"/>
    <w:rsid w:val="00841E8F"/>
    <w:rsid w:val="008723EB"/>
    <w:rsid w:val="008A28E4"/>
    <w:rsid w:val="00930E24"/>
    <w:rsid w:val="0098134D"/>
    <w:rsid w:val="00A15CAB"/>
    <w:rsid w:val="00A278A5"/>
    <w:rsid w:val="00C1243B"/>
    <w:rsid w:val="00C2014D"/>
    <w:rsid w:val="00C22D17"/>
    <w:rsid w:val="00C52335"/>
    <w:rsid w:val="00C71EE6"/>
    <w:rsid w:val="00C872E2"/>
    <w:rsid w:val="00CC47C7"/>
    <w:rsid w:val="00D41537"/>
    <w:rsid w:val="00D7206F"/>
    <w:rsid w:val="00E10A0B"/>
    <w:rsid w:val="00E503CC"/>
    <w:rsid w:val="00EA414E"/>
    <w:rsid w:val="00EF17D6"/>
    <w:rsid w:val="00F06406"/>
    <w:rsid w:val="00F15C4C"/>
    <w:rsid w:val="00F6592F"/>
    <w:rsid w:val="00FB0258"/>
    <w:rsid w:val="00FF7D6B"/>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014D"/>
  </w:style>
  <w:style w:type="paragraph" w:styleId="Heading1">
    <w:name w:val="heading 1"/>
    <w:basedOn w:val="Normal"/>
    <w:next w:val="Normal"/>
    <w:link w:val="Heading1Char"/>
    <w:uiPriority w:val="9"/>
    <w:qFormat/>
    <w:rsid w:val="00512BF4"/>
    <w:pPr>
      <w:keepNext/>
      <w:keepLines/>
      <w:numPr>
        <w:numId w:val="18"/>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512BF4"/>
    <w:pPr>
      <w:keepNext/>
      <w:keepLines/>
      <w:numPr>
        <w:ilvl w:val="1"/>
        <w:numId w:val="18"/>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12BF4"/>
    <w:pPr>
      <w:keepNext/>
      <w:keepLines/>
      <w:numPr>
        <w:ilvl w:val="2"/>
        <w:numId w:val="18"/>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512BF4"/>
    <w:pPr>
      <w:keepNext/>
      <w:keepLines/>
      <w:numPr>
        <w:ilvl w:val="3"/>
        <w:numId w:val="18"/>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512BF4"/>
    <w:pPr>
      <w:keepNext/>
      <w:keepLines/>
      <w:numPr>
        <w:ilvl w:val="4"/>
        <w:numId w:val="18"/>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12BF4"/>
    <w:pPr>
      <w:keepNext/>
      <w:keepLines/>
      <w:numPr>
        <w:ilvl w:val="5"/>
        <w:numId w:val="18"/>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12BF4"/>
    <w:pPr>
      <w:keepNext/>
      <w:keepLines/>
      <w:numPr>
        <w:ilvl w:val="6"/>
        <w:numId w:val="1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12BF4"/>
    <w:pPr>
      <w:keepNext/>
      <w:keepLines/>
      <w:numPr>
        <w:ilvl w:val="7"/>
        <w:numId w:val="18"/>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12BF4"/>
    <w:pPr>
      <w:keepNext/>
      <w:keepLines/>
      <w:numPr>
        <w:ilvl w:val="8"/>
        <w:numId w:val="1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2BF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512BF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512BF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512BF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512BF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512BF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512BF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12BF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12BF4"/>
    <w:rPr>
      <w:rFonts w:asciiTheme="majorHAnsi" w:eastAsiaTheme="majorEastAsia" w:hAnsiTheme="majorHAnsi" w:cstheme="majorBidi"/>
      <w:i/>
      <w:iCs/>
      <w:color w:val="404040" w:themeColor="text1" w:themeTint="BF"/>
      <w:sz w:val="20"/>
      <w:szCs w:val="20"/>
    </w:rPr>
  </w:style>
  <w:style w:type="character" w:styleId="Hyperlink">
    <w:name w:val="Hyperlink"/>
    <w:basedOn w:val="DefaultParagraphFont"/>
    <w:uiPriority w:val="99"/>
    <w:unhideWhenUsed/>
    <w:rsid w:val="00C2014D"/>
    <w:rPr>
      <w:color w:val="0000FF"/>
      <w:u w:val="single"/>
    </w:rPr>
  </w:style>
  <w:style w:type="paragraph" w:styleId="ListParagraph">
    <w:name w:val="List Paragraph"/>
    <w:basedOn w:val="Normal"/>
    <w:uiPriority w:val="34"/>
    <w:qFormat/>
    <w:rsid w:val="00C2014D"/>
    <w:pPr>
      <w:ind w:left="720"/>
      <w:contextualSpacing/>
    </w:pPr>
  </w:style>
  <w:style w:type="paragraph" w:customStyle="1" w:styleId="EndNoteBibliographyTitle">
    <w:name w:val="EndNote Bibliography Title"/>
    <w:basedOn w:val="Normal"/>
    <w:link w:val="EndNoteBibliographyTitleChar"/>
    <w:rsid w:val="00C2014D"/>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C2014D"/>
    <w:rPr>
      <w:rFonts w:ascii="Calibri" w:hAnsi="Calibri"/>
      <w:noProof/>
    </w:rPr>
  </w:style>
  <w:style w:type="paragraph" w:customStyle="1" w:styleId="EndNoteBibliography">
    <w:name w:val="EndNote Bibliography"/>
    <w:basedOn w:val="Normal"/>
    <w:link w:val="EndNoteBibliographyChar"/>
    <w:rsid w:val="00C2014D"/>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C2014D"/>
    <w:rPr>
      <w:rFonts w:ascii="Calibri" w:hAnsi="Calibri"/>
      <w:noProof/>
    </w:rPr>
  </w:style>
  <w:style w:type="paragraph" w:styleId="FootnoteText">
    <w:name w:val="footnote text"/>
    <w:basedOn w:val="Normal"/>
    <w:link w:val="FootnoteTextChar"/>
    <w:uiPriority w:val="99"/>
    <w:semiHidden/>
    <w:unhideWhenUsed/>
    <w:rsid w:val="00C2014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2014D"/>
    <w:rPr>
      <w:sz w:val="20"/>
      <w:szCs w:val="20"/>
    </w:rPr>
  </w:style>
  <w:style w:type="character" w:styleId="FootnoteReference">
    <w:name w:val="footnote reference"/>
    <w:basedOn w:val="DefaultParagraphFont"/>
    <w:uiPriority w:val="99"/>
    <w:semiHidden/>
    <w:unhideWhenUsed/>
    <w:rsid w:val="00C2014D"/>
    <w:rPr>
      <w:vertAlign w:val="superscript"/>
    </w:rPr>
  </w:style>
  <w:style w:type="paragraph" w:styleId="NormalWeb">
    <w:name w:val="Normal (Web)"/>
    <w:basedOn w:val="Normal"/>
    <w:uiPriority w:val="99"/>
    <w:unhideWhenUsed/>
    <w:rsid w:val="00C2014D"/>
    <w:pPr>
      <w:spacing w:before="100" w:beforeAutospacing="1" w:after="100" w:afterAutospacing="1" w:line="240" w:lineRule="auto"/>
    </w:pPr>
    <w:rPr>
      <w:rFonts w:ascii="Times New Roman" w:hAnsi="Times New Roman" w:cs="Times New Roman"/>
      <w:sz w:val="24"/>
      <w:szCs w:val="24"/>
    </w:rPr>
  </w:style>
  <w:style w:type="character" w:customStyle="1" w:styleId="apple-converted-space">
    <w:name w:val="apple-converted-space"/>
    <w:basedOn w:val="DefaultParagraphFont"/>
    <w:rsid w:val="00C2014D"/>
  </w:style>
  <w:style w:type="character" w:customStyle="1" w:styleId="highlight">
    <w:name w:val="highlight"/>
    <w:basedOn w:val="DefaultParagraphFont"/>
    <w:rsid w:val="00C2014D"/>
  </w:style>
  <w:style w:type="paragraph" w:styleId="Header">
    <w:name w:val="header"/>
    <w:basedOn w:val="Normal"/>
    <w:link w:val="HeaderChar"/>
    <w:uiPriority w:val="99"/>
    <w:unhideWhenUsed/>
    <w:rsid w:val="00C201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014D"/>
  </w:style>
  <w:style w:type="paragraph" w:styleId="Footer">
    <w:name w:val="footer"/>
    <w:basedOn w:val="Normal"/>
    <w:link w:val="FooterChar"/>
    <w:uiPriority w:val="99"/>
    <w:unhideWhenUsed/>
    <w:rsid w:val="00C201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014D"/>
  </w:style>
  <w:style w:type="paragraph" w:customStyle="1" w:styleId="contentboxopenaccesstitle">
    <w:name w:val="content_box_openaccess_title"/>
    <w:basedOn w:val="Normal"/>
    <w:rsid w:val="00C2014D"/>
    <w:pPr>
      <w:shd w:val="clear" w:color="auto" w:fill="BABABA"/>
      <w:spacing w:before="100" w:beforeAutospacing="1" w:after="100" w:afterAutospacing="1" w:line="240" w:lineRule="auto"/>
      <w:jc w:val="center"/>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C201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014D"/>
    <w:rPr>
      <w:rFonts w:ascii="Tahoma" w:hAnsi="Tahoma" w:cs="Tahoma"/>
      <w:sz w:val="16"/>
      <w:szCs w:val="16"/>
    </w:rPr>
  </w:style>
  <w:style w:type="character" w:customStyle="1" w:styleId="highlight2">
    <w:name w:val="highlight2"/>
    <w:basedOn w:val="DefaultParagraphFont"/>
    <w:rsid w:val="00113CEF"/>
  </w:style>
  <w:style w:type="character" w:styleId="Strong">
    <w:name w:val="Strong"/>
    <w:qFormat/>
    <w:rsid w:val="00E503CC"/>
    <w:rPr>
      <w:b/>
      <w:bCs/>
    </w:rPr>
  </w:style>
  <w:style w:type="paragraph" w:styleId="CommentText">
    <w:name w:val="annotation text"/>
    <w:basedOn w:val="Normal"/>
    <w:link w:val="CommentTextChar"/>
    <w:unhideWhenUsed/>
    <w:rsid w:val="003E5A19"/>
    <w:pPr>
      <w:widowControl w:val="0"/>
      <w:spacing w:after="0" w:line="240" w:lineRule="auto"/>
    </w:pPr>
    <w:rPr>
      <w:rFonts w:ascii="Book Antiqua" w:hAnsi="Book Antiqua" w:cs="Times New Roman"/>
      <w:sz w:val="20"/>
      <w:szCs w:val="20"/>
      <w:lang w:eastAsia="ja-JP"/>
    </w:rPr>
  </w:style>
  <w:style w:type="character" w:customStyle="1" w:styleId="CommentTextChar">
    <w:name w:val="Comment Text Char"/>
    <w:basedOn w:val="DefaultParagraphFont"/>
    <w:link w:val="CommentText"/>
    <w:rsid w:val="003E5A19"/>
    <w:rPr>
      <w:rFonts w:ascii="Book Antiqua" w:hAnsi="Book Antiqua" w:cs="Times New Roman"/>
      <w:sz w:val="20"/>
      <w:szCs w:val="20"/>
      <w:lang w:eastAsia="ja-JP"/>
    </w:rPr>
  </w:style>
  <w:style w:type="paragraph" w:styleId="BodyTextIndent">
    <w:name w:val="Body Text Indent"/>
    <w:basedOn w:val="Normal"/>
    <w:link w:val="BodyTextIndentChar"/>
    <w:uiPriority w:val="99"/>
    <w:unhideWhenUsed/>
    <w:rsid w:val="003E5A19"/>
    <w:pPr>
      <w:widowControl w:val="0"/>
      <w:spacing w:after="120" w:line="240" w:lineRule="auto"/>
      <w:ind w:leftChars="200" w:left="420"/>
      <w:jc w:val="both"/>
    </w:pPr>
    <w:rPr>
      <w:rFonts w:ascii="Book Antiqua" w:hAnsi="Book Antiqua" w:cs="Times New Roman"/>
      <w:sz w:val="20"/>
      <w:szCs w:val="20"/>
      <w:lang w:eastAsia="ja-JP"/>
    </w:rPr>
  </w:style>
  <w:style w:type="character" w:customStyle="1" w:styleId="BodyTextIndentChar">
    <w:name w:val="Body Text Indent Char"/>
    <w:basedOn w:val="DefaultParagraphFont"/>
    <w:link w:val="BodyTextIndent"/>
    <w:uiPriority w:val="99"/>
    <w:rsid w:val="003E5A19"/>
    <w:rPr>
      <w:rFonts w:ascii="Book Antiqua" w:hAnsi="Book Antiqua" w:cs="Times New Roman"/>
      <w:sz w:val="20"/>
      <w:szCs w:val="20"/>
      <w:lang w:eastAsia="ja-JP"/>
    </w:rPr>
  </w:style>
  <w:style w:type="character" w:styleId="Emphasis">
    <w:name w:val="Emphasis"/>
    <w:qFormat/>
    <w:rsid w:val="004B6E8A"/>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014D"/>
  </w:style>
  <w:style w:type="paragraph" w:styleId="Heading1">
    <w:name w:val="heading 1"/>
    <w:basedOn w:val="Normal"/>
    <w:next w:val="Normal"/>
    <w:link w:val="Heading1Char"/>
    <w:uiPriority w:val="9"/>
    <w:qFormat/>
    <w:rsid w:val="00512BF4"/>
    <w:pPr>
      <w:keepNext/>
      <w:keepLines/>
      <w:numPr>
        <w:numId w:val="18"/>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512BF4"/>
    <w:pPr>
      <w:keepNext/>
      <w:keepLines/>
      <w:numPr>
        <w:ilvl w:val="1"/>
        <w:numId w:val="18"/>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12BF4"/>
    <w:pPr>
      <w:keepNext/>
      <w:keepLines/>
      <w:numPr>
        <w:ilvl w:val="2"/>
        <w:numId w:val="18"/>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512BF4"/>
    <w:pPr>
      <w:keepNext/>
      <w:keepLines/>
      <w:numPr>
        <w:ilvl w:val="3"/>
        <w:numId w:val="18"/>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512BF4"/>
    <w:pPr>
      <w:keepNext/>
      <w:keepLines/>
      <w:numPr>
        <w:ilvl w:val="4"/>
        <w:numId w:val="18"/>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12BF4"/>
    <w:pPr>
      <w:keepNext/>
      <w:keepLines/>
      <w:numPr>
        <w:ilvl w:val="5"/>
        <w:numId w:val="18"/>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12BF4"/>
    <w:pPr>
      <w:keepNext/>
      <w:keepLines/>
      <w:numPr>
        <w:ilvl w:val="6"/>
        <w:numId w:val="1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12BF4"/>
    <w:pPr>
      <w:keepNext/>
      <w:keepLines/>
      <w:numPr>
        <w:ilvl w:val="7"/>
        <w:numId w:val="18"/>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12BF4"/>
    <w:pPr>
      <w:keepNext/>
      <w:keepLines/>
      <w:numPr>
        <w:ilvl w:val="8"/>
        <w:numId w:val="1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2BF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512BF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512BF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512BF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512BF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512BF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512BF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12BF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12BF4"/>
    <w:rPr>
      <w:rFonts w:asciiTheme="majorHAnsi" w:eastAsiaTheme="majorEastAsia" w:hAnsiTheme="majorHAnsi" w:cstheme="majorBidi"/>
      <w:i/>
      <w:iCs/>
      <w:color w:val="404040" w:themeColor="text1" w:themeTint="BF"/>
      <w:sz w:val="20"/>
      <w:szCs w:val="20"/>
    </w:rPr>
  </w:style>
  <w:style w:type="character" w:styleId="Hyperlink">
    <w:name w:val="Hyperlink"/>
    <w:basedOn w:val="DefaultParagraphFont"/>
    <w:uiPriority w:val="99"/>
    <w:unhideWhenUsed/>
    <w:rsid w:val="00C2014D"/>
    <w:rPr>
      <w:color w:val="0000FF"/>
      <w:u w:val="single"/>
    </w:rPr>
  </w:style>
  <w:style w:type="paragraph" w:styleId="ListParagraph">
    <w:name w:val="List Paragraph"/>
    <w:basedOn w:val="Normal"/>
    <w:uiPriority w:val="34"/>
    <w:qFormat/>
    <w:rsid w:val="00C2014D"/>
    <w:pPr>
      <w:ind w:left="720"/>
      <w:contextualSpacing/>
    </w:pPr>
  </w:style>
  <w:style w:type="paragraph" w:customStyle="1" w:styleId="EndNoteBibliographyTitle">
    <w:name w:val="EndNote Bibliography Title"/>
    <w:basedOn w:val="Normal"/>
    <w:link w:val="EndNoteBibliographyTitleChar"/>
    <w:rsid w:val="00C2014D"/>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C2014D"/>
    <w:rPr>
      <w:rFonts w:ascii="Calibri" w:hAnsi="Calibri"/>
      <w:noProof/>
    </w:rPr>
  </w:style>
  <w:style w:type="paragraph" w:customStyle="1" w:styleId="EndNoteBibliography">
    <w:name w:val="EndNote Bibliography"/>
    <w:basedOn w:val="Normal"/>
    <w:link w:val="EndNoteBibliographyChar"/>
    <w:rsid w:val="00C2014D"/>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C2014D"/>
    <w:rPr>
      <w:rFonts w:ascii="Calibri" w:hAnsi="Calibri"/>
      <w:noProof/>
    </w:rPr>
  </w:style>
  <w:style w:type="paragraph" w:styleId="FootnoteText">
    <w:name w:val="footnote text"/>
    <w:basedOn w:val="Normal"/>
    <w:link w:val="FootnoteTextChar"/>
    <w:uiPriority w:val="99"/>
    <w:semiHidden/>
    <w:unhideWhenUsed/>
    <w:rsid w:val="00C2014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2014D"/>
    <w:rPr>
      <w:sz w:val="20"/>
      <w:szCs w:val="20"/>
    </w:rPr>
  </w:style>
  <w:style w:type="character" w:styleId="FootnoteReference">
    <w:name w:val="footnote reference"/>
    <w:basedOn w:val="DefaultParagraphFont"/>
    <w:uiPriority w:val="99"/>
    <w:semiHidden/>
    <w:unhideWhenUsed/>
    <w:rsid w:val="00C2014D"/>
    <w:rPr>
      <w:vertAlign w:val="superscript"/>
    </w:rPr>
  </w:style>
  <w:style w:type="paragraph" w:styleId="NormalWeb">
    <w:name w:val="Normal (Web)"/>
    <w:basedOn w:val="Normal"/>
    <w:uiPriority w:val="99"/>
    <w:unhideWhenUsed/>
    <w:rsid w:val="00C2014D"/>
    <w:pPr>
      <w:spacing w:before="100" w:beforeAutospacing="1" w:after="100" w:afterAutospacing="1" w:line="240" w:lineRule="auto"/>
    </w:pPr>
    <w:rPr>
      <w:rFonts w:ascii="Times New Roman" w:hAnsi="Times New Roman" w:cs="Times New Roman"/>
      <w:sz w:val="24"/>
      <w:szCs w:val="24"/>
    </w:rPr>
  </w:style>
  <w:style w:type="character" w:customStyle="1" w:styleId="apple-converted-space">
    <w:name w:val="apple-converted-space"/>
    <w:basedOn w:val="DefaultParagraphFont"/>
    <w:rsid w:val="00C2014D"/>
  </w:style>
  <w:style w:type="character" w:customStyle="1" w:styleId="highlight">
    <w:name w:val="highlight"/>
    <w:basedOn w:val="DefaultParagraphFont"/>
    <w:rsid w:val="00C2014D"/>
  </w:style>
  <w:style w:type="paragraph" w:styleId="Header">
    <w:name w:val="header"/>
    <w:basedOn w:val="Normal"/>
    <w:link w:val="HeaderChar"/>
    <w:uiPriority w:val="99"/>
    <w:unhideWhenUsed/>
    <w:rsid w:val="00C201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014D"/>
  </w:style>
  <w:style w:type="paragraph" w:styleId="Footer">
    <w:name w:val="footer"/>
    <w:basedOn w:val="Normal"/>
    <w:link w:val="FooterChar"/>
    <w:uiPriority w:val="99"/>
    <w:unhideWhenUsed/>
    <w:rsid w:val="00C201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014D"/>
  </w:style>
  <w:style w:type="paragraph" w:customStyle="1" w:styleId="contentboxopenaccesstitle">
    <w:name w:val="content_box_openaccess_title"/>
    <w:basedOn w:val="Normal"/>
    <w:rsid w:val="00C2014D"/>
    <w:pPr>
      <w:shd w:val="clear" w:color="auto" w:fill="BABABA"/>
      <w:spacing w:before="100" w:beforeAutospacing="1" w:after="100" w:afterAutospacing="1" w:line="240" w:lineRule="auto"/>
      <w:jc w:val="center"/>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C201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014D"/>
    <w:rPr>
      <w:rFonts w:ascii="Tahoma" w:hAnsi="Tahoma" w:cs="Tahoma"/>
      <w:sz w:val="16"/>
      <w:szCs w:val="16"/>
    </w:rPr>
  </w:style>
  <w:style w:type="character" w:customStyle="1" w:styleId="highlight2">
    <w:name w:val="highlight2"/>
    <w:basedOn w:val="DefaultParagraphFont"/>
    <w:rsid w:val="00113CEF"/>
  </w:style>
  <w:style w:type="character" w:styleId="Strong">
    <w:name w:val="Strong"/>
    <w:qFormat/>
    <w:rsid w:val="00E503CC"/>
    <w:rPr>
      <w:b/>
      <w:bCs/>
    </w:rPr>
  </w:style>
  <w:style w:type="paragraph" w:styleId="CommentText">
    <w:name w:val="annotation text"/>
    <w:basedOn w:val="Normal"/>
    <w:link w:val="CommentTextChar"/>
    <w:unhideWhenUsed/>
    <w:rsid w:val="003E5A19"/>
    <w:pPr>
      <w:widowControl w:val="0"/>
      <w:spacing w:after="0" w:line="240" w:lineRule="auto"/>
    </w:pPr>
    <w:rPr>
      <w:rFonts w:ascii="Book Antiqua" w:hAnsi="Book Antiqua" w:cs="Times New Roman"/>
      <w:sz w:val="20"/>
      <w:szCs w:val="20"/>
      <w:lang w:eastAsia="ja-JP"/>
    </w:rPr>
  </w:style>
  <w:style w:type="character" w:customStyle="1" w:styleId="CommentTextChar">
    <w:name w:val="Comment Text Char"/>
    <w:basedOn w:val="DefaultParagraphFont"/>
    <w:link w:val="CommentText"/>
    <w:rsid w:val="003E5A19"/>
    <w:rPr>
      <w:rFonts w:ascii="Book Antiqua" w:hAnsi="Book Antiqua" w:cs="Times New Roman"/>
      <w:sz w:val="20"/>
      <w:szCs w:val="20"/>
      <w:lang w:eastAsia="ja-JP"/>
    </w:rPr>
  </w:style>
  <w:style w:type="paragraph" w:styleId="BodyTextIndent">
    <w:name w:val="Body Text Indent"/>
    <w:basedOn w:val="Normal"/>
    <w:link w:val="BodyTextIndentChar"/>
    <w:uiPriority w:val="99"/>
    <w:unhideWhenUsed/>
    <w:rsid w:val="003E5A19"/>
    <w:pPr>
      <w:widowControl w:val="0"/>
      <w:spacing w:after="120" w:line="240" w:lineRule="auto"/>
      <w:ind w:leftChars="200" w:left="420"/>
      <w:jc w:val="both"/>
    </w:pPr>
    <w:rPr>
      <w:rFonts w:ascii="Book Antiqua" w:hAnsi="Book Antiqua" w:cs="Times New Roman"/>
      <w:sz w:val="20"/>
      <w:szCs w:val="20"/>
      <w:lang w:eastAsia="ja-JP"/>
    </w:rPr>
  </w:style>
  <w:style w:type="character" w:customStyle="1" w:styleId="BodyTextIndentChar">
    <w:name w:val="Body Text Indent Char"/>
    <w:basedOn w:val="DefaultParagraphFont"/>
    <w:link w:val="BodyTextIndent"/>
    <w:uiPriority w:val="99"/>
    <w:rsid w:val="003E5A19"/>
    <w:rPr>
      <w:rFonts w:ascii="Book Antiqua" w:hAnsi="Book Antiqua" w:cs="Times New Roman"/>
      <w:sz w:val="20"/>
      <w:szCs w:val="20"/>
      <w:lang w:eastAsia="ja-JP"/>
    </w:rPr>
  </w:style>
  <w:style w:type="character" w:styleId="Emphasis">
    <w:name w:val="Emphasis"/>
    <w:qFormat/>
    <w:rsid w:val="004B6E8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2714317">
      <w:bodyDiv w:val="1"/>
      <w:marLeft w:val="0"/>
      <w:marRight w:val="0"/>
      <w:marTop w:val="0"/>
      <w:marBottom w:val="0"/>
      <w:divBdr>
        <w:top w:val="none" w:sz="0" w:space="0" w:color="auto"/>
        <w:left w:val="none" w:sz="0" w:space="0" w:color="auto"/>
        <w:bottom w:val="none" w:sz="0" w:space="0" w:color="auto"/>
        <w:right w:val="none" w:sz="0" w:space="0" w:color="auto"/>
      </w:divBdr>
      <w:divsChild>
        <w:div w:id="1973244276">
          <w:marLeft w:val="0"/>
          <w:marRight w:val="1"/>
          <w:marTop w:val="0"/>
          <w:marBottom w:val="0"/>
          <w:divBdr>
            <w:top w:val="none" w:sz="0" w:space="0" w:color="auto"/>
            <w:left w:val="none" w:sz="0" w:space="0" w:color="auto"/>
            <w:bottom w:val="none" w:sz="0" w:space="0" w:color="auto"/>
            <w:right w:val="none" w:sz="0" w:space="0" w:color="auto"/>
          </w:divBdr>
          <w:divsChild>
            <w:div w:id="1698769949">
              <w:marLeft w:val="0"/>
              <w:marRight w:val="0"/>
              <w:marTop w:val="0"/>
              <w:marBottom w:val="0"/>
              <w:divBdr>
                <w:top w:val="none" w:sz="0" w:space="0" w:color="auto"/>
                <w:left w:val="none" w:sz="0" w:space="0" w:color="auto"/>
                <w:bottom w:val="none" w:sz="0" w:space="0" w:color="auto"/>
                <w:right w:val="none" w:sz="0" w:space="0" w:color="auto"/>
              </w:divBdr>
              <w:divsChild>
                <w:div w:id="1976566049">
                  <w:marLeft w:val="0"/>
                  <w:marRight w:val="1"/>
                  <w:marTop w:val="0"/>
                  <w:marBottom w:val="0"/>
                  <w:divBdr>
                    <w:top w:val="none" w:sz="0" w:space="0" w:color="auto"/>
                    <w:left w:val="none" w:sz="0" w:space="0" w:color="auto"/>
                    <w:bottom w:val="none" w:sz="0" w:space="0" w:color="auto"/>
                    <w:right w:val="none" w:sz="0" w:space="0" w:color="auto"/>
                  </w:divBdr>
                  <w:divsChild>
                    <w:div w:id="1608853526">
                      <w:marLeft w:val="0"/>
                      <w:marRight w:val="0"/>
                      <w:marTop w:val="0"/>
                      <w:marBottom w:val="0"/>
                      <w:divBdr>
                        <w:top w:val="none" w:sz="0" w:space="0" w:color="auto"/>
                        <w:left w:val="none" w:sz="0" w:space="0" w:color="auto"/>
                        <w:bottom w:val="none" w:sz="0" w:space="0" w:color="auto"/>
                        <w:right w:val="none" w:sz="0" w:space="0" w:color="auto"/>
                      </w:divBdr>
                      <w:divsChild>
                        <w:div w:id="306977976">
                          <w:marLeft w:val="0"/>
                          <w:marRight w:val="0"/>
                          <w:marTop w:val="0"/>
                          <w:marBottom w:val="0"/>
                          <w:divBdr>
                            <w:top w:val="none" w:sz="0" w:space="0" w:color="auto"/>
                            <w:left w:val="none" w:sz="0" w:space="0" w:color="auto"/>
                            <w:bottom w:val="none" w:sz="0" w:space="0" w:color="auto"/>
                            <w:right w:val="none" w:sz="0" w:space="0" w:color="auto"/>
                          </w:divBdr>
                          <w:divsChild>
                            <w:div w:id="1672945747">
                              <w:marLeft w:val="0"/>
                              <w:marRight w:val="0"/>
                              <w:marTop w:val="120"/>
                              <w:marBottom w:val="360"/>
                              <w:divBdr>
                                <w:top w:val="none" w:sz="0" w:space="0" w:color="auto"/>
                                <w:left w:val="none" w:sz="0" w:space="0" w:color="auto"/>
                                <w:bottom w:val="none" w:sz="0" w:space="0" w:color="auto"/>
                                <w:right w:val="none" w:sz="0" w:space="0" w:color="auto"/>
                              </w:divBdr>
                              <w:divsChild>
                                <w:div w:id="686953623">
                                  <w:marLeft w:val="0"/>
                                  <w:marRight w:val="0"/>
                                  <w:marTop w:val="0"/>
                                  <w:marBottom w:val="0"/>
                                  <w:divBdr>
                                    <w:top w:val="none" w:sz="0" w:space="0" w:color="auto"/>
                                    <w:left w:val="none" w:sz="0" w:space="0" w:color="auto"/>
                                    <w:bottom w:val="none" w:sz="0" w:space="0" w:color="auto"/>
                                    <w:right w:val="none" w:sz="0" w:space="0" w:color="auto"/>
                                  </w:divBdr>
                                  <w:divsChild>
                                    <w:div w:id="211840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1924742">
      <w:bodyDiv w:val="1"/>
      <w:marLeft w:val="0"/>
      <w:marRight w:val="0"/>
      <w:marTop w:val="0"/>
      <w:marBottom w:val="0"/>
      <w:divBdr>
        <w:top w:val="none" w:sz="0" w:space="0" w:color="auto"/>
        <w:left w:val="none" w:sz="0" w:space="0" w:color="auto"/>
        <w:bottom w:val="none" w:sz="0" w:space="0" w:color="auto"/>
        <w:right w:val="none" w:sz="0" w:space="0" w:color="auto"/>
      </w:divBdr>
      <w:divsChild>
        <w:div w:id="530386558">
          <w:marLeft w:val="0"/>
          <w:marRight w:val="1"/>
          <w:marTop w:val="0"/>
          <w:marBottom w:val="0"/>
          <w:divBdr>
            <w:top w:val="none" w:sz="0" w:space="0" w:color="auto"/>
            <w:left w:val="none" w:sz="0" w:space="0" w:color="auto"/>
            <w:bottom w:val="none" w:sz="0" w:space="0" w:color="auto"/>
            <w:right w:val="none" w:sz="0" w:space="0" w:color="auto"/>
          </w:divBdr>
          <w:divsChild>
            <w:div w:id="729037715">
              <w:marLeft w:val="0"/>
              <w:marRight w:val="0"/>
              <w:marTop w:val="0"/>
              <w:marBottom w:val="0"/>
              <w:divBdr>
                <w:top w:val="none" w:sz="0" w:space="0" w:color="auto"/>
                <w:left w:val="none" w:sz="0" w:space="0" w:color="auto"/>
                <w:bottom w:val="none" w:sz="0" w:space="0" w:color="auto"/>
                <w:right w:val="none" w:sz="0" w:space="0" w:color="auto"/>
              </w:divBdr>
              <w:divsChild>
                <w:div w:id="344477806">
                  <w:marLeft w:val="0"/>
                  <w:marRight w:val="1"/>
                  <w:marTop w:val="0"/>
                  <w:marBottom w:val="0"/>
                  <w:divBdr>
                    <w:top w:val="none" w:sz="0" w:space="0" w:color="auto"/>
                    <w:left w:val="none" w:sz="0" w:space="0" w:color="auto"/>
                    <w:bottom w:val="none" w:sz="0" w:space="0" w:color="auto"/>
                    <w:right w:val="none" w:sz="0" w:space="0" w:color="auto"/>
                  </w:divBdr>
                  <w:divsChild>
                    <w:div w:id="1751077097">
                      <w:marLeft w:val="0"/>
                      <w:marRight w:val="0"/>
                      <w:marTop w:val="0"/>
                      <w:marBottom w:val="0"/>
                      <w:divBdr>
                        <w:top w:val="none" w:sz="0" w:space="0" w:color="auto"/>
                        <w:left w:val="none" w:sz="0" w:space="0" w:color="auto"/>
                        <w:bottom w:val="none" w:sz="0" w:space="0" w:color="auto"/>
                        <w:right w:val="none" w:sz="0" w:space="0" w:color="auto"/>
                      </w:divBdr>
                      <w:divsChild>
                        <w:div w:id="201552847">
                          <w:marLeft w:val="0"/>
                          <w:marRight w:val="0"/>
                          <w:marTop w:val="0"/>
                          <w:marBottom w:val="0"/>
                          <w:divBdr>
                            <w:top w:val="none" w:sz="0" w:space="0" w:color="auto"/>
                            <w:left w:val="none" w:sz="0" w:space="0" w:color="auto"/>
                            <w:bottom w:val="none" w:sz="0" w:space="0" w:color="auto"/>
                            <w:right w:val="none" w:sz="0" w:space="0" w:color="auto"/>
                          </w:divBdr>
                          <w:divsChild>
                            <w:div w:id="12071860">
                              <w:marLeft w:val="0"/>
                              <w:marRight w:val="0"/>
                              <w:marTop w:val="120"/>
                              <w:marBottom w:val="360"/>
                              <w:divBdr>
                                <w:top w:val="none" w:sz="0" w:space="0" w:color="auto"/>
                                <w:left w:val="none" w:sz="0" w:space="0" w:color="auto"/>
                                <w:bottom w:val="none" w:sz="0" w:space="0" w:color="auto"/>
                                <w:right w:val="none" w:sz="0" w:space="0" w:color="auto"/>
                              </w:divBdr>
                              <w:divsChild>
                                <w:div w:id="1577088512">
                                  <w:marLeft w:val="0"/>
                                  <w:marRight w:val="0"/>
                                  <w:marTop w:val="0"/>
                                  <w:marBottom w:val="0"/>
                                  <w:divBdr>
                                    <w:top w:val="none" w:sz="0" w:space="0" w:color="auto"/>
                                    <w:left w:val="none" w:sz="0" w:space="0" w:color="auto"/>
                                    <w:bottom w:val="none" w:sz="0" w:space="0" w:color="auto"/>
                                    <w:right w:val="none" w:sz="0" w:space="0" w:color="auto"/>
                                  </w:divBdr>
                                  <w:divsChild>
                                    <w:div w:id="153734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12.jpe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tiff"/><Relationship Id="rId11" Type="http://schemas.openxmlformats.org/officeDocument/2006/relationships/image" Target="media/image3.tiff"/><Relationship Id="rId12" Type="http://schemas.openxmlformats.org/officeDocument/2006/relationships/image" Target="media/image4.tiff"/><Relationship Id="rId13" Type="http://schemas.openxmlformats.org/officeDocument/2006/relationships/image" Target="media/image5.tiff"/><Relationship Id="rId14" Type="http://schemas.openxmlformats.org/officeDocument/2006/relationships/image" Target="media/image6.jpeg"/><Relationship Id="rId15" Type="http://schemas.openxmlformats.org/officeDocument/2006/relationships/image" Target="media/image7.png"/><Relationship Id="rId16" Type="http://schemas.openxmlformats.org/officeDocument/2006/relationships/image" Target="media/image8.tiff"/><Relationship Id="rId17" Type="http://schemas.openxmlformats.org/officeDocument/2006/relationships/image" Target="media/image9.jpeg"/><Relationship Id="rId18" Type="http://schemas.openxmlformats.org/officeDocument/2006/relationships/image" Target="media/image10.tiff"/><Relationship Id="rId19" Type="http://schemas.openxmlformats.org/officeDocument/2006/relationships/image" Target="media/image11.tif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914E4D-5630-E649-B5AC-0DCCFA5BA4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54</Pages>
  <Words>62013</Words>
  <Characters>353479</Characters>
  <Application>Microsoft Macintosh Word</Application>
  <DocSecurity>0</DocSecurity>
  <Lines>2945</Lines>
  <Paragraphs>829</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414663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sharma</dc:creator>
  <cp:lastModifiedBy>NA MA</cp:lastModifiedBy>
  <cp:revision>2</cp:revision>
  <dcterms:created xsi:type="dcterms:W3CDTF">2014-11-27T23:08:00Z</dcterms:created>
  <dcterms:modified xsi:type="dcterms:W3CDTF">2014-11-27T23:08:00Z</dcterms:modified>
</cp:coreProperties>
</file>