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1E2" w:rsidRPr="006F4EE5" w:rsidRDefault="00CC51E2" w:rsidP="006F4EE5">
      <w:pPr>
        <w:spacing w:after="0" w:line="360" w:lineRule="auto"/>
        <w:ind w:left="0" w:firstLine="0"/>
        <w:rPr>
          <w:b/>
          <w:color w:val="auto"/>
          <w:szCs w:val="24"/>
        </w:rPr>
      </w:pPr>
      <w:r w:rsidRPr="006F4EE5">
        <w:rPr>
          <w:b/>
          <w:color w:val="auto"/>
          <w:szCs w:val="24"/>
        </w:rPr>
        <w:t xml:space="preserve">Name of journal: </w:t>
      </w:r>
      <w:r w:rsidRPr="006F4EE5">
        <w:rPr>
          <w:b/>
          <w:i/>
          <w:color w:val="auto"/>
          <w:szCs w:val="24"/>
        </w:rPr>
        <w:t>World Journal of Stem Cells</w:t>
      </w:r>
    </w:p>
    <w:p w:rsidR="00CC51E2" w:rsidRPr="006F4EE5" w:rsidRDefault="00CC51E2" w:rsidP="006F4EE5">
      <w:pPr>
        <w:spacing w:after="0" w:line="360" w:lineRule="auto"/>
        <w:ind w:left="0" w:firstLine="0"/>
        <w:rPr>
          <w:b/>
          <w:color w:val="auto"/>
          <w:szCs w:val="24"/>
        </w:rPr>
      </w:pPr>
      <w:r w:rsidRPr="006F4EE5">
        <w:rPr>
          <w:b/>
          <w:color w:val="auto"/>
          <w:szCs w:val="24"/>
        </w:rPr>
        <w:t xml:space="preserve">ESPS Manuscript NO: </w:t>
      </w:r>
      <w:r w:rsidR="0028464B" w:rsidRPr="006F4EE5">
        <w:rPr>
          <w:b/>
          <w:color w:val="auto"/>
          <w:szCs w:val="24"/>
        </w:rPr>
        <w:t>12947</w:t>
      </w:r>
    </w:p>
    <w:p w:rsidR="00CC51E2" w:rsidRPr="006F4EE5" w:rsidRDefault="00CC51E2" w:rsidP="006F4EE5">
      <w:pPr>
        <w:spacing w:after="0" w:line="360" w:lineRule="auto"/>
        <w:ind w:left="0" w:firstLine="0"/>
        <w:rPr>
          <w:rFonts w:eastAsiaTheme="minorEastAsia"/>
          <w:b/>
          <w:color w:val="auto"/>
          <w:szCs w:val="24"/>
          <w:lang w:eastAsia="zh-CN"/>
        </w:rPr>
      </w:pPr>
      <w:r w:rsidRPr="006F4EE5">
        <w:rPr>
          <w:b/>
          <w:color w:val="auto"/>
          <w:szCs w:val="24"/>
        </w:rPr>
        <w:t>Columns: Review</w:t>
      </w:r>
    </w:p>
    <w:p w:rsidR="00B10F80" w:rsidRPr="006F4EE5" w:rsidRDefault="00B10F80" w:rsidP="006F4EE5">
      <w:pPr>
        <w:spacing w:after="0" w:line="360" w:lineRule="auto"/>
        <w:ind w:left="0" w:firstLine="0"/>
        <w:rPr>
          <w:rFonts w:eastAsiaTheme="minorEastAsia"/>
          <w:b/>
          <w:color w:val="auto"/>
          <w:szCs w:val="24"/>
          <w:lang w:eastAsia="zh-CN"/>
        </w:rPr>
      </w:pPr>
    </w:p>
    <w:p w:rsidR="002E4309" w:rsidRPr="006F4EE5" w:rsidRDefault="00931667" w:rsidP="006F4EE5">
      <w:pPr>
        <w:spacing w:after="0" w:line="360" w:lineRule="auto"/>
        <w:ind w:left="0" w:firstLine="0"/>
        <w:rPr>
          <w:rFonts w:eastAsiaTheme="minorEastAsia"/>
          <w:b/>
          <w:color w:val="auto"/>
          <w:szCs w:val="24"/>
          <w:lang w:eastAsia="zh-CN"/>
        </w:rPr>
      </w:pPr>
      <w:r w:rsidRPr="006F4EE5">
        <w:rPr>
          <w:b/>
          <w:color w:val="auto"/>
          <w:szCs w:val="24"/>
        </w:rPr>
        <w:t>R</w:t>
      </w:r>
      <w:r w:rsidR="00710EE9" w:rsidRPr="006F4EE5">
        <w:rPr>
          <w:b/>
          <w:color w:val="auto"/>
          <w:szCs w:val="24"/>
        </w:rPr>
        <w:t xml:space="preserve">ole of nanotopography in the development of tissue engineered 3D organs and tissues using mesenchymal stem cells </w:t>
      </w:r>
    </w:p>
    <w:p w:rsidR="00931667" w:rsidRPr="006F4EE5" w:rsidRDefault="00931667" w:rsidP="006F4EE5">
      <w:pPr>
        <w:spacing w:after="0" w:line="360" w:lineRule="auto"/>
        <w:ind w:left="0" w:firstLine="0"/>
        <w:rPr>
          <w:rFonts w:eastAsiaTheme="minorEastAsia"/>
          <w:b/>
          <w:color w:val="auto"/>
          <w:szCs w:val="24"/>
          <w:lang w:eastAsia="zh-CN"/>
        </w:rPr>
      </w:pPr>
    </w:p>
    <w:p w:rsidR="00B10F80" w:rsidRPr="006F4EE5" w:rsidRDefault="00931667" w:rsidP="006F4EE5">
      <w:pPr>
        <w:spacing w:after="0" w:line="360" w:lineRule="auto"/>
        <w:ind w:left="0" w:firstLine="0"/>
        <w:rPr>
          <w:rFonts w:eastAsiaTheme="minorEastAsia"/>
          <w:color w:val="auto"/>
          <w:szCs w:val="24"/>
          <w:lang w:eastAsia="zh-CN"/>
        </w:rPr>
      </w:pPr>
      <w:r w:rsidRPr="006F4EE5">
        <w:rPr>
          <w:color w:val="auto"/>
          <w:szCs w:val="24"/>
        </w:rPr>
        <w:t>Salmasi</w:t>
      </w:r>
      <w:r w:rsidRPr="006F4EE5">
        <w:rPr>
          <w:rFonts w:eastAsiaTheme="minorEastAsia"/>
          <w:color w:val="auto"/>
          <w:szCs w:val="24"/>
          <w:lang w:eastAsia="zh-CN"/>
        </w:rPr>
        <w:t xml:space="preserve"> S </w:t>
      </w:r>
      <w:r w:rsidRPr="006F4EE5">
        <w:rPr>
          <w:rFonts w:eastAsiaTheme="minorEastAsia"/>
          <w:i/>
          <w:color w:val="auto"/>
          <w:szCs w:val="24"/>
          <w:lang w:eastAsia="zh-CN"/>
        </w:rPr>
        <w:t xml:space="preserve">et al. </w:t>
      </w:r>
      <w:r w:rsidRPr="006F4EE5">
        <w:rPr>
          <w:rFonts w:eastAsiaTheme="minorEastAsia"/>
          <w:color w:val="auto"/>
          <w:szCs w:val="24"/>
          <w:lang w:eastAsia="zh-CN"/>
        </w:rPr>
        <w:t>Role of nanotopography in the development of tissue</w:t>
      </w:r>
    </w:p>
    <w:p w:rsidR="00931667" w:rsidRPr="006F4EE5" w:rsidRDefault="00931667" w:rsidP="006F4EE5">
      <w:pPr>
        <w:spacing w:after="0" w:line="360" w:lineRule="auto"/>
        <w:ind w:left="0" w:firstLine="0"/>
        <w:rPr>
          <w:rFonts w:eastAsiaTheme="minorEastAsia"/>
          <w:color w:val="auto"/>
          <w:szCs w:val="24"/>
          <w:lang w:eastAsia="zh-CN"/>
        </w:rPr>
      </w:pPr>
    </w:p>
    <w:p w:rsidR="00B10F80" w:rsidRPr="006F4EE5" w:rsidRDefault="00B10F80" w:rsidP="006F4EE5">
      <w:pPr>
        <w:spacing w:after="0" w:line="360" w:lineRule="auto"/>
        <w:ind w:left="0" w:firstLine="0"/>
        <w:rPr>
          <w:rFonts w:eastAsiaTheme="minorEastAsia"/>
          <w:color w:val="auto"/>
          <w:szCs w:val="24"/>
          <w:lang w:eastAsia="zh-CN"/>
        </w:rPr>
      </w:pPr>
      <w:r w:rsidRPr="006F4EE5">
        <w:rPr>
          <w:color w:val="auto"/>
          <w:szCs w:val="24"/>
        </w:rPr>
        <w:t xml:space="preserve">Shima </w:t>
      </w:r>
      <w:r w:rsidR="00EC66BE" w:rsidRPr="006F4EE5">
        <w:rPr>
          <w:color w:val="auto"/>
          <w:szCs w:val="24"/>
        </w:rPr>
        <w:t>Salmasi, Deepak M Kalaskar, Wai-</w:t>
      </w:r>
      <w:r w:rsidRPr="006F4EE5">
        <w:rPr>
          <w:color w:val="auto"/>
          <w:szCs w:val="24"/>
        </w:rPr>
        <w:t>W</w:t>
      </w:r>
      <w:r w:rsidR="00EC66BE" w:rsidRPr="006F4EE5">
        <w:rPr>
          <w:color w:val="auto"/>
          <w:szCs w:val="24"/>
        </w:rPr>
        <w:t>eng</w:t>
      </w:r>
      <w:r w:rsidRPr="006F4EE5">
        <w:rPr>
          <w:color w:val="auto"/>
          <w:szCs w:val="24"/>
        </w:rPr>
        <w:t xml:space="preserve"> Yoon, Gordon W Blunn, Alexander M Seifalian</w:t>
      </w:r>
    </w:p>
    <w:p w:rsidR="005D166F" w:rsidRPr="006F4EE5" w:rsidRDefault="005D166F" w:rsidP="006F4EE5">
      <w:pPr>
        <w:spacing w:after="0" w:line="360" w:lineRule="auto"/>
        <w:ind w:left="0" w:firstLine="0"/>
        <w:rPr>
          <w:rFonts w:eastAsiaTheme="minorEastAsia"/>
          <w:color w:val="auto"/>
          <w:szCs w:val="24"/>
          <w:lang w:eastAsia="zh-CN"/>
        </w:rPr>
      </w:pPr>
    </w:p>
    <w:p w:rsidR="00CC51E2" w:rsidRPr="006F4EE5" w:rsidRDefault="00CC51E2" w:rsidP="006F4EE5">
      <w:pPr>
        <w:spacing w:after="0" w:line="360" w:lineRule="auto"/>
        <w:ind w:left="0" w:firstLine="0"/>
        <w:rPr>
          <w:rFonts w:eastAsiaTheme="minorEastAsia"/>
          <w:color w:val="auto"/>
          <w:szCs w:val="24"/>
          <w:lang w:eastAsia="zh-CN"/>
        </w:rPr>
      </w:pPr>
      <w:r w:rsidRPr="006F4EE5">
        <w:rPr>
          <w:b/>
          <w:color w:val="auto"/>
          <w:szCs w:val="24"/>
        </w:rPr>
        <w:t>Shima Salmasi, Deepak M Kalaskar, Alexander M Seifalian,</w:t>
      </w:r>
      <w:r w:rsidRPr="006F4EE5">
        <w:rPr>
          <w:color w:val="auto"/>
          <w:szCs w:val="24"/>
        </w:rPr>
        <w:t xml:space="preserve"> University College London</w:t>
      </w:r>
      <w:r w:rsidR="00931667" w:rsidRPr="006F4EE5">
        <w:rPr>
          <w:rFonts w:eastAsiaTheme="minorEastAsia"/>
          <w:color w:val="auto"/>
          <w:szCs w:val="24"/>
          <w:lang w:eastAsia="zh-CN"/>
        </w:rPr>
        <w:t>,</w:t>
      </w:r>
      <w:r w:rsidRPr="006F4EE5">
        <w:rPr>
          <w:color w:val="auto"/>
          <w:szCs w:val="24"/>
        </w:rPr>
        <w:t xml:space="preserve"> Centre for Nanotechnology </w:t>
      </w:r>
      <w:r w:rsidR="00931667" w:rsidRPr="006F4EE5">
        <w:rPr>
          <w:rFonts w:eastAsiaTheme="minorEastAsia"/>
          <w:color w:val="auto"/>
          <w:szCs w:val="24"/>
          <w:lang w:eastAsia="zh-CN"/>
        </w:rPr>
        <w:t>and</w:t>
      </w:r>
      <w:r w:rsidRPr="006F4EE5">
        <w:rPr>
          <w:color w:val="auto"/>
          <w:szCs w:val="24"/>
        </w:rPr>
        <w:t xml:space="preserve"> Regenerative Medicine, UCL Division of Surgery</w:t>
      </w:r>
      <w:r w:rsidR="00931667" w:rsidRPr="006F4EE5">
        <w:rPr>
          <w:rFonts w:eastAsiaTheme="minorEastAsia"/>
          <w:color w:val="auto"/>
          <w:szCs w:val="24"/>
          <w:lang w:eastAsia="zh-CN"/>
        </w:rPr>
        <w:t xml:space="preserve"> and</w:t>
      </w:r>
      <w:r w:rsidRPr="006F4EE5">
        <w:rPr>
          <w:color w:val="auto"/>
          <w:szCs w:val="24"/>
        </w:rPr>
        <w:t xml:space="preserve"> Interventional Science,</w:t>
      </w:r>
      <w:r w:rsidR="00931667" w:rsidRPr="006F4EE5">
        <w:rPr>
          <w:color w:val="auto"/>
          <w:szCs w:val="24"/>
        </w:rPr>
        <w:t xml:space="preserve"> NW3 2PF</w:t>
      </w:r>
      <w:r w:rsidRPr="006F4EE5">
        <w:rPr>
          <w:color w:val="auto"/>
          <w:szCs w:val="24"/>
        </w:rPr>
        <w:t xml:space="preserve"> London, United Kingdom</w:t>
      </w:r>
    </w:p>
    <w:p w:rsidR="00931667" w:rsidRPr="006F4EE5" w:rsidRDefault="00931667" w:rsidP="006F4EE5">
      <w:pPr>
        <w:spacing w:after="0" w:line="360" w:lineRule="auto"/>
        <w:ind w:left="0" w:firstLine="0"/>
        <w:rPr>
          <w:rFonts w:eastAsiaTheme="minorEastAsia"/>
          <w:color w:val="auto"/>
          <w:szCs w:val="24"/>
          <w:lang w:eastAsia="zh-CN"/>
        </w:rPr>
      </w:pPr>
    </w:p>
    <w:p w:rsidR="002E4309" w:rsidRPr="006F4EE5" w:rsidRDefault="00CC51E2" w:rsidP="006F4EE5">
      <w:pPr>
        <w:spacing w:after="0" w:line="360" w:lineRule="auto"/>
        <w:ind w:left="0" w:firstLine="0"/>
        <w:rPr>
          <w:rFonts w:eastAsiaTheme="minorEastAsia"/>
          <w:color w:val="auto"/>
          <w:szCs w:val="24"/>
          <w:lang w:eastAsia="zh-CN"/>
        </w:rPr>
      </w:pPr>
      <w:r w:rsidRPr="006F4EE5">
        <w:rPr>
          <w:b/>
          <w:color w:val="auto"/>
          <w:szCs w:val="24"/>
        </w:rPr>
        <w:t>Wai W Yoon</w:t>
      </w:r>
      <w:r w:rsidR="00931667" w:rsidRPr="006F4EE5">
        <w:rPr>
          <w:rFonts w:eastAsiaTheme="minorEastAsia"/>
          <w:b/>
          <w:color w:val="auto"/>
          <w:szCs w:val="24"/>
          <w:lang w:eastAsia="zh-CN"/>
        </w:rPr>
        <w:t>,</w:t>
      </w:r>
      <w:r w:rsidRPr="006F4EE5">
        <w:rPr>
          <w:color w:val="auto"/>
          <w:szCs w:val="24"/>
        </w:rPr>
        <w:t xml:space="preserve"> </w:t>
      </w:r>
      <w:r w:rsidR="00710EE9" w:rsidRPr="006F4EE5">
        <w:rPr>
          <w:color w:val="auto"/>
          <w:szCs w:val="24"/>
        </w:rPr>
        <w:t>Royal National Orthopaedic Hospital, Stan</w:t>
      </w:r>
      <w:r w:rsidR="00931667" w:rsidRPr="006F4EE5">
        <w:rPr>
          <w:color w:val="auto"/>
          <w:szCs w:val="24"/>
        </w:rPr>
        <w:t xml:space="preserve">more, </w:t>
      </w:r>
      <w:r w:rsidR="006F4EE5" w:rsidRPr="006F4EE5">
        <w:rPr>
          <w:rFonts w:cs="Arial"/>
          <w:color w:val="auto"/>
          <w:szCs w:val="24"/>
        </w:rPr>
        <w:t>HA7 4LP</w:t>
      </w:r>
      <w:r w:rsidR="006F4EE5" w:rsidRPr="006F4EE5">
        <w:rPr>
          <w:color w:val="auto"/>
          <w:szCs w:val="24"/>
        </w:rPr>
        <w:t xml:space="preserve"> </w:t>
      </w:r>
      <w:r w:rsidR="00931667" w:rsidRPr="006F4EE5">
        <w:rPr>
          <w:color w:val="auto"/>
          <w:szCs w:val="24"/>
        </w:rPr>
        <w:t>Middlesex, United Kingdom</w:t>
      </w:r>
    </w:p>
    <w:p w:rsidR="00931667" w:rsidRPr="006F4EE5" w:rsidRDefault="00931667" w:rsidP="006F4EE5">
      <w:pPr>
        <w:spacing w:after="0" w:line="360" w:lineRule="auto"/>
        <w:ind w:left="0" w:firstLine="0"/>
        <w:rPr>
          <w:rFonts w:eastAsiaTheme="minorEastAsia"/>
          <w:color w:val="auto"/>
          <w:szCs w:val="24"/>
          <w:lang w:eastAsia="zh-CN"/>
        </w:rPr>
      </w:pPr>
    </w:p>
    <w:p w:rsidR="00931667" w:rsidRPr="006F4EE5" w:rsidRDefault="00CC51E2" w:rsidP="006F4EE5">
      <w:pPr>
        <w:spacing w:after="0" w:line="360" w:lineRule="auto"/>
        <w:ind w:left="0" w:firstLine="0"/>
        <w:rPr>
          <w:rFonts w:eastAsiaTheme="minorEastAsia"/>
          <w:color w:val="auto"/>
          <w:szCs w:val="24"/>
          <w:lang w:eastAsia="zh-CN"/>
        </w:rPr>
      </w:pPr>
      <w:r w:rsidRPr="006F4EE5">
        <w:rPr>
          <w:b/>
          <w:color w:val="auto"/>
          <w:szCs w:val="24"/>
        </w:rPr>
        <w:t>Gordon W Blunn</w:t>
      </w:r>
      <w:r w:rsidR="00931667" w:rsidRPr="006F4EE5">
        <w:rPr>
          <w:rFonts w:eastAsiaTheme="minorEastAsia"/>
          <w:b/>
          <w:color w:val="auto"/>
          <w:szCs w:val="24"/>
          <w:lang w:eastAsia="zh-CN"/>
        </w:rPr>
        <w:t>,</w:t>
      </w:r>
      <w:r w:rsidRPr="006F4EE5">
        <w:rPr>
          <w:color w:val="auto"/>
          <w:szCs w:val="24"/>
        </w:rPr>
        <w:t xml:space="preserve"> </w:t>
      </w:r>
      <w:r w:rsidR="00710EE9" w:rsidRPr="006F4EE5">
        <w:rPr>
          <w:color w:val="auto"/>
          <w:szCs w:val="24"/>
        </w:rPr>
        <w:t>Institute of Orthopaedics and Musculo-Skeletal Science, University College London</w:t>
      </w:r>
      <w:r w:rsidR="00931667" w:rsidRPr="006F4EE5">
        <w:rPr>
          <w:rFonts w:eastAsiaTheme="minorEastAsia"/>
          <w:color w:val="auto"/>
          <w:szCs w:val="24"/>
          <w:lang w:eastAsia="zh-CN"/>
        </w:rPr>
        <w:t xml:space="preserve">, </w:t>
      </w:r>
      <w:r w:rsidR="00931667" w:rsidRPr="006F4EE5">
        <w:rPr>
          <w:rFonts w:cs="Arial"/>
          <w:color w:val="auto"/>
          <w:szCs w:val="24"/>
        </w:rPr>
        <w:t>WC1E 6BT</w:t>
      </w:r>
      <w:r w:rsidR="00931667" w:rsidRPr="006F4EE5">
        <w:rPr>
          <w:color w:val="auto"/>
          <w:szCs w:val="24"/>
        </w:rPr>
        <w:t xml:space="preserve"> </w:t>
      </w:r>
      <w:r w:rsidR="00606690">
        <w:rPr>
          <w:rFonts w:cs="Arial"/>
          <w:color w:val="auto"/>
          <w:szCs w:val="24"/>
        </w:rPr>
        <w:t>London</w:t>
      </w:r>
      <w:r w:rsidR="00931667" w:rsidRPr="006F4EE5">
        <w:rPr>
          <w:rFonts w:eastAsiaTheme="minorEastAsia"/>
          <w:color w:val="auto"/>
          <w:szCs w:val="24"/>
          <w:lang w:eastAsia="zh-CN"/>
        </w:rPr>
        <w:t>,</w:t>
      </w:r>
      <w:r w:rsidR="00606690">
        <w:rPr>
          <w:rFonts w:eastAsiaTheme="minorEastAsia"/>
          <w:color w:val="auto"/>
          <w:szCs w:val="24"/>
          <w:lang w:eastAsia="zh-CN"/>
        </w:rPr>
        <w:t xml:space="preserve"> </w:t>
      </w:r>
      <w:r w:rsidR="00931667" w:rsidRPr="006F4EE5">
        <w:rPr>
          <w:color w:val="auto"/>
          <w:szCs w:val="24"/>
        </w:rPr>
        <w:t>United Kingdom</w:t>
      </w:r>
    </w:p>
    <w:p w:rsidR="00931667" w:rsidRPr="006F4EE5" w:rsidRDefault="00931667" w:rsidP="006F4EE5">
      <w:pPr>
        <w:spacing w:after="0" w:line="360" w:lineRule="auto"/>
        <w:ind w:left="0" w:firstLine="0"/>
        <w:rPr>
          <w:rFonts w:eastAsiaTheme="minorEastAsia"/>
          <w:color w:val="auto"/>
          <w:szCs w:val="24"/>
          <w:lang w:eastAsia="zh-CN"/>
        </w:rPr>
      </w:pPr>
    </w:p>
    <w:p w:rsidR="002E4309" w:rsidRPr="006F4EE5" w:rsidRDefault="00931667" w:rsidP="006F4EE5">
      <w:pPr>
        <w:spacing w:after="0" w:line="360" w:lineRule="auto"/>
        <w:ind w:left="0" w:firstLine="0"/>
        <w:rPr>
          <w:rFonts w:eastAsiaTheme="minorEastAsia"/>
          <w:color w:val="auto"/>
          <w:szCs w:val="24"/>
          <w:lang w:eastAsia="zh-CN"/>
        </w:rPr>
      </w:pPr>
      <w:r w:rsidRPr="006F4EE5">
        <w:rPr>
          <w:b/>
          <w:color w:val="auto"/>
          <w:szCs w:val="24"/>
        </w:rPr>
        <w:t>Gordon W Blunn</w:t>
      </w:r>
      <w:r w:rsidRPr="006F4EE5">
        <w:rPr>
          <w:rFonts w:eastAsiaTheme="minorEastAsia"/>
          <w:b/>
          <w:color w:val="auto"/>
          <w:szCs w:val="24"/>
          <w:lang w:eastAsia="zh-CN"/>
        </w:rPr>
        <w:t>,</w:t>
      </w:r>
      <w:r w:rsidRPr="006F4EE5">
        <w:rPr>
          <w:color w:val="auto"/>
          <w:szCs w:val="24"/>
        </w:rPr>
        <w:t xml:space="preserve"> Institute of Orthopaedics and Musculo-Skeletal Science,</w:t>
      </w:r>
      <w:r w:rsidRPr="006F4EE5">
        <w:rPr>
          <w:rFonts w:eastAsiaTheme="minorEastAsia"/>
          <w:b/>
          <w:color w:val="auto"/>
          <w:szCs w:val="24"/>
          <w:lang w:eastAsia="zh-CN"/>
        </w:rPr>
        <w:t xml:space="preserve"> </w:t>
      </w:r>
      <w:r w:rsidR="00710EE9" w:rsidRPr="006F4EE5">
        <w:rPr>
          <w:color w:val="auto"/>
          <w:szCs w:val="24"/>
        </w:rPr>
        <w:t>Royal National Orthopaedic Hospital, Stanmore,</w:t>
      </w:r>
      <w:r w:rsidRPr="006F4EE5">
        <w:rPr>
          <w:rFonts w:cs="Arial"/>
          <w:color w:val="auto"/>
          <w:szCs w:val="24"/>
        </w:rPr>
        <w:t xml:space="preserve"> HA7 4LP</w:t>
      </w:r>
      <w:r w:rsidR="00710EE9" w:rsidRPr="006F4EE5">
        <w:rPr>
          <w:color w:val="auto"/>
          <w:szCs w:val="24"/>
        </w:rPr>
        <w:t xml:space="preserve"> Middlesex, </w:t>
      </w:r>
      <w:r w:rsidRPr="006F4EE5">
        <w:rPr>
          <w:color w:val="auto"/>
          <w:szCs w:val="24"/>
        </w:rPr>
        <w:t>United Kingdom</w:t>
      </w:r>
    </w:p>
    <w:p w:rsidR="00931667" w:rsidRPr="006F4EE5" w:rsidRDefault="00931667" w:rsidP="006F4EE5">
      <w:pPr>
        <w:spacing w:after="0" w:line="360" w:lineRule="auto"/>
        <w:ind w:left="0" w:firstLine="0"/>
        <w:rPr>
          <w:rFonts w:eastAsiaTheme="minorEastAsia"/>
          <w:color w:val="auto"/>
          <w:szCs w:val="24"/>
          <w:lang w:eastAsia="zh-CN"/>
        </w:rPr>
      </w:pPr>
    </w:p>
    <w:p w:rsidR="002E4309" w:rsidRPr="006F4EE5" w:rsidRDefault="00710EE9" w:rsidP="002267EB">
      <w:pPr>
        <w:spacing w:after="0" w:line="360" w:lineRule="auto"/>
        <w:ind w:left="0" w:firstLine="0"/>
        <w:rPr>
          <w:color w:val="auto"/>
          <w:szCs w:val="24"/>
        </w:rPr>
      </w:pPr>
      <w:r w:rsidRPr="006F4EE5">
        <w:rPr>
          <w:b/>
          <w:color w:val="auto"/>
          <w:szCs w:val="24"/>
        </w:rPr>
        <w:t xml:space="preserve">Author </w:t>
      </w:r>
      <w:r w:rsidR="007F497B">
        <w:rPr>
          <w:rFonts w:eastAsiaTheme="minorEastAsia" w:hint="eastAsia"/>
          <w:b/>
          <w:color w:val="auto"/>
          <w:szCs w:val="24"/>
          <w:lang w:eastAsia="zh-CN"/>
        </w:rPr>
        <w:t>c</w:t>
      </w:r>
      <w:r w:rsidRPr="006F4EE5">
        <w:rPr>
          <w:b/>
          <w:color w:val="auto"/>
          <w:szCs w:val="24"/>
        </w:rPr>
        <w:t>ontributions</w:t>
      </w:r>
      <w:r w:rsidRPr="006F4EE5">
        <w:rPr>
          <w:color w:val="auto"/>
          <w:szCs w:val="24"/>
        </w:rPr>
        <w:t xml:space="preserve"> All authors contributed equally to the manuscript in terms of writing the paper.  </w:t>
      </w:r>
    </w:p>
    <w:p w:rsidR="001102A0" w:rsidRDefault="001102A0" w:rsidP="002267EB">
      <w:pPr>
        <w:spacing w:after="0" w:line="360" w:lineRule="auto"/>
        <w:ind w:left="0" w:firstLine="0"/>
        <w:rPr>
          <w:rFonts w:eastAsiaTheme="minorEastAsia"/>
          <w:color w:val="auto"/>
          <w:szCs w:val="24"/>
          <w:lang w:eastAsia="zh-CN"/>
        </w:rPr>
      </w:pPr>
    </w:p>
    <w:p w:rsidR="00547737" w:rsidRPr="00A24430" w:rsidRDefault="00547737" w:rsidP="002267EB">
      <w:pPr>
        <w:spacing w:after="0" w:line="360" w:lineRule="auto"/>
        <w:ind w:left="0" w:firstLine="0"/>
        <w:rPr>
          <w:rFonts w:eastAsiaTheme="minorEastAsia" w:cs="TimesNewRomanPS-BoldItalicMT"/>
          <w:bCs/>
          <w:iCs/>
          <w:szCs w:val="21"/>
          <w:lang w:eastAsia="zh-CN"/>
        </w:rPr>
      </w:pPr>
      <w:r w:rsidRPr="002267EB">
        <w:rPr>
          <w:rFonts w:cs="TimesNewRomanPS-BoldItalicMT"/>
          <w:b/>
          <w:bCs/>
          <w:iCs/>
          <w:szCs w:val="21"/>
        </w:rPr>
        <w:t>Conflict-of-interest</w:t>
      </w:r>
      <w:r w:rsidR="002267EB" w:rsidRPr="002267EB">
        <w:rPr>
          <w:rFonts w:eastAsiaTheme="minorEastAsia" w:cs="TimesNewRomanPS-BoldItalicMT" w:hint="eastAsia"/>
          <w:b/>
          <w:bCs/>
          <w:iCs/>
          <w:szCs w:val="21"/>
          <w:lang w:eastAsia="zh-CN"/>
        </w:rPr>
        <w:t xml:space="preserve">: </w:t>
      </w:r>
      <w:r w:rsidR="00A24430" w:rsidRPr="00A24430">
        <w:rPr>
          <w:rFonts w:cs="TimesNewRomanPS-BoldItalicMT"/>
          <w:bCs/>
          <w:iCs/>
          <w:szCs w:val="21"/>
        </w:rPr>
        <w:t xml:space="preserve">Authors confirm that no conflict of interest exists regarding this manuscript. </w:t>
      </w:r>
    </w:p>
    <w:p w:rsidR="00547737" w:rsidRDefault="00547737" w:rsidP="002267EB">
      <w:pPr>
        <w:spacing w:after="0" w:line="360" w:lineRule="auto"/>
        <w:ind w:left="0" w:firstLine="0"/>
        <w:rPr>
          <w:rFonts w:eastAsiaTheme="minorEastAsia"/>
          <w:color w:val="auto"/>
          <w:szCs w:val="24"/>
          <w:lang w:eastAsia="zh-CN"/>
        </w:rPr>
      </w:pPr>
    </w:p>
    <w:p w:rsidR="002267EB" w:rsidRPr="004C533D" w:rsidRDefault="002267EB" w:rsidP="002267EB">
      <w:pPr>
        <w:spacing w:after="0" w:line="360" w:lineRule="auto"/>
        <w:ind w:left="0" w:firstLine="0"/>
        <w:rPr>
          <w:rFonts w:cs="宋体"/>
          <w:szCs w:val="24"/>
        </w:rPr>
      </w:pPr>
      <w:r w:rsidRPr="004C533D">
        <w:rPr>
          <w:b/>
          <w:szCs w:val="24"/>
        </w:rPr>
        <w:lastRenderedPageBreak/>
        <w:t xml:space="preserve">Open-Access: </w:t>
      </w:r>
      <w:r w:rsidRPr="004C533D">
        <w:rPr>
          <w:szCs w:val="24"/>
        </w:rPr>
        <w:t xml:space="preserve">This article is an </w:t>
      </w:r>
      <w:r w:rsidRPr="004C533D">
        <w:rPr>
          <w:rFonts w:cs="宋体"/>
          <w:szCs w:val="24"/>
        </w:rPr>
        <w:t xml:space="preserve">open-access article which </w:t>
      </w:r>
      <w:r w:rsidRPr="004C533D">
        <w:rPr>
          <w:szCs w:val="24"/>
        </w:rPr>
        <w:t xml:space="preserve">selected by an in-house editor and fully peer-reviewed by external reviewers. It </w:t>
      </w:r>
      <w:r w:rsidRPr="004C533D">
        <w:rPr>
          <w:rFonts w:cs="宋体"/>
          <w:szCs w:val="24"/>
        </w:rPr>
        <w:t xml:space="preserve">distributed in accordance with </w:t>
      </w:r>
      <w:r w:rsidRPr="004C533D">
        <w:rPr>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2267EB" w:rsidRPr="00547737" w:rsidRDefault="002267EB" w:rsidP="002267EB">
      <w:pPr>
        <w:spacing w:after="0" w:line="360" w:lineRule="auto"/>
        <w:ind w:left="0" w:firstLine="0"/>
        <w:rPr>
          <w:rFonts w:eastAsiaTheme="minorEastAsia"/>
          <w:color w:val="auto"/>
          <w:szCs w:val="24"/>
          <w:lang w:eastAsia="zh-CN"/>
        </w:rPr>
      </w:pPr>
    </w:p>
    <w:p w:rsidR="002E4309" w:rsidRPr="006F4EE5" w:rsidRDefault="00710EE9" w:rsidP="002267EB">
      <w:pPr>
        <w:spacing w:after="0" w:line="360" w:lineRule="auto"/>
        <w:ind w:left="0" w:firstLine="0"/>
        <w:rPr>
          <w:rFonts w:eastAsiaTheme="minorEastAsia"/>
          <w:color w:val="auto"/>
          <w:szCs w:val="24"/>
          <w:lang w:eastAsia="zh-CN"/>
        </w:rPr>
      </w:pPr>
      <w:r w:rsidRPr="006F4EE5">
        <w:rPr>
          <w:b/>
          <w:color w:val="auto"/>
          <w:szCs w:val="24"/>
        </w:rPr>
        <w:t xml:space="preserve">Correspondence to:  </w:t>
      </w:r>
      <w:r w:rsidR="00931667" w:rsidRPr="006F4EE5">
        <w:rPr>
          <w:b/>
          <w:color w:val="auto"/>
          <w:szCs w:val="24"/>
        </w:rPr>
        <w:t>Alexander M Seifalian,</w:t>
      </w:r>
      <w:r w:rsidR="00931667" w:rsidRPr="006F4EE5">
        <w:rPr>
          <w:rFonts w:eastAsiaTheme="minorEastAsia"/>
          <w:b/>
          <w:color w:val="auto"/>
          <w:szCs w:val="24"/>
          <w:lang w:eastAsia="zh-CN"/>
        </w:rPr>
        <w:t xml:space="preserve"> Professor,</w:t>
      </w:r>
      <w:r w:rsidR="00931667" w:rsidRPr="006F4EE5">
        <w:rPr>
          <w:rFonts w:eastAsiaTheme="minorEastAsia"/>
          <w:color w:val="auto"/>
          <w:szCs w:val="24"/>
          <w:lang w:eastAsia="zh-CN"/>
        </w:rPr>
        <w:t xml:space="preserve"> </w:t>
      </w:r>
      <w:r w:rsidR="00931667" w:rsidRPr="006F4EE5">
        <w:rPr>
          <w:color w:val="auto"/>
          <w:szCs w:val="24"/>
        </w:rPr>
        <w:t>University College London</w:t>
      </w:r>
      <w:r w:rsidR="00931667" w:rsidRPr="006F4EE5">
        <w:rPr>
          <w:rFonts w:eastAsiaTheme="minorEastAsia"/>
          <w:color w:val="auto"/>
          <w:szCs w:val="24"/>
          <w:lang w:eastAsia="zh-CN"/>
        </w:rPr>
        <w:t>,</w:t>
      </w:r>
      <w:r w:rsidR="00931667" w:rsidRPr="006F4EE5">
        <w:rPr>
          <w:color w:val="auto"/>
          <w:szCs w:val="24"/>
        </w:rPr>
        <w:t xml:space="preserve"> Centre for Nanotechnology </w:t>
      </w:r>
      <w:r w:rsidR="00931667" w:rsidRPr="006F4EE5">
        <w:rPr>
          <w:rFonts w:eastAsiaTheme="minorEastAsia"/>
          <w:color w:val="auto"/>
          <w:szCs w:val="24"/>
          <w:lang w:eastAsia="zh-CN"/>
        </w:rPr>
        <w:t>and</w:t>
      </w:r>
      <w:r w:rsidR="00931667" w:rsidRPr="006F4EE5">
        <w:rPr>
          <w:color w:val="auto"/>
          <w:szCs w:val="24"/>
        </w:rPr>
        <w:t xml:space="preserve"> Regenerative Medicine, </w:t>
      </w:r>
      <w:r w:rsidRPr="006F4EE5">
        <w:rPr>
          <w:color w:val="auto"/>
          <w:szCs w:val="24"/>
        </w:rPr>
        <w:t xml:space="preserve">UCL Division of Surgery </w:t>
      </w:r>
      <w:r w:rsidR="00931667" w:rsidRPr="006F4EE5">
        <w:rPr>
          <w:rFonts w:eastAsiaTheme="minorEastAsia"/>
          <w:color w:val="auto"/>
          <w:szCs w:val="24"/>
          <w:lang w:eastAsia="zh-CN"/>
        </w:rPr>
        <w:t>and</w:t>
      </w:r>
      <w:r w:rsidRPr="006F4EE5">
        <w:rPr>
          <w:color w:val="auto"/>
          <w:szCs w:val="24"/>
        </w:rPr>
        <w:t xml:space="preserve"> Interventional Science</w:t>
      </w:r>
      <w:r w:rsidRPr="006F4EE5">
        <w:rPr>
          <w:b/>
          <w:color w:val="auto"/>
          <w:szCs w:val="24"/>
        </w:rPr>
        <w:t xml:space="preserve">, </w:t>
      </w:r>
      <w:r w:rsidRPr="006F4EE5">
        <w:rPr>
          <w:color w:val="auto"/>
          <w:szCs w:val="24"/>
        </w:rPr>
        <w:t>9</w:t>
      </w:r>
      <w:r w:rsidRPr="006F4EE5">
        <w:rPr>
          <w:color w:val="auto"/>
          <w:szCs w:val="24"/>
          <w:vertAlign w:val="superscript"/>
        </w:rPr>
        <w:t>th</w:t>
      </w:r>
      <w:r w:rsidRPr="006F4EE5">
        <w:rPr>
          <w:color w:val="auto"/>
          <w:szCs w:val="24"/>
        </w:rPr>
        <w:t xml:space="preserve"> Floor, Royal Free Campus</w:t>
      </w:r>
      <w:r w:rsidRPr="006F4EE5">
        <w:rPr>
          <w:b/>
          <w:color w:val="auto"/>
          <w:szCs w:val="24"/>
        </w:rPr>
        <w:t xml:space="preserve">, </w:t>
      </w:r>
      <w:r w:rsidRPr="006F4EE5">
        <w:rPr>
          <w:color w:val="auto"/>
          <w:szCs w:val="24"/>
        </w:rPr>
        <w:t>Rowland Hill Street</w:t>
      </w:r>
      <w:r w:rsidR="00931667" w:rsidRPr="006F4EE5">
        <w:rPr>
          <w:rFonts w:eastAsiaTheme="minorEastAsia"/>
          <w:color w:val="auto"/>
          <w:szCs w:val="24"/>
          <w:lang w:eastAsia="zh-CN"/>
        </w:rPr>
        <w:t>,</w:t>
      </w:r>
      <w:r w:rsidRPr="006F4EE5">
        <w:rPr>
          <w:b/>
          <w:color w:val="auto"/>
          <w:szCs w:val="24"/>
        </w:rPr>
        <w:t xml:space="preserve"> </w:t>
      </w:r>
      <w:r w:rsidR="00931667" w:rsidRPr="006F4EE5">
        <w:rPr>
          <w:color w:val="auto"/>
          <w:szCs w:val="24"/>
        </w:rPr>
        <w:t>NW3 2PF London, United Kingdom</w:t>
      </w:r>
      <w:r w:rsidR="00931667" w:rsidRPr="006F4EE5">
        <w:rPr>
          <w:rFonts w:eastAsiaTheme="minorEastAsia"/>
          <w:color w:val="auto"/>
          <w:szCs w:val="24"/>
          <w:lang w:eastAsia="zh-CN"/>
        </w:rPr>
        <w:t xml:space="preserve">. </w:t>
      </w:r>
      <w:hyperlink r:id="rId9" w:history="1">
        <w:r w:rsidR="00931667" w:rsidRPr="006F4EE5">
          <w:rPr>
            <w:rStyle w:val="Hyperlink"/>
            <w:color w:val="auto"/>
            <w:szCs w:val="24"/>
            <w:u w:val="none"/>
          </w:rPr>
          <w:t>a.seifalian@ucl.ac.uk</w:t>
        </w:r>
      </w:hyperlink>
    </w:p>
    <w:p w:rsidR="00931667" w:rsidRPr="006F4EE5" w:rsidRDefault="00931667" w:rsidP="006F4EE5">
      <w:pPr>
        <w:spacing w:after="0" w:line="360" w:lineRule="auto"/>
        <w:ind w:left="0" w:firstLine="0"/>
        <w:rPr>
          <w:rFonts w:eastAsiaTheme="minorEastAsia"/>
          <w:color w:val="auto"/>
          <w:szCs w:val="24"/>
          <w:lang w:eastAsia="zh-CN"/>
        </w:rPr>
      </w:pPr>
    </w:p>
    <w:p w:rsidR="00C715CC" w:rsidRDefault="00710EE9" w:rsidP="006F4EE5">
      <w:pPr>
        <w:spacing w:after="0" w:line="360" w:lineRule="auto"/>
        <w:ind w:left="0" w:firstLine="0"/>
        <w:rPr>
          <w:rFonts w:eastAsiaTheme="minorEastAsia"/>
          <w:color w:val="auto"/>
          <w:szCs w:val="24"/>
          <w:lang w:eastAsia="zh-CN"/>
        </w:rPr>
      </w:pPr>
      <w:r w:rsidRPr="006F4EE5">
        <w:rPr>
          <w:b/>
          <w:color w:val="auto"/>
          <w:szCs w:val="24"/>
        </w:rPr>
        <w:t>Tel</w:t>
      </w:r>
      <w:r w:rsidR="00931667" w:rsidRPr="006F4EE5">
        <w:rPr>
          <w:rFonts w:eastAsiaTheme="minorEastAsia"/>
          <w:b/>
          <w:color w:val="auto"/>
          <w:szCs w:val="24"/>
          <w:lang w:eastAsia="zh-CN"/>
        </w:rPr>
        <w:t>ephone</w:t>
      </w:r>
      <w:r w:rsidRPr="006F4EE5">
        <w:rPr>
          <w:b/>
          <w:color w:val="auto"/>
          <w:szCs w:val="24"/>
        </w:rPr>
        <w:t xml:space="preserve">: </w:t>
      </w:r>
      <w:r w:rsidR="00C715CC" w:rsidRPr="006F4EE5">
        <w:rPr>
          <w:color w:val="auto"/>
          <w:szCs w:val="24"/>
        </w:rPr>
        <w:t>+44</w:t>
      </w:r>
      <w:r w:rsidR="00931667" w:rsidRPr="006F4EE5">
        <w:rPr>
          <w:rFonts w:eastAsiaTheme="minorEastAsia"/>
          <w:color w:val="auto"/>
          <w:szCs w:val="24"/>
          <w:lang w:eastAsia="zh-CN"/>
        </w:rPr>
        <w:t>-</w:t>
      </w:r>
      <w:r w:rsidRPr="006F4EE5">
        <w:rPr>
          <w:color w:val="auto"/>
          <w:szCs w:val="24"/>
        </w:rPr>
        <w:t>0</w:t>
      </w:r>
      <w:r w:rsidR="00931667" w:rsidRPr="006F4EE5">
        <w:rPr>
          <w:color w:val="auto"/>
          <w:szCs w:val="24"/>
        </w:rPr>
        <w:t>20-7794</w:t>
      </w:r>
      <w:r w:rsidRPr="006F4EE5">
        <w:rPr>
          <w:color w:val="auto"/>
          <w:szCs w:val="24"/>
        </w:rPr>
        <w:t xml:space="preserve">0500 </w:t>
      </w:r>
      <w:r w:rsidR="00C715CC" w:rsidRPr="006F4EE5">
        <w:rPr>
          <w:b/>
          <w:color w:val="auto"/>
          <w:szCs w:val="24"/>
        </w:rPr>
        <w:t xml:space="preserve">Fax: </w:t>
      </w:r>
      <w:r w:rsidR="00C715CC" w:rsidRPr="006F4EE5">
        <w:rPr>
          <w:color w:val="auto"/>
          <w:szCs w:val="24"/>
        </w:rPr>
        <w:t>+44</w:t>
      </w:r>
      <w:r w:rsidR="00931667" w:rsidRPr="006F4EE5">
        <w:rPr>
          <w:rFonts w:eastAsiaTheme="minorEastAsia"/>
          <w:color w:val="auto"/>
          <w:szCs w:val="24"/>
          <w:lang w:eastAsia="zh-CN"/>
        </w:rPr>
        <w:t>-</w:t>
      </w:r>
      <w:r w:rsidR="00C715CC" w:rsidRPr="006F4EE5">
        <w:rPr>
          <w:color w:val="auto"/>
          <w:szCs w:val="24"/>
        </w:rPr>
        <w:t>020</w:t>
      </w:r>
      <w:r w:rsidR="00931667" w:rsidRPr="006F4EE5">
        <w:rPr>
          <w:rFonts w:eastAsiaTheme="minorEastAsia"/>
          <w:color w:val="auto"/>
          <w:szCs w:val="24"/>
          <w:lang w:eastAsia="zh-CN"/>
        </w:rPr>
        <w:t>-</w:t>
      </w:r>
      <w:r w:rsidR="00931667" w:rsidRPr="006F4EE5">
        <w:rPr>
          <w:color w:val="auto"/>
          <w:szCs w:val="24"/>
        </w:rPr>
        <w:t>7472</w:t>
      </w:r>
      <w:r w:rsidR="00C715CC" w:rsidRPr="006F4EE5">
        <w:rPr>
          <w:color w:val="auto"/>
          <w:szCs w:val="24"/>
        </w:rPr>
        <w:t>6444</w:t>
      </w:r>
    </w:p>
    <w:p w:rsidR="0002738F" w:rsidRPr="0002738F" w:rsidRDefault="0002738F" w:rsidP="006F4EE5">
      <w:pPr>
        <w:spacing w:after="0" w:line="360" w:lineRule="auto"/>
        <w:ind w:left="0" w:firstLine="0"/>
        <w:rPr>
          <w:rFonts w:eastAsiaTheme="minorEastAsia"/>
          <w:color w:val="auto"/>
          <w:szCs w:val="24"/>
          <w:lang w:eastAsia="zh-CN"/>
        </w:rPr>
      </w:pPr>
    </w:p>
    <w:p w:rsidR="0002738F" w:rsidRDefault="0002738F" w:rsidP="0002738F">
      <w:pPr>
        <w:spacing w:line="360" w:lineRule="auto"/>
        <w:rPr>
          <w:b/>
        </w:rPr>
      </w:pPr>
      <w:r>
        <w:rPr>
          <w:b/>
        </w:rPr>
        <w:t xml:space="preserve">Received: </w:t>
      </w:r>
      <w:r w:rsidRPr="006F4EE5">
        <w:rPr>
          <w:rFonts w:eastAsiaTheme="minorEastAsia"/>
          <w:color w:val="auto"/>
          <w:szCs w:val="24"/>
          <w:lang w:eastAsia="zh-CN"/>
        </w:rPr>
        <w:t>July 29, 2014</w:t>
      </w:r>
    </w:p>
    <w:p w:rsidR="0002738F" w:rsidRDefault="0002738F" w:rsidP="0002738F">
      <w:pPr>
        <w:spacing w:line="360" w:lineRule="auto"/>
        <w:rPr>
          <w:b/>
        </w:rPr>
      </w:pPr>
      <w:r w:rsidRPr="009659DA">
        <w:rPr>
          <w:rFonts w:hint="eastAsia"/>
          <w:b/>
        </w:rPr>
        <w:t>Peer-review started</w:t>
      </w:r>
      <w:r>
        <w:rPr>
          <w:b/>
        </w:rPr>
        <w:t>:</w:t>
      </w:r>
      <w:r w:rsidRPr="00AE7CEE">
        <w:rPr>
          <w:rFonts w:hint="eastAsia"/>
        </w:rPr>
        <w:t xml:space="preserve"> July 30, 2014</w:t>
      </w:r>
    </w:p>
    <w:p w:rsidR="0002738F" w:rsidRPr="0002738F" w:rsidRDefault="0002738F" w:rsidP="0002738F">
      <w:pPr>
        <w:spacing w:line="360" w:lineRule="auto"/>
        <w:rPr>
          <w:rFonts w:eastAsiaTheme="minorEastAsia"/>
          <w:b/>
          <w:lang w:eastAsia="zh-CN"/>
        </w:rPr>
      </w:pPr>
      <w:r w:rsidRPr="009659DA">
        <w:rPr>
          <w:b/>
        </w:rPr>
        <w:t>First decision:</w:t>
      </w:r>
      <w:r>
        <w:rPr>
          <w:rFonts w:eastAsiaTheme="minorEastAsia" w:hint="eastAsia"/>
          <w:b/>
          <w:lang w:eastAsia="zh-CN"/>
        </w:rPr>
        <w:t xml:space="preserve"> </w:t>
      </w:r>
      <w:r w:rsidRPr="0002738F">
        <w:rPr>
          <w:rFonts w:eastAsiaTheme="minorEastAsia" w:hint="eastAsia"/>
          <w:lang w:eastAsia="zh-CN"/>
        </w:rPr>
        <w:t>September 29, 2014</w:t>
      </w:r>
    </w:p>
    <w:p w:rsidR="0002738F" w:rsidRDefault="0002738F" w:rsidP="0002738F">
      <w:pPr>
        <w:spacing w:line="360" w:lineRule="auto"/>
        <w:rPr>
          <w:b/>
        </w:rPr>
      </w:pPr>
      <w:r>
        <w:rPr>
          <w:b/>
        </w:rPr>
        <w:t xml:space="preserve">Revised: </w:t>
      </w:r>
      <w:r w:rsidRPr="006F4EE5">
        <w:rPr>
          <w:rFonts w:eastAsiaTheme="minorEastAsia"/>
          <w:color w:val="auto"/>
          <w:szCs w:val="24"/>
          <w:lang w:eastAsia="zh-CN"/>
        </w:rPr>
        <w:t>November 7, 2014</w:t>
      </w:r>
      <w:r w:rsidRPr="006F4EE5">
        <w:rPr>
          <w:color w:val="auto"/>
          <w:szCs w:val="24"/>
        </w:rPr>
        <w:t xml:space="preserve">  </w:t>
      </w:r>
      <w:r>
        <w:rPr>
          <w:b/>
        </w:rPr>
        <w:t xml:space="preserve"> </w:t>
      </w:r>
    </w:p>
    <w:p w:rsidR="0002738F" w:rsidRPr="00606690" w:rsidRDefault="0002738F" w:rsidP="00606690">
      <w:pPr>
        <w:rPr>
          <w:iCs/>
        </w:rPr>
      </w:pPr>
      <w:r>
        <w:rPr>
          <w:b/>
        </w:rPr>
        <w:t xml:space="preserve">Accepted: </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bookmarkStart w:id="55" w:name="OLE_LINK92"/>
      <w:bookmarkStart w:id="56" w:name="OLE_LINK94"/>
      <w:bookmarkStart w:id="57" w:name="OLE_LINK95"/>
      <w:r w:rsidR="00606690">
        <w:rPr>
          <w:rStyle w:val="Emphasis"/>
          <w:i w:val="0"/>
        </w:rPr>
        <w:t>December</w:t>
      </w:r>
      <w:r w:rsidR="00606690" w:rsidRPr="00A63FB9">
        <w:rPr>
          <w:rStyle w:val="Emphasis"/>
          <w:i w:val="0"/>
        </w:rPr>
        <w:t xml:space="preserve"> </w:t>
      </w:r>
      <w:r w:rsidR="00606690">
        <w:rPr>
          <w:rStyle w:val="Emphasis"/>
          <w:i w:val="0"/>
        </w:rPr>
        <w:t>3</w:t>
      </w:r>
      <w:r w:rsidR="00606690" w:rsidRPr="00A63FB9">
        <w:rPr>
          <w:rStyle w:val="Emphasis"/>
          <w:i w:val="0"/>
        </w:rPr>
        <w:t>, 2014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02738F" w:rsidRDefault="0002738F" w:rsidP="0002738F">
      <w:pPr>
        <w:spacing w:line="360" w:lineRule="auto"/>
        <w:rPr>
          <w:b/>
        </w:rPr>
      </w:pPr>
      <w:r w:rsidRPr="009659DA">
        <w:rPr>
          <w:b/>
        </w:rPr>
        <w:t>Article in press:</w:t>
      </w:r>
    </w:p>
    <w:p w:rsidR="0002738F" w:rsidRDefault="0002738F" w:rsidP="0002738F">
      <w:pPr>
        <w:spacing w:line="360" w:lineRule="auto"/>
        <w:rPr>
          <w:b/>
        </w:rPr>
      </w:pPr>
      <w:r>
        <w:rPr>
          <w:b/>
        </w:rPr>
        <w:t xml:space="preserve">Published online: </w:t>
      </w:r>
    </w:p>
    <w:p w:rsidR="00C715CC" w:rsidRPr="0002738F" w:rsidRDefault="00C715CC" w:rsidP="006F4EE5">
      <w:pPr>
        <w:pStyle w:val="NoSpacing"/>
        <w:spacing w:line="360" w:lineRule="auto"/>
        <w:ind w:left="0" w:firstLine="0"/>
        <w:rPr>
          <w:rFonts w:eastAsiaTheme="minorEastAsia"/>
          <w:color w:val="auto"/>
          <w:szCs w:val="24"/>
          <w:lang w:eastAsia="zh-CN"/>
        </w:rPr>
      </w:pPr>
    </w:p>
    <w:p w:rsidR="002E4309" w:rsidRPr="006F4EE5" w:rsidRDefault="00C52D84" w:rsidP="006F4EE5">
      <w:pPr>
        <w:spacing w:after="0" w:line="360" w:lineRule="auto"/>
        <w:ind w:left="0" w:firstLine="0"/>
        <w:rPr>
          <w:b/>
          <w:color w:val="auto"/>
          <w:szCs w:val="24"/>
        </w:rPr>
      </w:pPr>
      <w:r w:rsidRPr="006F4EE5">
        <w:rPr>
          <w:b/>
          <w:color w:val="auto"/>
          <w:szCs w:val="24"/>
        </w:rPr>
        <w:t>A</w:t>
      </w:r>
      <w:r w:rsidR="00833D39" w:rsidRPr="006F4EE5">
        <w:rPr>
          <w:b/>
          <w:color w:val="auto"/>
          <w:szCs w:val="24"/>
        </w:rPr>
        <w:t>bstract</w:t>
      </w:r>
    </w:p>
    <w:p w:rsidR="002E4309" w:rsidRPr="006F4EE5" w:rsidRDefault="00710EE9" w:rsidP="006F4EE5">
      <w:pPr>
        <w:spacing w:after="0" w:line="360" w:lineRule="auto"/>
        <w:ind w:left="0" w:firstLine="0"/>
        <w:rPr>
          <w:color w:val="auto"/>
          <w:szCs w:val="24"/>
        </w:rPr>
      </w:pPr>
      <w:r w:rsidRPr="006F4EE5">
        <w:rPr>
          <w:color w:val="auto"/>
          <w:szCs w:val="24"/>
        </w:rPr>
        <w:t>Recent regenerative medicine and tissue engineering strategies (using cells, scaffolds, medical devices and gene therapy) have led to fascinating progress of translation of basic research towards clinical applications. In the past decade, great deal of research has focused on developing various 3D organs, such as bone, skin, liver, kidney and ear</w:t>
      </w:r>
      <w:r w:rsidRPr="006F4EE5">
        <w:rPr>
          <w:color w:val="auto"/>
          <w:szCs w:val="24"/>
          <w:vertAlign w:val="subscript"/>
        </w:rPr>
        <w:t>,</w:t>
      </w:r>
      <w:r w:rsidRPr="006F4EE5">
        <w:rPr>
          <w:color w:val="auto"/>
          <w:szCs w:val="24"/>
        </w:rPr>
        <w:t xml:space="preserve"> using such strategies in order to replace or regenerate damaged organs for the purpose of maintaining or restoring organs’ functions that may have been lost due to aging, accident or disease. The surface properties of a material or a device are key aspects in determining the success of the implant in biomedicine, as the majority of biological reactions in human body occur on surfaces or interfaces. Furthermore, it has been established in the literature that cell adhesion and proliferation are, to a great extent, influenced by the micro- and nano-surface characteristics of biomaterials and devices. In addition, it has been shown that the functions of stem cells, mesenchymal stem cells in particular, could be regulated through physical interaction with specific nanotopographical cues. Therefore, guided stem cell proliferation, differentiation and function are of great importance in the regeneration of 3D tissues and organs using tissue engineering strategies. This review will provide an update on the impact of nanotopography on mesenchymal stem cells for the purpose of developing laboratory-based 3D organs and tissues, as well as the most recent research and case studies on this topic.   </w:t>
      </w:r>
    </w:p>
    <w:p w:rsidR="002E4309" w:rsidRPr="006F4EE5" w:rsidRDefault="00710EE9" w:rsidP="006F4EE5">
      <w:pPr>
        <w:spacing w:after="0" w:line="360" w:lineRule="auto"/>
        <w:ind w:left="0" w:firstLine="0"/>
        <w:rPr>
          <w:rFonts w:eastAsiaTheme="minorEastAsia"/>
          <w:color w:val="auto"/>
          <w:szCs w:val="24"/>
          <w:lang w:eastAsia="zh-CN"/>
        </w:rPr>
      </w:pPr>
      <w:r w:rsidRPr="006F4EE5">
        <w:rPr>
          <w:color w:val="auto"/>
          <w:szCs w:val="24"/>
        </w:rPr>
        <w:t xml:space="preserve"> </w:t>
      </w:r>
    </w:p>
    <w:p w:rsidR="00931667" w:rsidRPr="006F4EE5" w:rsidRDefault="00931667" w:rsidP="006F4EE5">
      <w:pPr>
        <w:spacing w:after="0" w:line="360" w:lineRule="auto"/>
        <w:ind w:left="0" w:firstLine="0"/>
        <w:rPr>
          <w:color w:val="auto"/>
          <w:szCs w:val="24"/>
        </w:rPr>
      </w:pPr>
      <w:r w:rsidRPr="006F4EE5">
        <w:rPr>
          <w:color w:val="auto"/>
          <w:szCs w:val="24"/>
        </w:rPr>
        <w:t>© 2014 Baishideng Publishing Group Inc. All rights reserved.</w:t>
      </w:r>
    </w:p>
    <w:p w:rsidR="00931667" w:rsidRPr="006F4EE5" w:rsidRDefault="00931667" w:rsidP="006F4EE5">
      <w:pPr>
        <w:spacing w:after="0" w:line="360" w:lineRule="auto"/>
        <w:ind w:left="0" w:firstLine="0"/>
        <w:rPr>
          <w:rFonts w:eastAsiaTheme="minorEastAsia"/>
          <w:color w:val="auto"/>
          <w:szCs w:val="24"/>
          <w:lang w:eastAsia="zh-CN"/>
        </w:rPr>
      </w:pPr>
    </w:p>
    <w:p w:rsidR="002E4309" w:rsidRPr="006F4EE5" w:rsidRDefault="00710EE9" w:rsidP="006F4EE5">
      <w:pPr>
        <w:spacing w:after="0" w:line="360" w:lineRule="auto"/>
        <w:ind w:left="0" w:firstLine="0"/>
        <w:rPr>
          <w:color w:val="auto"/>
          <w:szCs w:val="24"/>
        </w:rPr>
      </w:pPr>
      <w:r w:rsidRPr="006F4EE5">
        <w:rPr>
          <w:b/>
          <w:color w:val="auto"/>
          <w:szCs w:val="24"/>
        </w:rPr>
        <w:t xml:space="preserve">Key words: </w:t>
      </w:r>
      <w:r w:rsidRPr="006F4EE5">
        <w:rPr>
          <w:color w:val="auto"/>
          <w:szCs w:val="24"/>
        </w:rPr>
        <w:t>Nanotopography; Nanotechnology</w:t>
      </w:r>
      <w:r w:rsidR="00931667" w:rsidRPr="006F4EE5">
        <w:rPr>
          <w:rFonts w:eastAsiaTheme="minorEastAsia"/>
          <w:color w:val="auto"/>
          <w:szCs w:val="24"/>
          <w:lang w:eastAsia="zh-CN"/>
        </w:rPr>
        <w:t>;</w:t>
      </w:r>
      <w:r w:rsidRPr="006F4EE5">
        <w:rPr>
          <w:color w:val="auto"/>
          <w:szCs w:val="24"/>
        </w:rPr>
        <w:t xml:space="preserve"> Mesenchymal stem cells; Tissue engineering; 3D organs/tissues; Scaffolds </w:t>
      </w:r>
    </w:p>
    <w:p w:rsidR="005D166F" w:rsidRPr="006F4EE5" w:rsidRDefault="00710EE9" w:rsidP="006F4EE5">
      <w:pPr>
        <w:spacing w:after="0" w:line="360" w:lineRule="auto"/>
        <w:ind w:left="0" w:firstLine="0"/>
        <w:rPr>
          <w:rFonts w:eastAsiaTheme="minorEastAsia"/>
          <w:color w:val="auto"/>
          <w:szCs w:val="24"/>
          <w:lang w:eastAsia="zh-CN"/>
        </w:rPr>
      </w:pPr>
      <w:r w:rsidRPr="006F4EE5">
        <w:rPr>
          <w:color w:val="auto"/>
          <w:szCs w:val="24"/>
        </w:rPr>
        <w:t xml:space="preserve"> </w:t>
      </w:r>
    </w:p>
    <w:p w:rsidR="00931667" w:rsidRPr="006F4EE5" w:rsidRDefault="00710EE9" w:rsidP="006F4EE5">
      <w:pPr>
        <w:spacing w:after="0" w:line="360" w:lineRule="auto"/>
        <w:ind w:left="0" w:firstLine="0"/>
        <w:rPr>
          <w:rFonts w:eastAsiaTheme="minorEastAsia"/>
          <w:color w:val="auto"/>
          <w:szCs w:val="24"/>
          <w:lang w:eastAsia="zh-CN"/>
        </w:rPr>
      </w:pPr>
      <w:r w:rsidRPr="006F4EE5">
        <w:rPr>
          <w:b/>
          <w:color w:val="auto"/>
          <w:szCs w:val="24"/>
        </w:rPr>
        <w:t>C</w:t>
      </w:r>
      <w:r w:rsidR="00833D39" w:rsidRPr="006F4EE5">
        <w:rPr>
          <w:b/>
          <w:color w:val="auto"/>
          <w:szCs w:val="24"/>
        </w:rPr>
        <w:t>ore tip</w:t>
      </w:r>
      <w:r w:rsidR="00833D39" w:rsidRPr="006F4EE5">
        <w:rPr>
          <w:rFonts w:eastAsiaTheme="minorEastAsia"/>
          <w:b/>
          <w:color w:val="auto"/>
          <w:szCs w:val="24"/>
          <w:lang w:eastAsia="zh-CN"/>
        </w:rPr>
        <w:t>:</w:t>
      </w:r>
      <w:r w:rsidRPr="006F4EE5">
        <w:rPr>
          <w:b/>
          <w:color w:val="auto"/>
          <w:szCs w:val="24"/>
        </w:rPr>
        <w:t xml:space="preserve"> </w:t>
      </w:r>
      <w:r w:rsidRPr="006F4EE5">
        <w:rPr>
          <w:color w:val="auto"/>
          <w:szCs w:val="24"/>
        </w:rPr>
        <w:t>Tissue engineering and nanotechnology are both exciting fields that have enormous potentials to revolutionise medicine as we know it today. Use of nanotechnology is an attractive and effective way to control and direct biological events</w:t>
      </w:r>
      <w:r w:rsidR="006805AD" w:rsidRPr="006F4EE5">
        <w:rPr>
          <w:color w:val="auto"/>
          <w:szCs w:val="24"/>
        </w:rPr>
        <w:t xml:space="preserve"> at cellular levels. Nano</w:t>
      </w:r>
      <w:r w:rsidRPr="006F4EE5">
        <w:rPr>
          <w:color w:val="auto"/>
          <w:szCs w:val="24"/>
        </w:rPr>
        <w:t>scale architecture plays a pivotal role directing cellular activities. Here, the use of nanotopography for the purpose of 3D organ/tissue regeneration using mesenchymal stem cells (</w:t>
      </w:r>
      <w:r w:rsidRPr="006F4EE5">
        <w:rPr>
          <w:i/>
          <w:color w:val="auto"/>
          <w:szCs w:val="24"/>
        </w:rPr>
        <w:t>i.e.</w:t>
      </w:r>
      <w:r w:rsidR="00931667" w:rsidRPr="006F4EE5">
        <w:rPr>
          <w:rFonts w:eastAsiaTheme="minorEastAsia"/>
          <w:i/>
          <w:color w:val="auto"/>
          <w:szCs w:val="24"/>
          <w:lang w:eastAsia="zh-CN"/>
        </w:rPr>
        <w:t>,</w:t>
      </w:r>
      <w:r w:rsidRPr="006F4EE5">
        <w:rPr>
          <w:color w:val="auto"/>
          <w:szCs w:val="24"/>
        </w:rPr>
        <w:t xml:space="preserve"> their proliferation, differentiation and function), is reviewed by investigating the most recent, innovative, and effective studies in this field. </w:t>
      </w:r>
    </w:p>
    <w:p w:rsidR="00931667" w:rsidRPr="006F4EE5" w:rsidRDefault="00931667" w:rsidP="006F4EE5">
      <w:pPr>
        <w:spacing w:after="0" w:line="360" w:lineRule="auto"/>
        <w:ind w:left="0" w:firstLine="0"/>
        <w:rPr>
          <w:rFonts w:eastAsiaTheme="minorEastAsia"/>
          <w:color w:val="auto"/>
          <w:szCs w:val="24"/>
          <w:lang w:eastAsia="zh-CN"/>
        </w:rPr>
      </w:pPr>
    </w:p>
    <w:p w:rsidR="00931667" w:rsidRPr="006F4EE5" w:rsidRDefault="00931667" w:rsidP="006F4EE5">
      <w:pPr>
        <w:spacing w:after="0" w:line="360" w:lineRule="auto"/>
        <w:ind w:left="0" w:firstLine="0"/>
        <w:rPr>
          <w:rFonts w:eastAsiaTheme="minorEastAsia"/>
          <w:color w:val="auto"/>
          <w:szCs w:val="24"/>
          <w:lang w:eastAsia="zh-CN"/>
        </w:rPr>
      </w:pPr>
      <w:r w:rsidRPr="006F4EE5">
        <w:rPr>
          <w:color w:val="auto"/>
          <w:szCs w:val="24"/>
        </w:rPr>
        <w:t>Salmasi</w:t>
      </w:r>
      <w:r w:rsidRPr="006F4EE5">
        <w:rPr>
          <w:rFonts w:eastAsiaTheme="minorEastAsia"/>
          <w:color w:val="auto"/>
          <w:szCs w:val="24"/>
          <w:lang w:eastAsia="zh-CN"/>
        </w:rPr>
        <w:t xml:space="preserve"> S</w:t>
      </w:r>
      <w:r w:rsidRPr="006F4EE5">
        <w:rPr>
          <w:color w:val="auto"/>
          <w:szCs w:val="24"/>
        </w:rPr>
        <w:t>, Kalaskar</w:t>
      </w:r>
      <w:r w:rsidRPr="006F4EE5">
        <w:rPr>
          <w:rFonts w:eastAsiaTheme="minorEastAsia"/>
          <w:color w:val="auto"/>
          <w:szCs w:val="24"/>
          <w:lang w:eastAsia="zh-CN"/>
        </w:rPr>
        <w:t xml:space="preserve"> DM</w:t>
      </w:r>
      <w:r w:rsidRPr="006F4EE5">
        <w:rPr>
          <w:color w:val="auto"/>
          <w:szCs w:val="24"/>
        </w:rPr>
        <w:t>, Yoon</w:t>
      </w:r>
      <w:r w:rsidRPr="006F4EE5">
        <w:rPr>
          <w:rFonts w:eastAsiaTheme="minorEastAsia"/>
          <w:color w:val="auto"/>
          <w:szCs w:val="24"/>
          <w:lang w:eastAsia="zh-CN"/>
        </w:rPr>
        <w:t xml:space="preserve"> WW</w:t>
      </w:r>
      <w:r w:rsidRPr="006F4EE5">
        <w:rPr>
          <w:color w:val="auto"/>
          <w:szCs w:val="24"/>
        </w:rPr>
        <w:t>, Blunn</w:t>
      </w:r>
      <w:r w:rsidRPr="006F4EE5">
        <w:rPr>
          <w:rFonts w:eastAsiaTheme="minorEastAsia"/>
          <w:color w:val="auto"/>
          <w:szCs w:val="24"/>
          <w:lang w:eastAsia="zh-CN"/>
        </w:rPr>
        <w:t xml:space="preserve"> GW</w:t>
      </w:r>
      <w:r w:rsidRPr="006F4EE5">
        <w:rPr>
          <w:color w:val="auto"/>
          <w:szCs w:val="24"/>
        </w:rPr>
        <w:t>, Seifalian</w:t>
      </w:r>
      <w:r w:rsidRPr="006F4EE5">
        <w:rPr>
          <w:rFonts w:eastAsiaTheme="minorEastAsia"/>
          <w:color w:val="auto"/>
          <w:szCs w:val="24"/>
          <w:lang w:eastAsia="zh-CN"/>
        </w:rPr>
        <w:t xml:space="preserve"> AM.</w:t>
      </w:r>
      <w:r w:rsidRPr="006F4EE5">
        <w:rPr>
          <w:color w:val="auto"/>
          <w:szCs w:val="24"/>
        </w:rPr>
        <w:t xml:space="preserve"> Role of nanotopography in the development of tissue engineered 3D organs and tissues using mesenchymal stem cells</w:t>
      </w:r>
      <w:r w:rsidRPr="006F4EE5">
        <w:rPr>
          <w:rFonts w:eastAsiaTheme="minorEastAsia"/>
          <w:color w:val="auto"/>
          <w:szCs w:val="24"/>
          <w:lang w:eastAsia="zh-CN"/>
        </w:rPr>
        <w:t xml:space="preserve">. </w:t>
      </w:r>
      <w:r w:rsidRPr="006F4EE5">
        <w:rPr>
          <w:i/>
          <w:iCs/>
          <w:color w:val="auto"/>
          <w:szCs w:val="24"/>
        </w:rPr>
        <w:t>World J Stem Cells</w:t>
      </w:r>
      <w:r w:rsidRPr="006F4EE5">
        <w:rPr>
          <w:rFonts w:eastAsiaTheme="minorEastAsia"/>
          <w:i/>
          <w:iCs/>
          <w:color w:val="auto"/>
          <w:szCs w:val="24"/>
          <w:lang w:eastAsia="zh-CN"/>
        </w:rPr>
        <w:t xml:space="preserve"> </w:t>
      </w:r>
      <w:r w:rsidRPr="006F4EE5">
        <w:rPr>
          <w:rFonts w:eastAsiaTheme="minorEastAsia"/>
          <w:iCs/>
          <w:color w:val="auto"/>
          <w:szCs w:val="24"/>
          <w:lang w:eastAsia="zh-CN"/>
        </w:rPr>
        <w:t>2014; In press</w:t>
      </w:r>
    </w:p>
    <w:p w:rsidR="002E4309" w:rsidRPr="006F4EE5" w:rsidRDefault="002E4309" w:rsidP="006F4EE5">
      <w:pPr>
        <w:spacing w:after="0" w:line="360" w:lineRule="auto"/>
        <w:ind w:left="0" w:firstLine="0"/>
        <w:rPr>
          <w:rFonts w:eastAsiaTheme="minorEastAsia"/>
          <w:color w:val="auto"/>
          <w:szCs w:val="24"/>
          <w:lang w:eastAsia="zh-CN"/>
        </w:rPr>
      </w:pPr>
    </w:p>
    <w:p w:rsidR="002E4309" w:rsidRPr="006F4EE5" w:rsidRDefault="00C52D84" w:rsidP="006F4EE5">
      <w:pPr>
        <w:spacing w:after="0" w:line="360" w:lineRule="auto"/>
        <w:ind w:left="0" w:firstLine="0"/>
        <w:rPr>
          <w:b/>
          <w:color w:val="auto"/>
          <w:szCs w:val="24"/>
        </w:rPr>
      </w:pPr>
      <w:r w:rsidRPr="006F4EE5">
        <w:rPr>
          <w:b/>
          <w:color w:val="auto"/>
          <w:szCs w:val="24"/>
        </w:rPr>
        <w:t>INTRODUCTION</w:t>
      </w:r>
    </w:p>
    <w:p w:rsidR="002E4309" w:rsidRPr="006F4EE5" w:rsidRDefault="00710EE9" w:rsidP="006F4EE5">
      <w:pPr>
        <w:spacing w:after="0" w:line="360" w:lineRule="auto"/>
        <w:ind w:left="0" w:firstLine="0"/>
        <w:rPr>
          <w:color w:val="auto"/>
          <w:szCs w:val="24"/>
        </w:rPr>
      </w:pPr>
      <w:r w:rsidRPr="006F4EE5">
        <w:rPr>
          <w:color w:val="auto"/>
          <w:szCs w:val="24"/>
        </w:rPr>
        <w:t>It is becoming progressively evident that with an ever increasingly older population and high costs associated with meeting the healthcare demands</w:t>
      </w:r>
      <w:r w:rsidRPr="006F4EE5">
        <w:rPr>
          <w:color w:val="auto"/>
          <w:szCs w:val="24"/>
          <w:vertAlign w:val="superscript"/>
        </w:rPr>
        <w:t>[1]</w:t>
      </w:r>
      <w:r w:rsidRPr="006F4EE5">
        <w:rPr>
          <w:color w:val="auto"/>
          <w:szCs w:val="24"/>
        </w:rPr>
        <w:t xml:space="preserve"> as well as the shortage of organs and effective therapeutic methods</w:t>
      </w:r>
      <w:r w:rsidRPr="006F4EE5">
        <w:rPr>
          <w:color w:val="auto"/>
          <w:szCs w:val="24"/>
          <w:vertAlign w:val="superscript"/>
        </w:rPr>
        <w:t>[2]</w:t>
      </w:r>
      <w:r w:rsidRPr="006F4EE5">
        <w:rPr>
          <w:color w:val="auto"/>
          <w:szCs w:val="24"/>
        </w:rPr>
        <w:t>, the field of medicine has to move towards cutting edge, laboratory engineered techniques and devices if, we are to avoid a drastic world-wide healthcare collapse in the near future. To this end, the fields of nanotechnology, regenerative medicine and tissue engineering (TE) are expanding at a rapid pace. Recent regenerative medicine and TE strategies (using cells, scaffolds, medical devices and gene therapy) have led to fascinating progress of translation of basic research towards clinical applications</w:t>
      </w:r>
      <w:r w:rsidR="00C43D71" w:rsidRPr="006F4EE5">
        <w:rPr>
          <w:color w:val="auto"/>
          <w:szCs w:val="24"/>
          <w:vertAlign w:val="superscript"/>
        </w:rPr>
        <w:t>[1,</w:t>
      </w:r>
      <w:r w:rsidRPr="006F4EE5">
        <w:rPr>
          <w:color w:val="auto"/>
          <w:szCs w:val="24"/>
          <w:vertAlign w:val="superscript"/>
        </w:rPr>
        <w:t>3]</w:t>
      </w:r>
      <w:r w:rsidRPr="006F4EE5">
        <w:rPr>
          <w:color w:val="auto"/>
          <w:szCs w:val="24"/>
        </w:rPr>
        <w:t>. In the past decade, great deal of research has focused on developing various 3D organs, such as bone</w:t>
      </w:r>
      <w:r w:rsidRPr="006F4EE5">
        <w:rPr>
          <w:color w:val="auto"/>
          <w:szCs w:val="24"/>
          <w:vertAlign w:val="superscript"/>
        </w:rPr>
        <w:t>[4]</w:t>
      </w:r>
      <w:r w:rsidRPr="006F4EE5">
        <w:rPr>
          <w:color w:val="auto"/>
          <w:szCs w:val="24"/>
        </w:rPr>
        <w:t>, skin</w:t>
      </w:r>
      <w:r w:rsidRPr="006F4EE5">
        <w:rPr>
          <w:color w:val="auto"/>
          <w:szCs w:val="24"/>
          <w:vertAlign w:val="superscript"/>
        </w:rPr>
        <w:t>[5]</w:t>
      </w:r>
      <w:r w:rsidRPr="006F4EE5">
        <w:rPr>
          <w:color w:val="auto"/>
          <w:szCs w:val="24"/>
        </w:rPr>
        <w:t>, liver</w:t>
      </w:r>
      <w:r w:rsidRPr="006F4EE5">
        <w:rPr>
          <w:color w:val="auto"/>
          <w:szCs w:val="24"/>
          <w:vertAlign w:val="superscript"/>
        </w:rPr>
        <w:t>[6]</w:t>
      </w:r>
      <w:r w:rsidRPr="006F4EE5">
        <w:rPr>
          <w:color w:val="auto"/>
          <w:szCs w:val="24"/>
        </w:rPr>
        <w:t>, kidney</w:t>
      </w:r>
      <w:r w:rsidRPr="006F4EE5">
        <w:rPr>
          <w:color w:val="auto"/>
          <w:szCs w:val="24"/>
          <w:vertAlign w:val="superscript"/>
        </w:rPr>
        <w:t>[7]</w:t>
      </w:r>
      <w:r w:rsidRPr="006F4EE5">
        <w:rPr>
          <w:color w:val="auto"/>
          <w:szCs w:val="24"/>
        </w:rPr>
        <w:t>, and ear</w:t>
      </w:r>
      <w:r w:rsidRPr="006F4EE5">
        <w:rPr>
          <w:color w:val="auto"/>
          <w:szCs w:val="24"/>
          <w:vertAlign w:val="superscript"/>
        </w:rPr>
        <w:t>[8]</w:t>
      </w:r>
      <w:r w:rsidRPr="006F4EE5">
        <w:rPr>
          <w:color w:val="auto"/>
          <w:szCs w:val="24"/>
        </w:rPr>
        <w:t xml:space="preserve">, using such strategies in order to replace or regenerate damaged organs for the purpose of maintaining or restoring organs’ functions.  </w:t>
      </w:r>
    </w:p>
    <w:p w:rsidR="002E4309" w:rsidRPr="006F4EE5" w:rsidRDefault="00710EE9" w:rsidP="006F4EE5">
      <w:pPr>
        <w:spacing w:after="0" w:line="360" w:lineRule="auto"/>
        <w:ind w:left="0" w:firstLineChars="100" w:firstLine="240"/>
        <w:rPr>
          <w:color w:val="auto"/>
          <w:szCs w:val="24"/>
        </w:rPr>
      </w:pPr>
      <w:r w:rsidRPr="006F4EE5">
        <w:rPr>
          <w:color w:val="auto"/>
          <w:szCs w:val="24"/>
        </w:rPr>
        <w:t>Human organs are responsible for various important functions of the body including, but not limited to, digesting food, serving as a barrier against infections, recognising and coordinating the body’s response to its internal and external environmental changes, and providing oxygen (to be used for cellular respiration) as well as removing excess carbon dioxide. They are also responsible for maintaining homeostasis, transmission of information and generating force</w:t>
      </w:r>
      <w:r w:rsidRPr="006F4EE5">
        <w:rPr>
          <w:color w:val="auto"/>
          <w:szCs w:val="24"/>
          <w:vertAlign w:val="superscript"/>
        </w:rPr>
        <w:t>[3]</w:t>
      </w:r>
      <w:r w:rsidRPr="006F4EE5">
        <w:rPr>
          <w:color w:val="auto"/>
          <w:szCs w:val="24"/>
        </w:rPr>
        <w:t>. In cases when one or a few of the organs are severely damaged, to an extent that they are no longer capable of reconstructing or regenerating themselves, tissue engineering and nanotechnology based strategies, using previously established knowledge on cellular behaviour</w:t>
      </w:r>
      <w:r w:rsidR="00C43D71" w:rsidRPr="006F4EE5">
        <w:rPr>
          <w:color w:val="auto"/>
          <w:szCs w:val="24"/>
          <w:vertAlign w:val="superscript"/>
        </w:rPr>
        <w:t>[9,</w:t>
      </w:r>
      <w:r w:rsidRPr="006F4EE5">
        <w:rPr>
          <w:color w:val="auto"/>
          <w:szCs w:val="24"/>
          <w:vertAlign w:val="superscript"/>
        </w:rPr>
        <w:t>10]</w:t>
      </w:r>
      <w:r w:rsidRPr="006F4EE5">
        <w:rPr>
          <w:color w:val="auto"/>
          <w:szCs w:val="24"/>
        </w:rPr>
        <w:t xml:space="preserve">, could be employed to develop and construct tailored therapies, devices, or even whole organs. To this end, nanostructured, bio-inspired, or biological materials have attracted a great deal of attention as they poses unique chemical, mechanical and surface characteristics that could prove useful for organ or tissue TE. </w:t>
      </w:r>
    </w:p>
    <w:p w:rsidR="002E4309" w:rsidRPr="006F4EE5" w:rsidRDefault="00710EE9" w:rsidP="006F4EE5">
      <w:pPr>
        <w:spacing w:after="0" w:line="360" w:lineRule="auto"/>
        <w:ind w:left="0" w:firstLineChars="100" w:firstLine="240"/>
        <w:rPr>
          <w:color w:val="auto"/>
          <w:szCs w:val="24"/>
        </w:rPr>
      </w:pPr>
      <w:r w:rsidRPr="006F4EE5">
        <w:rPr>
          <w:color w:val="auto"/>
          <w:szCs w:val="24"/>
        </w:rPr>
        <w:t>The surface properties of a material or a device are key aspects in determining the success of the implant in biomedicine, as the majority of biological reactions in human body occur on surfaces or interfaces</w:t>
      </w:r>
      <w:r w:rsidRPr="006F4EE5">
        <w:rPr>
          <w:color w:val="auto"/>
          <w:szCs w:val="24"/>
          <w:vertAlign w:val="superscript"/>
        </w:rPr>
        <w:t>[11]</w:t>
      </w:r>
      <w:r w:rsidRPr="006F4EE5">
        <w:rPr>
          <w:color w:val="auto"/>
          <w:szCs w:val="24"/>
        </w:rPr>
        <w:t>. Furthermore, it has been established in the literature that cell adhesion and proliferation are, to a great extent, influenced by the micro- and nano</w:t>
      </w:r>
      <w:r w:rsidR="006805AD" w:rsidRPr="006F4EE5">
        <w:rPr>
          <w:color w:val="auto"/>
          <w:szCs w:val="24"/>
        </w:rPr>
        <w:t>-</w:t>
      </w:r>
      <w:r w:rsidRPr="006F4EE5">
        <w:rPr>
          <w:color w:val="auto"/>
          <w:szCs w:val="24"/>
        </w:rPr>
        <w:t>surface characteristics of biomaterials and devices</w:t>
      </w:r>
      <w:r w:rsidR="00C43D71" w:rsidRPr="006F4EE5">
        <w:rPr>
          <w:color w:val="auto"/>
          <w:szCs w:val="24"/>
          <w:vertAlign w:val="superscript"/>
        </w:rPr>
        <w:t>[12,</w:t>
      </w:r>
      <w:r w:rsidRPr="006F4EE5">
        <w:rPr>
          <w:color w:val="auto"/>
          <w:szCs w:val="24"/>
          <w:vertAlign w:val="superscript"/>
        </w:rPr>
        <w:t>13]</w:t>
      </w:r>
      <w:r w:rsidRPr="006F4EE5">
        <w:rPr>
          <w:color w:val="auto"/>
          <w:szCs w:val="24"/>
        </w:rPr>
        <w:t>. In addition, it has been shown that the stem cells’, mesenchymal stem cells (MSCs) in particular, functions can be regulated through physical interaction with specific nanotopographical cues</w:t>
      </w:r>
      <w:r w:rsidR="00C43D71" w:rsidRPr="006F4EE5">
        <w:rPr>
          <w:color w:val="auto"/>
          <w:szCs w:val="24"/>
          <w:vertAlign w:val="superscript"/>
        </w:rPr>
        <w:t>[3,</w:t>
      </w:r>
      <w:r w:rsidRPr="006F4EE5">
        <w:rPr>
          <w:color w:val="auto"/>
          <w:szCs w:val="24"/>
          <w:vertAlign w:val="superscript"/>
        </w:rPr>
        <w:t>14]</w:t>
      </w:r>
      <w:r w:rsidRPr="006F4EE5">
        <w:rPr>
          <w:color w:val="auto"/>
          <w:szCs w:val="24"/>
        </w:rPr>
        <w:t xml:space="preserve">, further indicating the importance of surface characteristics at nanometre length scale. Therefore, guided stem cell proliferation, differentiation and function are of great importance in the regeneration of 3D </w:t>
      </w:r>
      <w:r w:rsidR="00AC395B" w:rsidRPr="006F4EE5">
        <w:rPr>
          <w:color w:val="auto"/>
          <w:szCs w:val="24"/>
        </w:rPr>
        <w:t xml:space="preserve">organs and </w:t>
      </w:r>
      <w:r w:rsidRPr="006F4EE5">
        <w:rPr>
          <w:color w:val="auto"/>
          <w:szCs w:val="24"/>
        </w:rPr>
        <w:t xml:space="preserve">tissues using TE strategies. </w:t>
      </w:r>
    </w:p>
    <w:p w:rsidR="002E4309" w:rsidRPr="006F4EE5" w:rsidRDefault="00710EE9" w:rsidP="006F4EE5">
      <w:pPr>
        <w:spacing w:after="0" w:line="360" w:lineRule="auto"/>
        <w:ind w:left="0" w:firstLineChars="100" w:firstLine="240"/>
        <w:rPr>
          <w:color w:val="auto"/>
          <w:szCs w:val="24"/>
        </w:rPr>
      </w:pPr>
      <w:r w:rsidRPr="006F4EE5">
        <w:rPr>
          <w:color w:val="auto"/>
          <w:szCs w:val="24"/>
        </w:rPr>
        <w:t xml:space="preserve">This review will provide an update on the impact of nanotopography on MSCs for the purpose of developing laboratory-based 3D organs, as well as the most recent research and case studies on this topic.   </w:t>
      </w:r>
    </w:p>
    <w:p w:rsidR="00C43D71" w:rsidRPr="006F4EE5" w:rsidRDefault="00C43D71" w:rsidP="006F4EE5">
      <w:pPr>
        <w:spacing w:after="0" w:line="360" w:lineRule="auto"/>
        <w:ind w:left="0" w:firstLine="0"/>
        <w:rPr>
          <w:rFonts w:eastAsiaTheme="minorEastAsia"/>
          <w:color w:val="auto"/>
          <w:szCs w:val="24"/>
          <w:lang w:eastAsia="zh-CN"/>
        </w:rPr>
      </w:pPr>
    </w:p>
    <w:p w:rsidR="002E4309" w:rsidRPr="006F4EE5" w:rsidRDefault="00710EE9" w:rsidP="006F4EE5">
      <w:pPr>
        <w:spacing w:after="0" w:line="360" w:lineRule="auto"/>
        <w:ind w:left="0" w:firstLine="0"/>
        <w:rPr>
          <w:b/>
          <w:color w:val="auto"/>
          <w:szCs w:val="24"/>
        </w:rPr>
      </w:pPr>
      <w:r w:rsidRPr="006F4EE5">
        <w:rPr>
          <w:b/>
          <w:color w:val="auto"/>
          <w:szCs w:val="24"/>
        </w:rPr>
        <w:t>N</w:t>
      </w:r>
      <w:r w:rsidR="00C52D84" w:rsidRPr="006F4EE5">
        <w:rPr>
          <w:b/>
          <w:color w:val="auto"/>
          <w:szCs w:val="24"/>
        </w:rPr>
        <w:t>ANOFABRICATION OF 3D SCAFFOLDS WITH STEM CELLS</w:t>
      </w:r>
      <w:r w:rsidRPr="006F4EE5">
        <w:rPr>
          <w:b/>
          <w:color w:val="auto"/>
          <w:szCs w:val="24"/>
        </w:rPr>
        <w:t xml:space="preserve"> </w:t>
      </w:r>
    </w:p>
    <w:p w:rsidR="002E4309" w:rsidRPr="006F4EE5" w:rsidRDefault="00710EE9" w:rsidP="006F4EE5">
      <w:pPr>
        <w:spacing w:after="0" w:line="360" w:lineRule="auto"/>
        <w:ind w:left="0" w:firstLine="0"/>
        <w:rPr>
          <w:color w:val="auto"/>
          <w:szCs w:val="24"/>
        </w:rPr>
      </w:pPr>
      <w:r w:rsidRPr="006F4EE5">
        <w:rPr>
          <w:color w:val="auto"/>
          <w:szCs w:val="24"/>
        </w:rPr>
        <w:t>Previously, most research and investigations focused on growing cells in a petri dish (two dimensional, 2D). However, in nature cells us</w:t>
      </w:r>
      <w:r w:rsidR="00AC395B" w:rsidRPr="006F4EE5">
        <w:rPr>
          <w:color w:val="auto"/>
          <w:szCs w:val="24"/>
        </w:rPr>
        <w:t>e 3D template of extracellular m</w:t>
      </w:r>
      <w:r w:rsidRPr="006F4EE5">
        <w:rPr>
          <w:color w:val="auto"/>
          <w:szCs w:val="24"/>
        </w:rPr>
        <w:t>atrix (E</w:t>
      </w:r>
      <w:r w:rsidR="006805AD" w:rsidRPr="006F4EE5">
        <w:rPr>
          <w:color w:val="auto"/>
          <w:szCs w:val="24"/>
        </w:rPr>
        <w:t>CM) to shape functional tissues</w:t>
      </w:r>
      <w:r w:rsidRPr="006F4EE5">
        <w:rPr>
          <w:color w:val="auto"/>
          <w:szCs w:val="24"/>
          <w:vertAlign w:val="superscript"/>
        </w:rPr>
        <w:t>[15]</w:t>
      </w:r>
      <w:r w:rsidR="006805AD" w:rsidRPr="006F4EE5">
        <w:rPr>
          <w:color w:val="auto"/>
          <w:szCs w:val="24"/>
        </w:rPr>
        <w:t>. Micro- and nano-</w:t>
      </w:r>
      <w:r w:rsidRPr="006F4EE5">
        <w:rPr>
          <w:color w:val="auto"/>
          <w:szCs w:val="24"/>
        </w:rPr>
        <w:t>scale chemical and physical cues from the ECM environment control and direct various key cell behaviours including their adhesion, proliferation, migration and differentiation</w:t>
      </w:r>
      <w:r w:rsidRPr="006F4EE5">
        <w:rPr>
          <w:color w:val="auto"/>
          <w:szCs w:val="24"/>
          <w:vertAlign w:val="superscript"/>
        </w:rPr>
        <w:t>[16-18]</w:t>
      </w:r>
      <w:r w:rsidRPr="006F4EE5">
        <w:rPr>
          <w:color w:val="auto"/>
          <w:szCs w:val="24"/>
        </w:rPr>
        <w:t>. Therefore, the construction of a synthetic system that mimics the natural ECM and its component has become a field of topical interest</w:t>
      </w:r>
      <w:r w:rsidRPr="006F4EE5">
        <w:rPr>
          <w:color w:val="auto"/>
          <w:szCs w:val="24"/>
          <w:vertAlign w:val="superscript"/>
        </w:rPr>
        <w:t>[19]</w:t>
      </w:r>
      <w:r w:rsidRPr="006F4EE5">
        <w:rPr>
          <w:color w:val="auto"/>
          <w:szCs w:val="24"/>
        </w:rPr>
        <w:t xml:space="preserve">. </w:t>
      </w:r>
    </w:p>
    <w:p w:rsidR="002E4309" w:rsidRPr="006F4EE5" w:rsidRDefault="00710EE9" w:rsidP="006F4EE5">
      <w:pPr>
        <w:spacing w:after="0" w:line="360" w:lineRule="auto"/>
        <w:ind w:left="0" w:firstLineChars="100" w:firstLine="240"/>
        <w:rPr>
          <w:color w:val="auto"/>
          <w:szCs w:val="24"/>
        </w:rPr>
      </w:pPr>
      <w:r w:rsidRPr="006F4EE5">
        <w:rPr>
          <w:color w:val="auto"/>
          <w:szCs w:val="24"/>
        </w:rPr>
        <w:t xml:space="preserve">Recent investigations have shown rapid success in TE of sophisticated and complex nanoenvironments suitable for 3D growth of stem cells for the purpose of </w:t>
      </w:r>
      <w:r w:rsidR="00AC395B" w:rsidRPr="006F4EE5">
        <w:rPr>
          <w:color w:val="auto"/>
          <w:szCs w:val="24"/>
        </w:rPr>
        <w:t xml:space="preserve">organ </w:t>
      </w:r>
      <w:r w:rsidRPr="006F4EE5">
        <w:rPr>
          <w:color w:val="auto"/>
          <w:szCs w:val="24"/>
        </w:rPr>
        <w:t xml:space="preserve">and </w:t>
      </w:r>
      <w:r w:rsidR="00AC395B" w:rsidRPr="006F4EE5">
        <w:rPr>
          <w:color w:val="auto"/>
          <w:szCs w:val="24"/>
        </w:rPr>
        <w:t xml:space="preserve">tissue </w:t>
      </w:r>
      <w:r w:rsidRPr="006F4EE5">
        <w:rPr>
          <w:color w:val="auto"/>
          <w:szCs w:val="24"/>
        </w:rPr>
        <w:t>regeneration</w:t>
      </w:r>
      <w:r w:rsidRPr="006F4EE5">
        <w:rPr>
          <w:color w:val="auto"/>
          <w:szCs w:val="24"/>
          <w:vertAlign w:val="superscript"/>
        </w:rPr>
        <w:t>[19-22]</w:t>
      </w:r>
      <w:r w:rsidRPr="006F4EE5">
        <w:rPr>
          <w:color w:val="auto"/>
          <w:szCs w:val="24"/>
        </w:rPr>
        <w:t>. So far, various biofabrication techniques have been developed and employed to design an ideal 3D synthetic</w:t>
      </w:r>
      <w:r w:rsidR="00AC395B" w:rsidRPr="006F4EE5">
        <w:rPr>
          <w:color w:val="auto"/>
          <w:szCs w:val="24"/>
        </w:rPr>
        <w:t xml:space="preserve"> ECM-</w:t>
      </w:r>
      <w:r w:rsidRPr="006F4EE5">
        <w:rPr>
          <w:color w:val="auto"/>
          <w:szCs w:val="24"/>
        </w:rPr>
        <w:t>mimetic system that resembles the architecture and mechanical properties of the natural ECM</w:t>
      </w:r>
      <w:r w:rsidRPr="006F4EE5">
        <w:rPr>
          <w:color w:val="auto"/>
          <w:szCs w:val="24"/>
          <w:vertAlign w:val="superscript"/>
        </w:rPr>
        <w:t>[3]</w:t>
      </w:r>
      <w:r w:rsidRPr="006F4EE5">
        <w:rPr>
          <w:color w:val="auto"/>
          <w:szCs w:val="24"/>
        </w:rPr>
        <w:t>. Natural or synthetic polymers are used as scaffold materials and, depending on their nature, suitable biofabrication techniques are used to create a 3D environment with nanotopographical cues that can lead to controlled and directed growth and differentiation of stem cells toward a specific or organ regeneration. Numerous studies have covered the currently available fabrication techniques for natural or synthetic polymers</w:t>
      </w:r>
      <w:r w:rsidR="00C43D71" w:rsidRPr="006F4EE5">
        <w:rPr>
          <w:color w:val="auto"/>
          <w:szCs w:val="24"/>
          <w:vertAlign w:val="superscript"/>
        </w:rPr>
        <w:t>[15,</w:t>
      </w:r>
      <w:r w:rsidRPr="006F4EE5">
        <w:rPr>
          <w:color w:val="auto"/>
          <w:szCs w:val="24"/>
          <w:vertAlign w:val="superscript"/>
        </w:rPr>
        <w:t>23-27]</w:t>
      </w:r>
      <w:r w:rsidRPr="006F4EE5">
        <w:rPr>
          <w:color w:val="auto"/>
          <w:szCs w:val="24"/>
        </w:rPr>
        <w:t xml:space="preserve">. In general, the available fabrication techniques can be classified into different categories based on their energy source, i.e. thermal, optical, physical, chemical or electrical (Table 1). It is beyond the scope of this paper to review the different available techniques in each of these categories, however, a review conducted by Kim </w:t>
      </w:r>
      <w:r w:rsidRPr="006F4EE5">
        <w:rPr>
          <w:i/>
          <w:color w:val="auto"/>
          <w:szCs w:val="24"/>
        </w:rPr>
        <w:t>et al</w:t>
      </w:r>
      <w:r w:rsidR="00C43D71" w:rsidRPr="006F4EE5">
        <w:rPr>
          <w:color w:val="auto"/>
          <w:szCs w:val="24"/>
          <w:vertAlign w:val="superscript"/>
        </w:rPr>
        <w:t>[3]</w:t>
      </w:r>
      <w:r w:rsidRPr="006F4EE5">
        <w:rPr>
          <w:color w:val="auto"/>
          <w:szCs w:val="24"/>
        </w:rPr>
        <w:t xml:space="preserve"> could be referred </w:t>
      </w:r>
      <w:r w:rsidR="00AC395B" w:rsidRPr="006F4EE5">
        <w:rPr>
          <w:color w:val="auto"/>
          <w:szCs w:val="24"/>
        </w:rPr>
        <w:t>to</w:t>
      </w:r>
      <w:r w:rsidRPr="006F4EE5">
        <w:rPr>
          <w:color w:val="auto"/>
          <w:szCs w:val="24"/>
        </w:rPr>
        <w:t xml:space="preserve"> for further and in detail information on this topic.  </w:t>
      </w:r>
    </w:p>
    <w:p w:rsidR="002E4309" w:rsidRPr="006F4EE5" w:rsidRDefault="00710EE9" w:rsidP="006F4EE5">
      <w:pPr>
        <w:spacing w:after="0" w:line="360" w:lineRule="auto"/>
        <w:ind w:left="0" w:firstLine="0"/>
        <w:rPr>
          <w:color w:val="auto"/>
          <w:szCs w:val="24"/>
        </w:rPr>
      </w:pPr>
      <w:r w:rsidRPr="006F4EE5">
        <w:rPr>
          <w:color w:val="auto"/>
          <w:szCs w:val="24"/>
        </w:rPr>
        <w:t xml:space="preserve"> </w:t>
      </w:r>
    </w:p>
    <w:p w:rsidR="002E4309" w:rsidRPr="006F4EE5" w:rsidRDefault="00710EE9" w:rsidP="006F4EE5">
      <w:pPr>
        <w:pStyle w:val="Heading1"/>
        <w:spacing w:after="0" w:line="360" w:lineRule="auto"/>
        <w:ind w:left="0" w:firstLine="0"/>
        <w:jc w:val="both"/>
        <w:rPr>
          <w:color w:val="auto"/>
          <w:sz w:val="24"/>
          <w:szCs w:val="24"/>
        </w:rPr>
      </w:pPr>
      <w:r w:rsidRPr="006F4EE5">
        <w:rPr>
          <w:color w:val="auto"/>
          <w:sz w:val="24"/>
          <w:szCs w:val="24"/>
        </w:rPr>
        <w:t>C</w:t>
      </w:r>
      <w:r w:rsidR="00C52D84" w:rsidRPr="006F4EE5">
        <w:rPr>
          <w:color w:val="auto"/>
          <w:sz w:val="24"/>
          <w:szCs w:val="24"/>
        </w:rPr>
        <w:t xml:space="preserve">HARACTERISTICS OF MSCs AND THEIR APPLICATION IN TE OF 3D ORGANS </w:t>
      </w:r>
    </w:p>
    <w:p w:rsidR="002E4309" w:rsidRPr="006F4EE5" w:rsidRDefault="00710EE9" w:rsidP="006F4EE5">
      <w:pPr>
        <w:spacing w:after="0" w:line="360" w:lineRule="auto"/>
        <w:ind w:left="0" w:firstLine="0"/>
        <w:rPr>
          <w:color w:val="auto"/>
          <w:szCs w:val="24"/>
        </w:rPr>
      </w:pPr>
      <w:r w:rsidRPr="006F4EE5">
        <w:rPr>
          <w:color w:val="auto"/>
          <w:szCs w:val="24"/>
        </w:rPr>
        <w:t>An extensive number of studies have demonstrated the great potentials of using MSCs for TE approaches</w:t>
      </w:r>
      <w:r w:rsidRPr="006F4EE5">
        <w:rPr>
          <w:color w:val="auto"/>
          <w:szCs w:val="24"/>
          <w:vertAlign w:val="superscript"/>
        </w:rPr>
        <w:t>[28-33]</w:t>
      </w:r>
      <w:r w:rsidRPr="006F4EE5">
        <w:rPr>
          <w:color w:val="auto"/>
          <w:szCs w:val="24"/>
        </w:rPr>
        <w:t>. Among many advantageous characteristics of MSCs the fact that these cells can be isolated from several tissues and that they have the potential to be expanded in culture and exhibit multilineage differentiation (</w:t>
      </w:r>
      <w:r w:rsidR="00C52D84" w:rsidRPr="006F4EE5">
        <w:rPr>
          <w:color w:val="auto"/>
          <w:szCs w:val="24"/>
        </w:rPr>
        <w:t>Figure</w:t>
      </w:r>
      <w:r w:rsidRPr="006F4EE5">
        <w:rPr>
          <w:color w:val="auto"/>
          <w:szCs w:val="24"/>
        </w:rPr>
        <w:t xml:space="preserve"> 1) make MSCs a highly interesting stem cell source for TE and regenerative medicine research</w:t>
      </w:r>
      <w:r w:rsidRPr="006F4EE5">
        <w:rPr>
          <w:color w:val="auto"/>
          <w:szCs w:val="24"/>
          <w:vertAlign w:val="superscript"/>
        </w:rPr>
        <w:t>[31]</w:t>
      </w:r>
      <w:r w:rsidRPr="006F4EE5">
        <w:rPr>
          <w:color w:val="auto"/>
          <w:szCs w:val="24"/>
        </w:rPr>
        <w:t>. Other interesting properties of MSCs include</w:t>
      </w:r>
      <w:r w:rsidR="00AC395B" w:rsidRPr="006F4EE5">
        <w:rPr>
          <w:color w:val="auto"/>
          <w:szCs w:val="24"/>
        </w:rPr>
        <w:t>;</w:t>
      </w:r>
      <w:r w:rsidRPr="006F4EE5">
        <w:rPr>
          <w:color w:val="auto"/>
          <w:szCs w:val="24"/>
        </w:rPr>
        <w:t xml:space="preserve"> their ability to self-renew, modulate immune responses, and their availability (they can be obtained from a small scale aspirate of bone marrow or adipose tissues)</w:t>
      </w:r>
      <w:r w:rsidRPr="006F4EE5">
        <w:rPr>
          <w:color w:val="auto"/>
          <w:szCs w:val="24"/>
          <w:vertAlign w:val="superscript"/>
        </w:rPr>
        <w:t>[34-36]</w:t>
      </w:r>
      <w:r w:rsidRPr="006F4EE5">
        <w:rPr>
          <w:color w:val="auto"/>
          <w:szCs w:val="24"/>
        </w:rPr>
        <w:t xml:space="preserve">. Furthermore, MSCs can be isolated </w:t>
      </w:r>
      <w:r w:rsidR="00AC395B" w:rsidRPr="006F4EE5">
        <w:rPr>
          <w:color w:val="auto"/>
          <w:szCs w:val="24"/>
        </w:rPr>
        <w:t>from</w:t>
      </w:r>
      <w:r w:rsidRPr="006F4EE5">
        <w:rPr>
          <w:color w:val="auto"/>
          <w:szCs w:val="24"/>
        </w:rPr>
        <w:t xml:space="preserve"> adults, therefore, allogeneic transplant of these cells would eliminate raising ethical issues in regards to their use in TE and regenerative medicine</w:t>
      </w:r>
      <w:r w:rsidRPr="006F4EE5">
        <w:rPr>
          <w:color w:val="auto"/>
          <w:szCs w:val="24"/>
          <w:vertAlign w:val="superscript"/>
        </w:rPr>
        <w:t>[36]</w:t>
      </w:r>
      <w:r w:rsidRPr="006F4EE5">
        <w:rPr>
          <w:color w:val="auto"/>
          <w:szCs w:val="24"/>
        </w:rPr>
        <w:t xml:space="preserve">.  </w:t>
      </w:r>
    </w:p>
    <w:p w:rsidR="002E4309" w:rsidRPr="006F4EE5" w:rsidRDefault="00710EE9" w:rsidP="006F4EE5">
      <w:pPr>
        <w:spacing w:after="0" w:line="360" w:lineRule="auto"/>
        <w:ind w:left="0" w:firstLineChars="100" w:firstLine="240"/>
        <w:rPr>
          <w:color w:val="auto"/>
          <w:szCs w:val="24"/>
        </w:rPr>
      </w:pPr>
      <w:r w:rsidRPr="006F4EE5">
        <w:rPr>
          <w:color w:val="auto"/>
          <w:szCs w:val="24"/>
        </w:rPr>
        <w:t>Among most potential characteristics of MSCs, it is probably their ability of multilineage differentiation that is mostly exploited for TE and regenerative medicine purposes. The differentiation of MSCs is controlled by some regulatory genes and induction chemicals that lead to the specific differentiation of these progenitor cells</w:t>
      </w:r>
      <w:r w:rsidR="00C43D71" w:rsidRPr="006F4EE5">
        <w:rPr>
          <w:color w:val="auto"/>
          <w:szCs w:val="24"/>
          <w:vertAlign w:val="superscript"/>
        </w:rPr>
        <w:t>[37,</w:t>
      </w:r>
      <w:r w:rsidRPr="006F4EE5">
        <w:rPr>
          <w:color w:val="auto"/>
          <w:szCs w:val="24"/>
          <w:vertAlign w:val="superscript"/>
        </w:rPr>
        <w:t>38]</w:t>
      </w:r>
      <w:r w:rsidRPr="006F4EE5">
        <w:rPr>
          <w:color w:val="auto"/>
          <w:szCs w:val="24"/>
        </w:rPr>
        <w:t xml:space="preserve">. In addition to growth factors and induction chemicals, various biomaterials (i.e. natural and synthetic polymers) are used to provide appropriate </w:t>
      </w:r>
      <w:r w:rsidR="00AC395B" w:rsidRPr="006F4EE5">
        <w:rPr>
          <w:color w:val="auto"/>
          <w:szCs w:val="24"/>
        </w:rPr>
        <w:t>scaffolding</w:t>
      </w:r>
      <w:r w:rsidRPr="006F4EE5">
        <w:rPr>
          <w:color w:val="auto"/>
          <w:szCs w:val="24"/>
        </w:rPr>
        <w:t xml:space="preserve"> for the proliferation and differentiation of MSCs for the</w:t>
      </w:r>
      <w:r w:rsidR="00AC395B" w:rsidRPr="006F4EE5">
        <w:rPr>
          <w:color w:val="auto"/>
          <w:szCs w:val="24"/>
        </w:rPr>
        <w:t xml:space="preserve"> purpose of</w:t>
      </w:r>
      <w:r w:rsidRPr="006F4EE5">
        <w:rPr>
          <w:color w:val="auto"/>
          <w:szCs w:val="24"/>
        </w:rPr>
        <w:t xml:space="preserve"> reconstruction of several hard and soft tissues and organs, such as bone, cartilage, tendons, and skin</w:t>
      </w:r>
      <w:r w:rsidR="00C43D71" w:rsidRPr="006F4EE5">
        <w:rPr>
          <w:color w:val="auto"/>
          <w:szCs w:val="24"/>
          <w:vertAlign w:val="superscript"/>
        </w:rPr>
        <w:t>[39,</w:t>
      </w:r>
      <w:r w:rsidRPr="006F4EE5">
        <w:rPr>
          <w:color w:val="auto"/>
          <w:szCs w:val="24"/>
          <w:vertAlign w:val="superscript"/>
        </w:rPr>
        <w:t>40]</w:t>
      </w:r>
      <w:r w:rsidRPr="006F4EE5">
        <w:rPr>
          <w:color w:val="auto"/>
          <w:szCs w:val="24"/>
        </w:rPr>
        <w:t xml:space="preserve"> (</w:t>
      </w:r>
      <w:r w:rsidR="00C52D84" w:rsidRPr="006F4EE5">
        <w:rPr>
          <w:color w:val="auto"/>
          <w:szCs w:val="24"/>
        </w:rPr>
        <w:t>Figure</w:t>
      </w:r>
      <w:r w:rsidRPr="006F4EE5">
        <w:rPr>
          <w:color w:val="auto"/>
          <w:szCs w:val="24"/>
        </w:rPr>
        <w:t xml:space="preserve"> 2).  </w:t>
      </w:r>
    </w:p>
    <w:p w:rsidR="002E4309" w:rsidRPr="006F4EE5" w:rsidRDefault="00710EE9" w:rsidP="006F4EE5">
      <w:pPr>
        <w:spacing w:after="0" w:line="360" w:lineRule="auto"/>
        <w:ind w:left="0" w:firstLine="0"/>
        <w:rPr>
          <w:color w:val="auto"/>
          <w:szCs w:val="24"/>
        </w:rPr>
      </w:pPr>
      <w:r w:rsidRPr="006F4EE5">
        <w:rPr>
          <w:color w:val="auto"/>
          <w:szCs w:val="24"/>
        </w:rPr>
        <w:t xml:space="preserve"> </w:t>
      </w:r>
    </w:p>
    <w:p w:rsidR="002E4309" w:rsidRPr="006F4EE5" w:rsidRDefault="00C52D84" w:rsidP="006F4EE5">
      <w:pPr>
        <w:pStyle w:val="Heading1"/>
        <w:spacing w:after="0" w:line="360" w:lineRule="auto"/>
        <w:ind w:left="0" w:firstLine="0"/>
        <w:jc w:val="both"/>
        <w:rPr>
          <w:color w:val="auto"/>
          <w:sz w:val="24"/>
          <w:szCs w:val="24"/>
        </w:rPr>
      </w:pPr>
      <w:r w:rsidRPr="006F4EE5">
        <w:rPr>
          <w:color w:val="auto"/>
          <w:sz w:val="24"/>
          <w:szCs w:val="24"/>
        </w:rPr>
        <w:t>THE ROLE OF NANOTOPOGRAPHY ON THE GROWTH AND PROLIFIRATION OF MSCS</w:t>
      </w:r>
      <w:r w:rsidR="00710EE9" w:rsidRPr="006F4EE5">
        <w:rPr>
          <w:color w:val="auto"/>
          <w:sz w:val="24"/>
          <w:szCs w:val="24"/>
        </w:rPr>
        <w:t xml:space="preserve"> </w:t>
      </w:r>
    </w:p>
    <w:p w:rsidR="002E4309" w:rsidRPr="006F4EE5" w:rsidRDefault="00710EE9" w:rsidP="006F4EE5">
      <w:pPr>
        <w:spacing w:after="0" w:line="360" w:lineRule="auto"/>
        <w:ind w:left="0" w:firstLine="0"/>
        <w:rPr>
          <w:color w:val="auto"/>
          <w:szCs w:val="24"/>
        </w:rPr>
      </w:pPr>
      <w:r w:rsidRPr="006F4EE5">
        <w:rPr>
          <w:color w:val="auto"/>
          <w:szCs w:val="24"/>
        </w:rPr>
        <w:t xml:space="preserve">As mentioned earlier, surface nanotopography of biomaterials can evoke specific cellular responses. Materials with unique nanotopographical characteristics </w:t>
      </w:r>
      <w:r w:rsidR="00AC395B" w:rsidRPr="006F4EE5">
        <w:rPr>
          <w:color w:val="auto"/>
          <w:szCs w:val="24"/>
        </w:rPr>
        <w:t>offer</w:t>
      </w:r>
      <w:r w:rsidRPr="006F4EE5">
        <w:rPr>
          <w:color w:val="auto"/>
          <w:szCs w:val="24"/>
        </w:rPr>
        <w:t xml:space="preserve"> properties, similar to growth factors, which can be used to induce specific biological performances of safe and cost effective manners in the human body</w:t>
      </w:r>
      <w:r w:rsidRPr="006F4EE5">
        <w:rPr>
          <w:color w:val="auto"/>
          <w:szCs w:val="24"/>
          <w:vertAlign w:val="superscript"/>
        </w:rPr>
        <w:t>[41]</w:t>
      </w:r>
      <w:r w:rsidRPr="006F4EE5">
        <w:rPr>
          <w:color w:val="auto"/>
          <w:szCs w:val="24"/>
        </w:rPr>
        <w:t>. Previous studies show that various nanotopographical cues can potentially impact the adhesion</w:t>
      </w:r>
      <w:r w:rsidR="00C43D71" w:rsidRPr="006F4EE5">
        <w:rPr>
          <w:color w:val="auto"/>
          <w:szCs w:val="24"/>
          <w:vertAlign w:val="superscript"/>
        </w:rPr>
        <w:t>[42,</w:t>
      </w:r>
      <w:r w:rsidRPr="006F4EE5">
        <w:rPr>
          <w:color w:val="auto"/>
          <w:szCs w:val="24"/>
          <w:vertAlign w:val="superscript"/>
        </w:rPr>
        <w:t>43]</w:t>
      </w:r>
      <w:r w:rsidRPr="006F4EE5">
        <w:rPr>
          <w:color w:val="auto"/>
          <w:szCs w:val="24"/>
        </w:rPr>
        <w:t>, orientation</w:t>
      </w:r>
      <w:r w:rsidRPr="006F4EE5">
        <w:rPr>
          <w:color w:val="auto"/>
          <w:szCs w:val="24"/>
          <w:vertAlign w:val="superscript"/>
        </w:rPr>
        <w:t>[44]</w:t>
      </w:r>
      <w:r w:rsidRPr="006F4EE5">
        <w:rPr>
          <w:color w:val="auto"/>
          <w:szCs w:val="24"/>
        </w:rPr>
        <w:t>, and cytoskeletal organisation</w:t>
      </w:r>
      <w:r w:rsidRPr="006F4EE5">
        <w:rPr>
          <w:color w:val="auto"/>
          <w:szCs w:val="24"/>
          <w:vertAlign w:val="superscript"/>
        </w:rPr>
        <w:t>[45]</w:t>
      </w:r>
      <w:r w:rsidRPr="006F4EE5">
        <w:rPr>
          <w:color w:val="auto"/>
          <w:szCs w:val="24"/>
        </w:rPr>
        <w:t xml:space="preserve"> of MSCs as well as their self-renewal</w:t>
      </w:r>
      <w:r w:rsidRPr="006F4EE5">
        <w:rPr>
          <w:color w:val="auto"/>
          <w:szCs w:val="24"/>
          <w:vertAlign w:val="superscript"/>
        </w:rPr>
        <w:t>[46]</w:t>
      </w:r>
      <w:r w:rsidRPr="006F4EE5">
        <w:rPr>
          <w:color w:val="auto"/>
          <w:szCs w:val="24"/>
        </w:rPr>
        <w:t>, proliferation and differentiation</w:t>
      </w:r>
      <w:r w:rsidRPr="006F4EE5">
        <w:rPr>
          <w:color w:val="auto"/>
          <w:szCs w:val="24"/>
          <w:vertAlign w:val="superscript"/>
        </w:rPr>
        <w:t>[41]</w:t>
      </w:r>
      <w:r w:rsidRPr="006F4EE5">
        <w:rPr>
          <w:color w:val="auto"/>
          <w:szCs w:val="24"/>
        </w:rPr>
        <w:t>. Furthermore, nanotopographical cues could influence morphology, migratory capacity, gene expression and subsequently the fate of MSCs</w:t>
      </w:r>
      <w:r w:rsidR="00C43D71" w:rsidRPr="006F4EE5">
        <w:rPr>
          <w:color w:val="auto"/>
          <w:szCs w:val="24"/>
          <w:vertAlign w:val="superscript"/>
        </w:rPr>
        <w:t>[47,</w:t>
      </w:r>
      <w:r w:rsidRPr="006F4EE5">
        <w:rPr>
          <w:color w:val="auto"/>
          <w:szCs w:val="24"/>
          <w:vertAlign w:val="superscript"/>
        </w:rPr>
        <w:t>48]</w:t>
      </w:r>
      <w:r w:rsidRPr="006F4EE5">
        <w:rPr>
          <w:color w:val="auto"/>
          <w:szCs w:val="24"/>
        </w:rPr>
        <w:t xml:space="preserve">.  </w:t>
      </w:r>
    </w:p>
    <w:p w:rsidR="002E4309" w:rsidRPr="006F4EE5" w:rsidRDefault="0049214F" w:rsidP="006F4EE5">
      <w:pPr>
        <w:spacing w:after="0" w:line="360" w:lineRule="auto"/>
        <w:ind w:left="0" w:firstLineChars="100" w:firstLine="240"/>
        <w:rPr>
          <w:color w:val="auto"/>
          <w:szCs w:val="24"/>
        </w:rPr>
      </w:pPr>
      <w:r w:rsidRPr="006F4EE5">
        <w:rPr>
          <w:color w:val="auto"/>
          <w:szCs w:val="24"/>
        </w:rPr>
        <w:t>It has been shown that</w:t>
      </w:r>
      <w:r w:rsidR="00710EE9" w:rsidRPr="006F4EE5">
        <w:rPr>
          <w:color w:val="auto"/>
          <w:szCs w:val="24"/>
        </w:rPr>
        <w:t xml:space="preserve"> nanofeatures including nanopits, nanogratings and nan</w:t>
      </w:r>
      <w:r w:rsidR="007C2D76" w:rsidRPr="006F4EE5">
        <w:rPr>
          <w:color w:val="auto"/>
          <w:szCs w:val="24"/>
        </w:rPr>
        <w:t>o</w:t>
      </w:r>
      <w:r w:rsidR="00710EE9" w:rsidRPr="006F4EE5">
        <w:rPr>
          <w:color w:val="auto"/>
          <w:szCs w:val="24"/>
        </w:rPr>
        <w:t xml:space="preserve">protruisons </w:t>
      </w:r>
      <w:r w:rsidRPr="006F4EE5">
        <w:rPr>
          <w:color w:val="auto"/>
          <w:szCs w:val="24"/>
        </w:rPr>
        <w:t>have the potentials to influence the</w:t>
      </w:r>
      <w:r w:rsidR="00710EE9" w:rsidRPr="006F4EE5">
        <w:rPr>
          <w:color w:val="auto"/>
          <w:szCs w:val="24"/>
        </w:rPr>
        <w:t xml:space="preserve"> cell morphology, proliferation and differentiation of MSCs</w:t>
      </w:r>
      <w:r w:rsidRPr="006F4EE5">
        <w:rPr>
          <w:color w:val="auto"/>
          <w:szCs w:val="24"/>
          <w:vertAlign w:val="superscript"/>
        </w:rPr>
        <w:t>[</w:t>
      </w:r>
      <w:r w:rsidR="00462403">
        <w:rPr>
          <w:rFonts w:eastAsiaTheme="minorEastAsia" w:hint="eastAsia"/>
          <w:color w:val="auto"/>
          <w:szCs w:val="24"/>
          <w:vertAlign w:val="superscript"/>
          <w:lang w:eastAsia="zh-CN"/>
        </w:rPr>
        <w:t>49</w:t>
      </w:r>
      <w:r w:rsidR="00EC66BE" w:rsidRPr="006F4EE5">
        <w:rPr>
          <w:color w:val="auto"/>
          <w:szCs w:val="24"/>
          <w:vertAlign w:val="superscript"/>
        </w:rPr>
        <w:t>,5</w:t>
      </w:r>
      <w:r w:rsidR="00462403">
        <w:rPr>
          <w:rFonts w:eastAsiaTheme="minorEastAsia" w:hint="eastAsia"/>
          <w:color w:val="auto"/>
          <w:szCs w:val="24"/>
          <w:vertAlign w:val="superscript"/>
          <w:lang w:eastAsia="zh-CN"/>
        </w:rPr>
        <w:t>0</w:t>
      </w:r>
      <w:r w:rsidRPr="006F4EE5">
        <w:rPr>
          <w:color w:val="auto"/>
          <w:szCs w:val="24"/>
          <w:vertAlign w:val="superscript"/>
        </w:rPr>
        <w:t>]</w:t>
      </w:r>
      <w:r w:rsidR="00710EE9" w:rsidRPr="006F4EE5">
        <w:rPr>
          <w:color w:val="auto"/>
          <w:szCs w:val="24"/>
        </w:rPr>
        <w:t xml:space="preserve"> (</w:t>
      </w:r>
      <w:r w:rsidR="00C52D84" w:rsidRPr="006F4EE5">
        <w:rPr>
          <w:color w:val="auto"/>
          <w:szCs w:val="24"/>
        </w:rPr>
        <w:t>Figure</w:t>
      </w:r>
      <w:r w:rsidR="00710EE9" w:rsidRPr="006F4EE5">
        <w:rPr>
          <w:color w:val="auto"/>
          <w:szCs w:val="24"/>
        </w:rPr>
        <w:t xml:space="preserve"> 3). For instants, it has been shown that homogenously nanopatterned </w:t>
      </w:r>
      <w:r w:rsidR="00AC395B" w:rsidRPr="006F4EE5">
        <w:rPr>
          <w:color w:val="auto"/>
          <w:szCs w:val="24"/>
        </w:rPr>
        <w:t xml:space="preserve">and </w:t>
      </w:r>
      <w:r w:rsidR="00710EE9" w:rsidRPr="006F4EE5">
        <w:rPr>
          <w:color w:val="auto"/>
          <w:szCs w:val="24"/>
        </w:rPr>
        <w:t>chemically modified surfaces can have direct effect on cellular responses of MSCs, including their self-renewal abilities, control over their initial cell interactions and subsequently their cell phenotype, by creating arrays of nanodots using dip pen nanolithography (DPN)</w:t>
      </w:r>
      <w:r w:rsidR="00710EE9" w:rsidRPr="006F4EE5">
        <w:rPr>
          <w:color w:val="auto"/>
          <w:szCs w:val="24"/>
          <w:vertAlign w:val="superscript"/>
        </w:rPr>
        <w:t>[</w:t>
      </w:r>
      <w:r w:rsidR="00462403">
        <w:rPr>
          <w:rFonts w:eastAsiaTheme="minorEastAsia" w:hint="eastAsia"/>
          <w:color w:val="auto"/>
          <w:szCs w:val="24"/>
          <w:vertAlign w:val="superscript"/>
          <w:lang w:eastAsia="zh-CN"/>
        </w:rPr>
        <w:t>51</w:t>
      </w:r>
      <w:r w:rsidR="00710EE9" w:rsidRPr="006F4EE5">
        <w:rPr>
          <w:color w:val="auto"/>
          <w:szCs w:val="24"/>
          <w:vertAlign w:val="superscript"/>
        </w:rPr>
        <w:t>]</w:t>
      </w:r>
      <w:r w:rsidR="00710EE9" w:rsidRPr="006F4EE5">
        <w:rPr>
          <w:color w:val="auto"/>
          <w:szCs w:val="24"/>
        </w:rPr>
        <w:t xml:space="preserve"> (</w:t>
      </w:r>
      <w:r w:rsidR="00C52D84" w:rsidRPr="006F4EE5">
        <w:rPr>
          <w:color w:val="auto"/>
          <w:szCs w:val="24"/>
        </w:rPr>
        <w:t>Figure</w:t>
      </w:r>
      <w:r w:rsidR="00710EE9" w:rsidRPr="006F4EE5">
        <w:rPr>
          <w:color w:val="auto"/>
          <w:szCs w:val="24"/>
        </w:rPr>
        <w:t xml:space="preserve"> 4). Furthermore, differentiation and proliferation of human MSCs (hMSCs) were investigated on nanogratings of 350nm width combined with biochemical cues such as retinoic acid, and it was shown that synthetic nanostructures can induce hMSCs to differentiate into neuronal lineage</w:t>
      </w:r>
      <w:r w:rsidR="00710EE9" w:rsidRPr="006F4EE5">
        <w:rPr>
          <w:color w:val="auto"/>
          <w:szCs w:val="24"/>
          <w:vertAlign w:val="superscript"/>
        </w:rPr>
        <w:t>[5</w:t>
      </w:r>
      <w:r w:rsidR="00462403">
        <w:rPr>
          <w:rFonts w:eastAsiaTheme="minorEastAsia" w:hint="eastAsia"/>
          <w:color w:val="auto"/>
          <w:szCs w:val="24"/>
          <w:vertAlign w:val="superscript"/>
          <w:lang w:eastAsia="zh-CN"/>
        </w:rPr>
        <w:t>2</w:t>
      </w:r>
      <w:r w:rsidR="00710EE9" w:rsidRPr="006F4EE5">
        <w:rPr>
          <w:color w:val="auto"/>
          <w:szCs w:val="24"/>
          <w:vertAlign w:val="superscript"/>
        </w:rPr>
        <w:t>]</w:t>
      </w:r>
      <w:r w:rsidR="00710EE9" w:rsidRPr="006F4EE5">
        <w:rPr>
          <w:color w:val="auto"/>
          <w:szCs w:val="24"/>
        </w:rPr>
        <w:t xml:space="preserve">. This study, conducted by Yim </w:t>
      </w:r>
      <w:r w:rsidR="00C43D71" w:rsidRPr="006F4EE5">
        <w:rPr>
          <w:i/>
          <w:color w:val="auto"/>
          <w:szCs w:val="24"/>
        </w:rPr>
        <w:t>et al</w:t>
      </w:r>
      <w:r w:rsidR="00C43D71" w:rsidRPr="006F4EE5">
        <w:rPr>
          <w:rFonts w:eastAsiaTheme="minorEastAsia"/>
          <w:color w:val="auto"/>
          <w:szCs w:val="24"/>
          <w:vertAlign w:val="superscript"/>
          <w:lang w:eastAsia="zh-CN"/>
        </w:rPr>
        <w:t>[5</w:t>
      </w:r>
      <w:r w:rsidR="00462403">
        <w:rPr>
          <w:rFonts w:eastAsiaTheme="minorEastAsia" w:hint="eastAsia"/>
          <w:color w:val="auto"/>
          <w:szCs w:val="24"/>
          <w:vertAlign w:val="superscript"/>
          <w:lang w:eastAsia="zh-CN"/>
        </w:rPr>
        <w:t>2</w:t>
      </w:r>
      <w:r w:rsidR="00C43D71" w:rsidRPr="006F4EE5">
        <w:rPr>
          <w:rFonts w:eastAsiaTheme="minorEastAsia"/>
          <w:color w:val="auto"/>
          <w:szCs w:val="24"/>
          <w:vertAlign w:val="superscript"/>
          <w:lang w:eastAsia="zh-CN"/>
        </w:rPr>
        <w:t>]</w:t>
      </w:r>
      <w:r w:rsidR="00710EE9" w:rsidRPr="006F4EE5">
        <w:rPr>
          <w:color w:val="auto"/>
          <w:szCs w:val="24"/>
        </w:rPr>
        <w:t>, also confirmed the significance of nanotopography as it revealed that retinoic acid alone on unpatterned surfaces did not lead to strong neuronal marker expression as it was shown on surfaces with nanogratings. Other nanopatter</w:t>
      </w:r>
      <w:r w:rsidR="00AC395B" w:rsidRPr="006F4EE5">
        <w:rPr>
          <w:color w:val="auto"/>
          <w:szCs w:val="24"/>
        </w:rPr>
        <w:t xml:space="preserve">ned structures, such as grooves, </w:t>
      </w:r>
      <w:r w:rsidR="00710EE9" w:rsidRPr="006F4EE5">
        <w:rPr>
          <w:color w:val="auto"/>
          <w:szCs w:val="24"/>
        </w:rPr>
        <w:t xml:space="preserve">ridges, </w:t>
      </w:r>
      <w:r w:rsidR="00AC395B" w:rsidRPr="006F4EE5">
        <w:rPr>
          <w:color w:val="auto"/>
          <w:szCs w:val="24"/>
        </w:rPr>
        <w:t xml:space="preserve">and </w:t>
      </w:r>
      <w:r w:rsidR="00710EE9" w:rsidRPr="006F4EE5">
        <w:rPr>
          <w:color w:val="auto"/>
          <w:szCs w:val="24"/>
        </w:rPr>
        <w:t xml:space="preserve">pores </w:t>
      </w:r>
      <w:r w:rsidR="00AC395B" w:rsidRPr="006F4EE5">
        <w:rPr>
          <w:color w:val="auto"/>
          <w:szCs w:val="24"/>
        </w:rPr>
        <w:t xml:space="preserve">as well as </w:t>
      </w:r>
      <w:r w:rsidR="00710EE9" w:rsidRPr="006F4EE5">
        <w:rPr>
          <w:color w:val="auto"/>
          <w:szCs w:val="24"/>
        </w:rPr>
        <w:t>holes, nods, or rods are of other commonly techniques currently employed to change unpatterned surfaces for MSCs to grow on and to direct their cellular response</w:t>
      </w:r>
      <w:r w:rsidR="00AC395B" w:rsidRPr="006F4EE5">
        <w:rPr>
          <w:color w:val="auto"/>
          <w:szCs w:val="24"/>
        </w:rPr>
        <w:t>s</w:t>
      </w:r>
      <w:r w:rsidR="00710EE9" w:rsidRPr="006F4EE5">
        <w:rPr>
          <w:color w:val="auto"/>
          <w:szCs w:val="24"/>
          <w:vertAlign w:val="superscript"/>
        </w:rPr>
        <w:t>[5</w:t>
      </w:r>
      <w:r w:rsidR="00462403">
        <w:rPr>
          <w:rFonts w:eastAsiaTheme="minorEastAsia" w:hint="eastAsia"/>
          <w:color w:val="auto"/>
          <w:szCs w:val="24"/>
          <w:vertAlign w:val="superscript"/>
          <w:lang w:eastAsia="zh-CN"/>
        </w:rPr>
        <w:t>3</w:t>
      </w:r>
      <w:r w:rsidR="00710EE9" w:rsidRPr="006F4EE5">
        <w:rPr>
          <w:color w:val="auto"/>
          <w:szCs w:val="24"/>
          <w:vertAlign w:val="superscript"/>
        </w:rPr>
        <w:t>]</w:t>
      </w:r>
      <w:r w:rsidR="00710EE9" w:rsidRPr="006F4EE5">
        <w:rPr>
          <w:color w:val="auto"/>
          <w:szCs w:val="24"/>
        </w:rPr>
        <w:t>.  Such nanostructures have great applications to all areas of</w:t>
      </w:r>
      <w:r w:rsidR="00AC395B" w:rsidRPr="006F4EE5">
        <w:rPr>
          <w:color w:val="auto"/>
          <w:szCs w:val="24"/>
        </w:rPr>
        <w:t xml:space="preserve"> TE. </w:t>
      </w:r>
      <w:r w:rsidR="00710EE9" w:rsidRPr="006F4EE5">
        <w:rPr>
          <w:color w:val="auto"/>
          <w:szCs w:val="24"/>
        </w:rPr>
        <w:t xml:space="preserve">For instance, Andersen </w:t>
      </w:r>
      <w:r w:rsidR="00C43D71" w:rsidRPr="006F4EE5">
        <w:rPr>
          <w:i/>
          <w:color w:val="auto"/>
          <w:szCs w:val="24"/>
        </w:rPr>
        <w:t>et al</w:t>
      </w:r>
      <w:r w:rsidR="00C43D71" w:rsidRPr="006F4EE5">
        <w:rPr>
          <w:rFonts w:eastAsiaTheme="minorEastAsia"/>
          <w:color w:val="auto"/>
          <w:szCs w:val="24"/>
          <w:vertAlign w:val="superscript"/>
          <w:lang w:eastAsia="zh-CN"/>
        </w:rPr>
        <w:t>[54]</w:t>
      </w:r>
      <w:r w:rsidR="00710EE9" w:rsidRPr="006F4EE5">
        <w:rPr>
          <w:color w:val="auto"/>
          <w:szCs w:val="24"/>
        </w:rPr>
        <w:t xml:space="preserve"> investigated adhering nanoparticles containing different small-interfering RNAs (siRNAs) into nanostructured scaffolds consisting of nanopores and reported of spatial retention of the RNAs within nanopores seeded with MSCs, which resulted in enhanced osteogenic and adipogenic differentiation of MSCs</w:t>
      </w:r>
      <w:r w:rsidR="00710EE9" w:rsidRPr="006F4EE5">
        <w:rPr>
          <w:color w:val="auto"/>
          <w:szCs w:val="24"/>
          <w:vertAlign w:val="superscript"/>
        </w:rPr>
        <w:t>[54]</w:t>
      </w:r>
      <w:r w:rsidR="00710EE9" w:rsidRPr="006F4EE5">
        <w:rPr>
          <w:color w:val="auto"/>
          <w:szCs w:val="24"/>
        </w:rPr>
        <w:t xml:space="preserve">. This is an exciting finding as the ability of directing a single type of differentiation plays a crucial role in developing </w:t>
      </w:r>
      <w:r w:rsidR="00AC395B" w:rsidRPr="006F4EE5">
        <w:rPr>
          <w:color w:val="auto"/>
          <w:szCs w:val="24"/>
        </w:rPr>
        <w:t xml:space="preserve">specific </w:t>
      </w:r>
      <w:r w:rsidR="00710EE9" w:rsidRPr="006F4EE5">
        <w:rPr>
          <w:color w:val="auto"/>
          <w:szCs w:val="24"/>
        </w:rPr>
        <w:t xml:space="preserve">3D organs. In another study, Watari </w:t>
      </w:r>
      <w:r w:rsidR="00710EE9" w:rsidRPr="006F4EE5">
        <w:rPr>
          <w:i/>
          <w:color w:val="auto"/>
          <w:szCs w:val="24"/>
        </w:rPr>
        <w:t>et al</w:t>
      </w:r>
      <w:r w:rsidR="00C43D71" w:rsidRPr="006F4EE5">
        <w:rPr>
          <w:rFonts w:eastAsiaTheme="minorEastAsia"/>
          <w:color w:val="auto"/>
          <w:szCs w:val="24"/>
          <w:vertAlign w:val="superscript"/>
          <w:lang w:eastAsia="zh-CN"/>
        </w:rPr>
        <w:t>[55]</w:t>
      </w:r>
      <w:r w:rsidR="00710EE9" w:rsidRPr="006F4EE5">
        <w:rPr>
          <w:color w:val="auto"/>
          <w:szCs w:val="24"/>
        </w:rPr>
        <w:t xml:space="preserve"> used topographically-patterned substrates containing anisotropically ordered ridges and grooves to modulate osteogenic differentiation in hMSCs</w:t>
      </w:r>
      <w:r w:rsidR="00710EE9" w:rsidRPr="006F4EE5">
        <w:rPr>
          <w:color w:val="auto"/>
          <w:szCs w:val="24"/>
          <w:vertAlign w:val="superscript"/>
        </w:rPr>
        <w:t>[55]</w:t>
      </w:r>
      <w:r w:rsidR="00710EE9" w:rsidRPr="006F4EE5">
        <w:rPr>
          <w:color w:val="auto"/>
          <w:szCs w:val="24"/>
        </w:rPr>
        <w:t>. They reported that hMSCs cultured on 1400 or 400</w:t>
      </w:r>
      <w:r w:rsidR="001A5994" w:rsidRPr="006F4EE5">
        <w:rPr>
          <w:color w:val="auto"/>
          <w:szCs w:val="24"/>
        </w:rPr>
        <w:t>0</w:t>
      </w:r>
      <w:r w:rsidR="00710EE9" w:rsidRPr="006F4EE5">
        <w:rPr>
          <w:color w:val="auto"/>
          <w:szCs w:val="24"/>
        </w:rPr>
        <w:t xml:space="preserve"> nm pitches, compared to those seeded on 400 nm pitch or planer control, exhibit better elongation and alignment, while they showed a significant decrease in Runt-related transcription factor 2 (RUNX2) and bone gamma-carboxyglutamic acid-containing protein (BGLAP) expression. Their data also revealed that 400 nm pitch increased extracellular calcium deposition. Watari </w:t>
      </w:r>
      <w:r w:rsidR="00C43D71" w:rsidRPr="006F4EE5">
        <w:rPr>
          <w:i/>
          <w:color w:val="auto"/>
          <w:szCs w:val="24"/>
        </w:rPr>
        <w:t>et al</w:t>
      </w:r>
      <w:r w:rsidR="00C43D71" w:rsidRPr="006F4EE5">
        <w:rPr>
          <w:rFonts w:eastAsiaTheme="minorEastAsia"/>
          <w:color w:val="auto"/>
          <w:szCs w:val="24"/>
          <w:vertAlign w:val="superscript"/>
          <w:lang w:eastAsia="zh-CN"/>
        </w:rPr>
        <w:t xml:space="preserve">[55] </w:t>
      </w:r>
      <w:r w:rsidR="00710EE9" w:rsidRPr="006F4EE5">
        <w:rPr>
          <w:color w:val="auto"/>
          <w:szCs w:val="24"/>
        </w:rPr>
        <w:t xml:space="preserve">concluded that specific size scale of topographic cues could directly influence the osteogenic differentiation of hMSCs both with and without osteogenic agents. This is another important finding that could enable one to manipulate and develop nanostructures that could lead to controlled and directed differentiation of stem cells for the purpose of TE of 3D organs. Very recently, the effect of topographical design, in the form of nano-pillar, nano-hole and nano-grill, on hMSCs were investigated by Wu </w:t>
      </w:r>
      <w:r w:rsidR="00710EE9" w:rsidRPr="006F4EE5">
        <w:rPr>
          <w:i/>
          <w:color w:val="auto"/>
          <w:szCs w:val="24"/>
        </w:rPr>
        <w:t>et al</w:t>
      </w:r>
      <w:r w:rsidR="00C43D71" w:rsidRPr="006F4EE5">
        <w:rPr>
          <w:color w:val="auto"/>
          <w:szCs w:val="24"/>
          <w:vertAlign w:val="superscript"/>
        </w:rPr>
        <w:t>[56]</w:t>
      </w:r>
      <w:r w:rsidR="00710EE9" w:rsidRPr="006F4EE5">
        <w:rPr>
          <w:color w:val="auto"/>
          <w:szCs w:val="24"/>
        </w:rPr>
        <w:t xml:space="preserve"> in which these nanotopographies were applied onto a polycaprolactone surface using thermal nanoimprinting</w:t>
      </w:r>
      <w:r w:rsidR="00710EE9" w:rsidRPr="006F4EE5">
        <w:rPr>
          <w:color w:val="auto"/>
          <w:szCs w:val="24"/>
          <w:vertAlign w:val="superscript"/>
        </w:rPr>
        <w:t>[56]</w:t>
      </w:r>
      <w:r w:rsidR="00710EE9" w:rsidRPr="006F4EE5">
        <w:rPr>
          <w:color w:val="auto"/>
          <w:szCs w:val="24"/>
        </w:rPr>
        <w:t>. Their findings revealed that nanotopographical patterns trigger changes in the morphology and cytoskeletal structure of hMSCs. They also found that, compared to non-patterned surface</w:t>
      </w:r>
      <w:r w:rsidR="00AC395B" w:rsidRPr="006F4EE5">
        <w:rPr>
          <w:color w:val="auto"/>
          <w:szCs w:val="24"/>
        </w:rPr>
        <w:t>s</w:t>
      </w:r>
      <w:r w:rsidR="00710EE9" w:rsidRPr="006F4EE5">
        <w:rPr>
          <w:color w:val="auto"/>
          <w:szCs w:val="24"/>
        </w:rPr>
        <w:t>, nano-pillar and nano-hole topography determined MSC</w:t>
      </w:r>
      <w:r w:rsidR="001A5994" w:rsidRPr="006F4EE5">
        <w:rPr>
          <w:color w:val="auto"/>
          <w:szCs w:val="24"/>
        </w:rPr>
        <w:t>s</w:t>
      </w:r>
      <w:r w:rsidR="00710EE9" w:rsidRPr="006F4EE5">
        <w:rPr>
          <w:color w:val="auto"/>
          <w:szCs w:val="24"/>
        </w:rPr>
        <w:t xml:space="preserve"> chondrogenesis</w:t>
      </w:r>
      <w:r w:rsidR="006317AB" w:rsidRPr="006F4EE5">
        <w:rPr>
          <w:color w:val="auto"/>
          <w:szCs w:val="24"/>
        </w:rPr>
        <w:t>,</w:t>
      </w:r>
      <w:r w:rsidR="00710EE9" w:rsidRPr="006F4EE5">
        <w:rPr>
          <w:color w:val="auto"/>
          <w:szCs w:val="24"/>
        </w:rPr>
        <w:t xml:space="preserve"> resulting in specific cartila</w:t>
      </w:r>
      <w:r w:rsidR="001A5994" w:rsidRPr="006F4EE5">
        <w:rPr>
          <w:color w:val="auto"/>
          <w:szCs w:val="24"/>
        </w:rPr>
        <w:t>ge formation. Furthermore, Kilia</w:t>
      </w:r>
      <w:r w:rsidR="00710EE9" w:rsidRPr="006F4EE5">
        <w:rPr>
          <w:color w:val="auto"/>
          <w:szCs w:val="24"/>
        </w:rPr>
        <w:t xml:space="preserve">n </w:t>
      </w:r>
      <w:r w:rsidR="00710EE9" w:rsidRPr="006F4EE5">
        <w:rPr>
          <w:i/>
          <w:color w:val="auto"/>
          <w:szCs w:val="24"/>
        </w:rPr>
        <w:t>et al</w:t>
      </w:r>
      <w:r w:rsidR="00C43D71" w:rsidRPr="006F4EE5">
        <w:rPr>
          <w:rFonts w:eastAsiaTheme="minorEastAsia"/>
          <w:color w:val="auto"/>
          <w:szCs w:val="24"/>
          <w:vertAlign w:val="superscript"/>
          <w:lang w:eastAsia="zh-CN"/>
        </w:rPr>
        <w:t>[</w:t>
      </w:r>
      <w:r w:rsidR="00C43D71" w:rsidRPr="006F4EE5">
        <w:rPr>
          <w:color w:val="auto"/>
          <w:szCs w:val="24"/>
          <w:vertAlign w:val="superscript"/>
        </w:rPr>
        <w:t>57]</w:t>
      </w:r>
      <w:r w:rsidR="00710EE9" w:rsidRPr="006F4EE5">
        <w:rPr>
          <w:color w:val="auto"/>
          <w:szCs w:val="24"/>
        </w:rPr>
        <w:t xml:space="preserve"> showed that geometric nanotopography cues, </w:t>
      </w:r>
      <w:r w:rsidR="001A5994" w:rsidRPr="006F4EE5">
        <w:rPr>
          <w:color w:val="auto"/>
          <w:szCs w:val="24"/>
        </w:rPr>
        <w:t xml:space="preserve">that increase actomyosin contractility, </w:t>
      </w:r>
      <w:r w:rsidR="00710EE9" w:rsidRPr="006F4EE5">
        <w:rPr>
          <w:color w:val="auto"/>
          <w:szCs w:val="24"/>
        </w:rPr>
        <w:t xml:space="preserve">could influence and direct the </w:t>
      </w:r>
      <w:r w:rsidR="001A5994" w:rsidRPr="006F4EE5">
        <w:rPr>
          <w:color w:val="auto"/>
          <w:szCs w:val="24"/>
        </w:rPr>
        <w:t>osteogenesis</w:t>
      </w:r>
      <w:r w:rsidR="00710EE9" w:rsidRPr="006F4EE5">
        <w:rPr>
          <w:color w:val="auto"/>
          <w:szCs w:val="24"/>
        </w:rPr>
        <w:t xml:space="preserve"> of bone marrow-derived hMSCs</w:t>
      </w:r>
      <w:r w:rsidR="00C43D71" w:rsidRPr="006F4EE5">
        <w:rPr>
          <w:rFonts w:eastAsiaTheme="minorEastAsia"/>
          <w:color w:val="auto"/>
          <w:szCs w:val="24"/>
          <w:vertAlign w:val="superscript"/>
          <w:lang w:eastAsia="zh-CN"/>
        </w:rPr>
        <w:t>[</w:t>
      </w:r>
      <w:r w:rsidR="00710EE9" w:rsidRPr="006F4EE5">
        <w:rPr>
          <w:color w:val="auto"/>
          <w:szCs w:val="24"/>
          <w:vertAlign w:val="superscript"/>
        </w:rPr>
        <w:t>57]</w:t>
      </w:r>
      <w:r w:rsidR="00710EE9" w:rsidRPr="006F4EE5">
        <w:rPr>
          <w:color w:val="auto"/>
          <w:szCs w:val="24"/>
        </w:rPr>
        <w:t>. Such geometric cues direct and control mechanochemical signals and paracrine/autocrine factors necessary for specific differentiation of MSCs</w:t>
      </w:r>
      <w:r w:rsidR="001A5994" w:rsidRPr="006F4EE5">
        <w:rPr>
          <w:color w:val="auto"/>
          <w:szCs w:val="24"/>
        </w:rPr>
        <w:t xml:space="preserve">, also observed during the </w:t>
      </w:r>
      <w:r w:rsidR="001A5994" w:rsidRPr="006F4EE5">
        <w:rPr>
          <w:i/>
          <w:color w:val="auto"/>
          <w:szCs w:val="24"/>
        </w:rPr>
        <w:t>in vivo</w:t>
      </w:r>
      <w:r w:rsidR="001A5994" w:rsidRPr="006F4EE5">
        <w:rPr>
          <w:color w:val="auto"/>
          <w:szCs w:val="24"/>
        </w:rPr>
        <w:t xml:space="preserve"> investigation of the microenvironment of the differentiated cells.</w:t>
      </w:r>
      <w:r w:rsidR="00710EE9" w:rsidRPr="006F4EE5">
        <w:rPr>
          <w:color w:val="auto"/>
          <w:szCs w:val="24"/>
        </w:rPr>
        <w:t xml:space="preserve"> </w:t>
      </w:r>
    </w:p>
    <w:p w:rsidR="002E4309" w:rsidRPr="006F4EE5" w:rsidRDefault="002E4309" w:rsidP="006F4EE5">
      <w:pPr>
        <w:spacing w:after="0" w:line="360" w:lineRule="auto"/>
        <w:ind w:left="0" w:firstLine="0"/>
        <w:rPr>
          <w:rFonts w:eastAsiaTheme="minorEastAsia"/>
          <w:color w:val="auto"/>
          <w:szCs w:val="24"/>
          <w:lang w:eastAsia="zh-CN"/>
        </w:rPr>
      </w:pPr>
    </w:p>
    <w:p w:rsidR="002E4309" w:rsidRPr="006F4EE5" w:rsidRDefault="00710EE9" w:rsidP="006F4EE5">
      <w:pPr>
        <w:spacing w:after="0" w:line="360" w:lineRule="auto"/>
        <w:ind w:left="0" w:firstLine="0"/>
        <w:rPr>
          <w:color w:val="auto"/>
          <w:szCs w:val="24"/>
        </w:rPr>
      </w:pPr>
      <w:r w:rsidRPr="006F4EE5">
        <w:rPr>
          <w:b/>
          <w:color w:val="auto"/>
          <w:szCs w:val="24"/>
        </w:rPr>
        <w:t>C</w:t>
      </w:r>
      <w:r w:rsidR="00C52D84" w:rsidRPr="006F4EE5">
        <w:rPr>
          <w:b/>
          <w:color w:val="auto"/>
          <w:szCs w:val="24"/>
        </w:rPr>
        <w:t>ASE STUDIES ON THE APPLICATION OF NANOTOPOGRAPHY GUIDED TE OF 3D ORGANS/TISSUES USING MSCS</w:t>
      </w:r>
    </w:p>
    <w:p w:rsidR="002E4309" w:rsidRPr="006F4EE5" w:rsidRDefault="00710EE9" w:rsidP="006F4EE5">
      <w:pPr>
        <w:pStyle w:val="Heading1"/>
        <w:spacing w:after="0" w:line="360" w:lineRule="auto"/>
        <w:ind w:left="0" w:firstLine="0"/>
        <w:jc w:val="both"/>
        <w:rPr>
          <w:i/>
          <w:color w:val="auto"/>
          <w:sz w:val="24"/>
          <w:szCs w:val="24"/>
        </w:rPr>
      </w:pPr>
      <w:r w:rsidRPr="006F4EE5">
        <w:rPr>
          <w:i/>
          <w:color w:val="auto"/>
          <w:sz w:val="24"/>
          <w:szCs w:val="24"/>
        </w:rPr>
        <w:t xml:space="preserve">Bone  </w:t>
      </w:r>
    </w:p>
    <w:p w:rsidR="002E4309" w:rsidRPr="006F4EE5" w:rsidRDefault="00710EE9" w:rsidP="006F4EE5">
      <w:pPr>
        <w:spacing w:after="0" w:line="360" w:lineRule="auto"/>
        <w:ind w:left="0" w:firstLine="0"/>
        <w:rPr>
          <w:color w:val="auto"/>
          <w:szCs w:val="24"/>
        </w:rPr>
      </w:pPr>
      <w:r w:rsidRPr="006F4EE5">
        <w:rPr>
          <w:color w:val="auto"/>
          <w:szCs w:val="24"/>
        </w:rPr>
        <w:t xml:space="preserve">Reconstruction of large bone defects caused by surgery, trauma </w:t>
      </w:r>
      <w:r w:rsidR="006317AB" w:rsidRPr="006F4EE5">
        <w:rPr>
          <w:color w:val="auto"/>
          <w:szCs w:val="24"/>
        </w:rPr>
        <w:t>or</w:t>
      </w:r>
      <w:r w:rsidRPr="006F4EE5">
        <w:rPr>
          <w:color w:val="auto"/>
          <w:szCs w:val="24"/>
        </w:rPr>
        <w:t xml:space="preserve"> tumours are common deficiencies</w:t>
      </w:r>
      <w:r w:rsidR="006317AB" w:rsidRPr="006F4EE5">
        <w:rPr>
          <w:color w:val="auto"/>
          <w:szCs w:val="24"/>
        </w:rPr>
        <w:t>, which</w:t>
      </w:r>
      <w:r w:rsidRPr="006F4EE5">
        <w:rPr>
          <w:color w:val="auto"/>
          <w:szCs w:val="24"/>
        </w:rPr>
        <w:t xml:space="preserve"> present a significant medical challenge</w:t>
      </w:r>
      <w:r w:rsidRPr="006F4EE5">
        <w:rPr>
          <w:color w:val="auto"/>
          <w:szCs w:val="24"/>
          <w:vertAlign w:val="superscript"/>
        </w:rPr>
        <w:t>[58]</w:t>
      </w:r>
      <w:r w:rsidRPr="006F4EE5">
        <w:rPr>
          <w:color w:val="auto"/>
          <w:szCs w:val="24"/>
        </w:rPr>
        <w:t>. Autologous bone grafting is the gold standard for treating bone defects, but</w:t>
      </w:r>
      <w:r w:rsidR="006317AB" w:rsidRPr="006F4EE5">
        <w:rPr>
          <w:color w:val="auto"/>
          <w:szCs w:val="24"/>
        </w:rPr>
        <w:t xml:space="preserve"> obstacles such as</w:t>
      </w:r>
      <w:r w:rsidRPr="006F4EE5">
        <w:rPr>
          <w:color w:val="auto"/>
          <w:szCs w:val="24"/>
        </w:rPr>
        <w:t xml:space="preserve"> limited sources of tissue, </w:t>
      </w:r>
      <w:r w:rsidR="006317AB" w:rsidRPr="006F4EE5">
        <w:rPr>
          <w:color w:val="auto"/>
          <w:szCs w:val="24"/>
        </w:rPr>
        <w:t>and</w:t>
      </w:r>
      <w:r w:rsidRPr="006F4EE5">
        <w:rPr>
          <w:color w:val="auto"/>
          <w:szCs w:val="24"/>
        </w:rPr>
        <w:t xml:space="preserve"> bone resorption before bone healing, have raised interests in synthetic materials as potential bone substitutes</w:t>
      </w:r>
      <w:r w:rsidRPr="006F4EE5">
        <w:rPr>
          <w:color w:val="auto"/>
          <w:szCs w:val="24"/>
          <w:vertAlign w:val="superscript"/>
        </w:rPr>
        <w:t>[59]</w:t>
      </w:r>
      <w:r w:rsidRPr="006F4EE5">
        <w:rPr>
          <w:color w:val="auto"/>
          <w:szCs w:val="24"/>
        </w:rPr>
        <w:t>. Furthermore, bone grafting has proven challenging for large bone defects reconstruction</w:t>
      </w:r>
      <w:r w:rsidRPr="006F4EE5">
        <w:rPr>
          <w:color w:val="auto"/>
          <w:szCs w:val="24"/>
          <w:vertAlign w:val="superscript"/>
        </w:rPr>
        <w:t>[60]</w:t>
      </w:r>
      <w:r w:rsidRPr="006F4EE5">
        <w:rPr>
          <w:color w:val="auto"/>
          <w:szCs w:val="24"/>
        </w:rPr>
        <w:t xml:space="preserve">. This is mainly due to difficulties </w:t>
      </w:r>
      <w:r w:rsidR="006317AB" w:rsidRPr="006F4EE5">
        <w:rPr>
          <w:color w:val="auto"/>
          <w:szCs w:val="24"/>
        </w:rPr>
        <w:t>in harvesting</w:t>
      </w:r>
      <w:r w:rsidRPr="006F4EE5">
        <w:rPr>
          <w:color w:val="auto"/>
          <w:szCs w:val="24"/>
        </w:rPr>
        <w:t xml:space="preserve"> enough bone grafts from a healthy bone, potential postoperative pain, risk of infection, risk of hypersensitivity, risk of paresthesia, and time constraints</w:t>
      </w:r>
      <w:r w:rsidR="00C43D71" w:rsidRPr="006F4EE5">
        <w:rPr>
          <w:color w:val="auto"/>
          <w:szCs w:val="24"/>
          <w:vertAlign w:val="superscript"/>
        </w:rPr>
        <w:t>[61,</w:t>
      </w:r>
      <w:r w:rsidRPr="006F4EE5">
        <w:rPr>
          <w:color w:val="auto"/>
          <w:szCs w:val="24"/>
          <w:vertAlign w:val="superscript"/>
        </w:rPr>
        <w:t>62]</w:t>
      </w:r>
      <w:r w:rsidRPr="006F4EE5">
        <w:rPr>
          <w:color w:val="auto"/>
          <w:szCs w:val="24"/>
        </w:rPr>
        <w:t>. TE</w:t>
      </w:r>
      <w:r w:rsidR="006317AB" w:rsidRPr="006F4EE5">
        <w:rPr>
          <w:color w:val="auto"/>
          <w:szCs w:val="24"/>
        </w:rPr>
        <w:t>,</w:t>
      </w:r>
      <w:r w:rsidRPr="006F4EE5">
        <w:rPr>
          <w:color w:val="auto"/>
          <w:szCs w:val="24"/>
        </w:rPr>
        <w:t xml:space="preserve"> using stem cells</w:t>
      </w:r>
      <w:r w:rsidR="006317AB" w:rsidRPr="006F4EE5">
        <w:rPr>
          <w:color w:val="auto"/>
          <w:szCs w:val="24"/>
        </w:rPr>
        <w:t>,</w:t>
      </w:r>
      <w:r w:rsidRPr="006F4EE5">
        <w:rPr>
          <w:color w:val="auto"/>
          <w:szCs w:val="24"/>
        </w:rPr>
        <w:t xml:space="preserve"> provides the opportunity to avoid the established drawbacks of bone graft materials for the purpose of reconstructing or regenerating bone defects at variety of scales. MSCs, because of their interesting properties, have been demonstrated as an attractive cell source for bone TE applications</w:t>
      </w:r>
      <w:r w:rsidRPr="006F4EE5">
        <w:rPr>
          <w:color w:val="auto"/>
          <w:szCs w:val="24"/>
          <w:vertAlign w:val="superscript"/>
        </w:rPr>
        <w:t>[63]</w:t>
      </w:r>
      <w:r w:rsidRPr="006F4EE5">
        <w:rPr>
          <w:color w:val="auto"/>
          <w:szCs w:val="24"/>
        </w:rPr>
        <w:t>. Controlled and directed differentiation of MSCs into osteoblasts (bone cells) is therefore a key aspect of this process. As mentioned above, nan</w:t>
      </w:r>
      <w:r w:rsidR="007C2D76" w:rsidRPr="006F4EE5">
        <w:rPr>
          <w:color w:val="auto"/>
          <w:szCs w:val="24"/>
        </w:rPr>
        <w:t>o</w:t>
      </w:r>
      <w:r w:rsidRPr="006F4EE5">
        <w:rPr>
          <w:color w:val="auto"/>
          <w:szCs w:val="24"/>
        </w:rPr>
        <w:t xml:space="preserve">topographical cues could be used to influence MSCs cell behaviour and differentiation toward specific lineages. For instance, in a very recent study, McCafferty </w:t>
      </w:r>
      <w:r w:rsidRPr="006F4EE5">
        <w:rPr>
          <w:i/>
          <w:color w:val="auto"/>
          <w:szCs w:val="24"/>
        </w:rPr>
        <w:t>et al</w:t>
      </w:r>
      <w:r w:rsidR="00C43D71" w:rsidRPr="006F4EE5">
        <w:rPr>
          <w:color w:val="auto"/>
          <w:szCs w:val="24"/>
          <w:vertAlign w:val="superscript"/>
        </w:rPr>
        <w:t>[64]</w:t>
      </w:r>
      <w:r w:rsidRPr="006F4EE5">
        <w:rPr>
          <w:color w:val="auto"/>
          <w:szCs w:val="24"/>
        </w:rPr>
        <w:t xml:space="preserve"> demonstrated the use of nanotopography to induce osteogenic differentiation of</w:t>
      </w:r>
      <w:r w:rsidR="00C43D71" w:rsidRPr="006F4EE5">
        <w:rPr>
          <w:color w:val="auto"/>
          <w:szCs w:val="24"/>
        </w:rPr>
        <w:t xml:space="preserve"> human bone marrow derived MSCs</w:t>
      </w:r>
      <w:r w:rsidRPr="006F4EE5">
        <w:rPr>
          <w:color w:val="auto"/>
          <w:szCs w:val="24"/>
          <w:vertAlign w:val="superscript"/>
        </w:rPr>
        <w:t>[64]</w:t>
      </w:r>
      <w:r w:rsidR="006317AB" w:rsidRPr="006F4EE5">
        <w:rPr>
          <w:color w:val="auto"/>
          <w:szCs w:val="24"/>
        </w:rPr>
        <w:t xml:space="preserve">. They sputter deposited thin films of bioactive calcium phosphate onto a polycrystalline titanium nanostructured surface. </w:t>
      </w:r>
      <w:r w:rsidRPr="006F4EE5">
        <w:rPr>
          <w:color w:val="auto"/>
          <w:szCs w:val="24"/>
        </w:rPr>
        <w:t xml:space="preserve">These sputter deposited surfaces supported high levels of bone marrow–derived </w:t>
      </w:r>
      <w:r w:rsidR="006317AB" w:rsidRPr="006F4EE5">
        <w:rPr>
          <w:color w:val="auto"/>
          <w:szCs w:val="24"/>
        </w:rPr>
        <w:t>h</w:t>
      </w:r>
      <w:r w:rsidRPr="006F4EE5">
        <w:rPr>
          <w:color w:val="auto"/>
          <w:szCs w:val="24"/>
        </w:rPr>
        <w:t>MSC</w:t>
      </w:r>
      <w:r w:rsidR="006317AB" w:rsidRPr="006F4EE5">
        <w:rPr>
          <w:color w:val="auto"/>
          <w:szCs w:val="24"/>
        </w:rPr>
        <w:t>s</w:t>
      </w:r>
      <w:r w:rsidRPr="006F4EE5">
        <w:rPr>
          <w:color w:val="auto"/>
          <w:szCs w:val="24"/>
        </w:rPr>
        <w:t xml:space="preserve"> proliferation and adhesion</w:t>
      </w:r>
      <w:r w:rsidR="006317AB" w:rsidRPr="006F4EE5">
        <w:rPr>
          <w:color w:val="auto"/>
          <w:szCs w:val="24"/>
        </w:rPr>
        <w:t>,</w:t>
      </w:r>
      <w:r w:rsidRPr="006F4EE5">
        <w:rPr>
          <w:color w:val="auto"/>
          <w:szCs w:val="24"/>
        </w:rPr>
        <w:t xml:space="preserve"> determined by DNA quantification. Moreover, they were also able to directly promote significant levels of osteogenic differentiation. In this study, gene expression, alkaline phosphatase activity and immunocytochemical localisation of key osteogenic markers showed that the nanostructured titanium surfaces and the bioactive calcium phosphate coatings could direct differentiation towards an osteogenic lineage. The addition of the calcium phosphate chemistry to the topographical profile of the titanium was found to induce increased bone marrow–derived </w:t>
      </w:r>
      <w:r w:rsidR="006317AB" w:rsidRPr="006F4EE5">
        <w:rPr>
          <w:color w:val="auto"/>
          <w:szCs w:val="24"/>
        </w:rPr>
        <w:t>h</w:t>
      </w:r>
      <w:r w:rsidRPr="006F4EE5">
        <w:rPr>
          <w:color w:val="auto"/>
          <w:szCs w:val="24"/>
        </w:rPr>
        <w:t>MSC</w:t>
      </w:r>
      <w:r w:rsidR="006317AB" w:rsidRPr="006F4EE5">
        <w:rPr>
          <w:color w:val="auto"/>
          <w:szCs w:val="24"/>
        </w:rPr>
        <w:t>s</w:t>
      </w:r>
      <w:r w:rsidRPr="006F4EE5">
        <w:rPr>
          <w:color w:val="auto"/>
          <w:szCs w:val="24"/>
        </w:rPr>
        <w:t xml:space="preserve"> differentiation compared to that observed for either the titanium or calcium phosphate coating without an underlying nanostructure. Therefore, the results presented a clear benefit from a surface engineering strategy that combines a defined nanoscale surface topography with a conformal bioactive chemistry. In another study by de Peppo </w:t>
      </w:r>
      <w:r w:rsidRPr="006F4EE5">
        <w:rPr>
          <w:i/>
          <w:color w:val="auto"/>
          <w:szCs w:val="24"/>
        </w:rPr>
        <w:t>et al</w:t>
      </w:r>
      <w:r w:rsidR="00C43D71" w:rsidRPr="006F4EE5">
        <w:rPr>
          <w:color w:val="auto"/>
          <w:szCs w:val="24"/>
          <w:vertAlign w:val="superscript"/>
        </w:rPr>
        <w:t>[65]</w:t>
      </w:r>
      <w:r w:rsidRPr="006F4EE5">
        <w:rPr>
          <w:color w:val="auto"/>
          <w:szCs w:val="24"/>
        </w:rPr>
        <w:t xml:space="preserve"> osteogenic response of hMSCs to titanium-coated hemisphere-like topographic nanostructures of 50, 100, and 200 nm was assessed</w:t>
      </w:r>
      <w:r w:rsidRPr="006F4EE5">
        <w:rPr>
          <w:color w:val="auto"/>
          <w:szCs w:val="24"/>
          <w:vertAlign w:val="superscript"/>
        </w:rPr>
        <w:t>[65]</w:t>
      </w:r>
      <w:r w:rsidRPr="006F4EE5">
        <w:rPr>
          <w:color w:val="auto"/>
          <w:szCs w:val="24"/>
        </w:rPr>
        <w:t>. Their aim was to look at the influence of different size</w:t>
      </w:r>
      <w:r w:rsidR="006317AB" w:rsidRPr="006F4EE5">
        <w:rPr>
          <w:color w:val="auto"/>
          <w:szCs w:val="24"/>
        </w:rPr>
        <w:t>s of</w:t>
      </w:r>
      <w:r w:rsidRPr="006F4EE5">
        <w:rPr>
          <w:color w:val="auto"/>
          <w:szCs w:val="24"/>
        </w:rPr>
        <w:t xml:space="preserve"> nanoscale topographies on the morphology, proliferation, and osteogenic differentiation of hMSCs </w:t>
      </w:r>
      <w:r w:rsidRPr="006F4EE5">
        <w:rPr>
          <w:i/>
          <w:color w:val="auto"/>
          <w:szCs w:val="24"/>
        </w:rPr>
        <w:t>in vitro</w:t>
      </w:r>
      <w:r w:rsidRPr="006F4EE5">
        <w:rPr>
          <w:color w:val="auto"/>
          <w:szCs w:val="24"/>
        </w:rPr>
        <w:t>. Here, the nanostructuring was fabricated using colloidal lithography and the desired structure sizes were achieved by etching the original 200 nm polymeric particles (polystyrene particles) and further heat-treating them above the transition temperature of polystyrene (118</w:t>
      </w:r>
      <w:r w:rsidR="00C43D71" w:rsidRPr="006F4EE5">
        <w:rPr>
          <w:rFonts w:eastAsiaTheme="minorEastAsia"/>
          <w:color w:val="auto"/>
          <w:szCs w:val="24"/>
          <w:lang w:eastAsia="zh-CN"/>
        </w:rPr>
        <w:t xml:space="preserve"> </w:t>
      </w:r>
      <w:r w:rsidRPr="006F4EE5">
        <w:rPr>
          <w:color w:val="auto"/>
          <w:szCs w:val="24"/>
        </w:rPr>
        <w:t>°C)</w:t>
      </w:r>
      <w:r w:rsidR="006317AB" w:rsidRPr="006F4EE5">
        <w:rPr>
          <w:color w:val="auto"/>
          <w:szCs w:val="24"/>
        </w:rPr>
        <w:t>,</w:t>
      </w:r>
      <w:r w:rsidRPr="006F4EE5">
        <w:rPr>
          <w:color w:val="auto"/>
          <w:szCs w:val="24"/>
        </w:rPr>
        <w:t xml:space="preserve"> to create semispheroidal nanoparticles to increase their surface attachment abilities. Their results showed that there is a direct relationship between the proliferation and osteogenic differentiation of hMSCs and the size of the underlying structures, demonstrating that by varying the scale of the nanotopographic features at nanoscale, one can control </w:t>
      </w:r>
      <w:r w:rsidR="006317AB" w:rsidRPr="006F4EE5">
        <w:rPr>
          <w:color w:val="auto"/>
          <w:szCs w:val="24"/>
        </w:rPr>
        <w:t>the osteogenic behaviour of hMSCs</w:t>
      </w:r>
      <w:r w:rsidRPr="006F4EE5">
        <w:rPr>
          <w:color w:val="auto"/>
          <w:szCs w:val="24"/>
        </w:rPr>
        <w:t>.</w:t>
      </w:r>
      <w:r w:rsidR="006317AB" w:rsidRPr="006F4EE5">
        <w:rPr>
          <w:color w:val="auto"/>
          <w:szCs w:val="24"/>
        </w:rPr>
        <w:t xml:space="preserve"> de Peppo </w:t>
      </w:r>
      <w:r w:rsidR="00C43D71" w:rsidRPr="006F4EE5">
        <w:rPr>
          <w:i/>
          <w:color w:val="auto"/>
          <w:szCs w:val="24"/>
        </w:rPr>
        <w:t>et al</w:t>
      </w:r>
      <w:r w:rsidR="00C43D71" w:rsidRPr="006F4EE5">
        <w:rPr>
          <w:color w:val="auto"/>
          <w:szCs w:val="24"/>
          <w:vertAlign w:val="superscript"/>
        </w:rPr>
        <w:t>[65]</w:t>
      </w:r>
      <w:r w:rsidR="006317AB" w:rsidRPr="006F4EE5">
        <w:rPr>
          <w:color w:val="auto"/>
          <w:szCs w:val="24"/>
        </w:rPr>
        <w:t xml:space="preserve"> concluded </w:t>
      </w:r>
      <w:r w:rsidRPr="006F4EE5">
        <w:rPr>
          <w:color w:val="auto"/>
          <w:szCs w:val="24"/>
        </w:rPr>
        <w:t>that colloidal lithography in combination with coating technologies can enable structuring w</w:t>
      </w:r>
      <w:r w:rsidR="0096679B" w:rsidRPr="006F4EE5">
        <w:rPr>
          <w:color w:val="auto"/>
          <w:szCs w:val="24"/>
        </w:rPr>
        <w:t>ell defined nanoscale topographies</w:t>
      </w:r>
      <w:r w:rsidRPr="006F4EE5">
        <w:rPr>
          <w:color w:val="auto"/>
          <w:szCs w:val="24"/>
        </w:rPr>
        <w:t xml:space="preserve"> to control and direct h</w:t>
      </w:r>
      <w:r w:rsidR="0096679B" w:rsidRPr="006F4EE5">
        <w:rPr>
          <w:color w:val="auto"/>
          <w:szCs w:val="24"/>
        </w:rPr>
        <w:t xml:space="preserve">MSCs growth and differentiation. </w:t>
      </w:r>
      <w:r w:rsidRPr="006F4EE5">
        <w:rPr>
          <w:color w:val="auto"/>
          <w:szCs w:val="24"/>
        </w:rPr>
        <w:t xml:space="preserve">Dalby </w:t>
      </w:r>
      <w:r w:rsidRPr="006F4EE5">
        <w:rPr>
          <w:i/>
          <w:color w:val="auto"/>
          <w:szCs w:val="24"/>
        </w:rPr>
        <w:t>et al</w:t>
      </w:r>
      <w:r w:rsidR="00C43D71" w:rsidRPr="006F4EE5">
        <w:rPr>
          <w:color w:val="auto"/>
          <w:szCs w:val="24"/>
          <w:vertAlign w:val="superscript"/>
        </w:rPr>
        <w:t>[66]</w:t>
      </w:r>
      <w:r w:rsidRPr="006F4EE5">
        <w:rPr>
          <w:color w:val="auto"/>
          <w:szCs w:val="24"/>
        </w:rPr>
        <w:t xml:space="preserve"> also investigated the osteogenitor response of hMSCs to semi-ordered and random nanotopographies performed by colloidal lithography and polymer demixing on silicon and showed that hMSCs react robustly to nanotopographic features down to 10 nm </w:t>
      </w:r>
      <w:r w:rsidR="007C2D76" w:rsidRPr="006F4EE5">
        <w:rPr>
          <w:color w:val="auto"/>
          <w:szCs w:val="24"/>
        </w:rPr>
        <w:t>in size</w:t>
      </w:r>
      <w:r w:rsidRPr="006F4EE5">
        <w:rPr>
          <w:color w:val="auto"/>
          <w:szCs w:val="24"/>
        </w:rPr>
        <w:t xml:space="preserve"> with a low aspect ratio</w:t>
      </w:r>
      <w:r w:rsidRPr="006F4EE5">
        <w:rPr>
          <w:color w:val="auto"/>
          <w:szCs w:val="24"/>
          <w:vertAlign w:val="superscript"/>
        </w:rPr>
        <w:t>[66]</w:t>
      </w:r>
      <w:r w:rsidRPr="006F4EE5">
        <w:rPr>
          <w:color w:val="auto"/>
          <w:szCs w:val="24"/>
        </w:rPr>
        <w:t>. In this study, scanning electron microscopy of primary hMSCs on flat controls and scaffolds with nanotopographic structures showed that hMSCs exhibited strong reaction to nanofeatures as their filopodia extended and curled around these features (</w:t>
      </w:r>
      <w:r w:rsidR="00C52D84" w:rsidRPr="006F4EE5">
        <w:rPr>
          <w:color w:val="auto"/>
          <w:szCs w:val="24"/>
        </w:rPr>
        <w:t>Figure</w:t>
      </w:r>
      <w:r w:rsidRPr="006F4EE5">
        <w:rPr>
          <w:color w:val="auto"/>
          <w:szCs w:val="24"/>
        </w:rPr>
        <w:t xml:space="preserve"> 5). Dalby </w:t>
      </w:r>
      <w:r w:rsidRPr="006F4EE5">
        <w:rPr>
          <w:i/>
          <w:color w:val="auto"/>
          <w:szCs w:val="24"/>
        </w:rPr>
        <w:t>et al</w:t>
      </w:r>
      <w:r w:rsidR="00C43D71" w:rsidRPr="006F4EE5">
        <w:rPr>
          <w:color w:val="auto"/>
          <w:szCs w:val="24"/>
          <w:vertAlign w:val="superscript"/>
        </w:rPr>
        <w:t>[66]</w:t>
      </w:r>
      <w:r w:rsidRPr="006F4EE5">
        <w:rPr>
          <w:color w:val="auto"/>
          <w:szCs w:val="24"/>
        </w:rPr>
        <w:t xml:space="preserve"> concluded that their recorded osteogenic response of hMSCs to nanotopographies could be employed to construct and design scaffolds with an appropriate osteogenic “environment” instead of planar control structures in order to direct and control MSCs</w:t>
      </w:r>
      <w:r w:rsidR="0096679B" w:rsidRPr="006F4EE5">
        <w:rPr>
          <w:color w:val="auto"/>
          <w:szCs w:val="24"/>
        </w:rPr>
        <w:t xml:space="preserve"> growth and differentiation.</w:t>
      </w:r>
    </w:p>
    <w:p w:rsidR="002E4309" w:rsidRPr="006F4EE5" w:rsidRDefault="0096679B" w:rsidP="006F4EE5">
      <w:pPr>
        <w:spacing w:after="0" w:line="360" w:lineRule="auto"/>
        <w:ind w:left="0" w:firstLineChars="100" w:firstLine="240"/>
        <w:rPr>
          <w:color w:val="auto"/>
          <w:szCs w:val="24"/>
        </w:rPr>
      </w:pPr>
      <w:r w:rsidRPr="006F4EE5">
        <w:rPr>
          <w:color w:val="auto"/>
          <w:szCs w:val="24"/>
        </w:rPr>
        <w:t xml:space="preserve">Furthermore, </w:t>
      </w:r>
      <w:r w:rsidR="00710EE9" w:rsidRPr="006F4EE5">
        <w:rPr>
          <w:color w:val="auto"/>
          <w:szCs w:val="24"/>
        </w:rPr>
        <w:t xml:space="preserve">Rosa </w:t>
      </w:r>
      <w:r w:rsidR="00710EE9" w:rsidRPr="006F4EE5">
        <w:rPr>
          <w:i/>
          <w:color w:val="auto"/>
          <w:szCs w:val="24"/>
        </w:rPr>
        <w:t>et al</w:t>
      </w:r>
      <w:r w:rsidR="00C43D71" w:rsidRPr="006F4EE5">
        <w:rPr>
          <w:color w:val="auto"/>
          <w:szCs w:val="24"/>
          <w:vertAlign w:val="superscript"/>
        </w:rPr>
        <w:t>[67]</w:t>
      </w:r>
      <w:r w:rsidR="00710EE9" w:rsidRPr="006F4EE5">
        <w:rPr>
          <w:color w:val="auto"/>
          <w:szCs w:val="24"/>
        </w:rPr>
        <w:t xml:space="preserve"> examined the osteoinductive potential of titanium (Ti) surface</w:t>
      </w:r>
      <w:r w:rsidRPr="006F4EE5">
        <w:rPr>
          <w:color w:val="auto"/>
          <w:szCs w:val="24"/>
        </w:rPr>
        <w:t>s</w:t>
      </w:r>
      <w:r w:rsidR="00710EE9" w:rsidRPr="006F4EE5">
        <w:rPr>
          <w:color w:val="auto"/>
          <w:szCs w:val="24"/>
        </w:rPr>
        <w:t xml:space="preserve"> with nanotop</w:t>
      </w:r>
      <w:r w:rsidR="007C2D76" w:rsidRPr="006F4EE5">
        <w:rPr>
          <w:color w:val="auto"/>
          <w:szCs w:val="24"/>
        </w:rPr>
        <w:t>o</w:t>
      </w:r>
      <w:r w:rsidR="00710EE9" w:rsidRPr="006F4EE5">
        <w:rPr>
          <w:color w:val="auto"/>
          <w:szCs w:val="24"/>
        </w:rPr>
        <w:t>graphic features, yield by chemically treating polished Ti discs with H</w:t>
      </w:r>
      <w:r w:rsidR="00710EE9" w:rsidRPr="006F4EE5">
        <w:rPr>
          <w:color w:val="auto"/>
          <w:szCs w:val="24"/>
          <w:vertAlign w:val="subscript"/>
        </w:rPr>
        <w:t>2</w:t>
      </w:r>
      <w:r w:rsidR="00710EE9" w:rsidRPr="006F4EE5">
        <w:rPr>
          <w:color w:val="auto"/>
          <w:szCs w:val="24"/>
        </w:rPr>
        <w:t>SO</w:t>
      </w:r>
      <w:r w:rsidR="00710EE9" w:rsidRPr="006F4EE5">
        <w:rPr>
          <w:color w:val="auto"/>
          <w:szCs w:val="24"/>
          <w:vertAlign w:val="subscript"/>
        </w:rPr>
        <w:t>4</w:t>
      </w:r>
      <w:r w:rsidR="00710EE9" w:rsidRPr="006F4EE5">
        <w:rPr>
          <w:color w:val="auto"/>
          <w:szCs w:val="24"/>
        </w:rPr>
        <w:t>/H</w:t>
      </w:r>
      <w:r w:rsidR="00710EE9" w:rsidRPr="006F4EE5">
        <w:rPr>
          <w:color w:val="auto"/>
          <w:szCs w:val="24"/>
          <w:vertAlign w:val="subscript"/>
        </w:rPr>
        <w:t>2</w:t>
      </w:r>
      <w:r w:rsidR="00710EE9" w:rsidRPr="006F4EE5">
        <w:rPr>
          <w:color w:val="auto"/>
          <w:szCs w:val="24"/>
        </w:rPr>
        <w:t>O</w:t>
      </w:r>
      <w:r w:rsidR="00710EE9" w:rsidRPr="006F4EE5">
        <w:rPr>
          <w:color w:val="auto"/>
          <w:szCs w:val="24"/>
          <w:vertAlign w:val="subscript"/>
        </w:rPr>
        <w:t>2</w:t>
      </w:r>
      <w:r w:rsidR="00710EE9" w:rsidRPr="006F4EE5">
        <w:rPr>
          <w:color w:val="auto"/>
          <w:szCs w:val="24"/>
        </w:rPr>
        <w:t xml:space="preserve">, and </w:t>
      </w:r>
      <w:r w:rsidRPr="006F4EE5">
        <w:rPr>
          <w:color w:val="auto"/>
          <w:szCs w:val="24"/>
        </w:rPr>
        <w:t xml:space="preserve">cultured them with </w:t>
      </w:r>
      <w:r w:rsidR="00710EE9" w:rsidRPr="006F4EE5">
        <w:rPr>
          <w:color w:val="auto"/>
          <w:szCs w:val="24"/>
        </w:rPr>
        <w:t>rat MSCs under osteogenic and non-osteogenic conditions</w:t>
      </w:r>
      <w:r w:rsidR="00710EE9" w:rsidRPr="006F4EE5">
        <w:rPr>
          <w:color w:val="auto"/>
          <w:szCs w:val="24"/>
          <w:vertAlign w:val="superscript"/>
        </w:rPr>
        <w:t>[67]</w:t>
      </w:r>
      <w:r w:rsidR="00710EE9" w:rsidRPr="006F4EE5">
        <w:rPr>
          <w:color w:val="auto"/>
          <w:szCs w:val="24"/>
        </w:rPr>
        <w:t>. Untreated polished Ti surfaces were used as controls. Their findings revealed that Ti surfaces with nanotopography boosted cell proliferation and alkaline phosphatase (Alp) activity of rat MSCs under both osteogenic and non-osteogenic conditions (</w:t>
      </w:r>
      <w:r w:rsidR="00C52D84" w:rsidRPr="006F4EE5">
        <w:rPr>
          <w:color w:val="auto"/>
          <w:szCs w:val="24"/>
        </w:rPr>
        <w:t>Figure</w:t>
      </w:r>
      <w:r w:rsidR="00710EE9" w:rsidRPr="006F4EE5">
        <w:rPr>
          <w:color w:val="auto"/>
          <w:szCs w:val="24"/>
        </w:rPr>
        <w:t xml:space="preserve"> 6). They also demonstrated that nanotopography upregulated the gene expression of major bone markers under both of the test conditions. Interestingly, they noticed that obtustatin, an α1β1 integrin inhibitor, was able to reduce higher gene expression of key bone markers and Alkaline Phosphatase (ALP) activity on Ti Scaffolds with nanotopographic features. Therefore, suggesting that obtustatin signalling pathway plays a crucial role in determining the osteoinductive effect of nanotopography on MSCs, a finding that can be exploited as a novel mechanism of accelerating and/or enhancing MSCs osseointegration for the purpose of TE of complex </w:t>
      </w:r>
      <w:r w:rsidRPr="006F4EE5">
        <w:rPr>
          <w:color w:val="auto"/>
          <w:szCs w:val="24"/>
        </w:rPr>
        <w:t>organs</w:t>
      </w:r>
      <w:r w:rsidR="00710EE9" w:rsidRPr="006F4EE5">
        <w:rPr>
          <w:color w:val="auto"/>
          <w:szCs w:val="24"/>
        </w:rPr>
        <w:t xml:space="preserve"> </w:t>
      </w:r>
      <w:r w:rsidRPr="006F4EE5">
        <w:rPr>
          <w:color w:val="auto"/>
          <w:szCs w:val="24"/>
        </w:rPr>
        <w:t>or</w:t>
      </w:r>
      <w:r w:rsidR="00710EE9" w:rsidRPr="006F4EE5">
        <w:rPr>
          <w:color w:val="auto"/>
          <w:szCs w:val="24"/>
        </w:rPr>
        <w:t xml:space="preserve"> </w:t>
      </w:r>
      <w:r w:rsidRPr="006F4EE5">
        <w:rPr>
          <w:color w:val="auto"/>
          <w:szCs w:val="24"/>
        </w:rPr>
        <w:t>tissues</w:t>
      </w:r>
      <w:r w:rsidR="00710EE9" w:rsidRPr="006F4EE5">
        <w:rPr>
          <w:color w:val="auto"/>
          <w:szCs w:val="24"/>
        </w:rPr>
        <w:t xml:space="preserve"> in the future.  </w:t>
      </w:r>
    </w:p>
    <w:p w:rsidR="002E4309" w:rsidRPr="006F4EE5" w:rsidRDefault="00710EE9" w:rsidP="006F4EE5">
      <w:pPr>
        <w:spacing w:after="0" w:line="360" w:lineRule="auto"/>
        <w:ind w:left="0" w:firstLine="0"/>
        <w:rPr>
          <w:color w:val="auto"/>
          <w:szCs w:val="24"/>
        </w:rPr>
      </w:pPr>
      <w:r w:rsidRPr="006F4EE5">
        <w:rPr>
          <w:color w:val="auto"/>
          <w:szCs w:val="24"/>
        </w:rPr>
        <w:t xml:space="preserve"> </w:t>
      </w:r>
    </w:p>
    <w:p w:rsidR="002E4309" w:rsidRPr="006F4EE5" w:rsidRDefault="00710EE9" w:rsidP="006F4EE5">
      <w:pPr>
        <w:pStyle w:val="Heading1"/>
        <w:spacing w:after="0" w:line="360" w:lineRule="auto"/>
        <w:ind w:left="0" w:firstLine="0"/>
        <w:jc w:val="both"/>
        <w:rPr>
          <w:i/>
          <w:color w:val="auto"/>
          <w:sz w:val="24"/>
          <w:szCs w:val="24"/>
        </w:rPr>
      </w:pPr>
      <w:r w:rsidRPr="006F4EE5">
        <w:rPr>
          <w:i/>
          <w:color w:val="auto"/>
          <w:sz w:val="24"/>
          <w:szCs w:val="24"/>
        </w:rPr>
        <w:t xml:space="preserve">Cartilage </w:t>
      </w:r>
    </w:p>
    <w:p w:rsidR="002E4309" w:rsidRPr="006F4EE5" w:rsidRDefault="00710EE9" w:rsidP="006F4EE5">
      <w:pPr>
        <w:spacing w:after="0" w:line="360" w:lineRule="auto"/>
        <w:ind w:left="0" w:firstLine="0"/>
        <w:rPr>
          <w:color w:val="auto"/>
          <w:szCs w:val="24"/>
        </w:rPr>
      </w:pPr>
      <w:r w:rsidRPr="006F4EE5">
        <w:rPr>
          <w:color w:val="auto"/>
          <w:szCs w:val="24"/>
        </w:rPr>
        <w:t xml:space="preserve">Cartilage defects, caused by osteoarthritis, trauma </w:t>
      </w:r>
      <w:r w:rsidR="0096679B" w:rsidRPr="006F4EE5">
        <w:rPr>
          <w:color w:val="auto"/>
          <w:szCs w:val="24"/>
        </w:rPr>
        <w:t>or</w:t>
      </w:r>
      <w:r w:rsidRPr="006F4EE5">
        <w:rPr>
          <w:color w:val="auto"/>
          <w:szCs w:val="24"/>
        </w:rPr>
        <w:t xml:space="preserve"> sport, are considered serious clinical problem</w:t>
      </w:r>
      <w:r w:rsidR="0096679B" w:rsidRPr="006F4EE5">
        <w:rPr>
          <w:color w:val="auto"/>
          <w:szCs w:val="24"/>
        </w:rPr>
        <w:t>s</w:t>
      </w:r>
      <w:r w:rsidRPr="006F4EE5">
        <w:rPr>
          <w:color w:val="auto"/>
          <w:szCs w:val="24"/>
        </w:rPr>
        <w:t>. So far</w:t>
      </w:r>
      <w:r w:rsidR="0096679B" w:rsidRPr="006F4EE5">
        <w:rPr>
          <w:color w:val="auto"/>
          <w:szCs w:val="24"/>
        </w:rPr>
        <w:t>,</w:t>
      </w:r>
      <w:r w:rsidRPr="006F4EE5">
        <w:rPr>
          <w:color w:val="auto"/>
          <w:szCs w:val="24"/>
        </w:rPr>
        <w:t xml:space="preserve"> TE of cartilage has proven to be much more difficult than many other organs</w:t>
      </w:r>
      <w:r w:rsidR="0096679B" w:rsidRPr="006F4EE5">
        <w:rPr>
          <w:color w:val="auto"/>
          <w:szCs w:val="24"/>
        </w:rPr>
        <w:t xml:space="preserve"> or tissues,</w:t>
      </w:r>
      <w:r w:rsidRPr="006F4EE5">
        <w:rPr>
          <w:color w:val="auto"/>
          <w:szCs w:val="24"/>
        </w:rPr>
        <w:t xml:space="preserve"> due to cartilage’s inherently poor regenerative ability</w:t>
      </w:r>
      <w:r w:rsidRPr="006F4EE5">
        <w:rPr>
          <w:color w:val="auto"/>
          <w:szCs w:val="24"/>
          <w:vertAlign w:val="superscript"/>
        </w:rPr>
        <w:t>[68]</w:t>
      </w:r>
      <w:r w:rsidRPr="006F4EE5">
        <w:rPr>
          <w:color w:val="auto"/>
          <w:szCs w:val="24"/>
        </w:rPr>
        <w:t>. Therefore, developing a functional TE system, capable of improving the regenerative ability of this tissue, would be of great interest. Most research on this field have been focused on using polymeric scaffolds with stem cells, in particular MSCs</w:t>
      </w:r>
      <w:r w:rsidR="008421DF" w:rsidRPr="006F4EE5">
        <w:rPr>
          <w:color w:val="auto"/>
          <w:szCs w:val="24"/>
          <w:vertAlign w:val="superscript"/>
        </w:rPr>
        <w:t>[8,</w:t>
      </w:r>
      <w:r w:rsidRPr="006F4EE5">
        <w:rPr>
          <w:color w:val="auto"/>
          <w:szCs w:val="24"/>
          <w:vertAlign w:val="superscript"/>
        </w:rPr>
        <w:t>68-70]</w:t>
      </w:r>
      <w:r w:rsidRPr="006F4EE5">
        <w:rPr>
          <w:color w:val="auto"/>
          <w:szCs w:val="24"/>
        </w:rPr>
        <w:t>. MSCs are considered the “gold standard” of stem cell source for cartilage TE as their differentiation to chondrocytes can be easily controlled and directed using various techniques, in particular nanotopography</w:t>
      </w:r>
      <w:r w:rsidR="008421DF" w:rsidRPr="006F4EE5">
        <w:rPr>
          <w:color w:val="auto"/>
          <w:szCs w:val="24"/>
          <w:vertAlign w:val="superscript"/>
        </w:rPr>
        <w:t>[8,</w:t>
      </w:r>
      <w:r w:rsidRPr="006F4EE5">
        <w:rPr>
          <w:color w:val="auto"/>
          <w:szCs w:val="24"/>
          <w:vertAlign w:val="superscript"/>
        </w:rPr>
        <w:t>56]</w:t>
      </w:r>
      <w:r w:rsidRPr="006F4EE5">
        <w:rPr>
          <w:color w:val="auto"/>
          <w:szCs w:val="24"/>
        </w:rPr>
        <w:t xml:space="preserve">.  </w:t>
      </w:r>
    </w:p>
    <w:p w:rsidR="002E4309" w:rsidRPr="006F4EE5" w:rsidRDefault="00710EE9" w:rsidP="006F4EE5">
      <w:pPr>
        <w:spacing w:after="0" w:line="360" w:lineRule="auto"/>
        <w:ind w:left="0" w:firstLineChars="100" w:firstLine="240"/>
        <w:rPr>
          <w:color w:val="auto"/>
          <w:szCs w:val="24"/>
        </w:rPr>
      </w:pPr>
      <w:r w:rsidRPr="006F4EE5">
        <w:rPr>
          <w:color w:val="auto"/>
          <w:szCs w:val="24"/>
        </w:rPr>
        <w:t>Previous studies have shown that a more rounded, spheroidal cell shape can enhance the rate of chondrogenesis, through increasing the expression of chondrocyte-related genes, markers</w:t>
      </w:r>
      <w:r w:rsidR="0096679B" w:rsidRPr="006F4EE5">
        <w:rPr>
          <w:color w:val="auto"/>
          <w:szCs w:val="24"/>
        </w:rPr>
        <w:t>,</w:t>
      </w:r>
      <w:r w:rsidRPr="006F4EE5">
        <w:rPr>
          <w:color w:val="auto"/>
          <w:szCs w:val="24"/>
        </w:rPr>
        <w:t xml:space="preserve"> and proteins</w:t>
      </w:r>
      <w:r w:rsidR="008421DF" w:rsidRPr="006F4EE5">
        <w:rPr>
          <w:color w:val="auto"/>
          <w:szCs w:val="24"/>
          <w:vertAlign w:val="superscript"/>
        </w:rPr>
        <w:t>[71,</w:t>
      </w:r>
      <w:r w:rsidRPr="006F4EE5">
        <w:rPr>
          <w:color w:val="auto"/>
          <w:szCs w:val="24"/>
          <w:vertAlign w:val="superscript"/>
        </w:rPr>
        <w:t>72]</w:t>
      </w:r>
      <w:r w:rsidRPr="006F4EE5">
        <w:rPr>
          <w:color w:val="auto"/>
          <w:szCs w:val="24"/>
        </w:rPr>
        <w:t xml:space="preserve">. Based on this, Zhong </w:t>
      </w:r>
      <w:r w:rsidRPr="006F4EE5">
        <w:rPr>
          <w:i/>
          <w:color w:val="auto"/>
          <w:szCs w:val="24"/>
        </w:rPr>
        <w:t>et al</w:t>
      </w:r>
      <w:r w:rsidR="008421DF" w:rsidRPr="006F4EE5">
        <w:rPr>
          <w:color w:val="auto"/>
          <w:szCs w:val="24"/>
          <w:vertAlign w:val="superscript"/>
        </w:rPr>
        <w:t>[73]</w:t>
      </w:r>
      <w:r w:rsidRPr="006F4EE5">
        <w:rPr>
          <w:color w:val="auto"/>
          <w:szCs w:val="24"/>
        </w:rPr>
        <w:t xml:space="preserve"> attempted to create a microenvironment suitable for MSCs fibrochondrogenesis using simultaneously integrated nanotopography and flow stimulus</w:t>
      </w:r>
      <w:r w:rsidRPr="006F4EE5">
        <w:rPr>
          <w:color w:val="auto"/>
          <w:szCs w:val="24"/>
          <w:vertAlign w:val="superscript"/>
        </w:rPr>
        <w:t>[73]</w:t>
      </w:r>
      <w:r w:rsidRPr="006F4EE5">
        <w:rPr>
          <w:color w:val="auto"/>
          <w:szCs w:val="24"/>
        </w:rPr>
        <w:t xml:space="preserve">. </w:t>
      </w:r>
      <w:r w:rsidR="0096679B" w:rsidRPr="006F4EE5">
        <w:rPr>
          <w:color w:val="auto"/>
          <w:szCs w:val="24"/>
        </w:rPr>
        <w:t xml:space="preserve">They </w:t>
      </w:r>
      <w:r w:rsidRPr="006F4EE5">
        <w:rPr>
          <w:color w:val="auto"/>
          <w:szCs w:val="24"/>
        </w:rPr>
        <w:t>developed a biomimetic microfluidic device consisting of aligned nanofibers of poly lactic-co-glycolic acid (PLGA), and micorchambers of different angles. The micorchambers were used to enable flow direction to create different angles with PLGA nanofibers. Their findings showed tha</w:t>
      </w:r>
      <w:r w:rsidR="0096679B" w:rsidRPr="006F4EE5">
        <w:rPr>
          <w:color w:val="auto"/>
          <w:szCs w:val="24"/>
        </w:rPr>
        <w:t xml:space="preserve">t the combination of fluid flow, </w:t>
      </w:r>
      <w:r w:rsidRPr="006F4EE5">
        <w:rPr>
          <w:color w:val="auto"/>
          <w:szCs w:val="24"/>
        </w:rPr>
        <w:t>nanotopography-induced cues</w:t>
      </w:r>
      <w:r w:rsidR="0096679B" w:rsidRPr="006F4EE5">
        <w:rPr>
          <w:color w:val="auto"/>
          <w:szCs w:val="24"/>
        </w:rPr>
        <w:t>,</w:t>
      </w:r>
      <w:r w:rsidRPr="006F4EE5">
        <w:rPr>
          <w:color w:val="auto"/>
          <w:szCs w:val="24"/>
        </w:rPr>
        <w:t xml:space="preserve"> and the direction of flow </w:t>
      </w:r>
      <w:r w:rsidR="007C2D76" w:rsidRPr="006F4EE5">
        <w:rPr>
          <w:color w:val="auto"/>
          <w:szCs w:val="24"/>
        </w:rPr>
        <w:t>in relation to the aligned nanof</w:t>
      </w:r>
      <w:r w:rsidRPr="006F4EE5">
        <w:rPr>
          <w:color w:val="auto"/>
          <w:szCs w:val="24"/>
        </w:rPr>
        <w:t xml:space="preserve">ibers contributed towards </w:t>
      </w:r>
      <w:r w:rsidR="0096679B" w:rsidRPr="006F4EE5">
        <w:rPr>
          <w:color w:val="auto"/>
          <w:szCs w:val="24"/>
        </w:rPr>
        <w:t xml:space="preserve">the </w:t>
      </w:r>
      <w:r w:rsidRPr="006F4EE5">
        <w:rPr>
          <w:color w:val="auto"/>
          <w:szCs w:val="24"/>
        </w:rPr>
        <w:t>round shape morphology of MSCs</w:t>
      </w:r>
      <w:r w:rsidR="0096679B" w:rsidRPr="006F4EE5">
        <w:rPr>
          <w:color w:val="auto"/>
          <w:szCs w:val="24"/>
        </w:rPr>
        <w:t xml:space="preserve">, </w:t>
      </w:r>
      <w:r w:rsidRPr="006F4EE5">
        <w:rPr>
          <w:color w:val="auto"/>
          <w:szCs w:val="24"/>
        </w:rPr>
        <w:t xml:space="preserve">associated with fibrochondrogenesis during chondrogenic differentiation of these cells.  </w:t>
      </w:r>
    </w:p>
    <w:p w:rsidR="002E4309" w:rsidRPr="006F4EE5" w:rsidRDefault="00710EE9" w:rsidP="006F4EE5">
      <w:pPr>
        <w:spacing w:after="0" w:line="360" w:lineRule="auto"/>
        <w:ind w:left="0" w:firstLineChars="100" w:firstLine="240"/>
        <w:rPr>
          <w:color w:val="auto"/>
          <w:szCs w:val="24"/>
        </w:rPr>
      </w:pPr>
      <w:r w:rsidRPr="006F4EE5">
        <w:rPr>
          <w:color w:val="auto"/>
          <w:szCs w:val="24"/>
        </w:rPr>
        <w:t>Although, most studies have shown positive contributions of various nanotopograp</w:t>
      </w:r>
      <w:r w:rsidR="00FE76D1" w:rsidRPr="006F4EE5">
        <w:rPr>
          <w:color w:val="auto"/>
          <w:szCs w:val="24"/>
        </w:rPr>
        <w:t>h</w:t>
      </w:r>
      <w:r w:rsidRPr="006F4EE5">
        <w:rPr>
          <w:color w:val="auto"/>
          <w:szCs w:val="24"/>
        </w:rPr>
        <w:t xml:space="preserve">ical cues on MSCs growth and differentiation, a few studies have concluded that certain types of nanotopography could have adverse effect on the differentiation of MSCs into chondrocytes for the purpose of repairing or regenerating cartilage. The study by Wu </w:t>
      </w:r>
      <w:r w:rsidRPr="006F4EE5">
        <w:rPr>
          <w:i/>
          <w:color w:val="auto"/>
          <w:szCs w:val="24"/>
        </w:rPr>
        <w:t>et al</w:t>
      </w:r>
      <w:r w:rsidR="008421DF" w:rsidRPr="006F4EE5">
        <w:rPr>
          <w:color w:val="auto"/>
          <w:szCs w:val="24"/>
          <w:vertAlign w:val="superscript"/>
        </w:rPr>
        <w:t>[56]</w:t>
      </w:r>
      <w:r w:rsidR="008421DF" w:rsidRPr="006F4EE5">
        <w:rPr>
          <w:rFonts w:eastAsiaTheme="minorEastAsia"/>
          <w:color w:val="auto"/>
          <w:szCs w:val="24"/>
          <w:vertAlign w:val="superscript"/>
          <w:lang w:eastAsia="zh-CN"/>
        </w:rPr>
        <w:t xml:space="preserve"> </w:t>
      </w:r>
      <w:r w:rsidRPr="006F4EE5">
        <w:rPr>
          <w:color w:val="auto"/>
          <w:szCs w:val="24"/>
        </w:rPr>
        <w:t>is a good example on this statement as their findings revealed that MSCs experienced delayed chondrogenesis on samples with nano-grill topography</w:t>
      </w:r>
      <w:r w:rsidRPr="006F4EE5">
        <w:rPr>
          <w:color w:val="auto"/>
          <w:szCs w:val="24"/>
          <w:vertAlign w:val="superscript"/>
        </w:rPr>
        <w:t>[56]</w:t>
      </w:r>
      <w:r w:rsidRPr="006F4EE5">
        <w:rPr>
          <w:color w:val="auto"/>
          <w:szCs w:val="24"/>
        </w:rPr>
        <w:t xml:space="preserve">. </w:t>
      </w:r>
      <w:r w:rsidR="0096679B" w:rsidRPr="006F4EE5">
        <w:rPr>
          <w:color w:val="auto"/>
          <w:szCs w:val="24"/>
        </w:rPr>
        <w:t xml:space="preserve">They </w:t>
      </w:r>
      <w:r w:rsidRPr="006F4EE5">
        <w:rPr>
          <w:color w:val="auto"/>
          <w:szCs w:val="24"/>
        </w:rPr>
        <w:t xml:space="preserve">observed radically different morphological, proliferation and chondrogenesis </w:t>
      </w:r>
      <w:r w:rsidR="0096679B" w:rsidRPr="006F4EE5">
        <w:rPr>
          <w:color w:val="auto"/>
          <w:szCs w:val="24"/>
        </w:rPr>
        <w:t xml:space="preserve">changes </w:t>
      </w:r>
      <w:r w:rsidRPr="006F4EE5">
        <w:rPr>
          <w:color w:val="auto"/>
          <w:szCs w:val="24"/>
        </w:rPr>
        <w:t>as well as significantly higher upregulation of type II collagen on nano-pillar and nano-hole surfaces compared to nano-grill surfaces, where the expression of collagen I marker was drastically higher (</w:t>
      </w:r>
      <w:r w:rsidR="00C52D84" w:rsidRPr="006F4EE5">
        <w:rPr>
          <w:color w:val="auto"/>
          <w:szCs w:val="24"/>
        </w:rPr>
        <w:t>Figure</w:t>
      </w:r>
      <w:r w:rsidRPr="006F4EE5">
        <w:rPr>
          <w:color w:val="auto"/>
          <w:szCs w:val="24"/>
        </w:rPr>
        <w:t xml:space="preserve"> 7). Similarly, Trujillo </w:t>
      </w:r>
      <w:r w:rsidRPr="006F4EE5">
        <w:rPr>
          <w:i/>
          <w:color w:val="auto"/>
          <w:szCs w:val="24"/>
        </w:rPr>
        <w:t>et al</w:t>
      </w:r>
      <w:r w:rsidR="008421DF" w:rsidRPr="006F4EE5">
        <w:rPr>
          <w:color w:val="auto"/>
          <w:szCs w:val="24"/>
          <w:vertAlign w:val="superscript"/>
        </w:rPr>
        <w:t>[74]</w:t>
      </w:r>
      <w:r w:rsidRPr="006F4EE5">
        <w:rPr>
          <w:color w:val="auto"/>
          <w:szCs w:val="24"/>
        </w:rPr>
        <w:t xml:space="preserve"> reported of decreased chondrogenic differentiation of adipose-derived MSCs on nanowire surfaces</w:t>
      </w:r>
      <w:r w:rsidRPr="006F4EE5">
        <w:rPr>
          <w:color w:val="auto"/>
          <w:szCs w:val="24"/>
          <w:vertAlign w:val="superscript"/>
        </w:rPr>
        <w:t>[74]</w:t>
      </w:r>
      <w:r w:rsidRPr="006F4EE5">
        <w:rPr>
          <w:color w:val="auto"/>
          <w:szCs w:val="24"/>
        </w:rPr>
        <w:t>. They used sintering and solvent-free nanotemplating to fabricate polycaprolactone (PCL, as control) and nanowire (NW) samples. After 4 and 7 d of culturing the samples with adipose-derived MSCs, both groups demonstrated positive support for cell attachment and proliferation. Once chondrogenic differentiation media was supplemented to the culture</w:t>
      </w:r>
      <w:r w:rsidR="0096679B" w:rsidRPr="006F4EE5">
        <w:rPr>
          <w:color w:val="auto"/>
          <w:szCs w:val="24"/>
        </w:rPr>
        <w:t>s</w:t>
      </w:r>
      <w:r w:rsidRPr="006F4EE5">
        <w:rPr>
          <w:color w:val="auto"/>
          <w:szCs w:val="24"/>
        </w:rPr>
        <w:t>, alcian blue staining was used to confirm the presence of acidic polysaccharides, such a</w:t>
      </w:r>
      <w:r w:rsidR="0096679B" w:rsidRPr="006F4EE5">
        <w:rPr>
          <w:color w:val="auto"/>
          <w:szCs w:val="24"/>
        </w:rPr>
        <w:t xml:space="preserve">s sulphated glycosaminoglycans, </w:t>
      </w:r>
      <w:r w:rsidRPr="006F4EE5">
        <w:rPr>
          <w:color w:val="auto"/>
          <w:szCs w:val="24"/>
        </w:rPr>
        <w:t>normally found in</w:t>
      </w:r>
      <w:r w:rsidR="008421DF" w:rsidRPr="006F4EE5">
        <w:rPr>
          <w:color w:val="auto"/>
          <w:szCs w:val="24"/>
        </w:rPr>
        <w:t xml:space="preserve"> </w:t>
      </w:r>
      <w:r w:rsidRPr="006F4EE5">
        <w:rPr>
          <w:color w:val="auto"/>
          <w:szCs w:val="24"/>
        </w:rPr>
        <w:t>articular and hyal</w:t>
      </w:r>
      <w:r w:rsidR="008421DF" w:rsidRPr="006F4EE5">
        <w:rPr>
          <w:color w:val="auto"/>
          <w:szCs w:val="24"/>
        </w:rPr>
        <w:t>ine cartilage tissue. At 3 wk</w:t>
      </w:r>
      <w:r w:rsidRPr="006F4EE5">
        <w:rPr>
          <w:color w:val="auto"/>
          <w:szCs w:val="24"/>
        </w:rPr>
        <w:t xml:space="preserve">, it was evident that there had been significantly higher production of polysaccharides on PCL compared to NW. The authors also investigated PCL and NW samples under adipogenic differentiation conditions and found the results to be reversed, </w:t>
      </w:r>
      <w:r w:rsidRPr="006F4EE5">
        <w:rPr>
          <w:i/>
          <w:color w:val="auto"/>
          <w:szCs w:val="24"/>
        </w:rPr>
        <w:t>i.e.</w:t>
      </w:r>
      <w:r w:rsidR="008421DF" w:rsidRPr="006F4EE5">
        <w:rPr>
          <w:rFonts w:eastAsiaTheme="minorEastAsia"/>
          <w:i/>
          <w:color w:val="auto"/>
          <w:szCs w:val="24"/>
          <w:lang w:eastAsia="zh-CN"/>
        </w:rPr>
        <w:t>,</w:t>
      </w:r>
      <w:r w:rsidRPr="006F4EE5">
        <w:rPr>
          <w:i/>
          <w:color w:val="auto"/>
          <w:szCs w:val="24"/>
        </w:rPr>
        <w:t xml:space="preserve"> </w:t>
      </w:r>
      <w:r w:rsidRPr="006F4EE5">
        <w:rPr>
          <w:color w:val="auto"/>
          <w:szCs w:val="24"/>
        </w:rPr>
        <w:t>there was increased adipogenic differentiation of adipose-derived MSCs on</w:t>
      </w:r>
      <w:r w:rsidR="0096679B" w:rsidRPr="006F4EE5">
        <w:rPr>
          <w:color w:val="auto"/>
          <w:szCs w:val="24"/>
        </w:rPr>
        <w:t xml:space="preserve"> the</w:t>
      </w:r>
      <w:r w:rsidRPr="006F4EE5">
        <w:rPr>
          <w:color w:val="auto"/>
          <w:szCs w:val="24"/>
        </w:rPr>
        <w:t xml:space="preserve"> NW </w:t>
      </w:r>
      <w:r w:rsidR="0096679B" w:rsidRPr="006F4EE5">
        <w:rPr>
          <w:color w:val="auto"/>
          <w:szCs w:val="24"/>
        </w:rPr>
        <w:t>samples. These findings indicate</w:t>
      </w:r>
      <w:r w:rsidRPr="006F4EE5">
        <w:rPr>
          <w:color w:val="auto"/>
          <w:szCs w:val="24"/>
        </w:rPr>
        <w:t xml:space="preserve"> that nanotopography can have bias and in some cases unexpected effect</w:t>
      </w:r>
      <w:r w:rsidR="0096679B" w:rsidRPr="006F4EE5">
        <w:rPr>
          <w:color w:val="auto"/>
          <w:szCs w:val="24"/>
        </w:rPr>
        <w:t>s</w:t>
      </w:r>
      <w:r w:rsidRPr="006F4EE5">
        <w:rPr>
          <w:color w:val="auto"/>
          <w:szCs w:val="24"/>
        </w:rPr>
        <w:t xml:space="preserve"> on </w:t>
      </w:r>
      <w:r w:rsidR="00D53EBC" w:rsidRPr="006F4EE5">
        <w:rPr>
          <w:color w:val="auto"/>
          <w:szCs w:val="24"/>
        </w:rPr>
        <w:t xml:space="preserve">the </w:t>
      </w:r>
      <w:r w:rsidRPr="006F4EE5">
        <w:rPr>
          <w:color w:val="auto"/>
          <w:szCs w:val="24"/>
        </w:rPr>
        <w:t xml:space="preserve">differentiation of MSCs towards a particular lineage. However, </w:t>
      </w:r>
      <w:r w:rsidR="00D53EBC" w:rsidRPr="006F4EE5">
        <w:rPr>
          <w:color w:val="auto"/>
          <w:szCs w:val="24"/>
        </w:rPr>
        <w:t>further research is required on this particular topic in the future</w:t>
      </w:r>
      <w:r w:rsidR="00B52339" w:rsidRPr="006F4EE5">
        <w:rPr>
          <w:color w:val="auto"/>
          <w:szCs w:val="24"/>
        </w:rPr>
        <w:t>, in order to better understand the underlying mechanism of such adverse events</w:t>
      </w:r>
      <w:r w:rsidR="00D53EBC" w:rsidRPr="006F4EE5">
        <w:rPr>
          <w:color w:val="auto"/>
          <w:szCs w:val="24"/>
        </w:rPr>
        <w:t>.</w:t>
      </w:r>
    </w:p>
    <w:p w:rsidR="002E4309" w:rsidRPr="006F4EE5" w:rsidRDefault="00710EE9" w:rsidP="006F4EE5">
      <w:pPr>
        <w:spacing w:after="0" w:line="360" w:lineRule="auto"/>
        <w:ind w:left="0" w:firstLine="0"/>
        <w:rPr>
          <w:color w:val="auto"/>
          <w:szCs w:val="24"/>
        </w:rPr>
      </w:pPr>
      <w:r w:rsidRPr="006F4EE5">
        <w:rPr>
          <w:color w:val="auto"/>
          <w:szCs w:val="24"/>
        </w:rPr>
        <w:t xml:space="preserve"> </w:t>
      </w:r>
    </w:p>
    <w:p w:rsidR="002E4309" w:rsidRPr="006F4EE5" w:rsidRDefault="00710EE9" w:rsidP="006F4EE5">
      <w:pPr>
        <w:pStyle w:val="Heading1"/>
        <w:spacing w:after="0" w:line="360" w:lineRule="auto"/>
        <w:ind w:left="0" w:firstLine="0"/>
        <w:jc w:val="both"/>
        <w:rPr>
          <w:i/>
          <w:color w:val="auto"/>
          <w:sz w:val="24"/>
          <w:szCs w:val="24"/>
        </w:rPr>
      </w:pPr>
      <w:r w:rsidRPr="006F4EE5">
        <w:rPr>
          <w:i/>
          <w:color w:val="auto"/>
          <w:sz w:val="24"/>
          <w:szCs w:val="24"/>
        </w:rPr>
        <w:t xml:space="preserve">Skin  </w:t>
      </w:r>
    </w:p>
    <w:p w:rsidR="002E4309" w:rsidRPr="006F4EE5" w:rsidRDefault="00710EE9" w:rsidP="006F4EE5">
      <w:pPr>
        <w:spacing w:after="0" w:line="360" w:lineRule="auto"/>
        <w:ind w:left="0" w:firstLine="0"/>
        <w:rPr>
          <w:color w:val="auto"/>
          <w:szCs w:val="24"/>
        </w:rPr>
      </w:pPr>
      <w:r w:rsidRPr="006F4EE5">
        <w:rPr>
          <w:color w:val="auto"/>
          <w:szCs w:val="24"/>
        </w:rPr>
        <w:t>Millions of burn injuries occur worldwide that cause serious harm to skin and subsequently to the general health of patient</w:t>
      </w:r>
      <w:r w:rsidR="00D53EBC" w:rsidRPr="006F4EE5">
        <w:rPr>
          <w:color w:val="auto"/>
          <w:szCs w:val="24"/>
        </w:rPr>
        <w:t>s,</w:t>
      </w:r>
      <w:r w:rsidRPr="006F4EE5">
        <w:rPr>
          <w:color w:val="auto"/>
          <w:szCs w:val="24"/>
        </w:rPr>
        <w:t xml:space="preserve"> as the first line of </w:t>
      </w:r>
      <w:r w:rsidR="00D53EBC" w:rsidRPr="006F4EE5">
        <w:rPr>
          <w:color w:val="auto"/>
          <w:szCs w:val="24"/>
        </w:rPr>
        <w:t>a</w:t>
      </w:r>
      <w:r w:rsidRPr="006F4EE5">
        <w:rPr>
          <w:color w:val="auto"/>
          <w:szCs w:val="24"/>
        </w:rPr>
        <w:t xml:space="preserve"> patient’s defence is compromised. In cases where the injuries are too severe for the natural repair process to take place, skin TE is considered. Skin, with a surface area of 1.8 m</w:t>
      </w:r>
      <w:r w:rsidRPr="006F4EE5">
        <w:rPr>
          <w:color w:val="auto"/>
          <w:szCs w:val="24"/>
          <w:vertAlign w:val="superscript"/>
        </w:rPr>
        <w:t>2</w:t>
      </w:r>
      <w:r w:rsidRPr="006F4EE5">
        <w:rPr>
          <w:color w:val="auto"/>
          <w:szCs w:val="24"/>
        </w:rPr>
        <w:t xml:space="preserve">, is the largest organ in the body, which consists of two layers: the outer protective epidermis and inner corium or dermis. Currently the main obstacle in front of skin TE is </w:t>
      </w:r>
      <w:r w:rsidRPr="006F4EE5">
        <w:rPr>
          <w:i/>
          <w:color w:val="auto"/>
          <w:szCs w:val="24"/>
        </w:rPr>
        <w:t>in vitro</w:t>
      </w:r>
      <w:r w:rsidRPr="006F4EE5">
        <w:rPr>
          <w:color w:val="auto"/>
          <w:szCs w:val="24"/>
        </w:rPr>
        <w:t xml:space="preserve"> culture time required to grow epithelial sheets large enough to be used for severe cases. This is particularly dangerous as the longer the wound takes </w:t>
      </w:r>
      <w:r w:rsidR="00D53EBC" w:rsidRPr="006F4EE5">
        <w:rPr>
          <w:color w:val="auto"/>
          <w:szCs w:val="24"/>
        </w:rPr>
        <w:t>to heal</w:t>
      </w:r>
      <w:r w:rsidRPr="006F4EE5">
        <w:rPr>
          <w:color w:val="auto"/>
          <w:szCs w:val="24"/>
        </w:rPr>
        <w:t>, the patient is at higher risks of acquiring infection</w:t>
      </w:r>
      <w:r w:rsidRPr="006F4EE5">
        <w:rPr>
          <w:color w:val="auto"/>
          <w:szCs w:val="24"/>
          <w:vertAlign w:val="superscript"/>
        </w:rPr>
        <w:t>[75]</w:t>
      </w:r>
      <w:r w:rsidRPr="006F4EE5">
        <w:rPr>
          <w:color w:val="auto"/>
          <w:szCs w:val="24"/>
        </w:rPr>
        <w:t>. Another issue is that epithelial cells are very sensitive and adhering them to the burned surfaces is very difficult</w:t>
      </w:r>
      <w:r w:rsidRPr="006F4EE5">
        <w:rPr>
          <w:color w:val="auto"/>
          <w:szCs w:val="24"/>
          <w:vertAlign w:val="superscript"/>
        </w:rPr>
        <w:t>[76]</w:t>
      </w:r>
      <w:r w:rsidRPr="006F4EE5">
        <w:rPr>
          <w:color w:val="auto"/>
          <w:szCs w:val="24"/>
        </w:rPr>
        <w:t xml:space="preserve">.  </w:t>
      </w:r>
    </w:p>
    <w:p w:rsidR="002E4309" w:rsidRPr="006F4EE5" w:rsidRDefault="00710EE9" w:rsidP="006F4EE5">
      <w:pPr>
        <w:spacing w:after="0" w:line="360" w:lineRule="auto"/>
        <w:ind w:left="0" w:firstLineChars="100" w:firstLine="240"/>
        <w:rPr>
          <w:color w:val="auto"/>
          <w:szCs w:val="24"/>
        </w:rPr>
      </w:pPr>
      <w:r w:rsidRPr="006F4EE5">
        <w:rPr>
          <w:color w:val="auto"/>
          <w:szCs w:val="24"/>
        </w:rPr>
        <w:t>Like in other diseases, stem cells can help improve the healing and regenerating process of skin. Previously, bone marrow-derived MSCs have been shown to differentiate into epithelial cells of skin</w:t>
      </w:r>
      <w:r w:rsidRPr="006F4EE5">
        <w:rPr>
          <w:color w:val="auto"/>
          <w:szCs w:val="24"/>
          <w:vertAlign w:val="superscript"/>
        </w:rPr>
        <w:t>[77]</w:t>
      </w:r>
      <w:r w:rsidRPr="006F4EE5">
        <w:rPr>
          <w:color w:val="auto"/>
          <w:szCs w:val="24"/>
        </w:rPr>
        <w:t xml:space="preserve">, and promising results have been achieved in treating skin </w:t>
      </w:r>
      <w:r w:rsidR="008421DF" w:rsidRPr="006F4EE5">
        <w:rPr>
          <w:color w:val="auto"/>
          <w:szCs w:val="24"/>
        </w:rPr>
        <w:t>wounds, especially chronic ones</w:t>
      </w:r>
      <w:r w:rsidR="008421DF" w:rsidRPr="006F4EE5">
        <w:rPr>
          <w:color w:val="auto"/>
          <w:szCs w:val="24"/>
          <w:vertAlign w:val="superscript"/>
        </w:rPr>
        <w:t>[78,</w:t>
      </w:r>
      <w:r w:rsidRPr="006F4EE5">
        <w:rPr>
          <w:color w:val="auto"/>
          <w:szCs w:val="24"/>
          <w:vertAlign w:val="superscript"/>
        </w:rPr>
        <w:t>79]</w:t>
      </w:r>
      <w:r w:rsidRPr="006F4EE5">
        <w:rPr>
          <w:color w:val="auto"/>
          <w:szCs w:val="24"/>
        </w:rPr>
        <w:t>. Wounds treated using bone marrow-derived MSCs have shown accelerated wound closure with rapid re</w:t>
      </w:r>
      <w:r w:rsidR="00FE76D1" w:rsidRPr="006F4EE5">
        <w:rPr>
          <w:color w:val="auto"/>
          <w:szCs w:val="24"/>
        </w:rPr>
        <w:t>-</w:t>
      </w:r>
      <w:r w:rsidRPr="006F4EE5">
        <w:rPr>
          <w:color w:val="auto"/>
          <w:szCs w:val="24"/>
        </w:rPr>
        <w:t>epithelisation, cellularity and angiogenesis</w:t>
      </w:r>
      <w:r w:rsidRPr="006F4EE5">
        <w:rPr>
          <w:color w:val="auto"/>
          <w:szCs w:val="24"/>
          <w:vertAlign w:val="superscript"/>
        </w:rPr>
        <w:t>[80]</w:t>
      </w:r>
      <w:r w:rsidRPr="006F4EE5">
        <w:rPr>
          <w:color w:val="auto"/>
          <w:szCs w:val="24"/>
        </w:rPr>
        <w:t>. Incorporation of these cells into a suitable scaffold, which closely mi</w:t>
      </w:r>
      <w:r w:rsidR="006805AD" w:rsidRPr="006F4EE5">
        <w:rPr>
          <w:color w:val="auto"/>
          <w:szCs w:val="24"/>
        </w:rPr>
        <w:t>mics the native micro- and nano</w:t>
      </w:r>
      <w:r w:rsidRPr="006F4EE5">
        <w:rPr>
          <w:color w:val="auto"/>
          <w:szCs w:val="24"/>
        </w:rPr>
        <w:t xml:space="preserve">topographical characteristics of </w:t>
      </w:r>
      <w:r w:rsidR="00D53EBC" w:rsidRPr="006F4EE5">
        <w:rPr>
          <w:color w:val="auto"/>
          <w:szCs w:val="24"/>
        </w:rPr>
        <w:t xml:space="preserve">the </w:t>
      </w:r>
      <w:r w:rsidRPr="006F4EE5">
        <w:rPr>
          <w:color w:val="auto"/>
          <w:szCs w:val="24"/>
        </w:rPr>
        <w:t xml:space="preserve">ECM </w:t>
      </w:r>
      <w:r w:rsidR="00D53EBC" w:rsidRPr="006F4EE5">
        <w:rPr>
          <w:color w:val="auto"/>
          <w:szCs w:val="24"/>
        </w:rPr>
        <w:t>of</w:t>
      </w:r>
      <w:r w:rsidRPr="006F4EE5">
        <w:rPr>
          <w:color w:val="auto"/>
          <w:szCs w:val="24"/>
        </w:rPr>
        <w:t xml:space="preserve"> the skin</w:t>
      </w:r>
      <w:r w:rsidR="00D53EBC" w:rsidRPr="006F4EE5">
        <w:rPr>
          <w:color w:val="auto"/>
          <w:szCs w:val="24"/>
        </w:rPr>
        <w:t>,</w:t>
      </w:r>
      <w:r w:rsidRPr="006F4EE5">
        <w:rPr>
          <w:color w:val="auto"/>
          <w:szCs w:val="24"/>
        </w:rPr>
        <w:t xml:space="preserve"> may offer improved opportunity to repair or regenerate skin</w:t>
      </w:r>
      <w:r w:rsidRPr="006F4EE5">
        <w:rPr>
          <w:color w:val="auto"/>
          <w:szCs w:val="24"/>
          <w:vertAlign w:val="superscript"/>
        </w:rPr>
        <w:t>[81]</w:t>
      </w:r>
      <w:r w:rsidRPr="006F4EE5">
        <w:rPr>
          <w:color w:val="auto"/>
          <w:szCs w:val="24"/>
        </w:rPr>
        <w:t xml:space="preserve">. For this to happen, two events should take place; </w:t>
      </w:r>
      <w:r w:rsidR="008421DF" w:rsidRPr="006F4EE5">
        <w:rPr>
          <w:rFonts w:eastAsiaTheme="minorEastAsia"/>
          <w:color w:val="auto"/>
          <w:szCs w:val="24"/>
          <w:lang w:eastAsia="zh-CN"/>
        </w:rPr>
        <w:t>(</w:t>
      </w:r>
      <w:r w:rsidRPr="006F4EE5">
        <w:rPr>
          <w:color w:val="auto"/>
          <w:szCs w:val="24"/>
        </w:rPr>
        <w:t xml:space="preserve">1) MSCs should be directed to the sites of injury and </w:t>
      </w:r>
      <w:r w:rsidR="008421DF" w:rsidRPr="006F4EE5">
        <w:rPr>
          <w:rFonts w:eastAsiaTheme="minorEastAsia"/>
          <w:color w:val="auto"/>
          <w:szCs w:val="24"/>
          <w:lang w:eastAsia="zh-CN"/>
        </w:rPr>
        <w:t>(</w:t>
      </w:r>
      <w:r w:rsidRPr="006F4EE5">
        <w:rPr>
          <w:color w:val="auto"/>
          <w:szCs w:val="24"/>
        </w:rPr>
        <w:t xml:space="preserve">2) they should differentiate into cells of skin lineage. This is achievable by designing scaffolds with </w:t>
      </w:r>
      <w:r w:rsidR="00D53EBC" w:rsidRPr="006F4EE5">
        <w:rPr>
          <w:color w:val="auto"/>
          <w:szCs w:val="24"/>
        </w:rPr>
        <w:t>specific nanotopographical features</w:t>
      </w:r>
      <w:r w:rsidRPr="006F4EE5">
        <w:rPr>
          <w:color w:val="auto"/>
          <w:szCs w:val="24"/>
          <w:vertAlign w:val="superscript"/>
        </w:rPr>
        <w:t>[82]</w:t>
      </w:r>
      <w:r w:rsidRPr="006F4EE5">
        <w:rPr>
          <w:color w:val="auto"/>
          <w:szCs w:val="24"/>
        </w:rPr>
        <w:t xml:space="preserve">. </w:t>
      </w:r>
    </w:p>
    <w:p w:rsidR="002E4309" w:rsidRPr="006F4EE5" w:rsidRDefault="00710EE9" w:rsidP="006F4EE5">
      <w:pPr>
        <w:spacing w:after="0" w:line="360" w:lineRule="auto"/>
        <w:ind w:left="0" w:firstLineChars="100" w:firstLine="240"/>
        <w:rPr>
          <w:color w:val="auto"/>
          <w:szCs w:val="24"/>
        </w:rPr>
      </w:pPr>
      <w:r w:rsidRPr="006F4EE5">
        <w:rPr>
          <w:color w:val="auto"/>
          <w:szCs w:val="24"/>
        </w:rPr>
        <w:t xml:space="preserve">Based on the highly oriented nanogrooved structures of natural ECMs in human body, Kim </w:t>
      </w:r>
      <w:r w:rsidRPr="006F4EE5">
        <w:rPr>
          <w:i/>
          <w:color w:val="auto"/>
          <w:szCs w:val="24"/>
        </w:rPr>
        <w:t>et al</w:t>
      </w:r>
      <w:r w:rsidR="008421DF" w:rsidRPr="006F4EE5">
        <w:rPr>
          <w:color w:val="auto"/>
          <w:szCs w:val="24"/>
          <w:vertAlign w:val="superscript"/>
        </w:rPr>
        <w:t>[83]</w:t>
      </w:r>
      <w:r w:rsidRPr="006F4EE5">
        <w:rPr>
          <w:color w:val="auto"/>
          <w:szCs w:val="24"/>
        </w:rPr>
        <w:t xml:space="preserve"> designed nanotopographically variable grooved matrices, using UV</w:t>
      </w:r>
      <w:r w:rsidR="00FE76D1" w:rsidRPr="006F4EE5">
        <w:rPr>
          <w:color w:val="auto"/>
          <w:szCs w:val="24"/>
        </w:rPr>
        <w:t xml:space="preserve"> </w:t>
      </w:r>
      <w:r w:rsidRPr="006F4EE5">
        <w:rPr>
          <w:color w:val="auto"/>
          <w:szCs w:val="24"/>
        </w:rPr>
        <w:t>assisted capillary force lithography, with curable polyurethane acrylate (PUA) polymer</w:t>
      </w:r>
      <w:r w:rsidRPr="006F4EE5">
        <w:rPr>
          <w:color w:val="auto"/>
          <w:szCs w:val="24"/>
          <w:vertAlign w:val="superscript"/>
        </w:rPr>
        <w:t>[83]</w:t>
      </w:r>
      <w:r w:rsidRPr="006F4EE5">
        <w:rPr>
          <w:color w:val="auto"/>
          <w:szCs w:val="24"/>
        </w:rPr>
        <w:t>. The PUA nanogrooved matrices were then gelatin</w:t>
      </w:r>
      <w:r w:rsidR="00FE76D1" w:rsidRPr="006F4EE5">
        <w:rPr>
          <w:color w:val="auto"/>
          <w:szCs w:val="24"/>
        </w:rPr>
        <w:t>e</w:t>
      </w:r>
      <w:r w:rsidRPr="006F4EE5">
        <w:rPr>
          <w:color w:val="auto"/>
          <w:szCs w:val="24"/>
        </w:rPr>
        <w:t xml:space="preserve"> coated prior to cell culturing with hMSCs. In this study, the effect of nanotopographical density was investigated on hMSC</w:t>
      </w:r>
      <w:r w:rsidR="00D53EBC" w:rsidRPr="006F4EE5">
        <w:rPr>
          <w:color w:val="auto"/>
          <w:szCs w:val="24"/>
        </w:rPr>
        <w:t>s</w:t>
      </w:r>
      <w:r w:rsidRPr="006F4EE5">
        <w:rPr>
          <w:color w:val="auto"/>
          <w:szCs w:val="24"/>
        </w:rPr>
        <w:t xml:space="preserve"> migration and proliferation for wound healing purposes. It was shown that hMSCs migrate into the target area (the wounded, cell free area) and that the hMSCs on nanogrooved matrices exhibited a significantly higher speed of cell migration than those on</w:t>
      </w:r>
      <w:r w:rsidR="00D53EBC" w:rsidRPr="006F4EE5">
        <w:rPr>
          <w:color w:val="auto"/>
          <w:szCs w:val="24"/>
        </w:rPr>
        <w:t xml:space="preserve"> the</w:t>
      </w:r>
      <w:r w:rsidRPr="006F4EE5">
        <w:rPr>
          <w:color w:val="auto"/>
          <w:szCs w:val="24"/>
        </w:rPr>
        <w:t xml:space="preserve"> flat control</w:t>
      </w:r>
      <w:r w:rsidR="00D53EBC" w:rsidRPr="006F4EE5">
        <w:rPr>
          <w:color w:val="auto"/>
          <w:szCs w:val="24"/>
        </w:rPr>
        <w:t>s</w:t>
      </w:r>
      <w:r w:rsidRPr="006F4EE5">
        <w:rPr>
          <w:color w:val="auto"/>
          <w:szCs w:val="24"/>
        </w:rPr>
        <w:t xml:space="preserve">. They </w:t>
      </w:r>
      <w:r w:rsidR="00D53EBC" w:rsidRPr="006F4EE5">
        <w:rPr>
          <w:color w:val="auto"/>
          <w:szCs w:val="24"/>
        </w:rPr>
        <w:t xml:space="preserve">also </w:t>
      </w:r>
      <w:r w:rsidRPr="006F4EE5">
        <w:rPr>
          <w:color w:val="auto"/>
          <w:szCs w:val="24"/>
        </w:rPr>
        <w:t xml:space="preserve">investigated various densities of nanogrooves and found that as the density of the nanogrooved matrices increases, the speed of hMSCs migration increases proportionally. Their analysis of hMSC proliferation on nanogrooved matrices, compared to flat ones, revealed no significant differences, hence concluding that proliferation of hMSCs may not be influenced by nanogrooves.  </w:t>
      </w:r>
    </w:p>
    <w:p w:rsidR="00130A3B" w:rsidRPr="006F4EE5" w:rsidRDefault="00710EE9" w:rsidP="006F4EE5">
      <w:pPr>
        <w:spacing w:after="0" w:line="360" w:lineRule="auto"/>
        <w:ind w:left="0" w:firstLineChars="100" w:firstLine="240"/>
        <w:rPr>
          <w:b/>
          <w:color w:val="auto"/>
          <w:szCs w:val="24"/>
        </w:rPr>
      </w:pPr>
      <w:r w:rsidRPr="006F4EE5">
        <w:rPr>
          <w:color w:val="auto"/>
          <w:szCs w:val="24"/>
        </w:rPr>
        <w:t>Recently, great deal of attention has been focu</w:t>
      </w:r>
      <w:r w:rsidR="00D53EBC" w:rsidRPr="006F4EE5">
        <w:rPr>
          <w:color w:val="auto"/>
          <w:szCs w:val="24"/>
        </w:rPr>
        <w:t xml:space="preserve">sed on electrospun nanofibrous </w:t>
      </w:r>
      <w:r w:rsidRPr="006F4EE5">
        <w:rPr>
          <w:color w:val="auto"/>
          <w:szCs w:val="24"/>
        </w:rPr>
        <w:t>for skin regeneration</w:t>
      </w:r>
      <w:r w:rsidRPr="006F4EE5">
        <w:rPr>
          <w:color w:val="auto"/>
          <w:szCs w:val="24"/>
          <w:vertAlign w:val="superscript"/>
        </w:rPr>
        <w:t>[75,</w:t>
      </w:r>
      <w:r w:rsidR="008421DF" w:rsidRPr="006F4EE5">
        <w:rPr>
          <w:color w:val="auto"/>
          <w:szCs w:val="24"/>
          <w:vertAlign w:val="superscript"/>
        </w:rPr>
        <w:t>81,84,</w:t>
      </w:r>
      <w:r w:rsidRPr="006F4EE5">
        <w:rPr>
          <w:color w:val="auto"/>
          <w:szCs w:val="24"/>
          <w:vertAlign w:val="superscript"/>
        </w:rPr>
        <w:t>85]</w:t>
      </w:r>
      <w:r w:rsidRPr="006F4EE5">
        <w:rPr>
          <w:color w:val="auto"/>
          <w:szCs w:val="24"/>
        </w:rPr>
        <w:t>. Using various nanotopographical designs, highly porous meshes of ultrafine fibers could be fabricated that closely resemble the nanotopography of the natural ECM of human skin</w:t>
      </w:r>
      <w:r w:rsidRPr="006F4EE5">
        <w:rPr>
          <w:color w:val="auto"/>
          <w:szCs w:val="24"/>
          <w:vertAlign w:val="superscript"/>
        </w:rPr>
        <w:t>[84]</w:t>
      </w:r>
      <w:r w:rsidRPr="006F4EE5">
        <w:rPr>
          <w:color w:val="auto"/>
          <w:szCs w:val="24"/>
        </w:rPr>
        <w:t xml:space="preserve">. Jin </w:t>
      </w:r>
      <w:r w:rsidRPr="006F4EE5">
        <w:rPr>
          <w:i/>
          <w:color w:val="auto"/>
          <w:szCs w:val="24"/>
        </w:rPr>
        <w:t>et al</w:t>
      </w:r>
      <w:r w:rsidR="008421DF" w:rsidRPr="006F4EE5">
        <w:rPr>
          <w:color w:val="auto"/>
          <w:szCs w:val="24"/>
          <w:vertAlign w:val="superscript"/>
        </w:rPr>
        <w:t>[86]</w:t>
      </w:r>
      <w:r w:rsidRPr="006F4EE5">
        <w:rPr>
          <w:color w:val="auto"/>
          <w:szCs w:val="24"/>
        </w:rPr>
        <w:t xml:space="preserve"> investigated the </w:t>
      </w:r>
      <w:r w:rsidR="00D53EBC" w:rsidRPr="006F4EE5">
        <w:rPr>
          <w:i/>
          <w:color w:val="auto"/>
          <w:szCs w:val="24"/>
        </w:rPr>
        <w:t xml:space="preserve">in vitro </w:t>
      </w:r>
      <w:r w:rsidRPr="006F4EE5">
        <w:rPr>
          <w:color w:val="auto"/>
          <w:szCs w:val="24"/>
        </w:rPr>
        <w:t>differentiation potentials of bone marrow-derived MSCs to epidermal cells on electrospun collagen/poly</w:t>
      </w:r>
      <w:r w:rsidR="008421DF" w:rsidRPr="006F4EE5">
        <w:rPr>
          <w:rFonts w:eastAsiaTheme="minorEastAsia"/>
          <w:color w:val="auto"/>
          <w:szCs w:val="24"/>
          <w:lang w:eastAsia="zh-CN"/>
        </w:rPr>
        <w:t xml:space="preserve"> </w:t>
      </w:r>
      <w:r w:rsidRPr="006F4EE5">
        <w:rPr>
          <w:color w:val="auto"/>
          <w:szCs w:val="24"/>
        </w:rPr>
        <w:t>(</w:t>
      </w:r>
      <w:r w:rsidRPr="006F4EE5">
        <w:rPr>
          <w:color w:val="auto"/>
          <w:szCs w:val="24"/>
          <w:vertAlign w:val="subscript"/>
        </w:rPr>
        <w:t>L</w:t>
      </w:r>
      <w:r w:rsidRPr="006F4EE5">
        <w:rPr>
          <w:color w:val="auto"/>
          <w:szCs w:val="24"/>
        </w:rPr>
        <w:t>-lactic acid)-copoly</w:t>
      </w:r>
      <w:r w:rsidR="008421DF" w:rsidRPr="006F4EE5">
        <w:rPr>
          <w:rFonts w:eastAsiaTheme="minorEastAsia"/>
          <w:color w:val="auto"/>
          <w:szCs w:val="24"/>
          <w:lang w:eastAsia="zh-CN"/>
        </w:rPr>
        <w:t xml:space="preserve"> </w:t>
      </w:r>
      <w:r w:rsidRPr="006F4EE5">
        <w:rPr>
          <w:color w:val="auto"/>
          <w:szCs w:val="24"/>
        </w:rPr>
        <w:t>(3-caprolactone) (Coll/PLLCL) nanofibrous scaffolds</w:t>
      </w:r>
      <w:r w:rsidRPr="006F4EE5">
        <w:rPr>
          <w:color w:val="auto"/>
          <w:szCs w:val="24"/>
          <w:vertAlign w:val="superscript"/>
        </w:rPr>
        <w:t>[86]</w:t>
      </w:r>
      <w:r w:rsidRPr="006F4EE5">
        <w:rPr>
          <w:color w:val="auto"/>
          <w:szCs w:val="24"/>
        </w:rPr>
        <w:t xml:space="preserve">. To further mimic the structure of </w:t>
      </w:r>
      <w:r w:rsidR="00D53EBC" w:rsidRPr="006F4EE5">
        <w:rPr>
          <w:color w:val="auto"/>
          <w:szCs w:val="24"/>
        </w:rPr>
        <w:t xml:space="preserve">the </w:t>
      </w:r>
      <w:r w:rsidRPr="006F4EE5">
        <w:rPr>
          <w:color w:val="auto"/>
          <w:szCs w:val="24"/>
        </w:rPr>
        <w:t xml:space="preserve">natural ECM of human skin, </w:t>
      </w:r>
      <w:r w:rsidR="00D53EBC" w:rsidRPr="006F4EE5">
        <w:rPr>
          <w:color w:val="auto"/>
          <w:szCs w:val="24"/>
        </w:rPr>
        <w:t>they</w:t>
      </w:r>
      <w:r w:rsidRPr="006F4EE5">
        <w:rPr>
          <w:color w:val="auto"/>
          <w:szCs w:val="24"/>
        </w:rPr>
        <w:t xml:space="preserve"> incorporated Coll/PLLCL nano</w:t>
      </w:r>
      <w:r w:rsidR="00D53EBC" w:rsidRPr="006F4EE5">
        <w:rPr>
          <w:color w:val="auto"/>
          <w:szCs w:val="24"/>
        </w:rPr>
        <w:t xml:space="preserve">fibrous scaffolds with collagen, </w:t>
      </w:r>
      <w:r w:rsidRPr="006F4EE5">
        <w:rPr>
          <w:color w:val="auto"/>
          <w:szCs w:val="24"/>
        </w:rPr>
        <w:t>at a ratio of 30:70, respectively. Their findings demonstrated that electrospun Coll/PLLCL nanofibers enhanced the level of MSC and scaffold interaction and that the electrospun scaffolds could mimic the native skin ECM. Furthermore, their results showed controlled and directed differentiation of MSCs along the epidermal lineage on Coll/PLLCL nanofibrous scaffolds (</w:t>
      </w:r>
      <w:r w:rsidR="00C52D84" w:rsidRPr="006F4EE5">
        <w:rPr>
          <w:color w:val="auto"/>
          <w:szCs w:val="24"/>
        </w:rPr>
        <w:t>Figure</w:t>
      </w:r>
      <w:r w:rsidRPr="006F4EE5">
        <w:rPr>
          <w:color w:val="auto"/>
          <w:szCs w:val="24"/>
        </w:rPr>
        <w:t xml:space="preserve"> 8), suggesting their potential use in skin TE applications.  </w:t>
      </w:r>
    </w:p>
    <w:p w:rsidR="008B461E" w:rsidRPr="006F4EE5" w:rsidRDefault="008B461E" w:rsidP="006F4EE5">
      <w:pPr>
        <w:spacing w:after="0" w:line="360" w:lineRule="auto"/>
        <w:ind w:left="0" w:firstLine="0"/>
        <w:rPr>
          <w:b/>
          <w:color w:val="auto"/>
          <w:szCs w:val="24"/>
        </w:rPr>
      </w:pPr>
    </w:p>
    <w:p w:rsidR="008B461E" w:rsidRPr="006F4EE5" w:rsidRDefault="008B461E" w:rsidP="006F4EE5">
      <w:pPr>
        <w:spacing w:after="0" w:line="360" w:lineRule="auto"/>
        <w:ind w:left="0" w:firstLine="0"/>
        <w:rPr>
          <w:b/>
          <w:color w:val="auto"/>
          <w:szCs w:val="24"/>
        </w:rPr>
      </w:pPr>
      <w:r w:rsidRPr="006F4EE5">
        <w:rPr>
          <w:b/>
          <w:color w:val="auto"/>
          <w:szCs w:val="24"/>
        </w:rPr>
        <w:t>P</w:t>
      </w:r>
      <w:r w:rsidR="00C52D84" w:rsidRPr="006F4EE5">
        <w:rPr>
          <w:b/>
          <w:color w:val="auto"/>
          <w:szCs w:val="24"/>
        </w:rPr>
        <w:t xml:space="preserve">OTENTIAL ADVERS EFFECTS OF ERODED NANOPARTICLES ON MSCS </w:t>
      </w:r>
    </w:p>
    <w:p w:rsidR="008B461E" w:rsidRPr="006F4EE5" w:rsidRDefault="008B461E" w:rsidP="006F4EE5">
      <w:pPr>
        <w:spacing w:after="0" w:line="360" w:lineRule="auto"/>
        <w:ind w:left="0" w:firstLine="0"/>
        <w:rPr>
          <w:rFonts w:eastAsiaTheme="minorHAnsi" w:cstheme="minorBidi"/>
          <w:color w:val="auto"/>
          <w:szCs w:val="24"/>
          <w:lang w:eastAsia="en-US"/>
        </w:rPr>
      </w:pPr>
      <w:r w:rsidRPr="006F4EE5">
        <w:rPr>
          <w:rFonts w:eastAsiaTheme="minorHAnsi" w:cstheme="minorBidi"/>
          <w:color w:val="auto"/>
          <w:szCs w:val="24"/>
          <w:lang w:eastAsia="en-US"/>
        </w:rPr>
        <w:t>Based on the evidence presented in this review, it is clear that nanotopography of a surface can have a great influence on the various cellular behaviours of MSCs including; their attachment, proliferation and most importantly their differentiation towards a specific lineage. However, based on the literature, there have been various reports of the adverse effects of nanoparticles on the cellular behaviour of MSCs as the result of implant erosion over-</w:t>
      </w:r>
      <w:r w:rsidR="00C2569E" w:rsidRPr="006F4EE5">
        <w:rPr>
          <w:rFonts w:eastAsiaTheme="minorHAnsi" w:cstheme="minorBidi"/>
          <w:color w:val="auto"/>
          <w:szCs w:val="24"/>
          <w:lang w:eastAsia="en-US"/>
        </w:rPr>
        <w:t>time</w:t>
      </w:r>
      <w:r w:rsidR="00C2569E" w:rsidRPr="006F4EE5">
        <w:rPr>
          <w:rFonts w:eastAsiaTheme="minorHAnsi" w:cstheme="minorBidi"/>
          <w:color w:val="auto"/>
          <w:szCs w:val="24"/>
          <w:vertAlign w:val="superscript"/>
          <w:lang w:eastAsia="en-US"/>
        </w:rPr>
        <w:t>[</w:t>
      </w:r>
      <w:r w:rsidRPr="006F4EE5">
        <w:rPr>
          <w:rFonts w:eastAsiaTheme="minorHAnsi" w:cstheme="minorBidi"/>
          <w:color w:val="auto"/>
          <w:szCs w:val="24"/>
          <w:vertAlign w:val="superscript"/>
          <w:lang w:eastAsia="en-US"/>
        </w:rPr>
        <w:t>87</w:t>
      </w:r>
      <w:r w:rsidR="008421DF" w:rsidRPr="006F4EE5">
        <w:rPr>
          <w:rFonts w:eastAsiaTheme="minorEastAsia" w:cstheme="minorBidi"/>
          <w:color w:val="auto"/>
          <w:szCs w:val="24"/>
          <w:vertAlign w:val="superscript"/>
          <w:lang w:eastAsia="zh-CN"/>
        </w:rPr>
        <w:t>-</w:t>
      </w:r>
      <w:r w:rsidRPr="006F4EE5">
        <w:rPr>
          <w:rFonts w:eastAsiaTheme="minorHAnsi" w:cstheme="minorBidi"/>
          <w:color w:val="auto"/>
          <w:szCs w:val="24"/>
          <w:vertAlign w:val="superscript"/>
          <w:lang w:eastAsia="en-US"/>
        </w:rPr>
        <w:t>89]</w:t>
      </w:r>
      <w:r w:rsidRPr="006F4EE5">
        <w:rPr>
          <w:rFonts w:eastAsiaTheme="minorHAnsi" w:cstheme="minorBidi"/>
          <w:color w:val="auto"/>
          <w:szCs w:val="24"/>
          <w:lang w:eastAsia="en-US"/>
        </w:rPr>
        <w:t xml:space="preserve">. This is especially a concern of biodegradable materials as they have been specifically designed to be deteriorated once implanted in their host. In long-term clinical application, the physiochemical properties of implants are influenced by their constant chemical, mechanical, and biological interactions with their host tissue and its surrounding </w:t>
      </w:r>
      <w:r w:rsidR="00C2569E" w:rsidRPr="006F4EE5">
        <w:rPr>
          <w:rFonts w:eastAsiaTheme="minorHAnsi" w:cstheme="minorBidi"/>
          <w:color w:val="auto"/>
          <w:szCs w:val="24"/>
          <w:lang w:eastAsia="en-US"/>
        </w:rPr>
        <w:t>environment</w:t>
      </w:r>
      <w:r w:rsidR="00C2569E" w:rsidRPr="006F4EE5">
        <w:rPr>
          <w:rFonts w:eastAsiaTheme="minorHAnsi" w:cstheme="minorBidi"/>
          <w:color w:val="auto"/>
          <w:szCs w:val="24"/>
          <w:vertAlign w:val="superscript"/>
          <w:lang w:eastAsia="en-US"/>
        </w:rPr>
        <w:t>[</w:t>
      </w:r>
      <w:r w:rsidRPr="006F4EE5">
        <w:rPr>
          <w:rFonts w:eastAsiaTheme="minorHAnsi" w:cstheme="minorBidi"/>
          <w:color w:val="auto"/>
          <w:szCs w:val="24"/>
          <w:vertAlign w:val="superscript"/>
          <w:lang w:eastAsia="en-US"/>
        </w:rPr>
        <w:t>90]</w:t>
      </w:r>
      <w:r w:rsidRPr="006F4EE5">
        <w:rPr>
          <w:rFonts w:eastAsiaTheme="minorHAnsi" w:cstheme="minorBidi"/>
          <w:color w:val="auto"/>
          <w:szCs w:val="24"/>
          <w:lang w:eastAsia="en-US"/>
        </w:rPr>
        <w:t xml:space="preserve">. These factors cause the degradation of the implant and subsequently to the release microscale and/or nanoscale wear particles in their immediate vicinity. These released particles no longer exhibit any of the nanotopographical characteristic of the implant surface, prior to implantation. </w:t>
      </w:r>
    </w:p>
    <w:p w:rsidR="008B461E" w:rsidRPr="006F4EE5" w:rsidRDefault="008B461E" w:rsidP="006F4EE5">
      <w:pPr>
        <w:spacing w:after="0" w:line="360" w:lineRule="auto"/>
        <w:ind w:left="0" w:firstLineChars="100" w:firstLine="240"/>
        <w:rPr>
          <w:rFonts w:eastAsiaTheme="minorHAnsi" w:cstheme="minorBidi"/>
          <w:color w:val="auto"/>
          <w:szCs w:val="24"/>
          <w:lang w:eastAsia="en-US"/>
        </w:rPr>
      </w:pPr>
      <w:r w:rsidRPr="006F4EE5">
        <w:rPr>
          <w:rFonts w:eastAsiaTheme="minorHAnsi" w:cstheme="minorBidi"/>
          <w:color w:val="auto"/>
          <w:szCs w:val="24"/>
          <w:lang w:eastAsia="en-US"/>
        </w:rPr>
        <w:t>Released nanoparticles, once exposed to tissues and bodily fluids, tend to absorb macromolecules in their vicinity and depending on the surface characteristics of the nanoparticles (</w:t>
      </w:r>
      <w:r w:rsidRPr="006F4EE5">
        <w:rPr>
          <w:rFonts w:eastAsiaTheme="minorHAnsi" w:cstheme="minorBidi"/>
          <w:i/>
          <w:color w:val="auto"/>
          <w:szCs w:val="24"/>
          <w:lang w:eastAsia="en-US"/>
        </w:rPr>
        <w:t>e.g.</w:t>
      </w:r>
      <w:r w:rsidR="008421DF" w:rsidRPr="006F4EE5">
        <w:rPr>
          <w:rFonts w:eastAsiaTheme="minorEastAsia" w:cstheme="minorBidi"/>
          <w:i/>
          <w:color w:val="auto"/>
          <w:szCs w:val="24"/>
          <w:lang w:eastAsia="zh-CN"/>
        </w:rPr>
        <w:t>,</w:t>
      </w:r>
      <w:r w:rsidRPr="006F4EE5">
        <w:rPr>
          <w:rFonts w:eastAsiaTheme="minorHAnsi" w:cstheme="minorBidi"/>
          <w:color w:val="auto"/>
          <w:szCs w:val="24"/>
          <w:lang w:eastAsia="en-US"/>
        </w:rPr>
        <w:t xml:space="preserve"> their surface chemistry and surface energy), these macromolecules become attached onto the surface of the nanoparticles, leading to potential modification or functionalization of the surface of the nanoparticles</w:t>
      </w:r>
      <w:r w:rsidRPr="006F4EE5">
        <w:rPr>
          <w:rFonts w:eastAsiaTheme="minorHAnsi" w:cstheme="minorBidi"/>
          <w:color w:val="auto"/>
          <w:szCs w:val="24"/>
          <w:vertAlign w:val="superscript"/>
          <w:lang w:eastAsia="en-US"/>
        </w:rPr>
        <w:t>[91,92]</w:t>
      </w:r>
      <w:r w:rsidRPr="006F4EE5">
        <w:rPr>
          <w:rFonts w:eastAsiaTheme="minorHAnsi" w:cstheme="minorBidi"/>
          <w:color w:val="auto"/>
          <w:szCs w:val="24"/>
          <w:lang w:eastAsia="en-US"/>
        </w:rPr>
        <w:t xml:space="preserve">. Attachment of such macromolecules could change the affinity of a nanoparticle to bind with a specific protein, on the surface of a particular type of cells, which in return could have serious unaccounted for or adverse toxic effects on the proliferation and/or differentiation of </w:t>
      </w:r>
      <w:r w:rsidR="00C2569E" w:rsidRPr="006F4EE5">
        <w:rPr>
          <w:rFonts w:eastAsiaTheme="minorHAnsi" w:cstheme="minorBidi"/>
          <w:color w:val="auto"/>
          <w:szCs w:val="24"/>
          <w:lang w:eastAsia="en-US"/>
        </w:rPr>
        <w:t>cells</w:t>
      </w:r>
      <w:r w:rsidR="00C2569E" w:rsidRPr="006F4EE5">
        <w:rPr>
          <w:rFonts w:eastAsiaTheme="minorHAnsi" w:cstheme="minorBidi"/>
          <w:color w:val="auto"/>
          <w:szCs w:val="24"/>
          <w:vertAlign w:val="superscript"/>
          <w:lang w:eastAsia="en-US"/>
        </w:rPr>
        <w:t>[</w:t>
      </w:r>
      <w:r w:rsidRPr="006F4EE5">
        <w:rPr>
          <w:rFonts w:eastAsiaTheme="minorHAnsi" w:cstheme="minorBidi"/>
          <w:color w:val="auto"/>
          <w:szCs w:val="24"/>
          <w:vertAlign w:val="superscript"/>
          <w:lang w:eastAsia="en-US"/>
        </w:rPr>
        <w:t>93]</w:t>
      </w:r>
      <w:r w:rsidR="008421DF" w:rsidRPr="006F4EE5">
        <w:rPr>
          <w:rFonts w:eastAsiaTheme="minorHAnsi" w:cstheme="minorBidi"/>
          <w:color w:val="auto"/>
          <w:szCs w:val="24"/>
          <w:lang w:eastAsia="en-US"/>
        </w:rPr>
        <w:t>.</w:t>
      </w:r>
      <w:r w:rsidRPr="006F4EE5">
        <w:rPr>
          <w:rFonts w:eastAsiaTheme="minorHAnsi" w:cstheme="minorBidi"/>
          <w:color w:val="auto"/>
          <w:szCs w:val="24"/>
          <w:lang w:eastAsia="en-US"/>
        </w:rPr>
        <w:t xml:space="preserve"> For instance, there has been a report on serious DNA damage caused to MSCs when cultured with metallic silver nanoparticles, even at lower </w:t>
      </w:r>
      <w:r w:rsidR="00C2569E" w:rsidRPr="006F4EE5">
        <w:rPr>
          <w:rFonts w:eastAsiaTheme="minorHAnsi" w:cstheme="minorBidi"/>
          <w:color w:val="auto"/>
          <w:szCs w:val="24"/>
          <w:lang w:eastAsia="en-US"/>
        </w:rPr>
        <w:t>concentrations</w:t>
      </w:r>
      <w:r w:rsidR="00C2569E" w:rsidRPr="006F4EE5">
        <w:rPr>
          <w:rFonts w:eastAsiaTheme="minorHAnsi" w:cstheme="minorBidi"/>
          <w:color w:val="auto"/>
          <w:szCs w:val="24"/>
          <w:vertAlign w:val="superscript"/>
          <w:lang w:eastAsia="en-US"/>
        </w:rPr>
        <w:t>[</w:t>
      </w:r>
      <w:r w:rsidRPr="006F4EE5">
        <w:rPr>
          <w:rFonts w:eastAsiaTheme="minorHAnsi" w:cstheme="minorBidi"/>
          <w:color w:val="auto"/>
          <w:szCs w:val="24"/>
          <w:vertAlign w:val="superscript"/>
          <w:lang w:eastAsia="en-US"/>
        </w:rPr>
        <w:t>88]</w:t>
      </w:r>
      <w:r w:rsidRPr="006F4EE5">
        <w:rPr>
          <w:rFonts w:eastAsiaTheme="minorHAnsi" w:cstheme="minorBidi"/>
          <w:color w:val="auto"/>
          <w:szCs w:val="24"/>
          <w:lang w:eastAsia="en-US"/>
        </w:rPr>
        <w:t xml:space="preserve">. Calcium phosphate nanoparticles, very commonly used for bone tissue engineering applications, have also shown to affect MSC proliferation in a size-dependent manner, with larger particles causing more serious </w:t>
      </w:r>
      <w:r w:rsidR="00C2569E" w:rsidRPr="006F4EE5">
        <w:rPr>
          <w:rFonts w:eastAsiaTheme="minorHAnsi" w:cstheme="minorBidi"/>
          <w:color w:val="auto"/>
          <w:szCs w:val="24"/>
          <w:lang w:eastAsia="en-US"/>
        </w:rPr>
        <w:t>harm</w:t>
      </w:r>
      <w:r w:rsidR="00C2569E" w:rsidRPr="006F4EE5">
        <w:rPr>
          <w:rFonts w:eastAsiaTheme="minorHAnsi" w:cstheme="minorBidi"/>
          <w:color w:val="auto"/>
          <w:szCs w:val="24"/>
          <w:vertAlign w:val="superscript"/>
          <w:lang w:eastAsia="en-US"/>
        </w:rPr>
        <w:t>[</w:t>
      </w:r>
      <w:r w:rsidRPr="006F4EE5">
        <w:rPr>
          <w:rFonts w:eastAsiaTheme="minorHAnsi" w:cstheme="minorBidi"/>
          <w:color w:val="auto"/>
          <w:szCs w:val="24"/>
          <w:vertAlign w:val="superscript"/>
          <w:lang w:eastAsia="en-US"/>
        </w:rPr>
        <w:t>87]</w:t>
      </w:r>
      <w:r w:rsidRPr="006F4EE5">
        <w:rPr>
          <w:rFonts w:eastAsiaTheme="minorHAnsi" w:cstheme="minorBidi"/>
          <w:color w:val="auto"/>
          <w:szCs w:val="24"/>
          <w:lang w:eastAsia="en-US"/>
        </w:rPr>
        <w:t xml:space="preserve">. Furthermore, studies conducted by Hu </w:t>
      </w:r>
      <w:r w:rsidRPr="006F4EE5">
        <w:rPr>
          <w:rFonts w:eastAsiaTheme="minorHAnsi" w:cstheme="minorBidi"/>
          <w:i/>
          <w:color w:val="auto"/>
          <w:szCs w:val="24"/>
          <w:lang w:eastAsia="en-US"/>
        </w:rPr>
        <w:t>et al</w:t>
      </w:r>
      <w:r w:rsidR="008421DF" w:rsidRPr="006F4EE5">
        <w:rPr>
          <w:rFonts w:eastAsiaTheme="minorEastAsia" w:cstheme="minorBidi"/>
          <w:color w:val="auto"/>
          <w:szCs w:val="24"/>
          <w:vertAlign w:val="superscript"/>
          <w:lang w:eastAsia="zh-CN"/>
        </w:rPr>
        <w:t>[94]</w:t>
      </w:r>
      <w:r w:rsidRPr="006F4EE5">
        <w:rPr>
          <w:rFonts w:eastAsiaTheme="minorHAnsi" w:cstheme="minorBidi"/>
          <w:color w:val="auto"/>
          <w:szCs w:val="24"/>
          <w:lang w:eastAsia="en-US"/>
        </w:rPr>
        <w:t xml:space="preserve"> and Liu </w:t>
      </w:r>
      <w:r w:rsidRPr="006F4EE5">
        <w:rPr>
          <w:rFonts w:eastAsiaTheme="minorHAnsi" w:cstheme="minorBidi"/>
          <w:i/>
          <w:color w:val="auto"/>
          <w:szCs w:val="24"/>
          <w:lang w:eastAsia="en-US"/>
        </w:rPr>
        <w:t>et al</w:t>
      </w:r>
      <w:r w:rsidR="008421DF" w:rsidRPr="006F4EE5">
        <w:rPr>
          <w:rFonts w:eastAsiaTheme="minorEastAsia" w:cstheme="minorBidi"/>
          <w:color w:val="auto"/>
          <w:szCs w:val="24"/>
          <w:vertAlign w:val="superscript"/>
          <w:lang w:eastAsia="zh-CN"/>
        </w:rPr>
        <w:t>[89]</w:t>
      </w:r>
      <w:r w:rsidRPr="006F4EE5">
        <w:rPr>
          <w:rFonts w:eastAsiaTheme="minorHAnsi" w:cstheme="minorBidi"/>
          <w:color w:val="auto"/>
          <w:szCs w:val="24"/>
          <w:lang w:eastAsia="en-US"/>
        </w:rPr>
        <w:t xml:space="preserve"> showed that calcium phosphate nanoparticles could also affect MSC differentiation depending on their concentration and form of appearance</w:t>
      </w:r>
      <w:r w:rsidRPr="006F4EE5">
        <w:rPr>
          <w:rFonts w:eastAsiaTheme="minorHAnsi" w:cstheme="minorBidi"/>
          <w:color w:val="auto"/>
          <w:szCs w:val="24"/>
          <w:vertAlign w:val="superscript"/>
          <w:lang w:eastAsia="en-US"/>
        </w:rPr>
        <w:t>[</w:t>
      </w:r>
      <w:r w:rsidR="00724451" w:rsidRPr="006F4EE5">
        <w:rPr>
          <w:rFonts w:eastAsiaTheme="minorHAnsi" w:cstheme="minorBidi"/>
          <w:color w:val="auto"/>
          <w:szCs w:val="24"/>
          <w:vertAlign w:val="superscript"/>
          <w:lang w:eastAsia="en-US"/>
        </w:rPr>
        <w:t>89,94</w:t>
      </w:r>
      <w:r w:rsidRPr="006F4EE5">
        <w:rPr>
          <w:rFonts w:eastAsiaTheme="minorHAnsi" w:cstheme="minorBidi"/>
          <w:color w:val="auto"/>
          <w:szCs w:val="24"/>
          <w:vertAlign w:val="superscript"/>
          <w:lang w:eastAsia="en-US"/>
        </w:rPr>
        <w:t>]</w:t>
      </w:r>
      <w:r w:rsidRPr="006F4EE5">
        <w:rPr>
          <w:rFonts w:eastAsiaTheme="minorHAnsi" w:cstheme="minorBidi"/>
          <w:color w:val="auto"/>
          <w:szCs w:val="24"/>
          <w:lang w:eastAsia="en-US"/>
        </w:rPr>
        <w:t xml:space="preserve">. They reported that increasing the concentration of calcium phosphate nanoparticles, especially in the form of amorphous particles, rather than crystals, could negatively affect the osteogenic cell differentiation and matrix mineralisation of MSCs. </w:t>
      </w:r>
    </w:p>
    <w:p w:rsidR="008B461E" w:rsidRPr="006F4EE5" w:rsidRDefault="008B461E" w:rsidP="006F4EE5">
      <w:pPr>
        <w:spacing w:after="0" w:line="360" w:lineRule="auto"/>
        <w:ind w:left="0" w:firstLineChars="100" w:firstLine="240"/>
        <w:rPr>
          <w:rFonts w:eastAsiaTheme="minorHAnsi" w:cstheme="minorBidi"/>
          <w:color w:val="auto"/>
          <w:szCs w:val="24"/>
          <w:lang w:eastAsia="en-US"/>
        </w:rPr>
      </w:pPr>
      <w:r w:rsidRPr="006F4EE5">
        <w:rPr>
          <w:rFonts w:eastAsiaTheme="minorHAnsi" w:cstheme="minorBidi"/>
          <w:color w:val="auto"/>
          <w:szCs w:val="24"/>
          <w:lang w:eastAsia="en-US"/>
        </w:rPr>
        <w:t>Other types of nanoparticles such as metallic ones are also of great concerns, as their release could lead to serious nanotoxicity in biomaterials and different cell lines. Various groups have investigated adverse systematic effects of titanium nanoparticles on different cell lines such as endothelial</w:t>
      </w:r>
      <w:r w:rsidR="00724451" w:rsidRPr="006F4EE5">
        <w:rPr>
          <w:rFonts w:eastAsiaTheme="minorHAnsi" w:cstheme="minorBidi"/>
          <w:color w:val="auto"/>
          <w:szCs w:val="24"/>
          <w:vertAlign w:val="superscript"/>
          <w:lang w:eastAsia="en-US"/>
        </w:rPr>
        <w:t>[95]</w:t>
      </w:r>
      <w:r w:rsidRPr="006F4EE5">
        <w:rPr>
          <w:rFonts w:eastAsiaTheme="minorHAnsi" w:cstheme="minorBidi"/>
          <w:color w:val="auto"/>
          <w:szCs w:val="24"/>
          <w:lang w:eastAsia="en-US"/>
        </w:rPr>
        <w:t>, lymphoblastoid</w:t>
      </w:r>
      <w:r w:rsidR="00724451" w:rsidRPr="006F4EE5">
        <w:rPr>
          <w:rFonts w:eastAsiaTheme="minorHAnsi" w:cstheme="minorBidi"/>
          <w:color w:val="auto"/>
          <w:szCs w:val="24"/>
          <w:vertAlign w:val="superscript"/>
          <w:lang w:eastAsia="en-US"/>
        </w:rPr>
        <w:t>[96]</w:t>
      </w:r>
      <w:r w:rsidRPr="006F4EE5">
        <w:rPr>
          <w:rFonts w:eastAsiaTheme="minorHAnsi" w:cstheme="minorBidi"/>
          <w:color w:val="auto"/>
          <w:szCs w:val="24"/>
          <w:lang w:eastAsia="en-US"/>
        </w:rPr>
        <w:t>, and fibroblasts</w:t>
      </w:r>
      <w:r w:rsidR="00724451" w:rsidRPr="006F4EE5">
        <w:rPr>
          <w:rFonts w:eastAsiaTheme="minorHAnsi" w:cstheme="minorBidi"/>
          <w:color w:val="auto"/>
          <w:szCs w:val="24"/>
          <w:vertAlign w:val="superscript"/>
          <w:lang w:eastAsia="en-US"/>
        </w:rPr>
        <w:t>[97]</w:t>
      </w:r>
      <w:r w:rsidR="00580E5E" w:rsidRPr="006F4EE5">
        <w:rPr>
          <w:rFonts w:eastAsiaTheme="minorHAnsi" w:cstheme="minorBidi"/>
          <w:color w:val="auto"/>
          <w:szCs w:val="24"/>
          <w:lang w:eastAsia="en-US"/>
        </w:rPr>
        <w:t xml:space="preserve"> </w:t>
      </w:r>
      <w:r w:rsidRPr="006F4EE5">
        <w:rPr>
          <w:rFonts w:eastAsiaTheme="minorHAnsi" w:cstheme="minorBidi"/>
          <w:color w:val="auto"/>
          <w:szCs w:val="24"/>
          <w:lang w:eastAsia="en-US"/>
        </w:rPr>
        <w:t xml:space="preserve">cells and reported of inflammatory reactions, DNA damage, and induction of apoptosis, respectively. However, until a year ago, there was no concise report on the adverse effect of titanium nanoparticles on the cellular behaviour of bone marrow-derived MSCs, despite titanium implants majorly being used for medical applications, such as in bone TE. As the result, very recently, Hou </w:t>
      </w:r>
      <w:r w:rsidRPr="006F4EE5">
        <w:rPr>
          <w:rFonts w:eastAsiaTheme="minorHAnsi" w:cstheme="minorBidi"/>
          <w:i/>
          <w:color w:val="auto"/>
          <w:szCs w:val="24"/>
          <w:lang w:eastAsia="en-US"/>
        </w:rPr>
        <w:t>et al</w:t>
      </w:r>
      <w:r w:rsidR="008421DF" w:rsidRPr="006F4EE5">
        <w:rPr>
          <w:rFonts w:eastAsiaTheme="minorEastAsia" w:cstheme="minorBidi"/>
          <w:color w:val="auto"/>
          <w:szCs w:val="24"/>
          <w:vertAlign w:val="superscript"/>
          <w:lang w:eastAsia="zh-CN"/>
        </w:rPr>
        <w:t>[</w:t>
      </w:r>
      <w:r w:rsidR="008421DF" w:rsidRPr="006F4EE5">
        <w:rPr>
          <w:rFonts w:eastAsiaTheme="minorHAnsi" w:cstheme="minorBidi"/>
          <w:color w:val="auto"/>
          <w:szCs w:val="24"/>
          <w:vertAlign w:val="superscript"/>
          <w:lang w:eastAsia="en-US"/>
        </w:rPr>
        <w:t>98</w:t>
      </w:r>
      <w:r w:rsidR="008421DF" w:rsidRPr="006F4EE5">
        <w:rPr>
          <w:rFonts w:eastAsiaTheme="minorEastAsia" w:cstheme="minorBidi"/>
          <w:color w:val="auto"/>
          <w:szCs w:val="24"/>
          <w:vertAlign w:val="superscript"/>
          <w:lang w:eastAsia="zh-CN"/>
        </w:rPr>
        <w:t>]</w:t>
      </w:r>
      <w:r w:rsidRPr="006F4EE5">
        <w:rPr>
          <w:rFonts w:eastAsiaTheme="minorHAnsi" w:cstheme="minorBidi"/>
          <w:color w:val="auto"/>
          <w:szCs w:val="24"/>
          <w:lang w:eastAsia="en-US"/>
        </w:rPr>
        <w:t xml:space="preserve"> investigated the effects of titanium nanoparticles on adhesion, migration, proliferation and differentiation of MSCs and reported of serious negative effects of the nanoparticles on MSC migration as particle size increased</w:t>
      </w:r>
      <w:r w:rsidR="008421DF" w:rsidRPr="006F4EE5">
        <w:rPr>
          <w:rFonts w:eastAsiaTheme="minorEastAsia" w:cstheme="minorBidi"/>
          <w:color w:val="auto"/>
          <w:szCs w:val="24"/>
          <w:vertAlign w:val="superscript"/>
          <w:lang w:eastAsia="zh-CN"/>
        </w:rPr>
        <w:t>[</w:t>
      </w:r>
      <w:r w:rsidR="00C2569E" w:rsidRPr="006F4EE5">
        <w:rPr>
          <w:rFonts w:eastAsiaTheme="minorHAnsi" w:cstheme="minorBidi"/>
          <w:color w:val="auto"/>
          <w:szCs w:val="24"/>
          <w:vertAlign w:val="superscript"/>
          <w:lang w:eastAsia="en-US"/>
        </w:rPr>
        <w:t>98</w:t>
      </w:r>
      <w:r w:rsidR="008421DF" w:rsidRPr="006F4EE5">
        <w:rPr>
          <w:rFonts w:eastAsiaTheme="minorEastAsia" w:cstheme="minorBidi"/>
          <w:color w:val="auto"/>
          <w:szCs w:val="24"/>
          <w:vertAlign w:val="superscript"/>
          <w:lang w:eastAsia="zh-CN"/>
        </w:rPr>
        <w:t>]</w:t>
      </w:r>
      <w:r w:rsidRPr="006F4EE5">
        <w:rPr>
          <w:rFonts w:eastAsiaTheme="minorHAnsi" w:cstheme="minorBidi"/>
          <w:color w:val="auto"/>
          <w:szCs w:val="24"/>
          <w:lang w:eastAsia="en-US"/>
        </w:rPr>
        <w:t xml:space="preserve">. They also demonstrated that exposure of MSCs to titanium nanoparticles negatively affected their osteogenic </w:t>
      </w:r>
      <w:r w:rsidR="00C2569E" w:rsidRPr="006F4EE5">
        <w:rPr>
          <w:rFonts w:eastAsiaTheme="minorHAnsi" w:cstheme="minorBidi"/>
          <w:color w:val="auto"/>
          <w:szCs w:val="24"/>
          <w:lang w:eastAsia="en-US"/>
        </w:rPr>
        <w:t>differentiation</w:t>
      </w:r>
      <w:r w:rsidR="00C2569E" w:rsidRPr="006F4EE5">
        <w:rPr>
          <w:rFonts w:eastAsiaTheme="minorHAnsi" w:cstheme="minorBidi"/>
          <w:color w:val="auto"/>
          <w:szCs w:val="24"/>
          <w:vertAlign w:val="superscript"/>
          <w:lang w:eastAsia="en-US"/>
        </w:rPr>
        <w:t>[</w:t>
      </w:r>
      <w:r w:rsidR="00724451" w:rsidRPr="006F4EE5">
        <w:rPr>
          <w:rFonts w:eastAsiaTheme="minorHAnsi" w:cstheme="minorBidi"/>
          <w:color w:val="auto"/>
          <w:szCs w:val="24"/>
          <w:vertAlign w:val="superscript"/>
          <w:lang w:eastAsia="en-US"/>
        </w:rPr>
        <w:t>98]</w:t>
      </w:r>
      <w:r w:rsidR="00724451" w:rsidRPr="006F4EE5">
        <w:rPr>
          <w:rFonts w:eastAsiaTheme="minorHAnsi" w:cstheme="minorBidi"/>
          <w:color w:val="auto"/>
          <w:szCs w:val="24"/>
          <w:lang w:eastAsia="en-US"/>
        </w:rPr>
        <w:t>.</w:t>
      </w:r>
      <w:r w:rsidRPr="006F4EE5">
        <w:rPr>
          <w:rFonts w:eastAsiaTheme="minorHAnsi" w:cstheme="minorBidi"/>
          <w:color w:val="auto"/>
          <w:szCs w:val="24"/>
          <w:lang w:eastAsia="en-US"/>
        </w:rPr>
        <w:t xml:space="preserve"> </w:t>
      </w:r>
    </w:p>
    <w:p w:rsidR="002E4309" w:rsidRPr="006F4EE5" w:rsidRDefault="002E4309" w:rsidP="006F4EE5">
      <w:pPr>
        <w:spacing w:after="0" w:line="360" w:lineRule="auto"/>
        <w:ind w:left="0" w:firstLine="0"/>
        <w:rPr>
          <w:rFonts w:eastAsiaTheme="minorEastAsia"/>
          <w:color w:val="auto"/>
          <w:szCs w:val="24"/>
          <w:lang w:eastAsia="zh-CN"/>
        </w:rPr>
      </w:pPr>
    </w:p>
    <w:p w:rsidR="002E4309" w:rsidRPr="006F4EE5" w:rsidRDefault="00710EE9" w:rsidP="006F4EE5">
      <w:pPr>
        <w:pStyle w:val="Heading1"/>
        <w:spacing w:after="0" w:line="360" w:lineRule="auto"/>
        <w:ind w:left="0" w:firstLine="0"/>
        <w:jc w:val="both"/>
        <w:rPr>
          <w:color w:val="auto"/>
          <w:sz w:val="24"/>
          <w:szCs w:val="24"/>
        </w:rPr>
      </w:pPr>
      <w:r w:rsidRPr="006F4EE5">
        <w:rPr>
          <w:color w:val="auto"/>
          <w:sz w:val="24"/>
          <w:szCs w:val="24"/>
        </w:rPr>
        <w:t>D</w:t>
      </w:r>
      <w:r w:rsidR="00C52D84" w:rsidRPr="006F4EE5">
        <w:rPr>
          <w:color w:val="auto"/>
          <w:sz w:val="24"/>
          <w:szCs w:val="24"/>
        </w:rPr>
        <w:t>ISCUSSION AND FUTURE PROSPECTIVE</w:t>
      </w:r>
    </w:p>
    <w:p w:rsidR="002E4309" w:rsidRPr="006F4EE5" w:rsidRDefault="00710EE9" w:rsidP="006F4EE5">
      <w:pPr>
        <w:spacing w:after="0" w:line="360" w:lineRule="auto"/>
        <w:ind w:left="0" w:firstLine="0"/>
        <w:rPr>
          <w:color w:val="auto"/>
          <w:szCs w:val="24"/>
        </w:rPr>
      </w:pPr>
      <w:r w:rsidRPr="006F4EE5">
        <w:rPr>
          <w:color w:val="auto"/>
          <w:szCs w:val="24"/>
        </w:rPr>
        <w:t>In this review, the role of nanotopography on controlling and directing cellular beh</w:t>
      </w:r>
      <w:r w:rsidR="00D53EBC" w:rsidRPr="006F4EE5">
        <w:rPr>
          <w:color w:val="auto"/>
          <w:szCs w:val="24"/>
        </w:rPr>
        <w:t xml:space="preserve">aviour of various types of MSCs, </w:t>
      </w:r>
      <w:r w:rsidRPr="006F4EE5">
        <w:rPr>
          <w:color w:val="auto"/>
          <w:szCs w:val="24"/>
        </w:rPr>
        <w:t>with respect to specific tissues and organs</w:t>
      </w:r>
      <w:r w:rsidR="00D53EBC" w:rsidRPr="006F4EE5">
        <w:rPr>
          <w:color w:val="auto"/>
          <w:szCs w:val="24"/>
        </w:rPr>
        <w:t>,</w:t>
      </w:r>
      <w:r w:rsidRPr="006F4EE5">
        <w:rPr>
          <w:color w:val="auto"/>
          <w:szCs w:val="24"/>
        </w:rPr>
        <w:t xml:space="preserve"> ha</w:t>
      </w:r>
      <w:r w:rsidR="008421DF" w:rsidRPr="006F4EE5">
        <w:rPr>
          <w:rFonts w:eastAsiaTheme="minorEastAsia"/>
          <w:color w:val="auto"/>
          <w:szCs w:val="24"/>
          <w:lang w:eastAsia="zh-CN"/>
        </w:rPr>
        <w:t>s</w:t>
      </w:r>
      <w:r w:rsidRPr="006F4EE5">
        <w:rPr>
          <w:color w:val="auto"/>
          <w:szCs w:val="24"/>
        </w:rPr>
        <w:t xml:space="preserve"> been described. Based on the studies presented here, it can be established that various nanofabrication methods can be e</w:t>
      </w:r>
      <w:r w:rsidR="00B52339" w:rsidRPr="006F4EE5">
        <w:rPr>
          <w:color w:val="auto"/>
          <w:szCs w:val="24"/>
        </w:rPr>
        <w:t xml:space="preserve">mployed to design and fabricate </w:t>
      </w:r>
      <w:r w:rsidRPr="006F4EE5">
        <w:rPr>
          <w:color w:val="auto"/>
          <w:szCs w:val="24"/>
        </w:rPr>
        <w:t>nanostructured scaffolds with distinct nanotopographical cues to control and direct various cellular behaviours of MSCs including</w:t>
      </w:r>
      <w:r w:rsidR="00B52339" w:rsidRPr="006F4EE5">
        <w:rPr>
          <w:color w:val="auto"/>
          <w:szCs w:val="24"/>
        </w:rPr>
        <w:t>;</w:t>
      </w:r>
      <w:r w:rsidRPr="006F4EE5">
        <w:rPr>
          <w:color w:val="auto"/>
          <w:szCs w:val="24"/>
        </w:rPr>
        <w:t xml:space="preserve"> their attachment, proliferation and most importantly their differentiation towards a specific lineage (Table 2</w:t>
      </w:r>
      <w:r w:rsidR="00B52339" w:rsidRPr="006F4EE5">
        <w:rPr>
          <w:color w:val="auto"/>
          <w:szCs w:val="24"/>
        </w:rPr>
        <w:t>). Therefore, i</w:t>
      </w:r>
      <w:r w:rsidRPr="006F4EE5">
        <w:rPr>
          <w:color w:val="auto"/>
          <w:szCs w:val="24"/>
        </w:rPr>
        <w:t xml:space="preserve">ncorporating nanotopography on the design of </w:t>
      </w:r>
      <w:r w:rsidR="00B52339" w:rsidRPr="006F4EE5">
        <w:rPr>
          <w:color w:val="auto"/>
          <w:szCs w:val="24"/>
        </w:rPr>
        <w:t xml:space="preserve">scaffolds </w:t>
      </w:r>
      <w:r w:rsidRPr="006F4EE5">
        <w:rPr>
          <w:color w:val="auto"/>
          <w:szCs w:val="24"/>
        </w:rPr>
        <w:t>would open doors to new generation of TE strategies for the development of functional organs</w:t>
      </w:r>
      <w:r w:rsidR="00B52339" w:rsidRPr="006F4EE5">
        <w:rPr>
          <w:color w:val="auto"/>
          <w:szCs w:val="24"/>
        </w:rPr>
        <w:t xml:space="preserve"> and tissues</w:t>
      </w:r>
      <w:r w:rsidRPr="006F4EE5">
        <w:rPr>
          <w:color w:val="auto"/>
          <w:szCs w:val="24"/>
        </w:rPr>
        <w:t xml:space="preserve">.  </w:t>
      </w:r>
    </w:p>
    <w:p w:rsidR="002E4309" w:rsidRPr="006F4EE5" w:rsidRDefault="00710EE9" w:rsidP="006F4EE5">
      <w:pPr>
        <w:spacing w:after="0" w:line="360" w:lineRule="auto"/>
        <w:ind w:left="0" w:firstLineChars="100" w:firstLine="240"/>
        <w:rPr>
          <w:color w:val="auto"/>
          <w:szCs w:val="24"/>
        </w:rPr>
      </w:pPr>
      <w:r w:rsidRPr="006F4EE5">
        <w:rPr>
          <w:color w:val="auto"/>
          <w:szCs w:val="24"/>
        </w:rPr>
        <w:t xml:space="preserve">The review of the literature demonstrated that most studies on </w:t>
      </w:r>
      <w:r w:rsidR="00B52339" w:rsidRPr="006F4EE5">
        <w:rPr>
          <w:color w:val="auto"/>
          <w:szCs w:val="24"/>
        </w:rPr>
        <w:t xml:space="preserve">this topic </w:t>
      </w:r>
      <w:r w:rsidRPr="006F4EE5">
        <w:rPr>
          <w:color w:val="auto"/>
          <w:szCs w:val="24"/>
        </w:rPr>
        <w:t xml:space="preserve">have been focused on bone TE applications. In most of these studies, </w:t>
      </w:r>
      <w:r w:rsidR="00B52339" w:rsidRPr="006F4EE5">
        <w:rPr>
          <w:color w:val="auto"/>
          <w:szCs w:val="24"/>
        </w:rPr>
        <w:t>such</w:t>
      </w:r>
      <w:r w:rsidRPr="006F4EE5">
        <w:rPr>
          <w:color w:val="auto"/>
          <w:szCs w:val="24"/>
        </w:rPr>
        <w:t xml:space="preserve"> strategy seemed to improve the proliferation and differentiation of MSCs for repair or regeneration of bone. In most cases, authors have reported of controlled and directed osteogenesis of these cells on various polymeric based composite or nanocomposite scaffolds. However, there seems to be a clear lack of investigation </w:t>
      </w:r>
      <w:r w:rsidR="00B52339" w:rsidRPr="006F4EE5">
        <w:rPr>
          <w:color w:val="auto"/>
          <w:szCs w:val="24"/>
        </w:rPr>
        <w:t>into</w:t>
      </w:r>
      <w:r w:rsidRPr="006F4EE5">
        <w:rPr>
          <w:color w:val="auto"/>
          <w:szCs w:val="24"/>
        </w:rPr>
        <w:t xml:space="preserve"> the potentials of using nanotopography </w:t>
      </w:r>
      <w:r w:rsidR="00B52339" w:rsidRPr="006F4EE5">
        <w:rPr>
          <w:color w:val="auto"/>
          <w:szCs w:val="24"/>
        </w:rPr>
        <w:t>for</w:t>
      </w:r>
      <w:r w:rsidRPr="006F4EE5">
        <w:rPr>
          <w:color w:val="auto"/>
          <w:szCs w:val="24"/>
        </w:rPr>
        <w:t xml:space="preserve"> the development of more complex organs </w:t>
      </w:r>
      <w:r w:rsidR="00B52339" w:rsidRPr="006F4EE5">
        <w:rPr>
          <w:color w:val="auto"/>
          <w:szCs w:val="24"/>
        </w:rPr>
        <w:t xml:space="preserve">or tissues </w:t>
      </w:r>
      <w:r w:rsidRPr="006F4EE5">
        <w:rPr>
          <w:color w:val="auto"/>
          <w:szCs w:val="24"/>
        </w:rPr>
        <w:t xml:space="preserve">such as heart, kidney, </w:t>
      </w:r>
      <w:r w:rsidR="00B52339" w:rsidRPr="006F4EE5">
        <w:rPr>
          <w:color w:val="auto"/>
          <w:szCs w:val="24"/>
        </w:rPr>
        <w:t>or</w:t>
      </w:r>
      <w:r w:rsidRPr="006F4EE5">
        <w:rPr>
          <w:color w:val="auto"/>
          <w:szCs w:val="24"/>
        </w:rPr>
        <w:t xml:space="preserve"> bladder. T</w:t>
      </w:r>
      <w:r w:rsidR="00B52339" w:rsidRPr="006F4EE5">
        <w:rPr>
          <w:color w:val="auto"/>
          <w:szCs w:val="24"/>
        </w:rPr>
        <w:t xml:space="preserve">his is despite of the fact that some studies have confirmed </w:t>
      </w:r>
      <w:r w:rsidRPr="006F4EE5">
        <w:rPr>
          <w:color w:val="auto"/>
          <w:szCs w:val="24"/>
        </w:rPr>
        <w:t xml:space="preserve">the abilities of MSCs to differentiate into various </w:t>
      </w:r>
      <w:r w:rsidR="00B52339" w:rsidRPr="006F4EE5">
        <w:rPr>
          <w:color w:val="auto"/>
          <w:szCs w:val="24"/>
        </w:rPr>
        <w:t xml:space="preserve">other </w:t>
      </w:r>
      <w:r w:rsidRPr="006F4EE5">
        <w:rPr>
          <w:color w:val="auto"/>
          <w:szCs w:val="24"/>
        </w:rPr>
        <w:t>cell types; including muscle cells, stromal cells and fibroblast cells. Therefore, in the future, TE and regenerative medicine could greatly benefit from research focused on developing more complex organs</w:t>
      </w:r>
      <w:r w:rsidR="00B52339" w:rsidRPr="006F4EE5">
        <w:rPr>
          <w:color w:val="auto"/>
          <w:szCs w:val="24"/>
        </w:rPr>
        <w:t xml:space="preserve"> or tissues</w:t>
      </w:r>
      <w:r w:rsidRPr="006F4EE5">
        <w:rPr>
          <w:color w:val="auto"/>
          <w:szCs w:val="24"/>
        </w:rPr>
        <w:t xml:space="preserve"> using nanotopography</w:t>
      </w:r>
      <w:r w:rsidR="000E7611" w:rsidRPr="006F4EE5">
        <w:rPr>
          <w:color w:val="auto"/>
          <w:szCs w:val="24"/>
        </w:rPr>
        <w:t xml:space="preserve"> guided differentiation of MSCs, while at the same time, there needs to be a more comprehensive investigation on the potential adverse effect of various types of nanoparticles, released from eroded nanotopographical surfaces, on the cellular behaviour of MSCs. </w:t>
      </w:r>
    </w:p>
    <w:p w:rsidR="000E7611" w:rsidRPr="006170DA" w:rsidRDefault="000E7611" w:rsidP="006170DA">
      <w:pPr>
        <w:spacing w:after="0" w:line="360" w:lineRule="auto"/>
        <w:ind w:left="0" w:firstLine="0"/>
        <w:rPr>
          <w:color w:val="auto"/>
          <w:szCs w:val="24"/>
        </w:rPr>
      </w:pPr>
    </w:p>
    <w:p w:rsidR="00614B31" w:rsidRPr="006170DA" w:rsidRDefault="00C52D84" w:rsidP="006170DA">
      <w:pPr>
        <w:spacing w:after="0" w:line="360" w:lineRule="auto"/>
        <w:ind w:left="0" w:firstLine="0"/>
        <w:rPr>
          <w:rFonts w:eastAsiaTheme="minorEastAsia"/>
          <w:b/>
          <w:color w:val="auto"/>
          <w:szCs w:val="24"/>
          <w:lang w:eastAsia="zh-CN"/>
        </w:rPr>
      </w:pPr>
      <w:r w:rsidRPr="006170DA">
        <w:rPr>
          <w:b/>
          <w:color w:val="auto"/>
          <w:szCs w:val="24"/>
        </w:rPr>
        <w:t>REFERENCES</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1 </w:t>
      </w:r>
      <w:r w:rsidRPr="006170DA">
        <w:rPr>
          <w:rFonts w:eastAsia="宋体" w:cs="宋体"/>
          <w:b/>
          <w:bCs/>
          <w:szCs w:val="24"/>
          <w:lang w:val="en-US" w:eastAsia="zh-CN"/>
        </w:rPr>
        <w:t>Messenger MP</w:t>
      </w:r>
      <w:r w:rsidRPr="006170DA">
        <w:rPr>
          <w:rFonts w:eastAsia="宋体" w:cs="宋体"/>
          <w:szCs w:val="24"/>
          <w:lang w:val="en-US" w:eastAsia="zh-CN"/>
        </w:rPr>
        <w:t>, Tomlins PE. Regenerative medicine: a snapshot of the current regulatory environment and standards. </w:t>
      </w:r>
      <w:r w:rsidRPr="006170DA">
        <w:rPr>
          <w:rFonts w:eastAsia="宋体" w:cs="宋体"/>
          <w:i/>
          <w:iCs/>
          <w:szCs w:val="24"/>
          <w:lang w:val="en-US" w:eastAsia="zh-CN"/>
        </w:rPr>
        <w:t>Adv Mater</w:t>
      </w:r>
      <w:r w:rsidRPr="006170DA">
        <w:rPr>
          <w:rFonts w:eastAsia="宋体" w:cs="宋体"/>
          <w:szCs w:val="24"/>
          <w:lang w:val="en-US" w:eastAsia="zh-CN"/>
        </w:rPr>
        <w:t> 2011; </w:t>
      </w:r>
      <w:r w:rsidRPr="006170DA">
        <w:rPr>
          <w:rFonts w:eastAsia="宋体" w:cs="宋体"/>
          <w:b/>
          <w:bCs/>
          <w:szCs w:val="24"/>
          <w:lang w:val="en-US" w:eastAsia="zh-CN"/>
        </w:rPr>
        <w:t>23</w:t>
      </w:r>
      <w:r w:rsidRPr="006170DA">
        <w:rPr>
          <w:rFonts w:eastAsia="宋体" w:cs="宋体"/>
          <w:szCs w:val="24"/>
          <w:lang w:val="en-US" w:eastAsia="zh-CN"/>
        </w:rPr>
        <w:t>: H10-H17 [PMID: 21433095 DOI: 10.1002/adma.201100254]</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2 </w:t>
      </w:r>
      <w:r w:rsidRPr="006170DA">
        <w:rPr>
          <w:rFonts w:eastAsia="宋体" w:cs="宋体"/>
          <w:b/>
          <w:bCs/>
          <w:szCs w:val="24"/>
          <w:lang w:val="en-US" w:eastAsia="zh-CN"/>
        </w:rPr>
        <w:t>Hopley EL</w:t>
      </w:r>
      <w:r w:rsidRPr="006170DA">
        <w:rPr>
          <w:rFonts w:eastAsia="宋体" w:cs="宋体"/>
          <w:szCs w:val="24"/>
          <w:lang w:val="en-US" w:eastAsia="zh-CN"/>
        </w:rPr>
        <w:t>, Salmasi S, Kalaskar DM, Seifalian AM. Carbon nanotubes leading the way forward in new generation 3D tissue engineering. </w:t>
      </w:r>
      <w:r w:rsidRPr="006170DA">
        <w:rPr>
          <w:rFonts w:eastAsia="宋体" w:cs="宋体"/>
          <w:i/>
          <w:iCs/>
          <w:szCs w:val="24"/>
          <w:lang w:val="en-US" w:eastAsia="zh-CN"/>
        </w:rPr>
        <w:t>Biotechnol Adv</w:t>
      </w:r>
      <w:r w:rsidRPr="006170DA">
        <w:rPr>
          <w:rFonts w:eastAsia="宋体" w:cs="宋体"/>
          <w:szCs w:val="24"/>
          <w:lang w:val="en-US" w:eastAsia="zh-CN"/>
        </w:rPr>
        <w:t> </w:t>
      </w:r>
      <w:r w:rsidR="00462403">
        <w:rPr>
          <w:rFonts w:eastAsia="宋体" w:cs="宋体" w:hint="eastAsia"/>
          <w:szCs w:val="24"/>
          <w:lang w:val="en-US" w:eastAsia="zh-CN"/>
        </w:rPr>
        <w:t>2014</w:t>
      </w:r>
      <w:r w:rsidRPr="006170DA">
        <w:rPr>
          <w:rFonts w:eastAsia="宋体" w:cs="宋体"/>
          <w:szCs w:val="24"/>
          <w:lang w:val="en-US" w:eastAsia="zh-CN"/>
        </w:rPr>
        <w:t>; </w:t>
      </w:r>
      <w:r w:rsidRPr="006170DA">
        <w:rPr>
          <w:rFonts w:eastAsia="宋体" w:cs="宋体"/>
          <w:b/>
          <w:bCs/>
          <w:szCs w:val="24"/>
          <w:lang w:val="en-US" w:eastAsia="zh-CN"/>
        </w:rPr>
        <w:t>32</w:t>
      </w:r>
      <w:r w:rsidRPr="006170DA">
        <w:rPr>
          <w:rFonts w:eastAsia="宋体" w:cs="宋体"/>
          <w:szCs w:val="24"/>
          <w:lang w:val="en-US" w:eastAsia="zh-CN"/>
        </w:rPr>
        <w:t>: 1000-1014 [PMID: 24858314 DOI: 10.1016/j.biotechadv]</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3 </w:t>
      </w:r>
      <w:r w:rsidRPr="006170DA">
        <w:rPr>
          <w:rFonts w:eastAsia="宋体" w:cs="宋体"/>
          <w:b/>
          <w:bCs/>
          <w:szCs w:val="24"/>
          <w:lang w:val="en-US" w:eastAsia="zh-CN"/>
        </w:rPr>
        <w:t>Kim HN</w:t>
      </w:r>
      <w:r w:rsidRPr="006170DA">
        <w:rPr>
          <w:rFonts w:eastAsia="宋体" w:cs="宋体"/>
          <w:szCs w:val="24"/>
          <w:lang w:val="en-US" w:eastAsia="zh-CN"/>
        </w:rPr>
        <w:t>, Jiao A, Hwang NS, Kim MS, Kang do H, Kim DH, Suh KY. Nanotopography-guided tissue engineering and regenerative medicine. </w:t>
      </w:r>
      <w:r w:rsidRPr="006170DA">
        <w:rPr>
          <w:rFonts w:eastAsia="宋体" w:cs="宋体"/>
          <w:i/>
          <w:iCs/>
          <w:szCs w:val="24"/>
          <w:lang w:val="en-US" w:eastAsia="zh-CN"/>
        </w:rPr>
        <w:t>Adv Drug Deliv Rev</w:t>
      </w:r>
      <w:r w:rsidRPr="006170DA">
        <w:rPr>
          <w:rFonts w:eastAsia="宋体" w:cs="宋体"/>
          <w:szCs w:val="24"/>
          <w:lang w:val="en-US" w:eastAsia="zh-CN"/>
        </w:rPr>
        <w:t> 2013; </w:t>
      </w:r>
      <w:r w:rsidRPr="006170DA">
        <w:rPr>
          <w:rFonts w:eastAsia="宋体" w:cs="宋体"/>
          <w:b/>
          <w:bCs/>
          <w:szCs w:val="24"/>
          <w:lang w:val="en-US" w:eastAsia="zh-CN"/>
        </w:rPr>
        <w:t>65</w:t>
      </w:r>
      <w:r w:rsidRPr="006170DA">
        <w:rPr>
          <w:rFonts w:eastAsia="宋体" w:cs="宋体"/>
          <w:szCs w:val="24"/>
          <w:lang w:val="en-US" w:eastAsia="zh-CN"/>
        </w:rPr>
        <w:t>: 536-558 [PMID: 22921841 DOI: 10.1016/j.addr.2012.07.014]</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4 </w:t>
      </w:r>
      <w:r w:rsidRPr="006170DA">
        <w:rPr>
          <w:rFonts w:eastAsia="宋体" w:cs="宋体"/>
          <w:b/>
          <w:bCs/>
          <w:szCs w:val="24"/>
          <w:lang w:val="en-US" w:eastAsia="zh-CN"/>
        </w:rPr>
        <w:t>Oryan A</w:t>
      </w:r>
      <w:r w:rsidRPr="006170DA">
        <w:rPr>
          <w:rFonts w:eastAsia="宋体" w:cs="宋体"/>
          <w:szCs w:val="24"/>
          <w:lang w:val="en-US" w:eastAsia="zh-CN"/>
        </w:rPr>
        <w:t>, Alidadi S, Moshiri A, Maffulli N. Bone regenerative medicine: classic options, novel strategies, and future directions. </w:t>
      </w:r>
      <w:r w:rsidRPr="006170DA">
        <w:rPr>
          <w:rFonts w:eastAsia="宋体" w:cs="宋体"/>
          <w:i/>
          <w:iCs/>
          <w:szCs w:val="24"/>
          <w:lang w:val="en-US" w:eastAsia="zh-CN"/>
        </w:rPr>
        <w:t>J Orthop Surg Res</w:t>
      </w:r>
      <w:r w:rsidRPr="006170DA">
        <w:rPr>
          <w:rFonts w:eastAsia="宋体" w:cs="宋体"/>
          <w:szCs w:val="24"/>
          <w:lang w:val="en-US" w:eastAsia="zh-CN"/>
        </w:rPr>
        <w:t> 2014; </w:t>
      </w:r>
      <w:r w:rsidRPr="006170DA">
        <w:rPr>
          <w:rFonts w:eastAsia="宋体" w:cs="宋体"/>
          <w:b/>
          <w:bCs/>
          <w:szCs w:val="24"/>
          <w:lang w:val="en-US" w:eastAsia="zh-CN"/>
        </w:rPr>
        <w:t>9</w:t>
      </w:r>
      <w:r w:rsidRPr="006170DA">
        <w:rPr>
          <w:rFonts w:eastAsia="宋体" w:cs="宋体"/>
          <w:szCs w:val="24"/>
          <w:lang w:val="en-US" w:eastAsia="zh-CN"/>
        </w:rPr>
        <w:t>: 18 [PMID: 246289</w:t>
      </w:r>
      <w:r>
        <w:rPr>
          <w:rFonts w:eastAsia="宋体" w:cs="宋体"/>
          <w:szCs w:val="24"/>
          <w:lang w:val="en-US" w:eastAsia="zh-CN"/>
        </w:rPr>
        <w:t>10 DOI: 10.1186/1749-799X9-18]</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5 </w:t>
      </w:r>
      <w:r w:rsidRPr="006170DA">
        <w:rPr>
          <w:rFonts w:eastAsia="宋体" w:cs="宋体"/>
          <w:b/>
          <w:bCs/>
          <w:szCs w:val="24"/>
          <w:lang w:val="en-US" w:eastAsia="zh-CN"/>
        </w:rPr>
        <w:t>Catalano E</w:t>
      </w:r>
      <w:r w:rsidRPr="006170DA">
        <w:rPr>
          <w:rFonts w:eastAsia="宋体" w:cs="宋体"/>
          <w:szCs w:val="24"/>
          <w:lang w:val="en-US" w:eastAsia="zh-CN"/>
        </w:rPr>
        <w:t>, Cochis A, Varoni E, Rimondini L, Azzimonti B. Tissue-engineered skin substitutes: an overview. </w:t>
      </w:r>
      <w:r w:rsidRPr="006170DA">
        <w:rPr>
          <w:rFonts w:eastAsia="宋体" w:cs="宋体"/>
          <w:i/>
          <w:iCs/>
          <w:szCs w:val="24"/>
          <w:lang w:val="en-US" w:eastAsia="zh-CN"/>
        </w:rPr>
        <w:t>J Artif Organs</w:t>
      </w:r>
      <w:r w:rsidRPr="006170DA">
        <w:rPr>
          <w:rFonts w:eastAsia="宋体" w:cs="宋体"/>
          <w:szCs w:val="24"/>
          <w:lang w:val="en-US" w:eastAsia="zh-CN"/>
        </w:rPr>
        <w:t> 2013; </w:t>
      </w:r>
      <w:r w:rsidRPr="006170DA">
        <w:rPr>
          <w:rFonts w:eastAsia="宋体" w:cs="宋体"/>
          <w:b/>
          <w:bCs/>
          <w:szCs w:val="24"/>
          <w:lang w:val="en-US" w:eastAsia="zh-CN"/>
        </w:rPr>
        <w:t>16</w:t>
      </w:r>
      <w:r w:rsidRPr="006170DA">
        <w:rPr>
          <w:rFonts w:eastAsia="宋体" w:cs="宋体"/>
          <w:szCs w:val="24"/>
          <w:lang w:val="en-US" w:eastAsia="zh-CN"/>
        </w:rPr>
        <w:t>: 397-403 [PMID: 24096542 D</w:t>
      </w:r>
      <w:r>
        <w:rPr>
          <w:rFonts w:eastAsia="宋体" w:cs="宋体"/>
          <w:szCs w:val="24"/>
          <w:lang w:val="en-US" w:eastAsia="zh-CN"/>
        </w:rPr>
        <w:t>OI: 10.1007/s10047-013-0734-0]</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6 </w:t>
      </w:r>
      <w:r w:rsidRPr="006170DA">
        <w:rPr>
          <w:rFonts w:eastAsia="宋体" w:cs="宋体"/>
          <w:b/>
          <w:bCs/>
          <w:szCs w:val="24"/>
          <w:lang w:val="en-US" w:eastAsia="zh-CN"/>
        </w:rPr>
        <w:t>Li YS</w:t>
      </w:r>
      <w:r w:rsidRPr="006170DA">
        <w:rPr>
          <w:rFonts w:eastAsia="宋体" w:cs="宋体"/>
          <w:szCs w:val="24"/>
          <w:lang w:val="en-US" w:eastAsia="zh-CN"/>
        </w:rPr>
        <w:t>, Harn HJ, Hsieh DK, Wen TC, Subeq YM, Sun LY, Lin SZ, Chiou TW. Cells and materials for liver tissue engineering. </w:t>
      </w:r>
      <w:r w:rsidRPr="006170DA">
        <w:rPr>
          <w:rFonts w:eastAsia="宋体" w:cs="宋体"/>
          <w:i/>
          <w:iCs/>
          <w:szCs w:val="24"/>
          <w:lang w:val="en-US" w:eastAsia="zh-CN"/>
        </w:rPr>
        <w:t>Cell Transplant</w:t>
      </w:r>
      <w:r w:rsidRPr="006170DA">
        <w:rPr>
          <w:rFonts w:eastAsia="宋体" w:cs="宋体"/>
          <w:szCs w:val="24"/>
          <w:lang w:val="en-US" w:eastAsia="zh-CN"/>
        </w:rPr>
        <w:t> 2013; </w:t>
      </w:r>
      <w:r w:rsidRPr="006170DA">
        <w:rPr>
          <w:rFonts w:eastAsia="宋体" w:cs="宋体"/>
          <w:b/>
          <w:bCs/>
          <w:szCs w:val="24"/>
          <w:lang w:val="en-US" w:eastAsia="zh-CN"/>
        </w:rPr>
        <w:t>22</w:t>
      </w:r>
      <w:r w:rsidRPr="006170DA">
        <w:rPr>
          <w:rFonts w:eastAsia="宋体" w:cs="宋体"/>
          <w:szCs w:val="24"/>
          <w:lang w:val="en-US" w:eastAsia="zh-CN"/>
        </w:rPr>
        <w:t xml:space="preserve">: 685-700 [PMID: 23127824 </w:t>
      </w:r>
      <w:r>
        <w:rPr>
          <w:rFonts w:eastAsia="宋体" w:cs="宋体"/>
          <w:szCs w:val="24"/>
          <w:lang w:val="en-US" w:eastAsia="zh-CN"/>
        </w:rPr>
        <w:t>DOI: 10.3727/096368912X655163]</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7 </w:t>
      </w:r>
      <w:r w:rsidRPr="006170DA">
        <w:rPr>
          <w:rFonts w:eastAsia="宋体" w:cs="宋体"/>
          <w:b/>
          <w:bCs/>
          <w:szCs w:val="24"/>
          <w:lang w:val="en-US" w:eastAsia="zh-CN"/>
        </w:rPr>
        <w:t>Martovetsky G</w:t>
      </w:r>
      <w:r w:rsidRPr="006170DA">
        <w:rPr>
          <w:rFonts w:eastAsia="宋体" w:cs="宋体"/>
          <w:szCs w:val="24"/>
          <w:lang w:val="en-US" w:eastAsia="zh-CN"/>
        </w:rPr>
        <w:t>, Nigam SK. Cellular and developmental strategies aimed at kidney tissue engineering. </w:t>
      </w:r>
      <w:r w:rsidRPr="006170DA">
        <w:rPr>
          <w:rFonts w:eastAsia="宋体" w:cs="宋体"/>
          <w:i/>
          <w:iCs/>
          <w:szCs w:val="24"/>
          <w:lang w:val="en-US" w:eastAsia="zh-CN"/>
        </w:rPr>
        <w:t>Nephron Exp Nephrol</w:t>
      </w:r>
      <w:r w:rsidRPr="006170DA">
        <w:rPr>
          <w:rFonts w:eastAsia="宋体" w:cs="宋体"/>
          <w:szCs w:val="24"/>
          <w:lang w:val="en-US" w:eastAsia="zh-CN"/>
        </w:rPr>
        <w:t> 2014; </w:t>
      </w:r>
      <w:r w:rsidRPr="006170DA">
        <w:rPr>
          <w:rFonts w:eastAsia="宋体" w:cs="宋体"/>
          <w:b/>
          <w:bCs/>
          <w:szCs w:val="24"/>
          <w:lang w:val="en-US" w:eastAsia="zh-CN"/>
        </w:rPr>
        <w:t>126</w:t>
      </w:r>
      <w:r w:rsidRPr="006170DA">
        <w:rPr>
          <w:rFonts w:eastAsia="宋体" w:cs="宋体"/>
          <w:szCs w:val="24"/>
          <w:lang w:val="en-US" w:eastAsia="zh-CN"/>
        </w:rPr>
        <w:t>: 101 [PMID: 24</w:t>
      </w:r>
      <w:r>
        <w:rPr>
          <w:rFonts w:eastAsia="宋体" w:cs="宋体"/>
          <w:szCs w:val="24"/>
          <w:lang w:val="en-US" w:eastAsia="zh-CN"/>
        </w:rPr>
        <w:t>854650 DOI: 10.1159/000360680]</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8 </w:t>
      </w:r>
      <w:r w:rsidRPr="006170DA">
        <w:rPr>
          <w:rFonts w:eastAsia="宋体" w:cs="宋体"/>
          <w:b/>
          <w:bCs/>
          <w:szCs w:val="24"/>
          <w:lang w:val="en-US" w:eastAsia="zh-CN"/>
        </w:rPr>
        <w:t>Nayyer L</w:t>
      </w:r>
      <w:r w:rsidRPr="006170DA">
        <w:rPr>
          <w:rFonts w:eastAsia="宋体" w:cs="宋体"/>
          <w:szCs w:val="24"/>
          <w:lang w:val="en-US" w:eastAsia="zh-CN"/>
        </w:rPr>
        <w:t>, Birchall M, Seifalian AM, Jell G. Design and development of nanocomposite scaffolds for auricular reconstruction. </w:t>
      </w:r>
      <w:r w:rsidRPr="006170DA">
        <w:rPr>
          <w:rFonts w:eastAsia="宋体" w:cs="宋体"/>
          <w:i/>
          <w:iCs/>
          <w:szCs w:val="24"/>
          <w:lang w:val="en-US" w:eastAsia="zh-CN"/>
        </w:rPr>
        <w:t>Nanomedicine</w:t>
      </w:r>
      <w:r w:rsidRPr="006170DA">
        <w:rPr>
          <w:rFonts w:eastAsia="宋体" w:cs="宋体"/>
          <w:szCs w:val="24"/>
          <w:lang w:val="en-US" w:eastAsia="zh-CN"/>
        </w:rPr>
        <w:t> 2014; </w:t>
      </w:r>
      <w:r w:rsidRPr="006170DA">
        <w:rPr>
          <w:rFonts w:eastAsia="宋体" w:cs="宋体"/>
          <w:b/>
          <w:bCs/>
          <w:szCs w:val="24"/>
          <w:lang w:val="en-US" w:eastAsia="zh-CN"/>
        </w:rPr>
        <w:t>10</w:t>
      </w:r>
      <w:r w:rsidRPr="006170DA">
        <w:rPr>
          <w:rFonts w:eastAsia="宋体" w:cs="宋体"/>
          <w:szCs w:val="24"/>
          <w:lang w:val="en-US" w:eastAsia="zh-CN"/>
        </w:rPr>
        <w:t>: 235-246 [PMID: 23792331 DOI: 10.1016/j.nano.2013.06.006]</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9 </w:t>
      </w:r>
      <w:r w:rsidRPr="006170DA">
        <w:rPr>
          <w:rFonts w:eastAsia="宋体" w:cs="宋体"/>
          <w:b/>
          <w:bCs/>
          <w:szCs w:val="24"/>
          <w:lang w:val="en-US" w:eastAsia="zh-CN"/>
        </w:rPr>
        <w:t>Zhao M</w:t>
      </w:r>
      <w:r w:rsidRPr="006170DA">
        <w:rPr>
          <w:rFonts w:eastAsia="宋体" w:cs="宋体"/>
          <w:szCs w:val="24"/>
          <w:lang w:val="en-US" w:eastAsia="zh-CN"/>
        </w:rPr>
        <w:t>, Song B, Pu J, Wada T, Reid B, Tai G, Wang F, Guo A, Walczysko P, Gu Y, Sasaki T, Suzuki A, Forrester JV, Bourne HR, Devreotes PN, McCaig CD, Penninger JM. Electrical signals control wound healing through phosphatidylinositol-3-OH kinase-gamma and PTEN. </w:t>
      </w:r>
      <w:r w:rsidRPr="006170DA">
        <w:rPr>
          <w:rFonts w:eastAsia="宋体" w:cs="宋体"/>
          <w:i/>
          <w:iCs/>
          <w:szCs w:val="24"/>
          <w:lang w:val="en-US" w:eastAsia="zh-CN"/>
        </w:rPr>
        <w:t>Nature</w:t>
      </w:r>
      <w:r w:rsidRPr="006170DA">
        <w:rPr>
          <w:rFonts w:eastAsia="宋体" w:cs="宋体"/>
          <w:szCs w:val="24"/>
          <w:lang w:val="en-US" w:eastAsia="zh-CN"/>
        </w:rPr>
        <w:t> 2006; </w:t>
      </w:r>
      <w:r w:rsidRPr="006170DA">
        <w:rPr>
          <w:rFonts w:eastAsia="宋体" w:cs="宋体"/>
          <w:b/>
          <w:bCs/>
          <w:szCs w:val="24"/>
          <w:lang w:val="en-US" w:eastAsia="zh-CN"/>
        </w:rPr>
        <w:t>442</w:t>
      </w:r>
      <w:r w:rsidRPr="006170DA">
        <w:rPr>
          <w:rFonts w:eastAsia="宋体" w:cs="宋体"/>
          <w:szCs w:val="24"/>
          <w:lang w:val="en-US" w:eastAsia="zh-CN"/>
        </w:rPr>
        <w:t>: 457-460 [PMID: 16871217 DOI: 10.1038/nature04925]</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10 </w:t>
      </w:r>
      <w:r w:rsidRPr="006170DA">
        <w:rPr>
          <w:rFonts w:eastAsia="宋体" w:cs="宋体"/>
          <w:b/>
          <w:bCs/>
          <w:szCs w:val="24"/>
          <w:lang w:val="en-US" w:eastAsia="zh-CN"/>
        </w:rPr>
        <w:t>Petrie RJ</w:t>
      </w:r>
      <w:r w:rsidRPr="006170DA">
        <w:rPr>
          <w:rFonts w:eastAsia="宋体" w:cs="宋体"/>
          <w:szCs w:val="24"/>
          <w:lang w:val="en-US" w:eastAsia="zh-CN"/>
        </w:rPr>
        <w:t>, Doyle AD, Yamada KM. Random versus directionally persistent cell migration. </w:t>
      </w:r>
      <w:r w:rsidRPr="006170DA">
        <w:rPr>
          <w:rFonts w:eastAsia="宋体" w:cs="宋体"/>
          <w:i/>
          <w:iCs/>
          <w:szCs w:val="24"/>
          <w:lang w:val="en-US" w:eastAsia="zh-CN"/>
        </w:rPr>
        <w:t>Nat Rev Mol Cell Biol</w:t>
      </w:r>
      <w:r w:rsidRPr="006170DA">
        <w:rPr>
          <w:rFonts w:eastAsia="宋体" w:cs="宋体"/>
          <w:szCs w:val="24"/>
          <w:lang w:val="en-US" w:eastAsia="zh-CN"/>
        </w:rPr>
        <w:t> 2009; </w:t>
      </w:r>
      <w:r w:rsidRPr="006170DA">
        <w:rPr>
          <w:rFonts w:eastAsia="宋体" w:cs="宋体"/>
          <w:b/>
          <w:bCs/>
          <w:szCs w:val="24"/>
          <w:lang w:val="en-US" w:eastAsia="zh-CN"/>
        </w:rPr>
        <w:t>10</w:t>
      </w:r>
      <w:r w:rsidRPr="006170DA">
        <w:rPr>
          <w:rFonts w:eastAsia="宋体" w:cs="宋体"/>
          <w:szCs w:val="24"/>
          <w:lang w:val="en-US" w:eastAsia="zh-CN"/>
        </w:rPr>
        <w:t>: 538-549 [PMID: 19603038 DOI: 10.1038/nrm2729]</w:t>
      </w:r>
    </w:p>
    <w:p w:rsidR="006170DA" w:rsidRPr="006170DA" w:rsidRDefault="00462403" w:rsidP="006170DA">
      <w:pPr>
        <w:spacing w:after="0" w:line="360" w:lineRule="auto"/>
        <w:ind w:left="0" w:firstLine="0"/>
        <w:rPr>
          <w:rFonts w:eastAsia="宋体" w:cs="宋体"/>
          <w:szCs w:val="24"/>
          <w:lang w:val="en-US" w:eastAsia="zh-CN"/>
        </w:rPr>
      </w:pPr>
      <w:r>
        <w:rPr>
          <w:rFonts w:eastAsia="宋体" w:cs="宋体"/>
          <w:szCs w:val="24"/>
          <w:lang w:val="en-US" w:eastAsia="zh-CN"/>
        </w:rPr>
        <w:t xml:space="preserve">11 </w:t>
      </w:r>
      <w:r w:rsidR="006170DA" w:rsidRPr="00462403">
        <w:rPr>
          <w:rFonts w:eastAsia="宋体" w:cs="宋体"/>
          <w:b/>
          <w:szCs w:val="24"/>
          <w:lang w:val="en-US" w:eastAsia="zh-CN"/>
        </w:rPr>
        <w:t>Stylianou A</w:t>
      </w:r>
      <w:r w:rsidR="006170DA" w:rsidRPr="006170DA">
        <w:rPr>
          <w:rFonts w:eastAsia="宋体" w:cs="宋体"/>
          <w:szCs w:val="24"/>
          <w:lang w:val="en-US" w:eastAsia="zh-CN"/>
        </w:rPr>
        <w:t>, Yova D, and Alexandratou E. Nanotopography of collagen thin films in correlation with fibroblast response.</w:t>
      </w:r>
      <w:r w:rsidR="006170DA" w:rsidRPr="00462403">
        <w:rPr>
          <w:rFonts w:eastAsia="宋体" w:cs="宋体"/>
          <w:i/>
          <w:szCs w:val="24"/>
          <w:lang w:val="en-US" w:eastAsia="zh-CN"/>
        </w:rPr>
        <w:t xml:space="preserve"> J of Nanophotonics</w:t>
      </w:r>
      <w:r w:rsidR="006170DA" w:rsidRPr="006170DA">
        <w:rPr>
          <w:rFonts w:eastAsia="宋体" w:cs="宋体"/>
          <w:szCs w:val="24"/>
          <w:lang w:val="en-US" w:eastAsia="zh-CN"/>
        </w:rPr>
        <w:t xml:space="preserve"> 2013; </w:t>
      </w:r>
      <w:r w:rsidR="006170DA" w:rsidRPr="00462403">
        <w:rPr>
          <w:rFonts w:eastAsia="宋体" w:cs="宋体"/>
          <w:b/>
          <w:szCs w:val="24"/>
          <w:lang w:val="en-US" w:eastAsia="zh-CN"/>
        </w:rPr>
        <w:t>7:</w:t>
      </w:r>
      <w:r w:rsidR="006170DA" w:rsidRPr="006170DA">
        <w:rPr>
          <w:rFonts w:eastAsia="宋体" w:cs="宋体"/>
          <w:szCs w:val="24"/>
          <w:lang w:val="en-US" w:eastAsia="zh-CN"/>
        </w:rPr>
        <w:t xml:space="preserve"> 07359</w:t>
      </w:r>
      <w:r>
        <w:rPr>
          <w:rFonts w:eastAsia="宋体" w:cs="宋体"/>
          <w:szCs w:val="24"/>
          <w:lang w:val="en-US" w:eastAsia="zh-CN"/>
        </w:rPr>
        <w:t>0 [DOI: 10.1117/1.JNP.7.073590]</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12 </w:t>
      </w:r>
      <w:r w:rsidRPr="006170DA">
        <w:rPr>
          <w:rFonts w:eastAsia="宋体" w:cs="宋体"/>
          <w:b/>
          <w:bCs/>
          <w:szCs w:val="24"/>
          <w:lang w:val="en-US" w:eastAsia="zh-CN"/>
        </w:rPr>
        <w:t>Tay CY</w:t>
      </w:r>
      <w:r w:rsidRPr="006170DA">
        <w:rPr>
          <w:rFonts w:eastAsia="宋体" w:cs="宋体"/>
          <w:szCs w:val="24"/>
          <w:lang w:val="en-US" w:eastAsia="zh-CN"/>
        </w:rPr>
        <w:t>, Irvine SA, Boey FY, Tan LP, Venkatraman S. Micro-/nano-engineered cellular responses for soft tissue engineering and biomedical applications. </w:t>
      </w:r>
      <w:r w:rsidRPr="006170DA">
        <w:rPr>
          <w:rFonts w:eastAsia="宋体" w:cs="宋体"/>
          <w:i/>
          <w:iCs/>
          <w:szCs w:val="24"/>
          <w:lang w:val="en-US" w:eastAsia="zh-CN"/>
        </w:rPr>
        <w:t>Small</w:t>
      </w:r>
      <w:r w:rsidRPr="006170DA">
        <w:rPr>
          <w:rFonts w:eastAsia="宋体" w:cs="宋体"/>
          <w:szCs w:val="24"/>
          <w:lang w:val="en-US" w:eastAsia="zh-CN"/>
        </w:rPr>
        <w:t> 2011; </w:t>
      </w:r>
      <w:r w:rsidRPr="006170DA">
        <w:rPr>
          <w:rFonts w:eastAsia="宋体" w:cs="宋体"/>
          <w:b/>
          <w:bCs/>
          <w:szCs w:val="24"/>
          <w:lang w:val="en-US" w:eastAsia="zh-CN"/>
        </w:rPr>
        <w:t>7</w:t>
      </w:r>
      <w:r w:rsidRPr="006170DA">
        <w:rPr>
          <w:rFonts w:eastAsia="宋体" w:cs="宋体"/>
          <w:szCs w:val="24"/>
          <w:lang w:val="en-US" w:eastAsia="zh-CN"/>
        </w:rPr>
        <w:t>: 1361-1378 [PMID: 21538867 DOI: 10.1002/smll.201100046]</w:t>
      </w:r>
    </w:p>
    <w:p w:rsidR="006170DA" w:rsidRPr="006170DA" w:rsidRDefault="00462403" w:rsidP="006170DA">
      <w:pPr>
        <w:spacing w:after="0" w:line="360" w:lineRule="auto"/>
        <w:ind w:left="0" w:firstLine="0"/>
        <w:rPr>
          <w:rFonts w:eastAsia="宋体" w:cs="宋体"/>
          <w:szCs w:val="24"/>
          <w:lang w:val="en-US" w:eastAsia="zh-CN"/>
        </w:rPr>
      </w:pPr>
      <w:r>
        <w:rPr>
          <w:rFonts w:eastAsia="宋体" w:cs="宋体"/>
          <w:szCs w:val="24"/>
          <w:lang w:val="en-US" w:eastAsia="zh-CN"/>
        </w:rPr>
        <w:t xml:space="preserve">13 </w:t>
      </w:r>
      <w:r w:rsidR="006170DA" w:rsidRPr="00462403">
        <w:rPr>
          <w:rFonts w:eastAsia="宋体" w:cs="宋体"/>
          <w:b/>
          <w:szCs w:val="24"/>
          <w:lang w:val="en-US" w:eastAsia="zh-CN"/>
        </w:rPr>
        <w:t>Phong HQ</w:t>
      </w:r>
      <w:r w:rsidR="006170DA" w:rsidRPr="006170DA">
        <w:rPr>
          <w:rFonts w:eastAsia="宋体" w:cs="宋体"/>
          <w:szCs w:val="24"/>
          <w:lang w:val="en-US" w:eastAsia="zh-CN"/>
        </w:rPr>
        <w:t xml:space="preserve">, Wang SL, Wang MJ. Cell behaviors on micro-patterned porous thin films. </w:t>
      </w:r>
      <w:r>
        <w:rPr>
          <w:rFonts w:eastAsia="宋体" w:cs="宋体"/>
          <w:i/>
          <w:szCs w:val="24"/>
          <w:lang w:val="en-US" w:eastAsia="zh-CN"/>
        </w:rPr>
        <w:t>Mat Sci</w:t>
      </w:r>
      <w:r w:rsidR="006170DA" w:rsidRPr="00462403">
        <w:rPr>
          <w:rFonts w:eastAsia="宋体" w:cs="宋体"/>
          <w:i/>
          <w:szCs w:val="24"/>
          <w:lang w:val="en-US" w:eastAsia="zh-CN"/>
        </w:rPr>
        <w:t xml:space="preserve"> Eng</w:t>
      </w:r>
      <w:r w:rsidR="006170DA" w:rsidRPr="006170DA">
        <w:rPr>
          <w:rFonts w:eastAsia="宋体" w:cs="宋体"/>
          <w:szCs w:val="24"/>
          <w:lang w:val="en-US" w:eastAsia="zh-CN"/>
        </w:rPr>
        <w:t xml:space="preserve">: B 2010; </w:t>
      </w:r>
      <w:r w:rsidR="006170DA" w:rsidRPr="00462403">
        <w:rPr>
          <w:rFonts w:eastAsia="宋体" w:cs="宋体"/>
          <w:b/>
          <w:szCs w:val="24"/>
          <w:lang w:val="en-US" w:eastAsia="zh-CN"/>
        </w:rPr>
        <w:t>169:</w:t>
      </w:r>
      <w:r w:rsidR="006170DA" w:rsidRPr="006170DA">
        <w:rPr>
          <w:rFonts w:eastAsia="宋体" w:cs="宋体"/>
          <w:szCs w:val="24"/>
          <w:lang w:val="en-US" w:eastAsia="zh-CN"/>
        </w:rPr>
        <w:t xml:space="preserve"> 94-100 [D</w:t>
      </w:r>
      <w:r>
        <w:rPr>
          <w:rFonts w:eastAsia="宋体" w:cs="宋体"/>
          <w:szCs w:val="24"/>
          <w:lang w:val="en-US" w:eastAsia="zh-CN"/>
        </w:rPr>
        <w:t>OI: 10.1016/j.mseb.2010.01.009]</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14 </w:t>
      </w:r>
      <w:r w:rsidRPr="006170DA">
        <w:rPr>
          <w:rFonts w:eastAsia="宋体" w:cs="宋体"/>
          <w:b/>
          <w:bCs/>
          <w:szCs w:val="24"/>
          <w:lang w:val="en-US" w:eastAsia="zh-CN"/>
        </w:rPr>
        <w:t>Kim J</w:t>
      </w:r>
      <w:r w:rsidRPr="006170DA">
        <w:rPr>
          <w:rFonts w:eastAsia="宋体" w:cs="宋体"/>
          <w:szCs w:val="24"/>
          <w:lang w:val="en-US" w:eastAsia="zh-CN"/>
        </w:rPr>
        <w:t>, Kim HN, Lim KT, Kim Y, Pandey S, Garg P, Choung YH, Choung PH, Suh KY, Chung JH. Synergistic effects of nanotopography and co-culture with endothelial cells on osteogenesis of mesenchymal stem cells. </w:t>
      </w:r>
      <w:r w:rsidRPr="006170DA">
        <w:rPr>
          <w:rFonts w:eastAsia="宋体" w:cs="宋体"/>
          <w:i/>
          <w:iCs/>
          <w:szCs w:val="24"/>
          <w:lang w:val="en-US" w:eastAsia="zh-CN"/>
        </w:rPr>
        <w:t>Biomaterials</w:t>
      </w:r>
      <w:r w:rsidRPr="006170DA">
        <w:rPr>
          <w:rFonts w:eastAsia="宋体" w:cs="宋体"/>
          <w:szCs w:val="24"/>
          <w:lang w:val="en-US" w:eastAsia="zh-CN"/>
        </w:rPr>
        <w:t> 2013; </w:t>
      </w:r>
      <w:r w:rsidRPr="006170DA">
        <w:rPr>
          <w:rFonts w:eastAsia="宋体" w:cs="宋体"/>
          <w:b/>
          <w:bCs/>
          <w:szCs w:val="24"/>
          <w:lang w:val="en-US" w:eastAsia="zh-CN"/>
        </w:rPr>
        <w:t>34</w:t>
      </w:r>
      <w:r w:rsidRPr="006170DA">
        <w:rPr>
          <w:rFonts w:eastAsia="宋体" w:cs="宋体"/>
          <w:szCs w:val="24"/>
          <w:lang w:val="en-US" w:eastAsia="zh-CN"/>
        </w:rPr>
        <w:t>: 7257-7268 [PMID: 23834896 DOI: 10.1016/j.biomaterials.2013.06.029]</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15 </w:t>
      </w:r>
      <w:r w:rsidRPr="006170DA">
        <w:rPr>
          <w:rFonts w:eastAsia="宋体" w:cs="宋体"/>
          <w:b/>
          <w:bCs/>
          <w:szCs w:val="24"/>
          <w:lang w:val="en-US" w:eastAsia="zh-CN"/>
        </w:rPr>
        <w:t>Shapira A</w:t>
      </w:r>
      <w:r w:rsidRPr="006170DA">
        <w:rPr>
          <w:rFonts w:eastAsia="宋体" w:cs="宋体"/>
          <w:szCs w:val="24"/>
          <w:lang w:val="en-US" w:eastAsia="zh-CN"/>
        </w:rPr>
        <w:t>, Kim DH, Dvir T. Advanced micro- and nanofabrication technologies for tissue engineering. </w:t>
      </w:r>
      <w:r w:rsidRPr="006170DA">
        <w:rPr>
          <w:rFonts w:eastAsia="宋体" w:cs="宋体"/>
          <w:i/>
          <w:iCs/>
          <w:szCs w:val="24"/>
          <w:lang w:val="en-US" w:eastAsia="zh-CN"/>
        </w:rPr>
        <w:t>Biofabrication</w:t>
      </w:r>
      <w:r w:rsidRPr="006170DA">
        <w:rPr>
          <w:rFonts w:eastAsia="宋体" w:cs="宋体"/>
          <w:szCs w:val="24"/>
          <w:lang w:val="en-US" w:eastAsia="zh-CN"/>
        </w:rPr>
        <w:t> 2014; </w:t>
      </w:r>
      <w:r w:rsidRPr="006170DA">
        <w:rPr>
          <w:rFonts w:eastAsia="宋体" w:cs="宋体"/>
          <w:b/>
          <w:bCs/>
          <w:szCs w:val="24"/>
          <w:lang w:val="en-US" w:eastAsia="zh-CN"/>
        </w:rPr>
        <w:t>6</w:t>
      </w:r>
      <w:r w:rsidRPr="006170DA">
        <w:rPr>
          <w:rFonts w:eastAsia="宋体" w:cs="宋体"/>
          <w:szCs w:val="24"/>
          <w:lang w:val="en-US" w:eastAsia="zh-CN"/>
        </w:rPr>
        <w:t>: 020301 [PMID: 24876336 DOI: 10.1088/1758-5082/6/2/02030]</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16 </w:t>
      </w:r>
      <w:r w:rsidRPr="006170DA">
        <w:rPr>
          <w:rFonts w:eastAsia="宋体" w:cs="宋体"/>
          <w:b/>
          <w:bCs/>
          <w:szCs w:val="24"/>
          <w:lang w:val="en-US" w:eastAsia="zh-CN"/>
        </w:rPr>
        <w:t>Guvendiren M</w:t>
      </w:r>
      <w:r w:rsidRPr="006170DA">
        <w:rPr>
          <w:rFonts w:eastAsia="宋体" w:cs="宋体"/>
          <w:szCs w:val="24"/>
          <w:lang w:val="en-US" w:eastAsia="zh-CN"/>
        </w:rPr>
        <w:t>, Burdick JA. The control of stem cell morphology and differentiation by hydrogel surface wrinkles. </w:t>
      </w:r>
      <w:r w:rsidRPr="006170DA">
        <w:rPr>
          <w:rFonts w:eastAsia="宋体" w:cs="宋体"/>
          <w:i/>
          <w:iCs/>
          <w:szCs w:val="24"/>
          <w:lang w:val="en-US" w:eastAsia="zh-CN"/>
        </w:rPr>
        <w:t>Biomaterials</w:t>
      </w:r>
      <w:r w:rsidRPr="006170DA">
        <w:rPr>
          <w:rFonts w:eastAsia="宋体" w:cs="宋体"/>
          <w:szCs w:val="24"/>
          <w:lang w:val="en-US" w:eastAsia="zh-CN"/>
        </w:rPr>
        <w:t> 2010; </w:t>
      </w:r>
      <w:r w:rsidRPr="006170DA">
        <w:rPr>
          <w:rFonts w:eastAsia="宋体" w:cs="宋体"/>
          <w:b/>
          <w:bCs/>
          <w:szCs w:val="24"/>
          <w:lang w:val="en-US" w:eastAsia="zh-CN"/>
        </w:rPr>
        <w:t>31</w:t>
      </w:r>
      <w:r w:rsidRPr="006170DA">
        <w:rPr>
          <w:rFonts w:eastAsia="宋体" w:cs="宋体"/>
          <w:szCs w:val="24"/>
          <w:lang w:val="en-US" w:eastAsia="zh-CN"/>
        </w:rPr>
        <w:t>: 6511-6518 [PMID: 20541257 DOI: 10.1016/j.biomaterials.2010.05.037]</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17 </w:t>
      </w:r>
      <w:r w:rsidRPr="006170DA">
        <w:rPr>
          <w:rFonts w:eastAsia="宋体" w:cs="宋体"/>
          <w:b/>
          <w:bCs/>
          <w:szCs w:val="24"/>
          <w:lang w:val="en-US" w:eastAsia="zh-CN"/>
        </w:rPr>
        <w:t>Ayala R</w:t>
      </w:r>
      <w:r w:rsidRPr="006170DA">
        <w:rPr>
          <w:rFonts w:eastAsia="宋体" w:cs="宋体"/>
          <w:szCs w:val="24"/>
          <w:lang w:val="en-US" w:eastAsia="zh-CN"/>
        </w:rPr>
        <w:t>, Zhang C, Yang D, Hwang Y, Aung A, Shroff SS, Arce FT, Lal R, Arya G, Varghese S. Engineering the cell-material interface for controlling stem cell adhesion, migration, and differentiation. </w:t>
      </w:r>
      <w:r w:rsidRPr="006170DA">
        <w:rPr>
          <w:rFonts w:eastAsia="宋体" w:cs="宋体"/>
          <w:i/>
          <w:iCs/>
          <w:szCs w:val="24"/>
          <w:lang w:val="en-US" w:eastAsia="zh-CN"/>
        </w:rPr>
        <w:t>Biomaterials</w:t>
      </w:r>
      <w:r w:rsidRPr="006170DA">
        <w:rPr>
          <w:rFonts w:eastAsia="宋体" w:cs="宋体"/>
          <w:szCs w:val="24"/>
          <w:lang w:val="en-US" w:eastAsia="zh-CN"/>
        </w:rPr>
        <w:t> 2011; </w:t>
      </w:r>
      <w:r w:rsidRPr="006170DA">
        <w:rPr>
          <w:rFonts w:eastAsia="宋体" w:cs="宋体"/>
          <w:b/>
          <w:bCs/>
          <w:szCs w:val="24"/>
          <w:lang w:val="en-US" w:eastAsia="zh-CN"/>
        </w:rPr>
        <w:t>32</w:t>
      </w:r>
      <w:r w:rsidRPr="006170DA">
        <w:rPr>
          <w:rFonts w:eastAsia="宋体" w:cs="宋体"/>
          <w:szCs w:val="24"/>
          <w:lang w:val="en-US" w:eastAsia="zh-CN"/>
        </w:rPr>
        <w:t>: 3700-3711 [PMID: 21396708 DOI: 10.1016/j.biomaterials.2011.02.004]</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18 </w:t>
      </w:r>
      <w:r w:rsidRPr="006170DA">
        <w:rPr>
          <w:rFonts w:eastAsia="宋体" w:cs="宋体"/>
          <w:b/>
          <w:bCs/>
          <w:szCs w:val="24"/>
          <w:lang w:val="en-US" w:eastAsia="zh-CN"/>
        </w:rPr>
        <w:t>Zouani OF</w:t>
      </w:r>
      <w:r w:rsidRPr="006170DA">
        <w:rPr>
          <w:rFonts w:eastAsia="宋体" w:cs="宋体"/>
          <w:szCs w:val="24"/>
          <w:lang w:val="en-US" w:eastAsia="zh-CN"/>
        </w:rPr>
        <w:t>, Chanseau C, Brouillaud B, Bareille R, Deliane F, Foulc MP, Mehdi A, Durrieu MC. Altered nanofeature size dictates stem cell differentiation. </w:t>
      </w:r>
      <w:r w:rsidRPr="006170DA">
        <w:rPr>
          <w:rFonts w:eastAsia="宋体" w:cs="宋体"/>
          <w:i/>
          <w:iCs/>
          <w:szCs w:val="24"/>
          <w:lang w:val="en-US" w:eastAsia="zh-CN"/>
        </w:rPr>
        <w:t>J Cell Sci</w:t>
      </w:r>
      <w:r w:rsidRPr="006170DA">
        <w:rPr>
          <w:rFonts w:eastAsia="宋体" w:cs="宋体"/>
          <w:szCs w:val="24"/>
          <w:lang w:val="en-US" w:eastAsia="zh-CN"/>
        </w:rPr>
        <w:t> 2012; </w:t>
      </w:r>
      <w:r w:rsidRPr="006170DA">
        <w:rPr>
          <w:rFonts w:eastAsia="宋体" w:cs="宋体"/>
          <w:b/>
          <w:bCs/>
          <w:szCs w:val="24"/>
          <w:lang w:val="en-US" w:eastAsia="zh-CN"/>
        </w:rPr>
        <w:t>125</w:t>
      </w:r>
      <w:r w:rsidRPr="006170DA">
        <w:rPr>
          <w:rFonts w:eastAsia="宋体" w:cs="宋体"/>
          <w:szCs w:val="24"/>
          <w:lang w:val="en-US" w:eastAsia="zh-CN"/>
        </w:rPr>
        <w:t>: 1217-1224 [PMID: 22302989 DOI: 10.1242/jcs.093229]</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19 </w:t>
      </w:r>
      <w:r w:rsidRPr="006170DA">
        <w:rPr>
          <w:rFonts w:eastAsia="宋体" w:cs="宋体"/>
          <w:b/>
          <w:bCs/>
          <w:szCs w:val="24"/>
          <w:lang w:val="en-US" w:eastAsia="zh-CN"/>
        </w:rPr>
        <w:t>Das RK</w:t>
      </w:r>
      <w:r w:rsidRPr="006170DA">
        <w:rPr>
          <w:rFonts w:eastAsia="宋体" w:cs="宋体"/>
          <w:szCs w:val="24"/>
          <w:lang w:val="en-US" w:eastAsia="zh-CN"/>
        </w:rPr>
        <w:t>, Zouani OF. A review of the effects of the cell environment physicochemical nanoarchitecture on stem cell commitment. </w:t>
      </w:r>
      <w:r w:rsidRPr="006170DA">
        <w:rPr>
          <w:rFonts w:eastAsia="宋体" w:cs="宋体"/>
          <w:i/>
          <w:iCs/>
          <w:szCs w:val="24"/>
          <w:lang w:val="en-US" w:eastAsia="zh-CN"/>
        </w:rPr>
        <w:t>Biomaterials</w:t>
      </w:r>
      <w:r w:rsidRPr="006170DA">
        <w:rPr>
          <w:rFonts w:eastAsia="宋体" w:cs="宋体"/>
          <w:szCs w:val="24"/>
          <w:lang w:val="en-US" w:eastAsia="zh-CN"/>
        </w:rPr>
        <w:t> 2014; </w:t>
      </w:r>
      <w:r w:rsidRPr="006170DA">
        <w:rPr>
          <w:rFonts w:eastAsia="宋体" w:cs="宋体"/>
          <w:b/>
          <w:bCs/>
          <w:szCs w:val="24"/>
          <w:lang w:val="en-US" w:eastAsia="zh-CN"/>
        </w:rPr>
        <w:t>35</w:t>
      </w:r>
      <w:r w:rsidRPr="006170DA">
        <w:rPr>
          <w:rFonts w:eastAsia="宋体" w:cs="宋体"/>
          <w:szCs w:val="24"/>
          <w:lang w:val="en-US" w:eastAsia="zh-CN"/>
        </w:rPr>
        <w:t>: 5278-5293 [PMID: 24720880 DOI: 10.1016/j.biomaterials.2014.03.044]</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20 </w:t>
      </w:r>
      <w:r w:rsidRPr="006170DA">
        <w:rPr>
          <w:rFonts w:eastAsia="宋体" w:cs="宋体"/>
          <w:b/>
          <w:bCs/>
          <w:szCs w:val="24"/>
          <w:lang w:val="en-US" w:eastAsia="zh-CN"/>
        </w:rPr>
        <w:t>Discher DE</w:t>
      </w:r>
      <w:r w:rsidRPr="006170DA">
        <w:rPr>
          <w:rFonts w:eastAsia="宋体" w:cs="宋体"/>
          <w:szCs w:val="24"/>
          <w:lang w:val="en-US" w:eastAsia="zh-CN"/>
        </w:rPr>
        <w:t>, Janmey P, Wang YL. Tissue cells feel and respond to the stiffness of their substrate. </w:t>
      </w:r>
      <w:r w:rsidRPr="006170DA">
        <w:rPr>
          <w:rFonts w:eastAsia="宋体" w:cs="宋体"/>
          <w:i/>
          <w:iCs/>
          <w:szCs w:val="24"/>
          <w:lang w:val="en-US" w:eastAsia="zh-CN"/>
        </w:rPr>
        <w:t>Science</w:t>
      </w:r>
      <w:r w:rsidRPr="006170DA">
        <w:rPr>
          <w:rFonts w:eastAsia="宋体" w:cs="宋体"/>
          <w:szCs w:val="24"/>
          <w:lang w:val="en-US" w:eastAsia="zh-CN"/>
        </w:rPr>
        <w:t> 2005; </w:t>
      </w:r>
      <w:r w:rsidRPr="006170DA">
        <w:rPr>
          <w:rFonts w:eastAsia="宋体" w:cs="宋体"/>
          <w:b/>
          <w:bCs/>
          <w:szCs w:val="24"/>
          <w:lang w:val="en-US" w:eastAsia="zh-CN"/>
        </w:rPr>
        <w:t>310</w:t>
      </w:r>
      <w:r w:rsidRPr="006170DA">
        <w:rPr>
          <w:rFonts w:eastAsia="宋体" w:cs="宋体"/>
          <w:szCs w:val="24"/>
          <w:lang w:val="en-US" w:eastAsia="zh-CN"/>
        </w:rPr>
        <w:t>: 1139-1143 [PMID: 16293750 DOI: 10.1126/science.1116995]</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21 </w:t>
      </w:r>
      <w:r w:rsidRPr="006170DA">
        <w:rPr>
          <w:rFonts w:eastAsia="宋体" w:cs="宋体"/>
          <w:b/>
          <w:bCs/>
          <w:szCs w:val="24"/>
          <w:lang w:val="en-US" w:eastAsia="zh-CN"/>
        </w:rPr>
        <w:t>Discher DE</w:t>
      </w:r>
      <w:r w:rsidRPr="006170DA">
        <w:rPr>
          <w:rFonts w:eastAsia="宋体" w:cs="宋体"/>
          <w:szCs w:val="24"/>
          <w:lang w:val="en-US" w:eastAsia="zh-CN"/>
        </w:rPr>
        <w:t>, Mooney DJ, Zandstra PW. Growth factors, matrices, and forces combine and control stem cells. </w:t>
      </w:r>
      <w:r w:rsidRPr="006170DA">
        <w:rPr>
          <w:rFonts w:eastAsia="宋体" w:cs="宋体"/>
          <w:i/>
          <w:iCs/>
          <w:szCs w:val="24"/>
          <w:lang w:val="en-US" w:eastAsia="zh-CN"/>
        </w:rPr>
        <w:t>Science</w:t>
      </w:r>
      <w:r w:rsidRPr="006170DA">
        <w:rPr>
          <w:rFonts w:eastAsia="宋体" w:cs="宋体"/>
          <w:szCs w:val="24"/>
          <w:lang w:val="en-US" w:eastAsia="zh-CN"/>
        </w:rPr>
        <w:t> 2009; </w:t>
      </w:r>
      <w:r w:rsidRPr="006170DA">
        <w:rPr>
          <w:rFonts w:eastAsia="宋体" w:cs="宋体"/>
          <w:b/>
          <w:bCs/>
          <w:szCs w:val="24"/>
          <w:lang w:val="en-US" w:eastAsia="zh-CN"/>
        </w:rPr>
        <w:t>324</w:t>
      </w:r>
      <w:r w:rsidRPr="006170DA">
        <w:rPr>
          <w:rFonts w:eastAsia="宋体" w:cs="宋体"/>
          <w:szCs w:val="24"/>
          <w:lang w:val="en-US" w:eastAsia="zh-CN"/>
        </w:rPr>
        <w:t>: 1673-1677 [PMID: 19556500 DOI: 10.1126/science.1171643]</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22 </w:t>
      </w:r>
      <w:r w:rsidRPr="006170DA">
        <w:rPr>
          <w:rFonts w:eastAsia="宋体" w:cs="宋体"/>
          <w:b/>
          <w:bCs/>
          <w:szCs w:val="24"/>
          <w:lang w:val="en-US" w:eastAsia="zh-CN"/>
        </w:rPr>
        <w:t>Baker BM</w:t>
      </w:r>
      <w:r w:rsidRPr="006170DA">
        <w:rPr>
          <w:rFonts w:eastAsia="宋体" w:cs="宋体"/>
          <w:szCs w:val="24"/>
          <w:lang w:val="en-US" w:eastAsia="zh-CN"/>
        </w:rPr>
        <w:t>, Chen CS. Deconstructing the third dimension: how 3D culture microenvironments alter cellular cues. </w:t>
      </w:r>
      <w:r w:rsidRPr="006170DA">
        <w:rPr>
          <w:rFonts w:eastAsia="宋体" w:cs="宋体"/>
          <w:i/>
          <w:iCs/>
          <w:szCs w:val="24"/>
          <w:lang w:val="en-US" w:eastAsia="zh-CN"/>
        </w:rPr>
        <w:t>J Cell Sci</w:t>
      </w:r>
      <w:r w:rsidRPr="006170DA">
        <w:rPr>
          <w:rFonts w:eastAsia="宋体" w:cs="宋体"/>
          <w:szCs w:val="24"/>
          <w:lang w:val="en-US" w:eastAsia="zh-CN"/>
        </w:rPr>
        <w:t> 2012; </w:t>
      </w:r>
      <w:r w:rsidRPr="006170DA">
        <w:rPr>
          <w:rFonts w:eastAsia="宋体" w:cs="宋体"/>
          <w:b/>
          <w:bCs/>
          <w:szCs w:val="24"/>
          <w:lang w:val="en-US" w:eastAsia="zh-CN"/>
        </w:rPr>
        <w:t>125</w:t>
      </w:r>
      <w:r w:rsidRPr="006170DA">
        <w:rPr>
          <w:rFonts w:eastAsia="宋体" w:cs="宋体"/>
          <w:szCs w:val="24"/>
          <w:lang w:val="en-US" w:eastAsia="zh-CN"/>
        </w:rPr>
        <w:t>: 3015-3024 [PMID: 22797912 DOI: 10.1242/jcs.079509]</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23 </w:t>
      </w:r>
      <w:r w:rsidRPr="006170DA">
        <w:rPr>
          <w:rFonts w:eastAsia="宋体" w:cs="宋体"/>
          <w:b/>
          <w:bCs/>
          <w:szCs w:val="24"/>
          <w:lang w:val="en-US" w:eastAsia="zh-CN"/>
        </w:rPr>
        <w:t>Liang L</w:t>
      </w:r>
      <w:r w:rsidRPr="006170DA">
        <w:rPr>
          <w:rFonts w:eastAsia="宋体" w:cs="宋体"/>
          <w:szCs w:val="24"/>
          <w:lang w:val="en-US" w:eastAsia="zh-CN"/>
        </w:rPr>
        <w:t>, Liu J, Windisch Jr CF, Exarhos GJ, Lin Y. Direct assembly of large arrays of oriented conducting polymer nanowires. </w:t>
      </w:r>
      <w:r w:rsidRPr="006170DA">
        <w:rPr>
          <w:rFonts w:eastAsia="宋体" w:cs="宋体"/>
          <w:i/>
          <w:iCs/>
          <w:szCs w:val="24"/>
          <w:lang w:val="en-US" w:eastAsia="zh-CN"/>
        </w:rPr>
        <w:t>Angew Chem Int Ed Engl</w:t>
      </w:r>
      <w:r w:rsidRPr="006170DA">
        <w:rPr>
          <w:rFonts w:eastAsia="宋体" w:cs="宋体"/>
          <w:szCs w:val="24"/>
          <w:lang w:val="en-US" w:eastAsia="zh-CN"/>
        </w:rPr>
        <w:t> 2002; </w:t>
      </w:r>
      <w:r w:rsidRPr="006170DA">
        <w:rPr>
          <w:rFonts w:eastAsia="宋体" w:cs="宋体"/>
          <w:b/>
          <w:bCs/>
          <w:szCs w:val="24"/>
          <w:lang w:val="en-US" w:eastAsia="zh-CN"/>
        </w:rPr>
        <w:t>41</w:t>
      </w:r>
      <w:r w:rsidRPr="006170DA">
        <w:rPr>
          <w:rFonts w:eastAsia="宋体" w:cs="宋体"/>
          <w:szCs w:val="24"/>
          <w:lang w:val="en-US" w:eastAsia="zh-CN"/>
        </w:rPr>
        <w:t>: 3665-368, 3520 [PMID: 12370924]</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24 </w:t>
      </w:r>
      <w:r w:rsidRPr="006170DA">
        <w:rPr>
          <w:rFonts w:eastAsia="宋体" w:cs="宋体"/>
          <w:b/>
          <w:bCs/>
          <w:szCs w:val="24"/>
          <w:lang w:val="en-US" w:eastAsia="zh-CN"/>
        </w:rPr>
        <w:t>Tsai IY</w:t>
      </w:r>
      <w:r w:rsidRPr="006170DA">
        <w:rPr>
          <w:rFonts w:eastAsia="宋体" w:cs="宋体"/>
          <w:szCs w:val="24"/>
          <w:lang w:val="en-US" w:eastAsia="zh-CN"/>
        </w:rPr>
        <w:t>, Kimura M, Stockton R, Green JA, Puig R, Jacobson B, Russell TP. Fibroblast adhesion to micro- and nano-heterogeneous topography using diblock copolymers and homopolymers. </w:t>
      </w:r>
      <w:r w:rsidRPr="006170DA">
        <w:rPr>
          <w:rFonts w:eastAsia="宋体" w:cs="宋体"/>
          <w:i/>
          <w:iCs/>
          <w:szCs w:val="24"/>
          <w:lang w:val="en-US" w:eastAsia="zh-CN"/>
        </w:rPr>
        <w:t>J Biomed Mater Res A</w:t>
      </w:r>
      <w:r w:rsidRPr="006170DA">
        <w:rPr>
          <w:rFonts w:eastAsia="宋体" w:cs="宋体"/>
          <w:szCs w:val="24"/>
          <w:lang w:val="en-US" w:eastAsia="zh-CN"/>
        </w:rPr>
        <w:t> 2004; </w:t>
      </w:r>
      <w:r w:rsidRPr="006170DA">
        <w:rPr>
          <w:rFonts w:eastAsia="宋体" w:cs="宋体"/>
          <w:b/>
          <w:bCs/>
          <w:szCs w:val="24"/>
          <w:lang w:val="en-US" w:eastAsia="zh-CN"/>
        </w:rPr>
        <w:t>71</w:t>
      </w:r>
      <w:r w:rsidRPr="006170DA">
        <w:rPr>
          <w:rFonts w:eastAsia="宋体" w:cs="宋体"/>
          <w:szCs w:val="24"/>
          <w:lang w:val="en-US" w:eastAsia="zh-CN"/>
        </w:rPr>
        <w:t>: 462-469 [PMID: 15484209 DOI: 10.1002/jbm.a.30183]</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25 </w:t>
      </w:r>
      <w:r w:rsidRPr="006170DA">
        <w:rPr>
          <w:rFonts w:eastAsia="宋体" w:cs="宋体"/>
          <w:b/>
          <w:bCs/>
          <w:szCs w:val="24"/>
          <w:lang w:val="en-US" w:eastAsia="zh-CN"/>
        </w:rPr>
        <w:t>Tsang VL</w:t>
      </w:r>
      <w:r w:rsidRPr="006170DA">
        <w:rPr>
          <w:rFonts w:eastAsia="宋体" w:cs="宋体"/>
          <w:szCs w:val="24"/>
          <w:lang w:val="en-US" w:eastAsia="zh-CN"/>
        </w:rPr>
        <w:t>, Bhatia SN. Three-dimensional tissue fabrication. </w:t>
      </w:r>
      <w:r w:rsidRPr="006170DA">
        <w:rPr>
          <w:rFonts w:eastAsia="宋体" w:cs="宋体"/>
          <w:i/>
          <w:iCs/>
          <w:szCs w:val="24"/>
          <w:lang w:val="en-US" w:eastAsia="zh-CN"/>
        </w:rPr>
        <w:t>Adv Drug Deliv Rev</w:t>
      </w:r>
      <w:r w:rsidRPr="006170DA">
        <w:rPr>
          <w:rFonts w:eastAsia="宋体" w:cs="宋体"/>
          <w:szCs w:val="24"/>
          <w:lang w:val="en-US" w:eastAsia="zh-CN"/>
        </w:rPr>
        <w:t> 2004; </w:t>
      </w:r>
      <w:r w:rsidRPr="006170DA">
        <w:rPr>
          <w:rFonts w:eastAsia="宋体" w:cs="宋体"/>
          <w:b/>
          <w:bCs/>
          <w:szCs w:val="24"/>
          <w:lang w:val="en-US" w:eastAsia="zh-CN"/>
        </w:rPr>
        <w:t>56</w:t>
      </w:r>
      <w:r w:rsidRPr="006170DA">
        <w:rPr>
          <w:rFonts w:eastAsia="宋体" w:cs="宋体"/>
          <w:szCs w:val="24"/>
          <w:lang w:val="en-US" w:eastAsia="zh-CN"/>
        </w:rPr>
        <w:t>: 1635-1647 [PMID: 15350293 DOI: 10.1016/j.addr.2004.05.001]</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26 </w:t>
      </w:r>
      <w:r w:rsidRPr="006170DA">
        <w:rPr>
          <w:rFonts w:eastAsia="宋体" w:cs="宋体"/>
          <w:b/>
          <w:bCs/>
          <w:szCs w:val="24"/>
          <w:lang w:val="en-US" w:eastAsia="zh-CN"/>
        </w:rPr>
        <w:t>Zhu X</w:t>
      </w:r>
      <w:r w:rsidRPr="006170DA">
        <w:rPr>
          <w:rFonts w:eastAsia="宋体" w:cs="宋体"/>
          <w:szCs w:val="24"/>
          <w:lang w:val="en-US" w:eastAsia="zh-CN"/>
        </w:rPr>
        <w:t>, Mills KL, Peters PR, Bahng JH, Liu EH, Shim J, Naruse K, Csete ME, Thouless MD, Takayama S. Fabrication of reconfigurable protein matrices by cracking. </w:t>
      </w:r>
      <w:r w:rsidRPr="006170DA">
        <w:rPr>
          <w:rFonts w:eastAsia="宋体" w:cs="宋体"/>
          <w:i/>
          <w:iCs/>
          <w:szCs w:val="24"/>
          <w:lang w:val="en-US" w:eastAsia="zh-CN"/>
        </w:rPr>
        <w:t>Nat Mater</w:t>
      </w:r>
      <w:r w:rsidRPr="006170DA">
        <w:rPr>
          <w:rFonts w:eastAsia="宋体" w:cs="宋体"/>
          <w:szCs w:val="24"/>
          <w:lang w:val="en-US" w:eastAsia="zh-CN"/>
        </w:rPr>
        <w:t> 2005; </w:t>
      </w:r>
      <w:r w:rsidRPr="006170DA">
        <w:rPr>
          <w:rFonts w:eastAsia="宋体" w:cs="宋体"/>
          <w:b/>
          <w:bCs/>
          <w:szCs w:val="24"/>
          <w:lang w:val="en-US" w:eastAsia="zh-CN"/>
        </w:rPr>
        <w:t>4</w:t>
      </w:r>
      <w:r w:rsidRPr="006170DA">
        <w:rPr>
          <w:rFonts w:eastAsia="宋体" w:cs="宋体"/>
          <w:szCs w:val="24"/>
          <w:lang w:val="en-US" w:eastAsia="zh-CN"/>
        </w:rPr>
        <w:t>: 403-406 [PMID: 15834415 DOI: 10.1038/nmat1365]</w:t>
      </w:r>
    </w:p>
    <w:p w:rsidR="006170DA" w:rsidRPr="006170DA" w:rsidRDefault="00462403" w:rsidP="006170DA">
      <w:pPr>
        <w:spacing w:after="0" w:line="360" w:lineRule="auto"/>
        <w:ind w:left="0" w:firstLine="0"/>
        <w:rPr>
          <w:rFonts w:eastAsia="宋体" w:cs="宋体"/>
          <w:szCs w:val="24"/>
          <w:lang w:val="en-US" w:eastAsia="zh-CN"/>
        </w:rPr>
      </w:pPr>
      <w:r>
        <w:rPr>
          <w:rFonts w:eastAsia="宋体" w:cs="宋体"/>
          <w:szCs w:val="24"/>
          <w:lang w:val="en-US" w:eastAsia="zh-CN"/>
        </w:rPr>
        <w:t xml:space="preserve">27 </w:t>
      </w:r>
      <w:r w:rsidR="006170DA" w:rsidRPr="00462403">
        <w:rPr>
          <w:rFonts w:eastAsia="宋体" w:cs="宋体"/>
          <w:b/>
          <w:szCs w:val="24"/>
          <w:lang w:val="en-US" w:eastAsia="zh-CN"/>
        </w:rPr>
        <w:t>Guo LJ</w:t>
      </w:r>
      <w:r w:rsidR="006170DA" w:rsidRPr="006170DA">
        <w:rPr>
          <w:rFonts w:eastAsia="宋体" w:cs="宋体"/>
          <w:szCs w:val="24"/>
          <w:lang w:val="en-US" w:eastAsia="zh-CN"/>
        </w:rPr>
        <w:t>. Nanoimprint lithography: methods and material requirements.</w:t>
      </w:r>
      <w:r w:rsidR="006170DA" w:rsidRPr="00462403">
        <w:rPr>
          <w:rFonts w:eastAsia="宋体" w:cs="宋体"/>
          <w:i/>
          <w:szCs w:val="24"/>
          <w:lang w:val="en-US" w:eastAsia="zh-CN"/>
        </w:rPr>
        <w:t xml:space="preserve"> Adv Mat </w:t>
      </w:r>
      <w:r w:rsidR="006170DA" w:rsidRPr="006170DA">
        <w:rPr>
          <w:rFonts w:eastAsia="宋体" w:cs="宋体"/>
          <w:szCs w:val="24"/>
          <w:lang w:val="en-US" w:eastAsia="zh-CN"/>
        </w:rPr>
        <w:t xml:space="preserve">2007; </w:t>
      </w:r>
      <w:r w:rsidR="006170DA" w:rsidRPr="00462403">
        <w:rPr>
          <w:rFonts w:eastAsia="宋体" w:cs="宋体"/>
          <w:b/>
          <w:szCs w:val="24"/>
          <w:lang w:val="en-US" w:eastAsia="zh-CN"/>
        </w:rPr>
        <w:t>19</w:t>
      </w:r>
      <w:r w:rsidR="006170DA" w:rsidRPr="006170DA">
        <w:rPr>
          <w:rFonts w:eastAsia="宋体" w:cs="宋体"/>
          <w:szCs w:val="24"/>
          <w:lang w:val="en-US" w:eastAsia="zh-CN"/>
        </w:rPr>
        <w:t>: 495-51</w:t>
      </w:r>
      <w:r>
        <w:rPr>
          <w:rFonts w:eastAsia="宋体" w:cs="宋体"/>
          <w:szCs w:val="24"/>
          <w:lang w:val="en-US" w:eastAsia="zh-CN"/>
        </w:rPr>
        <w:t>3 [DOI: 10.1002/adma.200600882]</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28 </w:t>
      </w:r>
      <w:r w:rsidRPr="006170DA">
        <w:rPr>
          <w:rFonts w:eastAsia="宋体" w:cs="宋体"/>
          <w:b/>
          <w:bCs/>
          <w:szCs w:val="24"/>
          <w:lang w:val="en-US" w:eastAsia="zh-CN"/>
        </w:rPr>
        <w:t>Bianco P</w:t>
      </w:r>
      <w:r w:rsidRPr="006170DA">
        <w:rPr>
          <w:rFonts w:eastAsia="宋体" w:cs="宋体"/>
          <w:szCs w:val="24"/>
          <w:lang w:val="en-US" w:eastAsia="zh-CN"/>
        </w:rPr>
        <w:t>, Robey PG, Simmons PJ. Mesenchymal stem cells: revisiting history, concepts, and assays. </w:t>
      </w:r>
      <w:r w:rsidRPr="006170DA">
        <w:rPr>
          <w:rFonts w:eastAsia="宋体" w:cs="宋体"/>
          <w:i/>
          <w:iCs/>
          <w:szCs w:val="24"/>
          <w:lang w:val="en-US" w:eastAsia="zh-CN"/>
        </w:rPr>
        <w:t>Cell Stem Cell</w:t>
      </w:r>
      <w:r w:rsidRPr="006170DA">
        <w:rPr>
          <w:rFonts w:eastAsia="宋体" w:cs="宋体"/>
          <w:szCs w:val="24"/>
          <w:lang w:val="en-US" w:eastAsia="zh-CN"/>
        </w:rPr>
        <w:t> 2008; </w:t>
      </w:r>
      <w:r w:rsidRPr="006170DA">
        <w:rPr>
          <w:rFonts w:eastAsia="宋体" w:cs="宋体"/>
          <w:b/>
          <w:bCs/>
          <w:szCs w:val="24"/>
          <w:lang w:val="en-US" w:eastAsia="zh-CN"/>
        </w:rPr>
        <w:t>2</w:t>
      </w:r>
      <w:r w:rsidRPr="006170DA">
        <w:rPr>
          <w:rFonts w:eastAsia="宋体" w:cs="宋体"/>
          <w:szCs w:val="24"/>
          <w:lang w:val="en-US" w:eastAsia="zh-CN"/>
        </w:rPr>
        <w:t>: 313-319 [PMID: 18397751 DOI: 10.1016/j.stem.2008.03.002]</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29 </w:t>
      </w:r>
      <w:r w:rsidRPr="006170DA">
        <w:rPr>
          <w:rFonts w:eastAsia="宋体" w:cs="宋体"/>
          <w:b/>
          <w:bCs/>
          <w:szCs w:val="24"/>
          <w:lang w:val="en-US" w:eastAsia="zh-CN"/>
        </w:rPr>
        <w:t>Prockop DJ</w:t>
      </w:r>
      <w:r w:rsidRPr="006170DA">
        <w:rPr>
          <w:rFonts w:eastAsia="宋体" w:cs="宋体"/>
          <w:szCs w:val="24"/>
          <w:lang w:val="en-US" w:eastAsia="zh-CN"/>
        </w:rPr>
        <w:t>. Repair of tissues by adult stem/progenitor cells (MSCs): controversies, myths, and changing paradigms. </w:t>
      </w:r>
      <w:r w:rsidRPr="006170DA">
        <w:rPr>
          <w:rFonts w:eastAsia="宋体" w:cs="宋体"/>
          <w:i/>
          <w:iCs/>
          <w:szCs w:val="24"/>
          <w:lang w:val="en-US" w:eastAsia="zh-CN"/>
        </w:rPr>
        <w:t>Mol Ther</w:t>
      </w:r>
      <w:r w:rsidRPr="006170DA">
        <w:rPr>
          <w:rFonts w:eastAsia="宋体" w:cs="宋体"/>
          <w:szCs w:val="24"/>
          <w:lang w:val="en-US" w:eastAsia="zh-CN"/>
        </w:rPr>
        <w:t> 2009; </w:t>
      </w:r>
      <w:r w:rsidRPr="006170DA">
        <w:rPr>
          <w:rFonts w:eastAsia="宋体" w:cs="宋体"/>
          <w:b/>
          <w:bCs/>
          <w:szCs w:val="24"/>
          <w:lang w:val="en-US" w:eastAsia="zh-CN"/>
        </w:rPr>
        <w:t>17</w:t>
      </w:r>
      <w:r w:rsidRPr="006170DA">
        <w:rPr>
          <w:rFonts w:eastAsia="宋体" w:cs="宋体"/>
          <w:szCs w:val="24"/>
          <w:lang w:val="en-US" w:eastAsia="zh-CN"/>
        </w:rPr>
        <w:t>: 939-946 [PMID: 19337235 DOI: 10.1038/mt.2009.62]</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30 </w:t>
      </w:r>
      <w:r w:rsidRPr="006170DA">
        <w:rPr>
          <w:rFonts w:eastAsia="宋体" w:cs="宋体"/>
          <w:b/>
          <w:bCs/>
          <w:szCs w:val="24"/>
          <w:lang w:val="en-US" w:eastAsia="zh-CN"/>
        </w:rPr>
        <w:t>Prockop DJ</w:t>
      </w:r>
      <w:r w:rsidRPr="006170DA">
        <w:rPr>
          <w:rFonts w:eastAsia="宋体" w:cs="宋体"/>
          <w:szCs w:val="24"/>
          <w:lang w:val="en-US" w:eastAsia="zh-CN"/>
        </w:rPr>
        <w:t>, Kota DJ, Bazhanov N, Reger RL. Evolving paradigms for repair of tissues by adult stem/progenitor cells (MSCs). </w:t>
      </w:r>
      <w:r w:rsidRPr="006170DA">
        <w:rPr>
          <w:rFonts w:eastAsia="宋体" w:cs="宋体"/>
          <w:i/>
          <w:iCs/>
          <w:szCs w:val="24"/>
          <w:lang w:val="en-US" w:eastAsia="zh-CN"/>
        </w:rPr>
        <w:t>J Cell Mol Med</w:t>
      </w:r>
      <w:r w:rsidRPr="006170DA">
        <w:rPr>
          <w:rFonts w:eastAsia="宋体" w:cs="宋体"/>
          <w:szCs w:val="24"/>
          <w:lang w:val="en-US" w:eastAsia="zh-CN"/>
        </w:rPr>
        <w:t> 2010; </w:t>
      </w:r>
      <w:r w:rsidRPr="006170DA">
        <w:rPr>
          <w:rFonts w:eastAsia="宋体" w:cs="宋体"/>
          <w:b/>
          <w:bCs/>
          <w:szCs w:val="24"/>
          <w:lang w:val="en-US" w:eastAsia="zh-CN"/>
        </w:rPr>
        <w:t>14</w:t>
      </w:r>
      <w:r w:rsidRPr="006170DA">
        <w:rPr>
          <w:rFonts w:eastAsia="宋体" w:cs="宋体"/>
          <w:szCs w:val="24"/>
          <w:lang w:val="en-US" w:eastAsia="zh-CN"/>
        </w:rPr>
        <w:t>: 2190-2199 [PMID: 20716123 DOI: 10.1111/j.15824934.2010.01151.x]</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31 </w:t>
      </w:r>
      <w:r w:rsidRPr="006170DA">
        <w:rPr>
          <w:rFonts w:eastAsia="宋体" w:cs="宋体"/>
          <w:b/>
          <w:bCs/>
          <w:szCs w:val="24"/>
          <w:lang w:val="en-US" w:eastAsia="zh-CN"/>
        </w:rPr>
        <w:t>Santos JL</w:t>
      </w:r>
      <w:r w:rsidRPr="006170DA">
        <w:rPr>
          <w:rFonts w:eastAsia="宋体" w:cs="宋体"/>
          <w:szCs w:val="24"/>
          <w:lang w:val="en-US" w:eastAsia="zh-CN"/>
        </w:rPr>
        <w:t>, Pandita D, Rodrigues J, Pêgo AP, Granja PL, Tomás H. Non-viral gene delivery to mesenchymal stem cells: methods, strategies and application in bone tissue engineering and regeneration. </w:t>
      </w:r>
      <w:r w:rsidRPr="006170DA">
        <w:rPr>
          <w:rFonts w:eastAsia="宋体" w:cs="宋体"/>
          <w:i/>
          <w:iCs/>
          <w:szCs w:val="24"/>
          <w:lang w:val="en-US" w:eastAsia="zh-CN"/>
        </w:rPr>
        <w:t>Curr Gene Ther</w:t>
      </w:r>
      <w:r w:rsidRPr="006170DA">
        <w:rPr>
          <w:rFonts w:eastAsia="宋体" w:cs="宋体"/>
          <w:szCs w:val="24"/>
          <w:lang w:val="en-US" w:eastAsia="zh-CN"/>
        </w:rPr>
        <w:t> 2011; </w:t>
      </w:r>
      <w:r w:rsidRPr="006170DA">
        <w:rPr>
          <w:rFonts w:eastAsia="宋体" w:cs="宋体"/>
          <w:b/>
          <w:bCs/>
          <w:szCs w:val="24"/>
          <w:lang w:val="en-US" w:eastAsia="zh-CN"/>
        </w:rPr>
        <w:t>11</w:t>
      </w:r>
      <w:r w:rsidRPr="006170DA">
        <w:rPr>
          <w:rFonts w:eastAsia="宋体" w:cs="宋体"/>
          <w:szCs w:val="24"/>
          <w:lang w:val="en-US" w:eastAsia="zh-CN"/>
        </w:rPr>
        <w:t>: 46-57 [PMID: 21182464 DOI: 10.2174/156652311794520102]</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32 </w:t>
      </w:r>
      <w:r w:rsidRPr="006170DA">
        <w:rPr>
          <w:rFonts w:eastAsia="宋体" w:cs="宋体"/>
          <w:b/>
          <w:bCs/>
          <w:szCs w:val="24"/>
          <w:lang w:val="en-US" w:eastAsia="zh-CN"/>
        </w:rPr>
        <w:t>Ahmed TA</w:t>
      </w:r>
      <w:r w:rsidRPr="006170DA">
        <w:rPr>
          <w:rFonts w:eastAsia="宋体" w:cs="宋体"/>
          <w:szCs w:val="24"/>
          <w:lang w:val="en-US" w:eastAsia="zh-CN"/>
        </w:rPr>
        <w:t>, Hincke MT. Mesenchymal stem cell-based tissue engineering strategies for repair of articular cartilage. </w:t>
      </w:r>
      <w:r w:rsidRPr="006170DA">
        <w:rPr>
          <w:rFonts w:eastAsia="宋体" w:cs="宋体"/>
          <w:i/>
          <w:iCs/>
          <w:szCs w:val="24"/>
          <w:lang w:val="en-US" w:eastAsia="zh-CN"/>
        </w:rPr>
        <w:t>Histol Histopathol</w:t>
      </w:r>
      <w:r w:rsidRPr="006170DA">
        <w:rPr>
          <w:rFonts w:eastAsia="宋体" w:cs="宋体"/>
          <w:szCs w:val="24"/>
          <w:lang w:val="en-US" w:eastAsia="zh-CN"/>
        </w:rPr>
        <w:t> 2014; </w:t>
      </w:r>
      <w:r w:rsidRPr="006170DA">
        <w:rPr>
          <w:rFonts w:eastAsia="宋体" w:cs="宋体"/>
          <w:b/>
          <w:bCs/>
          <w:szCs w:val="24"/>
          <w:lang w:val="en-US" w:eastAsia="zh-CN"/>
        </w:rPr>
        <w:t>29</w:t>
      </w:r>
      <w:r w:rsidRPr="006170DA">
        <w:rPr>
          <w:rFonts w:eastAsia="宋体" w:cs="宋体"/>
          <w:szCs w:val="24"/>
          <w:lang w:val="en-US" w:eastAsia="zh-CN"/>
        </w:rPr>
        <w:t>: 669-689 [PMID: 24452855]</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33 </w:t>
      </w:r>
      <w:r w:rsidRPr="006170DA">
        <w:rPr>
          <w:rFonts w:eastAsia="宋体" w:cs="宋体"/>
          <w:b/>
          <w:bCs/>
          <w:szCs w:val="24"/>
          <w:lang w:val="en-US" w:eastAsia="zh-CN"/>
        </w:rPr>
        <w:t>Serakinci N</w:t>
      </w:r>
      <w:r w:rsidRPr="006170DA">
        <w:rPr>
          <w:rFonts w:eastAsia="宋体" w:cs="宋体"/>
          <w:szCs w:val="24"/>
          <w:lang w:val="en-US" w:eastAsia="zh-CN"/>
        </w:rPr>
        <w:t>, Fahrioglu U, Christensen R. Mesenchymal stem cells, cancer challenges and new directions. </w:t>
      </w:r>
      <w:r w:rsidRPr="006170DA">
        <w:rPr>
          <w:rFonts w:eastAsia="宋体" w:cs="宋体"/>
          <w:i/>
          <w:iCs/>
          <w:szCs w:val="24"/>
          <w:lang w:val="en-US" w:eastAsia="zh-CN"/>
        </w:rPr>
        <w:t>Eur J Cancer</w:t>
      </w:r>
      <w:r w:rsidRPr="006170DA">
        <w:rPr>
          <w:rFonts w:eastAsia="宋体" w:cs="宋体"/>
          <w:szCs w:val="24"/>
          <w:lang w:val="en-US" w:eastAsia="zh-CN"/>
        </w:rPr>
        <w:t> 2014; </w:t>
      </w:r>
      <w:r w:rsidRPr="006170DA">
        <w:rPr>
          <w:rFonts w:eastAsia="宋体" w:cs="宋体"/>
          <w:b/>
          <w:bCs/>
          <w:szCs w:val="24"/>
          <w:lang w:val="en-US" w:eastAsia="zh-CN"/>
        </w:rPr>
        <w:t>50</w:t>
      </w:r>
      <w:r w:rsidRPr="006170DA">
        <w:rPr>
          <w:rFonts w:eastAsia="宋体" w:cs="宋体"/>
          <w:szCs w:val="24"/>
          <w:lang w:val="en-US" w:eastAsia="zh-CN"/>
        </w:rPr>
        <w:t>: 1522-1530 [PMID: 24613620 DOI: 10.1016/j.ejca.2014.02.011]</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34 </w:t>
      </w:r>
      <w:r w:rsidRPr="006170DA">
        <w:rPr>
          <w:rFonts w:eastAsia="宋体" w:cs="宋体"/>
          <w:b/>
          <w:bCs/>
          <w:szCs w:val="24"/>
          <w:lang w:val="en-US" w:eastAsia="zh-CN"/>
        </w:rPr>
        <w:t>Porada CD</w:t>
      </w:r>
      <w:r w:rsidRPr="006170DA">
        <w:rPr>
          <w:rFonts w:eastAsia="宋体" w:cs="宋体"/>
          <w:szCs w:val="24"/>
          <w:lang w:val="en-US" w:eastAsia="zh-CN"/>
        </w:rPr>
        <w:t>, Zanjani ED, Almeida-Porad G. Adult mesenchymal stem cells: a pluripotent population with multiple applications. </w:t>
      </w:r>
      <w:r w:rsidRPr="006170DA">
        <w:rPr>
          <w:rFonts w:eastAsia="宋体" w:cs="宋体"/>
          <w:i/>
          <w:iCs/>
          <w:szCs w:val="24"/>
          <w:lang w:val="en-US" w:eastAsia="zh-CN"/>
        </w:rPr>
        <w:t>Curr Stem Cell Res Ther</w:t>
      </w:r>
      <w:r w:rsidRPr="006170DA">
        <w:rPr>
          <w:rFonts w:eastAsia="宋体" w:cs="宋体"/>
          <w:szCs w:val="24"/>
          <w:lang w:val="en-US" w:eastAsia="zh-CN"/>
        </w:rPr>
        <w:t> 2006; </w:t>
      </w:r>
      <w:r w:rsidRPr="006170DA">
        <w:rPr>
          <w:rFonts w:eastAsia="宋体" w:cs="宋体"/>
          <w:b/>
          <w:bCs/>
          <w:szCs w:val="24"/>
          <w:lang w:val="en-US" w:eastAsia="zh-CN"/>
        </w:rPr>
        <w:t>1</w:t>
      </w:r>
      <w:r w:rsidRPr="006170DA">
        <w:rPr>
          <w:rFonts w:eastAsia="宋体" w:cs="宋体"/>
          <w:szCs w:val="24"/>
          <w:lang w:val="en-US" w:eastAsia="zh-CN"/>
        </w:rPr>
        <w:t>: 365-369 [PMID: 18220880 DOI: 10.2174/157488806778226821]</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35 </w:t>
      </w:r>
      <w:r w:rsidRPr="006170DA">
        <w:rPr>
          <w:rFonts w:eastAsia="宋体" w:cs="宋体"/>
          <w:b/>
          <w:bCs/>
          <w:szCs w:val="24"/>
          <w:lang w:val="en-US" w:eastAsia="zh-CN"/>
        </w:rPr>
        <w:t>Parekkadan B</w:t>
      </w:r>
      <w:r w:rsidRPr="006170DA">
        <w:rPr>
          <w:rFonts w:eastAsia="宋体" w:cs="宋体"/>
          <w:szCs w:val="24"/>
          <w:lang w:val="en-US" w:eastAsia="zh-CN"/>
        </w:rPr>
        <w:t>, Milwid JM. Mesenchymal stem cells as therapeutics. </w:t>
      </w:r>
      <w:r w:rsidRPr="006170DA">
        <w:rPr>
          <w:rFonts w:eastAsia="宋体" w:cs="宋体"/>
          <w:i/>
          <w:iCs/>
          <w:szCs w:val="24"/>
          <w:lang w:val="en-US" w:eastAsia="zh-CN"/>
        </w:rPr>
        <w:t>Annu Rev Biomed Eng</w:t>
      </w:r>
      <w:r w:rsidRPr="006170DA">
        <w:rPr>
          <w:rFonts w:eastAsia="宋体" w:cs="宋体"/>
          <w:szCs w:val="24"/>
          <w:lang w:val="en-US" w:eastAsia="zh-CN"/>
        </w:rPr>
        <w:t> 2010; </w:t>
      </w:r>
      <w:r w:rsidRPr="006170DA">
        <w:rPr>
          <w:rFonts w:eastAsia="宋体" w:cs="宋体"/>
          <w:b/>
          <w:bCs/>
          <w:szCs w:val="24"/>
          <w:lang w:val="en-US" w:eastAsia="zh-CN"/>
        </w:rPr>
        <w:t>12</w:t>
      </w:r>
      <w:r w:rsidRPr="006170DA">
        <w:rPr>
          <w:rFonts w:eastAsia="宋体" w:cs="宋体"/>
          <w:szCs w:val="24"/>
          <w:lang w:val="en-US" w:eastAsia="zh-CN"/>
        </w:rPr>
        <w:t>: 87-117 [PMID: 20415588 DOI: 10.1146/annurev-bioeng-070909-105309]</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36 </w:t>
      </w:r>
      <w:r w:rsidRPr="006170DA">
        <w:rPr>
          <w:rFonts w:eastAsia="宋体" w:cs="宋体"/>
          <w:b/>
          <w:bCs/>
          <w:szCs w:val="24"/>
          <w:lang w:val="en-US" w:eastAsia="zh-CN"/>
        </w:rPr>
        <w:t>Patel DM</w:t>
      </w:r>
      <w:r w:rsidRPr="006170DA">
        <w:rPr>
          <w:rFonts w:eastAsia="宋体" w:cs="宋体"/>
          <w:szCs w:val="24"/>
          <w:lang w:val="en-US" w:eastAsia="zh-CN"/>
        </w:rPr>
        <w:t>, Shah J, Srivastava AS. Therapeutic potential of mesenchymal stem cells in regenerative medicine. </w:t>
      </w:r>
      <w:r w:rsidRPr="006170DA">
        <w:rPr>
          <w:rFonts w:eastAsia="宋体" w:cs="宋体"/>
          <w:i/>
          <w:iCs/>
          <w:szCs w:val="24"/>
          <w:lang w:val="en-US" w:eastAsia="zh-CN"/>
        </w:rPr>
        <w:t>Stem Cells Int</w:t>
      </w:r>
      <w:r w:rsidRPr="006170DA">
        <w:rPr>
          <w:rFonts w:eastAsia="宋体" w:cs="宋体"/>
          <w:szCs w:val="24"/>
          <w:lang w:val="en-US" w:eastAsia="zh-CN"/>
        </w:rPr>
        <w:t> 2013; </w:t>
      </w:r>
      <w:r w:rsidRPr="006170DA">
        <w:rPr>
          <w:rFonts w:eastAsia="宋体" w:cs="宋体"/>
          <w:b/>
          <w:bCs/>
          <w:szCs w:val="24"/>
          <w:lang w:val="en-US" w:eastAsia="zh-CN"/>
        </w:rPr>
        <w:t>2013</w:t>
      </w:r>
      <w:r w:rsidRPr="006170DA">
        <w:rPr>
          <w:rFonts w:eastAsia="宋体" w:cs="宋体"/>
          <w:szCs w:val="24"/>
          <w:lang w:val="en-US" w:eastAsia="zh-CN"/>
        </w:rPr>
        <w:t>: 496218 [PMID: 23577036 DOI: 10.1155/2013/496218]</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37 </w:t>
      </w:r>
      <w:r w:rsidRPr="006170DA">
        <w:rPr>
          <w:rFonts w:eastAsia="宋体" w:cs="宋体"/>
          <w:b/>
          <w:bCs/>
          <w:szCs w:val="24"/>
          <w:lang w:val="en-US" w:eastAsia="zh-CN"/>
        </w:rPr>
        <w:t>Hoogduijn MJ</w:t>
      </w:r>
      <w:r w:rsidRPr="006170DA">
        <w:rPr>
          <w:rFonts w:eastAsia="宋体" w:cs="宋体"/>
          <w:szCs w:val="24"/>
          <w:lang w:val="en-US" w:eastAsia="zh-CN"/>
        </w:rPr>
        <w:t>, Dor FJ. Mesenchymal stem cells in transplantation and tissue regeneration. </w:t>
      </w:r>
      <w:r w:rsidRPr="006170DA">
        <w:rPr>
          <w:rFonts w:eastAsia="宋体" w:cs="宋体"/>
          <w:i/>
          <w:iCs/>
          <w:szCs w:val="24"/>
          <w:lang w:val="en-US" w:eastAsia="zh-CN"/>
        </w:rPr>
        <w:t>Front Immunol</w:t>
      </w:r>
      <w:r w:rsidRPr="006170DA">
        <w:rPr>
          <w:rFonts w:eastAsia="宋体" w:cs="宋体"/>
          <w:szCs w:val="24"/>
          <w:lang w:val="en-US" w:eastAsia="zh-CN"/>
        </w:rPr>
        <w:t> 2011; </w:t>
      </w:r>
      <w:r w:rsidRPr="006170DA">
        <w:rPr>
          <w:rFonts w:eastAsia="宋体" w:cs="宋体"/>
          <w:b/>
          <w:bCs/>
          <w:szCs w:val="24"/>
          <w:lang w:val="en-US" w:eastAsia="zh-CN"/>
        </w:rPr>
        <w:t>2</w:t>
      </w:r>
      <w:r w:rsidRPr="006170DA">
        <w:rPr>
          <w:rFonts w:eastAsia="宋体" w:cs="宋体"/>
          <w:szCs w:val="24"/>
          <w:lang w:val="en-US" w:eastAsia="zh-CN"/>
        </w:rPr>
        <w:t>: 84 [PMID: 22566873]</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38 </w:t>
      </w:r>
      <w:r w:rsidRPr="006170DA">
        <w:rPr>
          <w:rFonts w:eastAsia="宋体" w:cs="宋体"/>
          <w:b/>
          <w:bCs/>
          <w:szCs w:val="24"/>
          <w:lang w:val="en-US" w:eastAsia="zh-CN"/>
        </w:rPr>
        <w:t>Yokoo T</w:t>
      </w:r>
      <w:r w:rsidRPr="006170DA">
        <w:rPr>
          <w:rFonts w:eastAsia="宋体" w:cs="宋体"/>
          <w:szCs w:val="24"/>
          <w:lang w:val="en-US" w:eastAsia="zh-CN"/>
        </w:rPr>
        <w:t>, Matsumoto K, Yokote S. Potential use of stem cells for kidney regeneration. </w:t>
      </w:r>
      <w:r w:rsidRPr="006170DA">
        <w:rPr>
          <w:rFonts w:eastAsia="宋体" w:cs="宋体"/>
          <w:i/>
          <w:iCs/>
          <w:szCs w:val="24"/>
          <w:lang w:val="en-US" w:eastAsia="zh-CN"/>
        </w:rPr>
        <w:t>Int J Nephrol</w:t>
      </w:r>
      <w:r w:rsidRPr="006170DA">
        <w:rPr>
          <w:rFonts w:eastAsia="宋体" w:cs="宋体"/>
          <w:szCs w:val="24"/>
          <w:lang w:val="en-US" w:eastAsia="zh-CN"/>
        </w:rPr>
        <w:t> 2011; </w:t>
      </w:r>
      <w:r w:rsidRPr="006170DA">
        <w:rPr>
          <w:rFonts w:eastAsia="宋体" w:cs="宋体"/>
          <w:b/>
          <w:bCs/>
          <w:szCs w:val="24"/>
          <w:lang w:val="en-US" w:eastAsia="zh-CN"/>
        </w:rPr>
        <w:t>2011</w:t>
      </w:r>
      <w:r w:rsidRPr="006170DA">
        <w:rPr>
          <w:rFonts w:eastAsia="宋体" w:cs="宋体"/>
          <w:szCs w:val="24"/>
          <w:lang w:val="en-US" w:eastAsia="zh-CN"/>
        </w:rPr>
        <w:t>: 591731 [PMID: 21603103 DOI: 10.4061/2011/591731]</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39 </w:t>
      </w:r>
      <w:r w:rsidRPr="006170DA">
        <w:rPr>
          <w:rFonts w:eastAsia="宋体" w:cs="宋体"/>
          <w:b/>
          <w:bCs/>
          <w:szCs w:val="24"/>
          <w:lang w:val="en-US" w:eastAsia="zh-CN"/>
        </w:rPr>
        <w:t>Zippel N</w:t>
      </w:r>
      <w:r w:rsidRPr="006170DA">
        <w:rPr>
          <w:rFonts w:eastAsia="宋体" w:cs="宋体"/>
          <w:szCs w:val="24"/>
          <w:lang w:val="en-US" w:eastAsia="zh-CN"/>
        </w:rPr>
        <w:t>, Schulze M, Tobiasch E. Biomaterials and mesenchymal stem cells for regenerative medicine. </w:t>
      </w:r>
      <w:r w:rsidRPr="006170DA">
        <w:rPr>
          <w:rFonts w:eastAsia="宋体" w:cs="宋体"/>
          <w:i/>
          <w:iCs/>
          <w:szCs w:val="24"/>
          <w:lang w:val="en-US" w:eastAsia="zh-CN"/>
        </w:rPr>
        <w:t>Recent Pat Biotechnol</w:t>
      </w:r>
      <w:r w:rsidRPr="006170DA">
        <w:rPr>
          <w:rFonts w:eastAsia="宋体" w:cs="宋体"/>
          <w:szCs w:val="24"/>
          <w:lang w:val="en-US" w:eastAsia="zh-CN"/>
        </w:rPr>
        <w:t> 2010; </w:t>
      </w:r>
      <w:r w:rsidRPr="006170DA">
        <w:rPr>
          <w:rFonts w:eastAsia="宋体" w:cs="宋体"/>
          <w:b/>
          <w:bCs/>
          <w:szCs w:val="24"/>
          <w:lang w:val="en-US" w:eastAsia="zh-CN"/>
        </w:rPr>
        <w:t>4</w:t>
      </w:r>
      <w:r w:rsidRPr="006170DA">
        <w:rPr>
          <w:rFonts w:eastAsia="宋体" w:cs="宋体"/>
          <w:szCs w:val="24"/>
          <w:lang w:val="en-US" w:eastAsia="zh-CN"/>
        </w:rPr>
        <w:t>: 1-22 [PMID: 20201799 DOI: 10.2174/187220810790069497]</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40 </w:t>
      </w:r>
      <w:r w:rsidRPr="006170DA">
        <w:rPr>
          <w:rFonts w:eastAsia="宋体" w:cs="宋体"/>
          <w:b/>
          <w:bCs/>
          <w:szCs w:val="24"/>
          <w:lang w:val="en-US" w:eastAsia="zh-CN"/>
        </w:rPr>
        <w:t>Ding DC</w:t>
      </w:r>
      <w:r w:rsidRPr="006170DA">
        <w:rPr>
          <w:rFonts w:eastAsia="宋体" w:cs="宋体"/>
          <w:szCs w:val="24"/>
          <w:lang w:val="en-US" w:eastAsia="zh-CN"/>
        </w:rPr>
        <w:t>, Shyu WC, Lin SZ. Mesenchymal stem cells. </w:t>
      </w:r>
      <w:r w:rsidRPr="006170DA">
        <w:rPr>
          <w:rFonts w:eastAsia="宋体" w:cs="宋体"/>
          <w:i/>
          <w:iCs/>
          <w:szCs w:val="24"/>
          <w:lang w:val="en-US" w:eastAsia="zh-CN"/>
        </w:rPr>
        <w:t>Cell Transplant</w:t>
      </w:r>
      <w:r w:rsidRPr="006170DA">
        <w:rPr>
          <w:rFonts w:eastAsia="宋体" w:cs="宋体"/>
          <w:szCs w:val="24"/>
          <w:lang w:val="en-US" w:eastAsia="zh-CN"/>
        </w:rPr>
        <w:t> 2011; </w:t>
      </w:r>
      <w:r w:rsidRPr="006170DA">
        <w:rPr>
          <w:rFonts w:eastAsia="宋体" w:cs="宋体"/>
          <w:b/>
          <w:bCs/>
          <w:szCs w:val="24"/>
          <w:lang w:val="en-US" w:eastAsia="zh-CN"/>
        </w:rPr>
        <w:t>20</w:t>
      </w:r>
      <w:r w:rsidRPr="006170DA">
        <w:rPr>
          <w:rFonts w:eastAsia="宋体" w:cs="宋体"/>
          <w:szCs w:val="24"/>
          <w:lang w:val="en-US" w:eastAsia="zh-CN"/>
        </w:rPr>
        <w:t>: 5-14 [PMID: 21396235 DOI: 10.3727/096368910X]</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41 </w:t>
      </w:r>
      <w:r w:rsidRPr="006170DA">
        <w:rPr>
          <w:rFonts w:eastAsia="宋体" w:cs="宋体"/>
          <w:b/>
          <w:bCs/>
          <w:szCs w:val="24"/>
          <w:lang w:val="en-US" w:eastAsia="zh-CN"/>
        </w:rPr>
        <w:t>Unadkat HV</w:t>
      </w:r>
      <w:r w:rsidRPr="006170DA">
        <w:rPr>
          <w:rFonts w:eastAsia="宋体" w:cs="宋体"/>
          <w:szCs w:val="24"/>
          <w:lang w:val="en-US" w:eastAsia="zh-CN"/>
        </w:rPr>
        <w:t>, Hulsman M, Cornelissen K, Papenburg BJ, Truckenmüller RK, Carpenter AE, Wessling M, Post GF, Uetz M, Reinders MJ, Stamatialis D, van Blitterswijk CA, de Boer J. An algorithm-based topographical biomaterials library to instruct cell fate. </w:t>
      </w:r>
      <w:r w:rsidRPr="006170DA">
        <w:rPr>
          <w:rFonts w:eastAsia="宋体" w:cs="宋体"/>
          <w:i/>
          <w:iCs/>
          <w:szCs w:val="24"/>
          <w:lang w:val="en-US" w:eastAsia="zh-CN"/>
        </w:rPr>
        <w:t>Proc Natl Acad Sci U S A</w:t>
      </w:r>
      <w:r w:rsidRPr="006170DA">
        <w:rPr>
          <w:rFonts w:eastAsia="宋体" w:cs="宋体"/>
          <w:szCs w:val="24"/>
          <w:lang w:val="en-US" w:eastAsia="zh-CN"/>
        </w:rPr>
        <w:t> 2011; </w:t>
      </w:r>
      <w:r w:rsidRPr="006170DA">
        <w:rPr>
          <w:rFonts w:eastAsia="宋体" w:cs="宋体"/>
          <w:b/>
          <w:bCs/>
          <w:szCs w:val="24"/>
          <w:lang w:val="en-US" w:eastAsia="zh-CN"/>
        </w:rPr>
        <w:t>108</w:t>
      </w:r>
      <w:r w:rsidRPr="006170DA">
        <w:rPr>
          <w:rFonts w:eastAsia="宋体" w:cs="宋体"/>
          <w:szCs w:val="24"/>
          <w:lang w:val="en-US" w:eastAsia="zh-CN"/>
        </w:rPr>
        <w:t>: 16565-16570 [PMID: 21949368 DOI: 10.1073/pnas.1109861108]</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42 </w:t>
      </w:r>
      <w:r w:rsidRPr="006170DA">
        <w:rPr>
          <w:rFonts w:eastAsia="宋体" w:cs="宋体"/>
          <w:b/>
          <w:bCs/>
          <w:szCs w:val="24"/>
          <w:lang w:val="en-US" w:eastAsia="zh-CN"/>
        </w:rPr>
        <w:t>Biggs MJ</w:t>
      </w:r>
      <w:r w:rsidRPr="006170DA">
        <w:rPr>
          <w:rFonts w:eastAsia="宋体" w:cs="宋体"/>
          <w:szCs w:val="24"/>
          <w:lang w:val="en-US" w:eastAsia="zh-CN"/>
        </w:rPr>
        <w:t>, Richards RG, Gadegaard N, Wilkinson CD, Oreffo RO, Dalby MJ. The use of nanoscale topography to modulate the dynamics of adhesion formation in primary osteoblasts and ERK/MAPK signalling in STRO-1+ enriched skeletal stem cells. </w:t>
      </w:r>
      <w:r w:rsidRPr="006170DA">
        <w:rPr>
          <w:rFonts w:eastAsia="宋体" w:cs="宋体"/>
          <w:i/>
          <w:iCs/>
          <w:szCs w:val="24"/>
          <w:lang w:val="en-US" w:eastAsia="zh-CN"/>
        </w:rPr>
        <w:t>Biomaterials</w:t>
      </w:r>
      <w:r w:rsidRPr="006170DA">
        <w:rPr>
          <w:rFonts w:eastAsia="宋体" w:cs="宋体"/>
          <w:szCs w:val="24"/>
          <w:lang w:val="en-US" w:eastAsia="zh-CN"/>
        </w:rPr>
        <w:t> 2009; </w:t>
      </w:r>
      <w:r w:rsidRPr="006170DA">
        <w:rPr>
          <w:rFonts w:eastAsia="宋体" w:cs="宋体"/>
          <w:b/>
          <w:bCs/>
          <w:szCs w:val="24"/>
          <w:lang w:val="en-US" w:eastAsia="zh-CN"/>
        </w:rPr>
        <w:t>30</w:t>
      </w:r>
      <w:r w:rsidRPr="006170DA">
        <w:rPr>
          <w:rFonts w:eastAsia="宋体" w:cs="宋体"/>
          <w:szCs w:val="24"/>
          <w:lang w:val="en-US" w:eastAsia="zh-CN"/>
        </w:rPr>
        <w:t>: 5094-5103 [PMID: 19539986 DOI: 10.1016/j.biomaterials.2009.05.049]</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43 </w:t>
      </w:r>
      <w:r w:rsidRPr="006170DA">
        <w:rPr>
          <w:rFonts w:eastAsia="宋体" w:cs="宋体"/>
          <w:b/>
          <w:bCs/>
          <w:szCs w:val="24"/>
          <w:lang w:val="en-US" w:eastAsia="zh-CN"/>
        </w:rPr>
        <w:t>Altrock E</w:t>
      </w:r>
      <w:r w:rsidRPr="006170DA">
        <w:rPr>
          <w:rFonts w:eastAsia="宋体" w:cs="宋体"/>
          <w:szCs w:val="24"/>
          <w:lang w:val="en-US" w:eastAsia="zh-CN"/>
        </w:rPr>
        <w:t>, Muth CA, Klein G, Spatz JP, Lee-Thedieck C. The significance of integrin ligand nanopatterning on lipid raft clustering in hematopoietic stem cells. </w:t>
      </w:r>
      <w:r w:rsidRPr="006170DA">
        <w:rPr>
          <w:rFonts w:eastAsia="宋体" w:cs="宋体"/>
          <w:i/>
          <w:iCs/>
          <w:szCs w:val="24"/>
          <w:lang w:val="en-US" w:eastAsia="zh-CN"/>
        </w:rPr>
        <w:t>Biomaterials</w:t>
      </w:r>
      <w:r w:rsidRPr="006170DA">
        <w:rPr>
          <w:rFonts w:eastAsia="宋体" w:cs="宋体"/>
          <w:szCs w:val="24"/>
          <w:lang w:val="en-US" w:eastAsia="zh-CN"/>
        </w:rPr>
        <w:t> 2012; </w:t>
      </w:r>
      <w:r w:rsidRPr="006170DA">
        <w:rPr>
          <w:rFonts w:eastAsia="宋体" w:cs="宋体"/>
          <w:b/>
          <w:bCs/>
          <w:szCs w:val="24"/>
          <w:lang w:val="en-US" w:eastAsia="zh-CN"/>
        </w:rPr>
        <w:t>33</w:t>
      </w:r>
      <w:r w:rsidRPr="006170DA">
        <w:rPr>
          <w:rFonts w:eastAsia="宋体" w:cs="宋体"/>
          <w:szCs w:val="24"/>
          <w:lang w:val="en-US" w:eastAsia="zh-CN"/>
        </w:rPr>
        <w:t>: 3107-3118 [PMID: 22269650 DOI: 10.1016/j.biomaterials.2012.01.002]</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44 </w:t>
      </w:r>
      <w:r w:rsidRPr="006170DA">
        <w:rPr>
          <w:rFonts w:eastAsia="宋体" w:cs="宋体"/>
          <w:b/>
          <w:bCs/>
          <w:szCs w:val="24"/>
          <w:lang w:val="en-US" w:eastAsia="zh-CN"/>
        </w:rPr>
        <w:t>Charest JL</w:t>
      </w:r>
      <w:r w:rsidRPr="006170DA">
        <w:rPr>
          <w:rFonts w:eastAsia="宋体" w:cs="宋体"/>
          <w:szCs w:val="24"/>
          <w:lang w:val="en-US" w:eastAsia="zh-CN"/>
        </w:rPr>
        <w:t>, García AJ, King WP. Myoblast alignment and differentiation on cell culture substrates with microscale topography and model chemistries. </w:t>
      </w:r>
      <w:r w:rsidRPr="006170DA">
        <w:rPr>
          <w:rFonts w:eastAsia="宋体" w:cs="宋体"/>
          <w:i/>
          <w:iCs/>
          <w:szCs w:val="24"/>
          <w:lang w:val="en-US" w:eastAsia="zh-CN"/>
        </w:rPr>
        <w:t>Biomaterials</w:t>
      </w:r>
      <w:r w:rsidRPr="006170DA">
        <w:rPr>
          <w:rFonts w:eastAsia="宋体" w:cs="宋体"/>
          <w:szCs w:val="24"/>
          <w:lang w:val="en-US" w:eastAsia="zh-CN"/>
        </w:rPr>
        <w:t> 2007; </w:t>
      </w:r>
      <w:r w:rsidRPr="006170DA">
        <w:rPr>
          <w:rFonts w:eastAsia="宋体" w:cs="宋体"/>
          <w:b/>
          <w:bCs/>
          <w:szCs w:val="24"/>
          <w:lang w:val="en-US" w:eastAsia="zh-CN"/>
        </w:rPr>
        <w:t>28</w:t>
      </w:r>
      <w:r w:rsidRPr="006170DA">
        <w:rPr>
          <w:rFonts w:eastAsia="宋体" w:cs="宋体"/>
          <w:szCs w:val="24"/>
          <w:lang w:val="en-US" w:eastAsia="zh-CN"/>
        </w:rPr>
        <w:t>: 2202-2210 [PMID: 17267031 DOI: 10.1016/j.biomaterials.2007.01.020]</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45 </w:t>
      </w:r>
      <w:r w:rsidRPr="006170DA">
        <w:rPr>
          <w:rFonts w:eastAsia="宋体" w:cs="宋体"/>
          <w:b/>
          <w:bCs/>
          <w:szCs w:val="24"/>
          <w:lang w:val="en-US" w:eastAsia="zh-CN"/>
        </w:rPr>
        <w:t>Dalby MJ</w:t>
      </w:r>
      <w:r w:rsidRPr="006170DA">
        <w:rPr>
          <w:rFonts w:eastAsia="宋体" w:cs="宋体"/>
          <w:szCs w:val="24"/>
          <w:lang w:val="en-US" w:eastAsia="zh-CN"/>
        </w:rPr>
        <w:t>, Childs S, Riehle MO, Johnstone HJ, Affrossman S, Curtis AS. Fibroblast reaction to island topography: changes in cytoskeleton and morphology with time. </w:t>
      </w:r>
      <w:r w:rsidRPr="006170DA">
        <w:rPr>
          <w:rFonts w:eastAsia="宋体" w:cs="宋体"/>
          <w:i/>
          <w:iCs/>
          <w:szCs w:val="24"/>
          <w:lang w:val="en-US" w:eastAsia="zh-CN"/>
        </w:rPr>
        <w:t>Biomaterials</w:t>
      </w:r>
      <w:r w:rsidRPr="006170DA">
        <w:rPr>
          <w:rFonts w:eastAsia="宋体" w:cs="宋体"/>
          <w:szCs w:val="24"/>
          <w:lang w:val="en-US" w:eastAsia="zh-CN"/>
        </w:rPr>
        <w:t> 2003; </w:t>
      </w:r>
      <w:r w:rsidRPr="006170DA">
        <w:rPr>
          <w:rFonts w:eastAsia="宋体" w:cs="宋体"/>
          <w:b/>
          <w:bCs/>
          <w:szCs w:val="24"/>
          <w:lang w:val="en-US" w:eastAsia="zh-CN"/>
        </w:rPr>
        <w:t>24</w:t>
      </w:r>
      <w:r w:rsidRPr="006170DA">
        <w:rPr>
          <w:rFonts w:eastAsia="宋体" w:cs="宋体"/>
          <w:szCs w:val="24"/>
          <w:lang w:val="en-US" w:eastAsia="zh-CN"/>
        </w:rPr>
        <w:t>: 927-935 [PMID: 12504513 DOI: 10.1016/S0142-9612(02)00427-1]</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46 </w:t>
      </w:r>
      <w:r w:rsidRPr="006170DA">
        <w:rPr>
          <w:rFonts w:eastAsia="宋体" w:cs="宋体"/>
          <w:b/>
          <w:bCs/>
          <w:szCs w:val="24"/>
          <w:lang w:val="en-US" w:eastAsia="zh-CN"/>
        </w:rPr>
        <w:t>McMurray RJ</w:t>
      </w:r>
      <w:r w:rsidRPr="006170DA">
        <w:rPr>
          <w:rFonts w:eastAsia="宋体" w:cs="宋体"/>
          <w:szCs w:val="24"/>
          <w:lang w:val="en-US" w:eastAsia="zh-CN"/>
        </w:rPr>
        <w:t>, Gadegaard N, Tsimbouri PM, Burgess KV, McNamara LE, Tare R, Murawski K, Kingham E, Oreffo RO, Dalby MJ. Nanoscale surfaces for the long-term maintenance of mesenchymal stem cell phenotype and multipotency. </w:t>
      </w:r>
      <w:r w:rsidRPr="006170DA">
        <w:rPr>
          <w:rFonts w:eastAsia="宋体" w:cs="宋体"/>
          <w:i/>
          <w:iCs/>
          <w:szCs w:val="24"/>
          <w:lang w:val="en-US" w:eastAsia="zh-CN"/>
        </w:rPr>
        <w:t>Nat Mater</w:t>
      </w:r>
      <w:r w:rsidRPr="006170DA">
        <w:rPr>
          <w:rFonts w:eastAsia="宋体" w:cs="宋体"/>
          <w:szCs w:val="24"/>
          <w:lang w:val="en-US" w:eastAsia="zh-CN"/>
        </w:rPr>
        <w:t> 2011; </w:t>
      </w:r>
      <w:r w:rsidRPr="006170DA">
        <w:rPr>
          <w:rFonts w:eastAsia="宋体" w:cs="宋体"/>
          <w:b/>
          <w:bCs/>
          <w:szCs w:val="24"/>
          <w:lang w:val="en-US" w:eastAsia="zh-CN"/>
        </w:rPr>
        <w:t>10</w:t>
      </w:r>
      <w:r w:rsidRPr="006170DA">
        <w:rPr>
          <w:rFonts w:eastAsia="宋体" w:cs="宋体"/>
          <w:szCs w:val="24"/>
          <w:lang w:val="en-US" w:eastAsia="zh-CN"/>
        </w:rPr>
        <w:t>: 637-644 [PMID: 21765399 DOI: 10.1038/nmat3058]</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47 </w:t>
      </w:r>
      <w:r w:rsidRPr="006170DA">
        <w:rPr>
          <w:rFonts w:eastAsia="宋体" w:cs="宋体"/>
          <w:b/>
          <w:bCs/>
          <w:szCs w:val="24"/>
          <w:lang w:val="en-US" w:eastAsia="zh-CN"/>
        </w:rPr>
        <w:t>Curtis A</w:t>
      </w:r>
      <w:r w:rsidRPr="006170DA">
        <w:rPr>
          <w:rFonts w:eastAsia="宋体" w:cs="宋体"/>
          <w:szCs w:val="24"/>
          <w:lang w:val="en-US" w:eastAsia="zh-CN"/>
        </w:rPr>
        <w:t>, Wilkinson C. Topographical control of cells. </w:t>
      </w:r>
      <w:r w:rsidRPr="006170DA">
        <w:rPr>
          <w:rFonts w:eastAsia="宋体" w:cs="宋体"/>
          <w:i/>
          <w:iCs/>
          <w:szCs w:val="24"/>
          <w:lang w:val="en-US" w:eastAsia="zh-CN"/>
        </w:rPr>
        <w:t>Biomaterials</w:t>
      </w:r>
      <w:r w:rsidRPr="006170DA">
        <w:rPr>
          <w:rFonts w:eastAsia="宋体" w:cs="宋体"/>
          <w:szCs w:val="24"/>
          <w:lang w:val="en-US" w:eastAsia="zh-CN"/>
        </w:rPr>
        <w:t> 1997; </w:t>
      </w:r>
      <w:r w:rsidRPr="006170DA">
        <w:rPr>
          <w:rFonts w:eastAsia="宋体" w:cs="宋体"/>
          <w:b/>
          <w:bCs/>
          <w:szCs w:val="24"/>
          <w:lang w:val="en-US" w:eastAsia="zh-CN"/>
        </w:rPr>
        <w:t>18</w:t>
      </w:r>
      <w:r w:rsidRPr="006170DA">
        <w:rPr>
          <w:rFonts w:eastAsia="宋体" w:cs="宋体"/>
          <w:szCs w:val="24"/>
          <w:lang w:val="en-US" w:eastAsia="zh-CN"/>
        </w:rPr>
        <w:t>: 1573-1583 [PMID: 9613804 DOI: 10.1016/S0142-9612(97)00144-0]</w:t>
      </w:r>
    </w:p>
    <w:p w:rsid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48 </w:t>
      </w:r>
      <w:r w:rsidRPr="006170DA">
        <w:rPr>
          <w:rFonts w:eastAsia="宋体" w:cs="宋体"/>
          <w:b/>
          <w:bCs/>
          <w:szCs w:val="24"/>
          <w:lang w:val="en-US" w:eastAsia="zh-CN"/>
        </w:rPr>
        <w:t>Stevens MM</w:t>
      </w:r>
      <w:r w:rsidRPr="006170DA">
        <w:rPr>
          <w:rFonts w:eastAsia="宋体" w:cs="宋体"/>
          <w:szCs w:val="24"/>
          <w:lang w:val="en-US" w:eastAsia="zh-CN"/>
        </w:rPr>
        <w:t>, George JH. Exploring and engineering the cell surface interface. </w:t>
      </w:r>
      <w:r w:rsidRPr="006170DA">
        <w:rPr>
          <w:rFonts w:eastAsia="宋体" w:cs="宋体"/>
          <w:i/>
          <w:iCs/>
          <w:szCs w:val="24"/>
          <w:lang w:val="en-US" w:eastAsia="zh-CN"/>
        </w:rPr>
        <w:t>Science</w:t>
      </w:r>
      <w:r w:rsidRPr="006170DA">
        <w:rPr>
          <w:rFonts w:eastAsia="宋体" w:cs="宋体"/>
          <w:szCs w:val="24"/>
          <w:lang w:val="en-US" w:eastAsia="zh-CN"/>
        </w:rPr>
        <w:t> 2005; </w:t>
      </w:r>
      <w:r w:rsidRPr="006170DA">
        <w:rPr>
          <w:rFonts w:eastAsia="宋体" w:cs="宋体"/>
          <w:b/>
          <w:bCs/>
          <w:szCs w:val="24"/>
          <w:lang w:val="en-US" w:eastAsia="zh-CN"/>
        </w:rPr>
        <w:t>310</w:t>
      </w:r>
      <w:r w:rsidRPr="006170DA">
        <w:rPr>
          <w:rFonts w:eastAsia="宋体" w:cs="宋体"/>
          <w:szCs w:val="24"/>
          <w:lang w:val="en-US" w:eastAsia="zh-CN"/>
        </w:rPr>
        <w:t>: 1135-1138 [PMID: 16293749 DOI: 10.1126/science.1106587]</w:t>
      </w:r>
    </w:p>
    <w:p w:rsidR="00462403" w:rsidRPr="006170DA" w:rsidRDefault="00462403" w:rsidP="00462403">
      <w:pPr>
        <w:spacing w:after="0" w:line="360" w:lineRule="auto"/>
        <w:ind w:left="0" w:firstLine="0"/>
        <w:rPr>
          <w:rFonts w:eastAsia="宋体" w:cs="宋体"/>
          <w:szCs w:val="24"/>
          <w:lang w:val="en-US" w:eastAsia="zh-CN"/>
        </w:rPr>
      </w:pPr>
      <w:r>
        <w:rPr>
          <w:rFonts w:eastAsia="宋体" w:cs="宋体" w:hint="eastAsia"/>
          <w:szCs w:val="24"/>
          <w:lang w:val="en-US" w:eastAsia="zh-CN"/>
        </w:rPr>
        <w:t>49</w:t>
      </w:r>
      <w:r w:rsidRPr="006170DA">
        <w:rPr>
          <w:rFonts w:eastAsia="宋体" w:cs="宋体"/>
          <w:szCs w:val="24"/>
          <w:lang w:val="en-US" w:eastAsia="zh-CN"/>
        </w:rPr>
        <w:t> </w:t>
      </w:r>
      <w:r w:rsidRPr="006170DA">
        <w:rPr>
          <w:rFonts w:eastAsia="宋体" w:cs="宋体"/>
          <w:b/>
          <w:bCs/>
          <w:szCs w:val="24"/>
          <w:lang w:val="en-US" w:eastAsia="zh-CN"/>
        </w:rPr>
        <w:t>Nava MM</w:t>
      </w:r>
      <w:r w:rsidRPr="006170DA">
        <w:rPr>
          <w:rFonts w:eastAsia="宋体" w:cs="宋体"/>
          <w:szCs w:val="24"/>
          <w:lang w:val="en-US" w:eastAsia="zh-CN"/>
        </w:rPr>
        <w:t>, Raimondi MT, Pietrabissa R. Controlling self-renewal and differentiation of stem cells via mechanical cues. </w:t>
      </w:r>
      <w:r w:rsidRPr="006170DA">
        <w:rPr>
          <w:rFonts w:eastAsia="宋体" w:cs="宋体"/>
          <w:i/>
          <w:iCs/>
          <w:szCs w:val="24"/>
          <w:lang w:val="en-US" w:eastAsia="zh-CN"/>
        </w:rPr>
        <w:t>J Biomed Biotechnol</w:t>
      </w:r>
      <w:r w:rsidRPr="006170DA">
        <w:rPr>
          <w:rFonts w:eastAsia="宋体" w:cs="宋体"/>
          <w:szCs w:val="24"/>
          <w:lang w:val="en-US" w:eastAsia="zh-CN"/>
        </w:rPr>
        <w:t> 2012; </w:t>
      </w:r>
      <w:r w:rsidRPr="006170DA">
        <w:rPr>
          <w:rFonts w:eastAsia="宋体" w:cs="宋体"/>
          <w:b/>
          <w:bCs/>
          <w:szCs w:val="24"/>
          <w:lang w:val="en-US" w:eastAsia="zh-CN"/>
        </w:rPr>
        <w:t>2012</w:t>
      </w:r>
      <w:r w:rsidRPr="006170DA">
        <w:rPr>
          <w:rFonts w:eastAsia="宋体" w:cs="宋体"/>
          <w:szCs w:val="24"/>
          <w:lang w:val="en-US" w:eastAsia="zh-CN"/>
        </w:rPr>
        <w:t>: 797410 [PMID: 23091358]</w:t>
      </w:r>
    </w:p>
    <w:p w:rsidR="00462403" w:rsidRPr="006170DA" w:rsidRDefault="00462403"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5</w:t>
      </w:r>
      <w:r>
        <w:rPr>
          <w:rFonts w:eastAsia="宋体" w:cs="宋体" w:hint="eastAsia"/>
          <w:szCs w:val="24"/>
          <w:lang w:val="en-US" w:eastAsia="zh-CN"/>
        </w:rPr>
        <w:t>0</w:t>
      </w:r>
      <w:r w:rsidRPr="006170DA">
        <w:rPr>
          <w:rFonts w:eastAsia="宋体" w:cs="宋体"/>
          <w:szCs w:val="24"/>
          <w:lang w:val="en-US" w:eastAsia="zh-CN"/>
        </w:rPr>
        <w:t> </w:t>
      </w:r>
      <w:r w:rsidRPr="006170DA">
        <w:rPr>
          <w:rFonts w:eastAsia="宋体" w:cs="宋体"/>
          <w:b/>
          <w:bCs/>
          <w:szCs w:val="24"/>
          <w:lang w:val="en-US" w:eastAsia="zh-CN"/>
        </w:rPr>
        <w:t>Dalby MJ</w:t>
      </w:r>
      <w:r w:rsidRPr="006170DA">
        <w:rPr>
          <w:rFonts w:eastAsia="宋体" w:cs="宋体"/>
          <w:szCs w:val="24"/>
          <w:lang w:val="en-US" w:eastAsia="zh-CN"/>
        </w:rPr>
        <w:t>, Gadegaard N, Tare R, Andar A, Riehle MO, Herzyk P, Wilkinson CD, Oreffo RO. The control of human mesenchymal cell differentiation using nanoscale symmetry and disorder. </w:t>
      </w:r>
      <w:r w:rsidRPr="006170DA">
        <w:rPr>
          <w:rFonts w:eastAsia="宋体" w:cs="宋体"/>
          <w:i/>
          <w:iCs/>
          <w:szCs w:val="24"/>
          <w:lang w:val="en-US" w:eastAsia="zh-CN"/>
        </w:rPr>
        <w:t>Nat Mater</w:t>
      </w:r>
      <w:r w:rsidRPr="006170DA">
        <w:rPr>
          <w:rFonts w:eastAsia="宋体" w:cs="宋体"/>
          <w:szCs w:val="24"/>
          <w:lang w:val="en-US" w:eastAsia="zh-CN"/>
        </w:rPr>
        <w:t> 2007; </w:t>
      </w:r>
      <w:r w:rsidRPr="006170DA">
        <w:rPr>
          <w:rFonts w:eastAsia="宋体" w:cs="宋体"/>
          <w:b/>
          <w:bCs/>
          <w:szCs w:val="24"/>
          <w:lang w:val="en-US" w:eastAsia="zh-CN"/>
        </w:rPr>
        <w:t>6</w:t>
      </w:r>
      <w:r w:rsidRPr="006170DA">
        <w:rPr>
          <w:rFonts w:eastAsia="宋体" w:cs="宋体"/>
          <w:szCs w:val="24"/>
          <w:lang w:val="en-US" w:eastAsia="zh-CN"/>
        </w:rPr>
        <w:t xml:space="preserve">: 997-1003 [PMID: </w:t>
      </w:r>
      <w:r>
        <w:rPr>
          <w:rFonts w:eastAsia="宋体" w:cs="宋体"/>
          <w:szCs w:val="24"/>
          <w:lang w:val="en-US" w:eastAsia="zh-CN"/>
        </w:rPr>
        <w:t>17891143 DOI: 10.1038/nmat2013]</w:t>
      </w:r>
    </w:p>
    <w:p w:rsidR="006170DA" w:rsidRPr="006170DA" w:rsidRDefault="00462403" w:rsidP="006170DA">
      <w:pPr>
        <w:spacing w:after="0" w:line="360" w:lineRule="auto"/>
        <w:ind w:left="0" w:firstLine="0"/>
        <w:rPr>
          <w:rFonts w:eastAsia="宋体" w:cs="宋体"/>
          <w:szCs w:val="24"/>
          <w:lang w:val="en-US" w:eastAsia="zh-CN"/>
        </w:rPr>
      </w:pPr>
      <w:r>
        <w:rPr>
          <w:rFonts w:eastAsia="宋体" w:cs="宋体" w:hint="eastAsia"/>
          <w:szCs w:val="24"/>
          <w:lang w:val="en-US" w:eastAsia="zh-CN"/>
        </w:rPr>
        <w:t>51</w:t>
      </w:r>
      <w:r w:rsidR="006170DA" w:rsidRPr="006170DA">
        <w:rPr>
          <w:rFonts w:eastAsia="宋体" w:cs="宋体"/>
          <w:szCs w:val="24"/>
          <w:lang w:val="en-US" w:eastAsia="zh-CN"/>
        </w:rPr>
        <w:t> </w:t>
      </w:r>
      <w:r w:rsidR="006170DA" w:rsidRPr="006170DA">
        <w:rPr>
          <w:rFonts w:eastAsia="宋体" w:cs="宋体"/>
          <w:b/>
          <w:bCs/>
          <w:szCs w:val="24"/>
          <w:lang w:val="en-US" w:eastAsia="zh-CN"/>
        </w:rPr>
        <w:t>Curran JM</w:t>
      </w:r>
      <w:r w:rsidR="006170DA" w:rsidRPr="006170DA">
        <w:rPr>
          <w:rFonts w:eastAsia="宋体" w:cs="宋体"/>
          <w:szCs w:val="24"/>
          <w:lang w:val="en-US" w:eastAsia="zh-CN"/>
        </w:rPr>
        <w:t>, Stokes R, Irvine E, Graham D, Amro NA, Sanedrin RG, Jamil H, Hunt JA. Introducing dip pen nanolithography as a tool for controlling stem cell behaviour: unlocking the potential of the next generation of smart materials in regenerative medicine. </w:t>
      </w:r>
      <w:r w:rsidR="006170DA" w:rsidRPr="006170DA">
        <w:rPr>
          <w:rFonts w:eastAsia="宋体" w:cs="宋体"/>
          <w:i/>
          <w:iCs/>
          <w:szCs w:val="24"/>
          <w:lang w:val="en-US" w:eastAsia="zh-CN"/>
        </w:rPr>
        <w:t>Lab Chip</w:t>
      </w:r>
      <w:r w:rsidR="006170DA" w:rsidRPr="006170DA">
        <w:rPr>
          <w:rFonts w:eastAsia="宋体" w:cs="宋体"/>
          <w:szCs w:val="24"/>
          <w:lang w:val="en-US" w:eastAsia="zh-CN"/>
        </w:rPr>
        <w:t> 2010; </w:t>
      </w:r>
      <w:r w:rsidR="006170DA" w:rsidRPr="006170DA">
        <w:rPr>
          <w:rFonts w:eastAsia="宋体" w:cs="宋体"/>
          <w:b/>
          <w:bCs/>
          <w:szCs w:val="24"/>
          <w:lang w:val="en-US" w:eastAsia="zh-CN"/>
        </w:rPr>
        <w:t>10</w:t>
      </w:r>
      <w:r w:rsidR="006170DA" w:rsidRPr="006170DA">
        <w:rPr>
          <w:rFonts w:eastAsia="宋体" w:cs="宋体"/>
          <w:szCs w:val="24"/>
          <w:lang w:val="en-US" w:eastAsia="zh-CN"/>
        </w:rPr>
        <w:t>: 1662-1670 [PMID: 20390207 DOI: 10.1039/c004149a]</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5</w:t>
      </w:r>
      <w:r w:rsidR="00462403">
        <w:rPr>
          <w:rFonts w:eastAsia="宋体" w:cs="宋体" w:hint="eastAsia"/>
          <w:szCs w:val="24"/>
          <w:lang w:val="en-US" w:eastAsia="zh-CN"/>
        </w:rPr>
        <w:t>2</w:t>
      </w:r>
      <w:r w:rsidRPr="006170DA">
        <w:rPr>
          <w:rFonts w:eastAsia="宋体" w:cs="宋体"/>
          <w:szCs w:val="24"/>
          <w:lang w:val="en-US" w:eastAsia="zh-CN"/>
        </w:rPr>
        <w:t> </w:t>
      </w:r>
      <w:r w:rsidRPr="006170DA">
        <w:rPr>
          <w:rFonts w:eastAsia="宋体" w:cs="宋体"/>
          <w:b/>
          <w:bCs/>
          <w:szCs w:val="24"/>
          <w:lang w:val="en-US" w:eastAsia="zh-CN"/>
        </w:rPr>
        <w:t>Yim EK</w:t>
      </w:r>
      <w:r w:rsidRPr="006170DA">
        <w:rPr>
          <w:rFonts w:eastAsia="宋体" w:cs="宋体"/>
          <w:szCs w:val="24"/>
          <w:lang w:val="en-US" w:eastAsia="zh-CN"/>
        </w:rPr>
        <w:t>, Pang SW, Leong KW. Synthetic nanostructures inducing differentiation of human mesenchymal stem cells into neuronal lineage. </w:t>
      </w:r>
      <w:r w:rsidRPr="006170DA">
        <w:rPr>
          <w:rFonts w:eastAsia="宋体" w:cs="宋体"/>
          <w:i/>
          <w:iCs/>
          <w:szCs w:val="24"/>
          <w:lang w:val="en-US" w:eastAsia="zh-CN"/>
        </w:rPr>
        <w:t>Exp Cell Res</w:t>
      </w:r>
      <w:r w:rsidRPr="006170DA">
        <w:rPr>
          <w:rFonts w:eastAsia="宋体" w:cs="宋体"/>
          <w:szCs w:val="24"/>
          <w:lang w:val="en-US" w:eastAsia="zh-CN"/>
        </w:rPr>
        <w:t> 2007; </w:t>
      </w:r>
      <w:r w:rsidRPr="006170DA">
        <w:rPr>
          <w:rFonts w:eastAsia="宋体" w:cs="宋体"/>
          <w:b/>
          <w:bCs/>
          <w:szCs w:val="24"/>
          <w:lang w:val="en-US" w:eastAsia="zh-CN"/>
        </w:rPr>
        <w:t>313</w:t>
      </w:r>
      <w:r w:rsidRPr="006170DA">
        <w:rPr>
          <w:rFonts w:eastAsia="宋体" w:cs="宋体"/>
          <w:szCs w:val="24"/>
          <w:lang w:val="en-US" w:eastAsia="zh-CN"/>
        </w:rPr>
        <w:t>: 1820-1829 [PMID: 17428465 DOI: 10.1016/j.yexcr.2007.02.031]</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5</w:t>
      </w:r>
      <w:r w:rsidR="00462403">
        <w:rPr>
          <w:rFonts w:eastAsia="宋体" w:cs="宋体" w:hint="eastAsia"/>
          <w:szCs w:val="24"/>
          <w:lang w:val="en-US" w:eastAsia="zh-CN"/>
        </w:rPr>
        <w:t>3</w:t>
      </w:r>
      <w:r w:rsidRPr="006170DA">
        <w:rPr>
          <w:rFonts w:eastAsia="宋体" w:cs="宋体"/>
          <w:szCs w:val="24"/>
          <w:lang w:val="en-US" w:eastAsia="zh-CN"/>
        </w:rPr>
        <w:t> </w:t>
      </w:r>
      <w:r w:rsidRPr="006170DA">
        <w:rPr>
          <w:rFonts w:eastAsia="宋体" w:cs="宋体"/>
          <w:b/>
          <w:bCs/>
          <w:szCs w:val="24"/>
          <w:lang w:val="en-US" w:eastAsia="zh-CN"/>
        </w:rPr>
        <w:t>Guduru D</w:t>
      </w:r>
      <w:r w:rsidRPr="006170DA">
        <w:rPr>
          <w:rFonts w:eastAsia="宋体" w:cs="宋体"/>
          <w:szCs w:val="24"/>
          <w:lang w:val="en-US" w:eastAsia="zh-CN"/>
        </w:rPr>
        <w:t>, Niepel M, Vogel J, Groth T. Nanostructured material surfaces--preparation, effect on cellular behavior, and potential biomedical applications: a review. </w:t>
      </w:r>
      <w:r w:rsidRPr="006170DA">
        <w:rPr>
          <w:rFonts w:eastAsia="宋体" w:cs="宋体"/>
          <w:i/>
          <w:iCs/>
          <w:szCs w:val="24"/>
          <w:lang w:val="en-US" w:eastAsia="zh-CN"/>
        </w:rPr>
        <w:t>Int J Artif Organs</w:t>
      </w:r>
      <w:r w:rsidRPr="006170DA">
        <w:rPr>
          <w:rFonts w:eastAsia="宋体" w:cs="宋体"/>
          <w:szCs w:val="24"/>
          <w:lang w:val="en-US" w:eastAsia="zh-CN"/>
        </w:rPr>
        <w:t> 2011; </w:t>
      </w:r>
      <w:r w:rsidRPr="006170DA">
        <w:rPr>
          <w:rFonts w:eastAsia="宋体" w:cs="宋体"/>
          <w:b/>
          <w:bCs/>
          <w:szCs w:val="24"/>
          <w:lang w:val="en-US" w:eastAsia="zh-CN"/>
        </w:rPr>
        <w:t>34</w:t>
      </w:r>
      <w:r w:rsidRPr="006170DA">
        <w:rPr>
          <w:rFonts w:eastAsia="宋体" w:cs="宋体"/>
          <w:szCs w:val="24"/>
          <w:lang w:val="en-US" w:eastAsia="zh-CN"/>
        </w:rPr>
        <w:t>: 963-985 [PMID: 22161281 DOI: 10.5301/IJAO.5000012]</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54 </w:t>
      </w:r>
      <w:r w:rsidRPr="006170DA">
        <w:rPr>
          <w:rFonts w:eastAsia="宋体" w:cs="宋体"/>
          <w:b/>
          <w:bCs/>
          <w:szCs w:val="24"/>
          <w:lang w:val="en-US" w:eastAsia="zh-CN"/>
        </w:rPr>
        <w:t>Andersen MØ</w:t>
      </w:r>
      <w:r w:rsidRPr="006170DA">
        <w:rPr>
          <w:rFonts w:eastAsia="宋体" w:cs="宋体"/>
          <w:szCs w:val="24"/>
          <w:lang w:val="en-US" w:eastAsia="zh-CN"/>
        </w:rPr>
        <w:t>, Nygaard JV, Burns JS, Raarup MK, Nyengaard JR, Bünger C, Besenbacher F, Howard KA, Kassem M, Kjems J. siRNA nanoparticle functionalization of nanostructured scaffolds enables controlled multilineage differentiation of stem cells. </w:t>
      </w:r>
      <w:r w:rsidRPr="006170DA">
        <w:rPr>
          <w:rFonts w:eastAsia="宋体" w:cs="宋体"/>
          <w:i/>
          <w:iCs/>
          <w:szCs w:val="24"/>
          <w:lang w:val="en-US" w:eastAsia="zh-CN"/>
        </w:rPr>
        <w:t>Mol Ther</w:t>
      </w:r>
      <w:r w:rsidRPr="006170DA">
        <w:rPr>
          <w:rFonts w:eastAsia="宋体" w:cs="宋体"/>
          <w:szCs w:val="24"/>
          <w:lang w:val="en-US" w:eastAsia="zh-CN"/>
        </w:rPr>
        <w:t> 2010; </w:t>
      </w:r>
      <w:r w:rsidRPr="006170DA">
        <w:rPr>
          <w:rFonts w:eastAsia="宋体" w:cs="宋体"/>
          <w:b/>
          <w:bCs/>
          <w:szCs w:val="24"/>
          <w:lang w:val="en-US" w:eastAsia="zh-CN"/>
        </w:rPr>
        <w:t>18</w:t>
      </w:r>
      <w:r w:rsidRPr="006170DA">
        <w:rPr>
          <w:rFonts w:eastAsia="宋体" w:cs="宋体"/>
          <w:szCs w:val="24"/>
          <w:lang w:val="en-US" w:eastAsia="zh-CN"/>
        </w:rPr>
        <w:t>: 2018-2027 [PMID: 20808289 DOI: 10.1038/mt.2010.166]</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55 </w:t>
      </w:r>
      <w:r w:rsidRPr="006170DA">
        <w:rPr>
          <w:rFonts w:eastAsia="宋体" w:cs="宋体"/>
          <w:b/>
          <w:bCs/>
          <w:szCs w:val="24"/>
          <w:lang w:val="en-US" w:eastAsia="zh-CN"/>
        </w:rPr>
        <w:t>Watari S</w:t>
      </w:r>
      <w:r w:rsidRPr="006170DA">
        <w:rPr>
          <w:rFonts w:eastAsia="宋体" w:cs="宋体"/>
          <w:szCs w:val="24"/>
          <w:lang w:val="en-US" w:eastAsia="zh-CN"/>
        </w:rPr>
        <w:t>, Hayashi K, Wood JA, Russell P, Nealey PF, Murphy CJ, Genetos DC. Modulation of osteogenic differentiation in hMSCs cells by submicron topographically-patterned ridges and grooves. </w:t>
      </w:r>
      <w:r w:rsidRPr="006170DA">
        <w:rPr>
          <w:rFonts w:eastAsia="宋体" w:cs="宋体"/>
          <w:i/>
          <w:iCs/>
          <w:szCs w:val="24"/>
          <w:lang w:val="en-US" w:eastAsia="zh-CN"/>
        </w:rPr>
        <w:t>Biomaterials</w:t>
      </w:r>
      <w:r w:rsidRPr="006170DA">
        <w:rPr>
          <w:rFonts w:eastAsia="宋体" w:cs="宋体"/>
          <w:szCs w:val="24"/>
          <w:lang w:val="en-US" w:eastAsia="zh-CN"/>
        </w:rPr>
        <w:t> 2012; </w:t>
      </w:r>
      <w:r w:rsidRPr="006170DA">
        <w:rPr>
          <w:rFonts w:eastAsia="宋体" w:cs="宋体"/>
          <w:b/>
          <w:bCs/>
          <w:szCs w:val="24"/>
          <w:lang w:val="en-US" w:eastAsia="zh-CN"/>
        </w:rPr>
        <w:t>33</w:t>
      </w:r>
      <w:r w:rsidRPr="006170DA">
        <w:rPr>
          <w:rFonts w:eastAsia="宋体" w:cs="宋体"/>
          <w:szCs w:val="24"/>
          <w:lang w:val="en-US" w:eastAsia="zh-CN"/>
        </w:rPr>
        <w:t>: 128-136 [PMID: 21982295 DOI: 10.1016/j.biomaterials.2011.09.058]</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56 </w:t>
      </w:r>
      <w:r w:rsidRPr="006170DA">
        <w:rPr>
          <w:rFonts w:eastAsia="宋体" w:cs="宋体"/>
          <w:b/>
          <w:bCs/>
          <w:szCs w:val="24"/>
          <w:lang w:val="en-US" w:eastAsia="zh-CN"/>
        </w:rPr>
        <w:t>Wu YN</w:t>
      </w:r>
      <w:r w:rsidRPr="006170DA">
        <w:rPr>
          <w:rFonts w:eastAsia="宋体" w:cs="宋体"/>
          <w:szCs w:val="24"/>
          <w:lang w:val="en-US" w:eastAsia="zh-CN"/>
        </w:rPr>
        <w:t>, Law JB, He AY, Low HY, Hui JH, Lim CT, Yang Z, Lee EH. Substrate topography determines the fate of chondrogenesis from human mesenchymal stem cells resulting in specific cartilage phenotype formation. </w:t>
      </w:r>
      <w:r w:rsidRPr="006170DA">
        <w:rPr>
          <w:rFonts w:eastAsia="宋体" w:cs="宋体"/>
          <w:i/>
          <w:iCs/>
          <w:szCs w:val="24"/>
          <w:lang w:val="en-US" w:eastAsia="zh-CN"/>
        </w:rPr>
        <w:t>Nanomedicine</w:t>
      </w:r>
      <w:r w:rsidRPr="006170DA">
        <w:rPr>
          <w:rFonts w:eastAsia="宋体" w:cs="宋体"/>
          <w:szCs w:val="24"/>
          <w:lang w:val="en-US" w:eastAsia="zh-CN"/>
        </w:rPr>
        <w:t> 2014; </w:t>
      </w:r>
      <w:r w:rsidRPr="006170DA">
        <w:rPr>
          <w:rFonts w:eastAsia="宋体" w:cs="宋体"/>
          <w:b/>
          <w:bCs/>
          <w:szCs w:val="24"/>
          <w:lang w:val="en-US" w:eastAsia="zh-CN"/>
        </w:rPr>
        <w:t>10</w:t>
      </w:r>
      <w:r w:rsidRPr="006170DA">
        <w:rPr>
          <w:rFonts w:eastAsia="宋体" w:cs="宋体"/>
          <w:szCs w:val="24"/>
          <w:lang w:val="en-US" w:eastAsia="zh-CN"/>
        </w:rPr>
        <w:t>: 1507-1516 [PMID: 24768908 DOI: 10.1016/j.nano.2014.04.002]</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57 </w:t>
      </w:r>
      <w:r w:rsidRPr="006170DA">
        <w:rPr>
          <w:rFonts w:eastAsia="宋体" w:cs="宋体"/>
          <w:b/>
          <w:bCs/>
          <w:szCs w:val="24"/>
          <w:lang w:val="en-US" w:eastAsia="zh-CN"/>
        </w:rPr>
        <w:t>Kilian KA</w:t>
      </w:r>
      <w:r w:rsidRPr="006170DA">
        <w:rPr>
          <w:rFonts w:eastAsia="宋体" w:cs="宋体"/>
          <w:szCs w:val="24"/>
          <w:lang w:val="en-US" w:eastAsia="zh-CN"/>
        </w:rPr>
        <w:t>, Bugarija B, Lahn BT, Mrksich M. Geometric cues for directing the differentiation of mesenchymal stem cells. </w:t>
      </w:r>
      <w:r w:rsidRPr="006170DA">
        <w:rPr>
          <w:rFonts w:eastAsia="宋体" w:cs="宋体"/>
          <w:i/>
          <w:iCs/>
          <w:szCs w:val="24"/>
          <w:lang w:val="en-US" w:eastAsia="zh-CN"/>
        </w:rPr>
        <w:t>Proc Natl Acad Sci U S A</w:t>
      </w:r>
      <w:r w:rsidRPr="006170DA">
        <w:rPr>
          <w:rFonts w:eastAsia="宋体" w:cs="宋体"/>
          <w:szCs w:val="24"/>
          <w:lang w:val="en-US" w:eastAsia="zh-CN"/>
        </w:rPr>
        <w:t> 2010; </w:t>
      </w:r>
      <w:r w:rsidRPr="006170DA">
        <w:rPr>
          <w:rFonts w:eastAsia="宋体" w:cs="宋体"/>
          <w:b/>
          <w:bCs/>
          <w:szCs w:val="24"/>
          <w:lang w:val="en-US" w:eastAsia="zh-CN"/>
        </w:rPr>
        <w:t>107</w:t>
      </w:r>
      <w:r w:rsidRPr="006170DA">
        <w:rPr>
          <w:rFonts w:eastAsia="宋体" w:cs="宋体"/>
          <w:szCs w:val="24"/>
          <w:lang w:val="en-US" w:eastAsia="zh-CN"/>
        </w:rPr>
        <w:t>: 4872-4877 [PMID: 20194780 DOI: 10.1073/pnas.0903269107]</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58 </w:t>
      </w:r>
      <w:r w:rsidRPr="006170DA">
        <w:rPr>
          <w:rFonts w:eastAsia="宋体" w:cs="宋体"/>
          <w:b/>
          <w:bCs/>
          <w:szCs w:val="24"/>
          <w:lang w:val="en-US" w:eastAsia="zh-CN"/>
        </w:rPr>
        <w:t>Hu J</w:t>
      </w:r>
      <w:r w:rsidRPr="006170DA">
        <w:rPr>
          <w:rFonts w:eastAsia="宋体" w:cs="宋体"/>
          <w:szCs w:val="24"/>
          <w:lang w:val="en-US" w:eastAsia="zh-CN"/>
        </w:rPr>
        <w:t>, Zhou Y, Huang L, Liu J, Lu H. Effect of nano-hydroxyapatite coating on the osteoinductivity of porous biphasic calcium phosphate ceramics. </w:t>
      </w:r>
      <w:r w:rsidRPr="006170DA">
        <w:rPr>
          <w:rFonts w:eastAsia="宋体" w:cs="宋体"/>
          <w:i/>
          <w:iCs/>
          <w:szCs w:val="24"/>
          <w:lang w:val="en-US" w:eastAsia="zh-CN"/>
        </w:rPr>
        <w:t>BMC Musculoskelet Disord</w:t>
      </w:r>
      <w:r w:rsidRPr="006170DA">
        <w:rPr>
          <w:rFonts w:eastAsia="宋体" w:cs="宋体"/>
          <w:szCs w:val="24"/>
          <w:lang w:val="en-US" w:eastAsia="zh-CN"/>
        </w:rPr>
        <w:t> 2014; </w:t>
      </w:r>
      <w:r w:rsidRPr="006170DA">
        <w:rPr>
          <w:rFonts w:eastAsia="宋体" w:cs="宋体"/>
          <w:b/>
          <w:bCs/>
          <w:szCs w:val="24"/>
          <w:lang w:val="en-US" w:eastAsia="zh-CN"/>
        </w:rPr>
        <w:t>15</w:t>
      </w:r>
      <w:r w:rsidRPr="006170DA">
        <w:rPr>
          <w:rFonts w:eastAsia="宋体" w:cs="宋体"/>
          <w:szCs w:val="24"/>
          <w:lang w:val="en-US" w:eastAsia="zh-CN"/>
        </w:rPr>
        <w:t>: 114 [PMID: 24690170 DOI: 10.1186/1471-2474-15-114]</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59 </w:t>
      </w:r>
      <w:r w:rsidRPr="006170DA">
        <w:rPr>
          <w:rFonts w:eastAsia="宋体" w:cs="宋体"/>
          <w:b/>
          <w:bCs/>
          <w:szCs w:val="24"/>
          <w:lang w:val="en-US" w:eastAsia="zh-CN"/>
        </w:rPr>
        <w:t>Deng M</w:t>
      </w:r>
      <w:r w:rsidRPr="006170DA">
        <w:rPr>
          <w:rFonts w:eastAsia="宋体" w:cs="宋体"/>
          <w:szCs w:val="24"/>
          <w:lang w:val="en-US" w:eastAsia="zh-CN"/>
        </w:rPr>
        <w:t>, James R, Laurencin CT, Kumbar SG. Nanostructured polymeric scaffolds for orthopaedic regenerative engineering. </w:t>
      </w:r>
      <w:r w:rsidRPr="006170DA">
        <w:rPr>
          <w:rFonts w:eastAsia="宋体" w:cs="宋体"/>
          <w:i/>
          <w:iCs/>
          <w:szCs w:val="24"/>
          <w:lang w:val="en-US" w:eastAsia="zh-CN"/>
        </w:rPr>
        <w:t>IEEE Trans Nanobioscience</w:t>
      </w:r>
      <w:r w:rsidRPr="006170DA">
        <w:rPr>
          <w:rFonts w:eastAsia="宋体" w:cs="宋体"/>
          <w:szCs w:val="24"/>
          <w:lang w:val="en-US" w:eastAsia="zh-CN"/>
        </w:rPr>
        <w:t> 2012; </w:t>
      </w:r>
      <w:r w:rsidRPr="006170DA">
        <w:rPr>
          <w:rFonts w:eastAsia="宋体" w:cs="宋体"/>
          <w:b/>
          <w:bCs/>
          <w:szCs w:val="24"/>
          <w:lang w:val="en-US" w:eastAsia="zh-CN"/>
        </w:rPr>
        <w:t>11</w:t>
      </w:r>
      <w:r w:rsidRPr="006170DA">
        <w:rPr>
          <w:rFonts w:eastAsia="宋体" w:cs="宋体"/>
          <w:szCs w:val="24"/>
          <w:lang w:val="en-US" w:eastAsia="zh-CN"/>
        </w:rPr>
        <w:t>: 3-14 [PMID: 22275722 DOI: 10.1109/TNB.2011.2179554]</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60 </w:t>
      </w:r>
      <w:r w:rsidRPr="006170DA">
        <w:rPr>
          <w:rFonts w:eastAsia="宋体" w:cs="宋体"/>
          <w:b/>
          <w:bCs/>
          <w:szCs w:val="24"/>
          <w:lang w:val="en-US" w:eastAsia="zh-CN"/>
        </w:rPr>
        <w:t>Yamada Y</w:t>
      </w:r>
      <w:r w:rsidRPr="006170DA">
        <w:rPr>
          <w:rFonts w:eastAsia="宋体" w:cs="宋体"/>
          <w:szCs w:val="24"/>
          <w:lang w:val="en-US" w:eastAsia="zh-CN"/>
        </w:rPr>
        <w:t>, Nakamura S, Ito K, Umemura E, Hara K, Nagasaka T, Abe A, Baba S, Furuichi Y, Izumi Y, Klein OD, Wakabayashi T. Injectable bone tissue engineering using expanded mesenchymal stem cells. </w:t>
      </w:r>
      <w:r w:rsidRPr="006170DA">
        <w:rPr>
          <w:rFonts w:eastAsia="宋体" w:cs="宋体"/>
          <w:i/>
          <w:iCs/>
          <w:szCs w:val="24"/>
          <w:lang w:val="en-US" w:eastAsia="zh-CN"/>
        </w:rPr>
        <w:t>Stem Cells</w:t>
      </w:r>
      <w:r w:rsidRPr="006170DA">
        <w:rPr>
          <w:rFonts w:eastAsia="宋体" w:cs="宋体"/>
          <w:szCs w:val="24"/>
          <w:lang w:val="en-US" w:eastAsia="zh-CN"/>
        </w:rPr>
        <w:t> 2013; </w:t>
      </w:r>
      <w:r w:rsidRPr="006170DA">
        <w:rPr>
          <w:rFonts w:eastAsia="宋体" w:cs="宋体"/>
          <w:b/>
          <w:bCs/>
          <w:szCs w:val="24"/>
          <w:lang w:val="en-US" w:eastAsia="zh-CN"/>
        </w:rPr>
        <w:t>31</w:t>
      </w:r>
      <w:r w:rsidRPr="006170DA">
        <w:rPr>
          <w:rFonts w:eastAsia="宋体" w:cs="宋体"/>
          <w:szCs w:val="24"/>
          <w:lang w:val="en-US" w:eastAsia="zh-CN"/>
        </w:rPr>
        <w:t>: 572-580 [PMID: 23225744 DOI: 10.1002/stem.1300]</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61 </w:t>
      </w:r>
      <w:r w:rsidRPr="006170DA">
        <w:rPr>
          <w:rFonts w:eastAsia="宋体" w:cs="宋体"/>
          <w:b/>
          <w:bCs/>
          <w:szCs w:val="24"/>
          <w:lang w:val="en-US" w:eastAsia="zh-CN"/>
        </w:rPr>
        <w:t>Joshi A</w:t>
      </w:r>
      <w:r w:rsidRPr="006170DA">
        <w:rPr>
          <w:rFonts w:eastAsia="宋体" w:cs="宋体"/>
          <w:szCs w:val="24"/>
          <w:lang w:val="en-US" w:eastAsia="zh-CN"/>
        </w:rPr>
        <w:t>, Kostakis GC. An investigation of post-operative morbidity following iliac crest graft harvesting. </w:t>
      </w:r>
      <w:r w:rsidRPr="006170DA">
        <w:rPr>
          <w:rFonts w:eastAsia="宋体" w:cs="宋体"/>
          <w:i/>
          <w:iCs/>
          <w:szCs w:val="24"/>
          <w:lang w:val="en-US" w:eastAsia="zh-CN"/>
        </w:rPr>
        <w:t>Br Dent J</w:t>
      </w:r>
      <w:r w:rsidRPr="006170DA">
        <w:rPr>
          <w:rFonts w:eastAsia="宋体" w:cs="宋体"/>
          <w:szCs w:val="24"/>
          <w:lang w:val="en-US" w:eastAsia="zh-CN"/>
        </w:rPr>
        <w:t> 2004; </w:t>
      </w:r>
      <w:r w:rsidRPr="006170DA">
        <w:rPr>
          <w:rFonts w:eastAsia="宋体" w:cs="宋体"/>
          <w:b/>
          <w:bCs/>
          <w:szCs w:val="24"/>
          <w:lang w:val="en-US" w:eastAsia="zh-CN"/>
        </w:rPr>
        <w:t>196</w:t>
      </w:r>
      <w:r w:rsidRPr="006170DA">
        <w:rPr>
          <w:rFonts w:eastAsia="宋体" w:cs="宋体"/>
          <w:szCs w:val="24"/>
          <w:lang w:val="en-US" w:eastAsia="zh-CN"/>
        </w:rPr>
        <w:t>: 167-71; discussion 155 [PMID: 14963443 DOI: 10.1038/sj.bdj.4810945]</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62 </w:t>
      </w:r>
      <w:r w:rsidRPr="006170DA">
        <w:rPr>
          <w:rFonts w:eastAsia="宋体" w:cs="宋体"/>
          <w:b/>
          <w:bCs/>
          <w:szCs w:val="24"/>
          <w:lang w:val="en-US" w:eastAsia="zh-CN"/>
        </w:rPr>
        <w:t>Chatterjea A</w:t>
      </w:r>
      <w:r w:rsidRPr="006170DA">
        <w:rPr>
          <w:rFonts w:eastAsia="宋体" w:cs="宋体"/>
          <w:szCs w:val="24"/>
          <w:lang w:val="en-US" w:eastAsia="zh-CN"/>
        </w:rPr>
        <w:t>, Meijer G, van Blitterswijk C, de Boer J. Clinical application of human mesenchymal stromal cells for bone tissue engineering. </w:t>
      </w:r>
      <w:r w:rsidRPr="006170DA">
        <w:rPr>
          <w:rFonts w:eastAsia="宋体" w:cs="宋体"/>
          <w:i/>
          <w:iCs/>
          <w:szCs w:val="24"/>
          <w:lang w:val="en-US" w:eastAsia="zh-CN"/>
        </w:rPr>
        <w:t>Stem Cells Int</w:t>
      </w:r>
      <w:r w:rsidRPr="006170DA">
        <w:rPr>
          <w:rFonts w:eastAsia="宋体" w:cs="宋体"/>
          <w:szCs w:val="24"/>
          <w:lang w:val="en-US" w:eastAsia="zh-CN"/>
        </w:rPr>
        <w:t> 2010; </w:t>
      </w:r>
      <w:r w:rsidRPr="006170DA">
        <w:rPr>
          <w:rFonts w:eastAsia="宋体" w:cs="宋体"/>
          <w:b/>
          <w:bCs/>
          <w:szCs w:val="24"/>
          <w:lang w:val="en-US" w:eastAsia="zh-CN"/>
        </w:rPr>
        <w:t>2010</w:t>
      </w:r>
      <w:r w:rsidRPr="006170DA">
        <w:rPr>
          <w:rFonts w:eastAsia="宋体" w:cs="宋体"/>
          <w:szCs w:val="24"/>
          <w:lang w:val="en-US" w:eastAsia="zh-CN"/>
        </w:rPr>
        <w:t>: 215625 [PMID: 21113294 DOI: 10.4061/2010/215625]</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63 </w:t>
      </w:r>
      <w:r w:rsidRPr="006170DA">
        <w:rPr>
          <w:rFonts w:eastAsia="宋体" w:cs="宋体"/>
          <w:b/>
          <w:bCs/>
          <w:szCs w:val="24"/>
          <w:lang w:val="en-US" w:eastAsia="zh-CN"/>
        </w:rPr>
        <w:t>Mauney JR</w:t>
      </w:r>
      <w:r w:rsidRPr="006170DA">
        <w:rPr>
          <w:rFonts w:eastAsia="宋体" w:cs="宋体"/>
          <w:szCs w:val="24"/>
          <w:lang w:val="en-US" w:eastAsia="zh-CN"/>
        </w:rPr>
        <w:t>, Volloch V, Kaplan DL. Role of adult mesenchymal stem cells in bone tissue engineering applications: current status and future prospects. </w:t>
      </w:r>
      <w:r w:rsidRPr="006170DA">
        <w:rPr>
          <w:rFonts w:eastAsia="宋体" w:cs="宋体"/>
          <w:i/>
          <w:iCs/>
          <w:szCs w:val="24"/>
          <w:lang w:val="en-US" w:eastAsia="zh-CN"/>
        </w:rPr>
        <w:t>Tissue Eng</w:t>
      </w:r>
      <w:r w:rsidRPr="006170DA">
        <w:rPr>
          <w:rFonts w:eastAsia="宋体" w:cs="宋体"/>
          <w:szCs w:val="24"/>
          <w:lang w:val="en-US" w:eastAsia="zh-CN"/>
        </w:rPr>
        <w:t> </w:t>
      </w:r>
      <w:r w:rsidR="00462403">
        <w:rPr>
          <w:rFonts w:eastAsia="宋体" w:cs="宋体" w:hint="eastAsia"/>
          <w:szCs w:val="24"/>
          <w:lang w:val="en-US" w:eastAsia="zh-CN"/>
        </w:rPr>
        <w:t>2005</w:t>
      </w:r>
      <w:r w:rsidRPr="006170DA">
        <w:rPr>
          <w:rFonts w:eastAsia="宋体" w:cs="宋体"/>
          <w:szCs w:val="24"/>
          <w:lang w:val="en-US" w:eastAsia="zh-CN"/>
        </w:rPr>
        <w:t>; </w:t>
      </w:r>
      <w:r w:rsidRPr="006170DA">
        <w:rPr>
          <w:rFonts w:eastAsia="宋体" w:cs="宋体"/>
          <w:b/>
          <w:bCs/>
          <w:szCs w:val="24"/>
          <w:lang w:val="en-US" w:eastAsia="zh-CN"/>
        </w:rPr>
        <w:t>11</w:t>
      </w:r>
      <w:r w:rsidRPr="006170DA">
        <w:rPr>
          <w:rFonts w:eastAsia="宋体" w:cs="宋体"/>
          <w:szCs w:val="24"/>
          <w:lang w:val="en-US" w:eastAsia="zh-CN"/>
        </w:rPr>
        <w:t>: 787-802 [PMID: 15998219 DOI: 10.1089/ten.2005.11.787]</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64 </w:t>
      </w:r>
      <w:r w:rsidRPr="006170DA">
        <w:rPr>
          <w:rFonts w:eastAsia="宋体" w:cs="宋体"/>
          <w:b/>
          <w:bCs/>
          <w:szCs w:val="24"/>
          <w:lang w:val="en-US" w:eastAsia="zh-CN"/>
        </w:rPr>
        <w:t>McCafferty MM</w:t>
      </w:r>
      <w:r w:rsidRPr="006170DA">
        <w:rPr>
          <w:rFonts w:eastAsia="宋体" w:cs="宋体"/>
          <w:szCs w:val="24"/>
          <w:lang w:val="en-US" w:eastAsia="zh-CN"/>
        </w:rPr>
        <w:t>, Burke GA, Meenan BJ. Calcium phosphate thin films enhance the response of human mesenchymal stem cells to nanostructured titanium surfaces. </w:t>
      </w:r>
      <w:r w:rsidRPr="006170DA">
        <w:rPr>
          <w:rFonts w:eastAsia="宋体" w:cs="宋体"/>
          <w:i/>
          <w:iCs/>
          <w:szCs w:val="24"/>
          <w:lang w:val="en-US" w:eastAsia="zh-CN"/>
        </w:rPr>
        <w:t>J Tissue Eng</w:t>
      </w:r>
      <w:r w:rsidRPr="006170DA">
        <w:rPr>
          <w:rFonts w:eastAsia="宋体" w:cs="宋体"/>
          <w:szCs w:val="24"/>
          <w:lang w:val="en-US" w:eastAsia="zh-CN"/>
        </w:rPr>
        <w:t> 2014; </w:t>
      </w:r>
      <w:r w:rsidRPr="006170DA">
        <w:rPr>
          <w:rFonts w:eastAsia="宋体" w:cs="宋体"/>
          <w:b/>
          <w:bCs/>
          <w:szCs w:val="24"/>
          <w:lang w:val="en-US" w:eastAsia="zh-CN"/>
        </w:rPr>
        <w:t>5</w:t>
      </w:r>
      <w:r w:rsidRPr="006170DA">
        <w:rPr>
          <w:rFonts w:eastAsia="宋体" w:cs="宋体"/>
          <w:szCs w:val="24"/>
          <w:lang w:val="en-US" w:eastAsia="zh-CN"/>
        </w:rPr>
        <w:t>: 2041731414537513 [PMID: 24904730 DOI: 10.1177/2041731414537513]</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65 </w:t>
      </w:r>
      <w:r w:rsidRPr="006170DA">
        <w:rPr>
          <w:rFonts w:eastAsia="宋体" w:cs="宋体"/>
          <w:b/>
          <w:bCs/>
          <w:szCs w:val="24"/>
          <w:lang w:val="en-US" w:eastAsia="zh-CN"/>
        </w:rPr>
        <w:t>de Peppo GM</w:t>
      </w:r>
      <w:r w:rsidRPr="006170DA">
        <w:rPr>
          <w:rFonts w:eastAsia="宋体" w:cs="宋体"/>
          <w:szCs w:val="24"/>
          <w:lang w:val="en-US" w:eastAsia="zh-CN"/>
        </w:rPr>
        <w:t>, Agheli H, Karlsson C, Ekström K, Brisby H, Lennerås M, Gustafsson S, Sjövall P, Johansson A, Olsson E, Lausmaa J, Thomsen P, Petronis S. Osteogenic response of human mesenchymal stem cells to well-defined nanoscale topography in vitro. </w:t>
      </w:r>
      <w:r w:rsidRPr="006170DA">
        <w:rPr>
          <w:rFonts w:eastAsia="宋体" w:cs="宋体"/>
          <w:i/>
          <w:iCs/>
          <w:szCs w:val="24"/>
          <w:lang w:val="en-US" w:eastAsia="zh-CN"/>
        </w:rPr>
        <w:t>Int J Nanomedicine</w:t>
      </w:r>
      <w:r w:rsidRPr="006170DA">
        <w:rPr>
          <w:rFonts w:eastAsia="宋体" w:cs="宋体"/>
          <w:szCs w:val="24"/>
          <w:lang w:val="en-US" w:eastAsia="zh-CN"/>
        </w:rPr>
        <w:t> 2014; </w:t>
      </w:r>
      <w:r w:rsidRPr="006170DA">
        <w:rPr>
          <w:rFonts w:eastAsia="宋体" w:cs="宋体"/>
          <w:b/>
          <w:bCs/>
          <w:szCs w:val="24"/>
          <w:lang w:val="en-US" w:eastAsia="zh-CN"/>
        </w:rPr>
        <w:t>9</w:t>
      </w:r>
      <w:r w:rsidRPr="006170DA">
        <w:rPr>
          <w:rFonts w:eastAsia="宋体" w:cs="宋体"/>
          <w:szCs w:val="24"/>
          <w:lang w:val="en-US" w:eastAsia="zh-CN"/>
        </w:rPr>
        <w:t>: 2499-2515 [PMID: 24904210 DOI: 10.2147/IJN.S58805]</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66 </w:t>
      </w:r>
      <w:r w:rsidRPr="006170DA">
        <w:rPr>
          <w:rFonts w:eastAsia="宋体" w:cs="宋体"/>
          <w:b/>
          <w:bCs/>
          <w:szCs w:val="24"/>
          <w:lang w:val="en-US" w:eastAsia="zh-CN"/>
        </w:rPr>
        <w:t>Dalby MJ</w:t>
      </w:r>
      <w:r w:rsidRPr="006170DA">
        <w:rPr>
          <w:rFonts w:eastAsia="宋体" w:cs="宋体"/>
          <w:szCs w:val="24"/>
          <w:lang w:val="en-US" w:eastAsia="zh-CN"/>
        </w:rPr>
        <w:t>, McCloy D, Robertson M, Agheli H, Sutherland D, Affrossman S, Oreffo RO. Osteoprogenitor response to semi-ordered and random nanotopographies. </w:t>
      </w:r>
      <w:r w:rsidRPr="006170DA">
        <w:rPr>
          <w:rFonts w:eastAsia="宋体" w:cs="宋体"/>
          <w:i/>
          <w:iCs/>
          <w:szCs w:val="24"/>
          <w:lang w:val="en-US" w:eastAsia="zh-CN"/>
        </w:rPr>
        <w:t>Biomaterials</w:t>
      </w:r>
      <w:r w:rsidRPr="006170DA">
        <w:rPr>
          <w:rFonts w:eastAsia="宋体" w:cs="宋体"/>
          <w:szCs w:val="24"/>
          <w:lang w:val="en-US" w:eastAsia="zh-CN"/>
        </w:rPr>
        <w:t> 2006; </w:t>
      </w:r>
      <w:r w:rsidRPr="006170DA">
        <w:rPr>
          <w:rFonts w:eastAsia="宋体" w:cs="宋体"/>
          <w:b/>
          <w:bCs/>
          <w:szCs w:val="24"/>
          <w:lang w:val="en-US" w:eastAsia="zh-CN"/>
        </w:rPr>
        <w:t>27</w:t>
      </w:r>
      <w:r w:rsidRPr="006170DA">
        <w:rPr>
          <w:rFonts w:eastAsia="宋体" w:cs="宋体"/>
          <w:szCs w:val="24"/>
          <w:lang w:val="en-US" w:eastAsia="zh-CN"/>
        </w:rPr>
        <w:t>: 2980-2987 [PMID: 16443268 DOI: 10.1016/j.biomaterials.2006.01.010]</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67 </w:t>
      </w:r>
      <w:r w:rsidRPr="006170DA">
        <w:rPr>
          <w:rFonts w:eastAsia="宋体" w:cs="宋体"/>
          <w:b/>
          <w:bCs/>
          <w:szCs w:val="24"/>
          <w:lang w:val="en-US" w:eastAsia="zh-CN"/>
        </w:rPr>
        <w:t>Rosa AL</w:t>
      </w:r>
      <w:r w:rsidRPr="006170DA">
        <w:rPr>
          <w:rFonts w:eastAsia="宋体" w:cs="宋体"/>
          <w:szCs w:val="24"/>
          <w:lang w:val="en-US" w:eastAsia="zh-CN"/>
        </w:rPr>
        <w:t>, Kato RB, Castro Raucci LM, Teixeira LN, de Oliveira FS, Bellesini LS, de Oliveira PT, Hassan MQ, Beloti MM. Nanotopography drives stem cell fate toward osteoblast differentiation through α1β1 integrin signaling pathway. </w:t>
      </w:r>
      <w:r w:rsidRPr="006170DA">
        <w:rPr>
          <w:rFonts w:eastAsia="宋体" w:cs="宋体"/>
          <w:i/>
          <w:iCs/>
          <w:szCs w:val="24"/>
          <w:lang w:val="en-US" w:eastAsia="zh-CN"/>
        </w:rPr>
        <w:t>J Cell Biochem</w:t>
      </w:r>
      <w:r w:rsidRPr="006170DA">
        <w:rPr>
          <w:rFonts w:eastAsia="宋体" w:cs="宋体"/>
          <w:szCs w:val="24"/>
          <w:lang w:val="en-US" w:eastAsia="zh-CN"/>
        </w:rPr>
        <w:t> 2014; </w:t>
      </w:r>
      <w:r w:rsidRPr="006170DA">
        <w:rPr>
          <w:rFonts w:eastAsia="宋体" w:cs="宋体"/>
          <w:b/>
          <w:bCs/>
          <w:szCs w:val="24"/>
          <w:lang w:val="en-US" w:eastAsia="zh-CN"/>
        </w:rPr>
        <w:t>115</w:t>
      </w:r>
      <w:r w:rsidRPr="006170DA">
        <w:rPr>
          <w:rFonts w:eastAsia="宋体" w:cs="宋体"/>
          <w:szCs w:val="24"/>
          <w:lang w:val="en-US" w:eastAsia="zh-CN"/>
        </w:rPr>
        <w:t>: 540-548 [PMID: 24122940 DOI: 10.1002/jcb.24688]</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68 </w:t>
      </w:r>
      <w:r w:rsidRPr="006170DA">
        <w:rPr>
          <w:rFonts w:eastAsia="宋体" w:cs="宋体"/>
          <w:b/>
          <w:bCs/>
          <w:szCs w:val="24"/>
          <w:lang w:val="en-US" w:eastAsia="zh-CN"/>
        </w:rPr>
        <w:t>Childs A</w:t>
      </w:r>
      <w:r w:rsidRPr="006170DA">
        <w:rPr>
          <w:rFonts w:eastAsia="宋体" w:cs="宋体"/>
          <w:szCs w:val="24"/>
          <w:lang w:val="en-US" w:eastAsia="zh-CN"/>
        </w:rPr>
        <w:t>, Hemraz UD, Castro NJ, Fenniri H, Zhang LG. Novel biologically-inspired rosette nanotube PLLA scaffolds for improving human mesenchymal stem cell chondrogenic differentiation. </w:t>
      </w:r>
      <w:r w:rsidRPr="006170DA">
        <w:rPr>
          <w:rFonts w:eastAsia="宋体" w:cs="宋体"/>
          <w:i/>
          <w:iCs/>
          <w:szCs w:val="24"/>
          <w:lang w:val="en-US" w:eastAsia="zh-CN"/>
        </w:rPr>
        <w:t>Biomed Mater</w:t>
      </w:r>
      <w:r w:rsidRPr="006170DA">
        <w:rPr>
          <w:rFonts w:eastAsia="宋体" w:cs="宋体"/>
          <w:szCs w:val="24"/>
          <w:lang w:val="en-US" w:eastAsia="zh-CN"/>
        </w:rPr>
        <w:t> 2013; </w:t>
      </w:r>
      <w:r w:rsidRPr="006170DA">
        <w:rPr>
          <w:rFonts w:eastAsia="宋体" w:cs="宋体"/>
          <w:b/>
          <w:bCs/>
          <w:szCs w:val="24"/>
          <w:lang w:val="en-US" w:eastAsia="zh-CN"/>
        </w:rPr>
        <w:t>8</w:t>
      </w:r>
      <w:r w:rsidRPr="006170DA">
        <w:rPr>
          <w:rFonts w:eastAsia="宋体" w:cs="宋体"/>
          <w:szCs w:val="24"/>
          <w:lang w:val="en-US" w:eastAsia="zh-CN"/>
        </w:rPr>
        <w:t>: 065003 [PMID: 24225196 DOI: 10.1088/1748-6041/8/6/065003]</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69 </w:t>
      </w:r>
      <w:r w:rsidRPr="006170DA">
        <w:rPr>
          <w:rFonts w:eastAsia="宋体" w:cs="宋体"/>
          <w:b/>
          <w:bCs/>
          <w:szCs w:val="24"/>
          <w:lang w:val="en-US" w:eastAsia="zh-CN"/>
        </w:rPr>
        <w:t>Patel KH</w:t>
      </w:r>
      <w:r w:rsidRPr="006170DA">
        <w:rPr>
          <w:rFonts w:eastAsia="宋体" w:cs="宋体"/>
          <w:szCs w:val="24"/>
          <w:lang w:val="en-US" w:eastAsia="zh-CN"/>
        </w:rPr>
        <w:t>, Nayyer L, Seifalian AM. Chondrogenic potential of bone marrow-derived mesenchymal stem cells on a novel, auricular-shaped, nanocomposite scaffold. </w:t>
      </w:r>
      <w:r w:rsidRPr="006170DA">
        <w:rPr>
          <w:rFonts w:eastAsia="宋体" w:cs="宋体"/>
          <w:i/>
          <w:iCs/>
          <w:szCs w:val="24"/>
          <w:lang w:val="en-US" w:eastAsia="zh-CN"/>
        </w:rPr>
        <w:t>J Tissue Eng</w:t>
      </w:r>
      <w:r w:rsidRPr="006170DA">
        <w:rPr>
          <w:rFonts w:eastAsia="宋体" w:cs="宋体"/>
          <w:szCs w:val="24"/>
          <w:lang w:val="en-US" w:eastAsia="zh-CN"/>
        </w:rPr>
        <w:t> 2013; </w:t>
      </w:r>
      <w:r w:rsidRPr="006170DA">
        <w:rPr>
          <w:rFonts w:eastAsia="宋体" w:cs="宋体"/>
          <w:b/>
          <w:bCs/>
          <w:szCs w:val="24"/>
          <w:lang w:val="en-US" w:eastAsia="zh-CN"/>
        </w:rPr>
        <w:t>4</w:t>
      </w:r>
      <w:r w:rsidRPr="006170DA">
        <w:rPr>
          <w:rFonts w:eastAsia="宋体" w:cs="宋体"/>
          <w:szCs w:val="24"/>
          <w:lang w:val="en-US" w:eastAsia="zh-CN"/>
        </w:rPr>
        <w:t>: 2041731413516782 [PMID: 24555012 DOI: 10.1177/2041731413516782]</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70 </w:t>
      </w:r>
      <w:r w:rsidRPr="006170DA">
        <w:rPr>
          <w:rFonts w:eastAsia="宋体" w:cs="宋体"/>
          <w:b/>
          <w:bCs/>
          <w:szCs w:val="24"/>
          <w:lang w:val="en-US" w:eastAsia="zh-CN"/>
        </w:rPr>
        <w:t>Jung H</w:t>
      </w:r>
      <w:r w:rsidRPr="006170DA">
        <w:rPr>
          <w:rFonts w:eastAsia="宋体" w:cs="宋体"/>
          <w:szCs w:val="24"/>
          <w:lang w:val="en-US" w:eastAsia="zh-CN"/>
        </w:rPr>
        <w:t>, Park JS, Yeom J, Selvapalam N, Park KM, Oh K, Yang JA, Park KH, Hahn SK, Kim K. 3D tissue engineered supramolecular hydrogels for controlled chondrogenesis of human mesenchymal stem cells. </w:t>
      </w:r>
      <w:r w:rsidRPr="006170DA">
        <w:rPr>
          <w:rFonts w:eastAsia="宋体" w:cs="宋体"/>
          <w:i/>
          <w:iCs/>
          <w:szCs w:val="24"/>
          <w:lang w:val="en-US" w:eastAsia="zh-CN"/>
        </w:rPr>
        <w:t>Biomacromolecules</w:t>
      </w:r>
      <w:r w:rsidRPr="006170DA">
        <w:rPr>
          <w:rFonts w:eastAsia="宋体" w:cs="宋体"/>
          <w:szCs w:val="24"/>
          <w:lang w:val="en-US" w:eastAsia="zh-CN"/>
        </w:rPr>
        <w:t> 2014; </w:t>
      </w:r>
      <w:r w:rsidRPr="006170DA">
        <w:rPr>
          <w:rFonts w:eastAsia="宋体" w:cs="宋体"/>
          <w:b/>
          <w:bCs/>
          <w:szCs w:val="24"/>
          <w:lang w:val="en-US" w:eastAsia="zh-CN"/>
        </w:rPr>
        <w:t>15</w:t>
      </w:r>
      <w:r w:rsidRPr="006170DA">
        <w:rPr>
          <w:rFonts w:eastAsia="宋体" w:cs="宋体"/>
          <w:szCs w:val="24"/>
          <w:lang w:val="en-US" w:eastAsia="zh-CN"/>
        </w:rPr>
        <w:t>: 707-714 [PMID: 24605794 DOI: 10.1021/bm401123m]</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71 </w:t>
      </w:r>
      <w:r w:rsidRPr="006170DA">
        <w:rPr>
          <w:rFonts w:eastAsia="宋体" w:cs="宋体"/>
          <w:b/>
          <w:bCs/>
          <w:szCs w:val="24"/>
          <w:lang w:val="en-US" w:eastAsia="zh-CN"/>
        </w:rPr>
        <w:t>McBride SH</w:t>
      </w:r>
      <w:r w:rsidRPr="006170DA">
        <w:rPr>
          <w:rFonts w:eastAsia="宋体" w:cs="宋体"/>
          <w:szCs w:val="24"/>
          <w:lang w:val="en-US" w:eastAsia="zh-CN"/>
        </w:rPr>
        <w:t>, Knothe Tate ML. Modulation of stem cell shape and fate A: the role of density and seeding protocol on nucleus shape and gene expression. </w:t>
      </w:r>
      <w:r w:rsidRPr="006170DA">
        <w:rPr>
          <w:rFonts w:eastAsia="宋体" w:cs="宋体"/>
          <w:i/>
          <w:iCs/>
          <w:szCs w:val="24"/>
          <w:lang w:val="en-US" w:eastAsia="zh-CN"/>
        </w:rPr>
        <w:t>Tissue Eng Part A</w:t>
      </w:r>
      <w:r w:rsidRPr="006170DA">
        <w:rPr>
          <w:rFonts w:eastAsia="宋体" w:cs="宋体"/>
          <w:szCs w:val="24"/>
          <w:lang w:val="en-US" w:eastAsia="zh-CN"/>
        </w:rPr>
        <w:t> 2008; </w:t>
      </w:r>
      <w:r w:rsidRPr="006170DA">
        <w:rPr>
          <w:rFonts w:eastAsia="宋体" w:cs="宋体"/>
          <w:b/>
          <w:bCs/>
          <w:szCs w:val="24"/>
          <w:lang w:val="en-US" w:eastAsia="zh-CN"/>
        </w:rPr>
        <w:t>14</w:t>
      </w:r>
      <w:r w:rsidRPr="006170DA">
        <w:rPr>
          <w:rFonts w:eastAsia="宋体" w:cs="宋体"/>
          <w:szCs w:val="24"/>
          <w:lang w:val="en-US" w:eastAsia="zh-CN"/>
        </w:rPr>
        <w:t>: 1561-1572 [PMID: 18774910 DOI: 10.1089/ten.tea.2008.0112]</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72 </w:t>
      </w:r>
      <w:r w:rsidRPr="006170DA">
        <w:rPr>
          <w:rFonts w:eastAsia="宋体" w:cs="宋体"/>
          <w:b/>
          <w:bCs/>
          <w:szCs w:val="24"/>
          <w:lang w:val="en-US" w:eastAsia="zh-CN"/>
        </w:rPr>
        <w:t>Gao L</w:t>
      </w:r>
      <w:r w:rsidRPr="006170DA">
        <w:rPr>
          <w:rFonts w:eastAsia="宋体" w:cs="宋体"/>
          <w:szCs w:val="24"/>
          <w:lang w:val="en-US" w:eastAsia="zh-CN"/>
        </w:rPr>
        <w:t>, McBeath R, Chen CS. Stem cell shape regulates a chondrogenic versus myogenic fate through Rac1 and N-cadherin. </w:t>
      </w:r>
      <w:r w:rsidRPr="006170DA">
        <w:rPr>
          <w:rFonts w:eastAsia="宋体" w:cs="宋体"/>
          <w:i/>
          <w:iCs/>
          <w:szCs w:val="24"/>
          <w:lang w:val="en-US" w:eastAsia="zh-CN"/>
        </w:rPr>
        <w:t>Stem Cells</w:t>
      </w:r>
      <w:r w:rsidRPr="006170DA">
        <w:rPr>
          <w:rFonts w:eastAsia="宋体" w:cs="宋体"/>
          <w:szCs w:val="24"/>
          <w:lang w:val="en-US" w:eastAsia="zh-CN"/>
        </w:rPr>
        <w:t> 2010; </w:t>
      </w:r>
      <w:r w:rsidRPr="006170DA">
        <w:rPr>
          <w:rFonts w:eastAsia="宋体" w:cs="宋体"/>
          <w:b/>
          <w:bCs/>
          <w:szCs w:val="24"/>
          <w:lang w:val="en-US" w:eastAsia="zh-CN"/>
        </w:rPr>
        <w:t>28</w:t>
      </w:r>
      <w:r w:rsidRPr="006170DA">
        <w:rPr>
          <w:rFonts w:eastAsia="宋体" w:cs="宋体"/>
          <w:szCs w:val="24"/>
          <w:lang w:val="en-US" w:eastAsia="zh-CN"/>
        </w:rPr>
        <w:t>: 564-572 [PMID: 20082286 DOI: 10.1002/stem.308]</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73 </w:t>
      </w:r>
      <w:r w:rsidRPr="006170DA">
        <w:rPr>
          <w:rFonts w:eastAsia="宋体" w:cs="宋体"/>
          <w:b/>
          <w:bCs/>
          <w:szCs w:val="24"/>
          <w:lang w:val="en-US" w:eastAsia="zh-CN"/>
        </w:rPr>
        <w:t>Zhong W</w:t>
      </w:r>
      <w:r w:rsidRPr="006170DA">
        <w:rPr>
          <w:rFonts w:eastAsia="宋体" w:cs="宋体"/>
          <w:szCs w:val="24"/>
          <w:lang w:val="en-US" w:eastAsia="zh-CN"/>
        </w:rPr>
        <w:t>, Zhang W, Wang S, Qin J. Regulation of fibrochondrogenesis of mesenchymal stem cells in an integrated microfluidic platform embedded with biomimetic nanofibrous scaffolds. </w:t>
      </w:r>
      <w:r w:rsidRPr="006170DA">
        <w:rPr>
          <w:rFonts w:eastAsia="宋体" w:cs="宋体"/>
          <w:i/>
          <w:iCs/>
          <w:szCs w:val="24"/>
          <w:lang w:val="en-US" w:eastAsia="zh-CN"/>
        </w:rPr>
        <w:t>PLoS One</w:t>
      </w:r>
      <w:r w:rsidRPr="006170DA">
        <w:rPr>
          <w:rFonts w:eastAsia="宋体" w:cs="宋体"/>
          <w:szCs w:val="24"/>
          <w:lang w:val="en-US" w:eastAsia="zh-CN"/>
        </w:rPr>
        <w:t> 2013; </w:t>
      </w:r>
      <w:r w:rsidRPr="006170DA">
        <w:rPr>
          <w:rFonts w:eastAsia="宋体" w:cs="宋体"/>
          <w:b/>
          <w:bCs/>
          <w:szCs w:val="24"/>
          <w:lang w:val="en-US" w:eastAsia="zh-CN"/>
        </w:rPr>
        <w:t>8</w:t>
      </w:r>
      <w:r w:rsidRPr="006170DA">
        <w:rPr>
          <w:rFonts w:eastAsia="宋体" w:cs="宋体"/>
          <w:szCs w:val="24"/>
          <w:lang w:val="en-US" w:eastAsia="zh-CN"/>
        </w:rPr>
        <w:t>: e61283 [PMID: 23637803 DOI: 10.1371/journal.pone.0061283]</w:t>
      </w:r>
    </w:p>
    <w:p w:rsidR="006170DA" w:rsidRPr="006170DA" w:rsidRDefault="006170DA" w:rsidP="006170DA">
      <w:pPr>
        <w:spacing w:after="0" w:line="360" w:lineRule="auto"/>
        <w:ind w:left="0" w:firstLine="0"/>
        <w:rPr>
          <w:rFonts w:eastAsia="宋体" w:cs="宋体"/>
          <w:szCs w:val="24"/>
          <w:lang w:val="en-US" w:eastAsia="zh-CN"/>
        </w:rPr>
      </w:pPr>
      <w:r>
        <w:rPr>
          <w:rFonts w:eastAsia="宋体" w:cs="宋体"/>
          <w:szCs w:val="24"/>
          <w:lang w:val="en-US" w:eastAsia="zh-CN"/>
        </w:rPr>
        <w:t xml:space="preserve">74 </w:t>
      </w:r>
      <w:r w:rsidRPr="006170DA">
        <w:rPr>
          <w:rFonts w:eastAsia="宋体" w:cs="宋体"/>
          <w:b/>
          <w:szCs w:val="24"/>
          <w:lang w:val="en-US" w:eastAsia="zh-CN"/>
        </w:rPr>
        <w:t>Trujillo NA</w:t>
      </w:r>
      <w:r w:rsidRPr="006170DA">
        <w:rPr>
          <w:rFonts w:eastAsia="宋体" w:cs="宋体"/>
          <w:szCs w:val="24"/>
          <w:lang w:val="en-US" w:eastAsia="zh-CN"/>
        </w:rPr>
        <w:t xml:space="preserve">, Popat KC. Increased adipogenic and decreased chondrogenic differentiation of adipose derived stem cells on nanowire surfaces. </w:t>
      </w:r>
      <w:r w:rsidRPr="006170DA">
        <w:rPr>
          <w:rFonts w:eastAsia="宋体" w:cs="宋体"/>
          <w:i/>
          <w:szCs w:val="24"/>
          <w:lang w:val="en-US" w:eastAsia="zh-CN"/>
        </w:rPr>
        <w:t>Materials</w:t>
      </w:r>
      <w:r w:rsidRPr="006170DA">
        <w:rPr>
          <w:rFonts w:eastAsia="宋体" w:cs="宋体"/>
          <w:szCs w:val="24"/>
          <w:lang w:val="en-US" w:eastAsia="zh-CN"/>
        </w:rPr>
        <w:t xml:space="preserve"> 2014; </w:t>
      </w:r>
      <w:r w:rsidRPr="006170DA">
        <w:rPr>
          <w:rFonts w:eastAsia="宋体" w:cs="宋体"/>
          <w:b/>
          <w:szCs w:val="24"/>
          <w:lang w:val="en-US" w:eastAsia="zh-CN"/>
        </w:rPr>
        <w:t>7:</w:t>
      </w:r>
      <w:r w:rsidRPr="006170DA">
        <w:rPr>
          <w:rFonts w:eastAsia="宋体" w:cs="宋体"/>
          <w:szCs w:val="24"/>
          <w:lang w:val="en-US" w:eastAsia="zh-CN"/>
        </w:rPr>
        <w:t xml:space="preserve"> 2</w:t>
      </w:r>
      <w:r>
        <w:rPr>
          <w:rFonts w:eastAsia="宋体" w:cs="宋体"/>
          <w:szCs w:val="24"/>
          <w:lang w:val="en-US" w:eastAsia="zh-CN"/>
        </w:rPr>
        <w:t>605-</w:t>
      </w:r>
      <w:r>
        <w:rPr>
          <w:rFonts w:eastAsia="宋体" w:cs="宋体" w:hint="eastAsia"/>
          <w:szCs w:val="24"/>
          <w:lang w:val="en-US" w:eastAsia="zh-CN"/>
        </w:rPr>
        <w:t>26</w:t>
      </w:r>
      <w:r>
        <w:rPr>
          <w:rFonts w:eastAsia="宋体" w:cs="宋体"/>
          <w:szCs w:val="24"/>
          <w:lang w:val="en-US" w:eastAsia="zh-CN"/>
        </w:rPr>
        <w:t>30 [DOI: 10.3390/ma7042605]</w:t>
      </w:r>
    </w:p>
    <w:p w:rsidR="006170DA" w:rsidRPr="006170DA" w:rsidRDefault="006170DA" w:rsidP="006170DA">
      <w:pPr>
        <w:spacing w:after="0" w:line="360" w:lineRule="auto"/>
        <w:ind w:left="0" w:firstLine="0"/>
        <w:rPr>
          <w:rFonts w:eastAsia="宋体" w:cs="宋体"/>
          <w:szCs w:val="24"/>
          <w:lang w:val="en-US" w:eastAsia="zh-CN"/>
        </w:rPr>
      </w:pPr>
      <w:r>
        <w:rPr>
          <w:rFonts w:eastAsia="宋体" w:cs="宋体"/>
          <w:szCs w:val="24"/>
          <w:lang w:val="en-US" w:eastAsia="zh-CN"/>
        </w:rPr>
        <w:t xml:space="preserve">75 </w:t>
      </w:r>
      <w:r w:rsidRPr="006170DA">
        <w:rPr>
          <w:rFonts w:eastAsia="宋体" w:cs="宋体"/>
          <w:b/>
          <w:szCs w:val="24"/>
          <w:lang w:val="en-US" w:eastAsia="zh-CN"/>
        </w:rPr>
        <w:t>Prabhakaran MP</w:t>
      </w:r>
      <w:bookmarkStart w:id="58" w:name="_GoBack"/>
      <w:r w:rsidRPr="00606690">
        <w:rPr>
          <w:rFonts w:eastAsia="宋体" w:cs="宋体"/>
          <w:szCs w:val="24"/>
          <w:lang w:val="en-US" w:eastAsia="zh-CN"/>
        </w:rPr>
        <w:t xml:space="preserve">, </w:t>
      </w:r>
      <w:bookmarkEnd w:id="58"/>
      <w:r w:rsidRPr="006170DA">
        <w:rPr>
          <w:rFonts w:eastAsia="宋体" w:cs="宋体"/>
          <w:szCs w:val="24"/>
          <w:lang w:val="en-US" w:eastAsia="zh-CN"/>
        </w:rPr>
        <w:t xml:space="preserve">Venugopal J, Ghasemi-Mobarakeh L, Kai D, Jin G, Ramakrishna S. Stem cells and nanostructures for advanced tissue regeneration. </w:t>
      </w:r>
      <w:r w:rsidRPr="006170DA">
        <w:rPr>
          <w:rFonts w:eastAsia="宋体" w:cs="宋体"/>
          <w:i/>
          <w:szCs w:val="24"/>
          <w:lang w:val="en-US" w:eastAsia="zh-CN"/>
        </w:rPr>
        <w:t xml:space="preserve">Biomed App of Polymeric Nanofibers </w:t>
      </w:r>
      <w:r w:rsidRPr="006170DA">
        <w:rPr>
          <w:rFonts w:eastAsia="宋体" w:cs="宋体"/>
          <w:szCs w:val="24"/>
          <w:lang w:val="en-US" w:eastAsia="zh-CN"/>
        </w:rPr>
        <w:t xml:space="preserve">2012; </w:t>
      </w:r>
      <w:r w:rsidRPr="006170DA">
        <w:rPr>
          <w:rFonts w:eastAsia="宋体" w:cs="宋体"/>
          <w:b/>
          <w:szCs w:val="24"/>
          <w:lang w:val="en-US" w:eastAsia="zh-CN"/>
        </w:rPr>
        <w:t>246:</w:t>
      </w:r>
      <w:r w:rsidRPr="006170DA">
        <w:rPr>
          <w:rFonts w:eastAsia="宋体" w:cs="宋体"/>
          <w:szCs w:val="24"/>
          <w:lang w:val="en-US" w:eastAsia="zh-CN"/>
        </w:rPr>
        <w:t xml:space="preserve"> 2</w:t>
      </w:r>
      <w:r>
        <w:rPr>
          <w:rFonts w:eastAsia="宋体" w:cs="宋体"/>
          <w:szCs w:val="24"/>
          <w:lang w:val="en-US" w:eastAsia="zh-CN"/>
        </w:rPr>
        <w:t>1-62 [DOI: 10.1007/12_2011_113]</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76 </w:t>
      </w:r>
      <w:r w:rsidRPr="006170DA">
        <w:rPr>
          <w:rFonts w:eastAsia="宋体" w:cs="宋体"/>
          <w:b/>
          <w:bCs/>
          <w:szCs w:val="24"/>
          <w:lang w:val="en-US" w:eastAsia="zh-CN"/>
        </w:rPr>
        <w:t>Zhang CP</w:t>
      </w:r>
      <w:r w:rsidRPr="006170DA">
        <w:rPr>
          <w:rFonts w:eastAsia="宋体" w:cs="宋体"/>
          <w:szCs w:val="24"/>
          <w:lang w:val="en-US" w:eastAsia="zh-CN"/>
        </w:rPr>
        <w:t>, Fu XB. Therapeutic potential of stem cells in skin repair and regeneration. </w:t>
      </w:r>
      <w:r w:rsidRPr="006170DA">
        <w:rPr>
          <w:rFonts w:eastAsia="宋体" w:cs="宋体"/>
          <w:i/>
          <w:iCs/>
          <w:szCs w:val="24"/>
          <w:lang w:val="en-US" w:eastAsia="zh-CN"/>
        </w:rPr>
        <w:t>Chin J Traumatol</w:t>
      </w:r>
      <w:r w:rsidRPr="006170DA">
        <w:rPr>
          <w:rFonts w:eastAsia="宋体" w:cs="宋体"/>
          <w:szCs w:val="24"/>
          <w:lang w:val="en-US" w:eastAsia="zh-CN"/>
        </w:rPr>
        <w:t> 2008; </w:t>
      </w:r>
      <w:r w:rsidRPr="006170DA">
        <w:rPr>
          <w:rFonts w:eastAsia="宋体" w:cs="宋体"/>
          <w:b/>
          <w:bCs/>
          <w:szCs w:val="24"/>
          <w:lang w:val="en-US" w:eastAsia="zh-CN"/>
        </w:rPr>
        <w:t>11</w:t>
      </w:r>
      <w:r w:rsidRPr="006170DA">
        <w:rPr>
          <w:rFonts w:eastAsia="宋体" w:cs="宋体"/>
          <w:szCs w:val="24"/>
          <w:lang w:val="en-US" w:eastAsia="zh-CN"/>
        </w:rPr>
        <w:t>: 209-221 [PMID: 18667118 DOI: 10.1016/S1008-1275(08)60045-0]</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77 </w:t>
      </w:r>
      <w:r w:rsidRPr="006170DA">
        <w:rPr>
          <w:rFonts w:eastAsia="宋体" w:cs="宋体"/>
          <w:b/>
          <w:bCs/>
          <w:szCs w:val="24"/>
          <w:lang w:val="en-US" w:eastAsia="zh-CN"/>
        </w:rPr>
        <w:t>Krause DS</w:t>
      </w:r>
      <w:r w:rsidRPr="006170DA">
        <w:rPr>
          <w:rFonts w:eastAsia="宋体" w:cs="宋体"/>
          <w:szCs w:val="24"/>
          <w:lang w:val="en-US" w:eastAsia="zh-CN"/>
        </w:rPr>
        <w:t>, Theise ND, Collector MI, Henegariu O, Hwang S, Gardner R, Neutzel S, Sharkis SJ. Multi-organ, multi-lineage engraftment by a single bone marrow-derived stem cell. </w:t>
      </w:r>
      <w:r w:rsidRPr="006170DA">
        <w:rPr>
          <w:rFonts w:eastAsia="宋体" w:cs="宋体"/>
          <w:i/>
          <w:iCs/>
          <w:szCs w:val="24"/>
          <w:lang w:val="en-US" w:eastAsia="zh-CN"/>
        </w:rPr>
        <w:t>Cell</w:t>
      </w:r>
      <w:r w:rsidRPr="006170DA">
        <w:rPr>
          <w:rFonts w:eastAsia="宋体" w:cs="宋体"/>
          <w:szCs w:val="24"/>
          <w:lang w:val="en-US" w:eastAsia="zh-CN"/>
        </w:rPr>
        <w:t> 2001; </w:t>
      </w:r>
      <w:r w:rsidRPr="006170DA">
        <w:rPr>
          <w:rFonts w:eastAsia="宋体" w:cs="宋体"/>
          <w:b/>
          <w:bCs/>
          <w:szCs w:val="24"/>
          <w:lang w:val="en-US" w:eastAsia="zh-CN"/>
        </w:rPr>
        <w:t>105</w:t>
      </w:r>
      <w:r w:rsidRPr="006170DA">
        <w:rPr>
          <w:rFonts w:eastAsia="宋体" w:cs="宋体"/>
          <w:szCs w:val="24"/>
          <w:lang w:val="en-US" w:eastAsia="zh-CN"/>
        </w:rPr>
        <w:t>: 369-377 [PMID: 11348593 DOI: 10.1016/S0092-8674(01)00328-2]</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78 </w:t>
      </w:r>
      <w:r w:rsidRPr="006170DA">
        <w:rPr>
          <w:rFonts w:eastAsia="宋体" w:cs="宋体"/>
          <w:b/>
          <w:bCs/>
          <w:szCs w:val="24"/>
          <w:lang w:val="en-US" w:eastAsia="zh-CN"/>
        </w:rPr>
        <w:t>Badiavas EV</w:t>
      </w:r>
      <w:r w:rsidRPr="006170DA">
        <w:rPr>
          <w:rFonts w:eastAsia="宋体" w:cs="宋体"/>
          <w:szCs w:val="24"/>
          <w:lang w:val="en-US" w:eastAsia="zh-CN"/>
        </w:rPr>
        <w:t>, Falanga V. Treatment of chronic wounds with bone marrow-derived cells. </w:t>
      </w:r>
      <w:r w:rsidRPr="006170DA">
        <w:rPr>
          <w:rFonts w:eastAsia="宋体" w:cs="宋体"/>
          <w:i/>
          <w:iCs/>
          <w:szCs w:val="24"/>
          <w:lang w:val="en-US" w:eastAsia="zh-CN"/>
        </w:rPr>
        <w:t>Arch Dermatol</w:t>
      </w:r>
      <w:r w:rsidRPr="006170DA">
        <w:rPr>
          <w:rFonts w:eastAsia="宋体" w:cs="宋体"/>
          <w:szCs w:val="24"/>
          <w:lang w:val="en-US" w:eastAsia="zh-CN"/>
        </w:rPr>
        <w:t> 2003; </w:t>
      </w:r>
      <w:r w:rsidRPr="006170DA">
        <w:rPr>
          <w:rFonts w:eastAsia="宋体" w:cs="宋体"/>
          <w:b/>
          <w:bCs/>
          <w:szCs w:val="24"/>
          <w:lang w:val="en-US" w:eastAsia="zh-CN"/>
        </w:rPr>
        <w:t>139</w:t>
      </w:r>
      <w:r w:rsidRPr="006170DA">
        <w:rPr>
          <w:rFonts w:eastAsia="宋体" w:cs="宋体"/>
          <w:szCs w:val="24"/>
          <w:lang w:val="en-US" w:eastAsia="zh-CN"/>
        </w:rPr>
        <w:t>: 510-516 [PMID: 12707099 DOI: doi: 10.1001/archderm.139.4.510]</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79 </w:t>
      </w:r>
      <w:r w:rsidRPr="006170DA">
        <w:rPr>
          <w:rFonts w:eastAsia="宋体" w:cs="宋体"/>
          <w:b/>
          <w:bCs/>
          <w:szCs w:val="24"/>
          <w:lang w:val="en-US" w:eastAsia="zh-CN"/>
        </w:rPr>
        <w:t>Dabiri G</w:t>
      </w:r>
      <w:r w:rsidRPr="006170DA">
        <w:rPr>
          <w:rFonts w:eastAsia="宋体" w:cs="宋体"/>
          <w:szCs w:val="24"/>
          <w:lang w:val="en-US" w:eastAsia="zh-CN"/>
        </w:rPr>
        <w:t>, Heiner D, Falanga V. The emerging use of bone marrow-derived mesenchymal stem cells in the treatment of human chronic wounds. </w:t>
      </w:r>
      <w:r w:rsidRPr="006170DA">
        <w:rPr>
          <w:rFonts w:eastAsia="宋体" w:cs="宋体"/>
          <w:i/>
          <w:iCs/>
          <w:szCs w:val="24"/>
          <w:lang w:val="en-US" w:eastAsia="zh-CN"/>
        </w:rPr>
        <w:t>Expert Opin Emerg Drugs</w:t>
      </w:r>
      <w:r w:rsidRPr="006170DA">
        <w:rPr>
          <w:rFonts w:eastAsia="宋体" w:cs="宋体"/>
          <w:szCs w:val="24"/>
          <w:lang w:val="en-US" w:eastAsia="zh-CN"/>
        </w:rPr>
        <w:t> 2013; </w:t>
      </w:r>
      <w:r w:rsidRPr="006170DA">
        <w:rPr>
          <w:rFonts w:eastAsia="宋体" w:cs="宋体"/>
          <w:b/>
          <w:bCs/>
          <w:szCs w:val="24"/>
          <w:lang w:val="en-US" w:eastAsia="zh-CN"/>
        </w:rPr>
        <w:t>18</w:t>
      </w:r>
      <w:r w:rsidRPr="006170DA">
        <w:rPr>
          <w:rFonts w:eastAsia="宋体" w:cs="宋体"/>
          <w:szCs w:val="24"/>
          <w:lang w:val="en-US" w:eastAsia="zh-CN"/>
        </w:rPr>
        <w:t>: 405-419 [PMID: 24004161 DOI: 10.1517/14728214.2013.833184]</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80 </w:t>
      </w:r>
      <w:r w:rsidRPr="006170DA">
        <w:rPr>
          <w:rFonts w:eastAsia="宋体" w:cs="宋体"/>
          <w:b/>
          <w:bCs/>
          <w:szCs w:val="24"/>
          <w:lang w:val="en-US" w:eastAsia="zh-CN"/>
        </w:rPr>
        <w:t>Wu Y</w:t>
      </w:r>
      <w:r w:rsidRPr="006170DA">
        <w:rPr>
          <w:rFonts w:eastAsia="宋体" w:cs="宋体"/>
          <w:szCs w:val="24"/>
          <w:lang w:val="en-US" w:eastAsia="zh-CN"/>
        </w:rPr>
        <w:t>, Chen L, Scott PG, Tredget EE. Mesenchymal stem cells enhance wound healing through differentiation and angiogenesis. </w:t>
      </w:r>
      <w:r w:rsidRPr="006170DA">
        <w:rPr>
          <w:rFonts w:eastAsia="宋体" w:cs="宋体"/>
          <w:i/>
          <w:iCs/>
          <w:szCs w:val="24"/>
          <w:lang w:val="en-US" w:eastAsia="zh-CN"/>
        </w:rPr>
        <w:t>Stem Cells</w:t>
      </w:r>
      <w:r w:rsidRPr="006170DA">
        <w:rPr>
          <w:rFonts w:eastAsia="宋体" w:cs="宋体"/>
          <w:szCs w:val="24"/>
          <w:lang w:val="en-US" w:eastAsia="zh-CN"/>
        </w:rPr>
        <w:t> 2007; </w:t>
      </w:r>
      <w:r w:rsidRPr="006170DA">
        <w:rPr>
          <w:rFonts w:eastAsia="宋体" w:cs="宋体"/>
          <w:b/>
          <w:bCs/>
          <w:szCs w:val="24"/>
          <w:lang w:val="en-US" w:eastAsia="zh-CN"/>
        </w:rPr>
        <w:t>25</w:t>
      </w:r>
      <w:r w:rsidRPr="006170DA">
        <w:rPr>
          <w:rFonts w:eastAsia="宋体" w:cs="宋体"/>
          <w:szCs w:val="24"/>
          <w:lang w:val="en-US" w:eastAsia="zh-CN"/>
        </w:rPr>
        <w:t>: 2648-2659 [PMID: 17615264 DOI: 10.1634/stemcells.2007-0226]</w:t>
      </w:r>
    </w:p>
    <w:p w:rsidR="006170DA" w:rsidRPr="006170DA" w:rsidRDefault="006170DA" w:rsidP="006170DA">
      <w:pPr>
        <w:spacing w:after="0" w:line="360" w:lineRule="auto"/>
        <w:ind w:left="0" w:firstLine="0"/>
        <w:rPr>
          <w:rFonts w:eastAsia="宋体" w:cs="宋体"/>
          <w:szCs w:val="24"/>
          <w:lang w:val="en-US" w:eastAsia="zh-CN"/>
        </w:rPr>
      </w:pPr>
      <w:r>
        <w:rPr>
          <w:rFonts w:eastAsia="宋体" w:cs="宋体"/>
          <w:szCs w:val="24"/>
          <w:lang w:val="en-US" w:eastAsia="zh-CN"/>
        </w:rPr>
        <w:t xml:space="preserve">81 </w:t>
      </w:r>
      <w:r w:rsidRPr="006170DA">
        <w:rPr>
          <w:rFonts w:eastAsia="宋体" w:cs="宋体"/>
          <w:b/>
          <w:szCs w:val="24"/>
          <w:lang w:val="en-US" w:eastAsia="zh-CN"/>
        </w:rPr>
        <w:t>Sundaramurthi D</w:t>
      </w:r>
      <w:r w:rsidRPr="006170DA">
        <w:rPr>
          <w:rFonts w:eastAsia="宋体" w:cs="宋体"/>
          <w:szCs w:val="24"/>
          <w:lang w:val="en-US" w:eastAsia="zh-CN"/>
        </w:rPr>
        <w:t xml:space="preserve">, Krishnan UM, Sethuraman S. Electrospun nanofibers as scaffolds for Skin tissue engineering. </w:t>
      </w:r>
      <w:r w:rsidRPr="006170DA">
        <w:rPr>
          <w:rFonts w:eastAsia="宋体" w:cs="宋体"/>
          <w:i/>
          <w:szCs w:val="24"/>
          <w:lang w:val="en-US" w:eastAsia="zh-CN"/>
        </w:rPr>
        <w:t>Polymer Reviews</w:t>
      </w:r>
      <w:r w:rsidRPr="006170DA">
        <w:rPr>
          <w:rFonts w:eastAsia="宋体" w:cs="宋体"/>
          <w:szCs w:val="24"/>
          <w:lang w:val="en-US" w:eastAsia="zh-CN"/>
        </w:rPr>
        <w:t xml:space="preserve"> 2014; </w:t>
      </w:r>
      <w:r w:rsidRPr="006170DA">
        <w:rPr>
          <w:rFonts w:eastAsia="宋体" w:cs="宋体"/>
          <w:b/>
          <w:szCs w:val="24"/>
          <w:lang w:val="en-US" w:eastAsia="zh-CN"/>
        </w:rPr>
        <w:t>54</w:t>
      </w:r>
      <w:r w:rsidRPr="006170DA">
        <w:rPr>
          <w:rFonts w:eastAsia="宋体" w:cs="宋体"/>
          <w:szCs w:val="24"/>
          <w:lang w:val="en-US" w:eastAsia="zh-CN"/>
        </w:rPr>
        <w:t>: 348-76 [DOI</w:t>
      </w:r>
      <w:r>
        <w:rPr>
          <w:rFonts w:eastAsia="宋体" w:cs="宋体"/>
          <w:szCs w:val="24"/>
          <w:lang w:val="en-US" w:eastAsia="zh-CN"/>
        </w:rPr>
        <w:t>: 10.1080/15583724.2014.881374]</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82 </w:t>
      </w:r>
      <w:r w:rsidRPr="006170DA">
        <w:rPr>
          <w:rFonts w:eastAsia="宋体" w:cs="宋体"/>
          <w:b/>
          <w:bCs/>
          <w:szCs w:val="24"/>
          <w:lang w:val="en-US" w:eastAsia="zh-CN"/>
        </w:rPr>
        <w:t>Ma K</w:t>
      </w:r>
      <w:r w:rsidRPr="006170DA">
        <w:rPr>
          <w:rFonts w:eastAsia="宋体" w:cs="宋体"/>
          <w:szCs w:val="24"/>
          <w:lang w:val="en-US" w:eastAsia="zh-CN"/>
        </w:rPr>
        <w:t>, Liao S, He L, Lu J, Ramakrishna S, Chan CK. Effects of nanofiber/stem cell composite on wound healing in acute full-thickness skin wounds. </w:t>
      </w:r>
      <w:r w:rsidRPr="006170DA">
        <w:rPr>
          <w:rFonts w:eastAsia="宋体" w:cs="宋体"/>
          <w:i/>
          <w:iCs/>
          <w:szCs w:val="24"/>
          <w:lang w:val="en-US" w:eastAsia="zh-CN"/>
        </w:rPr>
        <w:t>Tissue Eng Part A</w:t>
      </w:r>
      <w:r w:rsidRPr="006170DA">
        <w:rPr>
          <w:rFonts w:eastAsia="宋体" w:cs="宋体"/>
          <w:szCs w:val="24"/>
          <w:lang w:val="en-US" w:eastAsia="zh-CN"/>
        </w:rPr>
        <w:t> 2011; </w:t>
      </w:r>
      <w:r w:rsidRPr="006170DA">
        <w:rPr>
          <w:rFonts w:eastAsia="宋体" w:cs="宋体"/>
          <w:b/>
          <w:bCs/>
          <w:szCs w:val="24"/>
          <w:lang w:val="en-US" w:eastAsia="zh-CN"/>
        </w:rPr>
        <w:t>17</w:t>
      </w:r>
      <w:r w:rsidRPr="006170DA">
        <w:rPr>
          <w:rFonts w:eastAsia="宋体" w:cs="宋体"/>
          <w:szCs w:val="24"/>
          <w:lang w:val="en-US" w:eastAsia="zh-CN"/>
        </w:rPr>
        <w:t>: 1413-1424 [PMID: 21247260 DOI: 10.1089/ten.TEA.2010.0373]</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83 </w:t>
      </w:r>
      <w:r w:rsidRPr="006170DA">
        <w:rPr>
          <w:rFonts w:eastAsia="宋体" w:cs="宋体"/>
          <w:b/>
          <w:bCs/>
          <w:szCs w:val="24"/>
          <w:lang w:val="en-US" w:eastAsia="zh-CN"/>
        </w:rPr>
        <w:t>Kim J</w:t>
      </w:r>
      <w:r w:rsidRPr="006170DA">
        <w:rPr>
          <w:rFonts w:eastAsia="宋体" w:cs="宋体"/>
          <w:szCs w:val="24"/>
          <w:lang w:val="en-US" w:eastAsia="zh-CN"/>
        </w:rPr>
        <w:t>, Kim HN, Lim KT, Kim Y, Seonwoo H, Park SH, Lim HJ, Kim DH, Suh KY, Choung PH, Choung YH, Chung JH. Designing nanotopographical density of extracellular matrix for controlled morphology and function of human mesenchymal stem cells. </w:t>
      </w:r>
      <w:r w:rsidRPr="006170DA">
        <w:rPr>
          <w:rFonts w:eastAsia="宋体" w:cs="宋体"/>
          <w:i/>
          <w:iCs/>
          <w:szCs w:val="24"/>
          <w:lang w:val="en-US" w:eastAsia="zh-CN"/>
        </w:rPr>
        <w:t>Sci Rep</w:t>
      </w:r>
      <w:r w:rsidRPr="006170DA">
        <w:rPr>
          <w:rFonts w:eastAsia="宋体" w:cs="宋体"/>
          <w:szCs w:val="24"/>
          <w:lang w:val="en-US" w:eastAsia="zh-CN"/>
        </w:rPr>
        <w:t> 2013; </w:t>
      </w:r>
      <w:r w:rsidRPr="006170DA">
        <w:rPr>
          <w:rFonts w:eastAsia="宋体" w:cs="宋体"/>
          <w:b/>
          <w:bCs/>
          <w:szCs w:val="24"/>
          <w:lang w:val="en-US" w:eastAsia="zh-CN"/>
        </w:rPr>
        <w:t>3</w:t>
      </w:r>
      <w:r w:rsidRPr="006170DA">
        <w:rPr>
          <w:rFonts w:eastAsia="宋体" w:cs="宋体"/>
          <w:szCs w:val="24"/>
          <w:lang w:val="en-US" w:eastAsia="zh-CN"/>
        </w:rPr>
        <w:t>: 3552 [PMID: 24352057 DOI: 10.1038/srep03552]</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84 </w:t>
      </w:r>
      <w:r w:rsidRPr="006170DA">
        <w:rPr>
          <w:rFonts w:eastAsia="宋体" w:cs="宋体"/>
          <w:b/>
          <w:bCs/>
          <w:szCs w:val="24"/>
          <w:lang w:val="en-US" w:eastAsia="zh-CN"/>
        </w:rPr>
        <w:t>Lim SH</w:t>
      </w:r>
      <w:r w:rsidRPr="006170DA">
        <w:rPr>
          <w:rFonts w:eastAsia="宋体" w:cs="宋体"/>
          <w:szCs w:val="24"/>
          <w:lang w:val="en-US" w:eastAsia="zh-CN"/>
        </w:rPr>
        <w:t>, Liu XY, Song H, Yarema KJ, Mao HQ. The effect of nanofiber-guided cell alignment on the preferential differentiation of neural stem cells. </w:t>
      </w:r>
      <w:r w:rsidRPr="006170DA">
        <w:rPr>
          <w:rFonts w:eastAsia="宋体" w:cs="宋体"/>
          <w:i/>
          <w:iCs/>
          <w:szCs w:val="24"/>
          <w:lang w:val="en-US" w:eastAsia="zh-CN"/>
        </w:rPr>
        <w:t>Biomaterials</w:t>
      </w:r>
      <w:r w:rsidRPr="006170DA">
        <w:rPr>
          <w:rFonts w:eastAsia="宋体" w:cs="宋体"/>
          <w:szCs w:val="24"/>
          <w:lang w:val="en-US" w:eastAsia="zh-CN"/>
        </w:rPr>
        <w:t> 2010; </w:t>
      </w:r>
      <w:r w:rsidRPr="006170DA">
        <w:rPr>
          <w:rFonts w:eastAsia="宋体" w:cs="宋体"/>
          <w:b/>
          <w:bCs/>
          <w:szCs w:val="24"/>
          <w:lang w:val="en-US" w:eastAsia="zh-CN"/>
        </w:rPr>
        <w:t>31</w:t>
      </w:r>
      <w:r w:rsidRPr="006170DA">
        <w:rPr>
          <w:rFonts w:eastAsia="宋体" w:cs="宋体"/>
          <w:szCs w:val="24"/>
          <w:lang w:val="en-US" w:eastAsia="zh-CN"/>
        </w:rPr>
        <w:t>: 9031-9039 [PMID: 20797783 DOI: 10.1016/j.biomaterials]</w:t>
      </w:r>
    </w:p>
    <w:p w:rsidR="006170DA" w:rsidRPr="006170DA" w:rsidRDefault="006170DA" w:rsidP="006170DA">
      <w:pPr>
        <w:spacing w:after="0" w:line="360" w:lineRule="auto"/>
        <w:ind w:left="0" w:firstLine="0"/>
        <w:rPr>
          <w:rFonts w:eastAsia="宋体" w:cs="宋体"/>
          <w:szCs w:val="24"/>
          <w:lang w:val="en-US" w:eastAsia="zh-CN"/>
        </w:rPr>
      </w:pPr>
      <w:r>
        <w:rPr>
          <w:rFonts w:eastAsia="宋体" w:cs="宋体"/>
          <w:szCs w:val="24"/>
          <w:lang w:val="en-US" w:eastAsia="zh-CN"/>
        </w:rPr>
        <w:t xml:space="preserve">85 </w:t>
      </w:r>
      <w:r w:rsidRPr="006170DA">
        <w:rPr>
          <w:rFonts w:eastAsia="宋体" w:cs="宋体"/>
          <w:b/>
          <w:szCs w:val="24"/>
          <w:lang w:val="en-US" w:eastAsia="zh-CN"/>
        </w:rPr>
        <w:t>Subramanian A</w:t>
      </w:r>
      <w:r w:rsidRPr="006170DA">
        <w:rPr>
          <w:rFonts w:eastAsia="宋体" w:cs="宋体"/>
          <w:szCs w:val="24"/>
          <w:lang w:val="en-US" w:eastAsia="zh-CN"/>
        </w:rPr>
        <w:t>, Krishnan UM, Sethuraman S. 14 - Skin tissue regeneration. Electrospinning for Tissue Regeneration</w:t>
      </w:r>
      <w:r>
        <w:rPr>
          <w:rFonts w:eastAsia="宋体" w:cs="宋体" w:hint="eastAsia"/>
          <w:szCs w:val="24"/>
          <w:lang w:val="en-US" w:eastAsia="zh-CN"/>
        </w:rPr>
        <w:t>.</w:t>
      </w:r>
      <w:r w:rsidRPr="006170DA">
        <w:rPr>
          <w:rFonts w:eastAsia="宋体" w:cs="宋体"/>
          <w:szCs w:val="24"/>
          <w:lang w:val="en-US" w:eastAsia="zh-CN"/>
        </w:rPr>
        <w:t xml:space="preserve"> Bosworth </w:t>
      </w:r>
      <w:r>
        <w:rPr>
          <w:rFonts w:eastAsia="宋体" w:cs="宋体" w:hint="eastAsia"/>
          <w:szCs w:val="24"/>
          <w:lang w:val="en-US" w:eastAsia="zh-CN"/>
        </w:rPr>
        <w:t>LA,</w:t>
      </w:r>
      <w:r w:rsidRPr="006170DA">
        <w:rPr>
          <w:rFonts w:eastAsia="宋体" w:cs="宋体"/>
          <w:szCs w:val="24"/>
          <w:lang w:val="en-US" w:eastAsia="zh-CN"/>
        </w:rPr>
        <w:t xml:space="preserve"> Downes</w:t>
      </w:r>
      <w:r>
        <w:rPr>
          <w:rFonts w:eastAsia="宋体" w:cs="宋体" w:hint="eastAsia"/>
          <w:szCs w:val="24"/>
          <w:lang w:val="en-US" w:eastAsia="zh-CN"/>
        </w:rPr>
        <w:t xml:space="preserve"> S</w:t>
      </w:r>
      <w:r w:rsidRPr="006170DA">
        <w:rPr>
          <w:rFonts w:eastAsia="宋体" w:cs="宋体"/>
          <w:szCs w:val="24"/>
          <w:lang w:val="en-US" w:eastAsia="zh-CN"/>
        </w:rPr>
        <w:t>, Editors. Woodhead Publishing</w:t>
      </w:r>
      <w:r>
        <w:rPr>
          <w:rFonts w:eastAsia="宋体" w:cs="宋体" w:hint="eastAsia"/>
          <w:szCs w:val="24"/>
          <w:lang w:val="en-US" w:eastAsia="zh-CN"/>
        </w:rPr>
        <w:t>,</w:t>
      </w:r>
      <w:r w:rsidRPr="006170DA">
        <w:rPr>
          <w:rFonts w:eastAsia="宋体" w:cs="宋体"/>
          <w:szCs w:val="24"/>
          <w:lang w:val="en-US" w:eastAsia="zh-CN"/>
        </w:rPr>
        <w:t xml:space="preserve"> 2011</w:t>
      </w:r>
      <w:r>
        <w:rPr>
          <w:rFonts w:eastAsia="宋体" w:cs="宋体" w:hint="eastAsia"/>
          <w:szCs w:val="24"/>
          <w:lang w:val="en-US" w:eastAsia="zh-CN"/>
        </w:rPr>
        <w:t>:</w:t>
      </w:r>
      <w:r w:rsidRPr="006170DA">
        <w:rPr>
          <w:rFonts w:eastAsia="宋体" w:cs="宋体"/>
          <w:szCs w:val="24"/>
          <w:lang w:val="en-US" w:eastAsia="zh-CN"/>
        </w:rPr>
        <w:t xml:space="preserve"> 29</w:t>
      </w:r>
      <w:r>
        <w:rPr>
          <w:rFonts w:eastAsia="宋体" w:cs="宋体"/>
          <w:szCs w:val="24"/>
          <w:lang w:val="en-US" w:eastAsia="zh-CN"/>
        </w:rPr>
        <w:t>8-316</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86 </w:t>
      </w:r>
      <w:r w:rsidRPr="006170DA">
        <w:rPr>
          <w:rFonts w:eastAsia="宋体" w:cs="宋体"/>
          <w:b/>
          <w:bCs/>
          <w:szCs w:val="24"/>
          <w:lang w:val="en-US" w:eastAsia="zh-CN"/>
        </w:rPr>
        <w:t>Jin G</w:t>
      </w:r>
      <w:r w:rsidRPr="006170DA">
        <w:rPr>
          <w:rFonts w:eastAsia="宋体" w:cs="宋体"/>
          <w:szCs w:val="24"/>
          <w:lang w:val="en-US" w:eastAsia="zh-CN"/>
        </w:rPr>
        <w:t>, Prabhakaran MP, Ramakrishna S. Stem cell differentiation to epidermal lineages on electrospun nanofibrous substrates for skin tissue engineering. </w:t>
      </w:r>
      <w:r w:rsidRPr="006170DA">
        <w:rPr>
          <w:rFonts w:eastAsia="宋体" w:cs="宋体"/>
          <w:i/>
          <w:iCs/>
          <w:szCs w:val="24"/>
          <w:lang w:val="en-US" w:eastAsia="zh-CN"/>
        </w:rPr>
        <w:t>Acta Biomater</w:t>
      </w:r>
      <w:r w:rsidRPr="006170DA">
        <w:rPr>
          <w:rFonts w:eastAsia="宋体" w:cs="宋体"/>
          <w:szCs w:val="24"/>
          <w:lang w:val="en-US" w:eastAsia="zh-CN"/>
        </w:rPr>
        <w:t> 2011; </w:t>
      </w:r>
      <w:r w:rsidRPr="006170DA">
        <w:rPr>
          <w:rFonts w:eastAsia="宋体" w:cs="宋体"/>
          <w:b/>
          <w:bCs/>
          <w:szCs w:val="24"/>
          <w:lang w:val="en-US" w:eastAsia="zh-CN"/>
        </w:rPr>
        <w:t>7</w:t>
      </w:r>
      <w:r w:rsidRPr="006170DA">
        <w:rPr>
          <w:rFonts w:eastAsia="宋体" w:cs="宋体"/>
          <w:szCs w:val="24"/>
          <w:lang w:val="en-US" w:eastAsia="zh-CN"/>
        </w:rPr>
        <w:t>: 3113-3122 [PMID: 21550425 DOI: 10.1016/j.actbio.2011.04.017]</w:t>
      </w:r>
    </w:p>
    <w:p w:rsidR="006170DA" w:rsidRPr="006170DA" w:rsidRDefault="006170DA" w:rsidP="006170DA">
      <w:pPr>
        <w:spacing w:after="0" w:line="360" w:lineRule="auto"/>
        <w:ind w:left="0" w:firstLine="0"/>
        <w:rPr>
          <w:rFonts w:eastAsia="宋体" w:cs="宋体"/>
          <w:szCs w:val="24"/>
          <w:lang w:val="en-US" w:eastAsia="zh-CN"/>
        </w:rPr>
      </w:pPr>
      <w:r>
        <w:rPr>
          <w:rFonts w:eastAsia="宋体" w:cs="宋体"/>
          <w:szCs w:val="24"/>
          <w:lang w:val="en-US" w:eastAsia="zh-CN"/>
        </w:rPr>
        <w:t xml:space="preserve">87 </w:t>
      </w:r>
      <w:r w:rsidRPr="006170DA">
        <w:rPr>
          <w:rFonts w:eastAsia="宋体" w:cs="宋体"/>
          <w:b/>
          <w:szCs w:val="24"/>
          <w:lang w:val="en-US" w:eastAsia="zh-CN"/>
        </w:rPr>
        <w:t>Cai Y</w:t>
      </w:r>
      <w:r w:rsidRPr="006170DA">
        <w:rPr>
          <w:rFonts w:eastAsia="宋体" w:cs="宋体"/>
          <w:szCs w:val="24"/>
          <w:lang w:val="en-US" w:eastAsia="zh-CN"/>
        </w:rPr>
        <w:t xml:space="preserve">, Liu Y, Yan W, Hu Q, Tao J, Zhang M, Shi Z, Tang R. Role of hydroxyapatite nanoparticle size in bone cell proliferation. </w:t>
      </w:r>
      <w:r w:rsidRPr="006170DA">
        <w:rPr>
          <w:rFonts w:eastAsia="宋体" w:cs="宋体"/>
          <w:i/>
          <w:szCs w:val="24"/>
          <w:lang w:val="en-US" w:eastAsia="zh-CN"/>
        </w:rPr>
        <w:t>J Mater Chem</w:t>
      </w:r>
      <w:r w:rsidRPr="006170DA">
        <w:rPr>
          <w:rFonts w:eastAsia="宋体" w:cs="宋体"/>
          <w:szCs w:val="24"/>
          <w:lang w:val="en-US" w:eastAsia="zh-CN"/>
        </w:rPr>
        <w:t xml:space="preserve"> 2007; </w:t>
      </w:r>
      <w:r w:rsidRPr="006170DA">
        <w:rPr>
          <w:rFonts w:eastAsia="宋体" w:cs="宋体"/>
          <w:b/>
          <w:szCs w:val="24"/>
          <w:lang w:val="en-US" w:eastAsia="zh-CN"/>
        </w:rPr>
        <w:t>17</w:t>
      </w:r>
      <w:r w:rsidRPr="006170DA">
        <w:rPr>
          <w:rFonts w:eastAsia="宋体" w:cs="宋体"/>
          <w:szCs w:val="24"/>
          <w:lang w:val="en-US" w:eastAsia="zh-CN"/>
        </w:rPr>
        <w:t xml:space="preserve">: </w:t>
      </w:r>
      <w:r>
        <w:rPr>
          <w:rFonts w:eastAsia="宋体" w:cs="宋体"/>
          <w:szCs w:val="24"/>
          <w:lang w:val="en-US" w:eastAsia="zh-CN"/>
        </w:rPr>
        <w:t>3780-87 [DOI: 10.1039/B705129H]</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88 </w:t>
      </w:r>
      <w:r w:rsidRPr="006170DA">
        <w:rPr>
          <w:rFonts w:eastAsia="宋体" w:cs="宋体"/>
          <w:b/>
          <w:bCs/>
          <w:szCs w:val="24"/>
          <w:lang w:val="en-US" w:eastAsia="zh-CN"/>
        </w:rPr>
        <w:t>Hutmacher DW</w:t>
      </w:r>
      <w:r w:rsidRPr="006170DA">
        <w:rPr>
          <w:rFonts w:eastAsia="宋体" w:cs="宋体"/>
          <w:szCs w:val="24"/>
          <w:lang w:val="en-US" w:eastAsia="zh-CN"/>
        </w:rPr>
        <w:t>, Schantz T, Zein I, Ng KW, Teoh SH, Tan KC. Mechanical properties and cell cultural response of polycaprolactone scaffolds designed and fabricated via fused deposition modeling. </w:t>
      </w:r>
      <w:r w:rsidRPr="006170DA">
        <w:rPr>
          <w:rFonts w:eastAsia="宋体" w:cs="宋体"/>
          <w:i/>
          <w:iCs/>
          <w:szCs w:val="24"/>
          <w:lang w:val="en-US" w:eastAsia="zh-CN"/>
        </w:rPr>
        <w:t>J Biomed Mater Res</w:t>
      </w:r>
      <w:r w:rsidRPr="006170DA">
        <w:rPr>
          <w:rFonts w:eastAsia="宋体" w:cs="宋体"/>
          <w:szCs w:val="24"/>
          <w:lang w:val="en-US" w:eastAsia="zh-CN"/>
        </w:rPr>
        <w:t> 2001; </w:t>
      </w:r>
      <w:r w:rsidRPr="006170DA">
        <w:rPr>
          <w:rFonts w:eastAsia="宋体" w:cs="宋体"/>
          <w:b/>
          <w:bCs/>
          <w:szCs w:val="24"/>
          <w:lang w:val="en-US" w:eastAsia="zh-CN"/>
        </w:rPr>
        <w:t>55</w:t>
      </w:r>
      <w:r w:rsidRPr="006170DA">
        <w:rPr>
          <w:rFonts w:eastAsia="宋体" w:cs="宋体"/>
          <w:szCs w:val="24"/>
          <w:lang w:val="en-US" w:eastAsia="zh-CN"/>
        </w:rPr>
        <w:t>: 203-216 [PMID: 11255172 DOI: 10.1002/1097-4636(200105)55: 2&lt;203: : AID-JBM1007&gt;3.0.CO; 2-7]</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89 </w:t>
      </w:r>
      <w:r w:rsidRPr="006170DA">
        <w:rPr>
          <w:rFonts w:eastAsia="宋体" w:cs="宋体"/>
          <w:b/>
          <w:bCs/>
          <w:szCs w:val="24"/>
          <w:lang w:val="en-US" w:eastAsia="zh-CN"/>
        </w:rPr>
        <w:t>Liu Y</w:t>
      </w:r>
      <w:r w:rsidRPr="006170DA">
        <w:rPr>
          <w:rFonts w:eastAsia="宋体" w:cs="宋体"/>
          <w:szCs w:val="24"/>
          <w:lang w:val="en-US" w:eastAsia="zh-CN"/>
        </w:rPr>
        <w:t>, Wang G, Cai Y, Ji H, Zhou G, Zhao X, Tang R, Zhang M. In vitro effects of nanophase hydroxyapatite particles on proliferation and osteogenic differentiation of bone marrow-derived mesenchymal stem cells. </w:t>
      </w:r>
      <w:r w:rsidRPr="006170DA">
        <w:rPr>
          <w:rFonts w:eastAsia="宋体" w:cs="宋体"/>
          <w:i/>
          <w:iCs/>
          <w:szCs w:val="24"/>
          <w:lang w:val="en-US" w:eastAsia="zh-CN"/>
        </w:rPr>
        <w:t>J Biomed Mater Res A</w:t>
      </w:r>
      <w:r w:rsidRPr="006170DA">
        <w:rPr>
          <w:rFonts w:eastAsia="宋体" w:cs="宋体"/>
          <w:szCs w:val="24"/>
          <w:lang w:val="en-US" w:eastAsia="zh-CN"/>
        </w:rPr>
        <w:t> 2009; </w:t>
      </w:r>
      <w:r w:rsidRPr="006170DA">
        <w:rPr>
          <w:rFonts w:eastAsia="宋体" w:cs="宋体"/>
          <w:b/>
          <w:bCs/>
          <w:szCs w:val="24"/>
          <w:lang w:val="en-US" w:eastAsia="zh-CN"/>
        </w:rPr>
        <w:t>90</w:t>
      </w:r>
      <w:r w:rsidRPr="006170DA">
        <w:rPr>
          <w:rFonts w:eastAsia="宋体" w:cs="宋体"/>
          <w:szCs w:val="24"/>
          <w:lang w:val="en-US" w:eastAsia="zh-CN"/>
        </w:rPr>
        <w:t>: 1083-1091 [PMID: 18671263 DOI: 10.1002/jbm.a.32192]</w:t>
      </w:r>
    </w:p>
    <w:p w:rsidR="006170DA" w:rsidRPr="006170DA" w:rsidRDefault="006170DA" w:rsidP="006170DA">
      <w:pPr>
        <w:spacing w:after="0" w:line="360" w:lineRule="auto"/>
        <w:ind w:left="0" w:firstLine="0"/>
        <w:rPr>
          <w:rFonts w:eastAsia="宋体" w:cs="宋体"/>
          <w:szCs w:val="24"/>
          <w:lang w:val="en-US" w:eastAsia="zh-CN"/>
        </w:rPr>
      </w:pPr>
      <w:r>
        <w:rPr>
          <w:rFonts w:eastAsia="宋体" w:cs="宋体"/>
          <w:szCs w:val="24"/>
          <w:lang w:val="en-US" w:eastAsia="zh-CN"/>
        </w:rPr>
        <w:t xml:space="preserve">90 </w:t>
      </w:r>
      <w:r w:rsidRPr="006170DA">
        <w:rPr>
          <w:rFonts w:eastAsia="宋体" w:cs="宋体"/>
          <w:b/>
          <w:szCs w:val="24"/>
          <w:lang w:val="en-US" w:eastAsia="zh-CN"/>
        </w:rPr>
        <w:t>Azevedo HS</w:t>
      </w:r>
      <w:r w:rsidRPr="006170DA">
        <w:rPr>
          <w:rFonts w:eastAsia="宋体" w:cs="宋体"/>
          <w:szCs w:val="24"/>
          <w:lang w:val="en-US" w:eastAsia="zh-CN"/>
        </w:rPr>
        <w:t>, Reis RL. Understanding the enzymatic degradation of biodegradable polymers and strategies to control their degradation rate. Biodegradable systems in tissue engineering and regenerative medicine. Boca Raton, FL: CRC Press 2005: 177-201 [D</w:t>
      </w:r>
      <w:r>
        <w:rPr>
          <w:rFonts w:eastAsia="宋体" w:cs="宋体"/>
          <w:szCs w:val="24"/>
          <w:lang w:val="en-US" w:eastAsia="zh-CN"/>
        </w:rPr>
        <w:t>OI: 10.1201/9780203491232.ch12]</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91 </w:t>
      </w:r>
      <w:r w:rsidRPr="006170DA">
        <w:rPr>
          <w:rFonts w:eastAsia="宋体" w:cs="宋体"/>
          <w:b/>
          <w:bCs/>
          <w:szCs w:val="24"/>
          <w:lang w:val="en-US" w:eastAsia="zh-CN"/>
        </w:rPr>
        <w:t>Schellenberger EA</w:t>
      </w:r>
      <w:r w:rsidRPr="006170DA">
        <w:rPr>
          <w:rFonts w:eastAsia="宋体" w:cs="宋体"/>
          <w:szCs w:val="24"/>
          <w:lang w:val="en-US" w:eastAsia="zh-CN"/>
        </w:rPr>
        <w:t>, Reynolds F, Weissleder R, Josephson L. Surface-functionalized nanoparticle library yields probes for apoptotic cells. </w:t>
      </w:r>
      <w:r w:rsidRPr="006170DA">
        <w:rPr>
          <w:rFonts w:eastAsia="宋体" w:cs="宋体"/>
          <w:i/>
          <w:iCs/>
          <w:szCs w:val="24"/>
          <w:lang w:val="en-US" w:eastAsia="zh-CN"/>
        </w:rPr>
        <w:t>Chembiochem</w:t>
      </w:r>
      <w:r w:rsidRPr="006170DA">
        <w:rPr>
          <w:rFonts w:eastAsia="宋体" w:cs="宋体"/>
          <w:szCs w:val="24"/>
          <w:lang w:val="en-US" w:eastAsia="zh-CN"/>
        </w:rPr>
        <w:t> 2004; </w:t>
      </w:r>
      <w:r w:rsidRPr="006170DA">
        <w:rPr>
          <w:rFonts w:eastAsia="宋体" w:cs="宋体"/>
          <w:b/>
          <w:bCs/>
          <w:szCs w:val="24"/>
          <w:lang w:val="en-US" w:eastAsia="zh-CN"/>
        </w:rPr>
        <w:t>5</w:t>
      </w:r>
      <w:r w:rsidRPr="006170DA">
        <w:rPr>
          <w:rFonts w:eastAsia="宋体" w:cs="宋体"/>
          <w:szCs w:val="24"/>
          <w:lang w:val="en-US" w:eastAsia="zh-CN"/>
        </w:rPr>
        <w:t>: 275-279 [PMID: 14997519 DOI: 10.1002/cbic.200300713]</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92 </w:t>
      </w:r>
      <w:r w:rsidRPr="006170DA">
        <w:rPr>
          <w:rFonts w:eastAsia="宋体" w:cs="宋体"/>
          <w:b/>
          <w:bCs/>
          <w:szCs w:val="24"/>
          <w:lang w:val="en-US" w:eastAsia="zh-CN"/>
        </w:rPr>
        <w:t>Sperling RA</w:t>
      </w:r>
      <w:r w:rsidRPr="006170DA">
        <w:rPr>
          <w:rFonts w:eastAsia="宋体" w:cs="宋体"/>
          <w:szCs w:val="24"/>
          <w:lang w:val="en-US" w:eastAsia="zh-CN"/>
        </w:rPr>
        <w:t>, Parak WJ. Surface modification, functionalization and bioconjugation of colloidal inorganic nanoparticles. </w:t>
      </w:r>
      <w:r w:rsidRPr="006170DA">
        <w:rPr>
          <w:rFonts w:eastAsia="宋体" w:cs="宋体"/>
          <w:i/>
          <w:iCs/>
          <w:szCs w:val="24"/>
          <w:lang w:val="en-US" w:eastAsia="zh-CN"/>
        </w:rPr>
        <w:t>Philos Trans A Math Phys Eng Sci</w:t>
      </w:r>
      <w:r w:rsidRPr="006170DA">
        <w:rPr>
          <w:rFonts w:eastAsia="宋体" w:cs="宋体"/>
          <w:szCs w:val="24"/>
          <w:lang w:val="en-US" w:eastAsia="zh-CN"/>
        </w:rPr>
        <w:t> 2010; </w:t>
      </w:r>
      <w:r w:rsidRPr="006170DA">
        <w:rPr>
          <w:rFonts w:eastAsia="宋体" w:cs="宋体"/>
          <w:b/>
          <w:bCs/>
          <w:szCs w:val="24"/>
          <w:lang w:val="en-US" w:eastAsia="zh-CN"/>
        </w:rPr>
        <w:t>368</w:t>
      </w:r>
      <w:r w:rsidRPr="006170DA">
        <w:rPr>
          <w:rFonts w:eastAsia="宋体" w:cs="宋体"/>
          <w:szCs w:val="24"/>
          <w:lang w:val="en-US" w:eastAsia="zh-CN"/>
        </w:rPr>
        <w:t>: 1333-1383 [PMID: 20156828 DOI: 10.1098/rsta.2009.0273]</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93 </w:t>
      </w:r>
      <w:r w:rsidRPr="006170DA">
        <w:rPr>
          <w:rFonts w:eastAsia="宋体" w:cs="宋体"/>
          <w:b/>
          <w:bCs/>
          <w:szCs w:val="24"/>
          <w:lang w:val="en-US" w:eastAsia="zh-CN"/>
        </w:rPr>
        <w:t>Tautzenberger A</w:t>
      </w:r>
      <w:r w:rsidRPr="006170DA">
        <w:rPr>
          <w:rFonts w:eastAsia="宋体" w:cs="宋体"/>
          <w:szCs w:val="24"/>
          <w:lang w:val="en-US" w:eastAsia="zh-CN"/>
        </w:rPr>
        <w:t>, Kovtun A, Ignatius A. Nanoparticles and their potential for application in bone. </w:t>
      </w:r>
      <w:r w:rsidRPr="006170DA">
        <w:rPr>
          <w:rFonts w:eastAsia="宋体" w:cs="宋体"/>
          <w:i/>
          <w:iCs/>
          <w:szCs w:val="24"/>
          <w:lang w:val="en-US" w:eastAsia="zh-CN"/>
        </w:rPr>
        <w:t>Int J Nanomedicine</w:t>
      </w:r>
      <w:r w:rsidRPr="006170DA">
        <w:rPr>
          <w:rFonts w:eastAsia="宋体" w:cs="宋体"/>
          <w:szCs w:val="24"/>
          <w:lang w:val="en-US" w:eastAsia="zh-CN"/>
        </w:rPr>
        <w:t> 2012; </w:t>
      </w:r>
      <w:r w:rsidRPr="006170DA">
        <w:rPr>
          <w:rFonts w:eastAsia="宋体" w:cs="宋体"/>
          <w:b/>
          <w:bCs/>
          <w:szCs w:val="24"/>
          <w:lang w:val="en-US" w:eastAsia="zh-CN"/>
        </w:rPr>
        <w:t>7</w:t>
      </w:r>
      <w:r w:rsidRPr="006170DA">
        <w:rPr>
          <w:rFonts w:eastAsia="宋体" w:cs="宋体"/>
          <w:szCs w:val="24"/>
          <w:lang w:val="en-US" w:eastAsia="zh-CN"/>
        </w:rPr>
        <w:t>: 4545-4557 [PMID: 22923992 DOI: 10.2147/IJN.S34127]</w:t>
      </w:r>
    </w:p>
    <w:p w:rsidR="006170DA" w:rsidRPr="006170DA" w:rsidRDefault="006170DA" w:rsidP="006170DA">
      <w:pPr>
        <w:spacing w:after="0" w:line="360" w:lineRule="auto"/>
        <w:ind w:left="0" w:firstLine="0"/>
        <w:rPr>
          <w:rFonts w:eastAsia="宋体" w:cs="宋体"/>
          <w:szCs w:val="24"/>
          <w:lang w:val="en-US" w:eastAsia="zh-CN"/>
        </w:rPr>
      </w:pPr>
      <w:r>
        <w:rPr>
          <w:rFonts w:eastAsia="宋体" w:cs="宋体"/>
          <w:szCs w:val="24"/>
          <w:lang w:val="en-US" w:eastAsia="zh-CN"/>
        </w:rPr>
        <w:t xml:space="preserve">94 </w:t>
      </w:r>
      <w:r w:rsidRPr="006170DA">
        <w:rPr>
          <w:rFonts w:eastAsia="宋体" w:cs="宋体"/>
          <w:b/>
          <w:szCs w:val="24"/>
          <w:lang w:val="en-US" w:eastAsia="zh-CN"/>
        </w:rPr>
        <w:t>Hu Q</w:t>
      </w:r>
      <w:r w:rsidRPr="006170DA">
        <w:rPr>
          <w:rFonts w:eastAsia="宋体" w:cs="宋体"/>
          <w:szCs w:val="24"/>
          <w:lang w:val="en-US" w:eastAsia="zh-CN"/>
        </w:rPr>
        <w:t>, Tan Z, Liu Y, Tao J, Cai Y, Zhang M, Pan H, Xu X, Tang R. Effect of crystallinity of calcium phosphate nanoparticles on adhesion, proliferation, and differentiation of bone marrow mesenchymal stem cells.</w:t>
      </w:r>
      <w:r w:rsidRPr="006170DA">
        <w:rPr>
          <w:rFonts w:eastAsia="宋体" w:cs="宋体"/>
          <w:i/>
          <w:szCs w:val="24"/>
          <w:lang w:val="en-US" w:eastAsia="zh-CN"/>
        </w:rPr>
        <w:t xml:space="preserve"> J Mater Chem</w:t>
      </w:r>
      <w:r w:rsidRPr="006170DA">
        <w:rPr>
          <w:rFonts w:eastAsia="宋体" w:cs="宋体"/>
          <w:szCs w:val="24"/>
          <w:lang w:val="en-US" w:eastAsia="zh-CN"/>
        </w:rPr>
        <w:t xml:space="preserve"> 2007; </w:t>
      </w:r>
      <w:r w:rsidRPr="006170DA">
        <w:rPr>
          <w:rFonts w:eastAsia="宋体" w:cs="宋体"/>
          <w:b/>
          <w:szCs w:val="24"/>
          <w:lang w:val="en-US" w:eastAsia="zh-CN"/>
        </w:rPr>
        <w:t>17</w:t>
      </w:r>
      <w:r w:rsidRPr="006170DA">
        <w:rPr>
          <w:rFonts w:eastAsia="宋体" w:cs="宋体"/>
          <w:szCs w:val="24"/>
          <w:lang w:val="en-US" w:eastAsia="zh-CN"/>
        </w:rPr>
        <w:t>: 4690-98 [DOI: 10.1039/B710936A]</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95 </w:t>
      </w:r>
      <w:r w:rsidRPr="006170DA">
        <w:rPr>
          <w:rFonts w:eastAsia="宋体" w:cs="宋体"/>
          <w:b/>
          <w:bCs/>
          <w:szCs w:val="24"/>
          <w:lang w:val="en-US" w:eastAsia="zh-CN"/>
        </w:rPr>
        <w:t>Peters K</w:t>
      </w:r>
      <w:r w:rsidRPr="006170DA">
        <w:rPr>
          <w:rFonts w:eastAsia="宋体" w:cs="宋体"/>
          <w:szCs w:val="24"/>
          <w:lang w:val="en-US" w:eastAsia="zh-CN"/>
        </w:rPr>
        <w:t>, Unger RE, Kirkpatrick CJ, Gatti AM, Monari E. Effects of nano-scaled particles on endothelial cell function in vitro: studies on viability, proliferation and inflammation. </w:t>
      </w:r>
      <w:r w:rsidRPr="006170DA">
        <w:rPr>
          <w:rFonts w:eastAsia="宋体" w:cs="宋体"/>
          <w:i/>
          <w:iCs/>
          <w:szCs w:val="24"/>
          <w:lang w:val="en-US" w:eastAsia="zh-CN"/>
        </w:rPr>
        <w:t>J Mater Sci Mater Med</w:t>
      </w:r>
      <w:r w:rsidRPr="006170DA">
        <w:rPr>
          <w:rFonts w:eastAsia="宋体" w:cs="宋体"/>
          <w:szCs w:val="24"/>
          <w:lang w:val="en-US" w:eastAsia="zh-CN"/>
        </w:rPr>
        <w:t> 2004; </w:t>
      </w:r>
      <w:r w:rsidRPr="006170DA">
        <w:rPr>
          <w:rFonts w:eastAsia="宋体" w:cs="宋体"/>
          <w:b/>
          <w:bCs/>
          <w:szCs w:val="24"/>
          <w:lang w:val="en-US" w:eastAsia="zh-CN"/>
        </w:rPr>
        <w:t>15</w:t>
      </w:r>
      <w:r w:rsidRPr="006170DA">
        <w:rPr>
          <w:rFonts w:eastAsia="宋体" w:cs="宋体"/>
          <w:szCs w:val="24"/>
          <w:lang w:val="en-US" w:eastAsia="zh-CN"/>
        </w:rPr>
        <w:t>: 321-325 [PMID: 15332593 DOI: 10.1023/B: JMSM.0000021095.36878.1b]</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96 </w:t>
      </w:r>
      <w:r w:rsidRPr="006170DA">
        <w:rPr>
          <w:rFonts w:eastAsia="宋体" w:cs="宋体"/>
          <w:b/>
          <w:bCs/>
          <w:szCs w:val="24"/>
          <w:lang w:val="en-US" w:eastAsia="zh-CN"/>
        </w:rPr>
        <w:t>Wang JJ</w:t>
      </w:r>
      <w:r w:rsidRPr="006170DA">
        <w:rPr>
          <w:rFonts w:eastAsia="宋体" w:cs="宋体"/>
          <w:szCs w:val="24"/>
          <w:lang w:val="en-US" w:eastAsia="zh-CN"/>
        </w:rPr>
        <w:t>, Sanderson BJ, Wang H. Cyto- and genotoxicity of ultrafine TiO2 particles in cultured human lymphoblastoid cells. </w:t>
      </w:r>
      <w:r w:rsidRPr="006170DA">
        <w:rPr>
          <w:rFonts w:eastAsia="宋体" w:cs="宋体"/>
          <w:i/>
          <w:iCs/>
          <w:szCs w:val="24"/>
          <w:lang w:val="en-US" w:eastAsia="zh-CN"/>
        </w:rPr>
        <w:t>Mutat Res</w:t>
      </w:r>
      <w:r w:rsidRPr="006170DA">
        <w:rPr>
          <w:rFonts w:eastAsia="宋体" w:cs="宋体"/>
          <w:szCs w:val="24"/>
          <w:lang w:val="en-US" w:eastAsia="zh-CN"/>
        </w:rPr>
        <w:t> 2007; </w:t>
      </w:r>
      <w:r w:rsidRPr="006170DA">
        <w:rPr>
          <w:rFonts w:eastAsia="宋体" w:cs="宋体"/>
          <w:b/>
          <w:bCs/>
          <w:szCs w:val="24"/>
          <w:lang w:val="en-US" w:eastAsia="zh-CN"/>
        </w:rPr>
        <w:t>628</w:t>
      </w:r>
      <w:r w:rsidRPr="006170DA">
        <w:rPr>
          <w:rFonts w:eastAsia="宋体" w:cs="宋体"/>
          <w:szCs w:val="24"/>
          <w:lang w:val="en-US" w:eastAsia="zh-CN"/>
        </w:rPr>
        <w:t>: 99-106 [PMID: 17223607 DOI: 10.1016/j.mrgentox.2006.12.003]</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97 </w:t>
      </w:r>
      <w:r w:rsidRPr="006170DA">
        <w:rPr>
          <w:rFonts w:eastAsia="宋体" w:cs="宋体"/>
          <w:b/>
          <w:bCs/>
          <w:szCs w:val="24"/>
          <w:lang w:val="en-US" w:eastAsia="zh-CN"/>
        </w:rPr>
        <w:t>Rahman Q</w:t>
      </w:r>
      <w:r w:rsidRPr="006170DA">
        <w:rPr>
          <w:rFonts w:eastAsia="宋体" w:cs="宋体"/>
          <w:szCs w:val="24"/>
          <w:lang w:val="en-US" w:eastAsia="zh-CN"/>
        </w:rPr>
        <w:t>, Lohani M, Dopp E, Pemsel H, Jonas L, Weiss DG, Schiffmann D. Evidence that ultrafine titanium dioxide induces micronuclei and apoptosis in Syrian hamster embryo fibroblasts. </w:t>
      </w:r>
      <w:r w:rsidRPr="006170DA">
        <w:rPr>
          <w:rFonts w:eastAsia="宋体" w:cs="宋体"/>
          <w:i/>
          <w:iCs/>
          <w:szCs w:val="24"/>
          <w:lang w:val="en-US" w:eastAsia="zh-CN"/>
        </w:rPr>
        <w:t>Environ Health Perspect</w:t>
      </w:r>
      <w:r w:rsidRPr="006170DA">
        <w:rPr>
          <w:rFonts w:eastAsia="宋体" w:cs="宋体"/>
          <w:szCs w:val="24"/>
          <w:lang w:val="en-US" w:eastAsia="zh-CN"/>
        </w:rPr>
        <w:t> 2002; </w:t>
      </w:r>
      <w:r w:rsidRPr="006170DA">
        <w:rPr>
          <w:rFonts w:eastAsia="宋体" w:cs="宋体"/>
          <w:b/>
          <w:bCs/>
          <w:szCs w:val="24"/>
          <w:lang w:val="en-US" w:eastAsia="zh-CN"/>
        </w:rPr>
        <w:t>110</w:t>
      </w:r>
      <w:r w:rsidRPr="006170DA">
        <w:rPr>
          <w:rFonts w:eastAsia="宋体" w:cs="宋体"/>
          <w:szCs w:val="24"/>
          <w:lang w:val="en-US" w:eastAsia="zh-CN"/>
        </w:rPr>
        <w:t>: 797-800 [PMID: 12153761]</w:t>
      </w:r>
    </w:p>
    <w:p w:rsidR="006170DA" w:rsidRPr="006170DA" w:rsidRDefault="006170DA" w:rsidP="006170DA">
      <w:pPr>
        <w:spacing w:after="0" w:line="360" w:lineRule="auto"/>
        <w:ind w:left="0" w:firstLine="0"/>
        <w:rPr>
          <w:rFonts w:eastAsia="宋体" w:cs="宋体"/>
          <w:szCs w:val="24"/>
          <w:lang w:val="en-US" w:eastAsia="zh-CN"/>
        </w:rPr>
      </w:pPr>
      <w:r w:rsidRPr="006170DA">
        <w:rPr>
          <w:rFonts w:eastAsia="宋体" w:cs="宋体"/>
          <w:szCs w:val="24"/>
          <w:lang w:val="en-US" w:eastAsia="zh-CN"/>
        </w:rPr>
        <w:t>98 </w:t>
      </w:r>
      <w:r w:rsidRPr="006170DA">
        <w:rPr>
          <w:rFonts w:eastAsia="宋体" w:cs="宋体"/>
          <w:b/>
          <w:bCs/>
          <w:szCs w:val="24"/>
          <w:lang w:val="en-US" w:eastAsia="zh-CN"/>
        </w:rPr>
        <w:t>Hou Y</w:t>
      </w:r>
      <w:r w:rsidRPr="006170DA">
        <w:rPr>
          <w:rFonts w:eastAsia="宋体" w:cs="宋体"/>
          <w:szCs w:val="24"/>
          <w:lang w:val="en-US" w:eastAsia="zh-CN"/>
        </w:rPr>
        <w:t>, Cai K, Li J, Chen X, Lai M, Hu Y, Luo Z, Ding X, Xu D. Effects of titanium nanoparticles on adhesion, migration, proliferation, and differentiation of mesenchymal stem cells. </w:t>
      </w:r>
      <w:r w:rsidRPr="006170DA">
        <w:rPr>
          <w:rFonts w:eastAsia="宋体" w:cs="宋体"/>
          <w:i/>
          <w:iCs/>
          <w:szCs w:val="24"/>
          <w:lang w:val="en-US" w:eastAsia="zh-CN"/>
        </w:rPr>
        <w:t>Int J Nanomedicine</w:t>
      </w:r>
      <w:r w:rsidRPr="006170DA">
        <w:rPr>
          <w:rFonts w:eastAsia="宋体" w:cs="宋体"/>
          <w:szCs w:val="24"/>
          <w:lang w:val="en-US" w:eastAsia="zh-CN"/>
        </w:rPr>
        <w:t> 2013; </w:t>
      </w:r>
      <w:r w:rsidRPr="006170DA">
        <w:rPr>
          <w:rFonts w:eastAsia="宋体" w:cs="宋体"/>
          <w:b/>
          <w:bCs/>
          <w:szCs w:val="24"/>
          <w:lang w:val="en-US" w:eastAsia="zh-CN"/>
        </w:rPr>
        <w:t>8</w:t>
      </w:r>
      <w:r w:rsidRPr="006170DA">
        <w:rPr>
          <w:rFonts w:eastAsia="宋体" w:cs="宋体"/>
          <w:szCs w:val="24"/>
          <w:lang w:val="en-US" w:eastAsia="zh-CN"/>
        </w:rPr>
        <w:t>: 3619-3630 [PMID: 24101871 DOI: 10.2147/IJN.S38992]</w:t>
      </w:r>
    </w:p>
    <w:p w:rsidR="009C1217" w:rsidRPr="006170DA" w:rsidRDefault="009C1217" w:rsidP="006170DA">
      <w:pPr>
        <w:spacing w:after="0" w:line="360" w:lineRule="auto"/>
        <w:ind w:left="0" w:firstLine="0"/>
        <w:rPr>
          <w:rFonts w:eastAsiaTheme="minorEastAsia"/>
          <w:b/>
          <w:color w:val="auto"/>
          <w:szCs w:val="24"/>
          <w:lang w:eastAsia="zh-CN"/>
        </w:rPr>
      </w:pPr>
    </w:p>
    <w:p w:rsidR="006F4EE5" w:rsidRPr="006170DA" w:rsidRDefault="006F4EE5" w:rsidP="006170DA">
      <w:pPr>
        <w:pStyle w:val="PlainText"/>
        <w:spacing w:line="360" w:lineRule="auto"/>
        <w:jc w:val="right"/>
        <w:rPr>
          <w:rFonts w:ascii="Book Antiqua" w:hAnsi="Book Antiqua"/>
          <w:b/>
          <w:sz w:val="24"/>
          <w:szCs w:val="24"/>
        </w:rPr>
      </w:pPr>
      <w:r w:rsidRPr="006170DA">
        <w:rPr>
          <w:rFonts w:ascii="Book Antiqua" w:hAnsi="Book Antiqua"/>
          <w:b/>
          <w:sz w:val="24"/>
          <w:szCs w:val="24"/>
        </w:rPr>
        <w:t>P-Reviewer:</w:t>
      </w:r>
      <w:r w:rsidR="00564787" w:rsidRPr="006170DA">
        <w:rPr>
          <w:rFonts w:ascii="Book Antiqua" w:hAnsi="Book Antiqua" w:cs="Tahoma"/>
          <w:color w:val="000000"/>
          <w:sz w:val="24"/>
          <w:szCs w:val="24"/>
        </w:rPr>
        <w:t xml:space="preserve"> Kim SY</w:t>
      </w:r>
      <w:r w:rsidRPr="006170DA">
        <w:rPr>
          <w:rFonts w:ascii="Book Antiqua" w:hAnsi="Book Antiqua"/>
          <w:b/>
          <w:sz w:val="24"/>
          <w:szCs w:val="24"/>
        </w:rPr>
        <w:t xml:space="preserve"> S-Editor: </w:t>
      </w:r>
      <w:r w:rsidRPr="006170DA">
        <w:rPr>
          <w:rFonts w:ascii="Book Antiqua" w:hAnsi="Book Antiqua"/>
          <w:sz w:val="24"/>
          <w:szCs w:val="24"/>
        </w:rPr>
        <w:t>Ji FF</w:t>
      </w:r>
      <w:r w:rsidRPr="006170DA">
        <w:rPr>
          <w:rFonts w:ascii="Book Antiqua" w:hAnsi="Book Antiqua"/>
          <w:b/>
          <w:sz w:val="24"/>
          <w:szCs w:val="24"/>
        </w:rPr>
        <w:t xml:space="preserve"> L-Editor:  E-Editor:</w:t>
      </w:r>
    </w:p>
    <w:p w:rsidR="00614B31" w:rsidRPr="006F4EE5" w:rsidRDefault="00614B31" w:rsidP="006F4EE5">
      <w:pPr>
        <w:spacing w:after="0" w:line="360" w:lineRule="auto"/>
        <w:ind w:left="0" w:firstLine="0"/>
        <w:rPr>
          <w:color w:val="auto"/>
          <w:szCs w:val="24"/>
          <w:lang w:val="en-US"/>
        </w:rPr>
      </w:pPr>
    </w:p>
    <w:p w:rsidR="005118FE" w:rsidRPr="006F4EE5" w:rsidRDefault="005118FE" w:rsidP="006F4EE5">
      <w:pPr>
        <w:spacing w:after="0" w:line="360" w:lineRule="auto"/>
        <w:ind w:left="0" w:firstLine="0"/>
        <w:rPr>
          <w:color w:val="auto"/>
          <w:szCs w:val="24"/>
        </w:rPr>
      </w:pPr>
    </w:p>
    <w:p w:rsidR="005118FE" w:rsidRPr="006F4EE5" w:rsidRDefault="005118FE" w:rsidP="006F4EE5">
      <w:pPr>
        <w:spacing w:after="0" w:line="360" w:lineRule="auto"/>
        <w:ind w:left="0" w:firstLine="0"/>
        <w:rPr>
          <w:color w:val="auto"/>
          <w:szCs w:val="24"/>
        </w:rPr>
      </w:pPr>
    </w:p>
    <w:p w:rsidR="005118FE" w:rsidRPr="006F4EE5" w:rsidRDefault="005118FE" w:rsidP="006F4EE5">
      <w:pPr>
        <w:spacing w:after="0" w:line="360" w:lineRule="auto"/>
        <w:ind w:left="0" w:firstLine="0"/>
        <w:rPr>
          <w:color w:val="auto"/>
          <w:szCs w:val="24"/>
        </w:rPr>
      </w:pPr>
    </w:p>
    <w:p w:rsidR="005118FE" w:rsidRPr="006F4EE5" w:rsidRDefault="005118FE" w:rsidP="006F4EE5">
      <w:pPr>
        <w:spacing w:after="0" w:line="360" w:lineRule="auto"/>
        <w:ind w:left="0" w:firstLine="0"/>
        <w:rPr>
          <w:color w:val="auto"/>
          <w:szCs w:val="24"/>
        </w:rPr>
      </w:pPr>
    </w:p>
    <w:p w:rsidR="005118FE" w:rsidRPr="006F4EE5" w:rsidRDefault="005118FE" w:rsidP="006F4EE5">
      <w:pPr>
        <w:spacing w:after="0" w:line="360" w:lineRule="auto"/>
        <w:ind w:left="0" w:firstLine="0"/>
        <w:rPr>
          <w:color w:val="auto"/>
          <w:szCs w:val="24"/>
        </w:rPr>
      </w:pPr>
    </w:p>
    <w:p w:rsidR="002E4309" w:rsidRDefault="002E4309" w:rsidP="006F4EE5">
      <w:pPr>
        <w:spacing w:after="0" w:line="360" w:lineRule="auto"/>
        <w:ind w:left="0" w:firstLine="0"/>
        <w:rPr>
          <w:rFonts w:eastAsiaTheme="minorEastAsia"/>
          <w:b/>
          <w:color w:val="auto"/>
          <w:szCs w:val="24"/>
          <w:lang w:eastAsia="zh-CN"/>
        </w:rPr>
      </w:pPr>
    </w:p>
    <w:p w:rsidR="006F4EE5" w:rsidRDefault="006F4EE5" w:rsidP="006F4EE5">
      <w:pPr>
        <w:spacing w:after="0" w:line="360" w:lineRule="auto"/>
        <w:ind w:left="0" w:firstLine="0"/>
        <w:rPr>
          <w:rFonts w:eastAsiaTheme="minorEastAsia"/>
          <w:b/>
          <w:color w:val="auto"/>
          <w:szCs w:val="24"/>
          <w:lang w:eastAsia="zh-CN"/>
        </w:rPr>
      </w:pPr>
    </w:p>
    <w:p w:rsidR="006F4EE5" w:rsidRDefault="006F4EE5" w:rsidP="006F4EE5">
      <w:pPr>
        <w:spacing w:after="0" w:line="360" w:lineRule="auto"/>
        <w:ind w:left="0" w:firstLine="0"/>
        <w:rPr>
          <w:rFonts w:eastAsiaTheme="minorEastAsia"/>
          <w:b/>
          <w:color w:val="auto"/>
          <w:szCs w:val="24"/>
          <w:lang w:eastAsia="zh-CN"/>
        </w:rPr>
      </w:pPr>
    </w:p>
    <w:p w:rsidR="006F4EE5" w:rsidRPr="006F4EE5" w:rsidRDefault="006F4EE5" w:rsidP="006F4EE5">
      <w:pPr>
        <w:spacing w:after="0" w:line="360" w:lineRule="auto"/>
        <w:ind w:left="0" w:firstLine="0"/>
        <w:rPr>
          <w:rFonts w:eastAsiaTheme="minorEastAsia"/>
          <w:color w:val="auto"/>
          <w:szCs w:val="24"/>
          <w:lang w:eastAsia="zh-CN"/>
        </w:rPr>
      </w:pPr>
    </w:p>
    <w:p w:rsidR="006F4EE5" w:rsidRDefault="006F4EE5" w:rsidP="006F4EE5">
      <w:pPr>
        <w:spacing w:after="0" w:line="360" w:lineRule="auto"/>
        <w:ind w:left="0" w:firstLine="0"/>
        <w:rPr>
          <w:rFonts w:eastAsiaTheme="minorEastAsia"/>
          <w:b/>
          <w:color w:val="auto"/>
          <w:szCs w:val="24"/>
          <w:lang w:eastAsia="zh-CN"/>
        </w:rPr>
      </w:pPr>
      <w:r w:rsidRPr="006F4EE5">
        <w:rPr>
          <w:rFonts w:eastAsiaTheme="minorEastAsia"/>
          <w:b/>
          <w:noProof/>
          <w:color w:val="auto"/>
          <w:szCs w:val="24"/>
          <w:lang w:val="en-US" w:eastAsia="en-US"/>
        </w:rPr>
        <w:drawing>
          <wp:inline distT="0" distB="0" distL="0" distR="0" wp14:anchorId="31BBCF6E" wp14:editId="4E096623">
            <wp:extent cx="5486400" cy="308546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085465"/>
                    </a:xfrm>
                    <a:prstGeom prst="rect">
                      <a:avLst/>
                    </a:prstGeom>
                  </pic:spPr>
                </pic:pic>
              </a:graphicData>
            </a:graphic>
          </wp:inline>
        </w:drawing>
      </w:r>
    </w:p>
    <w:p w:rsidR="002E4309" w:rsidRPr="006F4EE5" w:rsidRDefault="00752D33" w:rsidP="006F4EE5">
      <w:pPr>
        <w:spacing w:after="0" w:line="360" w:lineRule="auto"/>
        <w:ind w:left="0" w:firstLine="0"/>
        <w:rPr>
          <w:rFonts w:eastAsiaTheme="minorEastAsia"/>
          <w:color w:val="auto"/>
          <w:szCs w:val="24"/>
          <w:lang w:eastAsia="zh-CN"/>
        </w:rPr>
      </w:pPr>
      <w:r w:rsidRPr="006F4EE5">
        <w:rPr>
          <w:b/>
          <w:color w:val="auto"/>
          <w:szCs w:val="24"/>
        </w:rPr>
        <w:t xml:space="preserve">Figure 1 </w:t>
      </w:r>
      <w:r w:rsidR="00710EE9" w:rsidRPr="006F4EE5">
        <w:rPr>
          <w:b/>
          <w:color w:val="auto"/>
          <w:szCs w:val="24"/>
        </w:rPr>
        <w:t>Potential</w:t>
      </w:r>
      <w:r w:rsidR="005118FE" w:rsidRPr="006F4EE5">
        <w:rPr>
          <w:b/>
          <w:color w:val="auto"/>
          <w:szCs w:val="24"/>
        </w:rPr>
        <w:t>s</w:t>
      </w:r>
      <w:r w:rsidR="00710EE9" w:rsidRPr="006F4EE5">
        <w:rPr>
          <w:b/>
          <w:color w:val="auto"/>
          <w:szCs w:val="24"/>
        </w:rPr>
        <w:t xml:space="preserve"> and sources of </w:t>
      </w:r>
      <w:r w:rsidR="006F4EE5" w:rsidRPr="006F4EE5">
        <w:rPr>
          <w:b/>
          <w:color w:val="auto"/>
          <w:szCs w:val="24"/>
        </w:rPr>
        <w:t>mesenchymal stem cells</w:t>
      </w:r>
      <w:r w:rsidR="006F4EE5">
        <w:rPr>
          <w:rFonts w:eastAsiaTheme="minorEastAsia" w:hint="eastAsia"/>
          <w:b/>
          <w:color w:val="auto"/>
          <w:szCs w:val="24"/>
          <w:lang w:eastAsia="zh-CN"/>
        </w:rPr>
        <w:t>.</w:t>
      </w:r>
      <w:r w:rsidR="006F4EE5" w:rsidRPr="006F4EE5">
        <w:rPr>
          <w:rFonts w:eastAsiaTheme="minorEastAsia" w:hint="eastAsia"/>
          <w:color w:val="auto"/>
          <w:szCs w:val="24"/>
          <w:lang w:eastAsia="zh-CN"/>
        </w:rPr>
        <w:t xml:space="preserve"> </w:t>
      </w:r>
      <w:r w:rsidR="006F4EE5" w:rsidRPr="006F4EE5">
        <w:rPr>
          <w:color w:val="auto"/>
          <w:szCs w:val="24"/>
        </w:rPr>
        <w:t>Mesenchymal stem cells</w:t>
      </w:r>
      <w:r w:rsidR="00710EE9" w:rsidRPr="006F4EE5">
        <w:rPr>
          <w:color w:val="auto"/>
          <w:szCs w:val="24"/>
        </w:rPr>
        <w:t xml:space="preserve"> can be collected from various sources within human body and have the ability to differentiate into a variety of lineages. </w:t>
      </w:r>
    </w:p>
    <w:p w:rsidR="00752D33" w:rsidRPr="006F4EE5" w:rsidRDefault="006F4EE5" w:rsidP="006F4EE5">
      <w:pPr>
        <w:spacing w:after="0" w:line="360" w:lineRule="auto"/>
        <w:ind w:left="0" w:firstLine="0"/>
        <w:rPr>
          <w:color w:val="auto"/>
          <w:szCs w:val="24"/>
        </w:rPr>
      </w:pPr>
      <w:r w:rsidRPr="006F4EE5">
        <w:rPr>
          <w:noProof/>
          <w:color w:val="auto"/>
          <w:szCs w:val="24"/>
          <w:lang w:val="en-US" w:eastAsia="en-US"/>
        </w:rPr>
        <w:drawing>
          <wp:inline distT="0" distB="0" distL="0" distR="0" wp14:anchorId="7D9BC5CF" wp14:editId="651315AA">
            <wp:extent cx="5486400" cy="308546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085465"/>
                    </a:xfrm>
                    <a:prstGeom prst="rect">
                      <a:avLst/>
                    </a:prstGeom>
                  </pic:spPr>
                </pic:pic>
              </a:graphicData>
            </a:graphic>
          </wp:inline>
        </w:drawing>
      </w:r>
    </w:p>
    <w:p w:rsidR="002E4309" w:rsidRPr="006F4EE5" w:rsidRDefault="00752D33" w:rsidP="006F4EE5">
      <w:pPr>
        <w:spacing w:after="0" w:line="360" w:lineRule="auto"/>
        <w:ind w:left="0" w:firstLine="0"/>
        <w:rPr>
          <w:b/>
          <w:color w:val="auto"/>
          <w:szCs w:val="24"/>
        </w:rPr>
      </w:pPr>
      <w:r w:rsidRPr="006F4EE5">
        <w:rPr>
          <w:b/>
          <w:color w:val="auto"/>
          <w:szCs w:val="24"/>
        </w:rPr>
        <w:t>Figure 2</w:t>
      </w:r>
      <w:r w:rsidR="00710EE9" w:rsidRPr="006F4EE5">
        <w:rPr>
          <w:color w:val="auto"/>
          <w:szCs w:val="24"/>
        </w:rPr>
        <w:t xml:space="preserve"> </w:t>
      </w:r>
      <w:r w:rsidR="005118FE" w:rsidRPr="006F4EE5">
        <w:rPr>
          <w:b/>
          <w:color w:val="auto"/>
          <w:szCs w:val="24"/>
        </w:rPr>
        <w:t>Overview of t</w:t>
      </w:r>
      <w:r w:rsidR="00710EE9" w:rsidRPr="006F4EE5">
        <w:rPr>
          <w:b/>
          <w:color w:val="auto"/>
          <w:szCs w:val="24"/>
        </w:rPr>
        <w:t xml:space="preserve">issue engineering strategy of incorporating scaffolds with mesenchymal stem cells. </w:t>
      </w:r>
      <w:r w:rsidR="006F4EE5" w:rsidRPr="006F4EE5">
        <w:rPr>
          <w:color w:val="auto"/>
          <w:szCs w:val="24"/>
        </w:rPr>
        <w:t>Mesenchymal stem cells</w:t>
      </w:r>
      <w:r w:rsidR="00710EE9" w:rsidRPr="006F4EE5">
        <w:rPr>
          <w:color w:val="auto"/>
          <w:szCs w:val="24"/>
        </w:rPr>
        <w:t xml:space="preserve"> </w:t>
      </w:r>
      <w:r w:rsidR="005118FE" w:rsidRPr="006F4EE5">
        <w:rPr>
          <w:color w:val="auto"/>
          <w:szCs w:val="24"/>
        </w:rPr>
        <w:t>(</w:t>
      </w:r>
      <w:r w:rsidR="00710EE9" w:rsidRPr="006F4EE5">
        <w:rPr>
          <w:color w:val="auto"/>
          <w:szCs w:val="24"/>
        </w:rPr>
        <w:t>derived directly from the patient</w:t>
      </w:r>
      <w:r w:rsidR="005118FE" w:rsidRPr="006F4EE5">
        <w:rPr>
          <w:color w:val="auto"/>
          <w:szCs w:val="24"/>
        </w:rPr>
        <w:t>)</w:t>
      </w:r>
      <w:r w:rsidR="00710EE9" w:rsidRPr="006F4EE5">
        <w:rPr>
          <w:color w:val="auto"/>
          <w:szCs w:val="24"/>
        </w:rPr>
        <w:t xml:space="preserve"> are expanded in the laboratory, whereby the necessa</w:t>
      </w:r>
      <w:r w:rsidR="006F4EE5" w:rsidRPr="006F4EE5">
        <w:rPr>
          <w:color w:val="auto"/>
          <w:szCs w:val="24"/>
        </w:rPr>
        <w:t>ry environment for their growth</w:t>
      </w:r>
      <w:r w:rsidR="006F4EE5" w:rsidRPr="006F4EE5">
        <w:rPr>
          <w:rFonts w:eastAsiaTheme="minorEastAsia" w:hint="eastAsia"/>
          <w:color w:val="auto"/>
          <w:szCs w:val="24"/>
          <w:lang w:eastAsia="zh-CN"/>
        </w:rPr>
        <w:t xml:space="preserve"> </w:t>
      </w:r>
      <w:r w:rsidR="00710EE9" w:rsidRPr="006F4EE5">
        <w:rPr>
          <w:color w:val="auto"/>
          <w:szCs w:val="24"/>
        </w:rPr>
        <w:t>ha</w:t>
      </w:r>
      <w:r w:rsidR="006F4EE5" w:rsidRPr="006F4EE5">
        <w:rPr>
          <w:rFonts w:eastAsiaTheme="minorEastAsia" w:hint="eastAsia"/>
          <w:color w:val="auto"/>
          <w:szCs w:val="24"/>
          <w:lang w:eastAsia="zh-CN"/>
        </w:rPr>
        <w:t>s</w:t>
      </w:r>
      <w:r w:rsidR="00710EE9" w:rsidRPr="006F4EE5">
        <w:rPr>
          <w:color w:val="auto"/>
          <w:szCs w:val="24"/>
        </w:rPr>
        <w:t xml:space="preserve"> been prepared. These cells are then seeded onto </w:t>
      </w:r>
      <w:r w:rsidR="005118FE" w:rsidRPr="006F4EE5">
        <w:rPr>
          <w:color w:val="auto"/>
          <w:szCs w:val="24"/>
        </w:rPr>
        <w:t>a</w:t>
      </w:r>
      <w:r w:rsidR="00710EE9" w:rsidRPr="006F4EE5">
        <w:rPr>
          <w:color w:val="auto"/>
          <w:szCs w:val="24"/>
        </w:rPr>
        <w:t xml:space="preserve"> scaffold and either allowed to differentiate </w:t>
      </w:r>
      <w:r w:rsidR="00710EE9" w:rsidRPr="006F4EE5">
        <w:rPr>
          <w:i/>
          <w:color w:val="auto"/>
          <w:szCs w:val="24"/>
        </w:rPr>
        <w:t xml:space="preserve">ex vivo </w:t>
      </w:r>
      <w:r w:rsidR="00710EE9" w:rsidRPr="006F4EE5">
        <w:rPr>
          <w:color w:val="auto"/>
          <w:szCs w:val="24"/>
        </w:rPr>
        <w:t xml:space="preserve">pre-implantation or the scaffold is immediately implanted.  </w:t>
      </w:r>
    </w:p>
    <w:p w:rsidR="00752D33" w:rsidRPr="006F4EE5" w:rsidRDefault="006F4EE5" w:rsidP="006F4EE5">
      <w:pPr>
        <w:spacing w:after="0" w:line="360" w:lineRule="auto"/>
        <w:ind w:left="0" w:firstLine="0"/>
        <w:rPr>
          <w:color w:val="auto"/>
          <w:szCs w:val="24"/>
        </w:rPr>
      </w:pPr>
      <w:r>
        <w:rPr>
          <w:noProof/>
          <w:lang w:val="en-US" w:eastAsia="en-US"/>
        </w:rPr>
        <w:drawing>
          <wp:inline distT="0" distB="0" distL="0" distR="0" wp14:anchorId="0EF5BF91" wp14:editId="3FEA41D5">
            <wp:extent cx="4295775" cy="32575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295775" cy="3257550"/>
                    </a:xfrm>
                    <a:prstGeom prst="rect">
                      <a:avLst/>
                    </a:prstGeom>
                  </pic:spPr>
                </pic:pic>
              </a:graphicData>
            </a:graphic>
          </wp:inline>
        </w:drawing>
      </w:r>
    </w:p>
    <w:p w:rsidR="00752D33" w:rsidRDefault="00752D33" w:rsidP="006F4EE5">
      <w:pPr>
        <w:spacing w:after="0" w:line="360" w:lineRule="auto"/>
        <w:ind w:left="0" w:firstLine="0"/>
        <w:rPr>
          <w:rFonts w:eastAsiaTheme="minorEastAsia" w:cs="Calibri"/>
          <w:i/>
          <w:color w:val="auto"/>
          <w:szCs w:val="24"/>
          <w:lang w:eastAsia="zh-CN"/>
        </w:rPr>
      </w:pPr>
      <w:r w:rsidRPr="006F4EE5">
        <w:rPr>
          <w:b/>
          <w:color w:val="auto"/>
          <w:szCs w:val="24"/>
        </w:rPr>
        <w:t>Figure 3</w:t>
      </w:r>
      <w:r w:rsidR="00710EE9" w:rsidRPr="006F4EE5">
        <w:rPr>
          <w:b/>
          <w:color w:val="auto"/>
          <w:szCs w:val="24"/>
        </w:rPr>
        <w:t xml:space="preserve"> Comparison of different topography strategies employed to investigate the effects of anisotropic versus isotropic cytoskeletal tension on </w:t>
      </w:r>
      <w:r w:rsidRPr="006F4EE5">
        <w:rPr>
          <w:b/>
          <w:color w:val="auto"/>
          <w:szCs w:val="24"/>
        </w:rPr>
        <w:t>cultured mesenchymal stem cells.</w:t>
      </w:r>
      <w:r w:rsidR="006F4EE5">
        <w:rPr>
          <w:rFonts w:eastAsiaTheme="minorEastAsia" w:hint="eastAsia"/>
          <w:b/>
          <w:color w:val="auto"/>
          <w:szCs w:val="24"/>
          <w:lang w:eastAsia="zh-CN"/>
        </w:rPr>
        <w:t xml:space="preserve"> </w:t>
      </w:r>
      <w:r w:rsidR="00710EE9" w:rsidRPr="006F4EE5">
        <w:rPr>
          <w:color w:val="auto"/>
          <w:szCs w:val="24"/>
        </w:rPr>
        <w:t>(</w:t>
      </w:r>
      <w:r w:rsidR="006F4EE5" w:rsidRPr="006F4EE5">
        <w:rPr>
          <w:color w:val="auto"/>
          <w:szCs w:val="24"/>
        </w:rPr>
        <w:t>A</w:t>
      </w:r>
      <w:r w:rsidR="00710EE9" w:rsidRPr="006F4EE5">
        <w:rPr>
          <w:color w:val="auto"/>
          <w:szCs w:val="24"/>
        </w:rPr>
        <w:t>) nonpatterned substrates caused randomly oriented cell protrusions to be formed, while (</w:t>
      </w:r>
      <w:r w:rsidR="006F4EE5" w:rsidRPr="006F4EE5">
        <w:rPr>
          <w:color w:val="auto"/>
          <w:szCs w:val="24"/>
        </w:rPr>
        <w:t>B</w:t>
      </w:r>
      <w:r w:rsidR="00710EE9" w:rsidRPr="006F4EE5">
        <w:rPr>
          <w:color w:val="auto"/>
          <w:szCs w:val="24"/>
        </w:rPr>
        <w:t xml:space="preserve">) alignment of elaborated processes in the direction of the grooves </w:t>
      </w:r>
      <w:r w:rsidR="005118FE" w:rsidRPr="006F4EE5">
        <w:rPr>
          <w:color w:val="auto"/>
          <w:szCs w:val="24"/>
        </w:rPr>
        <w:t>were</w:t>
      </w:r>
      <w:r w:rsidR="00710EE9" w:rsidRPr="006F4EE5">
        <w:rPr>
          <w:color w:val="auto"/>
          <w:szCs w:val="24"/>
        </w:rPr>
        <w:t xml:space="preserve"> induced by micropatterned surfaces, </w:t>
      </w:r>
      <w:r w:rsidR="005118FE" w:rsidRPr="006F4EE5">
        <w:rPr>
          <w:color w:val="auto"/>
          <w:szCs w:val="24"/>
        </w:rPr>
        <w:t>mimicing</w:t>
      </w:r>
      <w:r w:rsidR="00710EE9" w:rsidRPr="006F4EE5">
        <w:rPr>
          <w:color w:val="auto"/>
          <w:szCs w:val="24"/>
        </w:rPr>
        <w:t xml:space="preserve"> the native structure and orientation of the natural </w:t>
      </w:r>
      <w:r w:rsidR="00E06CE0" w:rsidRPr="00025F84">
        <w:rPr>
          <w:color w:val="auto"/>
          <w:szCs w:val="24"/>
        </w:rPr>
        <w:t>extracellular matrix</w:t>
      </w:r>
      <w:r w:rsidR="00710EE9" w:rsidRPr="006F4EE5">
        <w:rPr>
          <w:color w:val="auto"/>
          <w:szCs w:val="24"/>
        </w:rPr>
        <w:t xml:space="preserve"> proteins</w:t>
      </w:r>
      <w:r w:rsidR="00E06CE0" w:rsidRPr="00E06CE0">
        <w:rPr>
          <w:rFonts w:eastAsiaTheme="minorEastAsia" w:hint="eastAsia"/>
          <w:color w:val="auto"/>
          <w:szCs w:val="24"/>
          <w:vertAlign w:val="superscript"/>
          <w:lang w:eastAsia="zh-CN"/>
        </w:rPr>
        <w:t>[52]</w:t>
      </w:r>
      <w:r w:rsidR="00F220FC" w:rsidRPr="00E06CE0">
        <w:rPr>
          <w:color w:val="auto"/>
          <w:szCs w:val="24"/>
        </w:rPr>
        <w:t xml:space="preserve">. </w:t>
      </w:r>
      <w:r w:rsidR="00F220FC" w:rsidRPr="00E06CE0">
        <w:rPr>
          <w:rFonts w:eastAsia="Calibri" w:cs="Calibri"/>
          <w:color w:val="auto"/>
          <w:szCs w:val="24"/>
        </w:rPr>
        <w:tab/>
      </w:r>
    </w:p>
    <w:p w:rsidR="006F4EE5" w:rsidRPr="006F4EE5" w:rsidRDefault="00E06CE0" w:rsidP="006F4EE5">
      <w:pPr>
        <w:spacing w:after="0" w:line="360" w:lineRule="auto"/>
        <w:ind w:left="0" w:firstLine="0"/>
        <w:rPr>
          <w:rFonts w:eastAsiaTheme="minorEastAsia"/>
          <w:color w:val="auto"/>
          <w:szCs w:val="24"/>
          <w:lang w:eastAsia="zh-CN"/>
        </w:rPr>
      </w:pPr>
      <w:r>
        <w:rPr>
          <w:noProof/>
          <w:lang w:val="en-US" w:eastAsia="en-US"/>
        </w:rPr>
        <w:drawing>
          <wp:inline distT="0" distB="0" distL="0" distR="0" wp14:anchorId="391B7DA6" wp14:editId="76CB0DE7">
            <wp:extent cx="5486400" cy="36429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642995"/>
                    </a:xfrm>
                    <a:prstGeom prst="rect">
                      <a:avLst/>
                    </a:prstGeom>
                  </pic:spPr>
                </pic:pic>
              </a:graphicData>
            </a:graphic>
          </wp:inline>
        </w:drawing>
      </w:r>
    </w:p>
    <w:p w:rsidR="00F220FC" w:rsidRDefault="00F220FC" w:rsidP="006F4EE5">
      <w:pPr>
        <w:spacing w:after="0" w:line="360" w:lineRule="auto"/>
        <w:ind w:left="0" w:firstLine="0"/>
        <w:rPr>
          <w:rFonts w:eastAsiaTheme="minorEastAsia"/>
          <w:color w:val="auto"/>
          <w:szCs w:val="24"/>
          <w:lang w:eastAsia="zh-CN"/>
        </w:rPr>
      </w:pPr>
      <w:r w:rsidRPr="006F4EE5">
        <w:rPr>
          <w:b/>
          <w:color w:val="auto"/>
          <w:szCs w:val="24"/>
        </w:rPr>
        <w:t>Figure 4</w:t>
      </w:r>
      <w:r w:rsidR="00710EE9" w:rsidRPr="006F4EE5">
        <w:rPr>
          <w:b/>
          <w:color w:val="auto"/>
          <w:szCs w:val="24"/>
        </w:rPr>
        <w:t xml:space="preserve"> Nanopatterned gold surfaces examination for the effect of both the nanotopography and terminating chemical functionality.</w:t>
      </w:r>
      <w:r w:rsidR="00E06CE0">
        <w:rPr>
          <w:rFonts w:eastAsiaTheme="minorEastAsia" w:hint="eastAsia"/>
          <w:b/>
          <w:color w:val="auto"/>
          <w:szCs w:val="24"/>
          <w:lang w:eastAsia="zh-CN"/>
        </w:rPr>
        <w:t xml:space="preserve"> </w:t>
      </w:r>
      <w:r w:rsidR="00710EE9" w:rsidRPr="006F4EE5">
        <w:rPr>
          <w:color w:val="auto"/>
          <w:szCs w:val="24"/>
        </w:rPr>
        <w:t xml:space="preserve">(A) Nanopatterned surfaces used for </w:t>
      </w:r>
      <w:r w:rsidR="00E06CE0" w:rsidRPr="00E06CE0">
        <w:rPr>
          <w:color w:val="auto"/>
          <w:szCs w:val="24"/>
        </w:rPr>
        <w:t>mesenchymal stem cell</w:t>
      </w:r>
      <w:r w:rsidR="00710EE9" w:rsidRPr="006F4EE5">
        <w:rPr>
          <w:color w:val="auto"/>
          <w:szCs w:val="24"/>
        </w:rPr>
        <w:t xml:space="preserve"> control and differentiation exhibiting dot to dot pitch (dα) and dot diameter (dβ), (B) Lateral Force Microscopy (LFM) image of small area 280 nm pitch array, (C) LFM image of 140 nm pitch array. (D–F) Atomic force microscopy (AFM) topographical image of an </w:t>
      </w:r>
      <w:r w:rsidR="00710EE9" w:rsidRPr="006F4EE5">
        <w:rPr>
          <w:color w:val="auto"/>
          <w:szCs w:val="24"/>
          <w:u w:val="single" w:color="000000"/>
        </w:rPr>
        <w:t>alkanethiol</w:t>
      </w:r>
      <w:r w:rsidR="00710EE9" w:rsidRPr="006F4EE5">
        <w:rPr>
          <w:color w:val="auto"/>
          <w:szCs w:val="24"/>
        </w:rPr>
        <w:t xml:space="preserve"> resist array fabricated on gold surface following chemical etching. An average diameter feature (dβ) of 70 nm was shown on the cursor profile</w:t>
      </w:r>
      <w:r w:rsidR="00E06CE0">
        <w:rPr>
          <w:rFonts w:eastAsiaTheme="minorEastAsia" w:hint="eastAsia"/>
          <w:color w:val="auto"/>
          <w:szCs w:val="24"/>
          <w:vertAlign w:val="superscript"/>
          <w:lang w:eastAsia="zh-CN"/>
        </w:rPr>
        <w:t>[53]</w:t>
      </w:r>
      <w:r w:rsidRPr="006F4EE5">
        <w:rPr>
          <w:color w:val="auto"/>
          <w:szCs w:val="24"/>
        </w:rPr>
        <w:t xml:space="preserve">. </w:t>
      </w:r>
    </w:p>
    <w:p w:rsidR="00E06CE0" w:rsidRPr="00E06CE0" w:rsidRDefault="00AE1D3A" w:rsidP="006F4EE5">
      <w:pPr>
        <w:spacing w:after="0" w:line="360" w:lineRule="auto"/>
        <w:ind w:left="0" w:firstLine="0"/>
        <w:rPr>
          <w:rFonts w:eastAsiaTheme="minorEastAsia"/>
          <w:b/>
          <w:color w:val="auto"/>
          <w:szCs w:val="24"/>
          <w:lang w:eastAsia="zh-CN"/>
        </w:rPr>
      </w:pPr>
      <w:r>
        <w:rPr>
          <w:noProof/>
          <w:lang w:val="en-US" w:eastAsia="en-US"/>
        </w:rPr>
        <w:drawing>
          <wp:inline distT="0" distB="0" distL="0" distR="0" wp14:anchorId="2558CCC0" wp14:editId="5AB3BA50">
            <wp:extent cx="5143500" cy="53149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43500" cy="5314950"/>
                    </a:xfrm>
                    <a:prstGeom prst="rect">
                      <a:avLst/>
                    </a:prstGeom>
                  </pic:spPr>
                </pic:pic>
              </a:graphicData>
            </a:graphic>
          </wp:inline>
        </w:drawing>
      </w:r>
    </w:p>
    <w:p w:rsidR="002E4309" w:rsidRPr="006F4EE5" w:rsidRDefault="00710EE9" w:rsidP="006F4EE5">
      <w:pPr>
        <w:spacing w:after="0" w:line="360" w:lineRule="auto"/>
        <w:ind w:left="0" w:firstLine="0"/>
        <w:rPr>
          <w:b/>
          <w:color w:val="auto"/>
          <w:szCs w:val="24"/>
        </w:rPr>
      </w:pPr>
      <w:r w:rsidRPr="006F4EE5">
        <w:rPr>
          <w:b/>
          <w:color w:val="auto"/>
          <w:szCs w:val="24"/>
        </w:rPr>
        <w:t>F</w:t>
      </w:r>
      <w:r w:rsidR="00F220FC" w:rsidRPr="006F4EE5">
        <w:rPr>
          <w:b/>
          <w:color w:val="auto"/>
          <w:szCs w:val="24"/>
        </w:rPr>
        <w:t>igure 5</w:t>
      </w:r>
      <w:r w:rsidRPr="006F4EE5">
        <w:rPr>
          <w:b/>
          <w:color w:val="auto"/>
          <w:szCs w:val="24"/>
        </w:rPr>
        <w:t xml:space="preserve"> Scanning electron micrographs </w:t>
      </w:r>
      <w:r w:rsidR="00AE1D3A">
        <w:rPr>
          <w:b/>
          <w:color w:val="auto"/>
          <w:szCs w:val="24"/>
        </w:rPr>
        <w:t>of human mesenchymal stem cells</w:t>
      </w:r>
      <w:r w:rsidRPr="006F4EE5">
        <w:rPr>
          <w:b/>
          <w:color w:val="auto"/>
          <w:szCs w:val="24"/>
        </w:rPr>
        <w:t xml:space="preserve"> culture</w:t>
      </w:r>
      <w:r w:rsidR="00F220FC" w:rsidRPr="006F4EE5">
        <w:rPr>
          <w:b/>
          <w:color w:val="auto"/>
          <w:szCs w:val="24"/>
        </w:rPr>
        <w:t>d on control and test materials.</w:t>
      </w:r>
      <w:r w:rsidR="00AE1D3A">
        <w:rPr>
          <w:rFonts w:eastAsiaTheme="minorEastAsia" w:hint="eastAsia"/>
          <w:b/>
          <w:color w:val="auto"/>
          <w:szCs w:val="24"/>
          <w:lang w:eastAsia="zh-CN"/>
        </w:rPr>
        <w:t xml:space="preserve"> </w:t>
      </w:r>
      <w:r w:rsidRPr="006F4EE5">
        <w:rPr>
          <w:color w:val="auto"/>
          <w:szCs w:val="24"/>
        </w:rPr>
        <w:t>(A) on planar control materials cells showed normal morphologies</w:t>
      </w:r>
      <w:r w:rsidR="001A5994" w:rsidRPr="006F4EE5">
        <w:rPr>
          <w:color w:val="auto"/>
          <w:szCs w:val="24"/>
        </w:rPr>
        <w:t>, (B, C) Filopodial of the</w:t>
      </w:r>
      <w:r w:rsidR="001A5994" w:rsidRPr="00AE1D3A">
        <w:rPr>
          <w:color w:val="auto"/>
          <w:szCs w:val="24"/>
        </w:rPr>
        <w:t xml:space="preserve"> </w:t>
      </w:r>
      <w:r w:rsidR="00AE1D3A" w:rsidRPr="00AE1D3A">
        <w:rPr>
          <w:color w:val="auto"/>
          <w:szCs w:val="24"/>
        </w:rPr>
        <w:t>human mesenchymal stem cells (hMSCs)</w:t>
      </w:r>
      <w:r w:rsidRPr="00AE1D3A">
        <w:rPr>
          <w:color w:val="auto"/>
          <w:szCs w:val="24"/>
        </w:rPr>
        <w:t xml:space="preserve"> </w:t>
      </w:r>
      <w:r w:rsidRPr="006F4EE5">
        <w:rPr>
          <w:color w:val="auto"/>
          <w:szCs w:val="24"/>
        </w:rPr>
        <w:t>interacts with the 3:1000 s</w:t>
      </w:r>
      <w:r w:rsidR="001A5994" w:rsidRPr="006F4EE5">
        <w:rPr>
          <w:color w:val="auto"/>
          <w:szCs w:val="24"/>
        </w:rPr>
        <w:t>ubstrates (arrowheads) (C) hMSC</w:t>
      </w:r>
      <w:r w:rsidRPr="006F4EE5">
        <w:rPr>
          <w:color w:val="auto"/>
          <w:szCs w:val="24"/>
        </w:rPr>
        <w:t xml:space="preserve"> filopodia are curving around an island, (D, E) filopodial interactions with the 3:3000 substrates  (arrowheads) (E) a filopodia curving around an island is clearly observed, (F) filopodial interactions with the hemi substrates (arrowheads) and (G) filopodia curving around a hemisphere (arrowhead)</w:t>
      </w:r>
      <w:r w:rsidR="00AE1D3A">
        <w:rPr>
          <w:rFonts w:eastAsiaTheme="minorEastAsia" w:hint="eastAsia"/>
          <w:color w:val="auto"/>
          <w:szCs w:val="24"/>
          <w:vertAlign w:val="superscript"/>
          <w:lang w:eastAsia="zh-CN"/>
        </w:rPr>
        <w:t>[66]</w:t>
      </w:r>
      <w:r w:rsidRPr="006F4EE5">
        <w:rPr>
          <w:color w:val="auto"/>
          <w:szCs w:val="24"/>
        </w:rPr>
        <w:t xml:space="preserve">. </w:t>
      </w:r>
    </w:p>
    <w:p w:rsidR="00F220FC" w:rsidRPr="006F4EE5" w:rsidRDefault="00AE1D3A" w:rsidP="006F4EE5">
      <w:pPr>
        <w:spacing w:after="0" w:line="360" w:lineRule="auto"/>
        <w:ind w:left="0" w:firstLine="0"/>
        <w:rPr>
          <w:color w:val="auto"/>
          <w:szCs w:val="24"/>
        </w:rPr>
      </w:pPr>
      <w:r>
        <w:rPr>
          <w:noProof/>
          <w:lang w:val="en-US" w:eastAsia="en-US"/>
        </w:rPr>
        <w:drawing>
          <wp:inline distT="0" distB="0" distL="0" distR="0" wp14:anchorId="0F116D63" wp14:editId="2A9E2E22">
            <wp:extent cx="4133850" cy="56007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33850" cy="5600700"/>
                    </a:xfrm>
                    <a:prstGeom prst="rect">
                      <a:avLst/>
                    </a:prstGeom>
                  </pic:spPr>
                </pic:pic>
              </a:graphicData>
            </a:graphic>
          </wp:inline>
        </w:drawing>
      </w:r>
    </w:p>
    <w:p w:rsidR="002E4309" w:rsidRPr="00AE1D3A" w:rsidRDefault="00F220FC" w:rsidP="006F4EE5">
      <w:pPr>
        <w:spacing w:after="0" w:line="360" w:lineRule="auto"/>
        <w:ind w:left="0" w:firstLine="0"/>
        <w:rPr>
          <w:b/>
          <w:color w:val="auto"/>
          <w:szCs w:val="24"/>
        </w:rPr>
      </w:pPr>
      <w:r w:rsidRPr="006F4EE5">
        <w:rPr>
          <w:b/>
          <w:color w:val="auto"/>
          <w:szCs w:val="24"/>
        </w:rPr>
        <w:t>Figure 6</w:t>
      </w:r>
      <w:r w:rsidR="00710EE9" w:rsidRPr="006F4EE5">
        <w:rPr>
          <w:b/>
          <w:color w:val="auto"/>
          <w:szCs w:val="24"/>
        </w:rPr>
        <w:t xml:space="preserve"> Investigation of the effects of nanotopography on proliferation</w:t>
      </w:r>
      <w:r w:rsidRPr="006F4EE5">
        <w:rPr>
          <w:b/>
          <w:color w:val="auto"/>
          <w:szCs w:val="24"/>
        </w:rPr>
        <w:t>.</w:t>
      </w:r>
      <w:r w:rsidR="00AE1D3A">
        <w:rPr>
          <w:rFonts w:eastAsiaTheme="minorEastAsia" w:hint="eastAsia"/>
          <w:b/>
          <w:color w:val="auto"/>
          <w:szCs w:val="24"/>
          <w:lang w:eastAsia="zh-CN"/>
        </w:rPr>
        <w:t xml:space="preserve"> </w:t>
      </w:r>
      <w:r w:rsidR="00710EE9" w:rsidRPr="006F4EE5">
        <w:rPr>
          <w:color w:val="auto"/>
          <w:szCs w:val="24"/>
        </w:rPr>
        <w:t xml:space="preserve">(A), alkaline phosphatase (Alp) activity (B), and extracellular matrix mineralization (C) of </w:t>
      </w:r>
      <w:r w:rsidR="00397A6E" w:rsidRPr="00AE1D3A">
        <w:rPr>
          <w:color w:val="auto"/>
          <w:szCs w:val="24"/>
        </w:rPr>
        <w:t>mesenchymal stem cells</w:t>
      </w:r>
      <w:r w:rsidR="00710EE9" w:rsidRPr="006F4EE5">
        <w:rPr>
          <w:color w:val="auto"/>
          <w:szCs w:val="24"/>
        </w:rPr>
        <w:t xml:space="preserve"> differentiated into osteoblasts and cultured on nanotopography in an osteogenic medium co</w:t>
      </w:r>
      <w:r w:rsidR="00AE1D3A">
        <w:rPr>
          <w:color w:val="auto"/>
          <w:szCs w:val="24"/>
        </w:rPr>
        <w:t xml:space="preserve">mpared to control Ti surfaces. </w:t>
      </w:r>
      <w:r w:rsidR="00710EE9" w:rsidRPr="006F4EE5">
        <w:rPr>
          <w:color w:val="auto"/>
          <w:szCs w:val="24"/>
        </w:rPr>
        <w:t>A</w:t>
      </w:r>
      <w:r w:rsidR="00AE1D3A">
        <w:rPr>
          <w:rFonts w:eastAsiaTheme="minorEastAsia" w:hint="eastAsia"/>
          <w:color w:val="auto"/>
          <w:szCs w:val="24"/>
          <w:lang w:eastAsia="zh-CN"/>
        </w:rPr>
        <w:t>:</w:t>
      </w:r>
      <w:r w:rsidR="00AE1D3A" w:rsidRPr="006F4EE5">
        <w:rPr>
          <w:color w:val="auto"/>
          <w:szCs w:val="24"/>
        </w:rPr>
        <w:t xml:space="preserve"> T</w:t>
      </w:r>
      <w:r w:rsidR="00710EE9" w:rsidRPr="006F4EE5">
        <w:rPr>
          <w:color w:val="auto"/>
          <w:szCs w:val="24"/>
        </w:rPr>
        <w:t>he number of cells was significantly increased on Ti with nanotopography on days 10 (</w:t>
      </w:r>
      <w:r w:rsidR="00710EE9" w:rsidRPr="00AE1D3A">
        <w:rPr>
          <w:i/>
          <w:color w:val="auto"/>
          <w:szCs w:val="24"/>
        </w:rPr>
        <w:t>P</w:t>
      </w:r>
      <w:r w:rsidR="00710EE9" w:rsidRPr="006F4EE5">
        <w:rPr>
          <w:rFonts w:ascii="Times New Roman" w:eastAsia="Times New Roman" w:hAnsi="Times New Roman" w:cs="Times New Roman"/>
          <w:color w:val="auto"/>
          <w:szCs w:val="24"/>
        </w:rPr>
        <w:t> </w:t>
      </w:r>
      <w:r w:rsidR="00710EE9" w:rsidRPr="006F4EE5">
        <w:rPr>
          <w:color w:val="auto"/>
          <w:szCs w:val="24"/>
        </w:rPr>
        <w:t>=</w:t>
      </w:r>
      <w:r w:rsidR="00710EE9" w:rsidRPr="006F4EE5">
        <w:rPr>
          <w:rFonts w:ascii="Times New Roman" w:eastAsia="Times New Roman" w:hAnsi="Times New Roman" w:cs="Times New Roman"/>
          <w:color w:val="auto"/>
          <w:szCs w:val="24"/>
        </w:rPr>
        <w:t> </w:t>
      </w:r>
      <w:r w:rsidR="00710EE9" w:rsidRPr="006F4EE5">
        <w:rPr>
          <w:color w:val="auto"/>
          <w:szCs w:val="24"/>
        </w:rPr>
        <w:t>0.07) and 17 (</w:t>
      </w:r>
      <w:r w:rsidR="00710EE9" w:rsidRPr="00AE1D3A">
        <w:rPr>
          <w:i/>
          <w:color w:val="auto"/>
          <w:szCs w:val="24"/>
        </w:rPr>
        <w:t>P</w:t>
      </w:r>
      <w:r w:rsidR="00710EE9" w:rsidRPr="00AE1D3A">
        <w:rPr>
          <w:rFonts w:ascii="Times New Roman" w:eastAsia="Times New Roman" w:hAnsi="Times New Roman" w:cs="Times New Roman"/>
          <w:i/>
          <w:color w:val="auto"/>
          <w:szCs w:val="24"/>
        </w:rPr>
        <w:t> </w:t>
      </w:r>
      <w:r w:rsidR="00710EE9" w:rsidRPr="006F4EE5">
        <w:rPr>
          <w:color w:val="auto"/>
          <w:szCs w:val="24"/>
        </w:rPr>
        <w:t>=</w:t>
      </w:r>
      <w:r w:rsidR="00710EE9" w:rsidRPr="006F4EE5">
        <w:rPr>
          <w:rFonts w:ascii="Times New Roman" w:eastAsia="Times New Roman" w:hAnsi="Times New Roman" w:cs="Times New Roman"/>
          <w:color w:val="auto"/>
          <w:szCs w:val="24"/>
        </w:rPr>
        <w:t> </w:t>
      </w:r>
      <w:r w:rsidR="00AE1D3A">
        <w:rPr>
          <w:color w:val="auto"/>
          <w:szCs w:val="24"/>
        </w:rPr>
        <w:t>0.03)</w:t>
      </w:r>
      <w:r w:rsidR="00AE1D3A">
        <w:rPr>
          <w:rFonts w:eastAsiaTheme="minorEastAsia" w:hint="eastAsia"/>
          <w:color w:val="auto"/>
          <w:szCs w:val="24"/>
          <w:lang w:eastAsia="zh-CN"/>
        </w:rPr>
        <w:t>;</w:t>
      </w:r>
      <w:r w:rsidR="00AE1D3A">
        <w:rPr>
          <w:color w:val="auto"/>
          <w:szCs w:val="24"/>
        </w:rPr>
        <w:t xml:space="preserve"> B</w:t>
      </w:r>
      <w:r w:rsidR="00AE1D3A">
        <w:rPr>
          <w:rFonts w:eastAsiaTheme="minorEastAsia" w:hint="eastAsia"/>
          <w:color w:val="auto"/>
          <w:szCs w:val="24"/>
          <w:lang w:eastAsia="zh-CN"/>
        </w:rPr>
        <w:t>:</w:t>
      </w:r>
      <w:r w:rsidR="00710EE9" w:rsidRPr="006F4EE5">
        <w:rPr>
          <w:color w:val="auto"/>
          <w:szCs w:val="24"/>
        </w:rPr>
        <w:t xml:space="preserve"> Higher Alp activity was supported by Ti surface with nanotopography supported on days 4 (</w:t>
      </w:r>
      <w:r w:rsidR="00710EE9" w:rsidRPr="00AE1D3A">
        <w:rPr>
          <w:i/>
          <w:color w:val="auto"/>
          <w:szCs w:val="24"/>
        </w:rPr>
        <w:t>P</w:t>
      </w:r>
      <w:r w:rsidR="00710EE9" w:rsidRPr="006F4EE5">
        <w:rPr>
          <w:rFonts w:ascii="Times New Roman" w:eastAsia="Times New Roman" w:hAnsi="Times New Roman" w:cs="Times New Roman"/>
          <w:color w:val="auto"/>
          <w:szCs w:val="24"/>
        </w:rPr>
        <w:t> </w:t>
      </w:r>
      <w:r w:rsidR="00710EE9" w:rsidRPr="006F4EE5">
        <w:rPr>
          <w:color w:val="auto"/>
          <w:szCs w:val="24"/>
        </w:rPr>
        <w:t>=</w:t>
      </w:r>
      <w:r w:rsidR="00710EE9" w:rsidRPr="006F4EE5">
        <w:rPr>
          <w:rFonts w:ascii="Times New Roman" w:eastAsia="Times New Roman" w:hAnsi="Times New Roman" w:cs="Times New Roman"/>
          <w:color w:val="auto"/>
          <w:szCs w:val="24"/>
        </w:rPr>
        <w:t> </w:t>
      </w:r>
      <w:r w:rsidR="00710EE9" w:rsidRPr="006F4EE5">
        <w:rPr>
          <w:color w:val="auto"/>
          <w:szCs w:val="24"/>
        </w:rPr>
        <w:t>0.01) and 10 (</w:t>
      </w:r>
      <w:r w:rsidR="00710EE9" w:rsidRPr="00AE1D3A">
        <w:rPr>
          <w:i/>
          <w:color w:val="auto"/>
          <w:szCs w:val="24"/>
        </w:rPr>
        <w:t>P</w:t>
      </w:r>
      <w:r w:rsidR="00710EE9" w:rsidRPr="006F4EE5">
        <w:rPr>
          <w:rFonts w:ascii="Times New Roman" w:eastAsia="Times New Roman" w:hAnsi="Times New Roman" w:cs="Times New Roman"/>
          <w:color w:val="auto"/>
          <w:szCs w:val="24"/>
        </w:rPr>
        <w:t> </w:t>
      </w:r>
      <w:r w:rsidR="00710EE9" w:rsidRPr="006F4EE5">
        <w:rPr>
          <w:color w:val="auto"/>
          <w:szCs w:val="24"/>
        </w:rPr>
        <w:t>=</w:t>
      </w:r>
      <w:r w:rsidR="00710EE9" w:rsidRPr="006F4EE5">
        <w:rPr>
          <w:rFonts w:ascii="Times New Roman" w:eastAsia="Times New Roman" w:hAnsi="Times New Roman" w:cs="Times New Roman"/>
          <w:color w:val="auto"/>
          <w:szCs w:val="24"/>
        </w:rPr>
        <w:t> </w:t>
      </w:r>
      <w:r w:rsidR="00710EE9" w:rsidRPr="006F4EE5">
        <w:rPr>
          <w:color w:val="auto"/>
          <w:szCs w:val="24"/>
        </w:rPr>
        <w:t>0.04)</w:t>
      </w:r>
      <w:r w:rsidR="00AE1D3A">
        <w:rPr>
          <w:rFonts w:eastAsiaTheme="minorEastAsia" w:hint="eastAsia"/>
          <w:color w:val="auto"/>
          <w:szCs w:val="24"/>
          <w:lang w:eastAsia="zh-CN"/>
        </w:rPr>
        <w:t xml:space="preserve">; </w:t>
      </w:r>
      <w:r w:rsidR="00710EE9" w:rsidRPr="006F4EE5">
        <w:rPr>
          <w:color w:val="auto"/>
          <w:szCs w:val="24"/>
        </w:rPr>
        <w:t>C</w:t>
      </w:r>
      <w:r w:rsidR="00AE1D3A">
        <w:rPr>
          <w:rFonts w:eastAsiaTheme="minorEastAsia" w:hint="eastAsia"/>
          <w:color w:val="auto"/>
          <w:szCs w:val="24"/>
          <w:lang w:eastAsia="zh-CN"/>
        </w:rPr>
        <w:t>:</w:t>
      </w:r>
      <w:r w:rsidR="00710EE9" w:rsidRPr="006F4EE5">
        <w:rPr>
          <w:color w:val="auto"/>
          <w:szCs w:val="24"/>
        </w:rPr>
        <w:t xml:space="preserve"> </w:t>
      </w:r>
      <w:r w:rsidR="00AE1D3A" w:rsidRPr="006F4EE5">
        <w:rPr>
          <w:color w:val="auto"/>
          <w:szCs w:val="24"/>
        </w:rPr>
        <w:t>T</w:t>
      </w:r>
      <w:r w:rsidR="00710EE9" w:rsidRPr="006F4EE5">
        <w:rPr>
          <w:color w:val="auto"/>
          <w:szCs w:val="24"/>
        </w:rPr>
        <w:t xml:space="preserve">he difference in the </w:t>
      </w:r>
      <w:r w:rsidR="00B17EC0" w:rsidRPr="006F4EE5">
        <w:rPr>
          <w:color w:val="auto"/>
          <w:szCs w:val="24"/>
        </w:rPr>
        <w:t>level</w:t>
      </w:r>
      <w:r w:rsidR="00710EE9" w:rsidRPr="006F4EE5">
        <w:rPr>
          <w:color w:val="auto"/>
          <w:szCs w:val="24"/>
        </w:rPr>
        <w:t xml:space="preserve"> of calcium mineralisation in the matrix (insets) was not statistically significant (</w:t>
      </w:r>
      <w:r w:rsidR="00710EE9" w:rsidRPr="00AE1D3A">
        <w:rPr>
          <w:i/>
          <w:color w:val="auto"/>
          <w:szCs w:val="24"/>
        </w:rPr>
        <w:t>P</w:t>
      </w:r>
      <w:r w:rsidR="00710EE9" w:rsidRPr="006F4EE5">
        <w:rPr>
          <w:rFonts w:ascii="Times New Roman" w:eastAsia="Times New Roman" w:hAnsi="Times New Roman" w:cs="Times New Roman"/>
          <w:color w:val="auto"/>
          <w:szCs w:val="24"/>
        </w:rPr>
        <w:t> </w:t>
      </w:r>
      <w:r w:rsidR="00710EE9" w:rsidRPr="006F4EE5">
        <w:rPr>
          <w:color w:val="auto"/>
          <w:szCs w:val="24"/>
        </w:rPr>
        <w:t>=</w:t>
      </w:r>
      <w:r w:rsidR="00710EE9" w:rsidRPr="006F4EE5">
        <w:rPr>
          <w:rFonts w:ascii="Times New Roman" w:eastAsia="Times New Roman" w:hAnsi="Times New Roman" w:cs="Times New Roman"/>
          <w:color w:val="auto"/>
          <w:szCs w:val="24"/>
        </w:rPr>
        <w:t> </w:t>
      </w:r>
      <w:r w:rsidR="00710EE9" w:rsidRPr="006F4EE5">
        <w:rPr>
          <w:color w:val="auto"/>
          <w:szCs w:val="24"/>
        </w:rPr>
        <w:t>0.13) by comparing both surfaces. The data are presented as mean</w:t>
      </w:r>
      <w:r w:rsidR="00710EE9" w:rsidRPr="006F4EE5">
        <w:rPr>
          <w:rFonts w:ascii="Times New Roman" w:eastAsia="Times New Roman" w:hAnsi="Times New Roman" w:cs="Times New Roman"/>
          <w:color w:val="auto"/>
          <w:szCs w:val="24"/>
        </w:rPr>
        <w:t> </w:t>
      </w:r>
      <w:r w:rsidR="00710EE9" w:rsidRPr="006F4EE5">
        <w:rPr>
          <w:color w:val="auto"/>
          <w:szCs w:val="24"/>
        </w:rPr>
        <w:t>±</w:t>
      </w:r>
      <w:r w:rsidR="00710EE9" w:rsidRPr="006F4EE5">
        <w:rPr>
          <w:rFonts w:ascii="Times New Roman" w:eastAsia="Times New Roman" w:hAnsi="Times New Roman" w:cs="Times New Roman"/>
          <w:color w:val="auto"/>
          <w:szCs w:val="24"/>
        </w:rPr>
        <w:t> </w:t>
      </w:r>
      <w:r w:rsidR="00710EE9" w:rsidRPr="006F4EE5">
        <w:rPr>
          <w:color w:val="auto"/>
          <w:szCs w:val="24"/>
        </w:rPr>
        <w:t>standard deviation (</w:t>
      </w:r>
      <w:r w:rsidR="00710EE9" w:rsidRPr="00AE1D3A">
        <w:rPr>
          <w:i/>
          <w:color w:val="auto"/>
          <w:szCs w:val="24"/>
        </w:rPr>
        <w:t>n</w:t>
      </w:r>
      <w:r w:rsidR="00710EE9" w:rsidRPr="006F4EE5">
        <w:rPr>
          <w:rFonts w:ascii="Times New Roman" w:eastAsia="Times New Roman" w:hAnsi="Times New Roman" w:cs="Times New Roman"/>
          <w:color w:val="auto"/>
          <w:szCs w:val="24"/>
        </w:rPr>
        <w:t> </w:t>
      </w:r>
      <w:r w:rsidR="00710EE9" w:rsidRPr="006F4EE5">
        <w:rPr>
          <w:color w:val="auto"/>
          <w:szCs w:val="24"/>
        </w:rPr>
        <w:t>=</w:t>
      </w:r>
      <w:r w:rsidR="00710EE9" w:rsidRPr="006F4EE5">
        <w:rPr>
          <w:rFonts w:ascii="Times New Roman" w:eastAsia="Times New Roman" w:hAnsi="Times New Roman" w:cs="Times New Roman"/>
          <w:color w:val="auto"/>
          <w:szCs w:val="24"/>
        </w:rPr>
        <w:t> </w:t>
      </w:r>
      <w:r w:rsidR="00710EE9" w:rsidRPr="006F4EE5">
        <w:rPr>
          <w:color w:val="auto"/>
          <w:szCs w:val="24"/>
        </w:rPr>
        <w:t xml:space="preserve">4). </w:t>
      </w:r>
      <w:r w:rsidR="00AE1D3A" w:rsidRPr="00AE1D3A">
        <w:rPr>
          <w:rFonts w:eastAsiaTheme="minorEastAsia" w:hint="eastAsia"/>
          <w:color w:val="auto"/>
          <w:szCs w:val="24"/>
          <w:vertAlign w:val="superscript"/>
          <w:lang w:eastAsia="zh-CN"/>
        </w:rPr>
        <w:t>a</w:t>
      </w:r>
      <w:r w:rsidR="00710EE9" w:rsidRPr="006F4EE5">
        <w:rPr>
          <w:color w:val="auto"/>
          <w:szCs w:val="24"/>
        </w:rPr>
        <w:t>Indicates statistically significant difference</w:t>
      </w:r>
      <w:r w:rsidR="00AE1D3A">
        <w:rPr>
          <w:rFonts w:eastAsiaTheme="minorEastAsia" w:hint="eastAsia"/>
          <w:color w:val="auto"/>
          <w:szCs w:val="24"/>
          <w:vertAlign w:val="superscript"/>
          <w:lang w:eastAsia="zh-CN"/>
        </w:rPr>
        <w:t>[67]</w:t>
      </w:r>
      <w:r w:rsidRPr="006F4EE5">
        <w:rPr>
          <w:color w:val="auto"/>
          <w:szCs w:val="24"/>
        </w:rPr>
        <w:t xml:space="preserve">. </w:t>
      </w:r>
    </w:p>
    <w:p w:rsidR="00B17EC0" w:rsidRPr="006F4EE5" w:rsidRDefault="00710EE9" w:rsidP="006F4EE5">
      <w:pPr>
        <w:spacing w:after="0" w:line="360" w:lineRule="auto"/>
        <w:ind w:left="0" w:firstLine="0"/>
        <w:rPr>
          <w:color w:val="auto"/>
          <w:szCs w:val="24"/>
        </w:rPr>
      </w:pPr>
      <w:r w:rsidRPr="006F4EE5">
        <w:rPr>
          <w:color w:val="auto"/>
          <w:szCs w:val="24"/>
        </w:rPr>
        <w:t xml:space="preserve"> </w:t>
      </w:r>
      <w:r w:rsidR="00A24430">
        <w:rPr>
          <w:noProof/>
          <w:color w:val="auto"/>
          <w:szCs w:val="24"/>
          <w:lang w:val="en-US" w:eastAsia="en-US"/>
        </w:rPr>
        <w:drawing>
          <wp:inline distT="0" distB="0" distL="0" distR="0">
            <wp:extent cx="5763260" cy="1957705"/>
            <wp:effectExtent l="0" t="0" r="889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3260" cy="1957705"/>
                    </a:xfrm>
                    <a:prstGeom prst="rect">
                      <a:avLst/>
                    </a:prstGeom>
                    <a:noFill/>
                    <a:ln>
                      <a:noFill/>
                    </a:ln>
                  </pic:spPr>
                </pic:pic>
              </a:graphicData>
            </a:graphic>
          </wp:inline>
        </w:drawing>
      </w:r>
    </w:p>
    <w:p w:rsidR="002E4309" w:rsidRPr="006F4EE5" w:rsidRDefault="00F220FC" w:rsidP="006F4EE5">
      <w:pPr>
        <w:spacing w:after="0" w:line="360" w:lineRule="auto"/>
        <w:ind w:left="0" w:firstLine="0"/>
        <w:rPr>
          <w:color w:val="auto"/>
          <w:szCs w:val="24"/>
        </w:rPr>
      </w:pPr>
      <w:r w:rsidRPr="006F4EE5">
        <w:rPr>
          <w:b/>
          <w:color w:val="auto"/>
          <w:szCs w:val="24"/>
        </w:rPr>
        <w:t>Figure 7</w:t>
      </w:r>
      <w:r w:rsidR="00710EE9" w:rsidRPr="006F4EE5">
        <w:rPr>
          <w:b/>
          <w:color w:val="auto"/>
          <w:szCs w:val="24"/>
        </w:rPr>
        <w:t xml:space="preserve"> The effect of nano-patterned surfaces on the expression of cartilaginous genes.</w:t>
      </w:r>
      <w:r w:rsidR="00710EE9" w:rsidRPr="006F4EE5">
        <w:rPr>
          <w:color w:val="auto"/>
          <w:szCs w:val="24"/>
        </w:rPr>
        <w:t xml:space="preserve"> Real time PCR was used to analyse mRNA expression levels of cartilaginous genes at week 2, 4 or 6 of chondrogenic differentiation, which was normalised to their respective GAPDH expression and expressed as fold changes relative to undifferentiated MSCs. </w:t>
      </w:r>
      <w:r w:rsidR="00710EE9" w:rsidRPr="00397A6E">
        <w:rPr>
          <w:i/>
          <w:color w:val="auto"/>
          <w:szCs w:val="24"/>
        </w:rPr>
        <w:t>n</w:t>
      </w:r>
      <w:r w:rsidR="00710EE9" w:rsidRPr="006F4EE5">
        <w:rPr>
          <w:color w:val="auto"/>
          <w:szCs w:val="24"/>
        </w:rPr>
        <w:t xml:space="preserve"> = 3 per group, mean ± SD. </w:t>
      </w:r>
      <w:r w:rsidR="007E05AE" w:rsidRPr="002267EB">
        <w:rPr>
          <w:color w:val="auto"/>
          <w:szCs w:val="24"/>
          <w:vertAlign w:val="superscript"/>
        </w:rPr>
        <w:t>a</w:t>
      </w:r>
      <w:r w:rsidR="00710EE9" w:rsidRPr="00397A6E">
        <w:rPr>
          <w:i/>
          <w:color w:val="auto"/>
          <w:szCs w:val="24"/>
        </w:rPr>
        <w:t>P</w:t>
      </w:r>
      <w:r w:rsidR="00710EE9" w:rsidRPr="006F4EE5">
        <w:rPr>
          <w:color w:val="auto"/>
          <w:szCs w:val="24"/>
        </w:rPr>
        <w:t xml:space="preserve"> &lt; 0.05 which was considered statistically significant com</w:t>
      </w:r>
      <w:r w:rsidR="00A24430">
        <w:rPr>
          <w:color w:val="auto"/>
          <w:szCs w:val="24"/>
        </w:rPr>
        <w:t>pared to non-patterned surface</w:t>
      </w:r>
      <w:r w:rsidR="00397A6E">
        <w:rPr>
          <w:rFonts w:eastAsiaTheme="minorEastAsia" w:hint="eastAsia"/>
          <w:color w:val="auto"/>
          <w:szCs w:val="24"/>
          <w:vertAlign w:val="superscript"/>
          <w:lang w:eastAsia="zh-CN"/>
        </w:rPr>
        <w:t>[56]</w:t>
      </w:r>
      <w:r w:rsidR="005A357D" w:rsidRPr="006F4EE5">
        <w:rPr>
          <w:color w:val="auto"/>
          <w:szCs w:val="24"/>
        </w:rPr>
        <w:t xml:space="preserve">. </w:t>
      </w:r>
    </w:p>
    <w:p w:rsidR="002E4309" w:rsidRPr="006F4EE5" w:rsidRDefault="00710EE9" w:rsidP="006F4EE5">
      <w:pPr>
        <w:spacing w:after="0" w:line="360" w:lineRule="auto"/>
        <w:ind w:left="0" w:firstLine="0"/>
        <w:rPr>
          <w:color w:val="auto"/>
          <w:szCs w:val="24"/>
        </w:rPr>
      </w:pPr>
      <w:r w:rsidRPr="006F4EE5">
        <w:rPr>
          <w:color w:val="auto"/>
          <w:szCs w:val="24"/>
        </w:rPr>
        <w:t xml:space="preserve"> </w:t>
      </w:r>
      <w:r w:rsidR="00397A6E" w:rsidRPr="00397A6E">
        <w:rPr>
          <w:noProof/>
          <w:color w:val="auto"/>
          <w:szCs w:val="24"/>
          <w:lang w:val="en-US" w:eastAsia="en-US"/>
        </w:rPr>
        <w:drawing>
          <wp:inline distT="0" distB="0" distL="0" distR="0" wp14:anchorId="1D24CB56" wp14:editId="279973B1">
            <wp:extent cx="4262823" cy="4365114"/>
            <wp:effectExtent l="0" t="0" r="444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stretch>
                      <a:fillRect/>
                    </a:stretch>
                  </pic:blipFill>
                  <pic:spPr>
                    <a:xfrm>
                      <a:off x="0" y="0"/>
                      <a:ext cx="4262823" cy="4365114"/>
                    </a:xfrm>
                    <a:prstGeom prst="rect">
                      <a:avLst/>
                    </a:prstGeom>
                  </pic:spPr>
                </pic:pic>
              </a:graphicData>
            </a:graphic>
          </wp:inline>
        </w:drawing>
      </w:r>
    </w:p>
    <w:p w:rsidR="002E4309" w:rsidRPr="00397A6E" w:rsidRDefault="00F220FC" w:rsidP="006F4EE5">
      <w:pPr>
        <w:spacing w:after="0" w:line="360" w:lineRule="auto"/>
        <w:ind w:left="0" w:firstLine="0"/>
        <w:rPr>
          <w:b/>
          <w:color w:val="auto"/>
          <w:szCs w:val="24"/>
        </w:rPr>
      </w:pPr>
      <w:r w:rsidRPr="00397A6E">
        <w:rPr>
          <w:b/>
          <w:color w:val="auto"/>
          <w:szCs w:val="24"/>
        </w:rPr>
        <w:t>Figure 8</w:t>
      </w:r>
      <w:r w:rsidR="00710EE9" w:rsidRPr="00397A6E">
        <w:rPr>
          <w:b/>
          <w:color w:val="auto"/>
          <w:szCs w:val="24"/>
        </w:rPr>
        <w:t xml:space="preserve"> Electron microscopy images of differentiated and undifferentiated </w:t>
      </w:r>
      <w:r w:rsidR="00397A6E" w:rsidRPr="00397A6E">
        <w:rPr>
          <w:b/>
          <w:color w:val="auto"/>
          <w:szCs w:val="24"/>
        </w:rPr>
        <w:t xml:space="preserve">mesenchymal stem cells </w:t>
      </w:r>
      <w:r w:rsidR="00710EE9" w:rsidRPr="00397A6E">
        <w:rPr>
          <w:b/>
          <w:color w:val="auto"/>
          <w:szCs w:val="24"/>
        </w:rPr>
        <w:t>on Coll/P</w:t>
      </w:r>
      <w:r w:rsidRPr="00397A6E">
        <w:rPr>
          <w:b/>
          <w:color w:val="auto"/>
          <w:szCs w:val="24"/>
        </w:rPr>
        <w:t>LLCL nanostructured nanofibrers.</w:t>
      </w:r>
      <w:r w:rsidR="00397A6E">
        <w:rPr>
          <w:rFonts w:eastAsiaTheme="minorEastAsia" w:hint="eastAsia"/>
          <w:b/>
          <w:color w:val="auto"/>
          <w:szCs w:val="24"/>
          <w:lang w:eastAsia="zh-CN"/>
        </w:rPr>
        <w:t xml:space="preserve"> </w:t>
      </w:r>
      <w:r w:rsidR="00710EE9" w:rsidRPr="006F4EE5">
        <w:rPr>
          <w:color w:val="auto"/>
          <w:szCs w:val="24"/>
        </w:rPr>
        <w:t xml:space="preserve">(A) </w:t>
      </w:r>
      <w:r w:rsidR="00397A6E">
        <w:rPr>
          <w:color w:val="auto"/>
          <w:szCs w:val="24"/>
        </w:rPr>
        <w:t>mesenchymal stem cell</w:t>
      </w:r>
      <w:r w:rsidR="00397A6E" w:rsidRPr="006F4EE5">
        <w:rPr>
          <w:color w:val="auto"/>
          <w:szCs w:val="24"/>
        </w:rPr>
        <w:t xml:space="preserve"> </w:t>
      </w:r>
      <w:r w:rsidR="00397A6E">
        <w:rPr>
          <w:rFonts w:eastAsiaTheme="minorEastAsia" w:hint="eastAsia"/>
          <w:color w:val="auto"/>
          <w:szCs w:val="24"/>
          <w:lang w:eastAsia="zh-CN"/>
        </w:rPr>
        <w:t>(</w:t>
      </w:r>
      <w:r w:rsidR="00710EE9" w:rsidRPr="006F4EE5">
        <w:rPr>
          <w:color w:val="auto"/>
          <w:szCs w:val="24"/>
        </w:rPr>
        <w:t>MSC</w:t>
      </w:r>
      <w:r w:rsidR="00397A6E">
        <w:rPr>
          <w:rFonts w:eastAsiaTheme="minorEastAsia" w:hint="eastAsia"/>
          <w:color w:val="auto"/>
          <w:szCs w:val="24"/>
          <w:lang w:eastAsia="zh-CN"/>
        </w:rPr>
        <w:t>)</w:t>
      </w:r>
      <w:r w:rsidR="00710EE9" w:rsidRPr="006F4EE5">
        <w:rPr>
          <w:color w:val="auto"/>
          <w:szCs w:val="24"/>
        </w:rPr>
        <w:t xml:space="preserve"> directed to differentiate along the epidermal lineage when cultured in epidermal induction medium and (B) epidermally differentiated MSC on the edge of a Coll/PLLCL scaffold (as shown by arrow), (C) electrospun Coll/PLLCL nanofibers seeded with undifferentiated MSC cultured in normal growth medium, (D) MSC grown in normal growth medium on Coll/PLLCL nanofibers stained with Ker 10, after 15 d cell culture, imaged using las</w:t>
      </w:r>
      <w:r w:rsidR="00503C1B">
        <w:rPr>
          <w:color w:val="auto"/>
          <w:szCs w:val="24"/>
        </w:rPr>
        <w:t>er scanning confocal microscope</w:t>
      </w:r>
      <w:r w:rsidR="00397A6E">
        <w:rPr>
          <w:rFonts w:eastAsiaTheme="minorEastAsia" w:hint="eastAsia"/>
          <w:color w:val="auto"/>
          <w:szCs w:val="24"/>
          <w:vertAlign w:val="superscript"/>
          <w:lang w:eastAsia="zh-CN"/>
        </w:rPr>
        <w:t>[86]</w:t>
      </w:r>
      <w:r w:rsidR="004A1FAC" w:rsidRPr="006F4EE5">
        <w:rPr>
          <w:color w:val="auto"/>
          <w:szCs w:val="24"/>
        </w:rPr>
        <w:t xml:space="preserve">. </w:t>
      </w:r>
    </w:p>
    <w:p w:rsidR="002E4309" w:rsidRPr="006F4EE5" w:rsidRDefault="00710EE9" w:rsidP="006F4EE5">
      <w:pPr>
        <w:spacing w:after="0" w:line="360" w:lineRule="auto"/>
        <w:ind w:left="0" w:firstLine="0"/>
        <w:rPr>
          <w:color w:val="auto"/>
          <w:szCs w:val="24"/>
        </w:rPr>
      </w:pPr>
      <w:r w:rsidRPr="006F4EE5">
        <w:rPr>
          <w:color w:val="auto"/>
          <w:szCs w:val="24"/>
        </w:rPr>
        <w:t xml:space="preserve"> </w:t>
      </w:r>
    </w:p>
    <w:p w:rsidR="002E4309" w:rsidRPr="006F4EE5" w:rsidRDefault="002E4309" w:rsidP="006F4EE5">
      <w:pPr>
        <w:spacing w:after="0" w:line="360" w:lineRule="auto"/>
        <w:ind w:left="0" w:firstLine="0"/>
        <w:rPr>
          <w:color w:val="auto"/>
          <w:szCs w:val="24"/>
        </w:rPr>
      </w:pPr>
    </w:p>
    <w:p w:rsidR="002E4309" w:rsidRPr="006F4EE5" w:rsidRDefault="002E4309" w:rsidP="006F4EE5">
      <w:pPr>
        <w:spacing w:after="0" w:line="360" w:lineRule="auto"/>
        <w:ind w:left="0" w:firstLine="0"/>
        <w:rPr>
          <w:color w:val="auto"/>
          <w:szCs w:val="24"/>
        </w:rPr>
        <w:sectPr w:rsidR="002E4309" w:rsidRPr="006F4EE5">
          <w:footerReference w:type="even" r:id="rId18"/>
          <w:footerReference w:type="default" r:id="rId19"/>
          <w:footerReference w:type="first" r:id="rId20"/>
          <w:pgSz w:w="11906" w:h="16838"/>
          <w:pgMar w:top="1481" w:right="1378" w:bottom="1494" w:left="1440" w:header="720" w:footer="709" w:gutter="0"/>
          <w:cols w:space="720"/>
        </w:sectPr>
      </w:pPr>
    </w:p>
    <w:p w:rsidR="002E4309" w:rsidRPr="006F4EE5" w:rsidRDefault="0028464B" w:rsidP="006F4EE5">
      <w:pPr>
        <w:spacing w:after="0" w:line="360" w:lineRule="auto"/>
        <w:ind w:left="0" w:firstLine="0"/>
        <w:rPr>
          <w:color w:val="auto"/>
          <w:szCs w:val="24"/>
        </w:rPr>
      </w:pPr>
      <w:r w:rsidRPr="006F4EE5">
        <w:rPr>
          <w:b/>
          <w:color w:val="auto"/>
          <w:szCs w:val="24"/>
        </w:rPr>
        <w:t>Table 1</w:t>
      </w:r>
      <w:r w:rsidR="00710EE9" w:rsidRPr="006F4EE5">
        <w:rPr>
          <w:color w:val="auto"/>
          <w:szCs w:val="24"/>
        </w:rPr>
        <w:t xml:space="preserve">   </w:t>
      </w:r>
      <w:r w:rsidR="00710EE9" w:rsidRPr="006F4EE5">
        <w:rPr>
          <w:b/>
          <w:color w:val="auto"/>
          <w:szCs w:val="24"/>
        </w:rPr>
        <w:t>Classification of various types of nanotopography (nanofabrication) methods</w:t>
      </w:r>
    </w:p>
    <w:tbl>
      <w:tblPr>
        <w:tblStyle w:val="TableGrid"/>
        <w:tblW w:w="13207" w:type="dxa"/>
        <w:tblInd w:w="377" w:type="dxa"/>
        <w:tblBorders>
          <w:top w:val="single" w:sz="4" w:space="0" w:color="auto"/>
          <w:bottom w:val="single" w:sz="4" w:space="0" w:color="auto"/>
        </w:tblBorders>
        <w:tblCellMar>
          <w:top w:w="48" w:type="dxa"/>
          <w:left w:w="106" w:type="dxa"/>
          <w:right w:w="53" w:type="dxa"/>
        </w:tblCellMar>
        <w:tblLook w:val="04A0" w:firstRow="1" w:lastRow="0" w:firstColumn="1" w:lastColumn="0" w:noHBand="0" w:noVBand="1"/>
      </w:tblPr>
      <w:tblGrid>
        <w:gridCol w:w="1465"/>
        <w:gridCol w:w="2039"/>
        <w:gridCol w:w="6766"/>
        <w:gridCol w:w="2937"/>
      </w:tblGrid>
      <w:tr w:rsidR="00931667" w:rsidRPr="006F4EE5" w:rsidTr="00524CD0">
        <w:trPr>
          <w:trHeight w:val="742"/>
        </w:trPr>
        <w:tc>
          <w:tcPr>
            <w:tcW w:w="1471" w:type="dxa"/>
            <w:tcBorders>
              <w:top w:val="single" w:sz="4" w:space="0" w:color="auto"/>
              <w:bottom w:val="single" w:sz="4" w:space="0" w:color="auto"/>
            </w:tcBorders>
          </w:tcPr>
          <w:p w:rsidR="002E4309" w:rsidRPr="006F4EE5" w:rsidRDefault="00710EE9" w:rsidP="006F4EE5">
            <w:pPr>
              <w:spacing w:after="0" w:line="360" w:lineRule="auto"/>
              <w:ind w:left="0" w:firstLine="0"/>
              <w:rPr>
                <w:color w:val="auto"/>
                <w:szCs w:val="24"/>
              </w:rPr>
            </w:pPr>
            <w:r w:rsidRPr="006F4EE5">
              <w:rPr>
                <w:b/>
                <w:color w:val="auto"/>
                <w:szCs w:val="24"/>
              </w:rPr>
              <w:t xml:space="preserve">Energy </w:t>
            </w:r>
            <w:r w:rsidR="00503C1B" w:rsidRPr="006F4EE5">
              <w:rPr>
                <w:b/>
                <w:color w:val="auto"/>
                <w:szCs w:val="24"/>
              </w:rPr>
              <w:t>s</w:t>
            </w:r>
            <w:r w:rsidRPr="006F4EE5">
              <w:rPr>
                <w:b/>
                <w:color w:val="auto"/>
                <w:szCs w:val="24"/>
              </w:rPr>
              <w:t xml:space="preserve">ource </w:t>
            </w:r>
          </w:p>
        </w:tc>
        <w:tc>
          <w:tcPr>
            <w:tcW w:w="1940" w:type="dxa"/>
            <w:tcBorders>
              <w:top w:val="single" w:sz="4" w:space="0" w:color="auto"/>
              <w:bottom w:val="single" w:sz="4" w:space="0" w:color="auto"/>
            </w:tcBorders>
          </w:tcPr>
          <w:p w:rsidR="002E4309" w:rsidRPr="006F4EE5" w:rsidRDefault="00710EE9" w:rsidP="006F4EE5">
            <w:pPr>
              <w:spacing w:after="0" w:line="360" w:lineRule="auto"/>
              <w:ind w:left="0" w:firstLine="0"/>
              <w:rPr>
                <w:color w:val="auto"/>
                <w:szCs w:val="24"/>
              </w:rPr>
            </w:pPr>
            <w:r w:rsidRPr="006F4EE5">
              <w:rPr>
                <w:b/>
                <w:color w:val="auto"/>
                <w:szCs w:val="24"/>
              </w:rPr>
              <w:t xml:space="preserve">Method </w:t>
            </w:r>
          </w:p>
        </w:tc>
        <w:tc>
          <w:tcPr>
            <w:tcW w:w="6846" w:type="dxa"/>
            <w:tcBorders>
              <w:top w:val="single" w:sz="4" w:space="0" w:color="auto"/>
              <w:bottom w:val="single" w:sz="4" w:space="0" w:color="auto"/>
            </w:tcBorders>
          </w:tcPr>
          <w:p w:rsidR="002E4309" w:rsidRPr="006F4EE5" w:rsidRDefault="00710EE9" w:rsidP="00503C1B">
            <w:pPr>
              <w:spacing w:after="0" w:line="360" w:lineRule="auto"/>
              <w:ind w:left="0" w:firstLine="0"/>
              <w:rPr>
                <w:color w:val="auto"/>
                <w:szCs w:val="24"/>
              </w:rPr>
            </w:pPr>
            <w:r w:rsidRPr="006F4EE5">
              <w:rPr>
                <w:b/>
                <w:color w:val="auto"/>
                <w:szCs w:val="24"/>
              </w:rPr>
              <w:t xml:space="preserve">Mechanism </w:t>
            </w:r>
            <w:r w:rsidR="00503C1B">
              <w:rPr>
                <w:rFonts w:eastAsiaTheme="minorEastAsia" w:hint="eastAsia"/>
                <w:b/>
                <w:color w:val="auto"/>
                <w:szCs w:val="24"/>
                <w:lang w:eastAsia="zh-CN"/>
              </w:rPr>
              <w:t>and</w:t>
            </w:r>
            <w:r w:rsidRPr="006F4EE5">
              <w:rPr>
                <w:b/>
                <w:color w:val="auto"/>
                <w:szCs w:val="24"/>
              </w:rPr>
              <w:t xml:space="preserve"> </w:t>
            </w:r>
            <w:r w:rsidR="00503C1B" w:rsidRPr="006F4EE5">
              <w:rPr>
                <w:b/>
                <w:color w:val="auto"/>
                <w:szCs w:val="24"/>
              </w:rPr>
              <w:t>final o</w:t>
            </w:r>
            <w:r w:rsidRPr="006F4EE5">
              <w:rPr>
                <w:b/>
                <w:color w:val="auto"/>
                <w:szCs w:val="24"/>
              </w:rPr>
              <w:t xml:space="preserve">utcome </w:t>
            </w:r>
          </w:p>
        </w:tc>
        <w:tc>
          <w:tcPr>
            <w:tcW w:w="2950" w:type="dxa"/>
            <w:tcBorders>
              <w:top w:val="single" w:sz="4" w:space="0" w:color="auto"/>
              <w:bottom w:val="single" w:sz="4" w:space="0" w:color="auto"/>
            </w:tcBorders>
          </w:tcPr>
          <w:p w:rsidR="002E4309" w:rsidRPr="006F4EE5" w:rsidRDefault="00710EE9" w:rsidP="006F4EE5">
            <w:pPr>
              <w:spacing w:after="0" w:line="360" w:lineRule="auto"/>
              <w:ind w:left="0" w:firstLine="0"/>
              <w:rPr>
                <w:color w:val="auto"/>
                <w:szCs w:val="24"/>
              </w:rPr>
            </w:pPr>
            <w:r w:rsidRPr="006F4EE5">
              <w:rPr>
                <w:b/>
                <w:color w:val="auto"/>
                <w:szCs w:val="24"/>
              </w:rPr>
              <w:t xml:space="preserve">Processable </w:t>
            </w:r>
            <w:r w:rsidR="00503C1B" w:rsidRPr="006F4EE5">
              <w:rPr>
                <w:b/>
                <w:color w:val="auto"/>
                <w:szCs w:val="24"/>
              </w:rPr>
              <w:t>p</w:t>
            </w:r>
            <w:r w:rsidRPr="006F4EE5">
              <w:rPr>
                <w:b/>
                <w:color w:val="auto"/>
                <w:szCs w:val="24"/>
              </w:rPr>
              <w:t xml:space="preserve">olymers </w:t>
            </w:r>
          </w:p>
        </w:tc>
      </w:tr>
      <w:tr w:rsidR="00931667" w:rsidRPr="006F4EE5" w:rsidTr="00524CD0">
        <w:trPr>
          <w:trHeight w:val="1057"/>
        </w:trPr>
        <w:tc>
          <w:tcPr>
            <w:tcW w:w="1471" w:type="dxa"/>
            <w:vMerge w:val="restart"/>
            <w:tcBorders>
              <w:top w:val="single" w:sz="4" w:space="0" w:color="auto"/>
            </w:tcBorders>
          </w:tcPr>
          <w:p w:rsidR="002E4309" w:rsidRPr="006F4EE5" w:rsidRDefault="00710EE9" w:rsidP="006F4EE5">
            <w:pPr>
              <w:spacing w:after="0" w:line="360" w:lineRule="auto"/>
              <w:ind w:left="0" w:firstLine="0"/>
              <w:rPr>
                <w:color w:val="auto"/>
                <w:szCs w:val="24"/>
              </w:rPr>
            </w:pPr>
            <w:r w:rsidRPr="006F4EE5">
              <w:rPr>
                <w:b/>
                <w:color w:val="auto"/>
                <w:szCs w:val="24"/>
              </w:rPr>
              <w:t xml:space="preserve">Thermal </w:t>
            </w:r>
          </w:p>
        </w:tc>
        <w:tc>
          <w:tcPr>
            <w:tcW w:w="1940" w:type="dxa"/>
            <w:tcBorders>
              <w:top w:val="single" w:sz="4" w:space="0" w:color="auto"/>
            </w:tcBorders>
          </w:tcPr>
          <w:p w:rsidR="002E4309" w:rsidRPr="006F4EE5" w:rsidRDefault="00710EE9" w:rsidP="006F4EE5">
            <w:pPr>
              <w:spacing w:after="0" w:line="360" w:lineRule="auto"/>
              <w:ind w:left="0" w:firstLine="0"/>
              <w:rPr>
                <w:color w:val="auto"/>
                <w:szCs w:val="24"/>
              </w:rPr>
            </w:pPr>
            <w:r w:rsidRPr="006F4EE5">
              <w:rPr>
                <w:color w:val="auto"/>
                <w:szCs w:val="24"/>
              </w:rPr>
              <w:t xml:space="preserve">Replica </w:t>
            </w:r>
            <w:r w:rsidR="00FE76D1" w:rsidRPr="006F4EE5">
              <w:rPr>
                <w:color w:val="auto"/>
                <w:szCs w:val="24"/>
              </w:rPr>
              <w:t>modelling</w:t>
            </w:r>
            <w:r w:rsidRPr="006F4EE5">
              <w:rPr>
                <w:color w:val="auto"/>
                <w:szCs w:val="24"/>
              </w:rPr>
              <w:t xml:space="preserve"> </w:t>
            </w:r>
          </w:p>
        </w:tc>
        <w:tc>
          <w:tcPr>
            <w:tcW w:w="6846" w:type="dxa"/>
            <w:tcBorders>
              <w:top w:val="single" w:sz="4" w:space="0" w:color="auto"/>
            </w:tcBorders>
          </w:tcPr>
          <w:p w:rsidR="002E4309" w:rsidRPr="006F4EE5" w:rsidRDefault="00710EE9" w:rsidP="006F4EE5">
            <w:pPr>
              <w:spacing w:after="0" w:line="360" w:lineRule="auto"/>
              <w:ind w:left="0" w:firstLine="0"/>
              <w:rPr>
                <w:color w:val="auto"/>
                <w:szCs w:val="24"/>
              </w:rPr>
            </w:pPr>
            <w:r w:rsidRPr="006F4EE5">
              <w:rPr>
                <w:color w:val="auto"/>
                <w:szCs w:val="24"/>
              </w:rPr>
              <w:t>Creating negative shape of the mold by thermal cross-linking of cavity-filled pre</w:t>
            </w:r>
            <w:r w:rsidR="00FE76D1" w:rsidRPr="006F4EE5">
              <w:rPr>
                <w:color w:val="auto"/>
                <w:szCs w:val="24"/>
              </w:rPr>
              <w:t>-</w:t>
            </w:r>
            <w:r w:rsidRPr="006F4EE5">
              <w:rPr>
                <w:color w:val="auto"/>
                <w:szCs w:val="24"/>
              </w:rPr>
              <w:t xml:space="preserve">polymer </w:t>
            </w:r>
          </w:p>
        </w:tc>
        <w:tc>
          <w:tcPr>
            <w:tcW w:w="2950" w:type="dxa"/>
            <w:tcBorders>
              <w:top w:val="single" w:sz="4" w:space="0" w:color="auto"/>
            </w:tcBorders>
          </w:tcPr>
          <w:p w:rsidR="002E4309" w:rsidRPr="006F4EE5" w:rsidRDefault="00710EE9" w:rsidP="006F4EE5">
            <w:pPr>
              <w:spacing w:after="0" w:line="360" w:lineRule="auto"/>
              <w:ind w:left="0" w:firstLine="0"/>
              <w:rPr>
                <w:color w:val="auto"/>
                <w:szCs w:val="24"/>
              </w:rPr>
            </w:pPr>
            <w:r w:rsidRPr="006F4EE5">
              <w:rPr>
                <w:color w:val="auto"/>
                <w:szCs w:val="24"/>
              </w:rPr>
              <w:t xml:space="preserve">Thermocurable polymers </w:t>
            </w:r>
          </w:p>
          <w:p w:rsidR="002E4309" w:rsidRPr="006F4EE5" w:rsidRDefault="00710EE9" w:rsidP="00524CD0">
            <w:pPr>
              <w:spacing w:after="0" w:line="360" w:lineRule="auto"/>
              <w:ind w:left="0" w:firstLine="0"/>
              <w:rPr>
                <w:color w:val="auto"/>
                <w:szCs w:val="24"/>
              </w:rPr>
            </w:pPr>
            <w:r w:rsidRPr="00503C1B">
              <w:rPr>
                <w:i/>
                <w:color w:val="auto"/>
                <w:szCs w:val="24"/>
              </w:rPr>
              <w:t>e.g.</w:t>
            </w:r>
            <w:r w:rsidR="00503C1B">
              <w:rPr>
                <w:rFonts w:eastAsiaTheme="minorEastAsia" w:hint="eastAsia"/>
                <w:color w:val="auto"/>
                <w:szCs w:val="24"/>
                <w:lang w:eastAsia="zh-CN"/>
              </w:rPr>
              <w:t>,</w:t>
            </w:r>
            <w:r w:rsidRPr="006F4EE5">
              <w:rPr>
                <w:color w:val="auto"/>
                <w:szCs w:val="24"/>
              </w:rPr>
              <w:t xml:space="preserve"> poly(dimethyl siloxane) </w:t>
            </w:r>
          </w:p>
        </w:tc>
      </w:tr>
      <w:tr w:rsidR="00931667" w:rsidRPr="006F4EE5" w:rsidTr="00524CD0">
        <w:trPr>
          <w:trHeight w:val="1940"/>
        </w:trPr>
        <w:tc>
          <w:tcPr>
            <w:tcW w:w="0" w:type="auto"/>
            <w:vMerge/>
          </w:tcPr>
          <w:p w:rsidR="002E4309" w:rsidRPr="006F4EE5" w:rsidRDefault="002E4309" w:rsidP="006F4EE5">
            <w:pPr>
              <w:spacing w:after="0" w:line="360" w:lineRule="auto"/>
              <w:ind w:left="0" w:firstLine="0"/>
              <w:rPr>
                <w:color w:val="auto"/>
                <w:szCs w:val="24"/>
              </w:rPr>
            </w:pPr>
          </w:p>
        </w:tc>
        <w:tc>
          <w:tcPr>
            <w:tcW w:w="1940" w:type="dxa"/>
          </w:tcPr>
          <w:p w:rsidR="002E4309" w:rsidRPr="006F4EE5" w:rsidRDefault="00710EE9" w:rsidP="006F4EE5">
            <w:pPr>
              <w:spacing w:after="0" w:line="360" w:lineRule="auto"/>
              <w:ind w:left="0" w:firstLine="0"/>
              <w:rPr>
                <w:color w:val="auto"/>
                <w:szCs w:val="24"/>
              </w:rPr>
            </w:pPr>
            <w:r w:rsidRPr="006F4EE5">
              <w:rPr>
                <w:color w:val="auto"/>
                <w:szCs w:val="24"/>
              </w:rPr>
              <w:t xml:space="preserve">Nanoimprint lithography </w:t>
            </w:r>
          </w:p>
        </w:tc>
        <w:tc>
          <w:tcPr>
            <w:tcW w:w="6846" w:type="dxa"/>
          </w:tcPr>
          <w:p w:rsidR="002E4309" w:rsidRPr="006F4EE5" w:rsidRDefault="00710EE9" w:rsidP="006F4EE5">
            <w:pPr>
              <w:spacing w:after="0" w:line="360" w:lineRule="auto"/>
              <w:ind w:left="0" w:firstLine="0"/>
              <w:rPr>
                <w:color w:val="auto"/>
                <w:szCs w:val="24"/>
              </w:rPr>
            </w:pPr>
            <w:r w:rsidRPr="006F4EE5">
              <w:rPr>
                <w:color w:val="auto"/>
                <w:szCs w:val="24"/>
              </w:rPr>
              <w:t xml:space="preserve">Creating negative shape of the mold by plastic deformation of polymer above Tg </w:t>
            </w:r>
          </w:p>
        </w:tc>
        <w:tc>
          <w:tcPr>
            <w:tcW w:w="2950" w:type="dxa"/>
          </w:tcPr>
          <w:p w:rsidR="002E4309" w:rsidRPr="006F4EE5" w:rsidRDefault="00710EE9" w:rsidP="006F4EE5">
            <w:pPr>
              <w:spacing w:after="0" w:line="360" w:lineRule="auto"/>
              <w:ind w:left="0" w:firstLine="0"/>
              <w:rPr>
                <w:color w:val="auto"/>
                <w:szCs w:val="24"/>
              </w:rPr>
            </w:pPr>
            <w:r w:rsidRPr="006F4EE5">
              <w:rPr>
                <w:color w:val="auto"/>
                <w:szCs w:val="24"/>
              </w:rPr>
              <w:t xml:space="preserve">Thermoplastic </w:t>
            </w:r>
            <w:r w:rsidRPr="00503C1B">
              <w:rPr>
                <w:i/>
                <w:color w:val="auto"/>
                <w:szCs w:val="24"/>
              </w:rPr>
              <w:t>e.g.</w:t>
            </w:r>
            <w:r w:rsidR="00503C1B" w:rsidRPr="00503C1B">
              <w:rPr>
                <w:rFonts w:eastAsiaTheme="minorEastAsia" w:hint="eastAsia"/>
                <w:i/>
                <w:color w:val="auto"/>
                <w:szCs w:val="24"/>
                <w:lang w:eastAsia="zh-CN"/>
              </w:rPr>
              <w:t>,</w:t>
            </w:r>
            <w:r w:rsidRPr="006F4EE5">
              <w:rPr>
                <w:color w:val="auto"/>
                <w:szCs w:val="24"/>
              </w:rPr>
              <w:t xml:space="preserve"> </w:t>
            </w:r>
          </w:p>
          <w:p w:rsidR="002E4309" w:rsidRPr="006F4EE5" w:rsidRDefault="00710EE9" w:rsidP="006F4EE5">
            <w:pPr>
              <w:spacing w:after="0" w:line="360" w:lineRule="auto"/>
              <w:ind w:left="0" w:firstLine="0"/>
              <w:rPr>
                <w:color w:val="auto"/>
                <w:szCs w:val="24"/>
              </w:rPr>
            </w:pPr>
            <w:r w:rsidRPr="006F4EE5">
              <w:rPr>
                <w:color w:val="auto"/>
                <w:szCs w:val="24"/>
              </w:rPr>
              <w:t xml:space="preserve">polystyrene, poly(lactic acid), and conductive  polymers </w:t>
            </w:r>
            <w:r w:rsidRPr="00503C1B">
              <w:rPr>
                <w:i/>
                <w:color w:val="auto"/>
                <w:szCs w:val="24"/>
              </w:rPr>
              <w:t>e.g.</w:t>
            </w:r>
            <w:r w:rsidR="00503C1B" w:rsidRPr="00503C1B">
              <w:rPr>
                <w:rFonts w:eastAsiaTheme="minorEastAsia" w:hint="eastAsia"/>
                <w:i/>
                <w:color w:val="auto"/>
                <w:szCs w:val="24"/>
                <w:lang w:eastAsia="zh-CN"/>
              </w:rPr>
              <w:t>,</w:t>
            </w:r>
            <w:r w:rsidRPr="006F4EE5">
              <w:rPr>
                <w:color w:val="auto"/>
                <w:szCs w:val="24"/>
              </w:rPr>
              <w:t xml:space="preserve"> polyaniline </w:t>
            </w:r>
          </w:p>
          <w:p w:rsidR="002E4309" w:rsidRPr="006F4EE5" w:rsidRDefault="00710EE9" w:rsidP="006F4EE5">
            <w:pPr>
              <w:spacing w:after="0" w:line="360" w:lineRule="auto"/>
              <w:ind w:left="0" w:firstLine="0"/>
              <w:rPr>
                <w:color w:val="auto"/>
                <w:szCs w:val="24"/>
              </w:rPr>
            </w:pPr>
            <w:r w:rsidRPr="006F4EE5">
              <w:rPr>
                <w:color w:val="auto"/>
                <w:szCs w:val="24"/>
              </w:rPr>
              <w:t xml:space="preserve">and polypyrrole </w:t>
            </w:r>
          </w:p>
          <w:p w:rsidR="002E4309" w:rsidRPr="006F4EE5" w:rsidRDefault="002E4309" w:rsidP="006F4EE5">
            <w:pPr>
              <w:spacing w:after="0" w:line="360" w:lineRule="auto"/>
              <w:ind w:left="0" w:firstLine="0"/>
              <w:rPr>
                <w:color w:val="auto"/>
                <w:szCs w:val="24"/>
              </w:rPr>
            </w:pPr>
          </w:p>
        </w:tc>
      </w:tr>
      <w:tr w:rsidR="00931667" w:rsidRPr="006F4EE5" w:rsidTr="00524CD0">
        <w:trPr>
          <w:trHeight w:val="1646"/>
        </w:trPr>
        <w:tc>
          <w:tcPr>
            <w:tcW w:w="0" w:type="auto"/>
            <w:vMerge/>
          </w:tcPr>
          <w:p w:rsidR="002E4309" w:rsidRPr="006F4EE5" w:rsidRDefault="002E4309" w:rsidP="006F4EE5">
            <w:pPr>
              <w:spacing w:after="0" w:line="360" w:lineRule="auto"/>
              <w:ind w:left="0" w:firstLine="0"/>
              <w:rPr>
                <w:color w:val="auto"/>
                <w:szCs w:val="24"/>
              </w:rPr>
            </w:pPr>
          </w:p>
        </w:tc>
        <w:tc>
          <w:tcPr>
            <w:tcW w:w="1940" w:type="dxa"/>
          </w:tcPr>
          <w:p w:rsidR="002E4309" w:rsidRPr="006F4EE5" w:rsidRDefault="00710EE9" w:rsidP="006F4EE5">
            <w:pPr>
              <w:spacing w:after="0" w:line="360" w:lineRule="auto"/>
              <w:ind w:left="0" w:firstLine="0"/>
              <w:rPr>
                <w:color w:val="auto"/>
                <w:szCs w:val="24"/>
              </w:rPr>
            </w:pPr>
            <w:r w:rsidRPr="006F4EE5">
              <w:rPr>
                <w:color w:val="auto"/>
                <w:szCs w:val="24"/>
              </w:rPr>
              <w:t xml:space="preserve">Block copolymer lithography </w:t>
            </w:r>
          </w:p>
        </w:tc>
        <w:tc>
          <w:tcPr>
            <w:tcW w:w="6846" w:type="dxa"/>
          </w:tcPr>
          <w:p w:rsidR="002E4309" w:rsidRPr="006F4EE5" w:rsidRDefault="00710EE9" w:rsidP="006F4EE5">
            <w:pPr>
              <w:spacing w:after="0" w:line="360" w:lineRule="auto"/>
              <w:ind w:left="0" w:firstLine="0"/>
              <w:rPr>
                <w:color w:val="auto"/>
                <w:szCs w:val="24"/>
              </w:rPr>
            </w:pPr>
            <w:r w:rsidRPr="006F4EE5">
              <w:rPr>
                <w:color w:val="auto"/>
                <w:szCs w:val="24"/>
              </w:rPr>
              <w:t xml:space="preserve">Creating nanoscale hole, line and lamellar structures by microphase separation of two immiscible polymers  </w:t>
            </w:r>
          </w:p>
        </w:tc>
        <w:tc>
          <w:tcPr>
            <w:tcW w:w="2950" w:type="dxa"/>
          </w:tcPr>
          <w:p w:rsidR="002E4309" w:rsidRPr="006F4EE5" w:rsidRDefault="00710EE9" w:rsidP="006F4EE5">
            <w:pPr>
              <w:spacing w:after="0" w:line="360" w:lineRule="auto"/>
              <w:ind w:left="0" w:firstLine="0"/>
              <w:rPr>
                <w:color w:val="auto"/>
                <w:szCs w:val="24"/>
              </w:rPr>
            </w:pPr>
            <w:r w:rsidRPr="006F4EE5">
              <w:rPr>
                <w:color w:val="auto"/>
                <w:szCs w:val="24"/>
              </w:rPr>
              <w:t xml:space="preserve">Block copolymer </w:t>
            </w:r>
            <w:r w:rsidR="00503C1B" w:rsidRPr="00503C1B">
              <w:rPr>
                <w:i/>
                <w:color w:val="auto"/>
                <w:szCs w:val="24"/>
              </w:rPr>
              <w:t>e.g.</w:t>
            </w:r>
            <w:r w:rsidR="00503C1B" w:rsidRPr="00503C1B">
              <w:rPr>
                <w:rFonts w:eastAsiaTheme="minorEastAsia" w:hint="eastAsia"/>
                <w:i/>
                <w:color w:val="auto"/>
                <w:szCs w:val="24"/>
                <w:lang w:eastAsia="zh-CN"/>
              </w:rPr>
              <w:t>,</w:t>
            </w:r>
            <w:r w:rsidRPr="006F4EE5">
              <w:rPr>
                <w:color w:val="auto"/>
                <w:szCs w:val="24"/>
              </w:rPr>
              <w:t xml:space="preserve"> polystyrene-block-</w:t>
            </w:r>
          </w:p>
          <w:p w:rsidR="002E4309" w:rsidRPr="006F4EE5" w:rsidRDefault="00710EE9" w:rsidP="00524CD0">
            <w:pPr>
              <w:spacing w:after="0" w:line="360" w:lineRule="auto"/>
              <w:ind w:left="0" w:firstLine="0"/>
              <w:rPr>
                <w:color w:val="auto"/>
                <w:szCs w:val="24"/>
              </w:rPr>
            </w:pPr>
            <w:r w:rsidRPr="006F4EE5">
              <w:rPr>
                <w:color w:val="auto"/>
                <w:szCs w:val="24"/>
              </w:rPr>
              <w:t xml:space="preserve">poly(methyl methacrylate), styrenebutadiene-styrene </w:t>
            </w:r>
          </w:p>
        </w:tc>
      </w:tr>
      <w:tr w:rsidR="00931667" w:rsidRPr="006F4EE5" w:rsidTr="00524CD0">
        <w:trPr>
          <w:trHeight w:val="1054"/>
        </w:trPr>
        <w:tc>
          <w:tcPr>
            <w:tcW w:w="1471" w:type="dxa"/>
            <w:vMerge w:val="restart"/>
          </w:tcPr>
          <w:p w:rsidR="002E4309" w:rsidRPr="006F4EE5" w:rsidRDefault="00710EE9" w:rsidP="006F4EE5">
            <w:pPr>
              <w:spacing w:after="0" w:line="360" w:lineRule="auto"/>
              <w:ind w:left="0" w:firstLine="0"/>
              <w:rPr>
                <w:color w:val="auto"/>
                <w:szCs w:val="24"/>
              </w:rPr>
            </w:pPr>
            <w:r w:rsidRPr="006F4EE5">
              <w:rPr>
                <w:b/>
                <w:color w:val="auto"/>
                <w:szCs w:val="24"/>
              </w:rPr>
              <w:t xml:space="preserve">Optical </w:t>
            </w:r>
          </w:p>
        </w:tc>
        <w:tc>
          <w:tcPr>
            <w:tcW w:w="1940" w:type="dxa"/>
          </w:tcPr>
          <w:p w:rsidR="002E4309" w:rsidRPr="006F4EE5" w:rsidRDefault="00710EE9" w:rsidP="006F4EE5">
            <w:pPr>
              <w:spacing w:after="0" w:line="360" w:lineRule="auto"/>
              <w:ind w:left="0" w:firstLine="0"/>
              <w:rPr>
                <w:color w:val="auto"/>
                <w:szCs w:val="24"/>
              </w:rPr>
            </w:pPr>
            <w:r w:rsidRPr="006F4EE5">
              <w:rPr>
                <w:color w:val="auto"/>
                <w:szCs w:val="24"/>
              </w:rPr>
              <w:t xml:space="preserve">Photolithography </w:t>
            </w:r>
          </w:p>
        </w:tc>
        <w:tc>
          <w:tcPr>
            <w:tcW w:w="6846" w:type="dxa"/>
          </w:tcPr>
          <w:p w:rsidR="002E4309" w:rsidRPr="006F4EE5" w:rsidRDefault="00710EE9" w:rsidP="006F4EE5">
            <w:pPr>
              <w:spacing w:after="0" w:line="360" w:lineRule="auto"/>
              <w:ind w:left="0" w:firstLine="0"/>
              <w:rPr>
                <w:color w:val="auto"/>
                <w:szCs w:val="24"/>
              </w:rPr>
            </w:pPr>
            <w:r w:rsidRPr="006F4EE5">
              <w:rPr>
                <w:color w:val="auto"/>
                <w:szCs w:val="24"/>
              </w:rPr>
              <w:t>Depending on mask design and selective UV exposure</w:t>
            </w:r>
            <w:r w:rsidR="00B17EC0" w:rsidRPr="006F4EE5">
              <w:rPr>
                <w:color w:val="auto"/>
                <w:szCs w:val="24"/>
              </w:rPr>
              <w:t>,</w:t>
            </w:r>
            <w:r w:rsidRPr="006F4EE5">
              <w:rPr>
                <w:color w:val="auto"/>
                <w:szCs w:val="24"/>
              </w:rPr>
              <w:t xml:space="preserve"> solubility is changed </w:t>
            </w:r>
          </w:p>
        </w:tc>
        <w:tc>
          <w:tcPr>
            <w:tcW w:w="2950" w:type="dxa"/>
          </w:tcPr>
          <w:p w:rsidR="002E4309" w:rsidRPr="006F4EE5" w:rsidRDefault="00710EE9" w:rsidP="00524CD0">
            <w:pPr>
              <w:spacing w:after="0" w:line="360" w:lineRule="auto"/>
              <w:ind w:left="0" w:firstLine="0"/>
              <w:rPr>
                <w:color w:val="auto"/>
                <w:szCs w:val="24"/>
              </w:rPr>
            </w:pPr>
            <w:r w:rsidRPr="006F4EE5">
              <w:rPr>
                <w:color w:val="auto"/>
                <w:szCs w:val="24"/>
              </w:rPr>
              <w:t xml:space="preserve">Photo curable polymers </w:t>
            </w:r>
            <w:r w:rsidR="00503C1B" w:rsidRPr="00503C1B">
              <w:rPr>
                <w:i/>
                <w:color w:val="auto"/>
                <w:szCs w:val="24"/>
              </w:rPr>
              <w:t>e.g.</w:t>
            </w:r>
            <w:r w:rsidR="00503C1B" w:rsidRPr="00503C1B">
              <w:rPr>
                <w:rFonts w:eastAsiaTheme="minorEastAsia" w:hint="eastAsia"/>
                <w:i/>
                <w:color w:val="auto"/>
                <w:szCs w:val="24"/>
                <w:lang w:eastAsia="zh-CN"/>
              </w:rPr>
              <w:t>,</w:t>
            </w:r>
            <w:r w:rsidRPr="006F4EE5">
              <w:rPr>
                <w:color w:val="auto"/>
                <w:szCs w:val="24"/>
              </w:rPr>
              <w:t xml:space="preserve"> photoresist, polyurethane-based </w:t>
            </w:r>
          </w:p>
        </w:tc>
      </w:tr>
      <w:tr w:rsidR="00931667" w:rsidRPr="006F4EE5" w:rsidTr="00524CD0">
        <w:trPr>
          <w:trHeight w:val="1106"/>
        </w:trPr>
        <w:tc>
          <w:tcPr>
            <w:tcW w:w="0" w:type="auto"/>
            <w:vMerge/>
          </w:tcPr>
          <w:p w:rsidR="002E4309" w:rsidRPr="006F4EE5" w:rsidRDefault="002E4309" w:rsidP="006F4EE5">
            <w:pPr>
              <w:spacing w:after="0" w:line="360" w:lineRule="auto"/>
              <w:ind w:left="0" w:firstLine="0"/>
              <w:rPr>
                <w:color w:val="auto"/>
                <w:szCs w:val="24"/>
              </w:rPr>
            </w:pPr>
          </w:p>
        </w:tc>
        <w:tc>
          <w:tcPr>
            <w:tcW w:w="1940" w:type="dxa"/>
          </w:tcPr>
          <w:p w:rsidR="002E4309" w:rsidRPr="006F4EE5" w:rsidRDefault="00710EE9" w:rsidP="006F4EE5">
            <w:pPr>
              <w:spacing w:after="0" w:line="360" w:lineRule="auto"/>
              <w:ind w:left="0" w:firstLine="0"/>
              <w:rPr>
                <w:color w:val="auto"/>
                <w:szCs w:val="24"/>
              </w:rPr>
            </w:pPr>
            <w:r w:rsidRPr="006F4EE5">
              <w:rPr>
                <w:color w:val="auto"/>
                <w:szCs w:val="24"/>
              </w:rPr>
              <w:t xml:space="preserve">E-beam lithography </w:t>
            </w:r>
          </w:p>
        </w:tc>
        <w:tc>
          <w:tcPr>
            <w:tcW w:w="6846" w:type="dxa"/>
          </w:tcPr>
          <w:p w:rsidR="002E4309" w:rsidRPr="006F4EE5" w:rsidRDefault="00710EE9" w:rsidP="006F4EE5">
            <w:pPr>
              <w:spacing w:after="0" w:line="360" w:lineRule="auto"/>
              <w:ind w:left="0" w:firstLine="0"/>
              <w:rPr>
                <w:color w:val="auto"/>
                <w:szCs w:val="24"/>
              </w:rPr>
            </w:pPr>
            <w:r w:rsidRPr="006F4EE5">
              <w:rPr>
                <w:color w:val="auto"/>
                <w:szCs w:val="24"/>
              </w:rPr>
              <w:t xml:space="preserve">Formation of arbitrary patterns using different electron beam pathways and selective irradiation of focused electron beams to change solubility </w:t>
            </w:r>
          </w:p>
        </w:tc>
        <w:tc>
          <w:tcPr>
            <w:tcW w:w="2950" w:type="dxa"/>
          </w:tcPr>
          <w:p w:rsidR="002E4309" w:rsidRPr="006F4EE5" w:rsidRDefault="00710EE9" w:rsidP="006F4EE5">
            <w:pPr>
              <w:spacing w:after="0" w:line="360" w:lineRule="auto"/>
              <w:ind w:left="0" w:firstLine="0"/>
              <w:rPr>
                <w:color w:val="auto"/>
                <w:szCs w:val="24"/>
              </w:rPr>
            </w:pPr>
            <w:r w:rsidRPr="006F4EE5">
              <w:rPr>
                <w:color w:val="auto"/>
                <w:szCs w:val="24"/>
              </w:rPr>
              <w:t xml:space="preserve">E-beam sensitive polymers </w:t>
            </w:r>
            <w:r w:rsidR="00503C1B" w:rsidRPr="00503C1B">
              <w:rPr>
                <w:i/>
                <w:color w:val="auto"/>
                <w:szCs w:val="24"/>
              </w:rPr>
              <w:t>e.g.</w:t>
            </w:r>
            <w:r w:rsidR="00503C1B" w:rsidRPr="00503C1B">
              <w:rPr>
                <w:rFonts w:eastAsiaTheme="minorEastAsia" w:hint="eastAsia"/>
                <w:i/>
                <w:color w:val="auto"/>
                <w:szCs w:val="24"/>
                <w:lang w:eastAsia="zh-CN"/>
              </w:rPr>
              <w:t>,</w:t>
            </w:r>
            <w:r w:rsidRPr="006F4EE5">
              <w:rPr>
                <w:color w:val="auto"/>
                <w:szCs w:val="24"/>
              </w:rPr>
              <w:t xml:space="preserve"> polymethyl methacrylate </w:t>
            </w:r>
          </w:p>
        </w:tc>
      </w:tr>
    </w:tbl>
    <w:p w:rsidR="002E4309" w:rsidRPr="006F4EE5" w:rsidRDefault="002E4309" w:rsidP="006F4EE5">
      <w:pPr>
        <w:spacing w:after="0" w:line="360" w:lineRule="auto"/>
        <w:ind w:left="0" w:firstLine="0"/>
        <w:rPr>
          <w:color w:val="auto"/>
          <w:szCs w:val="24"/>
        </w:rPr>
      </w:pPr>
    </w:p>
    <w:tbl>
      <w:tblPr>
        <w:tblStyle w:val="TableGrid"/>
        <w:tblW w:w="13207" w:type="dxa"/>
        <w:tblInd w:w="377" w:type="dxa"/>
        <w:tblCellMar>
          <w:top w:w="48" w:type="dxa"/>
          <w:left w:w="106" w:type="dxa"/>
          <w:right w:w="70" w:type="dxa"/>
        </w:tblCellMar>
        <w:tblLook w:val="04A0" w:firstRow="1" w:lastRow="0" w:firstColumn="1" w:lastColumn="0" w:noHBand="0" w:noVBand="1"/>
      </w:tblPr>
      <w:tblGrid>
        <w:gridCol w:w="1471"/>
        <w:gridCol w:w="1940"/>
        <w:gridCol w:w="6846"/>
        <w:gridCol w:w="2950"/>
      </w:tblGrid>
      <w:tr w:rsidR="00931667" w:rsidRPr="006F4EE5">
        <w:trPr>
          <w:trHeight w:val="1104"/>
        </w:trPr>
        <w:tc>
          <w:tcPr>
            <w:tcW w:w="1471" w:type="dxa"/>
            <w:tcBorders>
              <w:top w:val="single" w:sz="4" w:space="0" w:color="000000"/>
              <w:left w:val="single" w:sz="4" w:space="0" w:color="000000"/>
              <w:bottom w:val="single" w:sz="4" w:space="0" w:color="000000"/>
              <w:right w:val="single" w:sz="4" w:space="0" w:color="000000"/>
            </w:tcBorders>
          </w:tcPr>
          <w:p w:rsidR="002E4309" w:rsidRPr="006F4EE5" w:rsidRDefault="002E4309" w:rsidP="006F4EE5">
            <w:pPr>
              <w:spacing w:after="0" w:line="360" w:lineRule="auto"/>
              <w:ind w:left="0" w:firstLine="0"/>
              <w:rPr>
                <w:color w:val="auto"/>
                <w:szCs w:val="24"/>
              </w:rPr>
            </w:pPr>
          </w:p>
        </w:tc>
        <w:tc>
          <w:tcPr>
            <w:tcW w:w="1940" w:type="dxa"/>
            <w:tcBorders>
              <w:top w:val="single" w:sz="4" w:space="0" w:color="000000"/>
              <w:left w:val="single" w:sz="4" w:space="0" w:color="000000"/>
              <w:bottom w:val="single" w:sz="4" w:space="0" w:color="000000"/>
              <w:right w:val="single" w:sz="4" w:space="0" w:color="000000"/>
            </w:tcBorders>
          </w:tcPr>
          <w:p w:rsidR="002E4309" w:rsidRPr="006F4EE5" w:rsidRDefault="00710EE9" w:rsidP="006F4EE5">
            <w:pPr>
              <w:spacing w:after="0" w:line="360" w:lineRule="auto"/>
              <w:ind w:left="0" w:firstLine="0"/>
              <w:rPr>
                <w:color w:val="auto"/>
                <w:szCs w:val="24"/>
              </w:rPr>
            </w:pPr>
            <w:r w:rsidRPr="006F4EE5">
              <w:rPr>
                <w:color w:val="auto"/>
                <w:szCs w:val="24"/>
              </w:rPr>
              <w:t xml:space="preserve">Direct laser writing </w:t>
            </w:r>
          </w:p>
        </w:tc>
        <w:tc>
          <w:tcPr>
            <w:tcW w:w="6846" w:type="dxa"/>
            <w:tcBorders>
              <w:top w:val="single" w:sz="4" w:space="0" w:color="000000"/>
              <w:left w:val="single" w:sz="4" w:space="0" w:color="000000"/>
              <w:bottom w:val="single" w:sz="4" w:space="0" w:color="000000"/>
              <w:right w:val="single" w:sz="4" w:space="0" w:color="000000"/>
            </w:tcBorders>
          </w:tcPr>
          <w:p w:rsidR="002E4309" w:rsidRPr="006F4EE5" w:rsidRDefault="00710EE9" w:rsidP="006F4EE5">
            <w:pPr>
              <w:spacing w:after="0" w:line="360" w:lineRule="auto"/>
              <w:ind w:left="0" w:firstLine="0"/>
              <w:rPr>
                <w:color w:val="auto"/>
                <w:szCs w:val="24"/>
              </w:rPr>
            </w:pPr>
            <w:r w:rsidRPr="006F4EE5">
              <w:rPr>
                <w:color w:val="auto"/>
                <w:szCs w:val="24"/>
              </w:rPr>
              <w:t xml:space="preserve">Formation of arbitrary patterns by selective cross-linking of </w:t>
            </w:r>
            <w:r w:rsidR="00B17EC0" w:rsidRPr="006F4EE5">
              <w:rPr>
                <w:color w:val="auto"/>
                <w:szCs w:val="24"/>
              </w:rPr>
              <w:t xml:space="preserve">the </w:t>
            </w:r>
            <w:r w:rsidRPr="006F4EE5">
              <w:rPr>
                <w:color w:val="auto"/>
                <w:szCs w:val="24"/>
              </w:rPr>
              <w:t xml:space="preserve">polymer by laser irradiation </w:t>
            </w:r>
          </w:p>
        </w:tc>
        <w:tc>
          <w:tcPr>
            <w:tcW w:w="2950" w:type="dxa"/>
            <w:tcBorders>
              <w:top w:val="single" w:sz="4" w:space="0" w:color="000000"/>
              <w:left w:val="single" w:sz="4" w:space="0" w:color="000000"/>
              <w:bottom w:val="single" w:sz="4" w:space="0" w:color="000000"/>
              <w:right w:val="single" w:sz="4" w:space="0" w:color="000000"/>
            </w:tcBorders>
          </w:tcPr>
          <w:p w:rsidR="002E4309" w:rsidRPr="006F4EE5" w:rsidRDefault="00710EE9" w:rsidP="006F4EE5">
            <w:pPr>
              <w:spacing w:after="0" w:line="360" w:lineRule="auto"/>
              <w:ind w:left="0" w:firstLine="0"/>
              <w:rPr>
                <w:color w:val="auto"/>
                <w:szCs w:val="24"/>
              </w:rPr>
            </w:pPr>
            <w:r w:rsidRPr="006F4EE5">
              <w:rPr>
                <w:color w:val="auto"/>
                <w:szCs w:val="24"/>
              </w:rPr>
              <w:t xml:space="preserve">Photo-curable polymers  </w:t>
            </w:r>
          </w:p>
        </w:tc>
      </w:tr>
      <w:tr w:rsidR="00931667" w:rsidRPr="006F4EE5">
        <w:trPr>
          <w:trHeight w:val="761"/>
        </w:trPr>
        <w:tc>
          <w:tcPr>
            <w:tcW w:w="1471" w:type="dxa"/>
            <w:vMerge w:val="restart"/>
            <w:tcBorders>
              <w:top w:val="single" w:sz="4" w:space="0" w:color="000000"/>
              <w:left w:val="single" w:sz="4" w:space="0" w:color="000000"/>
              <w:bottom w:val="single" w:sz="4" w:space="0" w:color="000000"/>
              <w:right w:val="single" w:sz="4" w:space="0" w:color="000000"/>
            </w:tcBorders>
          </w:tcPr>
          <w:p w:rsidR="002E4309" w:rsidRPr="006F4EE5" w:rsidRDefault="00710EE9" w:rsidP="006F4EE5">
            <w:pPr>
              <w:spacing w:after="0" w:line="360" w:lineRule="auto"/>
              <w:ind w:left="0" w:firstLine="0"/>
              <w:rPr>
                <w:color w:val="auto"/>
                <w:szCs w:val="24"/>
              </w:rPr>
            </w:pPr>
            <w:r w:rsidRPr="006F4EE5">
              <w:rPr>
                <w:b/>
                <w:color w:val="auto"/>
                <w:szCs w:val="24"/>
              </w:rPr>
              <w:t xml:space="preserve">Chemical </w:t>
            </w:r>
          </w:p>
        </w:tc>
        <w:tc>
          <w:tcPr>
            <w:tcW w:w="1940" w:type="dxa"/>
            <w:tcBorders>
              <w:top w:val="single" w:sz="4" w:space="0" w:color="000000"/>
              <w:left w:val="single" w:sz="4" w:space="0" w:color="000000"/>
              <w:bottom w:val="single" w:sz="4" w:space="0" w:color="000000"/>
              <w:right w:val="single" w:sz="4" w:space="0" w:color="000000"/>
            </w:tcBorders>
          </w:tcPr>
          <w:p w:rsidR="002E4309" w:rsidRPr="006F4EE5" w:rsidRDefault="00710EE9" w:rsidP="006F4EE5">
            <w:pPr>
              <w:spacing w:after="0" w:line="360" w:lineRule="auto"/>
              <w:ind w:left="0" w:firstLine="0"/>
              <w:rPr>
                <w:color w:val="auto"/>
                <w:szCs w:val="24"/>
              </w:rPr>
            </w:pPr>
            <w:r w:rsidRPr="006F4EE5">
              <w:rPr>
                <w:color w:val="auto"/>
                <w:szCs w:val="24"/>
              </w:rPr>
              <w:t xml:space="preserve">Microcontact printing </w:t>
            </w:r>
          </w:p>
        </w:tc>
        <w:tc>
          <w:tcPr>
            <w:tcW w:w="6846" w:type="dxa"/>
            <w:tcBorders>
              <w:top w:val="single" w:sz="4" w:space="0" w:color="000000"/>
              <w:left w:val="single" w:sz="4" w:space="0" w:color="000000"/>
              <w:bottom w:val="single" w:sz="4" w:space="0" w:color="000000"/>
              <w:right w:val="single" w:sz="4" w:space="0" w:color="000000"/>
            </w:tcBorders>
          </w:tcPr>
          <w:p w:rsidR="002E4309" w:rsidRPr="006F4EE5" w:rsidRDefault="00710EE9" w:rsidP="006F4EE5">
            <w:pPr>
              <w:spacing w:after="0" w:line="360" w:lineRule="auto"/>
              <w:ind w:left="0" w:firstLine="0"/>
              <w:rPr>
                <w:color w:val="auto"/>
                <w:szCs w:val="24"/>
              </w:rPr>
            </w:pPr>
            <w:r w:rsidRPr="006F4EE5">
              <w:rPr>
                <w:color w:val="auto"/>
                <w:szCs w:val="24"/>
              </w:rPr>
              <w:t xml:space="preserve">Creating extruded patterns of elastomeric stamp using relative surface energy difference needed for transferring materials </w:t>
            </w:r>
          </w:p>
        </w:tc>
        <w:tc>
          <w:tcPr>
            <w:tcW w:w="2950" w:type="dxa"/>
            <w:tcBorders>
              <w:top w:val="single" w:sz="4" w:space="0" w:color="000000"/>
              <w:left w:val="single" w:sz="4" w:space="0" w:color="000000"/>
              <w:bottom w:val="single" w:sz="4" w:space="0" w:color="000000"/>
              <w:right w:val="single" w:sz="4" w:space="0" w:color="000000"/>
            </w:tcBorders>
          </w:tcPr>
          <w:p w:rsidR="002E4309" w:rsidRPr="006F4EE5" w:rsidRDefault="00710EE9" w:rsidP="00524CD0">
            <w:pPr>
              <w:spacing w:after="0" w:line="360" w:lineRule="auto"/>
              <w:ind w:left="0" w:firstLine="0"/>
              <w:rPr>
                <w:color w:val="auto"/>
                <w:szCs w:val="24"/>
              </w:rPr>
            </w:pPr>
            <w:r w:rsidRPr="006F4EE5">
              <w:rPr>
                <w:color w:val="auto"/>
                <w:szCs w:val="24"/>
              </w:rPr>
              <w:t xml:space="preserve">Proteins and self-assembled monolayers </w:t>
            </w:r>
          </w:p>
        </w:tc>
      </w:tr>
      <w:tr w:rsidR="00931667" w:rsidRPr="006F4EE5">
        <w:trPr>
          <w:trHeight w:val="761"/>
        </w:trPr>
        <w:tc>
          <w:tcPr>
            <w:tcW w:w="0" w:type="auto"/>
            <w:vMerge/>
            <w:tcBorders>
              <w:top w:val="nil"/>
              <w:left w:val="single" w:sz="4" w:space="0" w:color="000000"/>
              <w:bottom w:val="nil"/>
              <w:right w:val="single" w:sz="4" w:space="0" w:color="000000"/>
            </w:tcBorders>
          </w:tcPr>
          <w:p w:rsidR="002E4309" w:rsidRPr="006F4EE5" w:rsidRDefault="002E4309" w:rsidP="006F4EE5">
            <w:pPr>
              <w:spacing w:after="0" w:line="360" w:lineRule="auto"/>
              <w:ind w:left="0" w:firstLine="0"/>
              <w:rPr>
                <w:color w:val="auto"/>
                <w:szCs w:val="24"/>
              </w:rPr>
            </w:pPr>
          </w:p>
        </w:tc>
        <w:tc>
          <w:tcPr>
            <w:tcW w:w="1940" w:type="dxa"/>
            <w:tcBorders>
              <w:top w:val="single" w:sz="4" w:space="0" w:color="000000"/>
              <w:left w:val="single" w:sz="4" w:space="0" w:color="000000"/>
              <w:bottom w:val="single" w:sz="4" w:space="0" w:color="000000"/>
              <w:right w:val="single" w:sz="4" w:space="0" w:color="000000"/>
            </w:tcBorders>
          </w:tcPr>
          <w:p w:rsidR="002E4309" w:rsidRPr="006F4EE5" w:rsidRDefault="00710EE9" w:rsidP="006F4EE5">
            <w:pPr>
              <w:spacing w:after="0" w:line="360" w:lineRule="auto"/>
              <w:ind w:left="0" w:firstLine="0"/>
              <w:rPr>
                <w:color w:val="auto"/>
                <w:szCs w:val="24"/>
              </w:rPr>
            </w:pPr>
            <w:r w:rsidRPr="006F4EE5">
              <w:rPr>
                <w:color w:val="auto"/>
                <w:szCs w:val="24"/>
              </w:rPr>
              <w:t xml:space="preserve">Dip-pen lithography </w:t>
            </w:r>
          </w:p>
        </w:tc>
        <w:tc>
          <w:tcPr>
            <w:tcW w:w="6846" w:type="dxa"/>
            <w:tcBorders>
              <w:top w:val="single" w:sz="4" w:space="0" w:color="000000"/>
              <w:left w:val="single" w:sz="4" w:space="0" w:color="000000"/>
              <w:bottom w:val="single" w:sz="4" w:space="0" w:color="000000"/>
              <w:right w:val="single" w:sz="4" w:space="0" w:color="000000"/>
            </w:tcBorders>
          </w:tcPr>
          <w:p w:rsidR="002E4309" w:rsidRPr="006F4EE5" w:rsidRDefault="00710EE9" w:rsidP="006F4EE5">
            <w:pPr>
              <w:spacing w:after="0" w:line="360" w:lineRule="auto"/>
              <w:ind w:left="0" w:firstLine="0"/>
              <w:rPr>
                <w:color w:val="auto"/>
                <w:szCs w:val="24"/>
              </w:rPr>
            </w:pPr>
            <w:r w:rsidRPr="006F4EE5">
              <w:rPr>
                <w:color w:val="auto"/>
                <w:szCs w:val="24"/>
              </w:rPr>
              <w:t xml:space="preserve">Formation of arbitrary patterns by direct writing of molecules with </w:t>
            </w:r>
            <w:r w:rsidR="00B17EC0" w:rsidRPr="006F4EE5">
              <w:rPr>
                <w:color w:val="auto"/>
                <w:szCs w:val="24"/>
              </w:rPr>
              <w:t xml:space="preserve">a </w:t>
            </w:r>
            <w:r w:rsidRPr="006F4EE5">
              <w:rPr>
                <w:color w:val="auto"/>
                <w:szCs w:val="24"/>
              </w:rPr>
              <w:t xml:space="preserve">sharp tip  </w:t>
            </w:r>
          </w:p>
        </w:tc>
        <w:tc>
          <w:tcPr>
            <w:tcW w:w="2950" w:type="dxa"/>
            <w:tcBorders>
              <w:top w:val="single" w:sz="4" w:space="0" w:color="000000"/>
              <w:left w:val="single" w:sz="4" w:space="0" w:color="000000"/>
              <w:bottom w:val="single" w:sz="4" w:space="0" w:color="000000"/>
              <w:right w:val="single" w:sz="4" w:space="0" w:color="000000"/>
            </w:tcBorders>
          </w:tcPr>
          <w:p w:rsidR="002E4309" w:rsidRPr="006F4EE5" w:rsidRDefault="00524CD0" w:rsidP="006F4EE5">
            <w:pPr>
              <w:spacing w:after="0" w:line="360" w:lineRule="auto"/>
              <w:ind w:left="0" w:firstLine="0"/>
              <w:rPr>
                <w:color w:val="auto"/>
                <w:szCs w:val="24"/>
              </w:rPr>
            </w:pPr>
            <w:r w:rsidRPr="006F4EE5">
              <w:rPr>
                <w:color w:val="auto"/>
                <w:szCs w:val="24"/>
              </w:rPr>
              <w:t>Self-assembled monolayers</w:t>
            </w:r>
          </w:p>
        </w:tc>
      </w:tr>
      <w:tr w:rsidR="00931667" w:rsidRPr="006F4EE5">
        <w:trPr>
          <w:trHeight w:val="1054"/>
        </w:trPr>
        <w:tc>
          <w:tcPr>
            <w:tcW w:w="0" w:type="auto"/>
            <w:vMerge/>
            <w:tcBorders>
              <w:top w:val="nil"/>
              <w:left w:val="single" w:sz="4" w:space="0" w:color="000000"/>
              <w:bottom w:val="single" w:sz="4" w:space="0" w:color="000000"/>
              <w:right w:val="single" w:sz="4" w:space="0" w:color="000000"/>
            </w:tcBorders>
          </w:tcPr>
          <w:p w:rsidR="002E4309" w:rsidRPr="006F4EE5" w:rsidRDefault="002E4309" w:rsidP="006F4EE5">
            <w:pPr>
              <w:spacing w:after="0" w:line="360" w:lineRule="auto"/>
              <w:ind w:left="0" w:firstLine="0"/>
              <w:rPr>
                <w:color w:val="auto"/>
                <w:szCs w:val="24"/>
              </w:rPr>
            </w:pPr>
          </w:p>
        </w:tc>
        <w:tc>
          <w:tcPr>
            <w:tcW w:w="1940" w:type="dxa"/>
            <w:tcBorders>
              <w:top w:val="single" w:sz="4" w:space="0" w:color="000000"/>
              <w:left w:val="single" w:sz="4" w:space="0" w:color="000000"/>
              <w:bottom w:val="single" w:sz="4" w:space="0" w:color="000000"/>
              <w:right w:val="single" w:sz="4" w:space="0" w:color="000000"/>
            </w:tcBorders>
          </w:tcPr>
          <w:p w:rsidR="002E4309" w:rsidRPr="006F4EE5" w:rsidRDefault="00710EE9" w:rsidP="006F4EE5">
            <w:pPr>
              <w:spacing w:after="0" w:line="360" w:lineRule="auto"/>
              <w:ind w:left="0" w:firstLine="0"/>
              <w:rPr>
                <w:color w:val="auto"/>
                <w:szCs w:val="24"/>
              </w:rPr>
            </w:pPr>
            <w:r w:rsidRPr="006F4EE5">
              <w:rPr>
                <w:color w:val="auto"/>
                <w:szCs w:val="24"/>
              </w:rPr>
              <w:t xml:space="preserve">Salt leaching/gas foaming </w:t>
            </w:r>
          </w:p>
        </w:tc>
        <w:tc>
          <w:tcPr>
            <w:tcW w:w="6846" w:type="dxa"/>
            <w:tcBorders>
              <w:top w:val="single" w:sz="4" w:space="0" w:color="000000"/>
              <w:left w:val="single" w:sz="4" w:space="0" w:color="000000"/>
              <w:bottom w:val="single" w:sz="4" w:space="0" w:color="000000"/>
              <w:right w:val="single" w:sz="4" w:space="0" w:color="000000"/>
            </w:tcBorders>
          </w:tcPr>
          <w:p w:rsidR="002E4309" w:rsidRPr="006F4EE5" w:rsidRDefault="00710EE9" w:rsidP="006F4EE5">
            <w:pPr>
              <w:spacing w:after="0" w:line="360" w:lineRule="auto"/>
              <w:ind w:left="0" w:firstLine="0"/>
              <w:rPr>
                <w:color w:val="auto"/>
                <w:szCs w:val="24"/>
              </w:rPr>
            </w:pPr>
            <w:r w:rsidRPr="006F4EE5">
              <w:rPr>
                <w:color w:val="auto"/>
                <w:szCs w:val="24"/>
              </w:rPr>
              <w:t xml:space="preserve">Formation of a block of polymer with voids by dissolution of salt particles (salt leaching) and/or bubble formation in </w:t>
            </w:r>
            <w:r w:rsidR="00B17EC0" w:rsidRPr="006F4EE5">
              <w:rPr>
                <w:color w:val="auto"/>
                <w:szCs w:val="24"/>
              </w:rPr>
              <w:t xml:space="preserve">the </w:t>
            </w:r>
            <w:r w:rsidRPr="006F4EE5">
              <w:rPr>
                <w:color w:val="auto"/>
                <w:szCs w:val="24"/>
              </w:rPr>
              <w:t xml:space="preserve">polymer block (gas foaming) </w:t>
            </w:r>
          </w:p>
        </w:tc>
        <w:tc>
          <w:tcPr>
            <w:tcW w:w="2950" w:type="dxa"/>
            <w:tcBorders>
              <w:top w:val="single" w:sz="4" w:space="0" w:color="000000"/>
              <w:left w:val="single" w:sz="4" w:space="0" w:color="000000"/>
              <w:bottom w:val="single" w:sz="4" w:space="0" w:color="000000"/>
              <w:right w:val="single" w:sz="4" w:space="0" w:color="000000"/>
            </w:tcBorders>
          </w:tcPr>
          <w:p w:rsidR="002E4309" w:rsidRPr="006F4EE5" w:rsidRDefault="00710EE9" w:rsidP="006F4EE5">
            <w:pPr>
              <w:spacing w:after="0" w:line="360" w:lineRule="auto"/>
              <w:ind w:left="0" w:firstLine="0"/>
              <w:rPr>
                <w:color w:val="auto"/>
                <w:szCs w:val="24"/>
              </w:rPr>
            </w:pPr>
            <w:r w:rsidRPr="006F4EE5">
              <w:rPr>
                <w:color w:val="auto"/>
                <w:szCs w:val="24"/>
              </w:rPr>
              <w:t xml:space="preserve">Solvent soluble polymers </w:t>
            </w:r>
            <w:r w:rsidR="00503C1B" w:rsidRPr="00503C1B">
              <w:rPr>
                <w:i/>
                <w:color w:val="auto"/>
                <w:szCs w:val="24"/>
              </w:rPr>
              <w:t>e.g.</w:t>
            </w:r>
            <w:r w:rsidR="00503C1B" w:rsidRPr="00503C1B">
              <w:rPr>
                <w:rFonts w:eastAsiaTheme="minorEastAsia" w:hint="eastAsia"/>
                <w:i/>
                <w:color w:val="auto"/>
                <w:szCs w:val="24"/>
                <w:lang w:eastAsia="zh-CN"/>
              </w:rPr>
              <w:t>,</w:t>
            </w:r>
            <w:r w:rsidRPr="006F4EE5">
              <w:rPr>
                <w:color w:val="auto"/>
                <w:szCs w:val="24"/>
              </w:rPr>
              <w:t xml:space="preserve"> thermoplastic and conductive ones </w:t>
            </w:r>
          </w:p>
        </w:tc>
      </w:tr>
      <w:tr w:rsidR="00931667" w:rsidRPr="006F4EE5">
        <w:trPr>
          <w:trHeight w:val="761"/>
        </w:trPr>
        <w:tc>
          <w:tcPr>
            <w:tcW w:w="1471" w:type="dxa"/>
            <w:vMerge w:val="restart"/>
            <w:tcBorders>
              <w:top w:val="single" w:sz="4" w:space="0" w:color="000000"/>
              <w:left w:val="single" w:sz="4" w:space="0" w:color="000000"/>
              <w:bottom w:val="single" w:sz="4" w:space="0" w:color="000000"/>
              <w:right w:val="single" w:sz="4" w:space="0" w:color="000000"/>
            </w:tcBorders>
          </w:tcPr>
          <w:p w:rsidR="002E4309" w:rsidRPr="006F4EE5" w:rsidRDefault="00710EE9" w:rsidP="006F4EE5">
            <w:pPr>
              <w:spacing w:after="0" w:line="360" w:lineRule="auto"/>
              <w:ind w:left="0" w:firstLine="0"/>
              <w:rPr>
                <w:color w:val="auto"/>
                <w:szCs w:val="24"/>
              </w:rPr>
            </w:pPr>
            <w:r w:rsidRPr="006F4EE5">
              <w:rPr>
                <w:b/>
                <w:color w:val="auto"/>
                <w:szCs w:val="24"/>
              </w:rPr>
              <w:t xml:space="preserve">Electrical </w:t>
            </w:r>
          </w:p>
        </w:tc>
        <w:tc>
          <w:tcPr>
            <w:tcW w:w="1940" w:type="dxa"/>
            <w:tcBorders>
              <w:top w:val="single" w:sz="4" w:space="0" w:color="000000"/>
              <w:left w:val="single" w:sz="4" w:space="0" w:color="000000"/>
              <w:bottom w:val="single" w:sz="4" w:space="0" w:color="000000"/>
              <w:right w:val="single" w:sz="4" w:space="0" w:color="000000"/>
            </w:tcBorders>
          </w:tcPr>
          <w:p w:rsidR="002E4309" w:rsidRPr="006F4EE5" w:rsidRDefault="00710EE9" w:rsidP="006F4EE5">
            <w:pPr>
              <w:spacing w:after="0" w:line="360" w:lineRule="auto"/>
              <w:ind w:left="0" w:firstLine="0"/>
              <w:rPr>
                <w:color w:val="auto"/>
                <w:szCs w:val="24"/>
              </w:rPr>
            </w:pPr>
            <w:r w:rsidRPr="006F4EE5">
              <w:rPr>
                <w:color w:val="auto"/>
                <w:szCs w:val="24"/>
              </w:rPr>
              <w:t xml:space="preserve">Electrochemical deposition </w:t>
            </w:r>
          </w:p>
        </w:tc>
        <w:tc>
          <w:tcPr>
            <w:tcW w:w="6846" w:type="dxa"/>
            <w:tcBorders>
              <w:top w:val="single" w:sz="4" w:space="0" w:color="000000"/>
              <w:left w:val="single" w:sz="4" w:space="0" w:color="000000"/>
              <w:bottom w:val="single" w:sz="4" w:space="0" w:color="000000"/>
              <w:right w:val="single" w:sz="4" w:space="0" w:color="000000"/>
            </w:tcBorders>
          </w:tcPr>
          <w:p w:rsidR="002E4309" w:rsidRPr="006F4EE5" w:rsidRDefault="00710EE9" w:rsidP="006F4EE5">
            <w:pPr>
              <w:spacing w:after="0" w:line="360" w:lineRule="auto"/>
              <w:ind w:left="0" w:firstLine="0"/>
              <w:rPr>
                <w:color w:val="auto"/>
                <w:szCs w:val="24"/>
              </w:rPr>
            </w:pPr>
            <w:r w:rsidRPr="006F4EE5">
              <w:rPr>
                <w:color w:val="auto"/>
                <w:szCs w:val="24"/>
              </w:rPr>
              <w:t xml:space="preserve">Forming negatively shaped molds by electrochemical reduction of the polymer  </w:t>
            </w:r>
          </w:p>
        </w:tc>
        <w:tc>
          <w:tcPr>
            <w:tcW w:w="2950" w:type="dxa"/>
            <w:tcBorders>
              <w:top w:val="single" w:sz="4" w:space="0" w:color="000000"/>
              <w:left w:val="single" w:sz="4" w:space="0" w:color="000000"/>
              <w:bottom w:val="single" w:sz="4" w:space="0" w:color="000000"/>
              <w:right w:val="single" w:sz="4" w:space="0" w:color="000000"/>
            </w:tcBorders>
          </w:tcPr>
          <w:p w:rsidR="002E4309" w:rsidRPr="006F4EE5" w:rsidRDefault="00710EE9" w:rsidP="006F4EE5">
            <w:pPr>
              <w:spacing w:after="0" w:line="360" w:lineRule="auto"/>
              <w:ind w:left="0" w:firstLine="0"/>
              <w:rPr>
                <w:color w:val="auto"/>
                <w:szCs w:val="24"/>
              </w:rPr>
            </w:pPr>
            <w:r w:rsidRPr="006F4EE5">
              <w:rPr>
                <w:color w:val="auto"/>
                <w:szCs w:val="24"/>
              </w:rPr>
              <w:t xml:space="preserve">Conductive Polymers </w:t>
            </w:r>
          </w:p>
        </w:tc>
      </w:tr>
      <w:tr w:rsidR="00931667" w:rsidRPr="006F4EE5">
        <w:trPr>
          <w:trHeight w:val="761"/>
        </w:trPr>
        <w:tc>
          <w:tcPr>
            <w:tcW w:w="0" w:type="auto"/>
            <w:vMerge/>
            <w:tcBorders>
              <w:top w:val="nil"/>
              <w:left w:val="single" w:sz="4" w:space="0" w:color="000000"/>
              <w:bottom w:val="single" w:sz="4" w:space="0" w:color="000000"/>
              <w:right w:val="single" w:sz="4" w:space="0" w:color="000000"/>
            </w:tcBorders>
          </w:tcPr>
          <w:p w:rsidR="002E4309" w:rsidRPr="006F4EE5" w:rsidRDefault="002E4309" w:rsidP="006F4EE5">
            <w:pPr>
              <w:spacing w:after="0" w:line="360" w:lineRule="auto"/>
              <w:ind w:left="0" w:firstLine="0"/>
              <w:rPr>
                <w:color w:val="auto"/>
                <w:szCs w:val="24"/>
              </w:rPr>
            </w:pPr>
          </w:p>
        </w:tc>
        <w:tc>
          <w:tcPr>
            <w:tcW w:w="1940" w:type="dxa"/>
            <w:tcBorders>
              <w:top w:val="single" w:sz="4" w:space="0" w:color="000000"/>
              <w:left w:val="single" w:sz="4" w:space="0" w:color="000000"/>
              <w:bottom w:val="single" w:sz="4" w:space="0" w:color="000000"/>
              <w:right w:val="single" w:sz="4" w:space="0" w:color="000000"/>
            </w:tcBorders>
          </w:tcPr>
          <w:p w:rsidR="002E4309" w:rsidRPr="006F4EE5" w:rsidRDefault="00710EE9" w:rsidP="006F4EE5">
            <w:pPr>
              <w:spacing w:after="0" w:line="360" w:lineRule="auto"/>
              <w:ind w:left="0" w:firstLine="0"/>
              <w:rPr>
                <w:color w:val="auto"/>
                <w:szCs w:val="24"/>
              </w:rPr>
            </w:pPr>
            <w:r w:rsidRPr="006F4EE5">
              <w:rPr>
                <w:color w:val="auto"/>
                <w:szCs w:val="24"/>
              </w:rPr>
              <w:t xml:space="preserve">Electrospinning </w:t>
            </w:r>
          </w:p>
        </w:tc>
        <w:tc>
          <w:tcPr>
            <w:tcW w:w="6846" w:type="dxa"/>
            <w:tcBorders>
              <w:top w:val="single" w:sz="4" w:space="0" w:color="000000"/>
              <w:left w:val="single" w:sz="4" w:space="0" w:color="000000"/>
              <w:bottom w:val="single" w:sz="4" w:space="0" w:color="000000"/>
              <w:right w:val="single" w:sz="4" w:space="0" w:color="000000"/>
            </w:tcBorders>
          </w:tcPr>
          <w:p w:rsidR="002E4309" w:rsidRPr="006F4EE5" w:rsidRDefault="00710EE9" w:rsidP="006F4EE5">
            <w:pPr>
              <w:spacing w:after="0" w:line="360" w:lineRule="auto"/>
              <w:ind w:left="0" w:firstLine="0"/>
              <w:rPr>
                <w:color w:val="auto"/>
                <w:szCs w:val="24"/>
              </w:rPr>
            </w:pPr>
            <w:r w:rsidRPr="006F4EE5">
              <w:rPr>
                <w:color w:val="auto"/>
                <w:szCs w:val="24"/>
              </w:rPr>
              <w:t xml:space="preserve">Drawing a three dimensional nanofibrous mesh from the polymer solution using an electric field </w:t>
            </w:r>
          </w:p>
        </w:tc>
        <w:tc>
          <w:tcPr>
            <w:tcW w:w="2950" w:type="dxa"/>
            <w:tcBorders>
              <w:top w:val="single" w:sz="4" w:space="0" w:color="000000"/>
              <w:left w:val="single" w:sz="4" w:space="0" w:color="000000"/>
              <w:bottom w:val="single" w:sz="4" w:space="0" w:color="000000"/>
              <w:right w:val="single" w:sz="4" w:space="0" w:color="000000"/>
            </w:tcBorders>
          </w:tcPr>
          <w:p w:rsidR="002E4309" w:rsidRPr="006F4EE5" w:rsidRDefault="00710EE9" w:rsidP="006F4EE5">
            <w:pPr>
              <w:spacing w:after="0" w:line="360" w:lineRule="auto"/>
              <w:ind w:left="0" w:firstLine="0"/>
              <w:rPr>
                <w:color w:val="auto"/>
                <w:szCs w:val="24"/>
              </w:rPr>
            </w:pPr>
            <w:r w:rsidRPr="006F4EE5">
              <w:rPr>
                <w:color w:val="auto"/>
                <w:szCs w:val="24"/>
              </w:rPr>
              <w:t xml:space="preserve">Solvent soluble polymers </w:t>
            </w:r>
          </w:p>
        </w:tc>
      </w:tr>
      <w:tr w:rsidR="00931667" w:rsidRPr="006F4EE5">
        <w:trPr>
          <w:trHeight w:val="761"/>
        </w:trPr>
        <w:tc>
          <w:tcPr>
            <w:tcW w:w="1471" w:type="dxa"/>
            <w:vMerge w:val="restart"/>
            <w:tcBorders>
              <w:top w:val="single" w:sz="4" w:space="0" w:color="000000"/>
              <w:left w:val="single" w:sz="4" w:space="0" w:color="000000"/>
              <w:bottom w:val="single" w:sz="4" w:space="0" w:color="000000"/>
              <w:right w:val="single" w:sz="4" w:space="0" w:color="000000"/>
            </w:tcBorders>
          </w:tcPr>
          <w:p w:rsidR="002E4309" w:rsidRPr="006F4EE5" w:rsidRDefault="00710EE9" w:rsidP="006F4EE5">
            <w:pPr>
              <w:spacing w:after="0" w:line="360" w:lineRule="auto"/>
              <w:ind w:left="0" w:firstLine="0"/>
              <w:rPr>
                <w:color w:val="auto"/>
                <w:szCs w:val="24"/>
              </w:rPr>
            </w:pPr>
            <w:r w:rsidRPr="006F4EE5">
              <w:rPr>
                <w:b/>
                <w:color w:val="auto"/>
                <w:szCs w:val="24"/>
              </w:rPr>
              <w:t xml:space="preserve">Physical </w:t>
            </w:r>
          </w:p>
        </w:tc>
        <w:tc>
          <w:tcPr>
            <w:tcW w:w="1940" w:type="dxa"/>
            <w:tcBorders>
              <w:top w:val="single" w:sz="4" w:space="0" w:color="000000"/>
              <w:left w:val="single" w:sz="4" w:space="0" w:color="000000"/>
              <w:bottom w:val="single" w:sz="4" w:space="0" w:color="000000"/>
              <w:right w:val="single" w:sz="4" w:space="0" w:color="000000"/>
            </w:tcBorders>
          </w:tcPr>
          <w:p w:rsidR="002E4309" w:rsidRPr="006F4EE5" w:rsidRDefault="00710EE9" w:rsidP="006F4EE5">
            <w:pPr>
              <w:spacing w:after="0" w:line="360" w:lineRule="auto"/>
              <w:ind w:left="0" w:firstLine="0"/>
              <w:rPr>
                <w:color w:val="auto"/>
                <w:szCs w:val="24"/>
              </w:rPr>
            </w:pPr>
            <w:r w:rsidRPr="006F4EE5">
              <w:rPr>
                <w:color w:val="auto"/>
                <w:szCs w:val="24"/>
              </w:rPr>
              <w:t xml:space="preserve">Capillary force lithography </w:t>
            </w:r>
          </w:p>
        </w:tc>
        <w:tc>
          <w:tcPr>
            <w:tcW w:w="6846" w:type="dxa"/>
            <w:tcBorders>
              <w:top w:val="single" w:sz="4" w:space="0" w:color="000000"/>
              <w:left w:val="single" w:sz="4" w:space="0" w:color="000000"/>
              <w:bottom w:val="single" w:sz="4" w:space="0" w:color="000000"/>
              <w:right w:val="single" w:sz="4" w:space="0" w:color="000000"/>
            </w:tcBorders>
          </w:tcPr>
          <w:p w:rsidR="002E4309" w:rsidRPr="006F4EE5" w:rsidRDefault="00710EE9" w:rsidP="006F4EE5">
            <w:pPr>
              <w:spacing w:after="0" w:line="360" w:lineRule="auto"/>
              <w:ind w:left="0" w:firstLine="0"/>
              <w:rPr>
                <w:color w:val="auto"/>
                <w:szCs w:val="24"/>
              </w:rPr>
            </w:pPr>
            <w:r w:rsidRPr="006F4EE5">
              <w:rPr>
                <w:color w:val="auto"/>
                <w:szCs w:val="24"/>
              </w:rPr>
              <w:t>Formation of partial</w:t>
            </w:r>
            <w:r w:rsidR="00B17EC0" w:rsidRPr="006F4EE5">
              <w:rPr>
                <w:color w:val="auto"/>
                <w:szCs w:val="24"/>
              </w:rPr>
              <w:t xml:space="preserve">ly filed negative shape of the </w:t>
            </w:r>
            <w:r w:rsidRPr="006F4EE5">
              <w:rPr>
                <w:color w:val="auto"/>
                <w:szCs w:val="24"/>
              </w:rPr>
              <w:t>mold by capillar</w:t>
            </w:r>
            <w:r w:rsidR="00B17EC0" w:rsidRPr="006F4EE5">
              <w:rPr>
                <w:color w:val="auto"/>
                <w:szCs w:val="24"/>
              </w:rPr>
              <w:t xml:space="preserve">y rise of thermoplastic polymer </w:t>
            </w:r>
            <w:r w:rsidRPr="006F4EE5">
              <w:rPr>
                <w:color w:val="auto"/>
                <w:szCs w:val="24"/>
              </w:rPr>
              <w:t xml:space="preserve">above Tg  </w:t>
            </w:r>
          </w:p>
        </w:tc>
        <w:tc>
          <w:tcPr>
            <w:tcW w:w="2950" w:type="dxa"/>
            <w:tcBorders>
              <w:top w:val="single" w:sz="4" w:space="0" w:color="000000"/>
              <w:left w:val="single" w:sz="4" w:space="0" w:color="000000"/>
              <w:bottom w:val="single" w:sz="4" w:space="0" w:color="000000"/>
              <w:right w:val="single" w:sz="4" w:space="0" w:color="000000"/>
            </w:tcBorders>
          </w:tcPr>
          <w:p w:rsidR="002E4309" w:rsidRPr="006F4EE5" w:rsidRDefault="00710EE9" w:rsidP="006F4EE5">
            <w:pPr>
              <w:spacing w:after="0" w:line="360" w:lineRule="auto"/>
              <w:ind w:left="0" w:firstLine="0"/>
              <w:rPr>
                <w:color w:val="auto"/>
                <w:szCs w:val="24"/>
              </w:rPr>
            </w:pPr>
            <w:r w:rsidRPr="006F4EE5">
              <w:rPr>
                <w:color w:val="auto"/>
                <w:szCs w:val="24"/>
              </w:rPr>
              <w:t xml:space="preserve">Thermoplastic and solvent soluble polymers </w:t>
            </w:r>
          </w:p>
        </w:tc>
      </w:tr>
      <w:tr w:rsidR="00931667" w:rsidRPr="006F4EE5" w:rsidTr="00B17EC0">
        <w:trPr>
          <w:trHeight w:val="758"/>
        </w:trPr>
        <w:tc>
          <w:tcPr>
            <w:tcW w:w="0" w:type="auto"/>
            <w:vMerge/>
            <w:tcBorders>
              <w:top w:val="nil"/>
              <w:left w:val="single" w:sz="4" w:space="0" w:color="000000"/>
              <w:bottom w:val="single" w:sz="4" w:space="0" w:color="auto"/>
              <w:right w:val="single" w:sz="4" w:space="0" w:color="000000"/>
            </w:tcBorders>
          </w:tcPr>
          <w:p w:rsidR="002E4309" w:rsidRPr="006F4EE5" w:rsidRDefault="002E4309" w:rsidP="006F4EE5">
            <w:pPr>
              <w:spacing w:after="0" w:line="360" w:lineRule="auto"/>
              <w:ind w:left="0" w:firstLine="0"/>
              <w:rPr>
                <w:color w:val="auto"/>
                <w:szCs w:val="24"/>
              </w:rPr>
            </w:pPr>
          </w:p>
        </w:tc>
        <w:tc>
          <w:tcPr>
            <w:tcW w:w="1940" w:type="dxa"/>
            <w:tcBorders>
              <w:top w:val="single" w:sz="4" w:space="0" w:color="000000"/>
              <w:left w:val="single" w:sz="4" w:space="0" w:color="000000"/>
              <w:bottom w:val="single" w:sz="4" w:space="0" w:color="000000"/>
              <w:right w:val="single" w:sz="4" w:space="0" w:color="000000"/>
            </w:tcBorders>
          </w:tcPr>
          <w:p w:rsidR="002E4309" w:rsidRPr="006F4EE5" w:rsidRDefault="00710EE9" w:rsidP="006F4EE5">
            <w:pPr>
              <w:spacing w:after="0" w:line="360" w:lineRule="auto"/>
              <w:ind w:left="0" w:firstLine="0"/>
              <w:rPr>
                <w:color w:val="auto"/>
                <w:szCs w:val="24"/>
              </w:rPr>
            </w:pPr>
            <w:r w:rsidRPr="006F4EE5">
              <w:rPr>
                <w:color w:val="auto"/>
                <w:szCs w:val="24"/>
              </w:rPr>
              <w:t xml:space="preserve">Micromolding in capillaries </w:t>
            </w:r>
          </w:p>
        </w:tc>
        <w:tc>
          <w:tcPr>
            <w:tcW w:w="6846" w:type="dxa"/>
            <w:tcBorders>
              <w:top w:val="single" w:sz="4" w:space="0" w:color="000000"/>
              <w:left w:val="single" w:sz="4" w:space="0" w:color="000000"/>
              <w:bottom w:val="single" w:sz="4" w:space="0" w:color="000000"/>
              <w:right w:val="single" w:sz="4" w:space="0" w:color="000000"/>
            </w:tcBorders>
          </w:tcPr>
          <w:p w:rsidR="002E4309" w:rsidRPr="006F4EE5" w:rsidRDefault="00710EE9" w:rsidP="006F4EE5">
            <w:pPr>
              <w:spacing w:after="0" w:line="360" w:lineRule="auto"/>
              <w:ind w:left="0" w:firstLine="0"/>
              <w:rPr>
                <w:color w:val="auto"/>
                <w:szCs w:val="24"/>
              </w:rPr>
            </w:pPr>
            <w:r w:rsidRPr="006F4EE5">
              <w:rPr>
                <w:color w:val="auto"/>
                <w:szCs w:val="24"/>
              </w:rPr>
              <w:t xml:space="preserve">Creating a negative shape of the mold by  capillary-driven microchannel filling </w:t>
            </w:r>
          </w:p>
        </w:tc>
        <w:tc>
          <w:tcPr>
            <w:tcW w:w="2950" w:type="dxa"/>
            <w:tcBorders>
              <w:top w:val="single" w:sz="4" w:space="0" w:color="000000"/>
              <w:left w:val="single" w:sz="4" w:space="0" w:color="000000"/>
              <w:bottom w:val="single" w:sz="4" w:space="0" w:color="000000"/>
              <w:right w:val="single" w:sz="4" w:space="0" w:color="000000"/>
            </w:tcBorders>
          </w:tcPr>
          <w:p w:rsidR="002E4309" w:rsidRPr="006F4EE5" w:rsidRDefault="00710EE9" w:rsidP="006F4EE5">
            <w:pPr>
              <w:spacing w:after="0" w:line="360" w:lineRule="auto"/>
              <w:ind w:left="0" w:firstLine="0"/>
              <w:rPr>
                <w:color w:val="auto"/>
                <w:szCs w:val="24"/>
              </w:rPr>
            </w:pPr>
            <w:r w:rsidRPr="006F4EE5">
              <w:rPr>
                <w:color w:val="auto"/>
                <w:szCs w:val="24"/>
              </w:rPr>
              <w:t xml:space="preserve">Solvent soluble polymers </w:t>
            </w:r>
          </w:p>
        </w:tc>
      </w:tr>
      <w:tr w:rsidR="00931667" w:rsidRPr="006F4EE5" w:rsidTr="00B17EC0">
        <w:trPr>
          <w:trHeight w:val="1057"/>
        </w:trPr>
        <w:tc>
          <w:tcPr>
            <w:tcW w:w="0" w:type="auto"/>
            <w:vMerge/>
            <w:tcBorders>
              <w:top w:val="single" w:sz="4" w:space="0" w:color="auto"/>
              <w:left w:val="single" w:sz="4" w:space="0" w:color="000000"/>
              <w:bottom w:val="single" w:sz="4" w:space="0" w:color="auto"/>
              <w:right w:val="single" w:sz="4" w:space="0" w:color="000000"/>
            </w:tcBorders>
          </w:tcPr>
          <w:p w:rsidR="002E4309" w:rsidRPr="006F4EE5" w:rsidRDefault="002E4309" w:rsidP="006F4EE5">
            <w:pPr>
              <w:spacing w:after="0" w:line="360" w:lineRule="auto"/>
              <w:ind w:left="0" w:firstLine="0"/>
              <w:rPr>
                <w:color w:val="auto"/>
                <w:szCs w:val="24"/>
              </w:rPr>
            </w:pPr>
          </w:p>
        </w:tc>
        <w:tc>
          <w:tcPr>
            <w:tcW w:w="1940" w:type="dxa"/>
            <w:tcBorders>
              <w:top w:val="single" w:sz="4" w:space="0" w:color="000000"/>
              <w:left w:val="single" w:sz="4" w:space="0" w:color="000000"/>
              <w:bottom w:val="single" w:sz="4" w:space="0" w:color="auto"/>
              <w:right w:val="single" w:sz="4" w:space="0" w:color="000000"/>
            </w:tcBorders>
          </w:tcPr>
          <w:p w:rsidR="002E4309" w:rsidRPr="006F4EE5" w:rsidRDefault="00710EE9" w:rsidP="006F4EE5">
            <w:pPr>
              <w:spacing w:after="0" w:line="360" w:lineRule="auto"/>
              <w:ind w:left="0" w:firstLine="0"/>
              <w:rPr>
                <w:color w:val="auto"/>
                <w:szCs w:val="24"/>
              </w:rPr>
            </w:pPr>
            <w:r w:rsidRPr="006F4EE5">
              <w:rPr>
                <w:color w:val="auto"/>
                <w:szCs w:val="24"/>
              </w:rPr>
              <w:t xml:space="preserve">Wrinkle </w:t>
            </w:r>
          </w:p>
        </w:tc>
        <w:tc>
          <w:tcPr>
            <w:tcW w:w="6846" w:type="dxa"/>
            <w:tcBorders>
              <w:top w:val="single" w:sz="4" w:space="0" w:color="000000"/>
              <w:left w:val="single" w:sz="4" w:space="0" w:color="000000"/>
              <w:bottom w:val="single" w:sz="4" w:space="0" w:color="auto"/>
              <w:right w:val="single" w:sz="4" w:space="0" w:color="000000"/>
            </w:tcBorders>
          </w:tcPr>
          <w:p w:rsidR="002E4309" w:rsidRPr="006F4EE5" w:rsidRDefault="00710EE9" w:rsidP="006F4EE5">
            <w:pPr>
              <w:spacing w:after="0" w:line="360" w:lineRule="auto"/>
              <w:ind w:left="0" w:firstLine="0"/>
              <w:rPr>
                <w:color w:val="auto"/>
                <w:szCs w:val="24"/>
              </w:rPr>
            </w:pPr>
            <w:r w:rsidRPr="006F4EE5">
              <w:rPr>
                <w:color w:val="auto"/>
                <w:szCs w:val="24"/>
              </w:rPr>
              <w:t xml:space="preserve">Formation of random or aligned micro- or nanolines using mechanical buckling Mechanical buckling between elastic substrate and rigid film </w:t>
            </w:r>
          </w:p>
        </w:tc>
        <w:tc>
          <w:tcPr>
            <w:tcW w:w="2950" w:type="dxa"/>
            <w:tcBorders>
              <w:top w:val="single" w:sz="4" w:space="0" w:color="000000"/>
              <w:left w:val="single" w:sz="4" w:space="0" w:color="000000"/>
              <w:bottom w:val="single" w:sz="4" w:space="0" w:color="auto"/>
              <w:right w:val="single" w:sz="4" w:space="0" w:color="000000"/>
            </w:tcBorders>
          </w:tcPr>
          <w:p w:rsidR="002E4309" w:rsidRPr="006F4EE5" w:rsidRDefault="00710EE9" w:rsidP="006F4EE5">
            <w:pPr>
              <w:spacing w:after="0" w:line="360" w:lineRule="auto"/>
              <w:ind w:left="0" w:firstLine="0"/>
              <w:rPr>
                <w:color w:val="auto"/>
                <w:szCs w:val="24"/>
              </w:rPr>
            </w:pPr>
            <w:r w:rsidRPr="006F4EE5">
              <w:rPr>
                <w:color w:val="auto"/>
                <w:szCs w:val="24"/>
              </w:rPr>
              <w:t xml:space="preserve">Elastomeric polymers </w:t>
            </w:r>
            <w:r w:rsidR="00503C1B" w:rsidRPr="00503C1B">
              <w:rPr>
                <w:i/>
                <w:color w:val="auto"/>
                <w:szCs w:val="24"/>
              </w:rPr>
              <w:t>e.g.</w:t>
            </w:r>
            <w:r w:rsidR="00503C1B" w:rsidRPr="00503C1B">
              <w:rPr>
                <w:rFonts w:eastAsiaTheme="minorEastAsia" w:hint="eastAsia"/>
                <w:i/>
                <w:color w:val="auto"/>
                <w:szCs w:val="24"/>
                <w:lang w:eastAsia="zh-CN"/>
              </w:rPr>
              <w:t>,</w:t>
            </w:r>
          </w:p>
          <w:p w:rsidR="002E4309" w:rsidRPr="006F4EE5" w:rsidRDefault="00710EE9" w:rsidP="006F4EE5">
            <w:pPr>
              <w:spacing w:after="0" w:line="360" w:lineRule="auto"/>
              <w:ind w:left="0" w:firstLine="0"/>
              <w:rPr>
                <w:color w:val="auto"/>
                <w:szCs w:val="24"/>
              </w:rPr>
            </w:pPr>
            <w:r w:rsidRPr="006F4EE5">
              <w:rPr>
                <w:color w:val="auto"/>
                <w:szCs w:val="24"/>
              </w:rPr>
              <w:t xml:space="preserve">Polydimethylsiloxane </w:t>
            </w:r>
          </w:p>
          <w:p w:rsidR="002E4309" w:rsidRPr="006F4EE5" w:rsidRDefault="002E4309" w:rsidP="006F4EE5">
            <w:pPr>
              <w:spacing w:after="0" w:line="360" w:lineRule="auto"/>
              <w:ind w:left="0" w:firstLine="0"/>
              <w:rPr>
                <w:color w:val="auto"/>
                <w:szCs w:val="24"/>
              </w:rPr>
            </w:pPr>
          </w:p>
        </w:tc>
      </w:tr>
      <w:tr w:rsidR="002E4309" w:rsidRPr="006F4EE5" w:rsidTr="00B17EC0">
        <w:trPr>
          <w:trHeight w:val="761"/>
        </w:trPr>
        <w:tc>
          <w:tcPr>
            <w:tcW w:w="0" w:type="auto"/>
            <w:tcBorders>
              <w:top w:val="single" w:sz="4" w:space="0" w:color="auto"/>
              <w:left w:val="single" w:sz="4" w:space="0" w:color="000000"/>
              <w:bottom w:val="single" w:sz="4" w:space="0" w:color="000000"/>
              <w:right w:val="single" w:sz="4" w:space="0" w:color="000000"/>
            </w:tcBorders>
          </w:tcPr>
          <w:p w:rsidR="002E4309" w:rsidRPr="006F4EE5" w:rsidRDefault="002E4309" w:rsidP="006F4EE5">
            <w:pPr>
              <w:spacing w:after="0" w:line="360" w:lineRule="auto"/>
              <w:ind w:left="0" w:firstLine="0"/>
              <w:rPr>
                <w:color w:val="auto"/>
                <w:szCs w:val="24"/>
              </w:rPr>
            </w:pPr>
          </w:p>
        </w:tc>
        <w:tc>
          <w:tcPr>
            <w:tcW w:w="1940" w:type="dxa"/>
            <w:tcBorders>
              <w:top w:val="single" w:sz="4" w:space="0" w:color="000000"/>
              <w:left w:val="single" w:sz="4" w:space="0" w:color="000000"/>
              <w:bottom w:val="single" w:sz="4" w:space="0" w:color="000000"/>
              <w:right w:val="single" w:sz="4" w:space="0" w:color="000000"/>
            </w:tcBorders>
          </w:tcPr>
          <w:p w:rsidR="002E4309" w:rsidRPr="006F4EE5" w:rsidRDefault="00710EE9" w:rsidP="006F4EE5">
            <w:pPr>
              <w:spacing w:after="0" w:line="360" w:lineRule="auto"/>
              <w:ind w:left="0" w:firstLine="0"/>
              <w:rPr>
                <w:color w:val="auto"/>
                <w:szCs w:val="24"/>
              </w:rPr>
            </w:pPr>
            <w:r w:rsidRPr="006F4EE5">
              <w:rPr>
                <w:color w:val="auto"/>
                <w:szCs w:val="24"/>
              </w:rPr>
              <w:t xml:space="preserve">Crack </w:t>
            </w:r>
          </w:p>
        </w:tc>
        <w:tc>
          <w:tcPr>
            <w:tcW w:w="6846" w:type="dxa"/>
            <w:tcBorders>
              <w:top w:val="single" w:sz="4" w:space="0" w:color="000000"/>
              <w:left w:val="single" w:sz="4" w:space="0" w:color="000000"/>
              <w:bottom w:val="single" w:sz="4" w:space="0" w:color="000000"/>
              <w:right w:val="single" w:sz="4" w:space="0" w:color="000000"/>
            </w:tcBorders>
          </w:tcPr>
          <w:p w:rsidR="002E4309" w:rsidRPr="006F4EE5" w:rsidRDefault="00710EE9" w:rsidP="006F4EE5">
            <w:pPr>
              <w:spacing w:after="0" w:line="360" w:lineRule="auto"/>
              <w:ind w:left="0" w:firstLine="0"/>
              <w:rPr>
                <w:color w:val="auto"/>
                <w:szCs w:val="24"/>
              </w:rPr>
            </w:pPr>
            <w:r w:rsidRPr="006F4EE5">
              <w:rPr>
                <w:color w:val="auto"/>
                <w:szCs w:val="24"/>
              </w:rPr>
              <w:t xml:space="preserve">Formation of aligned or inter-crossing line patterns by mechanical fracturing of the stiff film adhered onto elastic substrate </w:t>
            </w:r>
          </w:p>
        </w:tc>
        <w:tc>
          <w:tcPr>
            <w:tcW w:w="2950" w:type="dxa"/>
            <w:tcBorders>
              <w:top w:val="single" w:sz="4" w:space="0" w:color="000000"/>
              <w:left w:val="single" w:sz="4" w:space="0" w:color="000000"/>
              <w:bottom w:val="single" w:sz="4" w:space="0" w:color="000000"/>
              <w:right w:val="single" w:sz="4" w:space="0" w:color="000000"/>
            </w:tcBorders>
          </w:tcPr>
          <w:p w:rsidR="002E4309" w:rsidRPr="006F4EE5" w:rsidRDefault="00710EE9" w:rsidP="006F4EE5">
            <w:pPr>
              <w:spacing w:after="0" w:line="360" w:lineRule="auto"/>
              <w:ind w:left="0" w:firstLine="0"/>
              <w:rPr>
                <w:color w:val="auto"/>
                <w:szCs w:val="24"/>
              </w:rPr>
            </w:pPr>
            <w:r w:rsidRPr="006F4EE5">
              <w:rPr>
                <w:color w:val="auto"/>
                <w:szCs w:val="24"/>
              </w:rPr>
              <w:t>El</w:t>
            </w:r>
            <w:r w:rsidR="00FE76D1" w:rsidRPr="006F4EE5">
              <w:rPr>
                <w:color w:val="auto"/>
                <w:szCs w:val="24"/>
              </w:rPr>
              <w:t>a</w:t>
            </w:r>
            <w:r w:rsidRPr="006F4EE5">
              <w:rPr>
                <w:color w:val="auto"/>
                <w:szCs w:val="24"/>
              </w:rPr>
              <w:t xml:space="preserve">stomeric polymers  </w:t>
            </w:r>
          </w:p>
        </w:tc>
      </w:tr>
    </w:tbl>
    <w:p w:rsidR="00B17EC0" w:rsidRPr="006F4EE5" w:rsidRDefault="00B17EC0" w:rsidP="006F4EE5">
      <w:pPr>
        <w:spacing w:after="0" w:line="360" w:lineRule="auto"/>
        <w:ind w:left="0" w:firstLine="0"/>
        <w:rPr>
          <w:b/>
          <w:color w:val="auto"/>
          <w:szCs w:val="24"/>
        </w:rPr>
      </w:pPr>
    </w:p>
    <w:p w:rsidR="00B17EC0" w:rsidRPr="00503C1B" w:rsidRDefault="00503C1B" w:rsidP="006F4EE5">
      <w:pPr>
        <w:spacing w:after="0" w:line="360" w:lineRule="auto"/>
        <w:ind w:left="0" w:firstLine="0"/>
        <w:rPr>
          <w:rFonts w:eastAsiaTheme="minorEastAsia"/>
          <w:b/>
          <w:color w:val="auto"/>
          <w:szCs w:val="24"/>
          <w:lang w:eastAsia="zh-CN"/>
        </w:rPr>
      </w:pPr>
      <w:r w:rsidRPr="006F4EE5">
        <w:rPr>
          <w:color w:val="auto"/>
          <w:szCs w:val="24"/>
        </w:rPr>
        <w:t xml:space="preserve">Adapted from Kim </w:t>
      </w:r>
      <w:r>
        <w:rPr>
          <w:i/>
          <w:color w:val="auto"/>
          <w:szCs w:val="24"/>
        </w:rPr>
        <w:t>et al</w:t>
      </w:r>
      <w:r w:rsidRPr="006F4EE5">
        <w:rPr>
          <w:color w:val="auto"/>
          <w:szCs w:val="24"/>
          <w:vertAlign w:val="superscript"/>
        </w:rPr>
        <w:t>[3]</w:t>
      </w:r>
      <w:r>
        <w:rPr>
          <w:rFonts w:eastAsiaTheme="minorEastAsia" w:hint="eastAsia"/>
          <w:color w:val="auto"/>
          <w:szCs w:val="24"/>
          <w:lang w:eastAsia="zh-CN"/>
        </w:rPr>
        <w:t>.</w:t>
      </w:r>
    </w:p>
    <w:p w:rsidR="00B17EC0" w:rsidRPr="006F4EE5" w:rsidRDefault="00B17EC0" w:rsidP="006F4EE5">
      <w:pPr>
        <w:spacing w:after="0" w:line="360" w:lineRule="auto"/>
        <w:ind w:left="0" w:firstLine="0"/>
        <w:rPr>
          <w:b/>
          <w:color w:val="auto"/>
          <w:szCs w:val="24"/>
        </w:rPr>
      </w:pPr>
    </w:p>
    <w:p w:rsidR="00B17EC0" w:rsidRPr="006F4EE5" w:rsidRDefault="00B17EC0" w:rsidP="006F4EE5">
      <w:pPr>
        <w:spacing w:after="0" w:line="360" w:lineRule="auto"/>
        <w:ind w:left="0" w:firstLine="0"/>
        <w:rPr>
          <w:b/>
          <w:color w:val="auto"/>
          <w:szCs w:val="24"/>
        </w:rPr>
      </w:pPr>
    </w:p>
    <w:p w:rsidR="00AE294C" w:rsidRPr="006F4EE5" w:rsidRDefault="00AE294C" w:rsidP="006F4EE5">
      <w:pPr>
        <w:spacing w:after="0" w:line="360" w:lineRule="auto"/>
        <w:ind w:left="0" w:firstLine="0"/>
        <w:rPr>
          <w:b/>
          <w:color w:val="auto"/>
          <w:szCs w:val="24"/>
        </w:rPr>
      </w:pPr>
    </w:p>
    <w:p w:rsidR="00B17EC0" w:rsidRPr="00211771" w:rsidRDefault="0028464B" w:rsidP="006F4EE5">
      <w:pPr>
        <w:spacing w:after="0" w:line="360" w:lineRule="auto"/>
        <w:ind w:left="0" w:firstLine="0"/>
        <w:rPr>
          <w:rFonts w:eastAsiaTheme="minorEastAsia"/>
          <w:b/>
          <w:color w:val="auto"/>
          <w:szCs w:val="24"/>
          <w:lang w:eastAsia="zh-CN"/>
        </w:rPr>
      </w:pPr>
      <w:r w:rsidRPr="006F4EE5">
        <w:rPr>
          <w:b/>
          <w:color w:val="auto"/>
          <w:szCs w:val="24"/>
        </w:rPr>
        <w:t>Table 2</w:t>
      </w:r>
      <w:r w:rsidR="00710EE9" w:rsidRPr="006F4EE5">
        <w:rPr>
          <w:b/>
          <w:color w:val="auto"/>
          <w:szCs w:val="24"/>
        </w:rPr>
        <w:t xml:space="preserve"> Significant studies on nanotopography</w:t>
      </w:r>
      <w:r w:rsidR="00211771">
        <w:rPr>
          <w:b/>
          <w:color w:val="auto"/>
          <w:szCs w:val="24"/>
        </w:rPr>
        <w:t xml:space="preserve"> and mesenchymal stem cells</w:t>
      </w:r>
      <w:r w:rsidR="00710EE9" w:rsidRPr="006F4EE5">
        <w:rPr>
          <w:b/>
          <w:color w:val="auto"/>
          <w:szCs w:val="24"/>
        </w:rPr>
        <w:t xml:space="preserve"> for developing 3D</w:t>
      </w:r>
      <w:r w:rsidR="00211771">
        <w:rPr>
          <w:rFonts w:eastAsiaTheme="minorEastAsia" w:hint="eastAsia"/>
          <w:b/>
          <w:color w:val="auto"/>
          <w:szCs w:val="24"/>
          <w:lang w:eastAsia="zh-CN"/>
        </w:rPr>
        <w:t xml:space="preserve"> </w:t>
      </w:r>
      <w:r w:rsidR="00211771">
        <w:rPr>
          <w:b/>
          <w:color w:val="auto"/>
          <w:szCs w:val="24"/>
        </w:rPr>
        <w:t>bone, cartilage and skin</w:t>
      </w:r>
    </w:p>
    <w:tbl>
      <w:tblPr>
        <w:tblStyle w:val="TableGrid"/>
        <w:tblW w:w="12644" w:type="dxa"/>
        <w:tblInd w:w="-5" w:type="dxa"/>
        <w:tblBorders>
          <w:top w:val="single" w:sz="4" w:space="0" w:color="auto"/>
          <w:bottom w:val="single" w:sz="4" w:space="0" w:color="auto"/>
        </w:tblBorders>
        <w:tblCellMar>
          <w:top w:w="53" w:type="dxa"/>
          <w:left w:w="108" w:type="dxa"/>
          <w:right w:w="50" w:type="dxa"/>
        </w:tblCellMar>
        <w:tblLook w:val="04A0" w:firstRow="1" w:lastRow="0" w:firstColumn="1" w:lastColumn="0" w:noHBand="0" w:noVBand="1"/>
      </w:tblPr>
      <w:tblGrid>
        <w:gridCol w:w="2000"/>
        <w:gridCol w:w="2253"/>
        <w:gridCol w:w="3260"/>
        <w:gridCol w:w="3810"/>
        <w:gridCol w:w="1321"/>
      </w:tblGrid>
      <w:tr w:rsidR="00931667" w:rsidRPr="00524CD0" w:rsidTr="00524CD0">
        <w:trPr>
          <w:trHeight w:val="588"/>
        </w:trPr>
        <w:tc>
          <w:tcPr>
            <w:tcW w:w="2000" w:type="dxa"/>
            <w:tcBorders>
              <w:top w:val="single" w:sz="4" w:space="0" w:color="auto"/>
              <w:bottom w:val="single" w:sz="4" w:space="0" w:color="auto"/>
            </w:tcBorders>
          </w:tcPr>
          <w:p w:rsidR="00FC70BA" w:rsidRPr="00524CD0" w:rsidRDefault="00FC70BA" w:rsidP="006F4EE5">
            <w:pPr>
              <w:spacing w:after="0" w:line="360" w:lineRule="auto"/>
              <w:ind w:left="0" w:firstLine="0"/>
              <w:rPr>
                <w:color w:val="auto"/>
                <w:sz w:val="18"/>
                <w:szCs w:val="18"/>
              </w:rPr>
            </w:pPr>
            <w:r w:rsidRPr="00524CD0">
              <w:rPr>
                <w:b/>
                <w:color w:val="auto"/>
                <w:sz w:val="18"/>
                <w:szCs w:val="18"/>
              </w:rPr>
              <w:t xml:space="preserve">Tissue/Organ </w:t>
            </w:r>
          </w:p>
        </w:tc>
        <w:tc>
          <w:tcPr>
            <w:tcW w:w="2253" w:type="dxa"/>
            <w:tcBorders>
              <w:top w:val="single" w:sz="4" w:space="0" w:color="auto"/>
              <w:bottom w:val="single" w:sz="4" w:space="0" w:color="auto"/>
            </w:tcBorders>
          </w:tcPr>
          <w:p w:rsidR="00FC70BA" w:rsidRPr="00524CD0" w:rsidRDefault="00FC70BA" w:rsidP="006F4EE5">
            <w:pPr>
              <w:spacing w:after="0" w:line="360" w:lineRule="auto"/>
              <w:ind w:left="0" w:firstLine="0"/>
              <w:rPr>
                <w:color w:val="auto"/>
                <w:sz w:val="18"/>
                <w:szCs w:val="18"/>
              </w:rPr>
            </w:pPr>
            <w:r w:rsidRPr="00524CD0">
              <w:rPr>
                <w:b/>
                <w:color w:val="auto"/>
                <w:sz w:val="18"/>
                <w:szCs w:val="18"/>
              </w:rPr>
              <w:t xml:space="preserve">Nanotopographical Cues </w:t>
            </w:r>
          </w:p>
        </w:tc>
        <w:tc>
          <w:tcPr>
            <w:tcW w:w="3260" w:type="dxa"/>
            <w:tcBorders>
              <w:top w:val="single" w:sz="4" w:space="0" w:color="auto"/>
              <w:bottom w:val="single" w:sz="4" w:space="0" w:color="auto"/>
            </w:tcBorders>
          </w:tcPr>
          <w:p w:rsidR="00FC70BA" w:rsidRPr="00524CD0" w:rsidRDefault="00FC70BA" w:rsidP="006F4EE5">
            <w:pPr>
              <w:spacing w:after="0" w:line="360" w:lineRule="auto"/>
              <w:ind w:left="0" w:firstLine="0"/>
              <w:rPr>
                <w:color w:val="auto"/>
                <w:sz w:val="18"/>
                <w:szCs w:val="18"/>
              </w:rPr>
            </w:pPr>
            <w:r w:rsidRPr="00524CD0">
              <w:rPr>
                <w:b/>
                <w:color w:val="auto"/>
                <w:sz w:val="18"/>
                <w:szCs w:val="18"/>
              </w:rPr>
              <w:t xml:space="preserve">Description </w:t>
            </w:r>
          </w:p>
        </w:tc>
        <w:tc>
          <w:tcPr>
            <w:tcW w:w="3810" w:type="dxa"/>
            <w:tcBorders>
              <w:top w:val="single" w:sz="4" w:space="0" w:color="auto"/>
              <w:bottom w:val="single" w:sz="4" w:space="0" w:color="auto"/>
            </w:tcBorders>
          </w:tcPr>
          <w:p w:rsidR="00FC70BA" w:rsidRPr="00524CD0" w:rsidRDefault="00FC70BA" w:rsidP="006F4EE5">
            <w:pPr>
              <w:spacing w:after="0" w:line="360" w:lineRule="auto"/>
              <w:ind w:left="0" w:firstLine="0"/>
              <w:rPr>
                <w:color w:val="auto"/>
                <w:sz w:val="18"/>
                <w:szCs w:val="18"/>
              </w:rPr>
            </w:pPr>
            <w:r w:rsidRPr="00524CD0">
              <w:rPr>
                <w:b/>
                <w:color w:val="auto"/>
                <w:sz w:val="18"/>
                <w:szCs w:val="18"/>
              </w:rPr>
              <w:t xml:space="preserve">Outcome </w:t>
            </w:r>
          </w:p>
        </w:tc>
        <w:tc>
          <w:tcPr>
            <w:tcW w:w="1321" w:type="dxa"/>
            <w:tcBorders>
              <w:top w:val="single" w:sz="4" w:space="0" w:color="auto"/>
              <w:bottom w:val="single" w:sz="4" w:space="0" w:color="auto"/>
            </w:tcBorders>
          </w:tcPr>
          <w:p w:rsidR="00FC70BA" w:rsidRPr="00524CD0" w:rsidRDefault="00FC70BA" w:rsidP="006F4EE5">
            <w:pPr>
              <w:spacing w:after="0" w:line="360" w:lineRule="auto"/>
              <w:ind w:left="0" w:firstLine="0"/>
              <w:rPr>
                <w:rFonts w:eastAsiaTheme="minorEastAsia"/>
                <w:b/>
                <w:color w:val="auto"/>
                <w:sz w:val="18"/>
                <w:szCs w:val="18"/>
                <w:lang w:eastAsia="zh-CN"/>
              </w:rPr>
            </w:pPr>
            <w:r w:rsidRPr="00524CD0">
              <w:rPr>
                <w:b/>
                <w:color w:val="auto"/>
                <w:sz w:val="18"/>
                <w:szCs w:val="18"/>
              </w:rPr>
              <w:t>Ref</w:t>
            </w:r>
            <w:r w:rsidR="00211771" w:rsidRPr="00524CD0">
              <w:rPr>
                <w:rFonts w:eastAsiaTheme="minorEastAsia" w:hint="eastAsia"/>
                <w:b/>
                <w:color w:val="auto"/>
                <w:sz w:val="18"/>
                <w:szCs w:val="18"/>
                <w:lang w:eastAsia="zh-CN"/>
              </w:rPr>
              <w:t>.</w:t>
            </w:r>
          </w:p>
        </w:tc>
      </w:tr>
      <w:tr w:rsidR="00931667" w:rsidRPr="00524CD0" w:rsidTr="00524CD0">
        <w:trPr>
          <w:trHeight w:val="1652"/>
        </w:trPr>
        <w:tc>
          <w:tcPr>
            <w:tcW w:w="2000" w:type="dxa"/>
            <w:vMerge w:val="restart"/>
            <w:tcBorders>
              <w:top w:val="single" w:sz="4" w:space="0" w:color="auto"/>
            </w:tcBorders>
          </w:tcPr>
          <w:p w:rsidR="00FC70BA" w:rsidRPr="00524CD0" w:rsidRDefault="00FC70BA" w:rsidP="006F4EE5">
            <w:pPr>
              <w:spacing w:after="0" w:line="360" w:lineRule="auto"/>
              <w:ind w:left="0" w:firstLine="0"/>
              <w:rPr>
                <w:color w:val="auto"/>
                <w:sz w:val="18"/>
                <w:szCs w:val="18"/>
              </w:rPr>
            </w:pPr>
            <w:r w:rsidRPr="00524CD0">
              <w:rPr>
                <w:b/>
                <w:color w:val="auto"/>
                <w:sz w:val="18"/>
                <w:szCs w:val="18"/>
              </w:rPr>
              <w:t>Bone</w:t>
            </w:r>
          </w:p>
        </w:tc>
        <w:tc>
          <w:tcPr>
            <w:tcW w:w="2253" w:type="dxa"/>
            <w:tcBorders>
              <w:top w:val="single" w:sz="4" w:space="0" w:color="auto"/>
            </w:tcBorders>
          </w:tcPr>
          <w:p w:rsidR="00FC70BA" w:rsidRPr="00524CD0" w:rsidRDefault="00FC70BA" w:rsidP="006F4EE5">
            <w:pPr>
              <w:spacing w:after="0" w:line="360" w:lineRule="auto"/>
              <w:ind w:left="0" w:firstLine="0"/>
              <w:rPr>
                <w:color w:val="auto"/>
                <w:sz w:val="18"/>
                <w:szCs w:val="18"/>
              </w:rPr>
            </w:pPr>
            <w:r w:rsidRPr="00524CD0">
              <w:rPr>
                <w:color w:val="auto"/>
                <w:sz w:val="18"/>
                <w:szCs w:val="18"/>
              </w:rPr>
              <w:t xml:space="preserve">Nano-ridges, and nanogrooves nanotopography surfaces </w:t>
            </w:r>
          </w:p>
        </w:tc>
        <w:tc>
          <w:tcPr>
            <w:tcW w:w="3260" w:type="dxa"/>
            <w:tcBorders>
              <w:top w:val="single" w:sz="4" w:space="0" w:color="auto"/>
            </w:tcBorders>
          </w:tcPr>
          <w:p w:rsidR="00FC70BA" w:rsidRPr="00524CD0" w:rsidRDefault="00FC70BA" w:rsidP="006F4EE5">
            <w:pPr>
              <w:spacing w:after="0" w:line="360" w:lineRule="auto"/>
              <w:ind w:left="0" w:firstLine="0"/>
              <w:rPr>
                <w:rFonts w:eastAsiaTheme="minorEastAsia"/>
                <w:color w:val="auto"/>
                <w:sz w:val="18"/>
                <w:szCs w:val="18"/>
                <w:lang w:eastAsia="zh-CN"/>
              </w:rPr>
            </w:pPr>
            <w:r w:rsidRPr="00524CD0">
              <w:rPr>
                <w:color w:val="auto"/>
                <w:sz w:val="18"/>
                <w:szCs w:val="18"/>
              </w:rPr>
              <w:t>The effect of nanotopographic ridges and grooves on MSCs morphology, proliferation and differentiation to oste</w:t>
            </w:r>
            <w:r w:rsidR="00524CD0" w:rsidRPr="00524CD0">
              <w:rPr>
                <w:color w:val="auto"/>
                <w:sz w:val="18"/>
                <w:szCs w:val="18"/>
              </w:rPr>
              <w:t>oblast cells were investigated</w:t>
            </w:r>
          </w:p>
        </w:tc>
        <w:tc>
          <w:tcPr>
            <w:tcW w:w="3810" w:type="dxa"/>
            <w:tcBorders>
              <w:top w:val="single" w:sz="4" w:space="0" w:color="auto"/>
            </w:tcBorders>
          </w:tcPr>
          <w:p w:rsidR="00FC70BA" w:rsidRPr="00524CD0" w:rsidRDefault="00FC70BA" w:rsidP="006F4EE5">
            <w:pPr>
              <w:spacing w:after="0" w:line="360" w:lineRule="auto"/>
              <w:ind w:left="0" w:firstLine="0"/>
              <w:rPr>
                <w:color w:val="auto"/>
                <w:sz w:val="18"/>
                <w:szCs w:val="18"/>
              </w:rPr>
            </w:pPr>
            <w:r w:rsidRPr="00524CD0">
              <w:rPr>
                <w:color w:val="auto"/>
                <w:sz w:val="18"/>
                <w:szCs w:val="18"/>
              </w:rPr>
              <w:t>Osteogenic differentiation can be controlled and directed using specific size scale of topographic cues wi</w:t>
            </w:r>
            <w:r w:rsidR="00524CD0" w:rsidRPr="00524CD0">
              <w:rPr>
                <w:color w:val="auto"/>
                <w:sz w:val="18"/>
                <w:szCs w:val="18"/>
              </w:rPr>
              <w:t>th or without osteogenic agents</w:t>
            </w:r>
            <w:r w:rsidRPr="00524CD0">
              <w:rPr>
                <w:color w:val="auto"/>
                <w:sz w:val="18"/>
                <w:szCs w:val="18"/>
              </w:rPr>
              <w:t xml:space="preserve"> </w:t>
            </w:r>
          </w:p>
        </w:tc>
        <w:tc>
          <w:tcPr>
            <w:tcW w:w="1321" w:type="dxa"/>
            <w:tcBorders>
              <w:top w:val="single" w:sz="4" w:space="0" w:color="auto"/>
            </w:tcBorders>
          </w:tcPr>
          <w:p w:rsidR="00FC70BA" w:rsidRPr="00524CD0" w:rsidRDefault="00FC70BA" w:rsidP="006F4EE5">
            <w:pPr>
              <w:tabs>
                <w:tab w:val="right" w:pos="1164"/>
              </w:tabs>
              <w:spacing w:after="0" w:line="360" w:lineRule="auto"/>
              <w:ind w:left="0" w:firstLine="0"/>
              <w:rPr>
                <w:i/>
                <w:color w:val="auto"/>
                <w:sz w:val="18"/>
                <w:szCs w:val="18"/>
              </w:rPr>
            </w:pPr>
            <w:r w:rsidRPr="00524CD0">
              <w:rPr>
                <w:color w:val="auto"/>
                <w:sz w:val="18"/>
                <w:szCs w:val="18"/>
              </w:rPr>
              <w:t xml:space="preserve">Watari </w:t>
            </w:r>
            <w:r w:rsidR="00211771" w:rsidRPr="00524CD0">
              <w:rPr>
                <w:i/>
                <w:color w:val="auto"/>
                <w:sz w:val="18"/>
                <w:szCs w:val="18"/>
              </w:rPr>
              <w:t>et al</w:t>
            </w:r>
            <w:r w:rsidRPr="00524CD0">
              <w:rPr>
                <w:color w:val="auto"/>
                <w:sz w:val="18"/>
                <w:szCs w:val="18"/>
                <w:vertAlign w:val="superscript"/>
              </w:rPr>
              <w:t>[55]</w:t>
            </w:r>
          </w:p>
        </w:tc>
      </w:tr>
      <w:tr w:rsidR="00931667" w:rsidRPr="00524CD0" w:rsidTr="00524CD0">
        <w:trPr>
          <w:trHeight w:val="2196"/>
        </w:trPr>
        <w:tc>
          <w:tcPr>
            <w:tcW w:w="0" w:type="auto"/>
            <w:vMerge/>
          </w:tcPr>
          <w:p w:rsidR="00FC70BA" w:rsidRPr="00524CD0" w:rsidRDefault="00FC70BA" w:rsidP="006F4EE5">
            <w:pPr>
              <w:spacing w:after="0" w:line="360" w:lineRule="auto"/>
              <w:ind w:left="0" w:firstLine="0"/>
              <w:rPr>
                <w:color w:val="auto"/>
                <w:sz w:val="18"/>
                <w:szCs w:val="18"/>
              </w:rPr>
            </w:pPr>
          </w:p>
        </w:tc>
        <w:tc>
          <w:tcPr>
            <w:tcW w:w="2253" w:type="dxa"/>
          </w:tcPr>
          <w:p w:rsidR="00FC70BA" w:rsidRPr="00524CD0" w:rsidRDefault="00FC70BA" w:rsidP="006F4EE5">
            <w:pPr>
              <w:spacing w:after="0" w:line="360" w:lineRule="auto"/>
              <w:ind w:left="0" w:firstLine="0"/>
              <w:rPr>
                <w:color w:val="auto"/>
                <w:sz w:val="18"/>
                <w:szCs w:val="18"/>
              </w:rPr>
            </w:pPr>
            <w:r w:rsidRPr="00524CD0">
              <w:rPr>
                <w:color w:val="auto"/>
                <w:sz w:val="18"/>
                <w:szCs w:val="18"/>
              </w:rPr>
              <w:t xml:space="preserve">Implementing </w:t>
            </w:r>
          </w:p>
          <w:p w:rsidR="00FC70BA" w:rsidRPr="00524CD0" w:rsidRDefault="00FC70BA" w:rsidP="006F4EE5">
            <w:pPr>
              <w:spacing w:after="0" w:line="360" w:lineRule="auto"/>
              <w:ind w:left="0" w:firstLine="0"/>
              <w:rPr>
                <w:color w:val="auto"/>
                <w:sz w:val="18"/>
                <w:szCs w:val="18"/>
              </w:rPr>
            </w:pPr>
            <w:r w:rsidRPr="00524CD0">
              <w:rPr>
                <w:color w:val="auto"/>
                <w:sz w:val="18"/>
                <w:szCs w:val="18"/>
              </w:rPr>
              <w:t xml:space="preserve">nanostructures of different sizes </w:t>
            </w:r>
          </w:p>
        </w:tc>
        <w:tc>
          <w:tcPr>
            <w:tcW w:w="3260" w:type="dxa"/>
          </w:tcPr>
          <w:p w:rsidR="00FC70BA" w:rsidRPr="00524CD0" w:rsidRDefault="00FC70BA" w:rsidP="006F4EE5">
            <w:pPr>
              <w:spacing w:after="0" w:line="360" w:lineRule="auto"/>
              <w:ind w:left="0" w:firstLine="0"/>
              <w:rPr>
                <w:rFonts w:eastAsiaTheme="minorEastAsia"/>
                <w:color w:val="auto"/>
                <w:sz w:val="18"/>
                <w:szCs w:val="18"/>
                <w:lang w:eastAsia="zh-CN"/>
              </w:rPr>
            </w:pPr>
            <w:r w:rsidRPr="00524CD0">
              <w:rPr>
                <w:color w:val="auto"/>
                <w:sz w:val="18"/>
                <w:szCs w:val="18"/>
              </w:rPr>
              <w:t>The effect of titanium-coated hemisphere-like topographic nanostructures of various sizes (50, 100, and 200 nm) on hMSCs cellular behaviour towards osteo</w:t>
            </w:r>
            <w:r w:rsidR="00524CD0" w:rsidRPr="00524CD0">
              <w:rPr>
                <w:color w:val="auto"/>
                <w:sz w:val="18"/>
                <w:szCs w:val="18"/>
              </w:rPr>
              <w:t>blast lineage was investigated</w:t>
            </w:r>
          </w:p>
        </w:tc>
        <w:tc>
          <w:tcPr>
            <w:tcW w:w="3810" w:type="dxa"/>
          </w:tcPr>
          <w:p w:rsidR="00FC70BA" w:rsidRPr="00524CD0" w:rsidRDefault="00FC70BA" w:rsidP="006F4EE5">
            <w:pPr>
              <w:spacing w:after="0" w:line="360" w:lineRule="auto"/>
              <w:ind w:left="0" w:firstLine="0"/>
              <w:rPr>
                <w:rFonts w:eastAsiaTheme="minorEastAsia"/>
                <w:color w:val="auto"/>
                <w:sz w:val="18"/>
                <w:szCs w:val="18"/>
                <w:lang w:eastAsia="zh-CN"/>
              </w:rPr>
            </w:pPr>
            <w:r w:rsidRPr="00524CD0">
              <w:rPr>
                <w:color w:val="auto"/>
                <w:sz w:val="18"/>
                <w:szCs w:val="18"/>
              </w:rPr>
              <w:t>Osteogenic differentiation of hMSCs is dependent on the size of the underlying nanotopographical structures. Colloidal lithography combined with coating technologies can have great potentials for fabricating na</w:t>
            </w:r>
            <w:r w:rsidR="00524CD0" w:rsidRPr="00524CD0">
              <w:rPr>
                <w:color w:val="auto"/>
                <w:sz w:val="18"/>
                <w:szCs w:val="18"/>
              </w:rPr>
              <w:t>noscale topography on scaffolds</w:t>
            </w:r>
          </w:p>
        </w:tc>
        <w:tc>
          <w:tcPr>
            <w:tcW w:w="1321" w:type="dxa"/>
          </w:tcPr>
          <w:p w:rsidR="00FC70BA" w:rsidRPr="00524CD0" w:rsidRDefault="00FC70BA" w:rsidP="006F4EE5">
            <w:pPr>
              <w:spacing w:after="0" w:line="360" w:lineRule="auto"/>
              <w:ind w:left="0" w:firstLine="0"/>
              <w:rPr>
                <w:color w:val="auto"/>
                <w:sz w:val="18"/>
                <w:szCs w:val="18"/>
              </w:rPr>
            </w:pPr>
            <w:r w:rsidRPr="00524CD0">
              <w:rPr>
                <w:color w:val="auto"/>
                <w:sz w:val="18"/>
                <w:szCs w:val="18"/>
              </w:rPr>
              <w:t xml:space="preserve">de Peppo </w:t>
            </w:r>
            <w:r w:rsidRPr="00524CD0">
              <w:rPr>
                <w:i/>
                <w:color w:val="auto"/>
                <w:sz w:val="18"/>
                <w:szCs w:val="18"/>
              </w:rPr>
              <w:t>et al</w:t>
            </w:r>
            <w:r w:rsidRPr="00524CD0">
              <w:rPr>
                <w:color w:val="auto"/>
                <w:sz w:val="18"/>
                <w:szCs w:val="18"/>
                <w:vertAlign w:val="superscript"/>
              </w:rPr>
              <w:t>[65]</w:t>
            </w:r>
          </w:p>
        </w:tc>
      </w:tr>
      <w:tr w:rsidR="00931667" w:rsidRPr="00524CD0" w:rsidTr="00524CD0">
        <w:trPr>
          <w:trHeight w:val="3020"/>
        </w:trPr>
        <w:tc>
          <w:tcPr>
            <w:tcW w:w="0" w:type="auto"/>
            <w:vMerge/>
          </w:tcPr>
          <w:p w:rsidR="00FC70BA" w:rsidRPr="00524CD0" w:rsidRDefault="00FC70BA" w:rsidP="006F4EE5">
            <w:pPr>
              <w:spacing w:after="0" w:line="360" w:lineRule="auto"/>
              <w:ind w:left="0" w:firstLine="0"/>
              <w:rPr>
                <w:color w:val="auto"/>
                <w:sz w:val="18"/>
                <w:szCs w:val="18"/>
              </w:rPr>
            </w:pPr>
          </w:p>
        </w:tc>
        <w:tc>
          <w:tcPr>
            <w:tcW w:w="2253" w:type="dxa"/>
          </w:tcPr>
          <w:p w:rsidR="00FC70BA" w:rsidRPr="00524CD0" w:rsidRDefault="00FC70BA" w:rsidP="006F4EE5">
            <w:pPr>
              <w:spacing w:after="0" w:line="360" w:lineRule="auto"/>
              <w:ind w:left="0" w:firstLine="0"/>
              <w:rPr>
                <w:color w:val="auto"/>
                <w:sz w:val="18"/>
                <w:szCs w:val="18"/>
              </w:rPr>
            </w:pPr>
            <w:r w:rsidRPr="00524CD0">
              <w:rPr>
                <w:color w:val="auto"/>
                <w:sz w:val="18"/>
                <w:szCs w:val="18"/>
              </w:rPr>
              <w:t xml:space="preserve">Bioactive calcium phosphate thin films sputter deposited onto a polycrystalline titanium nanostructured surface </w:t>
            </w:r>
          </w:p>
        </w:tc>
        <w:tc>
          <w:tcPr>
            <w:tcW w:w="3260" w:type="dxa"/>
          </w:tcPr>
          <w:p w:rsidR="00FC70BA" w:rsidRPr="00524CD0" w:rsidRDefault="00FC70BA" w:rsidP="006F4EE5">
            <w:pPr>
              <w:spacing w:after="0" w:line="360" w:lineRule="auto"/>
              <w:ind w:left="0" w:firstLine="0"/>
              <w:rPr>
                <w:color w:val="auto"/>
                <w:sz w:val="18"/>
                <w:szCs w:val="18"/>
              </w:rPr>
            </w:pPr>
            <w:r w:rsidRPr="00524CD0">
              <w:rPr>
                <w:color w:val="auto"/>
                <w:sz w:val="18"/>
                <w:szCs w:val="18"/>
              </w:rPr>
              <w:t>Calcium phosphate thin films were used to study the cellular response of hMSCs to nanostructured titanium surfaces with the aim of directing them tow</w:t>
            </w:r>
            <w:r w:rsidR="00524CD0" w:rsidRPr="00524CD0">
              <w:rPr>
                <w:color w:val="auto"/>
                <w:sz w:val="18"/>
                <w:szCs w:val="18"/>
              </w:rPr>
              <w:t>ards osteogenic differentiation</w:t>
            </w:r>
            <w:r w:rsidRPr="00524CD0">
              <w:rPr>
                <w:color w:val="auto"/>
                <w:sz w:val="18"/>
                <w:szCs w:val="18"/>
              </w:rPr>
              <w:t xml:space="preserve">  </w:t>
            </w:r>
          </w:p>
        </w:tc>
        <w:tc>
          <w:tcPr>
            <w:tcW w:w="3810" w:type="dxa"/>
          </w:tcPr>
          <w:p w:rsidR="00FC70BA" w:rsidRPr="00524CD0" w:rsidRDefault="00FC70BA" w:rsidP="006F4EE5">
            <w:pPr>
              <w:spacing w:after="0" w:line="360" w:lineRule="auto"/>
              <w:ind w:left="0" w:firstLine="0"/>
              <w:rPr>
                <w:color w:val="auto"/>
                <w:sz w:val="18"/>
                <w:szCs w:val="18"/>
              </w:rPr>
            </w:pPr>
            <w:r w:rsidRPr="00524CD0">
              <w:rPr>
                <w:color w:val="auto"/>
                <w:sz w:val="18"/>
                <w:szCs w:val="18"/>
              </w:rPr>
              <w:t xml:space="preserve">Various </w:t>
            </w:r>
            <w:r w:rsidRPr="00524CD0">
              <w:rPr>
                <w:i/>
                <w:color w:val="auto"/>
                <w:sz w:val="18"/>
                <w:szCs w:val="18"/>
              </w:rPr>
              <w:t xml:space="preserve">in vitro </w:t>
            </w:r>
            <w:r w:rsidRPr="00524CD0">
              <w:rPr>
                <w:color w:val="auto"/>
                <w:sz w:val="18"/>
                <w:szCs w:val="18"/>
              </w:rPr>
              <w:t xml:space="preserve">studies revealed that the use of nanostructured titanium surfaces and the bioactive calcium phosphate coatings could allow for directed and controlled differentiation of hMSCs towards osteogenic lineage. The combination of the two materials together showed higher rate of osteogenic differentiation compared to that of each </w:t>
            </w:r>
            <w:r w:rsidR="00524CD0" w:rsidRPr="00524CD0">
              <w:rPr>
                <w:color w:val="auto"/>
                <w:sz w:val="18"/>
                <w:szCs w:val="18"/>
              </w:rPr>
              <w:t>of these materials on their own</w:t>
            </w:r>
            <w:r w:rsidRPr="00524CD0">
              <w:rPr>
                <w:color w:val="auto"/>
                <w:sz w:val="18"/>
                <w:szCs w:val="18"/>
              </w:rPr>
              <w:t xml:space="preserve">  </w:t>
            </w:r>
          </w:p>
        </w:tc>
        <w:tc>
          <w:tcPr>
            <w:tcW w:w="1321" w:type="dxa"/>
          </w:tcPr>
          <w:p w:rsidR="00FC70BA" w:rsidRPr="00524CD0" w:rsidRDefault="00FC70BA" w:rsidP="006F4EE5">
            <w:pPr>
              <w:spacing w:after="0" w:line="360" w:lineRule="auto"/>
              <w:ind w:left="0" w:firstLine="0"/>
              <w:rPr>
                <w:color w:val="auto"/>
                <w:sz w:val="18"/>
                <w:szCs w:val="18"/>
              </w:rPr>
            </w:pPr>
            <w:r w:rsidRPr="00524CD0">
              <w:rPr>
                <w:color w:val="auto"/>
                <w:sz w:val="18"/>
                <w:szCs w:val="18"/>
              </w:rPr>
              <w:t xml:space="preserve">McCafferty </w:t>
            </w:r>
            <w:r w:rsidR="00211771" w:rsidRPr="00524CD0">
              <w:rPr>
                <w:i/>
                <w:color w:val="auto"/>
                <w:sz w:val="18"/>
                <w:szCs w:val="18"/>
              </w:rPr>
              <w:t>et al</w:t>
            </w:r>
            <w:r w:rsidRPr="00524CD0">
              <w:rPr>
                <w:color w:val="auto"/>
                <w:sz w:val="18"/>
                <w:szCs w:val="18"/>
                <w:vertAlign w:val="superscript"/>
              </w:rPr>
              <w:t>[64]</w:t>
            </w:r>
          </w:p>
        </w:tc>
      </w:tr>
    </w:tbl>
    <w:p w:rsidR="002E4309" w:rsidRPr="00524CD0" w:rsidRDefault="002E4309" w:rsidP="006F4EE5">
      <w:pPr>
        <w:spacing w:after="0" w:line="360" w:lineRule="auto"/>
        <w:ind w:left="0" w:firstLine="0"/>
        <w:rPr>
          <w:color w:val="auto"/>
          <w:sz w:val="18"/>
          <w:szCs w:val="18"/>
        </w:rPr>
      </w:pPr>
    </w:p>
    <w:tbl>
      <w:tblPr>
        <w:tblStyle w:val="TableGrid"/>
        <w:tblW w:w="12719" w:type="dxa"/>
        <w:tblInd w:w="-108" w:type="dxa"/>
        <w:tblLayout w:type="fixed"/>
        <w:tblCellMar>
          <w:top w:w="53" w:type="dxa"/>
          <w:left w:w="108" w:type="dxa"/>
          <w:right w:w="50" w:type="dxa"/>
        </w:tblCellMar>
        <w:tblLook w:val="04A0" w:firstRow="1" w:lastRow="0" w:firstColumn="1" w:lastColumn="0" w:noHBand="0" w:noVBand="1"/>
      </w:tblPr>
      <w:tblGrid>
        <w:gridCol w:w="2104"/>
        <w:gridCol w:w="2252"/>
        <w:gridCol w:w="3260"/>
        <w:gridCol w:w="3686"/>
        <w:gridCol w:w="1417"/>
      </w:tblGrid>
      <w:tr w:rsidR="00931667" w:rsidRPr="00524CD0" w:rsidTr="00FC70BA">
        <w:trPr>
          <w:trHeight w:val="2744"/>
        </w:trPr>
        <w:tc>
          <w:tcPr>
            <w:tcW w:w="2104" w:type="dxa"/>
            <w:tcBorders>
              <w:top w:val="single" w:sz="4" w:space="0" w:color="000000"/>
              <w:left w:val="single" w:sz="4" w:space="0" w:color="000000"/>
              <w:bottom w:val="single" w:sz="4" w:space="0" w:color="000000"/>
              <w:right w:val="single" w:sz="4" w:space="0" w:color="000000"/>
            </w:tcBorders>
          </w:tcPr>
          <w:p w:rsidR="00FC70BA" w:rsidRPr="00524CD0" w:rsidRDefault="00FC70BA" w:rsidP="006F4EE5">
            <w:pPr>
              <w:spacing w:after="0" w:line="360" w:lineRule="auto"/>
              <w:ind w:left="0" w:firstLine="0"/>
              <w:rPr>
                <w:color w:val="auto"/>
                <w:sz w:val="18"/>
                <w:szCs w:val="18"/>
              </w:rPr>
            </w:pPr>
          </w:p>
        </w:tc>
        <w:tc>
          <w:tcPr>
            <w:tcW w:w="2252" w:type="dxa"/>
            <w:tcBorders>
              <w:top w:val="single" w:sz="4" w:space="0" w:color="000000"/>
              <w:left w:val="single" w:sz="4" w:space="0" w:color="000000"/>
              <w:bottom w:val="single" w:sz="4" w:space="0" w:color="000000"/>
              <w:right w:val="single" w:sz="4" w:space="0" w:color="000000"/>
            </w:tcBorders>
          </w:tcPr>
          <w:p w:rsidR="00FC70BA" w:rsidRPr="00524CD0" w:rsidRDefault="00FC70BA" w:rsidP="00524CD0">
            <w:pPr>
              <w:spacing w:after="0" w:line="360" w:lineRule="auto"/>
              <w:ind w:left="0" w:firstLine="0"/>
              <w:rPr>
                <w:color w:val="auto"/>
                <w:sz w:val="18"/>
                <w:szCs w:val="18"/>
              </w:rPr>
            </w:pPr>
            <w:r w:rsidRPr="00524CD0">
              <w:rPr>
                <w:color w:val="auto"/>
                <w:sz w:val="18"/>
                <w:szCs w:val="18"/>
              </w:rPr>
              <w:t xml:space="preserve">Polished </w:t>
            </w:r>
            <w:r w:rsidR="00524CD0" w:rsidRPr="00524CD0">
              <w:rPr>
                <w:color w:val="auto"/>
                <w:sz w:val="18"/>
                <w:szCs w:val="18"/>
              </w:rPr>
              <w:t>Ti</w:t>
            </w:r>
            <w:r w:rsidRPr="00524CD0">
              <w:rPr>
                <w:color w:val="auto"/>
                <w:sz w:val="18"/>
                <w:szCs w:val="18"/>
              </w:rPr>
              <w:t xml:space="preserve"> surfaces chemically treated with H</w:t>
            </w:r>
            <w:r w:rsidRPr="00524CD0">
              <w:rPr>
                <w:color w:val="auto"/>
                <w:sz w:val="18"/>
                <w:szCs w:val="18"/>
                <w:vertAlign w:val="subscript"/>
              </w:rPr>
              <w:t>2</w:t>
            </w:r>
            <w:r w:rsidRPr="00524CD0">
              <w:rPr>
                <w:color w:val="auto"/>
                <w:sz w:val="18"/>
                <w:szCs w:val="18"/>
              </w:rPr>
              <w:t>SO</w:t>
            </w:r>
            <w:r w:rsidRPr="00524CD0">
              <w:rPr>
                <w:color w:val="auto"/>
                <w:sz w:val="18"/>
                <w:szCs w:val="18"/>
                <w:vertAlign w:val="subscript"/>
              </w:rPr>
              <w:t>4</w:t>
            </w:r>
            <w:r w:rsidRPr="00524CD0">
              <w:rPr>
                <w:color w:val="auto"/>
                <w:sz w:val="18"/>
                <w:szCs w:val="18"/>
              </w:rPr>
              <w:t>/H</w:t>
            </w:r>
            <w:r w:rsidRPr="00524CD0">
              <w:rPr>
                <w:color w:val="auto"/>
                <w:sz w:val="18"/>
                <w:szCs w:val="18"/>
                <w:vertAlign w:val="subscript"/>
              </w:rPr>
              <w:t>2</w:t>
            </w:r>
            <w:r w:rsidRPr="00524CD0">
              <w:rPr>
                <w:color w:val="auto"/>
                <w:sz w:val="18"/>
                <w:szCs w:val="18"/>
              </w:rPr>
              <w:t>O</w:t>
            </w:r>
            <w:r w:rsidRPr="00524CD0">
              <w:rPr>
                <w:color w:val="auto"/>
                <w:sz w:val="18"/>
                <w:szCs w:val="18"/>
                <w:vertAlign w:val="subscript"/>
              </w:rPr>
              <w:t>2</w:t>
            </w:r>
            <w:r w:rsidRPr="00524CD0">
              <w:rPr>
                <w:color w:val="auto"/>
                <w:sz w:val="18"/>
                <w:szCs w:val="18"/>
              </w:rPr>
              <w:t xml:space="preserve"> to create nanotopography </w:t>
            </w:r>
          </w:p>
        </w:tc>
        <w:tc>
          <w:tcPr>
            <w:tcW w:w="3260" w:type="dxa"/>
            <w:tcBorders>
              <w:top w:val="single" w:sz="4" w:space="0" w:color="000000"/>
              <w:left w:val="single" w:sz="4" w:space="0" w:color="000000"/>
              <w:bottom w:val="single" w:sz="4" w:space="0" w:color="000000"/>
              <w:right w:val="single" w:sz="4" w:space="0" w:color="000000"/>
            </w:tcBorders>
          </w:tcPr>
          <w:p w:rsidR="00FC70BA" w:rsidRPr="00524CD0" w:rsidRDefault="00FC70BA" w:rsidP="006F4EE5">
            <w:pPr>
              <w:spacing w:after="0" w:line="360" w:lineRule="auto"/>
              <w:ind w:left="0" w:firstLine="0"/>
              <w:rPr>
                <w:rFonts w:eastAsiaTheme="minorEastAsia"/>
                <w:color w:val="auto"/>
                <w:sz w:val="18"/>
                <w:szCs w:val="18"/>
                <w:lang w:eastAsia="zh-CN"/>
              </w:rPr>
            </w:pPr>
            <w:r w:rsidRPr="00524CD0">
              <w:rPr>
                <w:color w:val="auto"/>
                <w:sz w:val="18"/>
                <w:szCs w:val="18"/>
              </w:rPr>
              <w:t xml:space="preserve">Chemically treated Ti surfaces with nanotopography and seeded with rat MSCs were used to investigate their osteoinductive potentials compared to untreated surfaces. Signalling pathways responsible for osteoinductive effect of nanotopography </w:t>
            </w:r>
            <w:r w:rsidR="00211771" w:rsidRPr="00524CD0">
              <w:rPr>
                <w:color w:val="auto"/>
                <w:sz w:val="18"/>
                <w:szCs w:val="18"/>
              </w:rPr>
              <w:t>on MSCs were also investigated</w:t>
            </w:r>
          </w:p>
        </w:tc>
        <w:tc>
          <w:tcPr>
            <w:tcW w:w="3686" w:type="dxa"/>
            <w:tcBorders>
              <w:top w:val="single" w:sz="4" w:space="0" w:color="000000"/>
              <w:left w:val="single" w:sz="4" w:space="0" w:color="000000"/>
              <w:bottom w:val="single" w:sz="4" w:space="0" w:color="000000"/>
              <w:right w:val="single" w:sz="4" w:space="0" w:color="000000"/>
            </w:tcBorders>
          </w:tcPr>
          <w:p w:rsidR="00FC70BA" w:rsidRPr="00524CD0" w:rsidRDefault="00FC70BA" w:rsidP="006F4EE5">
            <w:pPr>
              <w:spacing w:after="0" w:line="360" w:lineRule="auto"/>
              <w:ind w:left="0" w:firstLine="0"/>
              <w:rPr>
                <w:rFonts w:eastAsiaTheme="minorEastAsia"/>
                <w:color w:val="auto"/>
                <w:sz w:val="18"/>
                <w:szCs w:val="18"/>
                <w:lang w:eastAsia="zh-CN"/>
              </w:rPr>
            </w:pPr>
            <w:r w:rsidRPr="00524CD0">
              <w:rPr>
                <w:color w:val="auto"/>
                <w:sz w:val="18"/>
                <w:szCs w:val="18"/>
              </w:rPr>
              <w:t>Ti surfaces with nanotopography exhibited increased cell proliferation and alkaline phosphate activity. Gene expression of key bone markers was upregulated on nanotopography surfaces, under non-osteogenic co</w:t>
            </w:r>
            <w:r w:rsidR="00211771" w:rsidRPr="00524CD0">
              <w:rPr>
                <w:color w:val="auto"/>
                <w:sz w:val="18"/>
                <w:szCs w:val="18"/>
              </w:rPr>
              <w:t>nditions, compared to control</w:t>
            </w:r>
          </w:p>
        </w:tc>
        <w:tc>
          <w:tcPr>
            <w:tcW w:w="1417" w:type="dxa"/>
            <w:tcBorders>
              <w:top w:val="single" w:sz="4" w:space="0" w:color="000000"/>
              <w:left w:val="single" w:sz="4" w:space="0" w:color="000000"/>
              <w:bottom w:val="single" w:sz="4" w:space="0" w:color="000000"/>
              <w:right w:val="single" w:sz="4" w:space="0" w:color="000000"/>
            </w:tcBorders>
          </w:tcPr>
          <w:p w:rsidR="00FC70BA" w:rsidRPr="00524CD0" w:rsidRDefault="00FC70BA" w:rsidP="006F4EE5">
            <w:pPr>
              <w:spacing w:after="0" w:line="360" w:lineRule="auto"/>
              <w:ind w:left="0" w:firstLine="0"/>
              <w:rPr>
                <w:color w:val="auto"/>
                <w:sz w:val="18"/>
                <w:szCs w:val="18"/>
              </w:rPr>
            </w:pPr>
            <w:r w:rsidRPr="00524CD0">
              <w:rPr>
                <w:color w:val="auto"/>
                <w:sz w:val="18"/>
                <w:szCs w:val="18"/>
              </w:rPr>
              <w:t xml:space="preserve">Rosa </w:t>
            </w:r>
            <w:r w:rsidR="00211771" w:rsidRPr="00524CD0">
              <w:rPr>
                <w:i/>
                <w:color w:val="auto"/>
                <w:sz w:val="18"/>
                <w:szCs w:val="18"/>
              </w:rPr>
              <w:t>et al</w:t>
            </w:r>
            <w:r w:rsidRPr="00524CD0">
              <w:rPr>
                <w:color w:val="auto"/>
                <w:sz w:val="18"/>
                <w:szCs w:val="18"/>
                <w:vertAlign w:val="superscript"/>
              </w:rPr>
              <w:t>[67]</w:t>
            </w:r>
          </w:p>
        </w:tc>
      </w:tr>
      <w:tr w:rsidR="00931667" w:rsidRPr="00524CD0" w:rsidTr="00FC70BA">
        <w:trPr>
          <w:trHeight w:val="2746"/>
        </w:trPr>
        <w:tc>
          <w:tcPr>
            <w:tcW w:w="2104" w:type="dxa"/>
            <w:vMerge w:val="restart"/>
            <w:tcBorders>
              <w:top w:val="single" w:sz="4" w:space="0" w:color="000000"/>
              <w:left w:val="single" w:sz="4" w:space="0" w:color="000000"/>
              <w:bottom w:val="single" w:sz="4" w:space="0" w:color="auto"/>
              <w:right w:val="single" w:sz="4" w:space="0" w:color="000000"/>
            </w:tcBorders>
          </w:tcPr>
          <w:p w:rsidR="00FC70BA" w:rsidRPr="00524CD0" w:rsidRDefault="00FC70BA" w:rsidP="006F4EE5">
            <w:pPr>
              <w:spacing w:after="0" w:line="360" w:lineRule="auto"/>
              <w:ind w:left="0" w:firstLine="0"/>
              <w:rPr>
                <w:color w:val="auto"/>
                <w:sz w:val="18"/>
                <w:szCs w:val="18"/>
              </w:rPr>
            </w:pPr>
            <w:r w:rsidRPr="00524CD0">
              <w:rPr>
                <w:b/>
                <w:color w:val="auto"/>
                <w:sz w:val="18"/>
                <w:szCs w:val="18"/>
              </w:rPr>
              <w:t xml:space="preserve">Cartilage </w:t>
            </w:r>
          </w:p>
        </w:tc>
        <w:tc>
          <w:tcPr>
            <w:tcW w:w="2252" w:type="dxa"/>
            <w:tcBorders>
              <w:top w:val="single" w:sz="4" w:space="0" w:color="000000"/>
              <w:left w:val="single" w:sz="4" w:space="0" w:color="000000"/>
              <w:bottom w:val="single" w:sz="4" w:space="0" w:color="000000"/>
              <w:right w:val="single" w:sz="4" w:space="0" w:color="000000"/>
            </w:tcBorders>
          </w:tcPr>
          <w:p w:rsidR="00FC70BA" w:rsidRPr="00524CD0" w:rsidRDefault="00FC70BA" w:rsidP="006F4EE5">
            <w:pPr>
              <w:spacing w:after="0" w:line="360" w:lineRule="auto"/>
              <w:ind w:left="0" w:firstLine="0"/>
              <w:rPr>
                <w:color w:val="auto"/>
                <w:sz w:val="18"/>
                <w:szCs w:val="18"/>
              </w:rPr>
            </w:pPr>
            <w:r w:rsidRPr="00524CD0">
              <w:rPr>
                <w:color w:val="auto"/>
                <w:sz w:val="18"/>
                <w:szCs w:val="18"/>
              </w:rPr>
              <w:t xml:space="preserve">A biomimetic microfluidic device embedded with aligned nanofibers consisting </w:t>
            </w:r>
            <w:r w:rsidRPr="00524CD0">
              <w:rPr>
                <w:color w:val="auto"/>
                <w:sz w:val="18"/>
                <w:szCs w:val="18"/>
              </w:rPr>
              <w:tab/>
              <w:t>of m</w:t>
            </w:r>
            <w:r w:rsidR="00211771" w:rsidRPr="00524CD0">
              <w:rPr>
                <w:color w:val="auto"/>
                <w:sz w:val="18"/>
                <w:szCs w:val="18"/>
              </w:rPr>
              <w:t>icrochambers of different angle</w:t>
            </w:r>
            <w:r w:rsidRPr="00524CD0">
              <w:rPr>
                <w:color w:val="auto"/>
                <w:sz w:val="18"/>
                <w:szCs w:val="18"/>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FC70BA" w:rsidRPr="00524CD0" w:rsidRDefault="00FC70BA" w:rsidP="006F4EE5">
            <w:pPr>
              <w:spacing w:after="0" w:line="360" w:lineRule="auto"/>
              <w:ind w:left="0" w:firstLine="0"/>
              <w:rPr>
                <w:rFonts w:eastAsiaTheme="minorEastAsia"/>
                <w:color w:val="auto"/>
                <w:sz w:val="18"/>
                <w:szCs w:val="18"/>
                <w:lang w:eastAsia="zh-CN"/>
              </w:rPr>
            </w:pPr>
            <w:r w:rsidRPr="00524CD0">
              <w:rPr>
                <w:color w:val="auto"/>
                <w:sz w:val="18"/>
                <w:szCs w:val="18"/>
              </w:rPr>
              <w:t xml:space="preserve">A device was developed to create a microenvironment that integrates nanotopography and flow stimulus of the ECM of natural cartilage for the purpose of investigating the effect of microfluidic and nanotopography on the cellular behaviour </w:t>
            </w:r>
            <w:r w:rsidRPr="00524CD0">
              <w:rPr>
                <w:color w:val="auto"/>
                <w:sz w:val="18"/>
                <w:szCs w:val="18"/>
              </w:rPr>
              <w:tab/>
              <w:t>and fibrochondrog</w:t>
            </w:r>
            <w:r w:rsidR="00211771" w:rsidRPr="00524CD0">
              <w:rPr>
                <w:color w:val="auto"/>
                <w:sz w:val="18"/>
                <w:szCs w:val="18"/>
              </w:rPr>
              <w:t>enesis of MSCs</w:t>
            </w:r>
          </w:p>
        </w:tc>
        <w:tc>
          <w:tcPr>
            <w:tcW w:w="3686" w:type="dxa"/>
            <w:tcBorders>
              <w:top w:val="single" w:sz="4" w:space="0" w:color="000000"/>
              <w:left w:val="single" w:sz="4" w:space="0" w:color="000000"/>
              <w:bottom w:val="single" w:sz="4" w:space="0" w:color="000000"/>
              <w:right w:val="single" w:sz="4" w:space="0" w:color="000000"/>
            </w:tcBorders>
          </w:tcPr>
          <w:p w:rsidR="00FC70BA" w:rsidRPr="00524CD0" w:rsidRDefault="00FC70BA" w:rsidP="006F4EE5">
            <w:pPr>
              <w:spacing w:after="0" w:line="360" w:lineRule="auto"/>
              <w:ind w:left="0" w:firstLine="0"/>
              <w:rPr>
                <w:rFonts w:eastAsiaTheme="minorEastAsia"/>
                <w:color w:val="auto"/>
                <w:sz w:val="18"/>
                <w:szCs w:val="18"/>
                <w:lang w:eastAsia="zh-CN"/>
              </w:rPr>
            </w:pPr>
            <w:r w:rsidRPr="00524CD0">
              <w:rPr>
                <w:color w:val="auto"/>
                <w:sz w:val="18"/>
                <w:szCs w:val="18"/>
              </w:rPr>
              <w:t>The angle of flow direction, in relation to the aligned nanofibers, affects MSCs behaviour. Fibrochondrogenesis of MSCs was evident when the flow direction was perpendic</w:t>
            </w:r>
            <w:r w:rsidR="00211771" w:rsidRPr="00524CD0">
              <w:rPr>
                <w:color w:val="auto"/>
                <w:sz w:val="18"/>
                <w:szCs w:val="18"/>
              </w:rPr>
              <w:t>ular to the aligned nanofibers</w:t>
            </w:r>
          </w:p>
        </w:tc>
        <w:tc>
          <w:tcPr>
            <w:tcW w:w="1417" w:type="dxa"/>
            <w:tcBorders>
              <w:top w:val="single" w:sz="4" w:space="0" w:color="000000"/>
              <w:left w:val="single" w:sz="4" w:space="0" w:color="000000"/>
              <w:bottom w:val="single" w:sz="4" w:space="0" w:color="000000"/>
              <w:right w:val="single" w:sz="4" w:space="0" w:color="000000"/>
            </w:tcBorders>
          </w:tcPr>
          <w:p w:rsidR="00FC70BA" w:rsidRPr="00524CD0" w:rsidRDefault="00FC70BA" w:rsidP="006F4EE5">
            <w:pPr>
              <w:spacing w:after="0" w:line="360" w:lineRule="auto"/>
              <w:ind w:left="0" w:firstLine="0"/>
              <w:rPr>
                <w:i/>
                <w:color w:val="auto"/>
                <w:sz w:val="18"/>
                <w:szCs w:val="18"/>
              </w:rPr>
            </w:pPr>
            <w:r w:rsidRPr="00524CD0">
              <w:rPr>
                <w:color w:val="auto"/>
                <w:sz w:val="18"/>
                <w:szCs w:val="18"/>
              </w:rPr>
              <w:t xml:space="preserve">Zhang </w:t>
            </w:r>
            <w:r w:rsidRPr="00524CD0">
              <w:rPr>
                <w:color w:val="auto"/>
                <w:sz w:val="18"/>
                <w:szCs w:val="18"/>
              </w:rPr>
              <w:tab/>
            </w:r>
            <w:r w:rsidRPr="00524CD0">
              <w:rPr>
                <w:i/>
                <w:color w:val="auto"/>
                <w:sz w:val="18"/>
                <w:szCs w:val="18"/>
              </w:rPr>
              <w:t>et al</w:t>
            </w:r>
            <w:r w:rsidRPr="00524CD0">
              <w:rPr>
                <w:color w:val="auto"/>
                <w:sz w:val="18"/>
                <w:szCs w:val="18"/>
                <w:vertAlign w:val="superscript"/>
              </w:rPr>
              <w:t>[76]</w:t>
            </w:r>
          </w:p>
        </w:tc>
      </w:tr>
      <w:tr w:rsidR="00931667" w:rsidRPr="00524CD0" w:rsidTr="00FC70BA">
        <w:trPr>
          <w:trHeight w:val="2744"/>
        </w:trPr>
        <w:tc>
          <w:tcPr>
            <w:tcW w:w="2104" w:type="dxa"/>
            <w:vMerge/>
            <w:tcBorders>
              <w:top w:val="single" w:sz="4" w:space="0" w:color="auto"/>
              <w:left w:val="single" w:sz="4" w:space="0" w:color="000000"/>
              <w:bottom w:val="single" w:sz="4" w:space="0" w:color="auto"/>
              <w:right w:val="single" w:sz="4" w:space="0" w:color="000000"/>
            </w:tcBorders>
          </w:tcPr>
          <w:p w:rsidR="00FC70BA" w:rsidRPr="00524CD0" w:rsidRDefault="00FC70BA" w:rsidP="006F4EE5">
            <w:pPr>
              <w:spacing w:after="0" w:line="360" w:lineRule="auto"/>
              <w:ind w:left="0" w:firstLine="0"/>
              <w:rPr>
                <w:color w:val="auto"/>
                <w:sz w:val="18"/>
                <w:szCs w:val="18"/>
              </w:rPr>
            </w:pPr>
          </w:p>
        </w:tc>
        <w:tc>
          <w:tcPr>
            <w:tcW w:w="2252" w:type="dxa"/>
            <w:tcBorders>
              <w:top w:val="single" w:sz="4" w:space="0" w:color="000000"/>
              <w:left w:val="single" w:sz="4" w:space="0" w:color="000000"/>
              <w:bottom w:val="single" w:sz="4" w:space="0" w:color="auto"/>
              <w:right w:val="single" w:sz="4" w:space="0" w:color="000000"/>
            </w:tcBorders>
          </w:tcPr>
          <w:p w:rsidR="00FC70BA" w:rsidRPr="00524CD0" w:rsidRDefault="00FC70BA" w:rsidP="006F4EE5">
            <w:pPr>
              <w:spacing w:after="0" w:line="360" w:lineRule="auto"/>
              <w:ind w:left="0" w:firstLine="0"/>
              <w:rPr>
                <w:color w:val="auto"/>
                <w:sz w:val="18"/>
                <w:szCs w:val="18"/>
              </w:rPr>
            </w:pPr>
            <w:r w:rsidRPr="00524CD0">
              <w:rPr>
                <w:color w:val="auto"/>
                <w:sz w:val="18"/>
                <w:szCs w:val="18"/>
              </w:rPr>
              <w:t xml:space="preserve">Nanowire </w:t>
            </w:r>
          </w:p>
          <w:p w:rsidR="00FC70BA" w:rsidRPr="00524CD0" w:rsidRDefault="00FC70BA" w:rsidP="006F4EE5">
            <w:pPr>
              <w:spacing w:after="0" w:line="360" w:lineRule="auto"/>
              <w:ind w:left="0" w:firstLine="0"/>
              <w:rPr>
                <w:color w:val="auto"/>
                <w:sz w:val="18"/>
                <w:szCs w:val="18"/>
              </w:rPr>
            </w:pPr>
            <w:r w:rsidRPr="00524CD0">
              <w:rPr>
                <w:color w:val="auto"/>
                <w:sz w:val="18"/>
                <w:szCs w:val="18"/>
              </w:rPr>
              <w:t xml:space="preserve">nanotopographic surfaces </w:t>
            </w:r>
          </w:p>
        </w:tc>
        <w:tc>
          <w:tcPr>
            <w:tcW w:w="3260" w:type="dxa"/>
            <w:tcBorders>
              <w:top w:val="single" w:sz="4" w:space="0" w:color="000000"/>
              <w:left w:val="single" w:sz="4" w:space="0" w:color="000000"/>
              <w:bottom w:val="single" w:sz="4" w:space="0" w:color="auto"/>
              <w:right w:val="single" w:sz="4" w:space="0" w:color="000000"/>
            </w:tcBorders>
          </w:tcPr>
          <w:p w:rsidR="00FC70BA" w:rsidRPr="00524CD0" w:rsidRDefault="00FC70BA" w:rsidP="006F4EE5">
            <w:pPr>
              <w:spacing w:after="0" w:line="360" w:lineRule="auto"/>
              <w:ind w:left="0" w:firstLine="0"/>
              <w:rPr>
                <w:rFonts w:eastAsiaTheme="minorEastAsia"/>
                <w:color w:val="auto"/>
                <w:sz w:val="18"/>
                <w:szCs w:val="18"/>
                <w:lang w:eastAsia="zh-CN"/>
              </w:rPr>
            </w:pPr>
            <w:r w:rsidRPr="00524CD0">
              <w:rPr>
                <w:color w:val="auto"/>
                <w:sz w:val="18"/>
                <w:szCs w:val="18"/>
              </w:rPr>
              <w:t>Polycaprolactone nanowires surfaces were fabricated using a solvent-free gravimetric template technique to investigate their nanotopographical effects on the adhesion, proliferation, differentiation and ECM synthesis of adipose-de</w:t>
            </w:r>
            <w:r w:rsidR="00211771" w:rsidRPr="00524CD0">
              <w:rPr>
                <w:color w:val="auto"/>
                <w:sz w:val="18"/>
                <w:szCs w:val="18"/>
              </w:rPr>
              <w:t>rived MSCs</w:t>
            </w:r>
          </w:p>
        </w:tc>
        <w:tc>
          <w:tcPr>
            <w:tcW w:w="3686" w:type="dxa"/>
            <w:tcBorders>
              <w:top w:val="single" w:sz="4" w:space="0" w:color="000000"/>
              <w:left w:val="single" w:sz="4" w:space="0" w:color="000000"/>
              <w:bottom w:val="single" w:sz="4" w:space="0" w:color="auto"/>
              <w:right w:val="single" w:sz="4" w:space="0" w:color="000000"/>
            </w:tcBorders>
          </w:tcPr>
          <w:p w:rsidR="00FC70BA" w:rsidRPr="00524CD0" w:rsidRDefault="00FC70BA" w:rsidP="006F4EE5">
            <w:pPr>
              <w:spacing w:after="0" w:line="360" w:lineRule="auto"/>
              <w:ind w:left="0" w:firstLine="0"/>
              <w:rPr>
                <w:rFonts w:eastAsiaTheme="minorEastAsia"/>
                <w:color w:val="auto"/>
                <w:sz w:val="18"/>
                <w:szCs w:val="18"/>
                <w:lang w:eastAsia="zh-CN"/>
              </w:rPr>
            </w:pPr>
            <w:r w:rsidRPr="00524CD0">
              <w:rPr>
                <w:color w:val="auto"/>
                <w:sz w:val="18"/>
                <w:szCs w:val="18"/>
              </w:rPr>
              <w:t>The results demonstrated that adhesion and proliferation of adipose-derived MSCs were enhanced on nanowire surfaces compared to the control. Nanowires also effecte</w:t>
            </w:r>
            <w:r w:rsidR="00211771" w:rsidRPr="00524CD0">
              <w:rPr>
                <w:color w:val="auto"/>
                <w:sz w:val="18"/>
                <w:szCs w:val="18"/>
              </w:rPr>
              <w:t>d the morphology of these cells</w:t>
            </w:r>
            <w:r w:rsidRPr="00524CD0">
              <w:rPr>
                <w:color w:val="auto"/>
                <w:sz w:val="18"/>
                <w:szCs w:val="18"/>
              </w:rPr>
              <w:t xml:space="preserve"> Interestingly, it was shown that nanowires supported adipogenic differentiation of these cells rather tha</w:t>
            </w:r>
            <w:r w:rsidR="00211771" w:rsidRPr="00524CD0">
              <w:rPr>
                <w:color w:val="auto"/>
                <w:sz w:val="18"/>
                <w:szCs w:val="18"/>
              </w:rPr>
              <w:t>n chondrogenic differentiation</w:t>
            </w:r>
          </w:p>
        </w:tc>
        <w:tc>
          <w:tcPr>
            <w:tcW w:w="1417" w:type="dxa"/>
            <w:tcBorders>
              <w:top w:val="single" w:sz="4" w:space="0" w:color="000000"/>
              <w:left w:val="single" w:sz="4" w:space="0" w:color="000000"/>
              <w:bottom w:val="single" w:sz="4" w:space="0" w:color="auto"/>
              <w:right w:val="single" w:sz="4" w:space="0" w:color="000000"/>
            </w:tcBorders>
          </w:tcPr>
          <w:p w:rsidR="00FC70BA" w:rsidRPr="00524CD0" w:rsidRDefault="00FC70BA" w:rsidP="006F4EE5">
            <w:pPr>
              <w:spacing w:after="0" w:line="360" w:lineRule="auto"/>
              <w:ind w:left="0" w:firstLine="0"/>
              <w:rPr>
                <w:color w:val="auto"/>
                <w:sz w:val="18"/>
                <w:szCs w:val="18"/>
              </w:rPr>
            </w:pPr>
            <w:r w:rsidRPr="00524CD0">
              <w:rPr>
                <w:color w:val="auto"/>
                <w:sz w:val="18"/>
                <w:szCs w:val="18"/>
              </w:rPr>
              <w:t xml:space="preserve">Trujillo </w:t>
            </w:r>
            <w:r w:rsidR="00211771" w:rsidRPr="00524CD0">
              <w:rPr>
                <w:i/>
                <w:color w:val="auto"/>
                <w:sz w:val="18"/>
                <w:szCs w:val="18"/>
              </w:rPr>
              <w:t>et al</w:t>
            </w:r>
            <w:r w:rsidRPr="00524CD0">
              <w:rPr>
                <w:color w:val="auto"/>
                <w:sz w:val="18"/>
                <w:szCs w:val="18"/>
                <w:vertAlign w:val="superscript"/>
              </w:rPr>
              <w:t>[74]</w:t>
            </w:r>
          </w:p>
        </w:tc>
      </w:tr>
      <w:tr w:rsidR="00931667" w:rsidRPr="00524CD0" w:rsidTr="00FC70BA">
        <w:trPr>
          <w:trHeight w:val="2064"/>
        </w:trPr>
        <w:tc>
          <w:tcPr>
            <w:tcW w:w="2104" w:type="dxa"/>
            <w:tcBorders>
              <w:top w:val="single" w:sz="4" w:space="0" w:color="auto"/>
              <w:left w:val="single" w:sz="4" w:space="0" w:color="000000"/>
              <w:bottom w:val="single" w:sz="4" w:space="0" w:color="auto"/>
              <w:right w:val="single" w:sz="4" w:space="0" w:color="000000"/>
            </w:tcBorders>
          </w:tcPr>
          <w:p w:rsidR="00FC70BA" w:rsidRPr="00524CD0" w:rsidRDefault="00FC70BA" w:rsidP="006F4EE5">
            <w:pPr>
              <w:spacing w:after="0" w:line="360" w:lineRule="auto"/>
              <w:ind w:left="0" w:firstLine="0"/>
              <w:rPr>
                <w:color w:val="auto"/>
                <w:sz w:val="18"/>
                <w:szCs w:val="18"/>
              </w:rPr>
            </w:pPr>
          </w:p>
        </w:tc>
        <w:tc>
          <w:tcPr>
            <w:tcW w:w="2252" w:type="dxa"/>
            <w:tcBorders>
              <w:top w:val="single" w:sz="4" w:space="0" w:color="000000"/>
              <w:left w:val="single" w:sz="4" w:space="0" w:color="000000"/>
              <w:bottom w:val="single" w:sz="4" w:space="0" w:color="000000"/>
              <w:right w:val="single" w:sz="4" w:space="0" w:color="000000"/>
            </w:tcBorders>
          </w:tcPr>
          <w:p w:rsidR="00FC70BA" w:rsidRPr="00524CD0" w:rsidRDefault="00FC70BA" w:rsidP="006F4EE5">
            <w:pPr>
              <w:spacing w:after="0" w:line="360" w:lineRule="auto"/>
              <w:ind w:left="0" w:firstLine="0"/>
              <w:rPr>
                <w:color w:val="auto"/>
                <w:sz w:val="18"/>
                <w:szCs w:val="18"/>
              </w:rPr>
            </w:pPr>
            <w:r w:rsidRPr="00524CD0">
              <w:rPr>
                <w:color w:val="auto"/>
                <w:sz w:val="18"/>
                <w:szCs w:val="18"/>
              </w:rPr>
              <w:t>Nano-pillar, nano-hole and nano-grill nanotopography surfaces</w:t>
            </w:r>
          </w:p>
        </w:tc>
        <w:tc>
          <w:tcPr>
            <w:tcW w:w="3260" w:type="dxa"/>
            <w:tcBorders>
              <w:top w:val="single" w:sz="4" w:space="0" w:color="000000"/>
              <w:left w:val="single" w:sz="4" w:space="0" w:color="000000"/>
              <w:bottom w:val="single" w:sz="4" w:space="0" w:color="000000"/>
              <w:right w:val="single" w:sz="4" w:space="0" w:color="000000"/>
            </w:tcBorders>
          </w:tcPr>
          <w:p w:rsidR="00FC70BA" w:rsidRPr="00524CD0" w:rsidRDefault="00FC70BA" w:rsidP="006F4EE5">
            <w:pPr>
              <w:spacing w:after="0" w:line="360" w:lineRule="auto"/>
              <w:ind w:left="0" w:firstLine="0"/>
              <w:rPr>
                <w:rFonts w:eastAsiaTheme="minorEastAsia"/>
                <w:color w:val="auto"/>
                <w:sz w:val="18"/>
                <w:szCs w:val="18"/>
                <w:lang w:eastAsia="zh-CN"/>
              </w:rPr>
            </w:pPr>
            <w:r w:rsidRPr="00524CD0">
              <w:rPr>
                <w:color w:val="auto"/>
                <w:sz w:val="18"/>
                <w:szCs w:val="18"/>
              </w:rPr>
              <w:t>Nano-pillar, nano-hole and nano-grill structures were formed on polycaprolactone surface using thermal nanoimprinting to investigate their effect on chondr</w:t>
            </w:r>
            <w:r w:rsidR="00211771" w:rsidRPr="00524CD0">
              <w:rPr>
                <w:color w:val="auto"/>
                <w:sz w:val="18"/>
                <w:szCs w:val="18"/>
              </w:rPr>
              <w:t>ogenic differentiation of hMSCs</w:t>
            </w:r>
          </w:p>
        </w:tc>
        <w:tc>
          <w:tcPr>
            <w:tcW w:w="3686" w:type="dxa"/>
            <w:tcBorders>
              <w:top w:val="single" w:sz="4" w:space="0" w:color="000000"/>
              <w:left w:val="single" w:sz="4" w:space="0" w:color="000000"/>
              <w:bottom w:val="single" w:sz="4" w:space="0" w:color="000000"/>
              <w:right w:val="single" w:sz="4" w:space="0" w:color="000000"/>
            </w:tcBorders>
          </w:tcPr>
          <w:p w:rsidR="00FC70BA" w:rsidRPr="00524CD0" w:rsidRDefault="00FC70BA" w:rsidP="006F4EE5">
            <w:pPr>
              <w:spacing w:after="0" w:line="360" w:lineRule="auto"/>
              <w:ind w:left="0" w:firstLine="0"/>
              <w:rPr>
                <w:rFonts w:eastAsiaTheme="minorEastAsia"/>
                <w:color w:val="auto"/>
                <w:sz w:val="18"/>
                <w:szCs w:val="18"/>
                <w:lang w:eastAsia="zh-CN"/>
              </w:rPr>
            </w:pPr>
            <w:r w:rsidRPr="00524CD0">
              <w:rPr>
                <w:color w:val="auto"/>
                <w:sz w:val="18"/>
                <w:szCs w:val="18"/>
              </w:rPr>
              <w:t>Nanotopographical patterns have the ability to induce changes in MSC morphology and cytoskeletal structure towards a specific lineage, in this case chondrocyte cells. Delayed chondrogenesis was observed on nanogrill topography compared to nano-pillar and nano-hole topography, w</w:t>
            </w:r>
            <w:r w:rsidR="00211771" w:rsidRPr="00524CD0">
              <w:rPr>
                <w:color w:val="auto"/>
                <w:sz w:val="18"/>
                <w:szCs w:val="18"/>
              </w:rPr>
              <w:t>hich enhance MSC chondrogenesis</w:t>
            </w:r>
          </w:p>
        </w:tc>
        <w:tc>
          <w:tcPr>
            <w:tcW w:w="1417" w:type="dxa"/>
            <w:tcBorders>
              <w:top w:val="single" w:sz="4" w:space="0" w:color="000000"/>
              <w:left w:val="single" w:sz="4" w:space="0" w:color="000000"/>
              <w:bottom w:val="single" w:sz="4" w:space="0" w:color="000000"/>
              <w:right w:val="single" w:sz="4" w:space="0" w:color="000000"/>
            </w:tcBorders>
          </w:tcPr>
          <w:p w:rsidR="00FC70BA" w:rsidRPr="00524CD0" w:rsidRDefault="00FC70BA" w:rsidP="006F4EE5">
            <w:pPr>
              <w:spacing w:after="0" w:line="360" w:lineRule="auto"/>
              <w:ind w:left="0" w:firstLine="0"/>
              <w:rPr>
                <w:color w:val="auto"/>
                <w:sz w:val="18"/>
                <w:szCs w:val="18"/>
              </w:rPr>
            </w:pPr>
            <w:r w:rsidRPr="00524CD0">
              <w:rPr>
                <w:color w:val="auto"/>
                <w:sz w:val="18"/>
                <w:szCs w:val="18"/>
              </w:rPr>
              <w:t xml:space="preserve">Wu </w:t>
            </w:r>
            <w:r w:rsidR="00211771" w:rsidRPr="00524CD0">
              <w:rPr>
                <w:i/>
                <w:color w:val="auto"/>
                <w:sz w:val="18"/>
                <w:szCs w:val="18"/>
              </w:rPr>
              <w:t>et al</w:t>
            </w:r>
            <w:r w:rsidRPr="00524CD0">
              <w:rPr>
                <w:color w:val="auto"/>
                <w:sz w:val="18"/>
                <w:szCs w:val="18"/>
                <w:vertAlign w:val="superscript"/>
              </w:rPr>
              <w:t>[56]</w:t>
            </w:r>
          </w:p>
        </w:tc>
      </w:tr>
      <w:tr w:rsidR="00931667" w:rsidRPr="00524CD0" w:rsidTr="00F62647">
        <w:trPr>
          <w:trHeight w:val="2064"/>
        </w:trPr>
        <w:tc>
          <w:tcPr>
            <w:tcW w:w="2104" w:type="dxa"/>
            <w:vMerge w:val="restart"/>
            <w:tcBorders>
              <w:top w:val="single" w:sz="4" w:space="0" w:color="auto"/>
              <w:left w:val="single" w:sz="4" w:space="0" w:color="000000"/>
              <w:right w:val="single" w:sz="4" w:space="0" w:color="000000"/>
            </w:tcBorders>
          </w:tcPr>
          <w:p w:rsidR="00FC70BA" w:rsidRPr="00524CD0" w:rsidRDefault="00FC70BA" w:rsidP="006F4EE5">
            <w:pPr>
              <w:spacing w:after="0" w:line="360" w:lineRule="auto"/>
              <w:ind w:left="0" w:firstLine="0"/>
              <w:rPr>
                <w:color w:val="auto"/>
                <w:sz w:val="18"/>
                <w:szCs w:val="18"/>
              </w:rPr>
            </w:pPr>
            <w:r w:rsidRPr="00524CD0">
              <w:rPr>
                <w:b/>
                <w:color w:val="auto"/>
                <w:sz w:val="18"/>
                <w:szCs w:val="18"/>
              </w:rPr>
              <w:t>Skin</w:t>
            </w:r>
          </w:p>
        </w:tc>
        <w:tc>
          <w:tcPr>
            <w:tcW w:w="2252" w:type="dxa"/>
            <w:tcBorders>
              <w:top w:val="single" w:sz="4" w:space="0" w:color="000000"/>
              <w:left w:val="single" w:sz="4" w:space="0" w:color="000000"/>
              <w:bottom w:val="single" w:sz="4" w:space="0" w:color="000000"/>
              <w:right w:val="single" w:sz="4" w:space="0" w:color="000000"/>
            </w:tcBorders>
          </w:tcPr>
          <w:p w:rsidR="00FC70BA" w:rsidRPr="00524CD0" w:rsidRDefault="00FC70BA" w:rsidP="006F4EE5">
            <w:pPr>
              <w:spacing w:after="0" w:line="360" w:lineRule="auto"/>
              <w:ind w:left="0" w:firstLine="0"/>
              <w:rPr>
                <w:color w:val="auto"/>
                <w:sz w:val="18"/>
                <w:szCs w:val="18"/>
              </w:rPr>
            </w:pPr>
            <w:r w:rsidRPr="00524CD0">
              <w:rPr>
                <w:color w:val="auto"/>
                <w:sz w:val="18"/>
                <w:szCs w:val="18"/>
              </w:rPr>
              <w:t xml:space="preserve">Electrospun </w:t>
            </w:r>
            <w:r w:rsidRPr="00524CD0">
              <w:rPr>
                <w:color w:val="auto"/>
                <w:sz w:val="18"/>
                <w:szCs w:val="18"/>
              </w:rPr>
              <w:tab/>
              <w:t>nanofibrous scaffolds</w:t>
            </w:r>
          </w:p>
        </w:tc>
        <w:tc>
          <w:tcPr>
            <w:tcW w:w="3260" w:type="dxa"/>
            <w:tcBorders>
              <w:top w:val="single" w:sz="4" w:space="0" w:color="000000"/>
              <w:left w:val="single" w:sz="4" w:space="0" w:color="000000"/>
              <w:bottom w:val="single" w:sz="4" w:space="0" w:color="000000"/>
              <w:right w:val="single" w:sz="4" w:space="0" w:color="000000"/>
            </w:tcBorders>
          </w:tcPr>
          <w:p w:rsidR="00211771" w:rsidRPr="00524CD0" w:rsidRDefault="00FC70BA" w:rsidP="00211771">
            <w:pPr>
              <w:spacing w:after="0" w:line="360" w:lineRule="auto"/>
              <w:ind w:left="0" w:firstLine="0"/>
              <w:rPr>
                <w:color w:val="auto"/>
                <w:sz w:val="18"/>
                <w:szCs w:val="18"/>
              </w:rPr>
            </w:pPr>
            <w:r w:rsidRPr="00524CD0">
              <w:rPr>
                <w:color w:val="auto"/>
                <w:sz w:val="18"/>
                <w:szCs w:val="18"/>
              </w:rPr>
              <w:t xml:space="preserve">Electrospun </w:t>
            </w:r>
          </w:p>
          <w:p w:rsidR="00FC70BA" w:rsidRPr="00524CD0" w:rsidRDefault="00211771" w:rsidP="006F4EE5">
            <w:pPr>
              <w:spacing w:after="0" w:line="360" w:lineRule="auto"/>
              <w:ind w:left="0" w:firstLine="0"/>
              <w:rPr>
                <w:rFonts w:eastAsiaTheme="minorEastAsia"/>
                <w:color w:val="auto"/>
                <w:sz w:val="18"/>
                <w:szCs w:val="18"/>
                <w:lang w:eastAsia="zh-CN"/>
              </w:rPr>
            </w:pPr>
            <w:r w:rsidRPr="00524CD0">
              <w:rPr>
                <w:color w:val="auto"/>
                <w:sz w:val="18"/>
                <w:szCs w:val="18"/>
              </w:rPr>
              <w:t>Coll/PLLCL</w:t>
            </w:r>
            <w:r w:rsidR="00FC70BA" w:rsidRPr="00524CD0">
              <w:rPr>
                <w:color w:val="auto"/>
                <w:sz w:val="18"/>
                <w:szCs w:val="18"/>
              </w:rPr>
              <w:t xml:space="preserve"> and PLLCL nanofibrous scaffolds were prepared to investigate the proliferation and differentiatio</w:t>
            </w:r>
            <w:r w:rsidR="00524CD0" w:rsidRPr="00524CD0">
              <w:rPr>
                <w:color w:val="auto"/>
                <w:sz w:val="18"/>
                <w:szCs w:val="18"/>
              </w:rPr>
              <w:t>n of MSCs to epidermal lineages</w:t>
            </w:r>
          </w:p>
        </w:tc>
        <w:tc>
          <w:tcPr>
            <w:tcW w:w="3686" w:type="dxa"/>
            <w:tcBorders>
              <w:top w:val="single" w:sz="4" w:space="0" w:color="000000"/>
              <w:left w:val="single" w:sz="4" w:space="0" w:color="000000"/>
              <w:bottom w:val="single" w:sz="4" w:space="0" w:color="000000"/>
              <w:right w:val="single" w:sz="4" w:space="0" w:color="000000"/>
            </w:tcBorders>
          </w:tcPr>
          <w:p w:rsidR="00FC70BA" w:rsidRPr="00524CD0" w:rsidRDefault="00FC70BA" w:rsidP="006F4EE5">
            <w:pPr>
              <w:spacing w:after="0" w:line="360" w:lineRule="auto"/>
              <w:ind w:left="0" w:firstLine="0"/>
              <w:rPr>
                <w:color w:val="auto"/>
                <w:sz w:val="18"/>
                <w:szCs w:val="18"/>
              </w:rPr>
            </w:pPr>
            <w:r w:rsidRPr="00524CD0">
              <w:rPr>
                <w:color w:val="auto"/>
                <w:sz w:val="18"/>
                <w:szCs w:val="18"/>
              </w:rPr>
              <w:t>Cell proliferation was significantly higher on Coll/PLLCL nanofibrous scaffolds compared to PLLCL scaffolds. MSC morphology was also different on Coll/PLLCL nanofibrous scaffolds compared to control. Electrospun Coll/PLLCL exhibited similar pr</w:t>
            </w:r>
            <w:r w:rsidR="00524CD0" w:rsidRPr="00524CD0">
              <w:rPr>
                <w:color w:val="auto"/>
                <w:sz w:val="18"/>
                <w:szCs w:val="18"/>
              </w:rPr>
              <w:t>operties to the native skin ECM</w:t>
            </w:r>
            <w:r w:rsidRPr="00524CD0">
              <w:rPr>
                <w:color w:val="auto"/>
                <w:sz w:val="18"/>
                <w:szCs w:val="18"/>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FC70BA" w:rsidRPr="00524CD0" w:rsidRDefault="00FC70BA" w:rsidP="006F4EE5">
            <w:pPr>
              <w:spacing w:after="0" w:line="360" w:lineRule="auto"/>
              <w:ind w:left="0" w:firstLine="0"/>
              <w:rPr>
                <w:color w:val="auto"/>
                <w:sz w:val="18"/>
                <w:szCs w:val="18"/>
              </w:rPr>
            </w:pPr>
            <w:r w:rsidRPr="00524CD0">
              <w:rPr>
                <w:color w:val="auto"/>
                <w:sz w:val="18"/>
                <w:szCs w:val="18"/>
              </w:rPr>
              <w:t xml:space="preserve">Jin </w:t>
            </w:r>
            <w:r w:rsidR="00211771" w:rsidRPr="00524CD0">
              <w:rPr>
                <w:i/>
                <w:color w:val="auto"/>
                <w:sz w:val="18"/>
                <w:szCs w:val="18"/>
              </w:rPr>
              <w:t>et al</w:t>
            </w:r>
            <w:r w:rsidRPr="00524CD0">
              <w:rPr>
                <w:color w:val="auto"/>
                <w:sz w:val="18"/>
                <w:szCs w:val="18"/>
                <w:vertAlign w:val="superscript"/>
              </w:rPr>
              <w:t>[86]</w:t>
            </w:r>
          </w:p>
        </w:tc>
      </w:tr>
      <w:tr w:rsidR="00931667" w:rsidRPr="00524CD0" w:rsidTr="00F62647">
        <w:trPr>
          <w:trHeight w:val="2064"/>
        </w:trPr>
        <w:tc>
          <w:tcPr>
            <w:tcW w:w="2104" w:type="dxa"/>
            <w:vMerge/>
            <w:tcBorders>
              <w:left w:val="single" w:sz="4" w:space="0" w:color="000000"/>
              <w:bottom w:val="single" w:sz="4" w:space="0" w:color="auto"/>
              <w:right w:val="single" w:sz="4" w:space="0" w:color="000000"/>
            </w:tcBorders>
          </w:tcPr>
          <w:p w:rsidR="00FC70BA" w:rsidRPr="00524CD0" w:rsidRDefault="00FC70BA" w:rsidP="006F4EE5">
            <w:pPr>
              <w:spacing w:after="0" w:line="360" w:lineRule="auto"/>
              <w:ind w:left="0" w:firstLine="0"/>
              <w:rPr>
                <w:b/>
                <w:color w:val="auto"/>
                <w:sz w:val="18"/>
                <w:szCs w:val="18"/>
              </w:rPr>
            </w:pPr>
          </w:p>
        </w:tc>
        <w:tc>
          <w:tcPr>
            <w:tcW w:w="2252" w:type="dxa"/>
            <w:tcBorders>
              <w:top w:val="single" w:sz="4" w:space="0" w:color="000000"/>
              <w:left w:val="single" w:sz="4" w:space="0" w:color="000000"/>
              <w:bottom w:val="single" w:sz="4" w:space="0" w:color="auto"/>
              <w:right w:val="single" w:sz="4" w:space="0" w:color="000000"/>
            </w:tcBorders>
          </w:tcPr>
          <w:p w:rsidR="00FC70BA" w:rsidRPr="00524CD0" w:rsidRDefault="00FC70BA" w:rsidP="006F4EE5">
            <w:pPr>
              <w:spacing w:after="0" w:line="360" w:lineRule="auto"/>
              <w:ind w:left="0" w:firstLine="0"/>
              <w:rPr>
                <w:color w:val="auto"/>
                <w:sz w:val="18"/>
                <w:szCs w:val="18"/>
              </w:rPr>
            </w:pPr>
            <w:r w:rsidRPr="00524CD0">
              <w:rPr>
                <w:color w:val="auto"/>
                <w:sz w:val="18"/>
                <w:szCs w:val="18"/>
              </w:rPr>
              <w:t>Nanotopographically variable grooved matrices</w:t>
            </w:r>
          </w:p>
        </w:tc>
        <w:tc>
          <w:tcPr>
            <w:tcW w:w="3260" w:type="dxa"/>
            <w:tcBorders>
              <w:top w:val="single" w:sz="4" w:space="0" w:color="000000"/>
              <w:left w:val="single" w:sz="4" w:space="0" w:color="000000"/>
              <w:bottom w:val="single" w:sz="4" w:space="0" w:color="auto"/>
              <w:right w:val="single" w:sz="4" w:space="0" w:color="000000"/>
            </w:tcBorders>
          </w:tcPr>
          <w:p w:rsidR="00FC70BA" w:rsidRPr="00524CD0" w:rsidRDefault="00FC70BA" w:rsidP="00211771">
            <w:pPr>
              <w:spacing w:after="0" w:line="360" w:lineRule="auto"/>
              <w:ind w:left="0" w:firstLine="0"/>
              <w:rPr>
                <w:rFonts w:eastAsiaTheme="minorEastAsia"/>
                <w:color w:val="auto"/>
                <w:sz w:val="18"/>
                <w:szCs w:val="18"/>
                <w:lang w:eastAsia="zh-CN"/>
              </w:rPr>
            </w:pPr>
            <w:r w:rsidRPr="00524CD0">
              <w:rPr>
                <w:color w:val="auto"/>
                <w:sz w:val="18"/>
                <w:szCs w:val="18"/>
              </w:rPr>
              <w:t xml:space="preserve">Nanotopographically variable grooved matrices, using UV assisted capillary force lithography, with curable </w:t>
            </w:r>
            <w:r w:rsidR="00211771" w:rsidRPr="00524CD0">
              <w:rPr>
                <w:color w:val="auto"/>
                <w:sz w:val="18"/>
                <w:szCs w:val="18"/>
              </w:rPr>
              <w:t>PUA</w:t>
            </w:r>
            <w:r w:rsidRPr="00524CD0">
              <w:rPr>
                <w:color w:val="auto"/>
                <w:sz w:val="18"/>
                <w:szCs w:val="18"/>
              </w:rPr>
              <w:t xml:space="preserve"> polymer were fabricated and then coated with gelatine to investigate the effect of nanotopographical density on hMSC migration and prolifera</w:t>
            </w:r>
            <w:r w:rsidR="00211771" w:rsidRPr="00524CD0">
              <w:rPr>
                <w:color w:val="auto"/>
                <w:sz w:val="18"/>
                <w:szCs w:val="18"/>
              </w:rPr>
              <w:t>tion for wound healing purposes</w:t>
            </w:r>
          </w:p>
        </w:tc>
        <w:tc>
          <w:tcPr>
            <w:tcW w:w="3686" w:type="dxa"/>
            <w:tcBorders>
              <w:top w:val="single" w:sz="4" w:space="0" w:color="000000"/>
              <w:left w:val="single" w:sz="4" w:space="0" w:color="000000"/>
              <w:bottom w:val="single" w:sz="4" w:space="0" w:color="auto"/>
              <w:right w:val="single" w:sz="4" w:space="0" w:color="000000"/>
            </w:tcBorders>
          </w:tcPr>
          <w:p w:rsidR="00FC70BA" w:rsidRPr="00524CD0" w:rsidRDefault="00FC70BA" w:rsidP="006F4EE5">
            <w:pPr>
              <w:spacing w:after="0" w:line="360" w:lineRule="auto"/>
              <w:ind w:left="0" w:firstLine="0"/>
              <w:rPr>
                <w:rFonts w:eastAsiaTheme="minorEastAsia"/>
                <w:color w:val="auto"/>
                <w:sz w:val="18"/>
                <w:szCs w:val="18"/>
                <w:lang w:eastAsia="zh-CN"/>
              </w:rPr>
            </w:pPr>
            <w:r w:rsidRPr="00524CD0">
              <w:rPr>
                <w:color w:val="auto"/>
                <w:sz w:val="18"/>
                <w:szCs w:val="18"/>
              </w:rPr>
              <w:t>As the density of the nanogrooved matrices increased, the speed of hMSCs migration increased proportionally. It was shown that hMSC proliferation was not significantly different on nanogrooved matrices, compared to flat control. Therefore, suggesting that proliferation of hMSCs may not b</w:t>
            </w:r>
            <w:r w:rsidR="00211771" w:rsidRPr="00524CD0">
              <w:rPr>
                <w:color w:val="auto"/>
                <w:sz w:val="18"/>
                <w:szCs w:val="18"/>
              </w:rPr>
              <w:t>e influenced by the nanogrooves</w:t>
            </w:r>
          </w:p>
        </w:tc>
        <w:tc>
          <w:tcPr>
            <w:tcW w:w="1417" w:type="dxa"/>
            <w:tcBorders>
              <w:top w:val="single" w:sz="4" w:space="0" w:color="000000"/>
              <w:left w:val="single" w:sz="4" w:space="0" w:color="000000"/>
              <w:bottom w:val="single" w:sz="4" w:space="0" w:color="auto"/>
              <w:right w:val="single" w:sz="4" w:space="0" w:color="000000"/>
            </w:tcBorders>
          </w:tcPr>
          <w:p w:rsidR="00FC70BA" w:rsidRPr="00524CD0" w:rsidRDefault="00FC70BA" w:rsidP="006F4EE5">
            <w:pPr>
              <w:spacing w:after="0" w:line="360" w:lineRule="auto"/>
              <w:ind w:left="0" w:firstLine="0"/>
              <w:rPr>
                <w:color w:val="auto"/>
                <w:sz w:val="18"/>
                <w:szCs w:val="18"/>
              </w:rPr>
            </w:pPr>
            <w:r w:rsidRPr="00524CD0">
              <w:rPr>
                <w:color w:val="auto"/>
                <w:sz w:val="18"/>
                <w:szCs w:val="18"/>
              </w:rPr>
              <w:t xml:space="preserve">Kim </w:t>
            </w:r>
            <w:r w:rsidR="00211771" w:rsidRPr="00524CD0">
              <w:rPr>
                <w:i/>
                <w:color w:val="auto"/>
                <w:sz w:val="18"/>
                <w:szCs w:val="18"/>
              </w:rPr>
              <w:t>et al</w:t>
            </w:r>
            <w:r w:rsidRPr="00524CD0">
              <w:rPr>
                <w:color w:val="auto"/>
                <w:sz w:val="18"/>
                <w:szCs w:val="18"/>
                <w:vertAlign w:val="superscript"/>
              </w:rPr>
              <w:t>[83]</w:t>
            </w:r>
          </w:p>
        </w:tc>
      </w:tr>
    </w:tbl>
    <w:p w:rsidR="00211771" w:rsidRPr="006F4EE5" w:rsidRDefault="00211771" w:rsidP="00211771">
      <w:pPr>
        <w:spacing w:after="0" w:line="360" w:lineRule="auto"/>
        <w:ind w:left="0" w:firstLine="0"/>
        <w:rPr>
          <w:color w:val="auto"/>
          <w:szCs w:val="24"/>
        </w:rPr>
      </w:pPr>
      <w:r>
        <w:rPr>
          <w:color w:val="auto"/>
          <w:szCs w:val="24"/>
        </w:rPr>
        <w:t>PUA</w:t>
      </w:r>
      <w:r>
        <w:rPr>
          <w:rFonts w:eastAsiaTheme="minorEastAsia" w:hint="eastAsia"/>
          <w:color w:val="auto"/>
          <w:szCs w:val="24"/>
          <w:lang w:eastAsia="zh-CN"/>
        </w:rPr>
        <w:t>:</w:t>
      </w:r>
      <w:r w:rsidRPr="00211771">
        <w:rPr>
          <w:color w:val="auto"/>
          <w:szCs w:val="24"/>
        </w:rPr>
        <w:t xml:space="preserve"> </w:t>
      </w:r>
      <w:r>
        <w:rPr>
          <w:color w:val="auto"/>
          <w:szCs w:val="24"/>
        </w:rPr>
        <w:t>Polyurethane acrylate</w:t>
      </w:r>
      <w:r>
        <w:rPr>
          <w:rFonts w:eastAsiaTheme="minorEastAsia" w:hint="eastAsia"/>
          <w:color w:val="auto"/>
          <w:szCs w:val="24"/>
          <w:lang w:eastAsia="zh-CN"/>
        </w:rPr>
        <w:t>;</w:t>
      </w:r>
      <w:r w:rsidRPr="00211771">
        <w:rPr>
          <w:color w:val="auto"/>
          <w:szCs w:val="24"/>
        </w:rPr>
        <w:t xml:space="preserve"> </w:t>
      </w:r>
      <w:r>
        <w:rPr>
          <w:color w:val="auto"/>
          <w:szCs w:val="24"/>
        </w:rPr>
        <w:t>Coll/PLLCL</w:t>
      </w:r>
      <w:r>
        <w:rPr>
          <w:rFonts w:eastAsiaTheme="minorEastAsia" w:hint="eastAsia"/>
          <w:color w:val="auto"/>
          <w:szCs w:val="24"/>
          <w:lang w:eastAsia="zh-CN"/>
        </w:rPr>
        <w:t>:</w:t>
      </w:r>
      <w:r w:rsidRPr="00211771">
        <w:rPr>
          <w:color w:val="auto"/>
          <w:szCs w:val="24"/>
        </w:rPr>
        <w:t xml:space="preserve"> </w:t>
      </w:r>
      <w:r w:rsidRPr="006F4EE5">
        <w:rPr>
          <w:color w:val="auto"/>
          <w:szCs w:val="24"/>
        </w:rPr>
        <w:t>Collagen/poly(llactic acid)-co-poly(3-</w:t>
      </w:r>
    </w:p>
    <w:p w:rsidR="002E4309" w:rsidRPr="00524CD0" w:rsidRDefault="00211771" w:rsidP="00211771">
      <w:pPr>
        <w:spacing w:after="0" w:line="360" w:lineRule="auto"/>
        <w:ind w:left="0" w:firstLine="0"/>
        <w:rPr>
          <w:rFonts w:eastAsiaTheme="minorEastAsia"/>
          <w:color w:val="auto"/>
          <w:szCs w:val="24"/>
          <w:lang w:eastAsia="zh-CN"/>
        </w:rPr>
      </w:pPr>
      <w:r>
        <w:rPr>
          <w:color w:val="auto"/>
          <w:szCs w:val="24"/>
        </w:rPr>
        <w:t>caprolactone)</w:t>
      </w:r>
      <w:r>
        <w:rPr>
          <w:rFonts w:eastAsiaTheme="minorEastAsia" w:hint="eastAsia"/>
          <w:color w:val="auto"/>
          <w:szCs w:val="24"/>
          <w:lang w:eastAsia="zh-CN"/>
        </w:rPr>
        <w:t>;</w:t>
      </w:r>
      <w:r w:rsidRPr="00211771">
        <w:rPr>
          <w:color w:val="auto"/>
          <w:szCs w:val="24"/>
        </w:rPr>
        <w:t xml:space="preserve"> </w:t>
      </w:r>
      <w:r>
        <w:rPr>
          <w:color w:val="auto"/>
          <w:szCs w:val="24"/>
        </w:rPr>
        <w:t>Ti</w:t>
      </w:r>
      <w:r>
        <w:rPr>
          <w:rFonts w:eastAsiaTheme="minorEastAsia" w:hint="eastAsia"/>
          <w:color w:val="auto"/>
          <w:szCs w:val="24"/>
          <w:lang w:eastAsia="zh-CN"/>
        </w:rPr>
        <w:t>:</w:t>
      </w:r>
      <w:r w:rsidRPr="00211771">
        <w:rPr>
          <w:color w:val="auto"/>
          <w:szCs w:val="24"/>
        </w:rPr>
        <w:t xml:space="preserve"> </w:t>
      </w:r>
      <w:r>
        <w:rPr>
          <w:color w:val="auto"/>
          <w:szCs w:val="24"/>
        </w:rPr>
        <w:t>Titanium</w:t>
      </w:r>
      <w:r>
        <w:rPr>
          <w:rFonts w:eastAsiaTheme="minorEastAsia" w:hint="eastAsia"/>
          <w:color w:val="auto"/>
          <w:szCs w:val="24"/>
          <w:lang w:eastAsia="zh-CN"/>
        </w:rPr>
        <w:t>;</w:t>
      </w:r>
      <w:r w:rsidR="00524CD0" w:rsidRPr="00524CD0">
        <w:rPr>
          <w:color w:val="auto"/>
          <w:szCs w:val="24"/>
        </w:rPr>
        <w:t xml:space="preserve"> </w:t>
      </w:r>
      <w:r w:rsidR="00524CD0" w:rsidRPr="00AE1D3A">
        <w:rPr>
          <w:color w:val="auto"/>
          <w:szCs w:val="24"/>
        </w:rPr>
        <w:t>hMSCs</w:t>
      </w:r>
      <w:r w:rsidR="00524CD0">
        <w:rPr>
          <w:rFonts w:eastAsiaTheme="minorEastAsia" w:hint="eastAsia"/>
          <w:color w:val="auto"/>
          <w:szCs w:val="24"/>
          <w:lang w:eastAsia="zh-CN"/>
        </w:rPr>
        <w:t>:</w:t>
      </w:r>
      <w:r w:rsidR="00524CD0" w:rsidRPr="00524CD0">
        <w:rPr>
          <w:color w:val="auto"/>
          <w:szCs w:val="24"/>
        </w:rPr>
        <w:t xml:space="preserve"> </w:t>
      </w:r>
      <w:r w:rsidR="00524CD0" w:rsidRPr="00AE1D3A">
        <w:rPr>
          <w:color w:val="auto"/>
          <w:szCs w:val="24"/>
        </w:rPr>
        <w:t>Human mesenchymal stem cells</w:t>
      </w:r>
      <w:r w:rsidR="00524CD0">
        <w:rPr>
          <w:rFonts w:eastAsiaTheme="minorEastAsia" w:hint="eastAsia"/>
          <w:color w:val="auto"/>
          <w:szCs w:val="24"/>
          <w:lang w:eastAsia="zh-CN"/>
        </w:rPr>
        <w:t>.</w:t>
      </w:r>
    </w:p>
    <w:sectPr w:rsidR="002E4309" w:rsidRPr="00524CD0">
      <w:footerReference w:type="even" r:id="rId21"/>
      <w:footerReference w:type="default" r:id="rId22"/>
      <w:footerReference w:type="first" r:id="rId23"/>
      <w:pgSz w:w="11906" w:h="16838"/>
      <w:pgMar w:top="1440" w:right="1436"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4AC9" w:rsidRDefault="00254AC9">
      <w:pPr>
        <w:spacing w:after="0" w:line="240" w:lineRule="auto"/>
      </w:pPr>
      <w:r>
        <w:separator/>
      </w:r>
    </w:p>
  </w:endnote>
  <w:endnote w:type="continuationSeparator" w:id="0">
    <w:p w:rsidR="00254AC9" w:rsidRDefault="00254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宋体">
    <w:charset w:val="50"/>
    <w:family w:val="auto"/>
    <w:pitch w:val="variable"/>
    <w:sig w:usb0="00000001" w:usb1="080E0000" w:usb2="00000010" w:usb3="00000000" w:csb0="00040000" w:csb1="00000000"/>
  </w:font>
  <w:font w:name="Book Antiqua">
    <w:panose1 w:val="02040602050305030304"/>
    <w:charset w:val="00"/>
    <w:family w:val="auto"/>
    <w:pitch w:val="variable"/>
    <w:sig w:usb0="00000003" w:usb1="00000000" w:usb2="00000000" w:usb3="00000000" w:csb0="00000001" w:csb1="00000000"/>
  </w:font>
  <w:font w:name="Segoe UI">
    <w:charset w:val="00"/>
    <w:family w:val="swiss"/>
    <w:pitch w:val="variable"/>
    <w:sig w:usb0="E10022FF" w:usb1="C000E47F" w:usb2="00000029" w:usb3="00000000" w:csb0="000001D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Tahoma">
    <w:panose1 w:val="020B0604030504040204"/>
    <w:charset w:val="00"/>
    <w:family w:val="auto"/>
    <w:pitch w:val="variable"/>
    <w:sig w:usb0="00000003" w:usb1="00000000" w:usb2="00000000" w:usb3="00000000" w:csb0="00000001"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430" w:rsidRDefault="00A24430">
    <w:pPr>
      <w:spacing w:after="0" w:line="259" w:lineRule="auto"/>
      <w:ind w:left="0" w:right="58"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A24430" w:rsidRDefault="00A24430">
    <w:pPr>
      <w:spacing w:after="0" w:line="259"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430" w:rsidRDefault="00A24430">
    <w:pPr>
      <w:spacing w:after="0" w:line="259" w:lineRule="auto"/>
      <w:ind w:left="0" w:right="58" w:firstLine="0"/>
      <w:jc w:val="right"/>
    </w:pPr>
    <w:r>
      <w:fldChar w:fldCharType="begin"/>
    </w:r>
    <w:r>
      <w:instrText xml:space="preserve"> PAGE   \* MERGEFORMAT </w:instrText>
    </w:r>
    <w:r>
      <w:fldChar w:fldCharType="separate"/>
    </w:r>
    <w:r w:rsidR="00606690" w:rsidRPr="00606690">
      <w:rPr>
        <w:rFonts w:ascii="Calibri" w:eastAsia="Calibri" w:hAnsi="Calibri" w:cs="Calibri"/>
        <w:noProof/>
        <w:sz w:val="22"/>
      </w:rPr>
      <w:t>1</w:t>
    </w:r>
    <w:r>
      <w:rPr>
        <w:rFonts w:ascii="Calibri" w:eastAsia="Calibri" w:hAnsi="Calibri" w:cs="Calibri"/>
        <w:sz w:val="22"/>
      </w:rPr>
      <w:fldChar w:fldCharType="end"/>
    </w:r>
    <w:r>
      <w:rPr>
        <w:rFonts w:ascii="Calibri" w:eastAsia="Calibri" w:hAnsi="Calibri" w:cs="Calibri"/>
        <w:sz w:val="22"/>
      </w:rPr>
      <w:t xml:space="preserve"> </w:t>
    </w:r>
  </w:p>
  <w:p w:rsidR="00A24430" w:rsidRDefault="00A24430">
    <w:pPr>
      <w:spacing w:after="0" w:line="259"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430" w:rsidRDefault="00A24430">
    <w:pPr>
      <w:spacing w:after="0" w:line="259" w:lineRule="auto"/>
      <w:ind w:left="0" w:right="58"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A24430" w:rsidRDefault="00A24430">
    <w:pPr>
      <w:spacing w:after="0" w:line="259" w:lineRule="auto"/>
      <w:ind w:left="0"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430" w:rsidRDefault="00A24430">
    <w:pPr>
      <w:spacing w:after="160" w:line="259" w:lineRule="auto"/>
      <w:ind w:left="0" w:firstLine="0"/>
      <w:jc w:val="left"/>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430" w:rsidRDefault="00A24430">
    <w:pPr>
      <w:spacing w:after="160" w:line="259" w:lineRule="auto"/>
      <w:ind w:left="0" w:firstLine="0"/>
      <w:jc w:val="left"/>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430" w:rsidRDefault="00A24430">
    <w:pPr>
      <w:spacing w:after="160" w:line="259" w:lineRule="auto"/>
      <w:ind w:left="0" w:firstLine="0"/>
      <w:jc w:val="lef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4AC9" w:rsidRDefault="00254AC9">
      <w:pPr>
        <w:spacing w:after="0" w:line="240" w:lineRule="auto"/>
      </w:pPr>
      <w:r>
        <w:separator/>
      </w:r>
    </w:p>
  </w:footnote>
  <w:footnote w:type="continuationSeparator" w:id="0">
    <w:p w:rsidR="00254AC9" w:rsidRDefault="00254AC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51AF9"/>
    <w:multiLevelType w:val="hybridMultilevel"/>
    <w:tmpl w:val="EB408FDA"/>
    <w:lvl w:ilvl="0" w:tplc="3796F69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4BAEBE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FDCBD5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E0E5E1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12542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F148D7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4081B9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C98DE6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0C6F40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nsid w:val="1BB773BE"/>
    <w:multiLevelType w:val="multilevel"/>
    <w:tmpl w:val="552CF3C2"/>
    <w:lvl w:ilvl="0">
      <w:start w:val="1"/>
      <w:numFmt w:val="decimal"/>
      <w:lvlText w:val="%1."/>
      <w:lvlJc w:val="left"/>
      <w:pPr>
        <w:tabs>
          <w:tab w:val="num" w:pos="720"/>
        </w:tabs>
        <w:ind w:left="720" w:hanging="720"/>
      </w:pPr>
      <w:rPr>
        <w:rFonts w:hint="default"/>
      </w:rPr>
    </w:lvl>
    <w:lvl w:ilvl="1">
      <w:start w:val="87"/>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ps9wd9xppr9raee0acx2zxf9p0vvrtvsddr&quot;&gt;Bone TE Review Sep 2014&lt;record-ids&gt;&lt;item&gt;93&lt;/item&gt;&lt;item&gt;96&lt;/item&gt;&lt;item&gt;97&lt;/item&gt;&lt;item&gt;98&lt;/item&gt;&lt;item&gt;99&lt;/item&gt;&lt;item&gt;100&lt;/item&gt;&lt;item&gt;102&lt;/item&gt;&lt;item&gt;104&lt;/item&gt;&lt;item&gt;106&lt;/item&gt;&lt;item&gt;107&lt;/item&gt;&lt;item&gt;108&lt;/item&gt;&lt;item&gt;109&lt;/item&gt;&lt;/record-ids&gt;&lt;/item&gt;&lt;/Libraries&gt;"/>
  </w:docVars>
  <w:rsids>
    <w:rsidRoot w:val="002E4309"/>
    <w:rsid w:val="00001746"/>
    <w:rsid w:val="0002738F"/>
    <w:rsid w:val="0007582E"/>
    <w:rsid w:val="000B79BA"/>
    <w:rsid w:val="000D0BDE"/>
    <w:rsid w:val="000E68BB"/>
    <w:rsid w:val="000E7611"/>
    <w:rsid w:val="001102A0"/>
    <w:rsid w:val="00130A3B"/>
    <w:rsid w:val="001A5994"/>
    <w:rsid w:val="00211771"/>
    <w:rsid w:val="002267EB"/>
    <w:rsid w:val="00230601"/>
    <w:rsid w:val="00254AC9"/>
    <w:rsid w:val="0028464B"/>
    <w:rsid w:val="002E4309"/>
    <w:rsid w:val="00325297"/>
    <w:rsid w:val="00397A6E"/>
    <w:rsid w:val="003D0737"/>
    <w:rsid w:val="004057FE"/>
    <w:rsid w:val="00462403"/>
    <w:rsid w:val="0049214F"/>
    <w:rsid w:val="004A1FAC"/>
    <w:rsid w:val="004B6A7F"/>
    <w:rsid w:val="004B7B5C"/>
    <w:rsid w:val="00503C1B"/>
    <w:rsid w:val="005118FE"/>
    <w:rsid w:val="00524CD0"/>
    <w:rsid w:val="00547737"/>
    <w:rsid w:val="00564787"/>
    <w:rsid w:val="00580E5E"/>
    <w:rsid w:val="005A357D"/>
    <w:rsid w:val="005C2F6C"/>
    <w:rsid w:val="005D166F"/>
    <w:rsid w:val="00606690"/>
    <w:rsid w:val="00614B31"/>
    <w:rsid w:val="006170DA"/>
    <w:rsid w:val="006317AB"/>
    <w:rsid w:val="006805AD"/>
    <w:rsid w:val="006F4EE5"/>
    <w:rsid w:val="00710EE9"/>
    <w:rsid w:val="00724451"/>
    <w:rsid w:val="00752D33"/>
    <w:rsid w:val="00770DFD"/>
    <w:rsid w:val="007B2068"/>
    <w:rsid w:val="007C2D76"/>
    <w:rsid w:val="007D5273"/>
    <w:rsid w:val="007E05AE"/>
    <w:rsid w:val="007F497B"/>
    <w:rsid w:val="00833D39"/>
    <w:rsid w:val="008421DF"/>
    <w:rsid w:val="00842EB5"/>
    <w:rsid w:val="008B461E"/>
    <w:rsid w:val="008B7B44"/>
    <w:rsid w:val="008D09E8"/>
    <w:rsid w:val="00903137"/>
    <w:rsid w:val="009051BB"/>
    <w:rsid w:val="00931667"/>
    <w:rsid w:val="0096679B"/>
    <w:rsid w:val="009C1217"/>
    <w:rsid w:val="009D22C4"/>
    <w:rsid w:val="00A24430"/>
    <w:rsid w:val="00A50245"/>
    <w:rsid w:val="00AB3F3B"/>
    <w:rsid w:val="00AC2352"/>
    <w:rsid w:val="00AC395B"/>
    <w:rsid w:val="00AE1D3A"/>
    <w:rsid w:val="00AE294C"/>
    <w:rsid w:val="00B10F80"/>
    <w:rsid w:val="00B17EC0"/>
    <w:rsid w:val="00B52339"/>
    <w:rsid w:val="00B6167E"/>
    <w:rsid w:val="00B6714F"/>
    <w:rsid w:val="00B97F1E"/>
    <w:rsid w:val="00C2569E"/>
    <w:rsid w:val="00C43D71"/>
    <w:rsid w:val="00C52D84"/>
    <w:rsid w:val="00C715CC"/>
    <w:rsid w:val="00C87532"/>
    <w:rsid w:val="00CC51E2"/>
    <w:rsid w:val="00D40CCC"/>
    <w:rsid w:val="00D53EBC"/>
    <w:rsid w:val="00D64DEE"/>
    <w:rsid w:val="00D77387"/>
    <w:rsid w:val="00E06CE0"/>
    <w:rsid w:val="00E52E70"/>
    <w:rsid w:val="00E843E5"/>
    <w:rsid w:val="00E93A0A"/>
    <w:rsid w:val="00EC66BE"/>
    <w:rsid w:val="00EF4B74"/>
    <w:rsid w:val="00EF660E"/>
    <w:rsid w:val="00F220FC"/>
    <w:rsid w:val="00F62647"/>
    <w:rsid w:val="00F933D5"/>
    <w:rsid w:val="00FA3B2E"/>
    <w:rsid w:val="00FC70BA"/>
    <w:rsid w:val="00FD70E2"/>
    <w:rsid w:val="00FE76D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59" w:line="355" w:lineRule="auto"/>
      <w:ind w:left="10" w:hanging="10"/>
      <w:jc w:val="both"/>
    </w:pPr>
    <w:rPr>
      <w:rFonts w:ascii="Book Antiqua" w:eastAsia="Book Antiqua" w:hAnsi="Book Antiqua" w:cs="Book Antiqua"/>
      <w:color w:val="000000"/>
      <w:sz w:val="24"/>
    </w:rPr>
  </w:style>
  <w:style w:type="paragraph" w:styleId="Heading1">
    <w:name w:val="heading 1"/>
    <w:next w:val="Normal"/>
    <w:link w:val="Heading1Char"/>
    <w:uiPriority w:val="9"/>
    <w:unhideWhenUsed/>
    <w:qFormat/>
    <w:pPr>
      <w:keepNext/>
      <w:keepLines/>
      <w:spacing w:after="255"/>
      <w:ind w:left="10" w:hanging="10"/>
      <w:outlineLvl w:val="0"/>
    </w:pPr>
    <w:rPr>
      <w:rFonts w:ascii="Book Antiqua" w:eastAsia="Book Antiqua" w:hAnsi="Book Antiqua" w:cs="Book Antiqua"/>
      <w:b/>
      <w:color w:val="000000"/>
      <w:sz w:val="28"/>
    </w:rPr>
  </w:style>
  <w:style w:type="paragraph" w:styleId="Heading2">
    <w:name w:val="heading 2"/>
    <w:next w:val="Normal"/>
    <w:link w:val="Heading2Char"/>
    <w:uiPriority w:val="9"/>
    <w:unhideWhenUsed/>
    <w:qFormat/>
    <w:pPr>
      <w:keepNext/>
      <w:keepLines/>
      <w:spacing w:after="256"/>
      <w:ind w:left="1"/>
      <w:jc w:val="center"/>
      <w:outlineLvl w:val="1"/>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Book Antiqua" w:eastAsia="Book Antiqua" w:hAnsi="Book Antiqua" w:cs="Book Antiqua"/>
      <w:b/>
      <w:color w:val="000000"/>
      <w:sz w:val="28"/>
    </w:rPr>
  </w:style>
  <w:style w:type="character" w:customStyle="1" w:styleId="Heading2Char">
    <w:name w:val="Heading 2 Char"/>
    <w:link w:val="Heading2"/>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apple-converted-space">
    <w:name w:val="apple-converted-space"/>
    <w:basedOn w:val="DefaultParagraphFont"/>
    <w:rsid w:val="001A5994"/>
  </w:style>
  <w:style w:type="character" w:styleId="CommentReference">
    <w:name w:val="annotation reference"/>
    <w:basedOn w:val="DefaultParagraphFont"/>
    <w:uiPriority w:val="99"/>
    <w:semiHidden/>
    <w:unhideWhenUsed/>
    <w:rsid w:val="00130A3B"/>
    <w:rPr>
      <w:sz w:val="16"/>
      <w:szCs w:val="16"/>
    </w:rPr>
  </w:style>
  <w:style w:type="paragraph" w:styleId="CommentText">
    <w:name w:val="annotation text"/>
    <w:basedOn w:val="Normal"/>
    <w:link w:val="CommentTextChar"/>
    <w:uiPriority w:val="99"/>
    <w:semiHidden/>
    <w:unhideWhenUsed/>
    <w:rsid w:val="00130A3B"/>
    <w:pPr>
      <w:spacing w:after="160" w:line="240" w:lineRule="auto"/>
      <w:ind w:left="0" w:firstLine="0"/>
      <w:jc w:val="left"/>
    </w:pPr>
    <w:rPr>
      <w:rFonts w:asciiTheme="minorHAnsi" w:eastAsiaTheme="minorHAnsi" w:hAnsiTheme="minorHAnsi" w:cstheme="minorBidi"/>
      <w:color w:val="auto"/>
      <w:sz w:val="20"/>
      <w:szCs w:val="20"/>
      <w:lang w:eastAsia="en-US"/>
    </w:rPr>
  </w:style>
  <w:style w:type="character" w:customStyle="1" w:styleId="CommentTextChar">
    <w:name w:val="Comment Text Char"/>
    <w:basedOn w:val="DefaultParagraphFont"/>
    <w:link w:val="CommentText"/>
    <w:uiPriority w:val="99"/>
    <w:semiHidden/>
    <w:rsid w:val="00130A3B"/>
    <w:rPr>
      <w:rFonts w:eastAsiaTheme="minorHAnsi"/>
      <w:sz w:val="20"/>
      <w:szCs w:val="20"/>
      <w:lang w:eastAsia="en-US"/>
    </w:rPr>
  </w:style>
  <w:style w:type="paragraph" w:styleId="BalloonText">
    <w:name w:val="Balloon Text"/>
    <w:basedOn w:val="Normal"/>
    <w:link w:val="BalloonTextChar"/>
    <w:uiPriority w:val="99"/>
    <w:semiHidden/>
    <w:unhideWhenUsed/>
    <w:rsid w:val="00130A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0A3B"/>
    <w:rPr>
      <w:rFonts w:ascii="Segoe UI" w:eastAsia="Book Antiqua" w:hAnsi="Segoe UI" w:cs="Segoe UI"/>
      <w:color w:val="000000"/>
      <w:sz w:val="18"/>
      <w:szCs w:val="18"/>
    </w:rPr>
  </w:style>
  <w:style w:type="paragraph" w:customStyle="1" w:styleId="EndNoteBibliographyTitle">
    <w:name w:val="EndNote Bibliography Title"/>
    <w:basedOn w:val="Normal"/>
    <w:link w:val="EndNoteBibliographyTitleChar"/>
    <w:rsid w:val="008B461E"/>
    <w:pPr>
      <w:spacing w:after="0"/>
      <w:jc w:val="center"/>
    </w:pPr>
    <w:rPr>
      <w:noProof/>
    </w:rPr>
  </w:style>
  <w:style w:type="character" w:customStyle="1" w:styleId="EndNoteBibliographyTitleChar">
    <w:name w:val="EndNote Bibliography Title Char"/>
    <w:basedOn w:val="DefaultParagraphFont"/>
    <w:link w:val="EndNoteBibliographyTitle"/>
    <w:rsid w:val="008B461E"/>
    <w:rPr>
      <w:rFonts w:ascii="Book Antiqua" w:eastAsia="Book Antiqua" w:hAnsi="Book Antiqua" w:cs="Book Antiqua"/>
      <w:noProof/>
      <w:color w:val="000000"/>
      <w:sz w:val="24"/>
    </w:rPr>
  </w:style>
  <w:style w:type="paragraph" w:customStyle="1" w:styleId="EndNoteBibliography">
    <w:name w:val="EndNote Bibliography"/>
    <w:basedOn w:val="Normal"/>
    <w:link w:val="EndNoteBibliographyChar"/>
    <w:rsid w:val="008B461E"/>
    <w:pPr>
      <w:spacing w:line="240" w:lineRule="auto"/>
      <w:jc w:val="left"/>
    </w:pPr>
    <w:rPr>
      <w:noProof/>
    </w:rPr>
  </w:style>
  <w:style w:type="character" w:customStyle="1" w:styleId="EndNoteBibliographyChar">
    <w:name w:val="EndNote Bibliography Char"/>
    <w:basedOn w:val="DefaultParagraphFont"/>
    <w:link w:val="EndNoteBibliography"/>
    <w:rsid w:val="008B461E"/>
    <w:rPr>
      <w:rFonts w:ascii="Book Antiqua" w:eastAsia="Book Antiqua" w:hAnsi="Book Antiqua" w:cs="Book Antiqua"/>
      <w:noProof/>
      <w:color w:val="000000"/>
      <w:sz w:val="24"/>
    </w:rPr>
  </w:style>
  <w:style w:type="paragraph" w:styleId="ListParagraph">
    <w:name w:val="List Paragraph"/>
    <w:basedOn w:val="Normal"/>
    <w:uiPriority w:val="34"/>
    <w:qFormat/>
    <w:rsid w:val="00F220FC"/>
    <w:pPr>
      <w:ind w:left="720"/>
      <w:contextualSpacing/>
    </w:pPr>
  </w:style>
  <w:style w:type="character" w:styleId="Hyperlink">
    <w:name w:val="Hyperlink"/>
    <w:basedOn w:val="DefaultParagraphFont"/>
    <w:uiPriority w:val="99"/>
    <w:unhideWhenUsed/>
    <w:rsid w:val="001102A0"/>
    <w:rPr>
      <w:color w:val="0563C1" w:themeColor="hyperlink"/>
      <w:u w:val="single"/>
    </w:rPr>
  </w:style>
  <w:style w:type="paragraph" w:styleId="NoSpacing">
    <w:name w:val="No Spacing"/>
    <w:uiPriority w:val="1"/>
    <w:qFormat/>
    <w:rsid w:val="00C715CC"/>
    <w:pPr>
      <w:spacing w:after="0" w:line="240" w:lineRule="auto"/>
      <w:ind w:left="10" w:hanging="10"/>
      <w:jc w:val="both"/>
    </w:pPr>
    <w:rPr>
      <w:rFonts w:ascii="Book Antiqua" w:eastAsia="Book Antiqua" w:hAnsi="Book Antiqua" w:cs="Book Antiqua"/>
      <w:color w:val="000000"/>
      <w:sz w:val="24"/>
    </w:rPr>
  </w:style>
  <w:style w:type="paragraph" w:styleId="Header">
    <w:name w:val="header"/>
    <w:basedOn w:val="Normal"/>
    <w:link w:val="HeaderChar"/>
    <w:uiPriority w:val="99"/>
    <w:unhideWhenUsed/>
    <w:rsid w:val="00B10F80"/>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B10F80"/>
    <w:rPr>
      <w:rFonts w:ascii="Book Antiqua" w:eastAsia="Book Antiqua" w:hAnsi="Book Antiqua" w:cs="Book Antiqua"/>
      <w:color w:val="000000"/>
      <w:sz w:val="18"/>
      <w:szCs w:val="18"/>
    </w:rPr>
  </w:style>
  <w:style w:type="paragraph" w:styleId="CommentSubject">
    <w:name w:val="annotation subject"/>
    <w:basedOn w:val="CommentText"/>
    <w:next w:val="CommentText"/>
    <w:link w:val="CommentSubjectChar"/>
    <w:uiPriority w:val="99"/>
    <w:semiHidden/>
    <w:unhideWhenUsed/>
    <w:rsid w:val="009C1217"/>
    <w:pPr>
      <w:spacing w:after="159" w:line="355" w:lineRule="auto"/>
      <w:ind w:left="10" w:hanging="10"/>
    </w:pPr>
    <w:rPr>
      <w:rFonts w:ascii="Book Antiqua" w:eastAsia="Book Antiqua" w:hAnsi="Book Antiqua" w:cs="Book Antiqua"/>
      <w:b/>
      <w:bCs/>
      <w:color w:val="000000"/>
      <w:sz w:val="24"/>
      <w:szCs w:val="22"/>
      <w:lang w:eastAsia="en-GB"/>
    </w:rPr>
  </w:style>
  <w:style w:type="character" w:customStyle="1" w:styleId="CommentSubjectChar">
    <w:name w:val="Comment Subject Char"/>
    <w:basedOn w:val="CommentTextChar"/>
    <w:link w:val="CommentSubject"/>
    <w:uiPriority w:val="99"/>
    <w:semiHidden/>
    <w:rsid w:val="009C1217"/>
    <w:rPr>
      <w:rFonts w:ascii="Book Antiqua" w:eastAsia="Book Antiqua" w:hAnsi="Book Antiqua" w:cs="Book Antiqua"/>
      <w:b/>
      <w:bCs/>
      <w:color w:val="000000"/>
      <w:sz w:val="24"/>
      <w:szCs w:val="20"/>
      <w:lang w:eastAsia="en-US"/>
    </w:rPr>
  </w:style>
  <w:style w:type="paragraph" w:styleId="PlainText">
    <w:name w:val="Plain Text"/>
    <w:basedOn w:val="Normal"/>
    <w:link w:val="PlainTextChar"/>
    <w:rsid w:val="006F4EE5"/>
    <w:pPr>
      <w:widowControl w:val="0"/>
      <w:spacing w:after="0" w:line="240" w:lineRule="auto"/>
      <w:ind w:left="0" w:firstLine="0"/>
    </w:pPr>
    <w:rPr>
      <w:rFonts w:ascii="宋体" w:eastAsia="宋体" w:hAnsi="Courier New" w:cs="Courier New"/>
      <w:color w:val="auto"/>
      <w:kern w:val="2"/>
      <w:sz w:val="21"/>
      <w:szCs w:val="21"/>
      <w:lang w:val="en-US" w:eastAsia="zh-CN"/>
    </w:rPr>
  </w:style>
  <w:style w:type="character" w:customStyle="1" w:styleId="PlainTextChar">
    <w:name w:val="Plain Text Char"/>
    <w:basedOn w:val="DefaultParagraphFont"/>
    <w:link w:val="PlainText"/>
    <w:rsid w:val="006F4EE5"/>
    <w:rPr>
      <w:rFonts w:ascii="宋体" w:eastAsia="宋体" w:hAnsi="Courier New" w:cs="Courier New"/>
      <w:kern w:val="2"/>
      <w:sz w:val="21"/>
      <w:szCs w:val="21"/>
      <w:lang w:val="en-US" w:eastAsia="zh-CN"/>
    </w:rPr>
  </w:style>
  <w:style w:type="character" w:styleId="Emphasis">
    <w:name w:val="Emphasis"/>
    <w:qFormat/>
    <w:rsid w:val="00606690"/>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59" w:line="355" w:lineRule="auto"/>
      <w:ind w:left="10" w:hanging="10"/>
      <w:jc w:val="both"/>
    </w:pPr>
    <w:rPr>
      <w:rFonts w:ascii="Book Antiqua" w:eastAsia="Book Antiqua" w:hAnsi="Book Antiqua" w:cs="Book Antiqua"/>
      <w:color w:val="000000"/>
      <w:sz w:val="24"/>
    </w:rPr>
  </w:style>
  <w:style w:type="paragraph" w:styleId="Heading1">
    <w:name w:val="heading 1"/>
    <w:next w:val="Normal"/>
    <w:link w:val="Heading1Char"/>
    <w:uiPriority w:val="9"/>
    <w:unhideWhenUsed/>
    <w:qFormat/>
    <w:pPr>
      <w:keepNext/>
      <w:keepLines/>
      <w:spacing w:after="255"/>
      <w:ind w:left="10" w:hanging="10"/>
      <w:outlineLvl w:val="0"/>
    </w:pPr>
    <w:rPr>
      <w:rFonts w:ascii="Book Antiqua" w:eastAsia="Book Antiqua" w:hAnsi="Book Antiqua" w:cs="Book Antiqua"/>
      <w:b/>
      <w:color w:val="000000"/>
      <w:sz w:val="28"/>
    </w:rPr>
  </w:style>
  <w:style w:type="paragraph" w:styleId="Heading2">
    <w:name w:val="heading 2"/>
    <w:next w:val="Normal"/>
    <w:link w:val="Heading2Char"/>
    <w:uiPriority w:val="9"/>
    <w:unhideWhenUsed/>
    <w:qFormat/>
    <w:pPr>
      <w:keepNext/>
      <w:keepLines/>
      <w:spacing w:after="256"/>
      <w:ind w:left="1"/>
      <w:jc w:val="center"/>
      <w:outlineLvl w:val="1"/>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Book Antiqua" w:eastAsia="Book Antiqua" w:hAnsi="Book Antiqua" w:cs="Book Antiqua"/>
      <w:b/>
      <w:color w:val="000000"/>
      <w:sz w:val="28"/>
    </w:rPr>
  </w:style>
  <w:style w:type="character" w:customStyle="1" w:styleId="Heading2Char">
    <w:name w:val="Heading 2 Char"/>
    <w:link w:val="Heading2"/>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apple-converted-space">
    <w:name w:val="apple-converted-space"/>
    <w:basedOn w:val="DefaultParagraphFont"/>
    <w:rsid w:val="001A5994"/>
  </w:style>
  <w:style w:type="character" w:styleId="CommentReference">
    <w:name w:val="annotation reference"/>
    <w:basedOn w:val="DefaultParagraphFont"/>
    <w:uiPriority w:val="99"/>
    <w:semiHidden/>
    <w:unhideWhenUsed/>
    <w:rsid w:val="00130A3B"/>
    <w:rPr>
      <w:sz w:val="16"/>
      <w:szCs w:val="16"/>
    </w:rPr>
  </w:style>
  <w:style w:type="paragraph" w:styleId="CommentText">
    <w:name w:val="annotation text"/>
    <w:basedOn w:val="Normal"/>
    <w:link w:val="CommentTextChar"/>
    <w:uiPriority w:val="99"/>
    <w:semiHidden/>
    <w:unhideWhenUsed/>
    <w:rsid w:val="00130A3B"/>
    <w:pPr>
      <w:spacing w:after="160" w:line="240" w:lineRule="auto"/>
      <w:ind w:left="0" w:firstLine="0"/>
      <w:jc w:val="left"/>
    </w:pPr>
    <w:rPr>
      <w:rFonts w:asciiTheme="minorHAnsi" w:eastAsiaTheme="minorHAnsi" w:hAnsiTheme="minorHAnsi" w:cstheme="minorBidi"/>
      <w:color w:val="auto"/>
      <w:sz w:val="20"/>
      <w:szCs w:val="20"/>
      <w:lang w:eastAsia="en-US"/>
    </w:rPr>
  </w:style>
  <w:style w:type="character" w:customStyle="1" w:styleId="CommentTextChar">
    <w:name w:val="Comment Text Char"/>
    <w:basedOn w:val="DefaultParagraphFont"/>
    <w:link w:val="CommentText"/>
    <w:uiPriority w:val="99"/>
    <w:semiHidden/>
    <w:rsid w:val="00130A3B"/>
    <w:rPr>
      <w:rFonts w:eastAsiaTheme="minorHAnsi"/>
      <w:sz w:val="20"/>
      <w:szCs w:val="20"/>
      <w:lang w:eastAsia="en-US"/>
    </w:rPr>
  </w:style>
  <w:style w:type="paragraph" w:styleId="BalloonText">
    <w:name w:val="Balloon Text"/>
    <w:basedOn w:val="Normal"/>
    <w:link w:val="BalloonTextChar"/>
    <w:uiPriority w:val="99"/>
    <w:semiHidden/>
    <w:unhideWhenUsed/>
    <w:rsid w:val="00130A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0A3B"/>
    <w:rPr>
      <w:rFonts w:ascii="Segoe UI" w:eastAsia="Book Antiqua" w:hAnsi="Segoe UI" w:cs="Segoe UI"/>
      <w:color w:val="000000"/>
      <w:sz w:val="18"/>
      <w:szCs w:val="18"/>
    </w:rPr>
  </w:style>
  <w:style w:type="paragraph" w:customStyle="1" w:styleId="EndNoteBibliographyTitle">
    <w:name w:val="EndNote Bibliography Title"/>
    <w:basedOn w:val="Normal"/>
    <w:link w:val="EndNoteBibliographyTitleChar"/>
    <w:rsid w:val="008B461E"/>
    <w:pPr>
      <w:spacing w:after="0"/>
      <w:jc w:val="center"/>
    </w:pPr>
    <w:rPr>
      <w:noProof/>
    </w:rPr>
  </w:style>
  <w:style w:type="character" w:customStyle="1" w:styleId="EndNoteBibliographyTitleChar">
    <w:name w:val="EndNote Bibliography Title Char"/>
    <w:basedOn w:val="DefaultParagraphFont"/>
    <w:link w:val="EndNoteBibliographyTitle"/>
    <w:rsid w:val="008B461E"/>
    <w:rPr>
      <w:rFonts w:ascii="Book Antiqua" w:eastAsia="Book Antiqua" w:hAnsi="Book Antiqua" w:cs="Book Antiqua"/>
      <w:noProof/>
      <w:color w:val="000000"/>
      <w:sz w:val="24"/>
    </w:rPr>
  </w:style>
  <w:style w:type="paragraph" w:customStyle="1" w:styleId="EndNoteBibliography">
    <w:name w:val="EndNote Bibliography"/>
    <w:basedOn w:val="Normal"/>
    <w:link w:val="EndNoteBibliographyChar"/>
    <w:rsid w:val="008B461E"/>
    <w:pPr>
      <w:spacing w:line="240" w:lineRule="auto"/>
      <w:jc w:val="left"/>
    </w:pPr>
    <w:rPr>
      <w:noProof/>
    </w:rPr>
  </w:style>
  <w:style w:type="character" w:customStyle="1" w:styleId="EndNoteBibliographyChar">
    <w:name w:val="EndNote Bibliography Char"/>
    <w:basedOn w:val="DefaultParagraphFont"/>
    <w:link w:val="EndNoteBibliography"/>
    <w:rsid w:val="008B461E"/>
    <w:rPr>
      <w:rFonts w:ascii="Book Antiqua" w:eastAsia="Book Antiqua" w:hAnsi="Book Antiqua" w:cs="Book Antiqua"/>
      <w:noProof/>
      <w:color w:val="000000"/>
      <w:sz w:val="24"/>
    </w:rPr>
  </w:style>
  <w:style w:type="paragraph" w:styleId="ListParagraph">
    <w:name w:val="List Paragraph"/>
    <w:basedOn w:val="Normal"/>
    <w:uiPriority w:val="34"/>
    <w:qFormat/>
    <w:rsid w:val="00F220FC"/>
    <w:pPr>
      <w:ind w:left="720"/>
      <w:contextualSpacing/>
    </w:pPr>
  </w:style>
  <w:style w:type="character" w:styleId="Hyperlink">
    <w:name w:val="Hyperlink"/>
    <w:basedOn w:val="DefaultParagraphFont"/>
    <w:uiPriority w:val="99"/>
    <w:unhideWhenUsed/>
    <w:rsid w:val="001102A0"/>
    <w:rPr>
      <w:color w:val="0563C1" w:themeColor="hyperlink"/>
      <w:u w:val="single"/>
    </w:rPr>
  </w:style>
  <w:style w:type="paragraph" w:styleId="NoSpacing">
    <w:name w:val="No Spacing"/>
    <w:uiPriority w:val="1"/>
    <w:qFormat/>
    <w:rsid w:val="00C715CC"/>
    <w:pPr>
      <w:spacing w:after="0" w:line="240" w:lineRule="auto"/>
      <w:ind w:left="10" w:hanging="10"/>
      <w:jc w:val="both"/>
    </w:pPr>
    <w:rPr>
      <w:rFonts w:ascii="Book Antiqua" w:eastAsia="Book Antiqua" w:hAnsi="Book Antiqua" w:cs="Book Antiqua"/>
      <w:color w:val="000000"/>
      <w:sz w:val="24"/>
    </w:rPr>
  </w:style>
  <w:style w:type="paragraph" w:styleId="Header">
    <w:name w:val="header"/>
    <w:basedOn w:val="Normal"/>
    <w:link w:val="HeaderChar"/>
    <w:uiPriority w:val="99"/>
    <w:unhideWhenUsed/>
    <w:rsid w:val="00B10F80"/>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B10F80"/>
    <w:rPr>
      <w:rFonts w:ascii="Book Antiqua" w:eastAsia="Book Antiqua" w:hAnsi="Book Antiqua" w:cs="Book Antiqua"/>
      <w:color w:val="000000"/>
      <w:sz w:val="18"/>
      <w:szCs w:val="18"/>
    </w:rPr>
  </w:style>
  <w:style w:type="paragraph" w:styleId="CommentSubject">
    <w:name w:val="annotation subject"/>
    <w:basedOn w:val="CommentText"/>
    <w:next w:val="CommentText"/>
    <w:link w:val="CommentSubjectChar"/>
    <w:uiPriority w:val="99"/>
    <w:semiHidden/>
    <w:unhideWhenUsed/>
    <w:rsid w:val="009C1217"/>
    <w:pPr>
      <w:spacing w:after="159" w:line="355" w:lineRule="auto"/>
      <w:ind w:left="10" w:hanging="10"/>
    </w:pPr>
    <w:rPr>
      <w:rFonts w:ascii="Book Antiqua" w:eastAsia="Book Antiqua" w:hAnsi="Book Antiqua" w:cs="Book Antiqua"/>
      <w:b/>
      <w:bCs/>
      <w:color w:val="000000"/>
      <w:sz w:val="24"/>
      <w:szCs w:val="22"/>
      <w:lang w:eastAsia="en-GB"/>
    </w:rPr>
  </w:style>
  <w:style w:type="character" w:customStyle="1" w:styleId="CommentSubjectChar">
    <w:name w:val="Comment Subject Char"/>
    <w:basedOn w:val="CommentTextChar"/>
    <w:link w:val="CommentSubject"/>
    <w:uiPriority w:val="99"/>
    <w:semiHidden/>
    <w:rsid w:val="009C1217"/>
    <w:rPr>
      <w:rFonts w:ascii="Book Antiqua" w:eastAsia="Book Antiqua" w:hAnsi="Book Antiqua" w:cs="Book Antiqua"/>
      <w:b/>
      <w:bCs/>
      <w:color w:val="000000"/>
      <w:sz w:val="24"/>
      <w:szCs w:val="20"/>
      <w:lang w:eastAsia="en-US"/>
    </w:rPr>
  </w:style>
  <w:style w:type="paragraph" w:styleId="PlainText">
    <w:name w:val="Plain Text"/>
    <w:basedOn w:val="Normal"/>
    <w:link w:val="PlainTextChar"/>
    <w:rsid w:val="006F4EE5"/>
    <w:pPr>
      <w:widowControl w:val="0"/>
      <w:spacing w:after="0" w:line="240" w:lineRule="auto"/>
      <w:ind w:left="0" w:firstLine="0"/>
    </w:pPr>
    <w:rPr>
      <w:rFonts w:ascii="宋体" w:eastAsia="宋体" w:hAnsi="Courier New" w:cs="Courier New"/>
      <w:color w:val="auto"/>
      <w:kern w:val="2"/>
      <w:sz w:val="21"/>
      <w:szCs w:val="21"/>
      <w:lang w:val="en-US" w:eastAsia="zh-CN"/>
    </w:rPr>
  </w:style>
  <w:style w:type="character" w:customStyle="1" w:styleId="PlainTextChar">
    <w:name w:val="Plain Text Char"/>
    <w:basedOn w:val="DefaultParagraphFont"/>
    <w:link w:val="PlainText"/>
    <w:rsid w:val="006F4EE5"/>
    <w:rPr>
      <w:rFonts w:ascii="宋体" w:eastAsia="宋体" w:hAnsi="Courier New" w:cs="Courier New"/>
      <w:kern w:val="2"/>
      <w:sz w:val="21"/>
      <w:szCs w:val="21"/>
      <w:lang w:val="en-US" w:eastAsia="zh-CN"/>
    </w:rPr>
  </w:style>
  <w:style w:type="character" w:styleId="Emphasis">
    <w:name w:val="Emphasis"/>
    <w:qFormat/>
    <w:rsid w:val="006066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439">
      <w:bodyDiv w:val="1"/>
      <w:marLeft w:val="0"/>
      <w:marRight w:val="0"/>
      <w:marTop w:val="0"/>
      <w:marBottom w:val="0"/>
      <w:divBdr>
        <w:top w:val="none" w:sz="0" w:space="0" w:color="auto"/>
        <w:left w:val="none" w:sz="0" w:space="0" w:color="auto"/>
        <w:bottom w:val="none" w:sz="0" w:space="0" w:color="auto"/>
        <w:right w:val="none" w:sz="0" w:space="0" w:color="auto"/>
      </w:divBdr>
    </w:div>
    <w:div w:id="2899406">
      <w:bodyDiv w:val="1"/>
      <w:marLeft w:val="0"/>
      <w:marRight w:val="0"/>
      <w:marTop w:val="0"/>
      <w:marBottom w:val="0"/>
      <w:divBdr>
        <w:top w:val="none" w:sz="0" w:space="0" w:color="auto"/>
        <w:left w:val="none" w:sz="0" w:space="0" w:color="auto"/>
        <w:bottom w:val="none" w:sz="0" w:space="0" w:color="auto"/>
        <w:right w:val="none" w:sz="0" w:space="0" w:color="auto"/>
      </w:divBdr>
    </w:div>
    <w:div w:id="90243997">
      <w:bodyDiv w:val="1"/>
      <w:marLeft w:val="0"/>
      <w:marRight w:val="0"/>
      <w:marTop w:val="0"/>
      <w:marBottom w:val="0"/>
      <w:divBdr>
        <w:top w:val="none" w:sz="0" w:space="0" w:color="auto"/>
        <w:left w:val="none" w:sz="0" w:space="0" w:color="auto"/>
        <w:bottom w:val="none" w:sz="0" w:space="0" w:color="auto"/>
        <w:right w:val="none" w:sz="0" w:space="0" w:color="auto"/>
      </w:divBdr>
    </w:div>
    <w:div w:id="107049378">
      <w:bodyDiv w:val="1"/>
      <w:marLeft w:val="0"/>
      <w:marRight w:val="0"/>
      <w:marTop w:val="0"/>
      <w:marBottom w:val="0"/>
      <w:divBdr>
        <w:top w:val="none" w:sz="0" w:space="0" w:color="auto"/>
        <w:left w:val="none" w:sz="0" w:space="0" w:color="auto"/>
        <w:bottom w:val="none" w:sz="0" w:space="0" w:color="auto"/>
        <w:right w:val="none" w:sz="0" w:space="0" w:color="auto"/>
      </w:divBdr>
    </w:div>
    <w:div w:id="113061005">
      <w:bodyDiv w:val="1"/>
      <w:marLeft w:val="0"/>
      <w:marRight w:val="0"/>
      <w:marTop w:val="0"/>
      <w:marBottom w:val="0"/>
      <w:divBdr>
        <w:top w:val="none" w:sz="0" w:space="0" w:color="auto"/>
        <w:left w:val="none" w:sz="0" w:space="0" w:color="auto"/>
        <w:bottom w:val="none" w:sz="0" w:space="0" w:color="auto"/>
        <w:right w:val="none" w:sz="0" w:space="0" w:color="auto"/>
      </w:divBdr>
    </w:div>
    <w:div w:id="147552289">
      <w:bodyDiv w:val="1"/>
      <w:marLeft w:val="0"/>
      <w:marRight w:val="0"/>
      <w:marTop w:val="0"/>
      <w:marBottom w:val="0"/>
      <w:divBdr>
        <w:top w:val="none" w:sz="0" w:space="0" w:color="auto"/>
        <w:left w:val="none" w:sz="0" w:space="0" w:color="auto"/>
        <w:bottom w:val="none" w:sz="0" w:space="0" w:color="auto"/>
        <w:right w:val="none" w:sz="0" w:space="0" w:color="auto"/>
      </w:divBdr>
    </w:div>
    <w:div w:id="154078387">
      <w:bodyDiv w:val="1"/>
      <w:marLeft w:val="0"/>
      <w:marRight w:val="0"/>
      <w:marTop w:val="0"/>
      <w:marBottom w:val="0"/>
      <w:divBdr>
        <w:top w:val="none" w:sz="0" w:space="0" w:color="auto"/>
        <w:left w:val="none" w:sz="0" w:space="0" w:color="auto"/>
        <w:bottom w:val="none" w:sz="0" w:space="0" w:color="auto"/>
        <w:right w:val="none" w:sz="0" w:space="0" w:color="auto"/>
      </w:divBdr>
    </w:div>
    <w:div w:id="189537709">
      <w:bodyDiv w:val="1"/>
      <w:marLeft w:val="0"/>
      <w:marRight w:val="0"/>
      <w:marTop w:val="0"/>
      <w:marBottom w:val="0"/>
      <w:divBdr>
        <w:top w:val="none" w:sz="0" w:space="0" w:color="auto"/>
        <w:left w:val="none" w:sz="0" w:space="0" w:color="auto"/>
        <w:bottom w:val="none" w:sz="0" w:space="0" w:color="auto"/>
        <w:right w:val="none" w:sz="0" w:space="0" w:color="auto"/>
      </w:divBdr>
    </w:div>
    <w:div w:id="192159122">
      <w:bodyDiv w:val="1"/>
      <w:marLeft w:val="0"/>
      <w:marRight w:val="0"/>
      <w:marTop w:val="0"/>
      <w:marBottom w:val="0"/>
      <w:divBdr>
        <w:top w:val="none" w:sz="0" w:space="0" w:color="auto"/>
        <w:left w:val="none" w:sz="0" w:space="0" w:color="auto"/>
        <w:bottom w:val="none" w:sz="0" w:space="0" w:color="auto"/>
        <w:right w:val="none" w:sz="0" w:space="0" w:color="auto"/>
      </w:divBdr>
    </w:div>
    <w:div w:id="213808638">
      <w:bodyDiv w:val="1"/>
      <w:marLeft w:val="0"/>
      <w:marRight w:val="0"/>
      <w:marTop w:val="0"/>
      <w:marBottom w:val="0"/>
      <w:divBdr>
        <w:top w:val="none" w:sz="0" w:space="0" w:color="auto"/>
        <w:left w:val="none" w:sz="0" w:space="0" w:color="auto"/>
        <w:bottom w:val="none" w:sz="0" w:space="0" w:color="auto"/>
        <w:right w:val="none" w:sz="0" w:space="0" w:color="auto"/>
      </w:divBdr>
    </w:div>
    <w:div w:id="225145609">
      <w:bodyDiv w:val="1"/>
      <w:marLeft w:val="0"/>
      <w:marRight w:val="0"/>
      <w:marTop w:val="0"/>
      <w:marBottom w:val="0"/>
      <w:divBdr>
        <w:top w:val="none" w:sz="0" w:space="0" w:color="auto"/>
        <w:left w:val="none" w:sz="0" w:space="0" w:color="auto"/>
        <w:bottom w:val="none" w:sz="0" w:space="0" w:color="auto"/>
        <w:right w:val="none" w:sz="0" w:space="0" w:color="auto"/>
      </w:divBdr>
    </w:div>
    <w:div w:id="296843499">
      <w:bodyDiv w:val="1"/>
      <w:marLeft w:val="0"/>
      <w:marRight w:val="0"/>
      <w:marTop w:val="0"/>
      <w:marBottom w:val="0"/>
      <w:divBdr>
        <w:top w:val="none" w:sz="0" w:space="0" w:color="auto"/>
        <w:left w:val="none" w:sz="0" w:space="0" w:color="auto"/>
        <w:bottom w:val="none" w:sz="0" w:space="0" w:color="auto"/>
        <w:right w:val="none" w:sz="0" w:space="0" w:color="auto"/>
      </w:divBdr>
    </w:div>
    <w:div w:id="315233108">
      <w:bodyDiv w:val="1"/>
      <w:marLeft w:val="0"/>
      <w:marRight w:val="0"/>
      <w:marTop w:val="0"/>
      <w:marBottom w:val="0"/>
      <w:divBdr>
        <w:top w:val="none" w:sz="0" w:space="0" w:color="auto"/>
        <w:left w:val="none" w:sz="0" w:space="0" w:color="auto"/>
        <w:bottom w:val="none" w:sz="0" w:space="0" w:color="auto"/>
        <w:right w:val="none" w:sz="0" w:space="0" w:color="auto"/>
      </w:divBdr>
    </w:div>
    <w:div w:id="349265243">
      <w:bodyDiv w:val="1"/>
      <w:marLeft w:val="0"/>
      <w:marRight w:val="0"/>
      <w:marTop w:val="0"/>
      <w:marBottom w:val="0"/>
      <w:divBdr>
        <w:top w:val="none" w:sz="0" w:space="0" w:color="auto"/>
        <w:left w:val="none" w:sz="0" w:space="0" w:color="auto"/>
        <w:bottom w:val="none" w:sz="0" w:space="0" w:color="auto"/>
        <w:right w:val="none" w:sz="0" w:space="0" w:color="auto"/>
      </w:divBdr>
    </w:div>
    <w:div w:id="380054112">
      <w:bodyDiv w:val="1"/>
      <w:marLeft w:val="0"/>
      <w:marRight w:val="0"/>
      <w:marTop w:val="0"/>
      <w:marBottom w:val="0"/>
      <w:divBdr>
        <w:top w:val="none" w:sz="0" w:space="0" w:color="auto"/>
        <w:left w:val="none" w:sz="0" w:space="0" w:color="auto"/>
        <w:bottom w:val="none" w:sz="0" w:space="0" w:color="auto"/>
        <w:right w:val="none" w:sz="0" w:space="0" w:color="auto"/>
      </w:divBdr>
    </w:div>
    <w:div w:id="409236808">
      <w:bodyDiv w:val="1"/>
      <w:marLeft w:val="0"/>
      <w:marRight w:val="0"/>
      <w:marTop w:val="0"/>
      <w:marBottom w:val="0"/>
      <w:divBdr>
        <w:top w:val="none" w:sz="0" w:space="0" w:color="auto"/>
        <w:left w:val="none" w:sz="0" w:space="0" w:color="auto"/>
        <w:bottom w:val="none" w:sz="0" w:space="0" w:color="auto"/>
        <w:right w:val="none" w:sz="0" w:space="0" w:color="auto"/>
      </w:divBdr>
    </w:div>
    <w:div w:id="485437040">
      <w:bodyDiv w:val="1"/>
      <w:marLeft w:val="0"/>
      <w:marRight w:val="0"/>
      <w:marTop w:val="0"/>
      <w:marBottom w:val="0"/>
      <w:divBdr>
        <w:top w:val="none" w:sz="0" w:space="0" w:color="auto"/>
        <w:left w:val="none" w:sz="0" w:space="0" w:color="auto"/>
        <w:bottom w:val="none" w:sz="0" w:space="0" w:color="auto"/>
        <w:right w:val="none" w:sz="0" w:space="0" w:color="auto"/>
      </w:divBdr>
    </w:div>
    <w:div w:id="487400650">
      <w:bodyDiv w:val="1"/>
      <w:marLeft w:val="0"/>
      <w:marRight w:val="0"/>
      <w:marTop w:val="0"/>
      <w:marBottom w:val="0"/>
      <w:divBdr>
        <w:top w:val="none" w:sz="0" w:space="0" w:color="auto"/>
        <w:left w:val="none" w:sz="0" w:space="0" w:color="auto"/>
        <w:bottom w:val="none" w:sz="0" w:space="0" w:color="auto"/>
        <w:right w:val="none" w:sz="0" w:space="0" w:color="auto"/>
      </w:divBdr>
    </w:div>
    <w:div w:id="494493247">
      <w:bodyDiv w:val="1"/>
      <w:marLeft w:val="0"/>
      <w:marRight w:val="0"/>
      <w:marTop w:val="0"/>
      <w:marBottom w:val="0"/>
      <w:divBdr>
        <w:top w:val="none" w:sz="0" w:space="0" w:color="auto"/>
        <w:left w:val="none" w:sz="0" w:space="0" w:color="auto"/>
        <w:bottom w:val="none" w:sz="0" w:space="0" w:color="auto"/>
        <w:right w:val="none" w:sz="0" w:space="0" w:color="auto"/>
      </w:divBdr>
      <w:divsChild>
        <w:div w:id="633296970">
          <w:marLeft w:val="0"/>
          <w:marRight w:val="0"/>
          <w:marTop w:val="0"/>
          <w:marBottom w:val="0"/>
          <w:divBdr>
            <w:top w:val="none" w:sz="0" w:space="0" w:color="auto"/>
            <w:left w:val="none" w:sz="0" w:space="0" w:color="auto"/>
            <w:bottom w:val="none" w:sz="0" w:space="0" w:color="auto"/>
            <w:right w:val="none" w:sz="0" w:space="0" w:color="auto"/>
          </w:divBdr>
        </w:div>
        <w:div w:id="1117063877">
          <w:marLeft w:val="0"/>
          <w:marRight w:val="0"/>
          <w:marTop w:val="0"/>
          <w:marBottom w:val="0"/>
          <w:divBdr>
            <w:top w:val="none" w:sz="0" w:space="0" w:color="auto"/>
            <w:left w:val="none" w:sz="0" w:space="0" w:color="auto"/>
            <w:bottom w:val="none" w:sz="0" w:space="0" w:color="auto"/>
            <w:right w:val="none" w:sz="0" w:space="0" w:color="auto"/>
          </w:divBdr>
        </w:div>
        <w:div w:id="1082990010">
          <w:marLeft w:val="0"/>
          <w:marRight w:val="0"/>
          <w:marTop w:val="0"/>
          <w:marBottom w:val="0"/>
          <w:divBdr>
            <w:top w:val="none" w:sz="0" w:space="0" w:color="auto"/>
            <w:left w:val="none" w:sz="0" w:space="0" w:color="auto"/>
            <w:bottom w:val="none" w:sz="0" w:space="0" w:color="auto"/>
            <w:right w:val="none" w:sz="0" w:space="0" w:color="auto"/>
          </w:divBdr>
        </w:div>
        <w:div w:id="2069376082">
          <w:marLeft w:val="0"/>
          <w:marRight w:val="0"/>
          <w:marTop w:val="0"/>
          <w:marBottom w:val="0"/>
          <w:divBdr>
            <w:top w:val="none" w:sz="0" w:space="0" w:color="auto"/>
            <w:left w:val="none" w:sz="0" w:space="0" w:color="auto"/>
            <w:bottom w:val="none" w:sz="0" w:space="0" w:color="auto"/>
            <w:right w:val="none" w:sz="0" w:space="0" w:color="auto"/>
          </w:divBdr>
        </w:div>
        <w:div w:id="1694724194">
          <w:marLeft w:val="0"/>
          <w:marRight w:val="0"/>
          <w:marTop w:val="0"/>
          <w:marBottom w:val="0"/>
          <w:divBdr>
            <w:top w:val="none" w:sz="0" w:space="0" w:color="auto"/>
            <w:left w:val="none" w:sz="0" w:space="0" w:color="auto"/>
            <w:bottom w:val="none" w:sz="0" w:space="0" w:color="auto"/>
            <w:right w:val="none" w:sz="0" w:space="0" w:color="auto"/>
          </w:divBdr>
        </w:div>
        <w:div w:id="2079860047">
          <w:marLeft w:val="0"/>
          <w:marRight w:val="0"/>
          <w:marTop w:val="0"/>
          <w:marBottom w:val="0"/>
          <w:divBdr>
            <w:top w:val="none" w:sz="0" w:space="0" w:color="auto"/>
            <w:left w:val="none" w:sz="0" w:space="0" w:color="auto"/>
            <w:bottom w:val="none" w:sz="0" w:space="0" w:color="auto"/>
            <w:right w:val="none" w:sz="0" w:space="0" w:color="auto"/>
          </w:divBdr>
        </w:div>
        <w:div w:id="1329021028">
          <w:marLeft w:val="0"/>
          <w:marRight w:val="0"/>
          <w:marTop w:val="0"/>
          <w:marBottom w:val="0"/>
          <w:divBdr>
            <w:top w:val="none" w:sz="0" w:space="0" w:color="auto"/>
            <w:left w:val="none" w:sz="0" w:space="0" w:color="auto"/>
            <w:bottom w:val="none" w:sz="0" w:space="0" w:color="auto"/>
            <w:right w:val="none" w:sz="0" w:space="0" w:color="auto"/>
          </w:divBdr>
        </w:div>
        <w:div w:id="1279144303">
          <w:marLeft w:val="0"/>
          <w:marRight w:val="0"/>
          <w:marTop w:val="0"/>
          <w:marBottom w:val="0"/>
          <w:divBdr>
            <w:top w:val="none" w:sz="0" w:space="0" w:color="auto"/>
            <w:left w:val="none" w:sz="0" w:space="0" w:color="auto"/>
            <w:bottom w:val="none" w:sz="0" w:space="0" w:color="auto"/>
            <w:right w:val="none" w:sz="0" w:space="0" w:color="auto"/>
          </w:divBdr>
        </w:div>
        <w:div w:id="27530417">
          <w:marLeft w:val="0"/>
          <w:marRight w:val="0"/>
          <w:marTop w:val="0"/>
          <w:marBottom w:val="0"/>
          <w:divBdr>
            <w:top w:val="none" w:sz="0" w:space="0" w:color="auto"/>
            <w:left w:val="none" w:sz="0" w:space="0" w:color="auto"/>
            <w:bottom w:val="none" w:sz="0" w:space="0" w:color="auto"/>
            <w:right w:val="none" w:sz="0" w:space="0" w:color="auto"/>
          </w:divBdr>
        </w:div>
        <w:div w:id="1559171998">
          <w:marLeft w:val="0"/>
          <w:marRight w:val="0"/>
          <w:marTop w:val="0"/>
          <w:marBottom w:val="0"/>
          <w:divBdr>
            <w:top w:val="none" w:sz="0" w:space="0" w:color="auto"/>
            <w:left w:val="none" w:sz="0" w:space="0" w:color="auto"/>
            <w:bottom w:val="none" w:sz="0" w:space="0" w:color="auto"/>
            <w:right w:val="none" w:sz="0" w:space="0" w:color="auto"/>
          </w:divBdr>
        </w:div>
        <w:div w:id="467749477">
          <w:marLeft w:val="0"/>
          <w:marRight w:val="0"/>
          <w:marTop w:val="0"/>
          <w:marBottom w:val="0"/>
          <w:divBdr>
            <w:top w:val="none" w:sz="0" w:space="0" w:color="auto"/>
            <w:left w:val="none" w:sz="0" w:space="0" w:color="auto"/>
            <w:bottom w:val="none" w:sz="0" w:space="0" w:color="auto"/>
            <w:right w:val="none" w:sz="0" w:space="0" w:color="auto"/>
          </w:divBdr>
        </w:div>
        <w:div w:id="707880596">
          <w:marLeft w:val="0"/>
          <w:marRight w:val="0"/>
          <w:marTop w:val="0"/>
          <w:marBottom w:val="0"/>
          <w:divBdr>
            <w:top w:val="none" w:sz="0" w:space="0" w:color="auto"/>
            <w:left w:val="none" w:sz="0" w:space="0" w:color="auto"/>
            <w:bottom w:val="none" w:sz="0" w:space="0" w:color="auto"/>
            <w:right w:val="none" w:sz="0" w:space="0" w:color="auto"/>
          </w:divBdr>
        </w:div>
        <w:div w:id="1674071354">
          <w:marLeft w:val="0"/>
          <w:marRight w:val="0"/>
          <w:marTop w:val="0"/>
          <w:marBottom w:val="0"/>
          <w:divBdr>
            <w:top w:val="none" w:sz="0" w:space="0" w:color="auto"/>
            <w:left w:val="none" w:sz="0" w:space="0" w:color="auto"/>
            <w:bottom w:val="none" w:sz="0" w:space="0" w:color="auto"/>
            <w:right w:val="none" w:sz="0" w:space="0" w:color="auto"/>
          </w:divBdr>
        </w:div>
        <w:div w:id="1025524827">
          <w:marLeft w:val="0"/>
          <w:marRight w:val="0"/>
          <w:marTop w:val="0"/>
          <w:marBottom w:val="0"/>
          <w:divBdr>
            <w:top w:val="none" w:sz="0" w:space="0" w:color="auto"/>
            <w:left w:val="none" w:sz="0" w:space="0" w:color="auto"/>
            <w:bottom w:val="none" w:sz="0" w:space="0" w:color="auto"/>
            <w:right w:val="none" w:sz="0" w:space="0" w:color="auto"/>
          </w:divBdr>
        </w:div>
        <w:div w:id="1821189858">
          <w:marLeft w:val="0"/>
          <w:marRight w:val="0"/>
          <w:marTop w:val="0"/>
          <w:marBottom w:val="0"/>
          <w:divBdr>
            <w:top w:val="none" w:sz="0" w:space="0" w:color="auto"/>
            <w:left w:val="none" w:sz="0" w:space="0" w:color="auto"/>
            <w:bottom w:val="none" w:sz="0" w:space="0" w:color="auto"/>
            <w:right w:val="none" w:sz="0" w:space="0" w:color="auto"/>
          </w:divBdr>
        </w:div>
        <w:div w:id="1101802231">
          <w:marLeft w:val="0"/>
          <w:marRight w:val="0"/>
          <w:marTop w:val="0"/>
          <w:marBottom w:val="0"/>
          <w:divBdr>
            <w:top w:val="none" w:sz="0" w:space="0" w:color="auto"/>
            <w:left w:val="none" w:sz="0" w:space="0" w:color="auto"/>
            <w:bottom w:val="none" w:sz="0" w:space="0" w:color="auto"/>
            <w:right w:val="none" w:sz="0" w:space="0" w:color="auto"/>
          </w:divBdr>
        </w:div>
        <w:div w:id="1742946825">
          <w:marLeft w:val="0"/>
          <w:marRight w:val="0"/>
          <w:marTop w:val="0"/>
          <w:marBottom w:val="0"/>
          <w:divBdr>
            <w:top w:val="none" w:sz="0" w:space="0" w:color="auto"/>
            <w:left w:val="none" w:sz="0" w:space="0" w:color="auto"/>
            <w:bottom w:val="none" w:sz="0" w:space="0" w:color="auto"/>
            <w:right w:val="none" w:sz="0" w:space="0" w:color="auto"/>
          </w:divBdr>
        </w:div>
        <w:div w:id="2030646148">
          <w:marLeft w:val="0"/>
          <w:marRight w:val="0"/>
          <w:marTop w:val="0"/>
          <w:marBottom w:val="0"/>
          <w:divBdr>
            <w:top w:val="none" w:sz="0" w:space="0" w:color="auto"/>
            <w:left w:val="none" w:sz="0" w:space="0" w:color="auto"/>
            <w:bottom w:val="none" w:sz="0" w:space="0" w:color="auto"/>
            <w:right w:val="none" w:sz="0" w:space="0" w:color="auto"/>
          </w:divBdr>
        </w:div>
        <w:div w:id="2016226475">
          <w:marLeft w:val="0"/>
          <w:marRight w:val="0"/>
          <w:marTop w:val="0"/>
          <w:marBottom w:val="0"/>
          <w:divBdr>
            <w:top w:val="none" w:sz="0" w:space="0" w:color="auto"/>
            <w:left w:val="none" w:sz="0" w:space="0" w:color="auto"/>
            <w:bottom w:val="none" w:sz="0" w:space="0" w:color="auto"/>
            <w:right w:val="none" w:sz="0" w:space="0" w:color="auto"/>
          </w:divBdr>
        </w:div>
        <w:div w:id="1109163920">
          <w:marLeft w:val="0"/>
          <w:marRight w:val="0"/>
          <w:marTop w:val="0"/>
          <w:marBottom w:val="0"/>
          <w:divBdr>
            <w:top w:val="none" w:sz="0" w:space="0" w:color="auto"/>
            <w:left w:val="none" w:sz="0" w:space="0" w:color="auto"/>
            <w:bottom w:val="none" w:sz="0" w:space="0" w:color="auto"/>
            <w:right w:val="none" w:sz="0" w:space="0" w:color="auto"/>
          </w:divBdr>
        </w:div>
        <w:div w:id="1569153151">
          <w:marLeft w:val="0"/>
          <w:marRight w:val="0"/>
          <w:marTop w:val="0"/>
          <w:marBottom w:val="0"/>
          <w:divBdr>
            <w:top w:val="none" w:sz="0" w:space="0" w:color="auto"/>
            <w:left w:val="none" w:sz="0" w:space="0" w:color="auto"/>
            <w:bottom w:val="none" w:sz="0" w:space="0" w:color="auto"/>
            <w:right w:val="none" w:sz="0" w:space="0" w:color="auto"/>
          </w:divBdr>
        </w:div>
        <w:div w:id="392002930">
          <w:marLeft w:val="0"/>
          <w:marRight w:val="0"/>
          <w:marTop w:val="0"/>
          <w:marBottom w:val="0"/>
          <w:divBdr>
            <w:top w:val="none" w:sz="0" w:space="0" w:color="auto"/>
            <w:left w:val="none" w:sz="0" w:space="0" w:color="auto"/>
            <w:bottom w:val="none" w:sz="0" w:space="0" w:color="auto"/>
            <w:right w:val="none" w:sz="0" w:space="0" w:color="auto"/>
          </w:divBdr>
        </w:div>
        <w:div w:id="851838568">
          <w:marLeft w:val="0"/>
          <w:marRight w:val="0"/>
          <w:marTop w:val="0"/>
          <w:marBottom w:val="0"/>
          <w:divBdr>
            <w:top w:val="none" w:sz="0" w:space="0" w:color="auto"/>
            <w:left w:val="none" w:sz="0" w:space="0" w:color="auto"/>
            <w:bottom w:val="none" w:sz="0" w:space="0" w:color="auto"/>
            <w:right w:val="none" w:sz="0" w:space="0" w:color="auto"/>
          </w:divBdr>
        </w:div>
        <w:div w:id="1301572167">
          <w:marLeft w:val="0"/>
          <w:marRight w:val="0"/>
          <w:marTop w:val="0"/>
          <w:marBottom w:val="0"/>
          <w:divBdr>
            <w:top w:val="none" w:sz="0" w:space="0" w:color="auto"/>
            <w:left w:val="none" w:sz="0" w:space="0" w:color="auto"/>
            <w:bottom w:val="none" w:sz="0" w:space="0" w:color="auto"/>
            <w:right w:val="none" w:sz="0" w:space="0" w:color="auto"/>
          </w:divBdr>
        </w:div>
        <w:div w:id="1016276454">
          <w:marLeft w:val="0"/>
          <w:marRight w:val="0"/>
          <w:marTop w:val="0"/>
          <w:marBottom w:val="0"/>
          <w:divBdr>
            <w:top w:val="none" w:sz="0" w:space="0" w:color="auto"/>
            <w:left w:val="none" w:sz="0" w:space="0" w:color="auto"/>
            <w:bottom w:val="none" w:sz="0" w:space="0" w:color="auto"/>
            <w:right w:val="none" w:sz="0" w:space="0" w:color="auto"/>
          </w:divBdr>
        </w:div>
        <w:div w:id="2051030548">
          <w:marLeft w:val="0"/>
          <w:marRight w:val="0"/>
          <w:marTop w:val="0"/>
          <w:marBottom w:val="0"/>
          <w:divBdr>
            <w:top w:val="none" w:sz="0" w:space="0" w:color="auto"/>
            <w:left w:val="none" w:sz="0" w:space="0" w:color="auto"/>
            <w:bottom w:val="none" w:sz="0" w:space="0" w:color="auto"/>
            <w:right w:val="none" w:sz="0" w:space="0" w:color="auto"/>
          </w:divBdr>
        </w:div>
        <w:div w:id="315114762">
          <w:marLeft w:val="0"/>
          <w:marRight w:val="0"/>
          <w:marTop w:val="0"/>
          <w:marBottom w:val="0"/>
          <w:divBdr>
            <w:top w:val="none" w:sz="0" w:space="0" w:color="auto"/>
            <w:left w:val="none" w:sz="0" w:space="0" w:color="auto"/>
            <w:bottom w:val="none" w:sz="0" w:space="0" w:color="auto"/>
            <w:right w:val="none" w:sz="0" w:space="0" w:color="auto"/>
          </w:divBdr>
        </w:div>
        <w:div w:id="679506317">
          <w:marLeft w:val="0"/>
          <w:marRight w:val="0"/>
          <w:marTop w:val="0"/>
          <w:marBottom w:val="0"/>
          <w:divBdr>
            <w:top w:val="none" w:sz="0" w:space="0" w:color="auto"/>
            <w:left w:val="none" w:sz="0" w:space="0" w:color="auto"/>
            <w:bottom w:val="none" w:sz="0" w:space="0" w:color="auto"/>
            <w:right w:val="none" w:sz="0" w:space="0" w:color="auto"/>
          </w:divBdr>
        </w:div>
        <w:div w:id="1299647886">
          <w:marLeft w:val="0"/>
          <w:marRight w:val="0"/>
          <w:marTop w:val="0"/>
          <w:marBottom w:val="0"/>
          <w:divBdr>
            <w:top w:val="none" w:sz="0" w:space="0" w:color="auto"/>
            <w:left w:val="none" w:sz="0" w:space="0" w:color="auto"/>
            <w:bottom w:val="none" w:sz="0" w:space="0" w:color="auto"/>
            <w:right w:val="none" w:sz="0" w:space="0" w:color="auto"/>
          </w:divBdr>
        </w:div>
        <w:div w:id="456067550">
          <w:marLeft w:val="0"/>
          <w:marRight w:val="0"/>
          <w:marTop w:val="0"/>
          <w:marBottom w:val="0"/>
          <w:divBdr>
            <w:top w:val="none" w:sz="0" w:space="0" w:color="auto"/>
            <w:left w:val="none" w:sz="0" w:space="0" w:color="auto"/>
            <w:bottom w:val="none" w:sz="0" w:space="0" w:color="auto"/>
            <w:right w:val="none" w:sz="0" w:space="0" w:color="auto"/>
          </w:divBdr>
        </w:div>
        <w:div w:id="628631057">
          <w:marLeft w:val="0"/>
          <w:marRight w:val="0"/>
          <w:marTop w:val="0"/>
          <w:marBottom w:val="0"/>
          <w:divBdr>
            <w:top w:val="none" w:sz="0" w:space="0" w:color="auto"/>
            <w:left w:val="none" w:sz="0" w:space="0" w:color="auto"/>
            <w:bottom w:val="none" w:sz="0" w:space="0" w:color="auto"/>
            <w:right w:val="none" w:sz="0" w:space="0" w:color="auto"/>
          </w:divBdr>
        </w:div>
        <w:div w:id="2029792257">
          <w:marLeft w:val="0"/>
          <w:marRight w:val="0"/>
          <w:marTop w:val="0"/>
          <w:marBottom w:val="0"/>
          <w:divBdr>
            <w:top w:val="none" w:sz="0" w:space="0" w:color="auto"/>
            <w:left w:val="none" w:sz="0" w:space="0" w:color="auto"/>
            <w:bottom w:val="none" w:sz="0" w:space="0" w:color="auto"/>
            <w:right w:val="none" w:sz="0" w:space="0" w:color="auto"/>
          </w:divBdr>
        </w:div>
        <w:div w:id="662004578">
          <w:marLeft w:val="0"/>
          <w:marRight w:val="0"/>
          <w:marTop w:val="0"/>
          <w:marBottom w:val="0"/>
          <w:divBdr>
            <w:top w:val="none" w:sz="0" w:space="0" w:color="auto"/>
            <w:left w:val="none" w:sz="0" w:space="0" w:color="auto"/>
            <w:bottom w:val="none" w:sz="0" w:space="0" w:color="auto"/>
            <w:right w:val="none" w:sz="0" w:space="0" w:color="auto"/>
          </w:divBdr>
        </w:div>
        <w:div w:id="1581136229">
          <w:marLeft w:val="0"/>
          <w:marRight w:val="0"/>
          <w:marTop w:val="0"/>
          <w:marBottom w:val="0"/>
          <w:divBdr>
            <w:top w:val="none" w:sz="0" w:space="0" w:color="auto"/>
            <w:left w:val="none" w:sz="0" w:space="0" w:color="auto"/>
            <w:bottom w:val="none" w:sz="0" w:space="0" w:color="auto"/>
            <w:right w:val="none" w:sz="0" w:space="0" w:color="auto"/>
          </w:divBdr>
        </w:div>
        <w:div w:id="1919631574">
          <w:marLeft w:val="0"/>
          <w:marRight w:val="0"/>
          <w:marTop w:val="0"/>
          <w:marBottom w:val="0"/>
          <w:divBdr>
            <w:top w:val="none" w:sz="0" w:space="0" w:color="auto"/>
            <w:left w:val="none" w:sz="0" w:space="0" w:color="auto"/>
            <w:bottom w:val="none" w:sz="0" w:space="0" w:color="auto"/>
            <w:right w:val="none" w:sz="0" w:space="0" w:color="auto"/>
          </w:divBdr>
        </w:div>
        <w:div w:id="2037390753">
          <w:marLeft w:val="0"/>
          <w:marRight w:val="0"/>
          <w:marTop w:val="0"/>
          <w:marBottom w:val="0"/>
          <w:divBdr>
            <w:top w:val="none" w:sz="0" w:space="0" w:color="auto"/>
            <w:left w:val="none" w:sz="0" w:space="0" w:color="auto"/>
            <w:bottom w:val="none" w:sz="0" w:space="0" w:color="auto"/>
            <w:right w:val="none" w:sz="0" w:space="0" w:color="auto"/>
          </w:divBdr>
        </w:div>
        <w:div w:id="1128356731">
          <w:marLeft w:val="0"/>
          <w:marRight w:val="0"/>
          <w:marTop w:val="0"/>
          <w:marBottom w:val="0"/>
          <w:divBdr>
            <w:top w:val="none" w:sz="0" w:space="0" w:color="auto"/>
            <w:left w:val="none" w:sz="0" w:space="0" w:color="auto"/>
            <w:bottom w:val="none" w:sz="0" w:space="0" w:color="auto"/>
            <w:right w:val="none" w:sz="0" w:space="0" w:color="auto"/>
          </w:divBdr>
        </w:div>
        <w:div w:id="250237682">
          <w:marLeft w:val="0"/>
          <w:marRight w:val="0"/>
          <w:marTop w:val="0"/>
          <w:marBottom w:val="0"/>
          <w:divBdr>
            <w:top w:val="none" w:sz="0" w:space="0" w:color="auto"/>
            <w:left w:val="none" w:sz="0" w:space="0" w:color="auto"/>
            <w:bottom w:val="none" w:sz="0" w:space="0" w:color="auto"/>
            <w:right w:val="none" w:sz="0" w:space="0" w:color="auto"/>
          </w:divBdr>
        </w:div>
        <w:div w:id="690687611">
          <w:marLeft w:val="0"/>
          <w:marRight w:val="0"/>
          <w:marTop w:val="0"/>
          <w:marBottom w:val="0"/>
          <w:divBdr>
            <w:top w:val="none" w:sz="0" w:space="0" w:color="auto"/>
            <w:left w:val="none" w:sz="0" w:space="0" w:color="auto"/>
            <w:bottom w:val="none" w:sz="0" w:space="0" w:color="auto"/>
            <w:right w:val="none" w:sz="0" w:space="0" w:color="auto"/>
          </w:divBdr>
        </w:div>
        <w:div w:id="91560237">
          <w:marLeft w:val="0"/>
          <w:marRight w:val="0"/>
          <w:marTop w:val="0"/>
          <w:marBottom w:val="0"/>
          <w:divBdr>
            <w:top w:val="none" w:sz="0" w:space="0" w:color="auto"/>
            <w:left w:val="none" w:sz="0" w:space="0" w:color="auto"/>
            <w:bottom w:val="none" w:sz="0" w:space="0" w:color="auto"/>
            <w:right w:val="none" w:sz="0" w:space="0" w:color="auto"/>
          </w:divBdr>
        </w:div>
        <w:div w:id="1360350800">
          <w:marLeft w:val="0"/>
          <w:marRight w:val="0"/>
          <w:marTop w:val="0"/>
          <w:marBottom w:val="0"/>
          <w:divBdr>
            <w:top w:val="none" w:sz="0" w:space="0" w:color="auto"/>
            <w:left w:val="none" w:sz="0" w:space="0" w:color="auto"/>
            <w:bottom w:val="none" w:sz="0" w:space="0" w:color="auto"/>
            <w:right w:val="none" w:sz="0" w:space="0" w:color="auto"/>
          </w:divBdr>
        </w:div>
        <w:div w:id="1840582381">
          <w:marLeft w:val="0"/>
          <w:marRight w:val="0"/>
          <w:marTop w:val="0"/>
          <w:marBottom w:val="0"/>
          <w:divBdr>
            <w:top w:val="none" w:sz="0" w:space="0" w:color="auto"/>
            <w:left w:val="none" w:sz="0" w:space="0" w:color="auto"/>
            <w:bottom w:val="none" w:sz="0" w:space="0" w:color="auto"/>
            <w:right w:val="none" w:sz="0" w:space="0" w:color="auto"/>
          </w:divBdr>
        </w:div>
        <w:div w:id="541871642">
          <w:marLeft w:val="0"/>
          <w:marRight w:val="0"/>
          <w:marTop w:val="0"/>
          <w:marBottom w:val="0"/>
          <w:divBdr>
            <w:top w:val="none" w:sz="0" w:space="0" w:color="auto"/>
            <w:left w:val="none" w:sz="0" w:space="0" w:color="auto"/>
            <w:bottom w:val="none" w:sz="0" w:space="0" w:color="auto"/>
            <w:right w:val="none" w:sz="0" w:space="0" w:color="auto"/>
          </w:divBdr>
        </w:div>
        <w:div w:id="1831679409">
          <w:marLeft w:val="0"/>
          <w:marRight w:val="0"/>
          <w:marTop w:val="0"/>
          <w:marBottom w:val="0"/>
          <w:divBdr>
            <w:top w:val="none" w:sz="0" w:space="0" w:color="auto"/>
            <w:left w:val="none" w:sz="0" w:space="0" w:color="auto"/>
            <w:bottom w:val="none" w:sz="0" w:space="0" w:color="auto"/>
            <w:right w:val="none" w:sz="0" w:space="0" w:color="auto"/>
          </w:divBdr>
        </w:div>
        <w:div w:id="1622030372">
          <w:marLeft w:val="0"/>
          <w:marRight w:val="0"/>
          <w:marTop w:val="0"/>
          <w:marBottom w:val="0"/>
          <w:divBdr>
            <w:top w:val="none" w:sz="0" w:space="0" w:color="auto"/>
            <w:left w:val="none" w:sz="0" w:space="0" w:color="auto"/>
            <w:bottom w:val="none" w:sz="0" w:space="0" w:color="auto"/>
            <w:right w:val="none" w:sz="0" w:space="0" w:color="auto"/>
          </w:divBdr>
        </w:div>
        <w:div w:id="1288504987">
          <w:marLeft w:val="0"/>
          <w:marRight w:val="0"/>
          <w:marTop w:val="0"/>
          <w:marBottom w:val="0"/>
          <w:divBdr>
            <w:top w:val="none" w:sz="0" w:space="0" w:color="auto"/>
            <w:left w:val="none" w:sz="0" w:space="0" w:color="auto"/>
            <w:bottom w:val="none" w:sz="0" w:space="0" w:color="auto"/>
            <w:right w:val="none" w:sz="0" w:space="0" w:color="auto"/>
          </w:divBdr>
        </w:div>
        <w:div w:id="31152364">
          <w:marLeft w:val="0"/>
          <w:marRight w:val="0"/>
          <w:marTop w:val="0"/>
          <w:marBottom w:val="0"/>
          <w:divBdr>
            <w:top w:val="none" w:sz="0" w:space="0" w:color="auto"/>
            <w:left w:val="none" w:sz="0" w:space="0" w:color="auto"/>
            <w:bottom w:val="none" w:sz="0" w:space="0" w:color="auto"/>
            <w:right w:val="none" w:sz="0" w:space="0" w:color="auto"/>
          </w:divBdr>
        </w:div>
        <w:div w:id="2009364794">
          <w:marLeft w:val="0"/>
          <w:marRight w:val="0"/>
          <w:marTop w:val="0"/>
          <w:marBottom w:val="0"/>
          <w:divBdr>
            <w:top w:val="none" w:sz="0" w:space="0" w:color="auto"/>
            <w:left w:val="none" w:sz="0" w:space="0" w:color="auto"/>
            <w:bottom w:val="none" w:sz="0" w:space="0" w:color="auto"/>
            <w:right w:val="none" w:sz="0" w:space="0" w:color="auto"/>
          </w:divBdr>
        </w:div>
        <w:div w:id="1601522468">
          <w:marLeft w:val="0"/>
          <w:marRight w:val="0"/>
          <w:marTop w:val="0"/>
          <w:marBottom w:val="0"/>
          <w:divBdr>
            <w:top w:val="none" w:sz="0" w:space="0" w:color="auto"/>
            <w:left w:val="none" w:sz="0" w:space="0" w:color="auto"/>
            <w:bottom w:val="none" w:sz="0" w:space="0" w:color="auto"/>
            <w:right w:val="none" w:sz="0" w:space="0" w:color="auto"/>
          </w:divBdr>
        </w:div>
        <w:div w:id="1147555805">
          <w:marLeft w:val="0"/>
          <w:marRight w:val="0"/>
          <w:marTop w:val="0"/>
          <w:marBottom w:val="0"/>
          <w:divBdr>
            <w:top w:val="none" w:sz="0" w:space="0" w:color="auto"/>
            <w:left w:val="none" w:sz="0" w:space="0" w:color="auto"/>
            <w:bottom w:val="none" w:sz="0" w:space="0" w:color="auto"/>
            <w:right w:val="none" w:sz="0" w:space="0" w:color="auto"/>
          </w:divBdr>
        </w:div>
        <w:div w:id="1889368798">
          <w:marLeft w:val="0"/>
          <w:marRight w:val="0"/>
          <w:marTop w:val="0"/>
          <w:marBottom w:val="0"/>
          <w:divBdr>
            <w:top w:val="none" w:sz="0" w:space="0" w:color="auto"/>
            <w:left w:val="none" w:sz="0" w:space="0" w:color="auto"/>
            <w:bottom w:val="none" w:sz="0" w:space="0" w:color="auto"/>
            <w:right w:val="none" w:sz="0" w:space="0" w:color="auto"/>
          </w:divBdr>
        </w:div>
        <w:div w:id="1437554265">
          <w:marLeft w:val="0"/>
          <w:marRight w:val="0"/>
          <w:marTop w:val="0"/>
          <w:marBottom w:val="0"/>
          <w:divBdr>
            <w:top w:val="none" w:sz="0" w:space="0" w:color="auto"/>
            <w:left w:val="none" w:sz="0" w:space="0" w:color="auto"/>
            <w:bottom w:val="none" w:sz="0" w:space="0" w:color="auto"/>
            <w:right w:val="none" w:sz="0" w:space="0" w:color="auto"/>
          </w:divBdr>
        </w:div>
        <w:div w:id="809134258">
          <w:marLeft w:val="0"/>
          <w:marRight w:val="0"/>
          <w:marTop w:val="0"/>
          <w:marBottom w:val="0"/>
          <w:divBdr>
            <w:top w:val="none" w:sz="0" w:space="0" w:color="auto"/>
            <w:left w:val="none" w:sz="0" w:space="0" w:color="auto"/>
            <w:bottom w:val="none" w:sz="0" w:space="0" w:color="auto"/>
            <w:right w:val="none" w:sz="0" w:space="0" w:color="auto"/>
          </w:divBdr>
        </w:div>
        <w:div w:id="693119080">
          <w:marLeft w:val="0"/>
          <w:marRight w:val="0"/>
          <w:marTop w:val="0"/>
          <w:marBottom w:val="0"/>
          <w:divBdr>
            <w:top w:val="none" w:sz="0" w:space="0" w:color="auto"/>
            <w:left w:val="none" w:sz="0" w:space="0" w:color="auto"/>
            <w:bottom w:val="none" w:sz="0" w:space="0" w:color="auto"/>
            <w:right w:val="none" w:sz="0" w:space="0" w:color="auto"/>
          </w:divBdr>
        </w:div>
        <w:div w:id="852299251">
          <w:marLeft w:val="0"/>
          <w:marRight w:val="0"/>
          <w:marTop w:val="0"/>
          <w:marBottom w:val="0"/>
          <w:divBdr>
            <w:top w:val="none" w:sz="0" w:space="0" w:color="auto"/>
            <w:left w:val="none" w:sz="0" w:space="0" w:color="auto"/>
            <w:bottom w:val="none" w:sz="0" w:space="0" w:color="auto"/>
            <w:right w:val="none" w:sz="0" w:space="0" w:color="auto"/>
          </w:divBdr>
        </w:div>
        <w:div w:id="521628560">
          <w:marLeft w:val="0"/>
          <w:marRight w:val="0"/>
          <w:marTop w:val="0"/>
          <w:marBottom w:val="0"/>
          <w:divBdr>
            <w:top w:val="none" w:sz="0" w:space="0" w:color="auto"/>
            <w:left w:val="none" w:sz="0" w:space="0" w:color="auto"/>
            <w:bottom w:val="none" w:sz="0" w:space="0" w:color="auto"/>
            <w:right w:val="none" w:sz="0" w:space="0" w:color="auto"/>
          </w:divBdr>
        </w:div>
        <w:div w:id="434440668">
          <w:marLeft w:val="0"/>
          <w:marRight w:val="0"/>
          <w:marTop w:val="0"/>
          <w:marBottom w:val="0"/>
          <w:divBdr>
            <w:top w:val="none" w:sz="0" w:space="0" w:color="auto"/>
            <w:left w:val="none" w:sz="0" w:space="0" w:color="auto"/>
            <w:bottom w:val="none" w:sz="0" w:space="0" w:color="auto"/>
            <w:right w:val="none" w:sz="0" w:space="0" w:color="auto"/>
          </w:divBdr>
        </w:div>
        <w:div w:id="1451435545">
          <w:marLeft w:val="0"/>
          <w:marRight w:val="0"/>
          <w:marTop w:val="0"/>
          <w:marBottom w:val="0"/>
          <w:divBdr>
            <w:top w:val="none" w:sz="0" w:space="0" w:color="auto"/>
            <w:left w:val="none" w:sz="0" w:space="0" w:color="auto"/>
            <w:bottom w:val="none" w:sz="0" w:space="0" w:color="auto"/>
            <w:right w:val="none" w:sz="0" w:space="0" w:color="auto"/>
          </w:divBdr>
        </w:div>
        <w:div w:id="547766727">
          <w:marLeft w:val="0"/>
          <w:marRight w:val="0"/>
          <w:marTop w:val="0"/>
          <w:marBottom w:val="0"/>
          <w:divBdr>
            <w:top w:val="none" w:sz="0" w:space="0" w:color="auto"/>
            <w:left w:val="none" w:sz="0" w:space="0" w:color="auto"/>
            <w:bottom w:val="none" w:sz="0" w:space="0" w:color="auto"/>
            <w:right w:val="none" w:sz="0" w:space="0" w:color="auto"/>
          </w:divBdr>
        </w:div>
        <w:div w:id="344867821">
          <w:marLeft w:val="0"/>
          <w:marRight w:val="0"/>
          <w:marTop w:val="0"/>
          <w:marBottom w:val="0"/>
          <w:divBdr>
            <w:top w:val="none" w:sz="0" w:space="0" w:color="auto"/>
            <w:left w:val="none" w:sz="0" w:space="0" w:color="auto"/>
            <w:bottom w:val="none" w:sz="0" w:space="0" w:color="auto"/>
            <w:right w:val="none" w:sz="0" w:space="0" w:color="auto"/>
          </w:divBdr>
        </w:div>
        <w:div w:id="1768765704">
          <w:marLeft w:val="0"/>
          <w:marRight w:val="0"/>
          <w:marTop w:val="0"/>
          <w:marBottom w:val="0"/>
          <w:divBdr>
            <w:top w:val="none" w:sz="0" w:space="0" w:color="auto"/>
            <w:left w:val="none" w:sz="0" w:space="0" w:color="auto"/>
            <w:bottom w:val="none" w:sz="0" w:space="0" w:color="auto"/>
            <w:right w:val="none" w:sz="0" w:space="0" w:color="auto"/>
          </w:divBdr>
        </w:div>
        <w:div w:id="1851292053">
          <w:marLeft w:val="0"/>
          <w:marRight w:val="0"/>
          <w:marTop w:val="0"/>
          <w:marBottom w:val="0"/>
          <w:divBdr>
            <w:top w:val="none" w:sz="0" w:space="0" w:color="auto"/>
            <w:left w:val="none" w:sz="0" w:space="0" w:color="auto"/>
            <w:bottom w:val="none" w:sz="0" w:space="0" w:color="auto"/>
            <w:right w:val="none" w:sz="0" w:space="0" w:color="auto"/>
          </w:divBdr>
        </w:div>
        <w:div w:id="28995447">
          <w:marLeft w:val="0"/>
          <w:marRight w:val="0"/>
          <w:marTop w:val="0"/>
          <w:marBottom w:val="0"/>
          <w:divBdr>
            <w:top w:val="none" w:sz="0" w:space="0" w:color="auto"/>
            <w:left w:val="none" w:sz="0" w:space="0" w:color="auto"/>
            <w:bottom w:val="none" w:sz="0" w:space="0" w:color="auto"/>
            <w:right w:val="none" w:sz="0" w:space="0" w:color="auto"/>
          </w:divBdr>
        </w:div>
        <w:div w:id="1361590025">
          <w:marLeft w:val="0"/>
          <w:marRight w:val="0"/>
          <w:marTop w:val="0"/>
          <w:marBottom w:val="0"/>
          <w:divBdr>
            <w:top w:val="none" w:sz="0" w:space="0" w:color="auto"/>
            <w:left w:val="none" w:sz="0" w:space="0" w:color="auto"/>
            <w:bottom w:val="none" w:sz="0" w:space="0" w:color="auto"/>
            <w:right w:val="none" w:sz="0" w:space="0" w:color="auto"/>
          </w:divBdr>
        </w:div>
        <w:div w:id="1971935006">
          <w:marLeft w:val="0"/>
          <w:marRight w:val="0"/>
          <w:marTop w:val="0"/>
          <w:marBottom w:val="0"/>
          <w:divBdr>
            <w:top w:val="none" w:sz="0" w:space="0" w:color="auto"/>
            <w:left w:val="none" w:sz="0" w:space="0" w:color="auto"/>
            <w:bottom w:val="none" w:sz="0" w:space="0" w:color="auto"/>
            <w:right w:val="none" w:sz="0" w:space="0" w:color="auto"/>
          </w:divBdr>
        </w:div>
        <w:div w:id="966468262">
          <w:marLeft w:val="0"/>
          <w:marRight w:val="0"/>
          <w:marTop w:val="0"/>
          <w:marBottom w:val="0"/>
          <w:divBdr>
            <w:top w:val="none" w:sz="0" w:space="0" w:color="auto"/>
            <w:left w:val="none" w:sz="0" w:space="0" w:color="auto"/>
            <w:bottom w:val="none" w:sz="0" w:space="0" w:color="auto"/>
            <w:right w:val="none" w:sz="0" w:space="0" w:color="auto"/>
          </w:divBdr>
        </w:div>
        <w:div w:id="1196235627">
          <w:marLeft w:val="0"/>
          <w:marRight w:val="0"/>
          <w:marTop w:val="0"/>
          <w:marBottom w:val="0"/>
          <w:divBdr>
            <w:top w:val="none" w:sz="0" w:space="0" w:color="auto"/>
            <w:left w:val="none" w:sz="0" w:space="0" w:color="auto"/>
            <w:bottom w:val="none" w:sz="0" w:space="0" w:color="auto"/>
            <w:right w:val="none" w:sz="0" w:space="0" w:color="auto"/>
          </w:divBdr>
        </w:div>
        <w:div w:id="1954822702">
          <w:marLeft w:val="0"/>
          <w:marRight w:val="0"/>
          <w:marTop w:val="0"/>
          <w:marBottom w:val="0"/>
          <w:divBdr>
            <w:top w:val="none" w:sz="0" w:space="0" w:color="auto"/>
            <w:left w:val="none" w:sz="0" w:space="0" w:color="auto"/>
            <w:bottom w:val="none" w:sz="0" w:space="0" w:color="auto"/>
            <w:right w:val="none" w:sz="0" w:space="0" w:color="auto"/>
          </w:divBdr>
        </w:div>
        <w:div w:id="365106002">
          <w:marLeft w:val="0"/>
          <w:marRight w:val="0"/>
          <w:marTop w:val="0"/>
          <w:marBottom w:val="0"/>
          <w:divBdr>
            <w:top w:val="none" w:sz="0" w:space="0" w:color="auto"/>
            <w:left w:val="none" w:sz="0" w:space="0" w:color="auto"/>
            <w:bottom w:val="none" w:sz="0" w:space="0" w:color="auto"/>
            <w:right w:val="none" w:sz="0" w:space="0" w:color="auto"/>
          </w:divBdr>
        </w:div>
        <w:div w:id="998582044">
          <w:marLeft w:val="0"/>
          <w:marRight w:val="0"/>
          <w:marTop w:val="0"/>
          <w:marBottom w:val="0"/>
          <w:divBdr>
            <w:top w:val="none" w:sz="0" w:space="0" w:color="auto"/>
            <w:left w:val="none" w:sz="0" w:space="0" w:color="auto"/>
            <w:bottom w:val="none" w:sz="0" w:space="0" w:color="auto"/>
            <w:right w:val="none" w:sz="0" w:space="0" w:color="auto"/>
          </w:divBdr>
        </w:div>
        <w:div w:id="10030212">
          <w:marLeft w:val="0"/>
          <w:marRight w:val="0"/>
          <w:marTop w:val="0"/>
          <w:marBottom w:val="0"/>
          <w:divBdr>
            <w:top w:val="none" w:sz="0" w:space="0" w:color="auto"/>
            <w:left w:val="none" w:sz="0" w:space="0" w:color="auto"/>
            <w:bottom w:val="none" w:sz="0" w:space="0" w:color="auto"/>
            <w:right w:val="none" w:sz="0" w:space="0" w:color="auto"/>
          </w:divBdr>
        </w:div>
        <w:div w:id="512762159">
          <w:marLeft w:val="0"/>
          <w:marRight w:val="0"/>
          <w:marTop w:val="0"/>
          <w:marBottom w:val="0"/>
          <w:divBdr>
            <w:top w:val="none" w:sz="0" w:space="0" w:color="auto"/>
            <w:left w:val="none" w:sz="0" w:space="0" w:color="auto"/>
            <w:bottom w:val="none" w:sz="0" w:space="0" w:color="auto"/>
            <w:right w:val="none" w:sz="0" w:space="0" w:color="auto"/>
          </w:divBdr>
        </w:div>
        <w:div w:id="278532869">
          <w:marLeft w:val="0"/>
          <w:marRight w:val="0"/>
          <w:marTop w:val="0"/>
          <w:marBottom w:val="0"/>
          <w:divBdr>
            <w:top w:val="none" w:sz="0" w:space="0" w:color="auto"/>
            <w:left w:val="none" w:sz="0" w:space="0" w:color="auto"/>
            <w:bottom w:val="none" w:sz="0" w:space="0" w:color="auto"/>
            <w:right w:val="none" w:sz="0" w:space="0" w:color="auto"/>
          </w:divBdr>
        </w:div>
        <w:div w:id="586575554">
          <w:marLeft w:val="0"/>
          <w:marRight w:val="0"/>
          <w:marTop w:val="0"/>
          <w:marBottom w:val="0"/>
          <w:divBdr>
            <w:top w:val="none" w:sz="0" w:space="0" w:color="auto"/>
            <w:left w:val="none" w:sz="0" w:space="0" w:color="auto"/>
            <w:bottom w:val="none" w:sz="0" w:space="0" w:color="auto"/>
            <w:right w:val="none" w:sz="0" w:space="0" w:color="auto"/>
          </w:divBdr>
        </w:div>
        <w:div w:id="901870508">
          <w:marLeft w:val="0"/>
          <w:marRight w:val="0"/>
          <w:marTop w:val="0"/>
          <w:marBottom w:val="0"/>
          <w:divBdr>
            <w:top w:val="none" w:sz="0" w:space="0" w:color="auto"/>
            <w:left w:val="none" w:sz="0" w:space="0" w:color="auto"/>
            <w:bottom w:val="none" w:sz="0" w:space="0" w:color="auto"/>
            <w:right w:val="none" w:sz="0" w:space="0" w:color="auto"/>
          </w:divBdr>
        </w:div>
        <w:div w:id="984818426">
          <w:marLeft w:val="0"/>
          <w:marRight w:val="0"/>
          <w:marTop w:val="0"/>
          <w:marBottom w:val="0"/>
          <w:divBdr>
            <w:top w:val="none" w:sz="0" w:space="0" w:color="auto"/>
            <w:left w:val="none" w:sz="0" w:space="0" w:color="auto"/>
            <w:bottom w:val="none" w:sz="0" w:space="0" w:color="auto"/>
            <w:right w:val="none" w:sz="0" w:space="0" w:color="auto"/>
          </w:divBdr>
        </w:div>
        <w:div w:id="1835146571">
          <w:marLeft w:val="0"/>
          <w:marRight w:val="0"/>
          <w:marTop w:val="0"/>
          <w:marBottom w:val="0"/>
          <w:divBdr>
            <w:top w:val="none" w:sz="0" w:space="0" w:color="auto"/>
            <w:left w:val="none" w:sz="0" w:space="0" w:color="auto"/>
            <w:bottom w:val="none" w:sz="0" w:space="0" w:color="auto"/>
            <w:right w:val="none" w:sz="0" w:space="0" w:color="auto"/>
          </w:divBdr>
        </w:div>
        <w:div w:id="1429231741">
          <w:marLeft w:val="0"/>
          <w:marRight w:val="0"/>
          <w:marTop w:val="0"/>
          <w:marBottom w:val="0"/>
          <w:divBdr>
            <w:top w:val="none" w:sz="0" w:space="0" w:color="auto"/>
            <w:left w:val="none" w:sz="0" w:space="0" w:color="auto"/>
            <w:bottom w:val="none" w:sz="0" w:space="0" w:color="auto"/>
            <w:right w:val="none" w:sz="0" w:space="0" w:color="auto"/>
          </w:divBdr>
        </w:div>
        <w:div w:id="1646928056">
          <w:marLeft w:val="0"/>
          <w:marRight w:val="0"/>
          <w:marTop w:val="0"/>
          <w:marBottom w:val="0"/>
          <w:divBdr>
            <w:top w:val="none" w:sz="0" w:space="0" w:color="auto"/>
            <w:left w:val="none" w:sz="0" w:space="0" w:color="auto"/>
            <w:bottom w:val="none" w:sz="0" w:space="0" w:color="auto"/>
            <w:right w:val="none" w:sz="0" w:space="0" w:color="auto"/>
          </w:divBdr>
        </w:div>
        <w:div w:id="1457602753">
          <w:marLeft w:val="0"/>
          <w:marRight w:val="0"/>
          <w:marTop w:val="0"/>
          <w:marBottom w:val="0"/>
          <w:divBdr>
            <w:top w:val="none" w:sz="0" w:space="0" w:color="auto"/>
            <w:left w:val="none" w:sz="0" w:space="0" w:color="auto"/>
            <w:bottom w:val="none" w:sz="0" w:space="0" w:color="auto"/>
            <w:right w:val="none" w:sz="0" w:space="0" w:color="auto"/>
          </w:divBdr>
        </w:div>
        <w:div w:id="1461411726">
          <w:marLeft w:val="0"/>
          <w:marRight w:val="0"/>
          <w:marTop w:val="0"/>
          <w:marBottom w:val="0"/>
          <w:divBdr>
            <w:top w:val="none" w:sz="0" w:space="0" w:color="auto"/>
            <w:left w:val="none" w:sz="0" w:space="0" w:color="auto"/>
            <w:bottom w:val="none" w:sz="0" w:space="0" w:color="auto"/>
            <w:right w:val="none" w:sz="0" w:space="0" w:color="auto"/>
          </w:divBdr>
        </w:div>
        <w:div w:id="1698660260">
          <w:marLeft w:val="0"/>
          <w:marRight w:val="0"/>
          <w:marTop w:val="0"/>
          <w:marBottom w:val="0"/>
          <w:divBdr>
            <w:top w:val="none" w:sz="0" w:space="0" w:color="auto"/>
            <w:left w:val="none" w:sz="0" w:space="0" w:color="auto"/>
            <w:bottom w:val="none" w:sz="0" w:space="0" w:color="auto"/>
            <w:right w:val="none" w:sz="0" w:space="0" w:color="auto"/>
          </w:divBdr>
        </w:div>
        <w:div w:id="1666324750">
          <w:marLeft w:val="0"/>
          <w:marRight w:val="0"/>
          <w:marTop w:val="0"/>
          <w:marBottom w:val="0"/>
          <w:divBdr>
            <w:top w:val="none" w:sz="0" w:space="0" w:color="auto"/>
            <w:left w:val="none" w:sz="0" w:space="0" w:color="auto"/>
            <w:bottom w:val="none" w:sz="0" w:space="0" w:color="auto"/>
            <w:right w:val="none" w:sz="0" w:space="0" w:color="auto"/>
          </w:divBdr>
        </w:div>
        <w:div w:id="1115177998">
          <w:marLeft w:val="0"/>
          <w:marRight w:val="0"/>
          <w:marTop w:val="0"/>
          <w:marBottom w:val="0"/>
          <w:divBdr>
            <w:top w:val="none" w:sz="0" w:space="0" w:color="auto"/>
            <w:left w:val="none" w:sz="0" w:space="0" w:color="auto"/>
            <w:bottom w:val="none" w:sz="0" w:space="0" w:color="auto"/>
            <w:right w:val="none" w:sz="0" w:space="0" w:color="auto"/>
          </w:divBdr>
        </w:div>
        <w:div w:id="1553274613">
          <w:marLeft w:val="0"/>
          <w:marRight w:val="0"/>
          <w:marTop w:val="0"/>
          <w:marBottom w:val="0"/>
          <w:divBdr>
            <w:top w:val="none" w:sz="0" w:space="0" w:color="auto"/>
            <w:left w:val="none" w:sz="0" w:space="0" w:color="auto"/>
            <w:bottom w:val="none" w:sz="0" w:space="0" w:color="auto"/>
            <w:right w:val="none" w:sz="0" w:space="0" w:color="auto"/>
          </w:divBdr>
        </w:div>
        <w:div w:id="887839231">
          <w:marLeft w:val="0"/>
          <w:marRight w:val="0"/>
          <w:marTop w:val="0"/>
          <w:marBottom w:val="0"/>
          <w:divBdr>
            <w:top w:val="none" w:sz="0" w:space="0" w:color="auto"/>
            <w:left w:val="none" w:sz="0" w:space="0" w:color="auto"/>
            <w:bottom w:val="none" w:sz="0" w:space="0" w:color="auto"/>
            <w:right w:val="none" w:sz="0" w:space="0" w:color="auto"/>
          </w:divBdr>
        </w:div>
        <w:div w:id="730689186">
          <w:marLeft w:val="0"/>
          <w:marRight w:val="0"/>
          <w:marTop w:val="0"/>
          <w:marBottom w:val="0"/>
          <w:divBdr>
            <w:top w:val="none" w:sz="0" w:space="0" w:color="auto"/>
            <w:left w:val="none" w:sz="0" w:space="0" w:color="auto"/>
            <w:bottom w:val="none" w:sz="0" w:space="0" w:color="auto"/>
            <w:right w:val="none" w:sz="0" w:space="0" w:color="auto"/>
          </w:divBdr>
        </w:div>
        <w:div w:id="1637300217">
          <w:marLeft w:val="0"/>
          <w:marRight w:val="0"/>
          <w:marTop w:val="0"/>
          <w:marBottom w:val="0"/>
          <w:divBdr>
            <w:top w:val="none" w:sz="0" w:space="0" w:color="auto"/>
            <w:left w:val="none" w:sz="0" w:space="0" w:color="auto"/>
            <w:bottom w:val="none" w:sz="0" w:space="0" w:color="auto"/>
            <w:right w:val="none" w:sz="0" w:space="0" w:color="auto"/>
          </w:divBdr>
        </w:div>
        <w:div w:id="1997764792">
          <w:marLeft w:val="0"/>
          <w:marRight w:val="0"/>
          <w:marTop w:val="0"/>
          <w:marBottom w:val="0"/>
          <w:divBdr>
            <w:top w:val="none" w:sz="0" w:space="0" w:color="auto"/>
            <w:left w:val="none" w:sz="0" w:space="0" w:color="auto"/>
            <w:bottom w:val="none" w:sz="0" w:space="0" w:color="auto"/>
            <w:right w:val="none" w:sz="0" w:space="0" w:color="auto"/>
          </w:divBdr>
        </w:div>
        <w:div w:id="1316035304">
          <w:marLeft w:val="0"/>
          <w:marRight w:val="0"/>
          <w:marTop w:val="0"/>
          <w:marBottom w:val="0"/>
          <w:divBdr>
            <w:top w:val="none" w:sz="0" w:space="0" w:color="auto"/>
            <w:left w:val="none" w:sz="0" w:space="0" w:color="auto"/>
            <w:bottom w:val="none" w:sz="0" w:space="0" w:color="auto"/>
            <w:right w:val="none" w:sz="0" w:space="0" w:color="auto"/>
          </w:divBdr>
        </w:div>
        <w:div w:id="1357854031">
          <w:marLeft w:val="0"/>
          <w:marRight w:val="0"/>
          <w:marTop w:val="0"/>
          <w:marBottom w:val="0"/>
          <w:divBdr>
            <w:top w:val="none" w:sz="0" w:space="0" w:color="auto"/>
            <w:left w:val="none" w:sz="0" w:space="0" w:color="auto"/>
            <w:bottom w:val="none" w:sz="0" w:space="0" w:color="auto"/>
            <w:right w:val="none" w:sz="0" w:space="0" w:color="auto"/>
          </w:divBdr>
        </w:div>
        <w:div w:id="661854053">
          <w:marLeft w:val="0"/>
          <w:marRight w:val="0"/>
          <w:marTop w:val="0"/>
          <w:marBottom w:val="0"/>
          <w:divBdr>
            <w:top w:val="none" w:sz="0" w:space="0" w:color="auto"/>
            <w:left w:val="none" w:sz="0" w:space="0" w:color="auto"/>
            <w:bottom w:val="none" w:sz="0" w:space="0" w:color="auto"/>
            <w:right w:val="none" w:sz="0" w:space="0" w:color="auto"/>
          </w:divBdr>
        </w:div>
        <w:div w:id="2126263838">
          <w:marLeft w:val="0"/>
          <w:marRight w:val="0"/>
          <w:marTop w:val="0"/>
          <w:marBottom w:val="0"/>
          <w:divBdr>
            <w:top w:val="none" w:sz="0" w:space="0" w:color="auto"/>
            <w:left w:val="none" w:sz="0" w:space="0" w:color="auto"/>
            <w:bottom w:val="none" w:sz="0" w:space="0" w:color="auto"/>
            <w:right w:val="none" w:sz="0" w:space="0" w:color="auto"/>
          </w:divBdr>
        </w:div>
        <w:div w:id="668673526">
          <w:marLeft w:val="0"/>
          <w:marRight w:val="0"/>
          <w:marTop w:val="0"/>
          <w:marBottom w:val="0"/>
          <w:divBdr>
            <w:top w:val="none" w:sz="0" w:space="0" w:color="auto"/>
            <w:left w:val="none" w:sz="0" w:space="0" w:color="auto"/>
            <w:bottom w:val="none" w:sz="0" w:space="0" w:color="auto"/>
            <w:right w:val="none" w:sz="0" w:space="0" w:color="auto"/>
          </w:divBdr>
        </w:div>
        <w:div w:id="1651398450">
          <w:marLeft w:val="0"/>
          <w:marRight w:val="0"/>
          <w:marTop w:val="0"/>
          <w:marBottom w:val="0"/>
          <w:divBdr>
            <w:top w:val="none" w:sz="0" w:space="0" w:color="auto"/>
            <w:left w:val="none" w:sz="0" w:space="0" w:color="auto"/>
            <w:bottom w:val="none" w:sz="0" w:space="0" w:color="auto"/>
            <w:right w:val="none" w:sz="0" w:space="0" w:color="auto"/>
          </w:divBdr>
        </w:div>
        <w:div w:id="1005087883">
          <w:marLeft w:val="0"/>
          <w:marRight w:val="0"/>
          <w:marTop w:val="0"/>
          <w:marBottom w:val="0"/>
          <w:divBdr>
            <w:top w:val="none" w:sz="0" w:space="0" w:color="auto"/>
            <w:left w:val="none" w:sz="0" w:space="0" w:color="auto"/>
            <w:bottom w:val="none" w:sz="0" w:space="0" w:color="auto"/>
            <w:right w:val="none" w:sz="0" w:space="0" w:color="auto"/>
          </w:divBdr>
        </w:div>
        <w:div w:id="742720877">
          <w:marLeft w:val="0"/>
          <w:marRight w:val="0"/>
          <w:marTop w:val="0"/>
          <w:marBottom w:val="0"/>
          <w:divBdr>
            <w:top w:val="none" w:sz="0" w:space="0" w:color="auto"/>
            <w:left w:val="none" w:sz="0" w:space="0" w:color="auto"/>
            <w:bottom w:val="none" w:sz="0" w:space="0" w:color="auto"/>
            <w:right w:val="none" w:sz="0" w:space="0" w:color="auto"/>
          </w:divBdr>
        </w:div>
        <w:div w:id="622225092">
          <w:marLeft w:val="0"/>
          <w:marRight w:val="0"/>
          <w:marTop w:val="0"/>
          <w:marBottom w:val="0"/>
          <w:divBdr>
            <w:top w:val="none" w:sz="0" w:space="0" w:color="auto"/>
            <w:left w:val="none" w:sz="0" w:space="0" w:color="auto"/>
            <w:bottom w:val="none" w:sz="0" w:space="0" w:color="auto"/>
            <w:right w:val="none" w:sz="0" w:space="0" w:color="auto"/>
          </w:divBdr>
        </w:div>
      </w:divsChild>
    </w:div>
    <w:div w:id="525943488">
      <w:bodyDiv w:val="1"/>
      <w:marLeft w:val="0"/>
      <w:marRight w:val="0"/>
      <w:marTop w:val="0"/>
      <w:marBottom w:val="0"/>
      <w:divBdr>
        <w:top w:val="none" w:sz="0" w:space="0" w:color="auto"/>
        <w:left w:val="none" w:sz="0" w:space="0" w:color="auto"/>
        <w:bottom w:val="none" w:sz="0" w:space="0" w:color="auto"/>
        <w:right w:val="none" w:sz="0" w:space="0" w:color="auto"/>
      </w:divBdr>
    </w:div>
    <w:div w:id="529420769">
      <w:bodyDiv w:val="1"/>
      <w:marLeft w:val="0"/>
      <w:marRight w:val="0"/>
      <w:marTop w:val="0"/>
      <w:marBottom w:val="0"/>
      <w:divBdr>
        <w:top w:val="none" w:sz="0" w:space="0" w:color="auto"/>
        <w:left w:val="none" w:sz="0" w:space="0" w:color="auto"/>
        <w:bottom w:val="none" w:sz="0" w:space="0" w:color="auto"/>
        <w:right w:val="none" w:sz="0" w:space="0" w:color="auto"/>
      </w:divBdr>
    </w:div>
    <w:div w:id="537278677">
      <w:bodyDiv w:val="1"/>
      <w:marLeft w:val="0"/>
      <w:marRight w:val="0"/>
      <w:marTop w:val="0"/>
      <w:marBottom w:val="0"/>
      <w:divBdr>
        <w:top w:val="none" w:sz="0" w:space="0" w:color="auto"/>
        <w:left w:val="none" w:sz="0" w:space="0" w:color="auto"/>
        <w:bottom w:val="none" w:sz="0" w:space="0" w:color="auto"/>
        <w:right w:val="none" w:sz="0" w:space="0" w:color="auto"/>
      </w:divBdr>
    </w:div>
    <w:div w:id="614752021">
      <w:bodyDiv w:val="1"/>
      <w:marLeft w:val="0"/>
      <w:marRight w:val="0"/>
      <w:marTop w:val="0"/>
      <w:marBottom w:val="0"/>
      <w:divBdr>
        <w:top w:val="none" w:sz="0" w:space="0" w:color="auto"/>
        <w:left w:val="none" w:sz="0" w:space="0" w:color="auto"/>
        <w:bottom w:val="none" w:sz="0" w:space="0" w:color="auto"/>
        <w:right w:val="none" w:sz="0" w:space="0" w:color="auto"/>
      </w:divBdr>
    </w:div>
    <w:div w:id="646781050">
      <w:bodyDiv w:val="1"/>
      <w:marLeft w:val="0"/>
      <w:marRight w:val="0"/>
      <w:marTop w:val="0"/>
      <w:marBottom w:val="0"/>
      <w:divBdr>
        <w:top w:val="none" w:sz="0" w:space="0" w:color="auto"/>
        <w:left w:val="none" w:sz="0" w:space="0" w:color="auto"/>
        <w:bottom w:val="none" w:sz="0" w:space="0" w:color="auto"/>
        <w:right w:val="none" w:sz="0" w:space="0" w:color="auto"/>
      </w:divBdr>
    </w:div>
    <w:div w:id="703555012">
      <w:bodyDiv w:val="1"/>
      <w:marLeft w:val="0"/>
      <w:marRight w:val="0"/>
      <w:marTop w:val="0"/>
      <w:marBottom w:val="0"/>
      <w:divBdr>
        <w:top w:val="none" w:sz="0" w:space="0" w:color="auto"/>
        <w:left w:val="none" w:sz="0" w:space="0" w:color="auto"/>
        <w:bottom w:val="none" w:sz="0" w:space="0" w:color="auto"/>
        <w:right w:val="none" w:sz="0" w:space="0" w:color="auto"/>
      </w:divBdr>
    </w:div>
    <w:div w:id="712922718">
      <w:bodyDiv w:val="1"/>
      <w:marLeft w:val="0"/>
      <w:marRight w:val="0"/>
      <w:marTop w:val="0"/>
      <w:marBottom w:val="0"/>
      <w:divBdr>
        <w:top w:val="none" w:sz="0" w:space="0" w:color="auto"/>
        <w:left w:val="none" w:sz="0" w:space="0" w:color="auto"/>
        <w:bottom w:val="none" w:sz="0" w:space="0" w:color="auto"/>
        <w:right w:val="none" w:sz="0" w:space="0" w:color="auto"/>
      </w:divBdr>
    </w:div>
    <w:div w:id="714308943">
      <w:bodyDiv w:val="1"/>
      <w:marLeft w:val="0"/>
      <w:marRight w:val="0"/>
      <w:marTop w:val="0"/>
      <w:marBottom w:val="0"/>
      <w:divBdr>
        <w:top w:val="none" w:sz="0" w:space="0" w:color="auto"/>
        <w:left w:val="none" w:sz="0" w:space="0" w:color="auto"/>
        <w:bottom w:val="none" w:sz="0" w:space="0" w:color="auto"/>
        <w:right w:val="none" w:sz="0" w:space="0" w:color="auto"/>
      </w:divBdr>
    </w:div>
    <w:div w:id="739134442">
      <w:bodyDiv w:val="1"/>
      <w:marLeft w:val="0"/>
      <w:marRight w:val="0"/>
      <w:marTop w:val="0"/>
      <w:marBottom w:val="0"/>
      <w:divBdr>
        <w:top w:val="none" w:sz="0" w:space="0" w:color="auto"/>
        <w:left w:val="none" w:sz="0" w:space="0" w:color="auto"/>
        <w:bottom w:val="none" w:sz="0" w:space="0" w:color="auto"/>
        <w:right w:val="none" w:sz="0" w:space="0" w:color="auto"/>
      </w:divBdr>
    </w:div>
    <w:div w:id="808665332">
      <w:bodyDiv w:val="1"/>
      <w:marLeft w:val="0"/>
      <w:marRight w:val="0"/>
      <w:marTop w:val="0"/>
      <w:marBottom w:val="0"/>
      <w:divBdr>
        <w:top w:val="none" w:sz="0" w:space="0" w:color="auto"/>
        <w:left w:val="none" w:sz="0" w:space="0" w:color="auto"/>
        <w:bottom w:val="none" w:sz="0" w:space="0" w:color="auto"/>
        <w:right w:val="none" w:sz="0" w:space="0" w:color="auto"/>
      </w:divBdr>
    </w:div>
    <w:div w:id="816726120">
      <w:bodyDiv w:val="1"/>
      <w:marLeft w:val="0"/>
      <w:marRight w:val="0"/>
      <w:marTop w:val="0"/>
      <w:marBottom w:val="0"/>
      <w:divBdr>
        <w:top w:val="none" w:sz="0" w:space="0" w:color="auto"/>
        <w:left w:val="none" w:sz="0" w:space="0" w:color="auto"/>
        <w:bottom w:val="none" w:sz="0" w:space="0" w:color="auto"/>
        <w:right w:val="none" w:sz="0" w:space="0" w:color="auto"/>
      </w:divBdr>
    </w:div>
    <w:div w:id="870266393">
      <w:bodyDiv w:val="1"/>
      <w:marLeft w:val="0"/>
      <w:marRight w:val="0"/>
      <w:marTop w:val="0"/>
      <w:marBottom w:val="0"/>
      <w:divBdr>
        <w:top w:val="none" w:sz="0" w:space="0" w:color="auto"/>
        <w:left w:val="none" w:sz="0" w:space="0" w:color="auto"/>
        <w:bottom w:val="none" w:sz="0" w:space="0" w:color="auto"/>
        <w:right w:val="none" w:sz="0" w:space="0" w:color="auto"/>
      </w:divBdr>
    </w:div>
    <w:div w:id="876697126">
      <w:bodyDiv w:val="1"/>
      <w:marLeft w:val="0"/>
      <w:marRight w:val="0"/>
      <w:marTop w:val="0"/>
      <w:marBottom w:val="0"/>
      <w:divBdr>
        <w:top w:val="none" w:sz="0" w:space="0" w:color="auto"/>
        <w:left w:val="none" w:sz="0" w:space="0" w:color="auto"/>
        <w:bottom w:val="none" w:sz="0" w:space="0" w:color="auto"/>
        <w:right w:val="none" w:sz="0" w:space="0" w:color="auto"/>
      </w:divBdr>
    </w:div>
    <w:div w:id="953832197">
      <w:bodyDiv w:val="1"/>
      <w:marLeft w:val="0"/>
      <w:marRight w:val="0"/>
      <w:marTop w:val="0"/>
      <w:marBottom w:val="0"/>
      <w:divBdr>
        <w:top w:val="none" w:sz="0" w:space="0" w:color="auto"/>
        <w:left w:val="none" w:sz="0" w:space="0" w:color="auto"/>
        <w:bottom w:val="none" w:sz="0" w:space="0" w:color="auto"/>
        <w:right w:val="none" w:sz="0" w:space="0" w:color="auto"/>
      </w:divBdr>
    </w:div>
    <w:div w:id="996962063">
      <w:bodyDiv w:val="1"/>
      <w:marLeft w:val="0"/>
      <w:marRight w:val="0"/>
      <w:marTop w:val="0"/>
      <w:marBottom w:val="0"/>
      <w:divBdr>
        <w:top w:val="none" w:sz="0" w:space="0" w:color="auto"/>
        <w:left w:val="none" w:sz="0" w:space="0" w:color="auto"/>
        <w:bottom w:val="none" w:sz="0" w:space="0" w:color="auto"/>
        <w:right w:val="none" w:sz="0" w:space="0" w:color="auto"/>
      </w:divBdr>
    </w:div>
    <w:div w:id="1015570983">
      <w:bodyDiv w:val="1"/>
      <w:marLeft w:val="0"/>
      <w:marRight w:val="0"/>
      <w:marTop w:val="0"/>
      <w:marBottom w:val="0"/>
      <w:divBdr>
        <w:top w:val="none" w:sz="0" w:space="0" w:color="auto"/>
        <w:left w:val="none" w:sz="0" w:space="0" w:color="auto"/>
        <w:bottom w:val="none" w:sz="0" w:space="0" w:color="auto"/>
        <w:right w:val="none" w:sz="0" w:space="0" w:color="auto"/>
      </w:divBdr>
    </w:div>
    <w:div w:id="1019350572">
      <w:bodyDiv w:val="1"/>
      <w:marLeft w:val="0"/>
      <w:marRight w:val="0"/>
      <w:marTop w:val="0"/>
      <w:marBottom w:val="0"/>
      <w:divBdr>
        <w:top w:val="none" w:sz="0" w:space="0" w:color="auto"/>
        <w:left w:val="none" w:sz="0" w:space="0" w:color="auto"/>
        <w:bottom w:val="none" w:sz="0" w:space="0" w:color="auto"/>
        <w:right w:val="none" w:sz="0" w:space="0" w:color="auto"/>
      </w:divBdr>
    </w:div>
    <w:div w:id="1019891523">
      <w:bodyDiv w:val="1"/>
      <w:marLeft w:val="0"/>
      <w:marRight w:val="0"/>
      <w:marTop w:val="0"/>
      <w:marBottom w:val="0"/>
      <w:divBdr>
        <w:top w:val="none" w:sz="0" w:space="0" w:color="auto"/>
        <w:left w:val="none" w:sz="0" w:space="0" w:color="auto"/>
        <w:bottom w:val="none" w:sz="0" w:space="0" w:color="auto"/>
        <w:right w:val="none" w:sz="0" w:space="0" w:color="auto"/>
      </w:divBdr>
    </w:div>
    <w:div w:id="1026521123">
      <w:bodyDiv w:val="1"/>
      <w:marLeft w:val="0"/>
      <w:marRight w:val="0"/>
      <w:marTop w:val="0"/>
      <w:marBottom w:val="0"/>
      <w:divBdr>
        <w:top w:val="none" w:sz="0" w:space="0" w:color="auto"/>
        <w:left w:val="none" w:sz="0" w:space="0" w:color="auto"/>
        <w:bottom w:val="none" w:sz="0" w:space="0" w:color="auto"/>
        <w:right w:val="none" w:sz="0" w:space="0" w:color="auto"/>
      </w:divBdr>
    </w:div>
    <w:div w:id="1027173604">
      <w:bodyDiv w:val="1"/>
      <w:marLeft w:val="0"/>
      <w:marRight w:val="0"/>
      <w:marTop w:val="0"/>
      <w:marBottom w:val="0"/>
      <w:divBdr>
        <w:top w:val="none" w:sz="0" w:space="0" w:color="auto"/>
        <w:left w:val="none" w:sz="0" w:space="0" w:color="auto"/>
        <w:bottom w:val="none" w:sz="0" w:space="0" w:color="auto"/>
        <w:right w:val="none" w:sz="0" w:space="0" w:color="auto"/>
      </w:divBdr>
    </w:div>
    <w:div w:id="1027485944">
      <w:bodyDiv w:val="1"/>
      <w:marLeft w:val="0"/>
      <w:marRight w:val="0"/>
      <w:marTop w:val="0"/>
      <w:marBottom w:val="0"/>
      <w:divBdr>
        <w:top w:val="none" w:sz="0" w:space="0" w:color="auto"/>
        <w:left w:val="none" w:sz="0" w:space="0" w:color="auto"/>
        <w:bottom w:val="none" w:sz="0" w:space="0" w:color="auto"/>
        <w:right w:val="none" w:sz="0" w:space="0" w:color="auto"/>
      </w:divBdr>
    </w:div>
    <w:div w:id="1043099157">
      <w:bodyDiv w:val="1"/>
      <w:marLeft w:val="0"/>
      <w:marRight w:val="0"/>
      <w:marTop w:val="0"/>
      <w:marBottom w:val="0"/>
      <w:divBdr>
        <w:top w:val="none" w:sz="0" w:space="0" w:color="auto"/>
        <w:left w:val="none" w:sz="0" w:space="0" w:color="auto"/>
        <w:bottom w:val="none" w:sz="0" w:space="0" w:color="auto"/>
        <w:right w:val="none" w:sz="0" w:space="0" w:color="auto"/>
      </w:divBdr>
    </w:div>
    <w:div w:id="1082802307">
      <w:bodyDiv w:val="1"/>
      <w:marLeft w:val="0"/>
      <w:marRight w:val="0"/>
      <w:marTop w:val="0"/>
      <w:marBottom w:val="0"/>
      <w:divBdr>
        <w:top w:val="none" w:sz="0" w:space="0" w:color="auto"/>
        <w:left w:val="none" w:sz="0" w:space="0" w:color="auto"/>
        <w:bottom w:val="none" w:sz="0" w:space="0" w:color="auto"/>
        <w:right w:val="none" w:sz="0" w:space="0" w:color="auto"/>
      </w:divBdr>
    </w:div>
    <w:div w:id="1088892892">
      <w:bodyDiv w:val="1"/>
      <w:marLeft w:val="0"/>
      <w:marRight w:val="0"/>
      <w:marTop w:val="0"/>
      <w:marBottom w:val="0"/>
      <w:divBdr>
        <w:top w:val="none" w:sz="0" w:space="0" w:color="auto"/>
        <w:left w:val="none" w:sz="0" w:space="0" w:color="auto"/>
        <w:bottom w:val="none" w:sz="0" w:space="0" w:color="auto"/>
        <w:right w:val="none" w:sz="0" w:space="0" w:color="auto"/>
      </w:divBdr>
    </w:div>
    <w:div w:id="1128745700">
      <w:bodyDiv w:val="1"/>
      <w:marLeft w:val="0"/>
      <w:marRight w:val="0"/>
      <w:marTop w:val="0"/>
      <w:marBottom w:val="0"/>
      <w:divBdr>
        <w:top w:val="none" w:sz="0" w:space="0" w:color="auto"/>
        <w:left w:val="none" w:sz="0" w:space="0" w:color="auto"/>
        <w:bottom w:val="none" w:sz="0" w:space="0" w:color="auto"/>
        <w:right w:val="none" w:sz="0" w:space="0" w:color="auto"/>
      </w:divBdr>
    </w:div>
    <w:div w:id="1144156119">
      <w:bodyDiv w:val="1"/>
      <w:marLeft w:val="0"/>
      <w:marRight w:val="0"/>
      <w:marTop w:val="0"/>
      <w:marBottom w:val="0"/>
      <w:divBdr>
        <w:top w:val="none" w:sz="0" w:space="0" w:color="auto"/>
        <w:left w:val="none" w:sz="0" w:space="0" w:color="auto"/>
        <w:bottom w:val="none" w:sz="0" w:space="0" w:color="auto"/>
        <w:right w:val="none" w:sz="0" w:space="0" w:color="auto"/>
      </w:divBdr>
    </w:div>
    <w:div w:id="1160542590">
      <w:bodyDiv w:val="1"/>
      <w:marLeft w:val="0"/>
      <w:marRight w:val="0"/>
      <w:marTop w:val="0"/>
      <w:marBottom w:val="0"/>
      <w:divBdr>
        <w:top w:val="none" w:sz="0" w:space="0" w:color="auto"/>
        <w:left w:val="none" w:sz="0" w:space="0" w:color="auto"/>
        <w:bottom w:val="none" w:sz="0" w:space="0" w:color="auto"/>
        <w:right w:val="none" w:sz="0" w:space="0" w:color="auto"/>
      </w:divBdr>
    </w:div>
    <w:div w:id="1167672754">
      <w:bodyDiv w:val="1"/>
      <w:marLeft w:val="0"/>
      <w:marRight w:val="0"/>
      <w:marTop w:val="0"/>
      <w:marBottom w:val="0"/>
      <w:divBdr>
        <w:top w:val="none" w:sz="0" w:space="0" w:color="auto"/>
        <w:left w:val="none" w:sz="0" w:space="0" w:color="auto"/>
        <w:bottom w:val="none" w:sz="0" w:space="0" w:color="auto"/>
        <w:right w:val="none" w:sz="0" w:space="0" w:color="auto"/>
      </w:divBdr>
    </w:div>
    <w:div w:id="1168864950">
      <w:bodyDiv w:val="1"/>
      <w:marLeft w:val="0"/>
      <w:marRight w:val="0"/>
      <w:marTop w:val="0"/>
      <w:marBottom w:val="0"/>
      <w:divBdr>
        <w:top w:val="none" w:sz="0" w:space="0" w:color="auto"/>
        <w:left w:val="none" w:sz="0" w:space="0" w:color="auto"/>
        <w:bottom w:val="none" w:sz="0" w:space="0" w:color="auto"/>
        <w:right w:val="none" w:sz="0" w:space="0" w:color="auto"/>
      </w:divBdr>
    </w:div>
    <w:div w:id="1199314779">
      <w:bodyDiv w:val="1"/>
      <w:marLeft w:val="0"/>
      <w:marRight w:val="0"/>
      <w:marTop w:val="0"/>
      <w:marBottom w:val="0"/>
      <w:divBdr>
        <w:top w:val="none" w:sz="0" w:space="0" w:color="auto"/>
        <w:left w:val="none" w:sz="0" w:space="0" w:color="auto"/>
        <w:bottom w:val="none" w:sz="0" w:space="0" w:color="auto"/>
        <w:right w:val="none" w:sz="0" w:space="0" w:color="auto"/>
      </w:divBdr>
    </w:div>
    <w:div w:id="1231576640">
      <w:bodyDiv w:val="1"/>
      <w:marLeft w:val="0"/>
      <w:marRight w:val="0"/>
      <w:marTop w:val="0"/>
      <w:marBottom w:val="0"/>
      <w:divBdr>
        <w:top w:val="none" w:sz="0" w:space="0" w:color="auto"/>
        <w:left w:val="none" w:sz="0" w:space="0" w:color="auto"/>
        <w:bottom w:val="none" w:sz="0" w:space="0" w:color="auto"/>
        <w:right w:val="none" w:sz="0" w:space="0" w:color="auto"/>
      </w:divBdr>
    </w:div>
    <w:div w:id="1237276278">
      <w:bodyDiv w:val="1"/>
      <w:marLeft w:val="0"/>
      <w:marRight w:val="0"/>
      <w:marTop w:val="0"/>
      <w:marBottom w:val="0"/>
      <w:divBdr>
        <w:top w:val="none" w:sz="0" w:space="0" w:color="auto"/>
        <w:left w:val="none" w:sz="0" w:space="0" w:color="auto"/>
        <w:bottom w:val="none" w:sz="0" w:space="0" w:color="auto"/>
        <w:right w:val="none" w:sz="0" w:space="0" w:color="auto"/>
      </w:divBdr>
    </w:div>
    <w:div w:id="1262448963">
      <w:bodyDiv w:val="1"/>
      <w:marLeft w:val="0"/>
      <w:marRight w:val="0"/>
      <w:marTop w:val="0"/>
      <w:marBottom w:val="0"/>
      <w:divBdr>
        <w:top w:val="none" w:sz="0" w:space="0" w:color="auto"/>
        <w:left w:val="none" w:sz="0" w:space="0" w:color="auto"/>
        <w:bottom w:val="none" w:sz="0" w:space="0" w:color="auto"/>
        <w:right w:val="none" w:sz="0" w:space="0" w:color="auto"/>
      </w:divBdr>
    </w:div>
    <w:div w:id="1320767661">
      <w:bodyDiv w:val="1"/>
      <w:marLeft w:val="0"/>
      <w:marRight w:val="0"/>
      <w:marTop w:val="0"/>
      <w:marBottom w:val="0"/>
      <w:divBdr>
        <w:top w:val="none" w:sz="0" w:space="0" w:color="auto"/>
        <w:left w:val="none" w:sz="0" w:space="0" w:color="auto"/>
        <w:bottom w:val="none" w:sz="0" w:space="0" w:color="auto"/>
        <w:right w:val="none" w:sz="0" w:space="0" w:color="auto"/>
      </w:divBdr>
    </w:div>
    <w:div w:id="1329940330">
      <w:bodyDiv w:val="1"/>
      <w:marLeft w:val="0"/>
      <w:marRight w:val="0"/>
      <w:marTop w:val="0"/>
      <w:marBottom w:val="0"/>
      <w:divBdr>
        <w:top w:val="none" w:sz="0" w:space="0" w:color="auto"/>
        <w:left w:val="none" w:sz="0" w:space="0" w:color="auto"/>
        <w:bottom w:val="none" w:sz="0" w:space="0" w:color="auto"/>
        <w:right w:val="none" w:sz="0" w:space="0" w:color="auto"/>
      </w:divBdr>
    </w:div>
    <w:div w:id="1353847713">
      <w:bodyDiv w:val="1"/>
      <w:marLeft w:val="0"/>
      <w:marRight w:val="0"/>
      <w:marTop w:val="0"/>
      <w:marBottom w:val="0"/>
      <w:divBdr>
        <w:top w:val="none" w:sz="0" w:space="0" w:color="auto"/>
        <w:left w:val="none" w:sz="0" w:space="0" w:color="auto"/>
        <w:bottom w:val="none" w:sz="0" w:space="0" w:color="auto"/>
        <w:right w:val="none" w:sz="0" w:space="0" w:color="auto"/>
      </w:divBdr>
    </w:div>
    <w:div w:id="1359311064">
      <w:bodyDiv w:val="1"/>
      <w:marLeft w:val="0"/>
      <w:marRight w:val="0"/>
      <w:marTop w:val="0"/>
      <w:marBottom w:val="0"/>
      <w:divBdr>
        <w:top w:val="none" w:sz="0" w:space="0" w:color="auto"/>
        <w:left w:val="none" w:sz="0" w:space="0" w:color="auto"/>
        <w:bottom w:val="none" w:sz="0" w:space="0" w:color="auto"/>
        <w:right w:val="none" w:sz="0" w:space="0" w:color="auto"/>
      </w:divBdr>
    </w:div>
    <w:div w:id="1381785679">
      <w:bodyDiv w:val="1"/>
      <w:marLeft w:val="0"/>
      <w:marRight w:val="0"/>
      <w:marTop w:val="0"/>
      <w:marBottom w:val="0"/>
      <w:divBdr>
        <w:top w:val="none" w:sz="0" w:space="0" w:color="auto"/>
        <w:left w:val="none" w:sz="0" w:space="0" w:color="auto"/>
        <w:bottom w:val="none" w:sz="0" w:space="0" w:color="auto"/>
        <w:right w:val="none" w:sz="0" w:space="0" w:color="auto"/>
      </w:divBdr>
    </w:div>
    <w:div w:id="1420709459">
      <w:bodyDiv w:val="1"/>
      <w:marLeft w:val="0"/>
      <w:marRight w:val="0"/>
      <w:marTop w:val="0"/>
      <w:marBottom w:val="0"/>
      <w:divBdr>
        <w:top w:val="none" w:sz="0" w:space="0" w:color="auto"/>
        <w:left w:val="none" w:sz="0" w:space="0" w:color="auto"/>
        <w:bottom w:val="none" w:sz="0" w:space="0" w:color="auto"/>
        <w:right w:val="none" w:sz="0" w:space="0" w:color="auto"/>
      </w:divBdr>
    </w:div>
    <w:div w:id="1455714156">
      <w:bodyDiv w:val="1"/>
      <w:marLeft w:val="0"/>
      <w:marRight w:val="0"/>
      <w:marTop w:val="0"/>
      <w:marBottom w:val="0"/>
      <w:divBdr>
        <w:top w:val="none" w:sz="0" w:space="0" w:color="auto"/>
        <w:left w:val="none" w:sz="0" w:space="0" w:color="auto"/>
        <w:bottom w:val="none" w:sz="0" w:space="0" w:color="auto"/>
        <w:right w:val="none" w:sz="0" w:space="0" w:color="auto"/>
      </w:divBdr>
    </w:div>
    <w:div w:id="1458257296">
      <w:bodyDiv w:val="1"/>
      <w:marLeft w:val="0"/>
      <w:marRight w:val="0"/>
      <w:marTop w:val="0"/>
      <w:marBottom w:val="0"/>
      <w:divBdr>
        <w:top w:val="none" w:sz="0" w:space="0" w:color="auto"/>
        <w:left w:val="none" w:sz="0" w:space="0" w:color="auto"/>
        <w:bottom w:val="none" w:sz="0" w:space="0" w:color="auto"/>
        <w:right w:val="none" w:sz="0" w:space="0" w:color="auto"/>
      </w:divBdr>
    </w:div>
    <w:div w:id="1509753210">
      <w:bodyDiv w:val="1"/>
      <w:marLeft w:val="0"/>
      <w:marRight w:val="0"/>
      <w:marTop w:val="0"/>
      <w:marBottom w:val="0"/>
      <w:divBdr>
        <w:top w:val="none" w:sz="0" w:space="0" w:color="auto"/>
        <w:left w:val="none" w:sz="0" w:space="0" w:color="auto"/>
        <w:bottom w:val="none" w:sz="0" w:space="0" w:color="auto"/>
        <w:right w:val="none" w:sz="0" w:space="0" w:color="auto"/>
      </w:divBdr>
    </w:div>
    <w:div w:id="1541741651">
      <w:bodyDiv w:val="1"/>
      <w:marLeft w:val="0"/>
      <w:marRight w:val="0"/>
      <w:marTop w:val="0"/>
      <w:marBottom w:val="0"/>
      <w:divBdr>
        <w:top w:val="none" w:sz="0" w:space="0" w:color="auto"/>
        <w:left w:val="none" w:sz="0" w:space="0" w:color="auto"/>
        <w:bottom w:val="none" w:sz="0" w:space="0" w:color="auto"/>
        <w:right w:val="none" w:sz="0" w:space="0" w:color="auto"/>
      </w:divBdr>
    </w:div>
    <w:div w:id="1556890266">
      <w:bodyDiv w:val="1"/>
      <w:marLeft w:val="0"/>
      <w:marRight w:val="0"/>
      <w:marTop w:val="0"/>
      <w:marBottom w:val="0"/>
      <w:divBdr>
        <w:top w:val="none" w:sz="0" w:space="0" w:color="auto"/>
        <w:left w:val="none" w:sz="0" w:space="0" w:color="auto"/>
        <w:bottom w:val="none" w:sz="0" w:space="0" w:color="auto"/>
        <w:right w:val="none" w:sz="0" w:space="0" w:color="auto"/>
      </w:divBdr>
    </w:div>
    <w:div w:id="1580552013">
      <w:bodyDiv w:val="1"/>
      <w:marLeft w:val="0"/>
      <w:marRight w:val="0"/>
      <w:marTop w:val="0"/>
      <w:marBottom w:val="0"/>
      <w:divBdr>
        <w:top w:val="none" w:sz="0" w:space="0" w:color="auto"/>
        <w:left w:val="none" w:sz="0" w:space="0" w:color="auto"/>
        <w:bottom w:val="none" w:sz="0" w:space="0" w:color="auto"/>
        <w:right w:val="none" w:sz="0" w:space="0" w:color="auto"/>
      </w:divBdr>
    </w:div>
    <w:div w:id="1593856040">
      <w:bodyDiv w:val="1"/>
      <w:marLeft w:val="0"/>
      <w:marRight w:val="0"/>
      <w:marTop w:val="0"/>
      <w:marBottom w:val="0"/>
      <w:divBdr>
        <w:top w:val="none" w:sz="0" w:space="0" w:color="auto"/>
        <w:left w:val="none" w:sz="0" w:space="0" w:color="auto"/>
        <w:bottom w:val="none" w:sz="0" w:space="0" w:color="auto"/>
        <w:right w:val="none" w:sz="0" w:space="0" w:color="auto"/>
      </w:divBdr>
    </w:div>
    <w:div w:id="1615167137">
      <w:bodyDiv w:val="1"/>
      <w:marLeft w:val="0"/>
      <w:marRight w:val="0"/>
      <w:marTop w:val="0"/>
      <w:marBottom w:val="0"/>
      <w:divBdr>
        <w:top w:val="none" w:sz="0" w:space="0" w:color="auto"/>
        <w:left w:val="none" w:sz="0" w:space="0" w:color="auto"/>
        <w:bottom w:val="none" w:sz="0" w:space="0" w:color="auto"/>
        <w:right w:val="none" w:sz="0" w:space="0" w:color="auto"/>
      </w:divBdr>
    </w:div>
    <w:div w:id="1677032812">
      <w:bodyDiv w:val="1"/>
      <w:marLeft w:val="0"/>
      <w:marRight w:val="0"/>
      <w:marTop w:val="0"/>
      <w:marBottom w:val="0"/>
      <w:divBdr>
        <w:top w:val="none" w:sz="0" w:space="0" w:color="auto"/>
        <w:left w:val="none" w:sz="0" w:space="0" w:color="auto"/>
        <w:bottom w:val="none" w:sz="0" w:space="0" w:color="auto"/>
        <w:right w:val="none" w:sz="0" w:space="0" w:color="auto"/>
      </w:divBdr>
    </w:div>
    <w:div w:id="1681656760">
      <w:bodyDiv w:val="1"/>
      <w:marLeft w:val="0"/>
      <w:marRight w:val="0"/>
      <w:marTop w:val="0"/>
      <w:marBottom w:val="0"/>
      <w:divBdr>
        <w:top w:val="none" w:sz="0" w:space="0" w:color="auto"/>
        <w:left w:val="none" w:sz="0" w:space="0" w:color="auto"/>
        <w:bottom w:val="none" w:sz="0" w:space="0" w:color="auto"/>
        <w:right w:val="none" w:sz="0" w:space="0" w:color="auto"/>
      </w:divBdr>
    </w:div>
    <w:div w:id="1727532638">
      <w:bodyDiv w:val="1"/>
      <w:marLeft w:val="0"/>
      <w:marRight w:val="0"/>
      <w:marTop w:val="0"/>
      <w:marBottom w:val="0"/>
      <w:divBdr>
        <w:top w:val="none" w:sz="0" w:space="0" w:color="auto"/>
        <w:left w:val="none" w:sz="0" w:space="0" w:color="auto"/>
        <w:bottom w:val="none" w:sz="0" w:space="0" w:color="auto"/>
        <w:right w:val="none" w:sz="0" w:space="0" w:color="auto"/>
      </w:divBdr>
    </w:div>
    <w:div w:id="1730032689">
      <w:bodyDiv w:val="1"/>
      <w:marLeft w:val="0"/>
      <w:marRight w:val="0"/>
      <w:marTop w:val="0"/>
      <w:marBottom w:val="0"/>
      <w:divBdr>
        <w:top w:val="none" w:sz="0" w:space="0" w:color="auto"/>
        <w:left w:val="none" w:sz="0" w:space="0" w:color="auto"/>
        <w:bottom w:val="none" w:sz="0" w:space="0" w:color="auto"/>
        <w:right w:val="none" w:sz="0" w:space="0" w:color="auto"/>
      </w:divBdr>
    </w:div>
    <w:div w:id="1747720957">
      <w:bodyDiv w:val="1"/>
      <w:marLeft w:val="0"/>
      <w:marRight w:val="0"/>
      <w:marTop w:val="0"/>
      <w:marBottom w:val="0"/>
      <w:divBdr>
        <w:top w:val="none" w:sz="0" w:space="0" w:color="auto"/>
        <w:left w:val="none" w:sz="0" w:space="0" w:color="auto"/>
        <w:bottom w:val="none" w:sz="0" w:space="0" w:color="auto"/>
        <w:right w:val="none" w:sz="0" w:space="0" w:color="auto"/>
      </w:divBdr>
    </w:div>
    <w:div w:id="1818306014">
      <w:bodyDiv w:val="1"/>
      <w:marLeft w:val="0"/>
      <w:marRight w:val="0"/>
      <w:marTop w:val="0"/>
      <w:marBottom w:val="0"/>
      <w:divBdr>
        <w:top w:val="none" w:sz="0" w:space="0" w:color="auto"/>
        <w:left w:val="none" w:sz="0" w:space="0" w:color="auto"/>
        <w:bottom w:val="none" w:sz="0" w:space="0" w:color="auto"/>
        <w:right w:val="none" w:sz="0" w:space="0" w:color="auto"/>
      </w:divBdr>
    </w:div>
    <w:div w:id="1820421430">
      <w:bodyDiv w:val="1"/>
      <w:marLeft w:val="0"/>
      <w:marRight w:val="0"/>
      <w:marTop w:val="0"/>
      <w:marBottom w:val="0"/>
      <w:divBdr>
        <w:top w:val="none" w:sz="0" w:space="0" w:color="auto"/>
        <w:left w:val="none" w:sz="0" w:space="0" w:color="auto"/>
        <w:bottom w:val="none" w:sz="0" w:space="0" w:color="auto"/>
        <w:right w:val="none" w:sz="0" w:space="0" w:color="auto"/>
      </w:divBdr>
    </w:div>
    <w:div w:id="1826044784">
      <w:bodyDiv w:val="1"/>
      <w:marLeft w:val="0"/>
      <w:marRight w:val="0"/>
      <w:marTop w:val="0"/>
      <w:marBottom w:val="0"/>
      <w:divBdr>
        <w:top w:val="none" w:sz="0" w:space="0" w:color="auto"/>
        <w:left w:val="none" w:sz="0" w:space="0" w:color="auto"/>
        <w:bottom w:val="none" w:sz="0" w:space="0" w:color="auto"/>
        <w:right w:val="none" w:sz="0" w:space="0" w:color="auto"/>
      </w:divBdr>
    </w:div>
    <w:div w:id="2041543360">
      <w:bodyDiv w:val="1"/>
      <w:marLeft w:val="0"/>
      <w:marRight w:val="0"/>
      <w:marTop w:val="0"/>
      <w:marBottom w:val="0"/>
      <w:divBdr>
        <w:top w:val="none" w:sz="0" w:space="0" w:color="auto"/>
        <w:left w:val="none" w:sz="0" w:space="0" w:color="auto"/>
        <w:bottom w:val="none" w:sz="0" w:space="0" w:color="auto"/>
        <w:right w:val="none" w:sz="0" w:space="0" w:color="auto"/>
      </w:divBdr>
    </w:div>
    <w:div w:id="2042707428">
      <w:bodyDiv w:val="1"/>
      <w:marLeft w:val="0"/>
      <w:marRight w:val="0"/>
      <w:marTop w:val="0"/>
      <w:marBottom w:val="0"/>
      <w:divBdr>
        <w:top w:val="none" w:sz="0" w:space="0" w:color="auto"/>
        <w:left w:val="none" w:sz="0" w:space="0" w:color="auto"/>
        <w:bottom w:val="none" w:sz="0" w:space="0" w:color="auto"/>
        <w:right w:val="none" w:sz="0" w:space="0" w:color="auto"/>
      </w:divBdr>
    </w:div>
    <w:div w:id="2126340243">
      <w:bodyDiv w:val="1"/>
      <w:marLeft w:val="0"/>
      <w:marRight w:val="0"/>
      <w:marTop w:val="0"/>
      <w:marBottom w:val="0"/>
      <w:divBdr>
        <w:top w:val="none" w:sz="0" w:space="0" w:color="auto"/>
        <w:left w:val="none" w:sz="0" w:space="0" w:color="auto"/>
        <w:bottom w:val="none" w:sz="0" w:space="0" w:color="auto"/>
        <w:right w:val="none" w:sz="0" w:space="0" w:color="auto"/>
      </w:divBdr>
    </w:div>
    <w:div w:id="213937831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a.seifalian@ucl.ac.uk" TargetMode="External"/><Relationship Id="rId20" Type="http://schemas.openxmlformats.org/officeDocument/2006/relationships/footer" Target="footer3.xml"/><Relationship Id="rId21" Type="http://schemas.openxmlformats.org/officeDocument/2006/relationships/footer" Target="footer4.xml"/><Relationship Id="rId22" Type="http://schemas.openxmlformats.org/officeDocument/2006/relationships/footer" Target="footer5.xml"/><Relationship Id="rId23" Type="http://schemas.openxmlformats.org/officeDocument/2006/relationships/footer" Target="footer6.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47BBC-657D-FE4A-B273-9BF2E1D3E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10501</Words>
  <Characters>59860</Characters>
  <Application>Microsoft Macintosh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UCL</Company>
  <LinksUpToDate>false</LinksUpToDate>
  <CharactersWithSpaces>70221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Shima Salmasi</dc:creator>
  <cp:lastModifiedBy>NA MA</cp:lastModifiedBy>
  <cp:revision>2</cp:revision>
  <dcterms:created xsi:type="dcterms:W3CDTF">2014-12-03T22:04:00Z</dcterms:created>
  <dcterms:modified xsi:type="dcterms:W3CDTF">2014-12-03T22:04:00Z</dcterms:modified>
</cp:coreProperties>
</file>