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77784" w14:textId="77777777" w:rsidR="00FB1EE4" w:rsidRPr="00F17C5F" w:rsidRDefault="00FB1EE4" w:rsidP="00F17C5F">
      <w:pPr>
        <w:spacing w:after="0" w:line="360" w:lineRule="auto"/>
        <w:jc w:val="both"/>
        <w:rPr>
          <w:rFonts w:ascii="Book Antiqua" w:hAnsi="Book Antiqua"/>
          <w:b/>
          <w:color w:val="000000" w:themeColor="text1"/>
          <w:lang w:eastAsia="zh-CN"/>
        </w:rPr>
      </w:pPr>
      <w:r w:rsidRPr="00F17C5F">
        <w:rPr>
          <w:rFonts w:ascii="Book Antiqua" w:hAnsi="Book Antiqua"/>
          <w:b/>
          <w:color w:val="000000" w:themeColor="text1"/>
        </w:rPr>
        <w:t xml:space="preserve">Name of journal: </w:t>
      </w:r>
      <w:r w:rsidRPr="00F17C5F">
        <w:rPr>
          <w:rFonts w:ascii="Book Antiqua" w:hAnsi="Book Antiqua"/>
          <w:b/>
          <w:i/>
          <w:color w:val="000000" w:themeColor="text1"/>
        </w:rPr>
        <w:t>World Journal of Critical Care Medicine</w:t>
      </w:r>
    </w:p>
    <w:p w14:paraId="1C00DDD8" w14:textId="77777777" w:rsidR="00FB1EE4" w:rsidRPr="00F17C5F" w:rsidRDefault="00FB1EE4" w:rsidP="00F17C5F">
      <w:pPr>
        <w:spacing w:after="0" w:line="360" w:lineRule="auto"/>
        <w:jc w:val="both"/>
        <w:rPr>
          <w:rFonts w:ascii="Book Antiqua" w:hAnsi="Book Antiqua"/>
          <w:b/>
          <w:color w:val="000000" w:themeColor="text1"/>
          <w:lang w:eastAsia="zh-CN"/>
        </w:rPr>
      </w:pPr>
      <w:r w:rsidRPr="00F17C5F">
        <w:rPr>
          <w:rFonts w:ascii="Book Antiqua" w:hAnsi="Book Antiqua"/>
          <w:b/>
          <w:color w:val="000000" w:themeColor="text1"/>
        </w:rPr>
        <w:t xml:space="preserve">ESPS Manuscript NO: </w:t>
      </w:r>
      <w:r w:rsidRPr="00F17C5F">
        <w:rPr>
          <w:rFonts w:ascii="Book Antiqua" w:hAnsi="Book Antiqua"/>
          <w:b/>
          <w:color w:val="000000" w:themeColor="text1"/>
          <w:lang w:eastAsia="zh-CN"/>
        </w:rPr>
        <w:t>13087</w:t>
      </w:r>
    </w:p>
    <w:p w14:paraId="684B679B" w14:textId="6D09EAE0" w:rsidR="001C1134" w:rsidRPr="00F17C5F" w:rsidRDefault="00FB1EE4" w:rsidP="00F17C5F">
      <w:pPr>
        <w:spacing w:after="0" w:line="360" w:lineRule="auto"/>
        <w:jc w:val="both"/>
        <w:rPr>
          <w:rFonts w:ascii="Book Antiqua" w:hAnsi="Book Antiqua"/>
          <w:b/>
          <w:color w:val="000000" w:themeColor="text1"/>
          <w:lang w:eastAsia="zh-CN"/>
        </w:rPr>
      </w:pPr>
      <w:r w:rsidRPr="00F17C5F">
        <w:rPr>
          <w:rFonts w:ascii="Book Antiqua" w:hAnsi="Book Antiqua"/>
          <w:b/>
          <w:color w:val="000000" w:themeColor="text1"/>
        </w:rPr>
        <w:t>Columns:</w:t>
      </w:r>
      <w:r w:rsidRPr="00F17C5F">
        <w:rPr>
          <w:rFonts w:ascii="Book Antiqua" w:hAnsi="Book Antiqua"/>
          <w:b/>
          <w:color w:val="000000" w:themeColor="text1"/>
          <w:lang w:eastAsia="zh-CN"/>
        </w:rPr>
        <w:t xml:space="preserve"> </w:t>
      </w:r>
      <w:r w:rsidR="000E3095" w:rsidRPr="00F17C5F">
        <w:rPr>
          <w:rFonts w:ascii="Book Antiqua" w:hAnsi="Book Antiqua"/>
          <w:b/>
          <w:color w:val="000000" w:themeColor="text1"/>
          <w:lang w:eastAsia="zh-CN"/>
        </w:rPr>
        <w:t>MINIREVIEWS</w:t>
      </w:r>
    </w:p>
    <w:p w14:paraId="2FD291BB" w14:textId="77777777" w:rsidR="00FB1EE4" w:rsidRPr="00F17C5F" w:rsidRDefault="00FB1EE4" w:rsidP="00F17C5F">
      <w:pPr>
        <w:spacing w:after="0" w:line="360" w:lineRule="auto"/>
        <w:jc w:val="both"/>
        <w:rPr>
          <w:rFonts w:ascii="Book Antiqua" w:hAnsi="Book Antiqua"/>
          <w:color w:val="000000" w:themeColor="text1"/>
          <w:lang w:eastAsia="zh-CN"/>
        </w:rPr>
      </w:pPr>
    </w:p>
    <w:p w14:paraId="3C2D8667" w14:textId="269DD2E2" w:rsidR="00056395" w:rsidRPr="006B5AE1" w:rsidRDefault="00056395" w:rsidP="00F17C5F">
      <w:pPr>
        <w:spacing w:after="0" w:line="360" w:lineRule="auto"/>
        <w:jc w:val="both"/>
        <w:rPr>
          <w:rFonts w:ascii="Book Antiqua" w:hAnsi="Book Antiqua"/>
          <w:b/>
          <w:color w:val="000000" w:themeColor="text1"/>
          <w:lang w:eastAsia="zh-CN"/>
        </w:rPr>
      </w:pPr>
      <w:r w:rsidRPr="006B5AE1">
        <w:rPr>
          <w:rFonts w:ascii="Book Antiqua" w:hAnsi="Book Antiqua"/>
          <w:b/>
          <w:color w:val="000000" w:themeColor="text1"/>
        </w:rPr>
        <w:t xml:space="preserve">Designing </w:t>
      </w:r>
      <w:r w:rsidR="00423DAD" w:rsidRPr="006B5AE1">
        <w:rPr>
          <w:rFonts w:ascii="Book Antiqua" w:hAnsi="Book Antiqua"/>
          <w:b/>
          <w:color w:val="000000" w:themeColor="text1"/>
        </w:rPr>
        <w:t>drug regimens for special</w:t>
      </w:r>
      <w:r w:rsidRPr="006B5AE1">
        <w:rPr>
          <w:rFonts w:ascii="Book Antiqua" w:hAnsi="Book Antiqua"/>
          <w:b/>
          <w:color w:val="000000" w:themeColor="text1"/>
        </w:rPr>
        <w:t xml:space="preserve"> </w:t>
      </w:r>
      <w:r w:rsidR="006B5AE1" w:rsidRPr="006B5AE1">
        <w:rPr>
          <w:rFonts w:ascii="Book Antiqua" w:hAnsi="Book Antiqua"/>
          <w:b/>
          <w:color w:val="000000" w:themeColor="text1"/>
        </w:rPr>
        <w:t>the intensive care units</w:t>
      </w:r>
      <w:r w:rsidRPr="006B5AE1">
        <w:rPr>
          <w:rFonts w:ascii="Book Antiqua" w:hAnsi="Book Antiqua"/>
          <w:b/>
          <w:color w:val="000000" w:themeColor="text1"/>
        </w:rPr>
        <w:t xml:space="preserve"> </w:t>
      </w:r>
      <w:r w:rsidR="00423DAD" w:rsidRPr="006B5AE1">
        <w:rPr>
          <w:rFonts w:ascii="Book Antiqua" w:hAnsi="Book Antiqua"/>
          <w:b/>
          <w:color w:val="000000" w:themeColor="text1"/>
        </w:rPr>
        <w:t>populations</w:t>
      </w:r>
    </w:p>
    <w:p w14:paraId="398A0498" w14:textId="77777777" w:rsidR="00423DAD" w:rsidRPr="00F17C5F" w:rsidRDefault="00423DAD" w:rsidP="00F17C5F">
      <w:pPr>
        <w:spacing w:after="0" w:line="360" w:lineRule="auto"/>
        <w:jc w:val="both"/>
        <w:rPr>
          <w:rFonts w:ascii="Book Antiqua" w:hAnsi="Book Antiqua"/>
          <w:b/>
          <w:color w:val="000000" w:themeColor="text1"/>
          <w:lang w:eastAsia="zh-CN"/>
        </w:rPr>
      </w:pPr>
    </w:p>
    <w:p w14:paraId="7EDF19A0" w14:textId="77777777" w:rsidR="00101583" w:rsidRPr="00F17C5F" w:rsidRDefault="00101583" w:rsidP="00F17C5F">
      <w:pPr>
        <w:spacing w:after="0" w:line="360" w:lineRule="auto"/>
        <w:jc w:val="both"/>
        <w:rPr>
          <w:rFonts w:ascii="Book Antiqua" w:hAnsi="Book Antiqua"/>
          <w:color w:val="000000" w:themeColor="text1"/>
          <w:lang w:eastAsia="zh-CN"/>
        </w:rPr>
      </w:pPr>
      <w:r w:rsidRPr="00F17C5F">
        <w:rPr>
          <w:rFonts w:ascii="Book Antiqua" w:hAnsi="Book Antiqua"/>
          <w:color w:val="000000" w:themeColor="text1"/>
        </w:rPr>
        <w:t>Erstad</w:t>
      </w:r>
      <w:r w:rsidRPr="00F17C5F">
        <w:rPr>
          <w:rFonts w:ascii="Book Antiqua" w:hAnsi="Book Antiqua"/>
          <w:color w:val="000000" w:themeColor="text1"/>
          <w:lang w:eastAsia="zh-CN"/>
        </w:rPr>
        <w:t xml:space="preserve"> BL. </w:t>
      </w:r>
      <w:r w:rsidRPr="00F17C5F">
        <w:rPr>
          <w:rFonts w:ascii="Book Antiqua" w:hAnsi="Book Antiqua"/>
          <w:color w:val="000000" w:themeColor="text1"/>
        </w:rPr>
        <w:t>Designing drug regimens for special ICU populations</w:t>
      </w:r>
    </w:p>
    <w:p w14:paraId="4FE70A3B" w14:textId="77777777" w:rsidR="00101583" w:rsidRPr="00F17C5F" w:rsidRDefault="00101583" w:rsidP="00F17C5F">
      <w:pPr>
        <w:spacing w:after="0" w:line="360" w:lineRule="auto"/>
        <w:jc w:val="both"/>
        <w:rPr>
          <w:rFonts w:ascii="Book Antiqua" w:hAnsi="Book Antiqua"/>
          <w:b/>
          <w:color w:val="000000" w:themeColor="text1"/>
          <w:lang w:eastAsia="zh-CN"/>
        </w:rPr>
      </w:pPr>
    </w:p>
    <w:p w14:paraId="6D80640E" w14:textId="77777777" w:rsidR="00423DAD" w:rsidRPr="00F17C5F" w:rsidRDefault="00423DAD" w:rsidP="00F17C5F">
      <w:pPr>
        <w:spacing w:after="0" w:line="360" w:lineRule="auto"/>
        <w:jc w:val="both"/>
        <w:rPr>
          <w:rFonts w:ascii="Book Antiqua" w:hAnsi="Book Antiqua"/>
          <w:color w:val="000000" w:themeColor="text1"/>
          <w:lang w:eastAsia="zh-CN"/>
        </w:rPr>
      </w:pPr>
      <w:r w:rsidRPr="00F17C5F">
        <w:rPr>
          <w:rFonts w:ascii="Book Antiqua" w:hAnsi="Book Antiqua"/>
          <w:color w:val="000000" w:themeColor="text1"/>
        </w:rPr>
        <w:t>Brian L Erstad</w:t>
      </w:r>
    </w:p>
    <w:p w14:paraId="718B5921" w14:textId="77777777" w:rsidR="00101583" w:rsidRPr="00F17C5F" w:rsidRDefault="00101583" w:rsidP="00F17C5F">
      <w:pPr>
        <w:spacing w:after="0" w:line="360" w:lineRule="auto"/>
        <w:jc w:val="both"/>
        <w:rPr>
          <w:rFonts w:ascii="Book Antiqua" w:hAnsi="Book Antiqua"/>
          <w:color w:val="000000" w:themeColor="text1"/>
          <w:lang w:eastAsia="zh-CN"/>
        </w:rPr>
      </w:pPr>
    </w:p>
    <w:p w14:paraId="09E7447F" w14:textId="53D2491F" w:rsidR="00101583" w:rsidRPr="00F17C5F" w:rsidRDefault="00101583" w:rsidP="00F17C5F">
      <w:pPr>
        <w:spacing w:after="0" w:line="360" w:lineRule="auto"/>
        <w:jc w:val="both"/>
        <w:rPr>
          <w:rFonts w:ascii="Book Antiqua" w:hAnsi="Book Antiqua"/>
          <w:color w:val="000000" w:themeColor="text1"/>
          <w:lang w:eastAsia="zh-CN"/>
        </w:rPr>
      </w:pPr>
      <w:r w:rsidRPr="00F17C5F">
        <w:rPr>
          <w:rFonts w:ascii="Book Antiqua" w:hAnsi="Book Antiqua"/>
          <w:b/>
          <w:color w:val="000000" w:themeColor="text1"/>
        </w:rPr>
        <w:t>Brian L Erstad</w:t>
      </w:r>
      <w:r w:rsidRPr="00F17C5F">
        <w:rPr>
          <w:rFonts w:ascii="Book Antiqua" w:hAnsi="Book Antiqua"/>
          <w:b/>
          <w:color w:val="000000" w:themeColor="text1"/>
          <w:lang w:eastAsia="zh-CN"/>
        </w:rPr>
        <w:t>,</w:t>
      </w:r>
      <w:r w:rsidRPr="00F17C5F">
        <w:rPr>
          <w:rFonts w:ascii="Book Antiqua" w:hAnsi="Book Antiqua"/>
          <w:color w:val="000000" w:themeColor="text1"/>
          <w:lang w:eastAsia="zh-CN"/>
        </w:rPr>
        <w:t xml:space="preserve"> </w:t>
      </w:r>
      <w:r w:rsidRPr="00F17C5F">
        <w:rPr>
          <w:rFonts w:ascii="Book Antiqua" w:hAnsi="Book Antiqua"/>
          <w:color w:val="000000" w:themeColor="text1"/>
        </w:rPr>
        <w:t xml:space="preserve">Department of Pharmacy Practice </w:t>
      </w:r>
      <w:r w:rsidR="00ED3787">
        <w:rPr>
          <w:rFonts w:ascii="Book Antiqua" w:hAnsi="Book Antiqua" w:hint="eastAsia"/>
          <w:color w:val="000000" w:themeColor="text1"/>
          <w:lang w:eastAsia="zh-CN"/>
        </w:rPr>
        <w:t>and</w:t>
      </w:r>
      <w:r w:rsidRPr="00F17C5F">
        <w:rPr>
          <w:rFonts w:ascii="Book Antiqua" w:hAnsi="Book Antiqua"/>
          <w:color w:val="000000" w:themeColor="text1"/>
        </w:rPr>
        <w:t xml:space="preserve"> Science, University of Arizona College of Pharmacy</w:t>
      </w:r>
      <w:r w:rsidRPr="00F17C5F">
        <w:rPr>
          <w:rFonts w:ascii="Book Antiqua" w:hAnsi="Book Antiqua"/>
          <w:color w:val="000000" w:themeColor="text1"/>
          <w:lang w:eastAsia="zh-CN"/>
        </w:rPr>
        <w:t xml:space="preserve">, </w:t>
      </w:r>
      <w:r w:rsidRPr="00F17C5F">
        <w:rPr>
          <w:rFonts w:ascii="Book Antiqua" w:hAnsi="Book Antiqua"/>
          <w:color w:val="000000" w:themeColor="text1"/>
        </w:rPr>
        <w:t>Tucson, A</w:t>
      </w:r>
      <w:r w:rsidRPr="00F17C5F">
        <w:rPr>
          <w:rFonts w:ascii="Book Antiqua" w:hAnsi="Book Antiqua"/>
          <w:color w:val="000000" w:themeColor="text1"/>
          <w:lang w:eastAsia="zh-CN"/>
        </w:rPr>
        <w:t>K</w:t>
      </w:r>
      <w:r w:rsidRPr="00F17C5F">
        <w:rPr>
          <w:rFonts w:ascii="Book Antiqua" w:hAnsi="Book Antiqua"/>
          <w:color w:val="000000" w:themeColor="text1"/>
        </w:rPr>
        <w:t xml:space="preserve"> 85721-0207</w:t>
      </w:r>
      <w:r w:rsidRPr="00F17C5F">
        <w:rPr>
          <w:rFonts w:ascii="Book Antiqua" w:hAnsi="Book Antiqua"/>
          <w:color w:val="000000" w:themeColor="text1"/>
          <w:lang w:eastAsia="zh-CN"/>
        </w:rPr>
        <w:t>, United States</w:t>
      </w:r>
    </w:p>
    <w:p w14:paraId="083B7935" w14:textId="77777777" w:rsidR="005F42AF" w:rsidRPr="00F17C5F" w:rsidRDefault="005F42AF" w:rsidP="00F17C5F">
      <w:pPr>
        <w:spacing w:after="0" w:line="360" w:lineRule="auto"/>
        <w:jc w:val="both"/>
        <w:rPr>
          <w:rFonts w:ascii="Book Antiqua" w:hAnsi="Book Antiqua"/>
          <w:b/>
          <w:color w:val="000000" w:themeColor="text1"/>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p>
    <w:p w14:paraId="6CA59B27" w14:textId="77777777" w:rsidR="00101583" w:rsidRPr="00F17C5F" w:rsidRDefault="005F42AF" w:rsidP="00F17C5F">
      <w:pPr>
        <w:spacing w:after="0" w:line="360" w:lineRule="auto"/>
        <w:jc w:val="both"/>
        <w:rPr>
          <w:rFonts w:ascii="Book Antiqua" w:hAnsi="Book Antiqua"/>
          <w:b/>
          <w:color w:val="000000" w:themeColor="text1"/>
          <w:lang w:eastAsia="zh-CN"/>
        </w:rPr>
      </w:pPr>
      <w:r w:rsidRPr="00F17C5F">
        <w:rPr>
          <w:rFonts w:ascii="Book Antiqua" w:eastAsia="MS Mincho" w:hAnsi="Book Antiqua"/>
          <w:b/>
          <w:color w:val="000000" w:themeColor="text1"/>
        </w:rPr>
        <w:t>Author contributions:</w:t>
      </w:r>
      <w:bookmarkEnd w:id="0"/>
      <w:bookmarkEnd w:id="1"/>
      <w:bookmarkEnd w:id="2"/>
      <w:bookmarkEnd w:id="3"/>
      <w:bookmarkEnd w:id="4"/>
      <w:bookmarkEnd w:id="5"/>
      <w:bookmarkEnd w:id="6"/>
      <w:r w:rsidRPr="00F17C5F">
        <w:rPr>
          <w:rFonts w:ascii="Book Antiqua" w:hAnsi="Book Antiqua"/>
          <w:color w:val="000000" w:themeColor="text1"/>
        </w:rPr>
        <w:t xml:space="preserve"> Erstad</w:t>
      </w:r>
      <w:r w:rsidRPr="00F17C5F">
        <w:rPr>
          <w:rFonts w:ascii="Book Antiqua" w:hAnsi="Book Antiqua"/>
          <w:color w:val="000000" w:themeColor="text1"/>
          <w:lang w:eastAsia="zh-CN"/>
        </w:rPr>
        <w:t xml:space="preserve"> BL solely contributed to this work.</w:t>
      </w:r>
    </w:p>
    <w:p w14:paraId="283E0A26" w14:textId="77777777" w:rsidR="005F42AF" w:rsidRPr="00F17C5F" w:rsidRDefault="005F42AF" w:rsidP="00F17C5F">
      <w:pPr>
        <w:spacing w:after="0" w:line="360" w:lineRule="auto"/>
        <w:jc w:val="both"/>
        <w:rPr>
          <w:rFonts w:ascii="Book Antiqua" w:hAnsi="Book Antiqua"/>
          <w:color w:val="000000" w:themeColor="text1"/>
          <w:lang w:eastAsia="zh-CN"/>
        </w:rPr>
      </w:pPr>
    </w:p>
    <w:p w14:paraId="16CA7F59" w14:textId="42C535F0" w:rsidR="001F6175" w:rsidRPr="00F17C5F" w:rsidRDefault="001F6175" w:rsidP="00F17C5F">
      <w:pPr>
        <w:pStyle w:val="BodyTextIndent"/>
        <w:spacing w:after="0" w:line="360" w:lineRule="auto"/>
        <w:ind w:leftChars="0" w:left="0"/>
        <w:rPr>
          <w:rFonts w:eastAsia="宋体"/>
          <w:color w:val="000000" w:themeColor="text1"/>
          <w:sz w:val="24"/>
          <w:szCs w:val="24"/>
          <w:lang w:eastAsia="zh-CN"/>
        </w:rPr>
      </w:pPr>
      <w:r w:rsidRPr="00F17C5F">
        <w:rPr>
          <w:rFonts w:eastAsia="Times New Roman" w:cs="Gulim"/>
          <w:b/>
          <w:color w:val="000000" w:themeColor="text1"/>
          <w:sz w:val="24"/>
          <w:szCs w:val="24"/>
        </w:rPr>
        <w:t>Conflict-of-interest</w:t>
      </w:r>
      <w:r w:rsidRPr="00F17C5F">
        <w:rPr>
          <w:rFonts w:cs="Gulim"/>
          <w:b/>
          <w:color w:val="000000" w:themeColor="text1"/>
          <w:sz w:val="24"/>
          <w:szCs w:val="24"/>
          <w:lang w:eastAsia="zh-CN"/>
        </w:rPr>
        <w:t>:</w:t>
      </w:r>
      <w:r w:rsidRPr="00F17C5F">
        <w:rPr>
          <w:rFonts w:eastAsia="宋体" w:cs="Gulim"/>
          <w:b/>
          <w:color w:val="000000" w:themeColor="text1"/>
          <w:sz w:val="24"/>
          <w:szCs w:val="24"/>
          <w:lang w:eastAsia="zh-CN"/>
        </w:rPr>
        <w:t xml:space="preserve"> </w:t>
      </w:r>
      <w:r w:rsidRPr="00F17C5F">
        <w:rPr>
          <w:color w:val="000000" w:themeColor="text1"/>
          <w:sz w:val="24"/>
          <w:szCs w:val="24"/>
          <w:lang w:eastAsia="zh-CN"/>
        </w:rPr>
        <w:t>None.</w:t>
      </w:r>
    </w:p>
    <w:p w14:paraId="6FB2D752" w14:textId="4DFEEA84" w:rsidR="001E1B6F" w:rsidRPr="00F17C5F" w:rsidRDefault="001F6175" w:rsidP="00F17C5F">
      <w:pPr>
        <w:pStyle w:val="CommentText"/>
        <w:adjustRightInd w:val="0"/>
        <w:snapToGrid w:val="0"/>
        <w:spacing w:after="0" w:line="360" w:lineRule="auto"/>
        <w:jc w:val="both"/>
        <w:rPr>
          <w:rFonts w:ascii="Book Antiqua" w:hAnsi="Book Antiqua" w:cs="Gulim"/>
          <w:b/>
          <w:color w:val="000000" w:themeColor="text1"/>
          <w:lang w:eastAsia="zh-CN"/>
        </w:rPr>
      </w:pPr>
      <w:r w:rsidRPr="00F17C5F">
        <w:rPr>
          <w:rFonts w:ascii="Book Antiqua" w:eastAsia="Times New Roman" w:hAnsi="Book Antiqua" w:cs="Gulim"/>
          <w:b/>
          <w:color w:val="000000" w:themeColor="text1"/>
        </w:rPr>
        <w:t xml:space="preserve"> </w:t>
      </w:r>
    </w:p>
    <w:p w14:paraId="78D43A8E" w14:textId="77777777" w:rsidR="001F6175" w:rsidRPr="00F17C5F" w:rsidRDefault="001F6175" w:rsidP="00F17C5F">
      <w:pPr>
        <w:spacing w:after="0" w:line="360" w:lineRule="auto"/>
        <w:jc w:val="both"/>
        <w:rPr>
          <w:rFonts w:ascii="Book Antiqua" w:eastAsia="宋体" w:hAnsi="Book Antiqua" w:cs="宋体"/>
          <w:color w:val="000000" w:themeColor="text1"/>
          <w:lang w:eastAsia="zh-CN"/>
        </w:rPr>
      </w:pPr>
      <w:bookmarkStart w:id="7" w:name="OLE_LINK507"/>
      <w:bookmarkStart w:id="8" w:name="OLE_LINK506"/>
      <w:bookmarkStart w:id="9" w:name="OLE_LINK496"/>
      <w:bookmarkStart w:id="10" w:name="OLE_LINK479"/>
      <w:r w:rsidRPr="00F17C5F">
        <w:rPr>
          <w:rFonts w:ascii="Book Antiqua" w:eastAsia="宋体" w:hAnsi="Book Antiqua" w:cs="宋体"/>
          <w:b/>
          <w:color w:val="000000" w:themeColor="text1"/>
          <w:lang w:eastAsia="zh-CN"/>
        </w:rPr>
        <w:t xml:space="preserve">Open-Access: </w:t>
      </w:r>
      <w:r w:rsidRPr="00F17C5F">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17C5F">
          <w:rPr>
            <w:rFonts w:ascii="Book Antiqua" w:eastAsia="宋体" w:hAnsi="Book Antiqua" w:cs="宋体"/>
            <w:color w:val="000000" w:themeColor="text1"/>
            <w:u w:val="single"/>
            <w:lang w:eastAsia="zh-CN"/>
          </w:rPr>
          <w:t>http://creativecommons.org/licenses/by-nc/4.0/</w:t>
        </w:r>
      </w:hyperlink>
      <w:bookmarkEnd w:id="7"/>
      <w:bookmarkEnd w:id="8"/>
      <w:bookmarkEnd w:id="9"/>
      <w:bookmarkEnd w:id="10"/>
    </w:p>
    <w:p w14:paraId="396946B6" w14:textId="77777777" w:rsidR="001F6175" w:rsidRPr="00F17C5F" w:rsidRDefault="001F6175" w:rsidP="00F17C5F">
      <w:pPr>
        <w:spacing w:after="0" w:line="360" w:lineRule="auto"/>
        <w:jc w:val="both"/>
        <w:rPr>
          <w:rFonts w:ascii="Book Antiqua" w:hAnsi="Book Antiqua"/>
          <w:color w:val="000000" w:themeColor="text1"/>
          <w:lang w:eastAsia="zh-CN"/>
        </w:rPr>
      </w:pPr>
    </w:p>
    <w:p w14:paraId="6F182BB1" w14:textId="66B9D57F" w:rsidR="00056395" w:rsidRPr="00F17C5F" w:rsidRDefault="005F42AF" w:rsidP="00F17C5F">
      <w:pPr>
        <w:spacing w:after="0" w:line="360" w:lineRule="auto"/>
        <w:jc w:val="both"/>
        <w:rPr>
          <w:rFonts w:ascii="Book Antiqua" w:hAnsi="Book Antiqua"/>
          <w:b/>
          <w:color w:val="000000" w:themeColor="text1"/>
          <w:lang w:eastAsia="zh-CN"/>
        </w:rPr>
      </w:pPr>
      <w:r w:rsidRPr="00F17C5F">
        <w:rPr>
          <w:rFonts w:ascii="Book Antiqua" w:hAnsi="Book Antiqua"/>
          <w:b/>
          <w:color w:val="000000" w:themeColor="text1"/>
        </w:rPr>
        <w:t>Correspondence to:</w:t>
      </w:r>
      <w:r w:rsidRPr="00F17C5F">
        <w:rPr>
          <w:rFonts w:ascii="Book Antiqua" w:hAnsi="Book Antiqua"/>
          <w:b/>
          <w:color w:val="000000" w:themeColor="text1"/>
          <w:lang w:eastAsia="zh-CN"/>
        </w:rPr>
        <w:t xml:space="preserve"> </w:t>
      </w:r>
      <w:r w:rsidRPr="00F17C5F">
        <w:rPr>
          <w:rFonts w:ascii="Book Antiqua" w:hAnsi="Book Antiqua"/>
          <w:b/>
          <w:color w:val="000000" w:themeColor="text1"/>
        </w:rPr>
        <w:t>Brian L Erstad</w:t>
      </w:r>
      <w:r w:rsidRPr="00F17C5F">
        <w:rPr>
          <w:rFonts w:ascii="Book Antiqua" w:hAnsi="Book Antiqua"/>
          <w:b/>
          <w:color w:val="000000" w:themeColor="text1"/>
          <w:lang w:eastAsia="zh-CN"/>
        </w:rPr>
        <w:t xml:space="preserve">, </w:t>
      </w:r>
      <w:r w:rsidR="00101583" w:rsidRPr="00F17C5F">
        <w:rPr>
          <w:rFonts w:ascii="Book Antiqua" w:hAnsi="Book Antiqua"/>
          <w:b/>
          <w:color w:val="000000" w:themeColor="text1"/>
        </w:rPr>
        <w:t>Pharm</w:t>
      </w:r>
      <w:r w:rsidR="00101583" w:rsidRPr="00F17C5F">
        <w:rPr>
          <w:rFonts w:ascii="Book Antiqua" w:hAnsi="Book Antiqua"/>
          <w:b/>
          <w:color w:val="000000" w:themeColor="text1"/>
          <w:lang w:eastAsia="zh-CN"/>
        </w:rPr>
        <w:t xml:space="preserve"> </w:t>
      </w:r>
      <w:r w:rsidR="00101583" w:rsidRPr="00F17C5F">
        <w:rPr>
          <w:rFonts w:ascii="Book Antiqua" w:hAnsi="Book Antiqua"/>
          <w:b/>
          <w:color w:val="000000" w:themeColor="text1"/>
        </w:rPr>
        <w:t>D</w:t>
      </w:r>
      <w:r w:rsidR="00056395" w:rsidRPr="00F17C5F">
        <w:rPr>
          <w:rFonts w:ascii="Book Antiqua" w:hAnsi="Book Antiqua"/>
          <w:b/>
          <w:color w:val="000000" w:themeColor="text1"/>
        </w:rPr>
        <w:t>, MCCM</w:t>
      </w:r>
      <w:r w:rsidRPr="00F17C5F">
        <w:rPr>
          <w:rFonts w:ascii="Book Antiqua" w:hAnsi="Book Antiqua"/>
          <w:b/>
          <w:color w:val="000000" w:themeColor="text1"/>
          <w:lang w:eastAsia="zh-CN"/>
        </w:rPr>
        <w:t xml:space="preserve">, </w:t>
      </w:r>
      <w:r w:rsidR="00056395" w:rsidRPr="00F17C5F">
        <w:rPr>
          <w:rFonts w:ascii="Book Antiqua" w:hAnsi="Book Antiqua"/>
          <w:color w:val="000000" w:themeColor="text1"/>
        </w:rPr>
        <w:t xml:space="preserve">Department of Pharmacy Practice </w:t>
      </w:r>
      <w:r w:rsidR="00ED3787">
        <w:rPr>
          <w:rFonts w:ascii="Book Antiqua" w:hAnsi="Book Antiqua" w:hint="eastAsia"/>
          <w:color w:val="000000" w:themeColor="text1"/>
          <w:lang w:eastAsia="zh-CN"/>
        </w:rPr>
        <w:t>and</w:t>
      </w:r>
      <w:r w:rsidR="00056395" w:rsidRPr="00F17C5F">
        <w:rPr>
          <w:rFonts w:ascii="Book Antiqua" w:hAnsi="Book Antiqua"/>
          <w:color w:val="000000" w:themeColor="text1"/>
        </w:rPr>
        <w:t xml:space="preserve"> Science, University of Arizona College of Pharmacy</w:t>
      </w:r>
      <w:r w:rsidRPr="00F17C5F">
        <w:rPr>
          <w:rFonts w:ascii="Book Antiqua" w:hAnsi="Book Antiqua"/>
          <w:color w:val="000000" w:themeColor="text1"/>
          <w:lang w:eastAsia="zh-CN"/>
        </w:rPr>
        <w:t>,</w:t>
      </w:r>
      <w:r w:rsidRPr="00F17C5F">
        <w:rPr>
          <w:rFonts w:ascii="Book Antiqua" w:hAnsi="Book Antiqua"/>
          <w:b/>
          <w:color w:val="000000" w:themeColor="text1"/>
          <w:lang w:eastAsia="zh-CN"/>
        </w:rPr>
        <w:t xml:space="preserve"> </w:t>
      </w:r>
      <w:r w:rsidR="00056395" w:rsidRPr="00F17C5F">
        <w:rPr>
          <w:rFonts w:ascii="Book Antiqua" w:hAnsi="Book Antiqua"/>
          <w:color w:val="000000" w:themeColor="text1"/>
        </w:rPr>
        <w:t xml:space="preserve">1295 N. Martin Ave., </w:t>
      </w:r>
      <w:bookmarkStart w:id="11" w:name="OLE_LINK1"/>
      <w:bookmarkStart w:id="12" w:name="OLE_LINK2"/>
      <w:r w:rsidR="00056395" w:rsidRPr="00F17C5F">
        <w:rPr>
          <w:rFonts w:ascii="Book Antiqua" w:hAnsi="Book Antiqua"/>
          <w:color w:val="000000" w:themeColor="text1"/>
        </w:rPr>
        <w:t xml:space="preserve">Tucson, </w:t>
      </w:r>
      <w:bookmarkEnd w:id="11"/>
      <w:bookmarkEnd w:id="12"/>
      <w:r w:rsidR="000C28EB" w:rsidRPr="00F17C5F">
        <w:rPr>
          <w:rFonts w:ascii="Book Antiqua" w:hAnsi="Book Antiqua"/>
          <w:color w:val="000000" w:themeColor="text1"/>
        </w:rPr>
        <w:t>A</w:t>
      </w:r>
      <w:r w:rsidR="000C28EB" w:rsidRPr="00F17C5F">
        <w:rPr>
          <w:rFonts w:ascii="Book Antiqua" w:hAnsi="Book Antiqua"/>
          <w:color w:val="000000" w:themeColor="text1"/>
          <w:lang w:eastAsia="zh-CN"/>
        </w:rPr>
        <w:t>K</w:t>
      </w:r>
      <w:r w:rsidR="000C28EB" w:rsidRPr="00F17C5F">
        <w:rPr>
          <w:rFonts w:ascii="Book Antiqua" w:hAnsi="Book Antiqua"/>
          <w:color w:val="000000" w:themeColor="text1"/>
        </w:rPr>
        <w:t xml:space="preserve"> 85721-0207</w:t>
      </w:r>
      <w:r w:rsidR="000C28EB" w:rsidRPr="00F17C5F">
        <w:rPr>
          <w:rFonts w:ascii="Book Antiqua" w:hAnsi="Book Antiqua"/>
          <w:color w:val="000000" w:themeColor="text1"/>
          <w:lang w:eastAsia="zh-CN"/>
        </w:rPr>
        <w:t>, United States</w:t>
      </w:r>
      <w:r w:rsidR="001C1134" w:rsidRPr="00F17C5F">
        <w:rPr>
          <w:rFonts w:ascii="Book Antiqua" w:hAnsi="Book Antiqua"/>
          <w:color w:val="000000" w:themeColor="text1"/>
        </w:rPr>
        <w:t xml:space="preserve">. </w:t>
      </w:r>
      <w:hyperlink r:id="rId10" w:history="1">
        <w:r w:rsidR="001C1134" w:rsidRPr="00F17C5F">
          <w:rPr>
            <w:rStyle w:val="Hyperlink"/>
            <w:rFonts w:ascii="Book Antiqua" w:hAnsi="Book Antiqua"/>
            <w:color w:val="000000" w:themeColor="text1"/>
          </w:rPr>
          <w:t>blerstad@hotmail.com</w:t>
        </w:r>
      </w:hyperlink>
    </w:p>
    <w:p w14:paraId="479D7E6A" w14:textId="77777777" w:rsidR="000C28EB" w:rsidRPr="00F17C5F" w:rsidRDefault="000C28EB" w:rsidP="00F17C5F">
      <w:pPr>
        <w:spacing w:after="0" w:line="360" w:lineRule="auto"/>
        <w:jc w:val="both"/>
        <w:rPr>
          <w:rFonts w:ascii="Book Antiqua" w:hAnsi="Book Antiqua"/>
          <w:b/>
          <w:color w:val="000000" w:themeColor="text1"/>
          <w:lang w:eastAsia="zh-CN"/>
        </w:rPr>
      </w:pPr>
    </w:p>
    <w:p w14:paraId="1E10909D" w14:textId="10C72DF9" w:rsidR="001F6175" w:rsidRPr="00F17C5F" w:rsidRDefault="001C1134" w:rsidP="00F17C5F">
      <w:pPr>
        <w:spacing w:after="0" w:line="360" w:lineRule="auto"/>
        <w:jc w:val="both"/>
        <w:rPr>
          <w:rFonts w:ascii="Book Antiqua" w:hAnsi="Book Antiqua"/>
          <w:b/>
          <w:color w:val="000000" w:themeColor="text1"/>
          <w:lang w:eastAsia="zh-CN"/>
        </w:rPr>
      </w:pPr>
      <w:r w:rsidRPr="00F17C5F">
        <w:rPr>
          <w:rFonts w:ascii="Book Antiqua" w:hAnsi="Book Antiqua"/>
          <w:b/>
          <w:color w:val="000000" w:themeColor="text1"/>
        </w:rPr>
        <w:t>Telephone:</w:t>
      </w:r>
      <w:r w:rsidRPr="00F17C5F">
        <w:rPr>
          <w:rFonts w:ascii="Book Antiqua" w:hAnsi="Book Antiqua"/>
          <w:color w:val="000000" w:themeColor="text1"/>
        </w:rPr>
        <w:t xml:space="preserve"> </w:t>
      </w:r>
      <w:r w:rsidR="00C31DBB" w:rsidRPr="00F17C5F">
        <w:rPr>
          <w:rFonts w:ascii="Book Antiqua" w:hAnsi="Book Antiqua"/>
          <w:color w:val="000000" w:themeColor="text1"/>
        </w:rPr>
        <w:t>+1-</w:t>
      </w:r>
      <w:r w:rsidR="000C28EB" w:rsidRPr="00F17C5F">
        <w:rPr>
          <w:rFonts w:ascii="Book Antiqua" w:hAnsi="Book Antiqua"/>
          <w:color w:val="000000" w:themeColor="text1"/>
        </w:rPr>
        <w:t>520-626</w:t>
      </w:r>
      <w:r w:rsidRPr="00F17C5F">
        <w:rPr>
          <w:rFonts w:ascii="Book Antiqua" w:hAnsi="Book Antiqua"/>
          <w:color w:val="000000" w:themeColor="text1"/>
        </w:rPr>
        <w:t>4289</w:t>
      </w:r>
      <w:r w:rsidR="000C28EB" w:rsidRPr="00F17C5F">
        <w:rPr>
          <w:rFonts w:ascii="Book Antiqua" w:hAnsi="Book Antiqua"/>
          <w:b/>
          <w:color w:val="000000" w:themeColor="text1"/>
        </w:rPr>
        <w:t xml:space="preserve"> </w:t>
      </w:r>
    </w:p>
    <w:p w14:paraId="7D777344" w14:textId="70842F6B" w:rsidR="00056395" w:rsidRPr="00F17C5F" w:rsidRDefault="001C1134" w:rsidP="00F17C5F">
      <w:pPr>
        <w:spacing w:after="0" w:line="360" w:lineRule="auto"/>
        <w:jc w:val="both"/>
        <w:rPr>
          <w:rFonts w:ascii="Book Antiqua" w:hAnsi="Book Antiqua"/>
          <w:color w:val="000000" w:themeColor="text1"/>
          <w:lang w:eastAsia="zh-CN"/>
        </w:rPr>
      </w:pPr>
      <w:r w:rsidRPr="00F17C5F">
        <w:rPr>
          <w:rFonts w:ascii="Book Antiqua" w:hAnsi="Book Antiqua"/>
          <w:b/>
          <w:color w:val="000000" w:themeColor="text1"/>
        </w:rPr>
        <w:lastRenderedPageBreak/>
        <w:t>Fax:</w:t>
      </w:r>
      <w:r w:rsidRPr="00F17C5F">
        <w:rPr>
          <w:rFonts w:ascii="Book Antiqua" w:hAnsi="Book Antiqua"/>
          <w:color w:val="000000" w:themeColor="text1"/>
        </w:rPr>
        <w:t xml:space="preserve"> </w:t>
      </w:r>
      <w:r w:rsidR="00C31DBB" w:rsidRPr="00F17C5F">
        <w:rPr>
          <w:rFonts w:ascii="Book Antiqua" w:hAnsi="Book Antiqua"/>
          <w:color w:val="000000" w:themeColor="text1"/>
        </w:rPr>
        <w:t>+1-</w:t>
      </w:r>
      <w:r w:rsidR="000C28EB" w:rsidRPr="00F17C5F">
        <w:rPr>
          <w:rFonts w:ascii="Book Antiqua" w:hAnsi="Book Antiqua"/>
          <w:color w:val="000000" w:themeColor="text1"/>
        </w:rPr>
        <w:t>520-626</w:t>
      </w:r>
      <w:r w:rsidRPr="00F17C5F">
        <w:rPr>
          <w:rFonts w:ascii="Book Antiqua" w:hAnsi="Book Antiqua"/>
          <w:color w:val="000000" w:themeColor="text1"/>
        </w:rPr>
        <w:t>7355</w:t>
      </w:r>
    </w:p>
    <w:p w14:paraId="6B84839A" w14:textId="19BE1C3B" w:rsidR="00A57DA2" w:rsidRPr="00F17C5F" w:rsidRDefault="00A57DA2" w:rsidP="00F17C5F">
      <w:pPr>
        <w:spacing w:after="0" w:line="360" w:lineRule="auto"/>
        <w:rPr>
          <w:rFonts w:ascii="Book Antiqua" w:hAnsi="Book Antiqua"/>
          <w:b/>
          <w:color w:val="000000" w:themeColor="text1"/>
          <w:lang w:eastAsia="zh-CN"/>
        </w:rPr>
      </w:pPr>
      <w:r w:rsidRPr="00F17C5F">
        <w:rPr>
          <w:rFonts w:ascii="Book Antiqua" w:hAnsi="Book Antiqua"/>
          <w:b/>
          <w:color w:val="000000" w:themeColor="text1"/>
        </w:rPr>
        <w:t>Received:</w:t>
      </w:r>
      <w:r w:rsidRPr="00F17C5F">
        <w:rPr>
          <w:rFonts w:ascii="Book Antiqua" w:hAnsi="Book Antiqua"/>
          <w:b/>
          <w:color w:val="000000" w:themeColor="text1"/>
          <w:lang w:eastAsia="zh-CN"/>
        </w:rPr>
        <w:t xml:space="preserve"> </w:t>
      </w:r>
      <w:r w:rsidRPr="00F17C5F">
        <w:rPr>
          <w:rFonts w:ascii="Book Antiqua" w:hAnsi="Book Antiqua"/>
          <w:color w:val="000000" w:themeColor="text1"/>
          <w:lang w:eastAsia="zh-CN"/>
        </w:rPr>
        <w:t>August 5, 2014</w:t>
      </w:r>
    </w:p>
    <w:p w14:paraId="55B9A5C0" w14:textId="3334398A" w:rsidR="00A57DA2" w:rsidRPr="00F17C5F" w:rsidRDefault="00A57DA2" w:rsidP="00F17C5F">
      <w:pPr>
        <w:spacing w:after="0" w:line="360" w:lineRule="auto"/>
        <w:rPr>
          <w:rFonts w:ascii="Book Antiqua" w:hAnsi="Book Antiqua"/>
          <w:b/>
          <w:color w:val="000000" w:themeColor="text1"/>
          <w:lang w:eastAsia="zh-CN"/>
        </w:rPr>
      </w:pPr>
      <w:r w:rsidRPr="00F17C5F">
        <w:rPr>
          <w:rFonts w:ascii="Book Antiqua" w:hAnsi="Book Antiqua"/>
          <w:b/>
          <w:color w:val="000000" w:themeColor="text1"/>
        </w:rPr>
        <w:t>Peer-review started:</w:t>
      </w:r>
      <w:r w:rsidRPr="00F17C5F">
        <w:rPr>
          <w:rFonts w:ascii="Book Antiqua" w:hAnsi="Book Antiqua"/>
          <w:b/>
          <w:color w:val="000000" w:themeColor="text1"/>
          <w:lang w:eastAsia="zh-CN"/>
        </w:rPr>
        <w:t xml:space="preserve"> </w:t>
      </w:r>
      <w:r w:rsidRPr="00F17C5F">
        <w:rPr>
          <w:rFonts w:ascii="Book Antiqua" w:hAnsi="Book Antiqua"/>
          <w:color w:val="000000" w:themeColor="text1"/>
          <w:lang w:eastAsia="zh-CN"/>
        </w:rPr>
        <w:t>August 6, 2014</w:t>
      </w:r>
    </w:p>
    <w:p w14:paraId="4E18ABDD" w14:textId="2B56127D" w:rsidR="00A57DA2" w:rsidRPr="00F17C5F" w:rsidRDefault="00A57DA2" w:rsidP="00F17C5F">
      <w:pPr>
        <w:spacing w:after="0" w:line="360" w:lineRule="auto"/>
        <w:rPr>
          <w:rFonts w:ascii="Book Antiqua" w:hAnsi="Book Antiqua"/>
          <w:b/>
          <w:color w:val="000000" w:themeColor="text1"/>
          <w:lang w:eastAsia="zh-CN"/>
        </w:rPr>
      </w:pPr>
      <w:r w:rsidRPr="00F17C5F">
        <w:rPr>
          <w:rFonts w:ascii="Book Antiqua" w:hAnsi="Book Antiqua"/>
          <w:b/>
          <w:color w:val="000000" w:themeColor="text1"/>
        </w:rPr>
        <w:t>First decision:</w:t>
      </w:r>
      <w:r w:rsidRPr="00F17C5F">
        <w:rPr>
          <w:rFonts w:ascii="Book Antiqua" w:hAnsi="Book Antiqua"/>
          <w:b/>
          <w:color w:val="000000" w:themeColor="text1"/>
          <w:lang w:eastAsia="zh-CN"/>
        </w:rPr>
        <w:t xml:space="preserve"> </w:t>
      </w:r>
      <w:r w:rsidRPr="00F17C5F">
        <w:rPr>
          <w:rFonts w:ascii="Book Antiqua" w:hAnsi="Book Antiqua"/>
          <w:color w:val="000000" w:themeColor="text1"/>
          <w:lang w:eastAsia="zh-CN"/>
        </w:rPr>
        <w:t>August 28, 2014</w:t>
      </w:r>
    </w:p>
    <w:p w14:paraId="23861374" w14:textId="79644DB8" w:rsidR="00A57DA2" w:rsidRPr="00F17C5F" w:rsidRDefault="00A57DA2" w:rsidP="00F17C5F">
      <w:pPr>
        <w:spacing w:after="0" w:line="360" w:lineRule="auto"/>
        <w:rPr>
          <w:rFonts w:ascii="Book Antiqua" w:hAnsi="Book Antiqua"/>
          <w:b/>
          <w:color w:val="000000" w:themeColor="text1"/>
          <w:lang w:eastAsia="zh-CN"/>
        </w:rPr>
      </w:pPr>
      <w:r w:rsidRPr="00F17C5F">
        <w:rPr>
          <w:rFonts w:ascii="Book Antiqua" w:hAnsi="Book Antiqua"/>
          <w:b/>
          <w:color w:val="000000" w:themeColor="text1"/>
        </w:rPr>
        <w:t>Revised:</w:t>
      </w:r>
      <w:r w:rsidRPr="00F17C5F">
        <w:rPr>
          <w:rFonts w:ascii="Book Antiqua" w:hAnsi="Book Antiqua"/>
          <w:b/>
          <w:color w:val="000000" w:themeColor="text1"/>
          <w:lang w:eastAsia="zh-CN"/>
        </w:rPr>
        <w:t xml:space="preserve"> </w:t>
      </w:r>
      <w:r w:rsidRPr="00F17C5F">
        <w:rPr>
          <w:rFonts w:ascii="Book Antiqua" w:hAnsi="Book Antiqua"/>
          <w:color w:val="000000" w:themeColor="text1"/>
          <w:lang w:eastAsia="zh-CN"/>
        </w:rPr>
        <w:t>September 6, 2014</w:t>
      </w:r>
    </w:p>
    <w:p w14:paraId="69A51EA2" w14:textId="3242174C" w:rsidR="00A57DA2" w:rsidRPr="00777ECB" w:rsidRDefault="00A57DA2" w:rsidP="00F17C5F">
      <w:pPr>
        <w:spacing w:after="0" w:line="360" w:lineRule="auto"/>
        <w:rPr>
          <w:rFonts w:ascii="Book Antiqua" w:hAnsi="Book Antiqua"/>
          <w:color w:val="000000" w:themeColor="text1"/>
        </w:rPr>
      </w:pPr>
      <w:r w:rsidRPr="00F17C5F">
        <w:rPr>
          <w:rFonts w:ascii="Book Antiqua" w:hAnsi="Book Antiqua"/>
          <w:b/>
          <w:color w:val="000000" w:themeColor="text1"/>
        </w:rPr>
        <w:t xml:space="preserve">Accepted: </w:t>
      </w:r>
      <w:r w:rsidR="00777ECB" w:rsidRPr="00777ECB">
        <w:rPr>
          <w:rFonts w:ascii="Book Antiqua" w:hAnsi="Book Antiqua"/>
          <w:color w:val="000000" w:themeColor="text1"/>
        </w:rPr>
        <w:t>February 4, 2015</w:t>
      </w:r>
      <w:r w:rsidRPr="00777ECB">
        <w:rPr>
          <w:rFonts w:ascii="Book Antiqua" w:hAnsi="Book Antiqua"/>
          <w:color w:val="000000" w:themeColor="text1"/>
        </w:rPr>
        <w:t xml:space="preserve"> </w:t>
      </w:r>
    </w:p>
    <w:p w14:paraId="7E95105A" w14:textId="77777777" w:rsidR="00A57DA2" w:rsidRPr="00F17C5F" w:rsidRDefault="00A57DA2" w:rsidP="00F17C5F">
      <w:pPr>
        <w:spacing w:after="0" w:line="360" w:lineRule="auto"/>
        <w:rPr>
          <w:rFonts w:ascii="Book Antiqua" w:hAnsi="Book Antiqua"/>
          <w:b/>
          <w:color w:val="000000" w:themeColor="text1"/>
        </w:rPr>
      </w:pPr>
      <w:r w:rsidRPr="00F17C5F">
        <w:rPr>
          <w:rFonts w:ascii="Book Antiqua" w:hAnsi="Book Antiqua"/>
          <w:b/>
          <w:color w:val="000000" w:themeColor="text1"/>
        </w:rPr>
        <w:t>Article in press:</w:t>
      </w:r>
    </w:p>
    <w:p w14:paraId="37A1554A" w14:textId="77777777" w:rsidR="00A57DA2" w:rsidRPr="00F17C5F" w:rsidRDefault="00A57DA2" w:rsidP="00F17C5F">
      <w:pPr>
        <w:spacing w:after="0" w:line="360" w:lineRule="auto"/>
        <w:rPr>
          <w:rFonts w:ascii="Book Antiqua" w:hAnsi="Book Antiqua"/>
          <w:b/>
          <w:color w:val="000000" w:themeColor="text1"/>
        </w:rPr>
      </w:pPr>
      <w:r w:rsidRPr="00F17C5F">
        <w:rPr>
          <w:rFonts w:ascii="Book Antiqua" w:hAnsi="Book Antiqua"/>
          <w:b/>
          <w:color w:val="000000" w:themeColor="text1"/>
        </w:rPr>
        <w:t xml:space="preserve">Published online: </w:t>
      </w:r>
      <w:bookmarkStart w:id="13" w:name="_GoBack"/>
      <w:bookmarkEnd w:id="13"/>
    </w:p>
    <w:p w14:paraId="1A1C079F" w14:textId="77777777" w:rsidR="001F6175" w:rsidRPr="00F17C5F" w:rsidRDefault="001F6175" w:rsidP="00F17C5F">
      <w:pPr>
        <w:spacing w:after="0" w:line="360" w:lineRule="auto"/>
        <w:jc w:val="both"/>
        <w:rPr>
          <w:rFonts w:ascii="Book Antiqua" w:hAnsi="Book Antiqua"/>
          <w:color w:val="000000" w:themeColor="text1"/>
          <w:lang w:eastAsia="zh-CN"/>
        </w:rPr>
      </w:pPr>
    </w:p>
    <w:p w14:paraId="6A8DE28C" w14:textId="77777777" w:rsidR="001C1134" w:rsidRPr="00F17C5F" w:rsidRDefault="001C1134" w:rsidP="00F17C5F">
      <w:pPr>
        <w:spacing w:after="0" w:line="360" w:lineRule="auto"/>
        <w:jc w:val="both"/>
        <w:rPr>
          <w:rFonts w:ascii="Book Antiqua" w:hAnsi="Book Antiqua"/>
          <w:b/>
          <w:color w:val="000000" w:themeColor="text1"/>
        </w:rPr>
      </w:pPr>
      <w:r w:rsidRPr="00F17C5F">
        <w:rPr>
          <w:rFonts w:ascii="Book Antiqua" w:hAnsi="Book Antiqua"/>
          <w:b/>
          <w:color w:val="000000" w:themeColor="text1"/>
        </w:rPr>
        <w:t>Abstract</w:t>
      </w:r>
    </w:p>
    <w:p w14:paraId="603915F6" w14:textId="1DA19390" w:rsidR="004435D3" w:rsidRPr="00F17C5F" w:rsidRDefault="004435D3"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 xml:space="preserve">This review </w:t>
      </w:r>
      <w:r w:rsidR="009B4C1A" w:rsidRPr="00F17C5F">
        <w:rPr>
          <w:rFonts w:ascii="Book Antiqua" w:hAnsi="Book Antiqua"/>
          <w:color w:val="000000" w:themeColor="text1"/>
        </w:rPr>
        <w:t xml:space="preserve">is intended to help clinicians design drug regimens for </w:t>
      </w:r>
      <w:r w:rsidRPr="00F17C5F">
        <w:rPr>
          <w:rFonts w:ascii="Book Antiqua" w:hAnsi="Book Antiqua"/>
          <w:color w:val="000000" w:themeColor="text1"/>
        </w:rPr>
        <w:t>s</w:t>
      </w:r>
      <w:r w:rsidR="009B4C1A" w:rsidRPr="00F17C5F">
        <w:rPr>
          <w:rFonts w:ascii="Book Antiqua" w:hAnsi="Book Antiqua"/>
          <w:color w:val="000000" w:themeColor="text1"/>
        </w:rPr>
        <w:t>pecial populations of</w:t>
      </w:r>
      <w:r w:rsidRPr="00F17C5F">
        <w:rPr>
          <w:rFonts w:ascii="Book Antiqua" w:hAnsi="Book Antiqua"/>
          <w:color w:val="000000" w:themeColor="text1"/>
        </w:rPr>
        <w:t xml:space="preserve"> critically ill patients with extremes of body size, habitus and composit</w:t>
      </w:r>
      <w:r w:rsidR="000A7DA0" w:rsidRPr="00F17C5F">
        <w:rPr>
          <w:rFonts w:ascii="Book Antiqua" w:hAnsi="Book Antiqua"/>
          <w:color w:val="000000" w:themeColor="text1"/>
        </w:rPr>
        <w:t>ion that make drug</w:t>
      </w:r>
      <w:r w:rsidRPr="00F17C5F">
        <w:rPr>
          <w:rFonts w:ascii="Book Antiqua" w:hAnsi="Book Antiqua"/>
          <w:color w:val="000000" w:themeColor="text1"/>
        </w:rPr>
        <w:t xml:space="preserve"> </w:t>
      </w:r>
      <w:r w:rsidR="000A7DA0" w:rsidRPr="00F17C5F">
        <w:rPr>
          <w:rFonts w:ascii="Book Antiqua" w:hAnsi="Book Antiqua"/>
          <w:color w:val="000000" w:themeColor="text1"/>
        </w:rPr>
        <w:t xml:space="preserve">choice or </w:t>
      </w:r>
      <w:r w:rsidRPr="00F17C5F">
        <w:rPr>
          <w:rFonts w:ascii="Book Antiqua" w:hAnsi="Book Antiqua"/>
          <w:color w:val="000000" w:themeColor="text1"/>
        </w:rPr>
        <w:t>dosing p</w:t>
      </w:r>
      <w:r w:rsidR="009B4C1A" w:rsidRPr="00F17C5F">
        <w:rPr>
          <w:rFonts w:ascii="Book Antiqua" w:hAnsi="Book Antiqua"/>
          <w:color w:val="000000" w:themeColor="text1"/>
        </w:rPr>
        <w:t>articularly challenging</w:t>
      </w:r>
      <w:r w:rsidRPr="00F17C5F">
        <w:rPr>
          <w:rFonts w:ascii="Book Antiqua" w:hAnsi="Book Antiqua"/>
          <w:color w:val="000000" w:themeColor="text1"/>
        </w:rPr>
        <w:t xml:space="preserve"> due to the lack of high-level evidence on which to make well-informed clinical decisions.</w:t>
      </w:r>
      <w:r w:rsidR="000C28EB" w:rsidRPr="00F17C5F">
        <w:rPr>
          <w:rFonts w:ascii="Book Antiqua" w:hAnsi="Book Antiqua"/>
          <w:color w:val="000000" w:themeColor="text1"/>
        </w:rPr>
        <w:t xml:space="preserve"> </w:t>
      </w:r>
      <w:r w:rsidR="001C1134" w:rsidRPr="00F17C5F">
        <w:rPr>
          <w:rFonts w:ascii="Book Antiqua" w:hAnsi="Book Antiqua"/>
          <w:color w:val="000000" w:themeColor="text1"/>
        </w:rPr>
        <w:t>The data sources included a l</w:t>
      </w:r>
      <w:r w:rsidR="00A2311E" w:rsidRPr="00F17C5F">
        <w:rPr>
          <w:rFonts w:ascii="Book Antiqua" w:hAnsi="Book Antiqua"/>
          <w:color w:val="000000" w:themeColor="text1"/>
        </w:rPr>
        <w:t>iterature search of MEDLINE and EMBASE with reviews of reference lists of retrieved articles.</w:t>
      </w:r>
      <w:r w:rsidR="000C28EB" w:rsidRPr="00F17C5F">
        <w:rPr>
          <w:rFonts w:ascii="Book Antiqua" w:hAnsi="Book Antiqua"/>
          <w:color w:val="000000" w:themeColor="text1"/>
        </w:rPr>
        <w:t xml:space="preserve"> </w:t>
      </w:r>
      <w:r w:rsidR="000200EA" w:rsidRPr="00F17C5F">
        <w:rPr>
          <w:rFonts w:ascii="Book Antiqua" w:hAnsi="Book Antiqua"/>
          <w:color w:val="000000" w:themeColor="text1"/>
        </w:rPr>
        <w:t xml:space="preserve">Abstracts of original research investigations and review papers were reviewed for their relevance to drug </w:t>
      </w:r>
      <w:r w:rsidR="000A7DA0" w:rsidRPr="00F17C5F">
        <w:rPr>
          <w:rFonts w:ascii="Book Antiqua" w:hAnsi="Book Antiqua"/>
          <w:color w:val="000000" w:themeColor="text1"/>
        </w:rPr>
        <w:t xml:space="preserve">choice or </w:t>
      </w:r>
      <w:r w:rsidR="000200EA" w:rsidRPr="00F17C5F">
        <w:rPr>
          <w:rFonts w:ascii="Book Antiqua" w:hAnsi="Book Antiqua"/>
          <w:color w:val="000000" w:themeColor="text1"/>
        </w:rPr>
        <w:t xml:space="preserve">dosing in </w:t>
      </w:r>
      <w:r w:rsidR="00A2311E" w:rsidRPr="00F17C5F">
        <w:rPr>
          <w:rFonts w:ascii="Book Antiqua" w:hAnsi="Book Antiqua"/>
          <w:color w:val="000000" w:themeColor="text1"/>
        </w:rPr>
        <w:t xml:space="preserve">the following </w:t>
      </w:r>
      <w:r w:rsidR="000200EA" w:rsidRPr="00F17C5F">
        <w:rPr>
          <w:rFonts w:ascii="Book Antiqua" w:hAnsi="Book Antiqua"/>
          <w:color w:val="000000" w:themeColor="text1"/>
        </w:rPr>
        <w:t>s</w:t>
      </w:r>
      <w:r w:rsidR="00A2311E" w:rsidRPr="00F17C5F">
        <w:rPr>
          <w:rFonts w:ascii="Book Antiqua" w:hAnsi="Book Antiqua"/>
          <w:color w:val="000000" w:themeColor="text1"/>
        </w:rPr>
        <w:t>pecial critically ill populations: patients with more severe forms of bodyweight or height, patients with amputations or missing limbs, pregnant patients, and patients undergoing extr</w:t>
      </w:r>
      <w:r w:rsidR="001838CC" w:rsidRPr="00F17C5F">
        <w:rPr>
          <w:rFonts w:ascii="Book Antiqua" w:hAnsi="Book Antiqua"/>
          <w:color w:val="000000" w:themeColor="text1"/>
        </w:rPr>
        <w:t>acorporeal membrane oxygenation</w:t>
      </w:r>
      <w:r w:rsidR="005D35CA" w:rsidRPr="00F17C5F">
        <w:rPr>
          <w:rFonts w:ascii="Book Antiqua" w:hAnsi="Book Antiqua"/>
          <w:color w:val="000000" w:themeColor="text1"/>
        </w:rPr>
        <w:t xml:space="preserve"> </w:t>
      </w:r>
      <w:r w:rsidR="00A2311E" w:rsidRPr="00F17C5F">
        <w:rPr>
          <w:rFonts w:ascii="Book Antiqua" w:hAnsi="Book Antiqua"/>
          <w:color w:val="000000" w:themeColor="text1"/>
        </w:rPr>
        <w:t>or plasma exchange.</w:t>
      </w:r>
      <w:r w:rsidR="000C28EB" w:rsidRPr="00F17C5F">
        <w:rPr>
          <w:rFonts w:ascii="Book Antiqua" w:hAnsi="Book Antiqua"/>
          <w:color w:val="000000" w:themeColor="text1"/>
        </w:rPr>
        <w:t xml:space="preserve"> </w:t>
      </w:r>
      <w:r w:rsidR="000200EA" w:rsidRPr="00F17C5F">
        <w:rPr>
          <w:rFonts w:ascii="Book Antiqua" w:hAnsi="Book Antiqua"/>
          <w:color w:val="000000" w:themeColor="text1"/>
        </w:rPr>
        <w:t>Relevant papers were retrieved and evaluated, and their associated reference lists were reviewed for citations that may have been missed through the electronic search strategy.</w:t>
      </w:r>
      <w:r w:rsidR="000C28EB" w:rsidRPr="00F17C5F">
        <w:rPr>
          <w:rFonts w:ascii="Book Antiqua" w:hAnsi="Book Antiqua"/>
          <w:color w:val="000000" w:themeColor="text1"/>
        </w:rPr>
        <w:t xml:space="preserve"> </w:t>
      </w:r>
      <w:r w:rsidR="000200EA" w:rsidRPr="00F17C5F">
        <w:rPr>
          <w:rFonts w:ascii="Book Antiqua" w:hAnsi="Book Antiqua"/>
          <w:color w:val="000000" w:themeColor="text1"/>
        </w:rPr>
        <w:t>Relevant o</w:t>
      </w:r>
      <w:r w:rsidR="00417B92" w:rsidRPr="00F17C5F">
        <w:rPr>
          <w:rFonts w:ascii="Book Antiqua" w:hAnsi="Book Antiqua"/>
          <w:color w:val="000000" w:themeColor="text1"/>
        </w:rPr>
        <w:t>riginal research inves</w:t>
      </w:r>
      <w:r w:rsidR="00A2311E" w:rsidRPr="00F17C5F">
        <w:rPr>
          <w:rFonts w:ascii="Book Antiqua" w:hAnsi="Book Antiqua"/>
          <w:color w:val="000000" w:themeColor="text1"/>
        </w:rPr>
        <w:t>tigations and review papers that could be</w:t>
      </w:r>
      <w:r w:rsidR="00417B92" w:rsidRPr="00F17C5F">
        <w:rPr>
          <w:rFonts w:ascii="Book Antiqua" w:hAnsi="Book Antiqua"/>
          <w:color w:val="000000" w:themeColor="text1"/>
        </w:rPr>
        <w:t xml:space="preserve"> </w:t>
      </w:r>
      <w:r w:rsidR="00357E84" w:rsidRPr="00F17C5F">
        <w:rPr>
          <w:rFonts w:ascii="Book Antiqua" w:hAnsi="Book Antiqua"/>
          <w:color w:val="000000" w:themeColor="text1"/>
        </w:rPr>
        <w:t xml:space="preserve">used </w:t>
      </w:r>
      <w:r w:rsidR="00417B92" w:rsidRPr="00F17C5F">
        <w:rPr>
          <w:rFonts w:ascii="Book Antiqua" w:hAnsi="Book Antiqua"/>
          <w:color w:val="000000" w:themeColor="text1"/>
        </w:rPr>
        <w:t xml:space="preserve">to formulate general principles for drug </w:t>
      </w:r>
      <w:r w:rsidR="000A7DA0" w:rsidRPr="00F17C5F">
        <w:rPr>
          <w:rFonts w:ascii="Book Antiqua" w:hAnsi="Book Antiqua"/>
          <w:color w:val="000000" w:themeColor="text1"/>
        </w:rPr>
        <w:t xml:space="preserve">choice or </w:t>
      </w:r>
      <w:r w:rsidR="00417B92" w:rsidRPr="00F17C5F">
        <w:rPr>
          <w:rFonts w:ascii="Book Antiqua" w:hAnsi="Book Antiqua"/>
          <w:color w:val="000000" w:themeColor="text1"/>
        </w:rPr>
        <w:t>dosing in special populations of critically ill patients.</w:t>
      </w:r>
      <w:r w:rsidR="000C28EB" w:rsidRPr="00F17C5F">
        <w:rPr>
          <w:rFonts w:ascii="Book Antiqua" w:hAnsi="Book Antiqua"/>
          <w:color w:val="000000" w:themeColor="text1"/>
        </w:rPr>
        <w:t xml:space="preserve"> </w:t>
      </w:r>
      <w:r w:rsidR="00321A2C" w:rsidRPr="00F17C5F">
        <w:rPr>
          <w:rFonts w:ascii="Book Antiqua" w:hAnsi="Book Antiqua"/>
          <w:color w:val="000000" w:themeColor="text1"/>
        </w:rPr>
        <w:t>Randomized studies with clinically relevant endpoints were not available for performing quantitative analyses.</w:t>
      </w:r>
      <w:r w:rsidR="000C28EB" w:rsidRPr="00F17C5F">
        <w:rPr>
          <w:rFonts w:ascii="Book Antiqua" w:hAnsi="Book Antiqua"/>
          <w:color w:val="000000" w:themeColor="text1"/>
        </w:rPr>
        <w:t xml:space="preserve"> </w:t>
      </w:r>
      <w:r w:rsidR="00417B92" w:rsidRPr="00F17C5F">
        <w:rPr>
          <w:rFonts w:ascii="Book Antiqua" w:hAnsi="Book Antiqua"/>
          <w:color w:val="000000" w:themeColor="text1"/>
        </w:rPr>
        <w:t>Critically ill patients with changes in body size, habitus and composition require special consideration when designing medication regimens</w:t>
      </w:r>
      <w:r w:rsidR="00A2311E" w:rsidRPr="00F17C5F">
        <w:rPr>
          <w:rFonts w:ascii="Book Antiqua" w:hAnsi="Book Antiqua"/>
          <w:color w:val="000000" w:themeColor="text1"/>
        </w:rPr>
        <w:t>, but there is a paucity of literature on which to make drug-specific, high-level evidence-based recommendations.</w:t>
      </w:r>
      <w:r w:rsidR="000C28EB" w:rsidRPr="00F17C5F">
        <w:rPr>
          <w:rFonts w:ascii="Book Antiqua" w:hAnsi="Book Antiqua"/>
          <w:color w:val="000000" w:themeColor="text1"/>
        </w:rPr>
        <w:t xml:space="preserve"> </w:t>
      </w:r>
      <w:r w:rsidR="00A2311E" w:rsidRPr="00F17C5F">
        <w:rPr>
          <w:rFonts w:ascii="Book Antiqua" w:hAnsi="Book Antiqua"/>
          <w:color w:val="000000" w:themeColor="text1"/>
        </w:rPr>
        <w:t xml:space="preserve">Based on the evidence that is available, general recommendations are provided for drug </w:t>
      </w:r>
      <w:r w:rsidR="000A7DA0" w:rsidRPr="00F17C5F">
        <w:rPr>
          <w:rFonts w:ascii="Book Antiqua" w:hAnsi="Book Antiqua"/>
          <w:color w:val="000000" w:themeColor="text1"/>
        </w:rPr>
        <w:t xml:space="preserve">choice or </w:t>
      </w:r>
      <w:r w:rsidR="00A2311E" w:rsidRPr="00F17C5F">
        <w:rPr>
          <w:rFonts w:ascii="Book Antiqua" w:hAnsi="Book Antiqua"/>
          <w:color w:val="000000" w:themeColor="text1"/>
        </w:rPr>
        <w:t>dosing in spe</w:t>
      </w:r>
      <w:r w:rsidR="001C1134" w:rsidRPr="00F17C5F">
        <w:rPr>
          <w:rFonts w:ascii="Book Antiqua" w:hAnsi="Book Antiqua"/>
          <w:color w:val="000000" w:themeColor="text1"/>
        </w:rPr>
        <w:t>cial critically ill populations.</w:t>
      </w:r>
      <w:r w:rsidR="000C28EB" w:rsidRPr="00F17C5F">
        <w:rPr>
          <w:rFonts w:ascii="Book Antiqua" w:hAnsi="Book Antiqua"/>
          <w:color w:val="000000" w:themeColor="text1"/>
        </w:rPr>
        <w:t xml:space="preserve"> </w:t>
      </w:r>
    </w:p>
    <w:p w14:paraId="7A6C8F3D" w14:textId="77777777" w:rsidR="000C28EB" w:rsidRPr="00F17C5F" w:rsidRDefault="000C28EB" w:rsidP="00F17C5F">
      <w:pPr>
        <w:spacing w:after="0" w:line="360" w:lineRule="auto"/>
        <w:jc w:val="both"/>
        <w:rPr>
          <w:rFonts w:ascii="Book Antiqua" w:hAnsi="Book Antiqua"/>
          <w:b/>
          <w:color w:val="000000" w:themeColor="text1"/>
          <w:lang w:eastAsia="zh-CN"/>
        </w:rPr>
      </w:pPr>
    </w:p>
    <w:p w14:paraId="090C56F0" w14:textId="77777777" w:rsidR="001C1134" w:rsidRPr="00F17C5F" w:rsidRDefault="001C1134" w:rsidP="00F17C5F">
      <w:pPr>
        <w:spacing w:after="0" w:line="360" w:lineRule="auto"/>
        <w:jc w:val="both"/>
        <w:rPr>
          <w:rFonts w:ascii="Book Antiqua" w:hAnsi="Book Antiqua"/>
          <w:color w:val="000000" w:themeColor="text1"/>
          <w:lang w:eastAsia="zh-CN"/>
        </w:rPr>
      </w:pPr>
      <w:r w:rsidRPr="00F17C5F">
        <w:rPr>
          <w:rFonts w:ascii="Book Antiqua" w:hAnsi="Book Antiqua"/>
          <w:b/>
          <w:color w:val="000000" w:themeColor="text1"/>
        </w:rPr>
        <w:t>Key words:</w:t>
      </w:r>
      <w:r w:rsidRPr="00F17C5F">
        <w:rPr>
          <w:rFonts w:ascii="Book Antiqua" w:hAnsi="Book Antiqua"/>
          <w:color w:val="000000" w:themeColor="text1"/>
        </w:rPr>
        <w:t xml:space="preserve"> </w:t>
      </w:r>
      <w:r w:rsidR="009E3A46" w:rsidRPr="00F17C5F">
        <w:rPr>
          <w:rFonts w:ascii="Book Antiqua" w:hAnsi="Book Antiqua"/>
          <w:color w:val="000000" w:themeColor="text1"/>
        </w:rPr>
        <w:t xml:space="preserve">Drug </w:t>
      </w:r>
      <w:r w:rsidRPr="00F17C5F">
        <w:rPr>
          <w:rFonts w:ascii="Book Antiqua" w:hAnsi="Book Antiqua"/>
          <w:color w:val="000000" w:themeColor="text1"/>
        </w:rPr>
        <w:t>dosage calculations</w:t>
      </w:r>
      <w:r w:rsidR="009E3A46" w:rsidRPr="00F17C5F">
        <w:rPr>
          <w:rFonts w:ascii="Book Antiqua" w:hAnsi="Book Antiqua"/>
          <w:color w:val="000000" w:themeColor="text1"/>
          <w:lang w:eastAsia="zh-CN"/>
        </w:rPr>
        <w:t>;</w:t>
      </w:r>
      <w:r w:rsidRPr="00F17C5F">
        <w:rPr>
          <w:rFonts w:ascii="Book Antiqua" w:hAnsi="Book Antiqua"/>
          <w:color w:val="000000" w:themeColor="text1"/>
        </w:rPr>
        <w:t xml:space="preserve"> </w:t>
      </w:r>
      <w:r w:rsidR="009E3A46" w:rsidRPr="00F17C5F">
        <w:rPr>
          <w:rFonts w:ascii="Book Antiqua" w:hAnsi="Book Antiqua"/>
          <w:color w:val="000000" w:themeColor="text1"/>
        </w:rPr>
        <w:t xml:space="preserve">Critical </w:t>
      </w:r>
      <w:r w:rsidRPr="00F17C5F">
        <w:rPr>
          <w:rFonts w:ascii="Book Antiqua" w:hAnsi="Book Antiqua"/>
          <w:color w:val="000000" w:themeColor="text1"/>
        </w:rPr>
        <w:t>care</w:t>
      </w:r>
      <w:r w:rsidR="009E3A46" w:rsidRPr="00F17C5F">
        <w:rPr>
          <w:rFonts w:ascii="Book Antiqua" w:hAnsi="Book Antiqua"/>
          <w:color w:val="000000" w:themeColor="text1"/>
          <w:lang w:eastAsia="zh-CN"/>
        </w:rPr>
        <w:t>;</w:t>
      </w:r>
      <w:r w:rsidRPr="00F17C5F">
        <w:rPr>
          <w:rFonts w:ascii="Book Antiqua" w:hAnsi="Book Antiqua"/>
          <w:color w:val="000000" w:themeColor="text1"/>
        </w:rPr>
        <w:t xml:space="preserve"> </w:t>
      </w:r>
      <w:r w:rsidR="009E3A46" w:rsidRPr="00F17C5F">
        <w:rPr>
          <w:rFonts w:ascii="Book Antiqua" w:hAnsi="Book Antiqua"/>
          <w:color w:val="000000" w:themeColor="text1"/>
        </w:rPr>
        <w:t xml:space="preserve">Body </w:t>
      </w:r>
      <w:r w:rsidRPr="00F17C5F">
        <w:rPr>
          <w:rFonts w:ascii="Book Antiqua" w:hAnsi="Book Antiqua"/>
          <w:color w:val="000000" w:themeColor="text1"/>
        </w:rPr>
        <w:t>composition</w:t>
      </w:r>
      <w:r w:rsidR="009E3A46" w:rsidRPr="00F17C5F">
        <w:rPr>
          <w:rFonts w:ascii="Book Antiqua" w:hAnsi="Book Antiqua"/>
          <w:color w:val="000000" w:themeColor="text1"/>
          <w:lang w:eastAsia="zh-CN"/>
        </w:rPr>
        <w:t xml:space="preserve">; </w:t>
      </w:r>
      <w:r w:rsidR="009E3A46" w:rsidRPr="00F17C5F">
        <w:rPr>
          <w:rFonts w:ascii="Book Antiqua" w:hAnsi="Book Antiqua"/>
          <w:color w:val="000000" w:themeColor="text1"/>
        </w:rPr>
        <w:t>Pharmacokinetics</w:t>
      </w:r>
      <w:r w:rsidR="009E3A46" w:rsidRPr="00F17C5F">
        <w:rPr>
          <w:rFonts w:ascii="Book Antiqua" w:hAnsi="Book Antiqua"/>
          <w:color w:val="000000" w:themeColor="text1"/>
          <w:lang w:eastAsia="zh-CN"/>
        </w:rPr>
        <w:t>;</w:t>
      </w:r>
      <w:r w:rsidRPr="00F17C5F">
        <w:rPr>
          <w:rFonts w:ascii="Book Antiqua" w:hAnsi="Book Antiqua"/>
          <w:color w:val="000000" w:themeColor="text1"/>
        </w:rPr>
        <w:t xml:space="preserve"> </w:t>
      </w:r>
      <w:r w:rsidR="009E3A46" w:rsidRPr="00F17C5F">
        <w:rPr>
          <w:rFonts w:ascii="Book Antiqua" w:hAnsi="Book Antiqua"/>
          <w:color w:val="000000" w:themeColor="text1"/>
        </w:rPr>
        <w:t>Obesity</w:t>
      </w:r>
      <w:r w:rsidR="009E3A46" w:rsidRPr="00F17C5F">
        <w:rPr>
          <w:rFonts w:ascii="Book Antiqua" w:hAnsi="Book Antiqua"/>
          <w:color w:val="000000" w:themeColor="text1"/>
          <w:lang w:eastAsia="zh-CN"/>
        </w:rPr>
        <w:t>;</w:t>
      </w:r>
      <w:r w:rsidRPr="00F17C5F">
        <w:rPr>
          <w:rFonts w:ascii="Book Antiqua" w:hAnsi="Book Antiqua"/>
          <w:color w:val="000000" w:themeColor="text1"/>
        </w:rPr>
        <w:t xml:space="preserve"> </w:t>
      </w:r>
      <w:r w:rsidR="009E3A46" w:rsidRPr="00F17C5F">
        <w:rPr>
          <w:rFonts w:ascii="Book Antiqua" w:hAnsi="Book Antiqua"/>
          <w:color w:val="000000" w:themeColor="text1"/>
        </w:rPr>
        <w:t>Pregnancy</w:t>
      </w:r>
    </w:p>
    <w:p w14:paraId="1806915E" w14:textId="77777777" w:rsidR="00A57DA2" w:rsidRPr="00F17C5F" w:rsidRDefault="00A57DA2" w:rsidP="00F17C5F">
      <w:pPr>
        <w:spacing w:after="0" w:line="360" w:lineRule="auto"/>
        <w:jc w:val="both"/>
        <w:rPr>
          <w:rFonts w:ascii="Book Antiqua" w:hAnsi="Book Antiqua"/>
          <w:color w:val="000000" w:themeColor="text1"/>
          <w:lang w:eastAsia="zh-CN"/>
        </w:rPr>
      </w:pPr>
    </w:p>
    <w:p w14:paraId="1D72FCF3" w14:textId="77777777" w:rsidR="000E3095" w:rsidRPr="00F17C5F" w:rsidRDefault="000E3095" w:rsidP="00F17C5F">
      <w:pPr>
        <w:spacing w:after="0" w:line="360" w:lineRule="auto"/>
        <w:jc w:val="both"/>
        <w:rPr>
          <w:rFonts w:ascii="Book Antiqua" w:hAnsi="Book Antiqua"/>
          <w:i/>
          <w:iCs/>
          <w:color w:val="000000" w:themeColor="text1"/>
        </w:rPr>
      </w:pPr>
      <w:r w:rsidRPr="00F17C5F">
        <w:rPr>
          <w:rFonts w:ascii="Book Antiqua" w:hAnsi="Book Antiqua" w:cs="Tahoma"/>
          <w:b/>
          <w:color w:val="000000" w:themeColor="text1"/>
          <w:lang w:val="en-GB" w:eastAsia="ja-JP"/>
        </w:rPr>
        <w:t xml:space="preserve">© </w:t>
      </w:r>
      <w:r w:rsidRPr="00F17C5F">
        <w:rPr>
          <w:rFonts w:ascii="Book Antiqua" w:eastAsia="AdvTimes" w:hAnsi="Book Antiqua" w:cs="AdvTimes"/>
          <w:b/>
          <w:color w:val="000000" w:themeColor="text1"/>
          <w:lang w:val="fr-FR" w:eastAsia="ja-JP"/>
        </w:rPr>
        <w:t>The Author(s) 2015.</w:t>
      </w:r>
      <w:r w:rsidRPr="00F17C5F">
        <w:rPr>
          <w:rFonts w:ascii="Book Antiqua" w:eastAsia="AdvTimes" w:hAnsi="Book Antiqua" w:cs="AdvTimes"/>
          <w:color w:val="000000" w:themeColor="text1"/>
          <w:lang w:val="fr-FR" w:eastAsia="ja-JP"/>
        </w:rPr>
        <w:t xml:space="preserve"> Published by </w:t>
      </w:r>
      <w:r w:rsidRPr="00F17C5F">
        <w:rPr>
          <w:rFonts w:ascii="Book Antiqua" w:hAnsi="Book Antiqua" w:cs="Arial Unicode MS"/>
          <w:color w:val="000000" w:themeColor="text1"/>
          <w:lang w:val="en-GB" w:eastAsia="ja-JP"/>
        </w:rPr>
        <w:t xml:space="preserve">Baishideng Publishing Group Inc. </w:t>
      </w:r>
      <w:r w:rsidRPr="00F17C5F">
        <w:rPr>
          <w:rFonts w:ascii="Book Antiqua" w:hAnsi="Book Antiqua" w:cs="Arial Unicode MS"/>
          <w:color w:val="000000" w:themeColor="text1"/>
          <w:lang w:val="fr-FR" w:eastAsia="ja-JP"/>
        </w:rPr>
        <w:t>All rights reserved</w:t>
      </w:r>
      <w:r w:rsidRPr="00F17C5F">
        <w:rPr>
          <w:rFonts w:ascii="Book Antiqua" w:hAnsi="Book Antiqua" w:cs="Arial Unicode MS"/>
          <w:color w:val="000000" w:themeColor="text1"/>
          <w:lang w:val="fr-FR"/>
        </w:rPr>
        <w:t>.</w:t>
      </w:r>
    </w:p>
    <w:p w14:paraId="31C016C4" w14:textId="77777777" w:rsidR="000C28EB" w:rsidRPr="00F17C5F" w:rsidRDefault="000C28EB" w:rsidP="00F17C5F">
      <w:pPr>
        <w:spacing w:after="0" w:line="360" w:lineRule="auto"/>
        <w:jc w:val="both"/>
        <w:rPr>
          <w:rFonts w:ascii="Book Antiqua" w:hAnsi="Book Antiqua"/>
          <w:b/>
          <w:color w:val="000000" w:themeColor="text1"/>
          <w:lang w:eastAsia="zh-CN"/>
        </w:rPr>
      </w:pPr>
    </w:p>
    <w:p w14:paraId="396FDD20" w14:textId="13B8955A" w:rsidR="001C1134" w:rsidRPr="00F17C5F" w:rsidRDefault="001C1134" w:rsidP="00F17C5F">
      <w:pPr>
        <w:spacing w:after="0" w:line="360" w:lineRule="auto"/>
        <w:jc w:val="both"/>
        <w:rPr>
          <w:rFonts w:ascii="Book Antiqua" w:hAnsi="Book Antiqua"/>
          <w:color w:val="000000" w:themeColor="text1"/>
        </w:rPr>
      </w:pPr>
      <w:r w:rsidRPr="00F17C5F">
        <w:rPr>
          <w:rFonts w:ascii="Book Antiqua" w:hAnsi="Book Antiqua"/>
          <w:b/>
          <w:color w:val="000000" w:themeColor="text1"/>
        </w:rPr>
        <w:t>Core tip:</w:t>
      </w:r>
      <w:r w:rsidR="000C28EB" w:rsidRPr="00F17C5F">
        <w:rPr>
          <w:rFonts w:ascii="Book Antiqua" w:hAnsi="Book Antiqua"/>
          <w:b/>
          <w:color w:val="000000" w:themeColor="text1"/>
        </w:rPr>
        <w:t xml:space="preserve"> </w:t>
      </w:r>
      <w:r w:rsidRPr="00F17C5F">
        <w:rPr>
          <w:rFonts w:ascii="Book Antiqua" w:hAnsi="Book Antiqua"/>
          <w:color w:val="000000" w:themeColor="text1"/>
        </w:rPr>
        <w:t xml:space="preserve">Special populations of </w:t>
      </w:r>
      <w:r w:rsidR="001838CC" w:rsidRPr="00F17C5F">
        <w:rPr>
          <w:rFonts w:ascii="Book Antiqua" w:hAnsi="Book Antiqua"/>
          <w:color w:val="000000" w:themeColor="text1"/>
        </w:rPr>
        <w:t xml:space="preserve">intensive care units </w:t>
      </w:r>
      <w:r w:rsidRPr="00F17C5F">
        <w:rPr>
          <w:rFonts w:ascii="Book Antiqua" w:hAnsi="Book Antiqua"/>
          <w:color w:val="000000" w:themeColor="text1"/>
        </w:rPr>
        <w:t>patients with more severe alterations in body size, shape, and composition pose unique challenges to clinicians faced with drug choice or dosing decisions.</w:t>
      </w:r>
      <w:r w:rsidR="000C28EB" w:rsidRPr="00F17C5F">
        <w:rPr>
          <w:rFonts w:ascii="Book Antiqua" w:hAnsi="Book Antiqua"/>
          <w:color w:val="000000" w:themeColor="text1"/>
        </w:rPr>
        <w:t xml:space="preserve"> </w:t>
      </w:r>
      <w:r w:rsidRPr="00F17C5F">
        <w:rPr>
          <w:rFonts w:ascii="Book Antiqua" w:hAnsi="Book Antiqua"/>
          <w:color w:val="000000" w:themeColor="text1"/>
        </w:rPr>
        <w:t>Appropriate drug choice or dosing in these populations must take into account a variety of factors from altered pharmacokinetic parameters to concomitant therapeutic interventions and co-morbidities.</w:t>
      </w:r>
    </w:p>
    <w:p w14:paraId="60106C80" w14:textId="77777777" w:rsidR="000E3095" w:rsidRPr="00F17C5F" w:rsidRDefault="000E3095" w:rsidP="00F17C5F">
      <w:pPr>
        <w:spacing w:after="0" w:line="360" w:lineRule="auto"/>
        <w:jc w:val="both"/>
        <w:rPr>
          <w:rFonts w:ascii="Book Antiqua" w:hAnsi="Book Antiqua"/>
          <w:b/>
          <w:color w:val="000000" w:themeColor="text1"/>
          <w:lang w:eastAsia="zh-CN"/>
        </w:rPr>
      </w:pPr>
    </w:p>
    <w:p w14:paraId="7D06F8EB" w14:textId="258ED2BC" w:rsidR="000E3095" w:rsidRPr="00F17C5F" w:rsidRDefault="000E3095" w:rsidP="00F17C5F">
      <w:pPr>
        <w:spacing w:after="0" w:line="360" w:lineRule="auto"/>
        <w:jc w:val="both"/>
        <w:rPr>
          <w:rFonts w:ascii="Book Antiqua" w:hAnsi="Book Antiqua"/>
          <w:color w:val="000000" w:themeColor="text1"/>
          <w:lang w:eastAsia="zh-CN"/>
        </w:rPr>
      </w:pPr>
      <w:r w:rsidRPr="00F17C5F">
        <w:rPr>
          <w:rFonts w:ascii="Book Antiqua" w:hAnsi="Book Antiqua"/>
          <w:color w:val="000000" w:themeColor="text1"/>
        </w:rPr>
        <w:t>Erstad</w:t>
      </w:r>
      <w:r w:rsidRPr="00F17C5F">
        <w:rPr>
          <w:rFonts w:ascii="Book Antiqua" w:hAnsi="Book Antiqua"/>
          <w:color w:val="000000" w:themeColor="text1"/>
          <w:lang w:eastAsia="zh-CN"/>
        </w:rPr>
        <w:t xml:space="preserve"> BL. </w:t>
      </w:r>
      <w:r w:rsidR="006B5AE1" w:rsidRPr="006B5AE1">
        <w:rPr>
          <w:rFonts w:ascii="Book Antiqua" w:hAnsi="Book Antiqua"/>
          <w:color w:val="000000" w:themeColor="text1"/>
        </w:rPr>
        <w:t>Designing drug regimens for special the intensive care units populations</w:t>
      </w:r>
      <w:r w:rsidRPr="00F17C5F">
        <w:rPr>
          <w:rFonts w:ascii="Book Antiqua" w:hAnsi="Book Antiqua"/>
          <w:color w:val="000000" w:themeColor="text1"/>
          <w:lang w:eastAsia="zh-CN"/>
        </w:rPr>
        <w:t xml:space="preserve">. </w:t>
      </w:r>
      <w:r w:rsidRPr="00F17C5F">
        <w:rPr>
          <w:rFonts w:ascii="Book Antiqua" w:hAnsi="Book Antiqua"/>
          <w:i/>
          <w:iCs/>
          <w:color w:val="000000" w:themeColor="text1"/>
        </w:rPr>
        <w:t>World J Crit Care Med</w:t>
      </w:r>
      <w:r w:rsidRPr="00F17C5F">
        <w:rPr>
          <w:rFonts w:ascii="Book Antiqua" w:hAnsi="Book Antiqua"/>
          <w:i/>
          <w:iCs/>
          <w:color w:val="000000" w:themeColor="text1"/>
          <w:lang w:eastAsia="zh-CN"/>
        </w:rPr>
        <w:t xml:space="preserve"> </w:t>
      </w:r>
      <w:r w:rsidRPr="00F17C5F">
        <w:rPr>
          <w:rFonts w:ascii="Book Antiqua" w:hAnsi="Book Antiqua"/>
          <w:iCs/>
          <w:color w:val="000000" w:themeColor="text1"/>
          <w:lang w:eastAsia="zh-CN"/>
        </w:rPr>
        <w:t>2015; In press</w:t>
      </w:r>
    </w:p>
    <w:p w14:paraId="0F885D24" w14:textId="77777777" w:rsidR="000E3095" w:rsidRPr="00F17C5F" w:rsidRDefault="000E3095" w:rsidP="00F17C5F">
      <w:pPr>
        <w:spacing w:after="0" w:line="360" w:lineRule="auto"/>
        <w:jc w:val="both"/>
        <w:rPr>
          <w:rFonts w:ascii="Book Antiqua" w:hAnsi="Book Antiqua"/>
          <w:color w:val="000000" w:themeColor="text1"/>
          <w:lang w:eastAsia="zh-CN"/>
        </w:rPr>
      </w:pPr>
    </w:p>
    <w:p w14:paraId="1FF20931" w14:textId="77777777" w:rsidR="001C1134" w:rsidRPr="00F17C5F" w:rsidRDefault="009E3A46" w:rsidP="00F17C5F">
      <w:pPr>
        <w:spacing w:after="0" w:line="360" w:lineRule="auto"/>
        <w:jc w:val="both"/>
        <w:rPr>
          <w:rFonts w:ascii="Book Antiqua" w:hAnsi="Book Antiqua"/>
          <w:color w:val="000000" w:themeColor="text1"/>
        </w:rPr>
      </w:pPr>
      <w:r w:rsidRPr="00F17C5F">
        <w:rPr>
          <w:rFonts w:ascii="Book Antiqua" w:hAnsi="Book Antiqua"/>
          <w:b/>
          <w:color w:val="000000" w:themeColor="text1"/>
        </w:rPr>
        <w:t>INTRODUCTION</w:t>
      </w:r>
    </w:p>
    <w:p w14:paraId="235757B2" w14:textId="3EC7D773" w:rsidR="00D10CF0" w:rsidRPr="00F17C5F" w:rsidRDefault="00926704"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What are</w:t>
      </w:r>
      <w:r w:rsidR="00054119" w:rsidRPr="00F17C5F">
        <w:rPr>
          <w:rFonts w:ascii="Book Antiqua" w:hAnsi="Book Antiqua"/>
          <w:b/>
          <w:i/>
          <w:color w:val="000000" w:themeColor="text1"/>
        </w:rPr>
        <w:t xml:space="preserve"> </w:t>
      </w:r>
      <w:r w:rsidR="003155A9" w:rsidRPr="00F17C5F">
        <w:rPr>
          <w:rFonts w:ascii="Book Antiqua" w:hAnsi="Book Antiqua"/>
          <w:b/>
          <w:i/>
          <w:color w:val="000000" w:themeColor="text1"/>
        </w:rPr>
        <w:t>special p</w:t>
      </w:r>
      <w:r w:rsidR="00D10CF0" w:rsidRPr="00F17C5F">
        <w:rPr>
          <w:rFonts w:ascii="Book Antiqua" w:hAnsi="Book Antiqua"/>
          <w:b/>
          <w:i/>
          <w:color w:val="000000" w:themeColor="text1"/>
        </w:rPr>
        <w:t>opulation</w:t>
      </w:r>
      <w:r w:rsidRPr="00F17C5F">
        <w:rPr>
          <w:rFonts w:ascii="Book Antiqua" w:hAnsi="Book Antiqua"/>
          <w:b/>
          <w:i/>
          <w:color w:val="000000" w:themeColor="text1"/>
        </w:rPr>
        <w:t>s</w:t>
      </w:r>
      <w:r w:rsidR="00D10CF0" w:rsidRPr="00F17C5F">
        <w:rPr>
          <w:rFonts w:ascii="Book Antiqua" w:hAnsi="Book Antiqua"/>
          <w:b/>
          <w:i/>
          <w:color w:val="000000" w:themeColor="text1"/>
        </w:rPr>
        <w:t>?</w:t>
      </w:r>
    </w:p>
    <w:p w14:paraId="68CC18A9" w14:textId="1D48DB56" w:rsidR="00EB0C44" w:rsidRPr="00F17C5F" w:rsidRDefault="00926704"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The term “special populations” does not have a uniform definition.</w:t>
      </w:r>
      <w:r w:rsidR="000C28EB" w:rsidRPr="00F17C5F">
        <w:rPr>
          <w:rFonts w:ascii="Book Antiqua" w:hAnsi="Book Antiqua"/>
          <w:color w:val="000000" w:themeColor="text1"/>
        </w:rPr>
        <w:t xml:space="preserve"> </w:t>
      </w:r>
      <w:r w:rsidRPr="00F17C5F">
        <w:rPr>
          <w:rFonts w:ascii="Book Antiqua" w:hAnsi="Book Antiqua"/>
          <w:color w:val="000000" w:themeColor="text1"/>
        </w:rPr>
        <w:t>For example, within the National Institutes of Health (NIH) there is an Office for Special Populations within th</w:t>
      </w:r>
      <w:r w:rsidR="001869BB" w:rsidRPr="00F17C5F">
        <w:rPr>
          <w:rFonts w:ascii="Book Antiqua" w:hAnsi="Book Antiqua"/>
          <w:color w:val="000000" w:themeColor="text1"/>
        </w:rPr>
        <w:t>e National Institute of Mental</w:t>
      </w:r>
      <w:r w:rsidRPr="00F17C5F">
        <w:rPr>
          <w:rFonts w:ascii="Book Antiqua" w:hAnsi="Book Antiqua"/>
          <w:color w:val="000000" w:themeColor="text1"/>
        </w:rPr>
        <w:t xml:space="preserve"> Health</w:t>
      </w:r>
      <w:r w:rsidR="00937A12" w:rsidRPr="00F17C5F">
        <w:rPr>
          <w:rFonts w:ascii="Book Antiqua" w:hAnsi="Book Antiqua"/>
          <w:color w:val="000000" w:themeColor="text1"/>
        </w:rPr>
        <w:t xml:space="preserve"> (http://www.nimh.nih.gov/about/organization/od/office-for-special-populations-osp.shtml)</w:t>
      </w:r>
      <w:r w:rsidRPr="00F17C5F">
        <w:rPr>
          <w:rFonts w:ascii="Book Antiqua" w:hAnsi="Book Antiqua"/>
          <w:color w:val="000000" w:themeColor="text1"/>
        </w:rPr>
        <w:t xml:space="preserve"> that refers to “the mental health needs of women and minority populations.”</w:t>
      </w:r>
      <w:r w:rsidR="000C28EB" w:rsidRPr="00F17C5F">
        <w:rPr>
          <w:rFonts w:ascii="Book Antiqua" w:hAnsi="Book Antiqua"/>
          <w:color w:val="000000" w:themeColor="text1"/>
        </w:rPr>
        <w:t xml:space="preserve"> </w:t>
      </w:r>
      <w:r w:rsidRPr="00F17C5F">
        <w:rPr>
          <w:rFonts w:ascii="Book Antiqua" w:hAnsi="Book Antiqua"/>
          <w:color w:val="000000" w:themeColor="text1"/>
        </w:rPr>
        <w:t>On the other hand, there is an Office of Special Populations within the Na</w:t>
      </w:r>
      <w:r w:rsidR="00937A12" w:rsidRPr="00F17C5F">
        <w:rPr>
          <w:rFonts w:ascii="Book Antiqua" w:hAnsi="Book Antiqua"/>
          <w:color w:val="000000" w:themeColor="text1"/>
        </w:rPr>
        <w:t>tional Institute on Ag</w:t>
      </w:r>
      <w:r w:rsidRPr="00F17C5F">
        <w:rPr>
          <w:rFonts w:ascii="Book Antiqua" w:hAnsi="Book Antiqua"/>
          <w:color w:val="000000" w:themeColor="text1"/>
        </w:rPr>
        <w:t xml:space="preserve">ing </w:t>
      </w:r>
      <w:r w:rsidR="00937A12" w:rsidRPr="00F17C5F">
        <w:rPr>
          <w:rFonts w:ascii="Book Antiqua" w:hAnsi="Book Antiqua"/>
          <w:color w:val="000000" w:themeColor="text1"/>
        </w:rPr>
        <w:t>(http://www.nia.nih.gov/about/offices/office-special-populations) refers to “older women, minorities, and persons with disabilities” and the National Institute on Alcohol Abuse and Alcoholism(http://www.niaaa.nih.gov/alcohol-health/special-populations-co-occurring-disorders)</w:t>
      </w:r>
      <w:r w:rsidR="000C28EB" w:rsidRPr="00F17C5F">
        <w:rPr>
          <w:rFonts w:ascii="Book Antiqua" w:hAnsi="Book Antiqua"/>
          <w:color w:val="000000" w:themeColor="text1"/>
        </w:rPr>
        <w:t xml:space="preserve"> </w:t>
      </w:r>
      <w:r w:rsidR="00937A12" w:rsidRPr="00F17C5F">
        <w:rPr>
          <w:rFonts w:ascii="Book Antiqua" w:hAnsi="Book Antiqua"/>
          <w:color w:val="000000" w:themeColor="text1"/>
        </w:rPr>
        <w:t>that refers to “Special populations are groups who face particular risks from drinking alcohol based on personal characteristics such as age or gender.”</w:t>
      </w:r>
      <w:r w:rsidR="000C28EB" w:rsidRPr="00F17C5F">
        <w:rPr>
          <w:rFonts w:ascii="Book Antiqua" w:hAnsi="Book Antiqua"/>
          <w:color w:val="000000" w:themeColor="text1"/>
        </w:rPr>
        <w:t xml:space="preserve"> </w:t>
      </w:r>
      <w:r w:rsidR="00937A12" w:rsidRPr="00F17C5F">
        <w:rPr>
          <w:rFonts w:ascii="Book Antiqua" w:hAnsi="Book Antiqua"/>
          <w:color w:val="000000" w:themeColor="text1"/>
        </w:rPr>
        <w:t>The overarching theme to these definitions is that they try to focus on the special populations of particular importance to each institute.</w:t>
      </w:r>
      <w:r w:rsidR="000C28EB" w:rsidRPr="00F17C5F">
        <w:rPr>
          <w:rFonts w:ascii="Book Antiqua" w:hAnsi="Book Antiqua"/>
          <w:color w:val="000000" w:themeColor="text1"/>
        </w:rPr>
        <w:t xml:space="preserve"> </w:t>
      </w:r>
      <w:r w:rsidR="00C42A03" w:rsidRPr="00F17C5F">
        <w:rPr>
          <w:rFonts w:ascii="Book Antiqua" w:hAnsi="Book Antiqua"/>
          <w:color w:val="000000" w:themeColor="text1"/>
        </w:rPr>
        <w:t>Along those</w:t>
      </w:r>
      <w:r w:rsidR="006C1E1E" w:rsidRPr="00F17C5F">
        <w:rPr>
          <w:rFonts w:ascii="Book Antiqua" w:hAnsi="Book Antiqua"/>
          <w:color w:val="000000" w:themeColor="text1"/>
        </w:rPr>
        <w:t xml:space="preserve"> lines, </w:t>
      </w:r>
      <w:r w:rsidR="00EB0C44" w:rsidRPr="00F17C5F">
        <w:rPr>
          <w:rFonts w:ascii="Book Antiqua" w:hAnsi="Book Antiqua"/>
          <w:color w:val="000000" w:themeColor="text1"/>
        </w:rPr>
        <w:t>this review is intended to help clinicians design drug regimens for special populations of critically ill patients with extremes of body size, habitus and composition that make drug choice or dosing particularly challenging due to the lack of high-level evidence on which to make well-informed clinical decisions.</w:t>
      </w:r>
    </w:p>
    <w:p w14:paraId="78DAF2CB" w14:textId="77777777" w:rsidR="009E3A46" w:rsidRPr="00F17C5F" w:rsidRDefault="009E3A46" w:rsidP="00F17C5F">
      <w:pPr>
        <w:spacing w:after="0" w:line="360" w:lineRule="auto"/>
        <w:jc w:val="both"/>
        <w:rPr>
          <w:rFonts w:ascii="Book Antiqua" w:hAnsi="Book Antiqua"/>
          <w:color w:val="000000" w:themeColor="text1"/>
          <w:lang w:eastAsia="zh-CN"/>
        </w:rPr>
      </w:pPr>
    </w:p>
    <w:p w14:paraId="02A14911" w14:textId="4B4A92FA" w:rsidR="00321A2C" w:rsidRPr="00F17C5F" w:rsidRDefault="003155A9" w:rsidP="00F17C5F">
      <w:pPr>
        <w:spacing w:after="0" w:line="360" w:lineRule="auto"/>
        <w:jc w:val="both"/>
        <w:rPr>
          <w:rFonts w:ascii="Book Antiqua" w:hAnsi="Book Antiqua"/>
          <w:b/>
          <w:color w:val="000000" w:themeColor="text1"/>
          <w:lang w:eastAsia="zh-CN"/>
        </w:rPr>
      </w:pPr>
      <w:r w:rsidRPr="00F17C5F">
        <w:rPr>
          <w:rFonts w:ascii="Book Antiqua" w:hAnsi="Book Antiqua"/>
          <w:b/>
          <w:color w:val="000000" w:themeColor="text1"/>
          <w:lang w:eastAsia="zh-CN"/>
        </w:rPr>
        <w:t>LITERATURE STUDY</w:t>
      </w:r>
    </w:p>
    <w:p w14:paraId="007CB346" w14:textId="35D59ED2" w:rsidR="00321A2C" w:rsidRPr="00F17C5F" w:rsidRDefault="00321A2C"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 xml:space="preserve">Data </w:t>
      </w:r>
      <w:r w:rsidR="003155A9" w:rsidRPr="00F17C5F">
        <w:rPr>
          <w:rFonts w:ascii="Book Antiqua" w:hAnsi="Book Antiqua"/>
          <w:b/>
          <w:i/>
          <w:color w:val="000000" w:themeColor="text1"/>
        </w:rPr>
        <w:t>sources</w:t>
      </w:r>
    </w:p>
    <w:p w14:paraId="4AF62A58" w14:textId="2EF12169" w:rsidR="001A0A99" w:rsidRPr="00F17C5F" w:rsidRDefault="00321A2C" w:rsidP="00F17C5F">
      <w:pPr>
        <w:spacing w:after="0" w:line="360" w:lineRule="auto"/>
        <w:jc w:val="both"/>
        <w:rPr>
          <w:rFonts w:ascii="Book Antiqua" w:hAnsi="Book Antiqua"/>
          <w:bCs/>
          <w:color w:val="000000" w:themeColor="text1"/>
        </w:rPr>
      </w:pPr>
      <w:r w:rsidRPr="00F17C5F">
        <w:rPr>
          <w:rFonts w:ascii="Book Antiqua" w:hAnsi="Book Antiqua"/>
          <w:color w:val="000000" w:themeColor="text1"/>
        </w:rPr>
        <w:t>Searches of MEDLINE and EMBASE were performed.</w:t>
      </w:r>
      <w:r w:rsidR="000C28EB" w:rsidRPr="00F17C5F">
        <w:rPr>
          <w:rFonts w:ascii="Book Antiqua" w:hAnsi="Book Antiqua"/>
          <w:color w:val="000000" w:themeColor="text1"/>
        </w:rPr>
        <w:t xml:space="preserve"> </w:t>
      </w:r>
      <w:r w:rsidR="00A71566" w:rsidRPr="00F17C5F">
        <w:rPr>
          <w:rFonts w:ascii="Book Antiqua" w:hAnsi="Book Antiqua"/>
          <w:color w:val="000000" w:themeColor="text1"/>
        </w:rPr>
        <w:t>The search strategies were developed in cooperation with a medical librarian with training in the performance of systematic reviews.</w:t>
      </w:r>
      <w:r w:rsidR="000C28EB" w:rsidRPr="00F17C5F">
        <w:rPr>
          <w:rFonts w:ascii="Book Antiqua" w:hAnsi="Book Antiqua"/>
          <w:color w:val="000000" w:themeColor="text1"/>
        </w:rPr>
        <w:t xml:space="preserve"> </w:t>
      </w:r>
      <w:r w:rsidRPr="00F17C5F">
        <w:rPr>
          <w:rFonts w:ascii="Book Antiqua" w:hAnsi="Book Antiqua"/>
          <w:color w:val="000000" w:themeColor="text1"/>
        </w:rPr>
        <w:t xml:space="preserve">The initial search strategy for MEDLINE was: </w:t>
      </w:r>
      <w:r w:rsidRPr="00F17C5F">
        <w:rPr>
          <w:rFonts w:ascii="Book Antiqua" w:hAnsi="Book Antiqua"/>
          <w:bCs/>
          <w:color w:val="000000" w:themeColor="text1"/>
        </w:rPr>
        <w:t>(((((</w:t>
      </w:r>
      <w:r w:rsidR="005F42AF" w:rsidRPr="00F17C5F">
        <w:rPr>
          <w:rFonts w:ascii="Book Antiqua" w:hAnsi="Book Antiqua"/>
          <w:bCs/>
          <w:color w:val="000000" w:themeColor="text1"/>
          <w:lang w:eastAsia="zh-CN"/>
        </w:rPr>
        <w:t>“</w:t>
      </w:r>
      <w:r w:rsidRPr="00F17C5F">
        <w:rPr>
          <w:rFonts w:ascii="Book Antiqua" w:hAnsi="Book Antiqua"/>
          <w:bCs/>
          <w:color w:val="000000" w:themeColor="text1"/>
        </w:rPr>
        <w:t>critical care</w:t>
      </w:r>
      <w:r w:rsidR="005F42AF" w:rsidRPr="00F17C5F">
        <w:rPr>
          <w:rFonts w:ascii="Book Antiqua" w:hAnsi="Book Antiqua"/>
          <w:bCs/>
          <w:color w:val="000000" w:themeColor="text1"/>
          <w:lang w:eastAsia="zh-CN"/>
        </w:rPr>
        <w:t>”</w:t>
      </w:r>
      <w:r w:rsidR="009E3A46" w:rsidRPr="00F17C5F">
        <w:rPr>
          <w:rFonts w:ascii="Book Antiqua" w:hAnsi="Book Antiqua"/>
          <w:bCs/>
          <w:color w:val="000000" w:themeColor="text1"/>
          <w:lang w:eastAsia="zh-CN"/>
        </w:rPr>
        <w:t>(</w:t>
      </w:r>
      <w:r w:rsidRPr="00F17C5F">
        <w:rPr>
          <w:rFonts w:ascii="Book Antiqua" w:hAnsi="Book Antiqua"/>
          <w:bCs/>
          <w:color w:val="000000" w:themeColor="text1"/>
        </w:rPr>
        <w:t>MeSH Major Topic</w:t>
      </w:r>
      <w:r w:rsidR="009E3A46" w:rsidRPr="00F17C5F">
        <w:rPr>
          <w:rFonts w:ascii="Book Antiqua" w:hAnsi="Book Antiqua"/>
          <w:bCs/>
          <w:color w:val="000000" w:themeColor="text1"/>
          <w:lang w:eastAsia="zh-CN"/>
        </w:rPr>
        <w:t>)</w:t>
      </w:r>
      <w:r w:rsidRPr="00F17C5F">
        <w:rPr>
          <w:rFonts w:ascii="Book Antiqua" w:hAnsi="Book Antiqua"/>
          <w:bCs/>
          <w:color w:val="000000" w:themeColor="text1"/>
        </w:rPr>
        <w:t xml:space="preserve"> </w:t>
      </w:r>
      <w:r w:rsidR="009E3A46" w:rsidRPr="00F17C5F">
        <w:rPr>
          <w:rFonts w:ascii="Book Antiqua" w:hAnsi="Book Antiqua"/>
          <w:bCs/>
          <w:color w:val="000000" w:themeColor="text1"/>
        </w:rPr>
        <w:t>or</w:t>
      </w:r>
      <w:r w:rsidRPr="00F17C5F">
        <w:rPr>
          <w:rFonts w:ascii="Book Antiqua" w:hAnsi="Book Antiqua"/>
          <w:bCs/>
          <w:color w:val="000000" w:themeColor="text1"/>
        </w:rPr>
        <w:t xml:space="preserve"> </w:t>
      </w:r>
      <w:r w:rsidR="005F42AF" w:rsidRPr="00F17C5F">
        <w:rPr>
          <w:rFonts w:ascii="Book Antiqua" w:hAnsi="Book Antiqua"/>
          <w:bCs/>
          <w:color w:val="000000" w:themeColor="text1"/>
          <w:lang w:eastAsia="zh-CN"/>
        </w:rPr>
        <w:t>“</w:t>
      </w:r>
      <w:r w:rsidRPr="00F17C5F">
        <w:rPr>
          <w:rFonts w:ascii="Book Antiqua" w:hAnsi="Book Antiqua"/>
          <w:bCs/>
          <w:color w:val="000000" w:themeColor="text1"/>
        </w:rPr>
        <w:t>critically ill patients</w:t>
      </w:r>
      <w:r w:rsidR="005F42AF" w:rsidRPr="00F17C5F">
        <w:rPr>
          <w:rFonts w:ascii="Book Antiqua" w:hAnsi="Book Antiqua"/>
          <w:bCs/>
          <w:color w:val="000000" w:themeColor="text1"/>
          <w:lang w:eastAsia="zh-CN"/>
        </w:rPr>
        <w:t>”</w:t>
      </w:r>
      <w:r w:rsidRPr="00F17C5F">
        <w:rPr>
          <w:rFonts w:ascii="Book Antiqua" w:hAnsi="Book Antiqua"/>
          <w:bCs/>
          <w:color w:val="000000" w:themeColor="text1"/>
        </w:rPr>
        <w:t xml:space="preserve"> </w:t>
      </w:r>
      <w:r w:rsidR="009E3A46" w:rsidRPr="00F17C5F">
        <w:rPr>
          <w:rFonts w:ascii="Book Antiqua" w:hAnsi="Book Antiqua"/>
          <w:bCs/>
          <w:color w:val="000000" w:themeColor="text1"/>
        </w:rPr>
        <w:t>or</w:t>
      </w:r>
      <w:r w:rsidRPr="00F17C5F">
        <w:rPr>
          <w:rFonts w:ascii="Book Antiqua" w:hAnsi="Book Antiqua"/>
          <w:bCs/>
          <w:color w:val="000000" w:themeColor="text1"/>
        </w:rPr>
        <w:t xml:space="preserve"> </w:t>
      </w:r>
      <w:r w:rsidR="005F42AF" w:rsidRPr="00F17C5F">
        <w:rPr>
          <w:rFonts w:ascii="Book Antiqua" w:hAnsi="Book Antiqua"/>
          <w:bCs/>
          <w:color w:val="000000" w:themeColor="text1"/>
          <w:lang w:eastAsia="zh-CN"/>
        </w:rPr>
        <w:t>“</w:t>
      </w:r>
      <w:r w:rsidRPr="00F17C5F">
        <w:rPr>
          <w:rFonts w:ascii="Book Antiqua" w:hAnsi="Book Antiqua"/>
          <w:bCs/>
          <w:color w:val="000000" w:themeColor="text1"/>
        </w:rPr>
        <w:t>critically ill</w:t>
      </w:r>
      <w:r w:rsidR="005F42AF" w:rsidRPr="00F17C5F">
        <w:rPr>
          <w:rFonts w:ascii="Book Antiqua" w:hAnsi="Book Antiqua"/>
          <w:bCs/>
          <w:color w:val="000000" w:themeColor="text1"/>
          <w:lang w:eastAsia="zh-CN"/>
        </w:rPr>
        <w:t>”</w:t>
      </w:r>
      <w:r w:rsidR="009E3A46" w:rsidRPr="00F17C5F">
        <w:rPr>
          <w:rFonts w:ascii="Book Antiqua" w:hAnsi="Book Antiqua"/>
          <w:bCs/>
          <w:color w:val="000000" w:themeColor="text1"/>
        </w:rPr>
        <w:t xml:space="preserve"> or</w:t>
      </w:r>
      <w:r w:rsidRPr="00F17C5F">
        <w:rPr>
          <w:rFonts w:ascii="Book Antiqua" w:hAnsi="Book Antiqua"/>
          <w:bCs/>
          <w:color w:val="000000" w:themeColor="text1"/>
        </w:rPr>
        <w:t xml:space="preserve"> </w:t>
      </w:r>
      <w:r w:rsidR="005F42AF" w:rsidRPr="00F17C5F">
        <w:rPr>
          <w:rFonts w:ascii="Book Antiqua" w:hAnsi="Book Antiqua"/>
          <w:bCs/>
          <w:color w:val="000000" w:themeColor="text1"/>
          <w:lang w:eastAsia="zh-CN"/>
        </w:rPr>
        <w:t>“</w:t>
      </w:r>
      <w:r w:rsidRPr="00F17C5F">
        <w:rPr>
          <w:rFonts w:ascii="Book Antiqua" w:hAnsi="Book Antiqua"/>
          <w:bCs/>
          <w:color w:val="000000" w:themeColor="text1"/>
        </w:rPr>
        <w:t>critical patients</w:t>
      </w:r>
      <w:r w:rsidR="005F42AF" w:rsidRPr="00F17C5F">
        <w:rPr>
          <w:rFonts w:ascii="Book Antiqua" w:hAnsi="Book Antiqua"/>
          <w:bCs/>
          <w:color w:val="000000" w:themeColor="text1"/>
          <w:lang w:eastAsia="zh-CN"/>
        </w:rPr>
        <w:t>”</w:t>
      </w:r>
      <w:r w:rsidRPr="00F17C5F">
        <w:rPr>
          <w:rFonts w:ascii="Book Antiqua" w:hAnsi="Book Antiqua"/>
          <w:bCs/>
          <w:color w:val="000000" w:themeColor="text1"/>
        </w:rPr>
        <w:t xml:space="preserve"> </w:t>
      </w:r>
      <w:r w:rsidR="009E3A46" w:rsidRPr="00F17C5F">
        <w:rPr>
          <w:rFonts w:ascii="Book Antiqua" w:hAnsi="Book Antiqua"/>
          <w:bCs/>
          <w:color w:val="000000" w:themeColor="text1"/>
        </w:rPr>
        <w:t>or</w:t>
      </w:r>
      <w:r w:rsidRPr="00F17C5F">
        <w:rPr>
          <w:rFonts w:ascii="Book Antiqua" w:hAnsi="Book Antiqua"/>
          <w:bCs/>
          <w:color w:val="000000" w:themeColor="text1"/>
        </w:rPr>
        <w:t xml:space="preserve"> </w:t>
      </w:r>
      <w:r w:rsidR="005F42AF" w:rsidRPr="00F17C5F">
        <w:rPr>
          <w:rFonts w:ascii="Book Antiqua" w:hAnsi="Book Antiqua"/>
          <w:bCs/>
          <w:color w:val="000000" w:themeColor="text1"/>
          <w:lang w:eastAsia="zh-CN"/>
        </w:rPr>
        <w:t>“</w:t>
      </w:r>
      <w:r w:rsidRPr="00F17C5F">
        <w:rPr>
          <w:rFonts w:ascii="Book Antiqua" w:hAnsi="Book Antiqua"/>
          <w:bCs/>
          <w:color w:val="000000" w:themeColor="text1"/>
        </w:rPr>
        <w:t>critical patient</w:t>
      </w:r>
      <w:r w:rsidR="005F42AF" w:rsidRPr="00F17C5F">
        <w:rPr>
          <w:rFonts w:ascii="Book Antiqua" w:hAnsi="Book Antiqua"/>
          <w:bCs/>
          <w:color w:val="000000" w:themeColor="text1"/>
          <w:lang w:eastAsia="zh-CN"/>
        </w:rPr>
        <w:t>”</w:t>
      </w:r>
      <w:r w:rsidRPr="00F17C5F">
        <w:rPr>
          <w:rFonts w:ascii="Book Antiqua" w:hAnsi="Book Antiqua"/>
          <w:bCs/>
          <w:color w:val="000000" w:themeColor="text1"/>
        </w:rPr>
        <w:t xml:space="preserve">) </w:t>
      </w:r>
      <w:r w:rsidR="009E3A46" w:rsidRPr="00F17C5F">
        <w:rPr>
          <w:rFonts w:ascii="Book Antiqua" w:hAnsi="Book Antiqua"/>
          <w:bCs/>
          <w:color w:val="000000" w:themeColor="text1"/>
        </w:rPr>
        <w:t>and</w:t>
      </w:r>
      <w:r w:rsidRPr="00F17C5F">
        <w:rPr>
          <w:rFonts w:ascii="Book Antiqua" w:hAnsi="Book Antiqua"/>
          <w:bCs/>
          <w:color w:val="000000" w:themeColor="text1"/>
        </w:rPr>
        <w:t xml:space="preserve"> ((((</w:t>
      </w:r>
      <w:r w:rsidR="005F42AF" w:rsidRPr="00F17C5F">
        <w:rPr>
          <w:rFonts w:ascii="Book Antiqua" w:hAnsi="Book Antiqua"/>
          <w:bCs/>
          <w:color w:val="000000" w:themeColor="text1"/>
          <w:lang w:eastAsia="zh-CN"/>
        </w:rPr>
        <w:t>“</w:t>
      </w:r>
      <w:r w:rsidRPr="00F17C5F">
        <w:rPr>
          <w:rFonts w:ascii="Book Antiqua" w:hAnsi="Book Antiqua"/>
          <w:bCs/>
          <w:color w:val="000000" w:themeColor="text1"/>
        </w:rPr>
        <w:t>physiological phenomena</w:t>
      </w:r>
      <w:r w:rsidR="005F42AF" w:rsidRPr="00F17C5F">
        <w:rPr>
          <w:rFonts w:ascii="Book Antiqua" w:hAnsi="Book Antiqua"/>
          <w:bCs/>
          <w:color w:val="000000" w:themeColor="text1"/>
          <w:lang w:eastAsia="zh-CN"/>
        </w:rPr>
        <w:t>”(</w:t>
      </w:r>
      <w:r w:rsidRPr="00F17C5F">
        <w:rPr>
          <w:rFonts w:ascii="Book Antiqua" w:hAnsi="Book Antiqua"/>
          <w:bCs/>
          <w:color w:val="000000" w:themeColor="text1"/>
        </w:rPr>
        <w:t>MeSH Terms</w:t>
      </w:r>
      <w:r w:rsidR="005F42AF" w:rsidRPr="00F17C5F">
        <w:rPr>
          <w:rFonts w:ascii="Book Antiqua" w:hAnsi="Book Antiqua"/>
          <w:bCs/>
          <w:color w:val="000000" w:themeColor="text1"/>
          <w:lang w:eastAsia="zh-CN"/>
        </w:rPr>
        <w:t>)</w:t>
      </w:r>
      <w:r w:rsidRPr="00F17C5F">
        <w:rPr>
          <w:rFonts w:ascii="Book Antiqua" w:hAnsi="Book Antiqua"/>
          <w:bCs/>
          <w:color w:val="000000" w:themeColor="text1"/>
        </w:rPr>
        <w:t xml:space="preserve">) </w:t>
      </w:r>
      <w:r w:rsidR="009E3A46" w:rsidRPr="00F17C5F">
        <w:rPr>
          <w:rFonts w:ascii="Book Antiqua" w:hAnsi="Book Antiqua"/>
          <w:bCs/>
          <w:color w:val="000000" w:themeColor="text1"/>
        </w:rPr>
        <w:t>or</w:t>
      </w:r>
      <w:r w:rsidR="002B284C" w:rsidRPr="00F17C5F">
        <w:rPr>
          <w:rFonts w:ascii="Book Antiqua" w:hAnsi="Book Antiqua"/>
          <w:bCs/>
          <w:color w:val="000000" w:themeColor="text1"/>
        </w:rPr>
        <w:t xml:space="preserve"> “body composition”</w:t>
      </w:r>
      <w:r w:rsidR="009E3A46" w:rsidRPr="00F17C5F">
        <w:rPr>
          <w:rFonts w:ascii="Book Antiqua" w:hAnsi="Book Antiqua"/>
          <w:bCs/>
          <w:color w:val="000000" w:themeColor="text1"/>
          <w:lang w:eastAsia="zh-CN"/>
        </w:rPr>
        <w:t>(</w:t>
      </w:r>
      <w:r w:rsidRPr="00F17C5F">
        <w:rPr>
          <w:rFonts w:ascii="Book Antiqua" w:hAnsi="Book Antiqua"/>
          <w:bCs/>
          <w:color w:val="000000" w:themeColor="text1"/>
        </w:rPr>
        <w:t>MeSH Terms</w:t>
      </w:r>
      <w:r w:rsidR="000C28EB" w:rsidRPr="00F17C5F">
        <w:rPr>
          <w:rFonts w:ascii="Book Antiqua" w:hAnsi="Book Antiqua"/>
          <w:bCs/>
          <w:color w:val="000000" w:themeColor="text1"/>
          <w:lang w:eastAsia="zh-CN"/>
        </w:rPr>
        <w:t>)</w:t>
      </w:r>
      <w:r w:rsidRPr="00F17C5F">
        <w:rPr>
          <w:rFonts w:ascii="Book Antiqua" w:hAnsi="Book Antiqua"/>
          <w:bCs/>
          <w:color w:val="000000" w:themeColor="text1"/>
        </w:rPr>
        <w:t xml:space="preserve"> </w:t>
      </w:r>
      <w:r w:rsidR="009E3A46" w:rsidRPr="00F17C5F">
        <w:rPr>
          <w:rFonts w:ascii="Book Antiqua" w:hAnsi="Book Antiqua"/>
          <w:bCs/>
          <w:color w:val="000000" w:themeColor="text1"/>
        </w:rPr>
        <w:t>or</w:t>
      </w:r>
      <w:r w:rsidR="002B284C" w:rsidRPr="00F17C5F">
        <w:rPr>
          <w:rFonts w:ascii="Book Antiqua" w:hAnsi="Book Antiqua"/>
          <w:bCs/>
          <w:color w:val="000000" w:themeColor="text1"/>
        </w:rPr>
        <w:t xml:space="preserve"> “body size descriptors”</w:t>
      </w:r>
      <w:r w:rsidRPr="00F17C5F">
        <w:rPr>
          <w:rFonts w:ascii="Book Antiqua" w:hAnsi="Book Antiqua"/>
          <w:bCs/>
          <w:color w:val="000000" w:themeColor="text1"/>
        </w:rPr>
        <w:t xml:space="preserve"> </w:t>
      </w:r>
      <w:r w:rsidR="009E3A46" w:rsidRPr="00F17C5F">
        <w:rPr>
          <w:rFonts w:ascii="Book Antiqua" w:hAnsi="Book Antiqua"/>
          <w:bCs/>
          <w:color w:val="000000" w:themeColor="text1"/>
        </w:rPr>
        <w:t>or</w:t>
      </w:r>
      <w:r w:rsidR="002B284C" w:rsidRPr="00F17C5F">
        <w:rPr>
          <w:rFonts w:ascii="Book Antiqua" w:hAnsi="Book Antiqua"/>
          <w:bCs/>
          <w:color w:val="000000" w:themeColor="text1"/>
        </w:rPr>
        <w:t xml:space="preserve"> “body weight changes”</w:t>
      </w:r>
      <w:r w:rsidRPr="00F17C5F">
        <w:rPr>
          <w:rFonts w:ascii="Book Antiqua" w:hAnsi="Book Antiqua"/>
          <w:bCs/>
          <w:color w:val="000000" w:themeColor="text1"/>
        </w:rPr>
        <w:t xml:space="preserve"> </w:t>
      </w:r>
      <w:r w:rsidR="009E3A46" w:rsidRPr="00F17C5F">
        <w:rPr>
          <w:rFonts w:ascii="Book Antiqua" w:hAnsi="Book Antiqua"/>
          <w:bCs/>
          <w:color w:val="000000" w:themeColor="text1"/>
        </w:rPr>
        <w:t>or</w:t>
      </w:r>
      <w:r w:rsidR="002B284C" w:rsidRPr="00F17C5F">
        <w:rPr>
          <w:rFonts w:ascii="Book Antiqua" w:hAnsi="Book Antiqua"/>
          <w:bCs/>
          <w:color w:val="000000" w:themeColor="text1"/>
        </w:rPr>
        <w:t xml:space="preserve"> “body weight change”</w:t>
      </w:r>
      <w:r w:rsidRPr="00F17C5F">
        <w:rPr>
          <w:rFonts w:ascii="Book Antiqua" w:hAnsi="Book Antiqua"/>
          <w:bCs/>
          <w:color w:val="000000" w:themeColor="text1"/>
        </w:rPr>
        <w:t xml:space="preserve"> </w:t>
      </w:r>
      <w:r w:rsidR="009E3A46" w:rsidRPr="00F17C5F">
        <w:rPr>
          <w:rFonts w:ascii="Book Antiqua" w:hAnsi="Book Antiqua"/>
          <w:bCs/>
          <w:color w:val="000000" w:themeColor="text1"/>
        </w:rPr>
        <w:t>or</w:t>
      </w:r>
      <w:r w:rsidR="002B284C" w:rsidRPr="00F17C5F">
        <w:rPr>
          <w:rFonts w:ascii="Book Antiqua" w:hAnsi="Book Antiqua"/>
          <w:bCs/>
          <w:color w:val="000000" w:themeColor="text1"/>
        </w:rPr>
        <w:t xml:space="preserve"> “body size”</w:t>
      </w:r>
      <w:r w:rsidRPr="00F17C5F">
        <w:rPr>
          <w:rFonts w:ascii="Book Antiqua" w:hAnsi="Book Antiqua"/>
          <w:bCs/>
          <w:color w:val="000000" w:themeColor="text1"/>
        </w:rPr>
        <w:t xml:space="preserve"> </w:t>
      </w:r>
      <w:r w:rsidR="009E3A46" w:rsidRPr="00F17C5F">
        <w:rPr>
          <w:rFonts w:ascii="Book Antiqua" w:hAnsi="Book Antiqua"/>
          <w:bCs/>
          <w:color w:val="000000" w:themeColor="text1"/>
        </w:rPr>
        <w:t>or</w:t>
      </w:r>
      <w:r w:rsidR="002B284C" w:rsidRPr="00F17C5F">
        <w:rPr>
          <w:rFonts w:ascii="Book Antiqua" w:hAnsi="Book Antiqua"/>
          <w:bCs/>
          <w:color w:val="000000" w:themeColor="text1"/>
        </w:rPr>
        <w:t xml:space="preserve"> “body composition”</w:t>
      </w:r>
      <w:r w:rsidRPr="00F17C5F">
        <w:rPr>
          <w:rFonts w:ascii="Book Antiqua" w:hAnsi="Book Antiqua"/>
          <w:bCs/>
          <w:color w:val="000000" w:themeColor="text1"/>
        </w:rPr>
        <w:t xml:space="preserve"> </w:t>
      </w:r>
      <w:r w:rsidR="009E3A46" w:rsidRPr="00F17C5F">
        <w:rPr>
          <w:rFonts w:ascii="Book Antiqua" w:hAnsi="Book Antiqua"/>
          <w:bCs/>
          <w:color w:val="000000" w:themeColor="text1"/>
        </w:rPr>
        <w:t>or</w:t>
      </w:r>
      <w:r w:rsidR="002B284C" w:rsidRPr="00F17C5F">
        <w:rPr>
          <w:rFonts w:ascii="Book Antiqua" w:hAnsi="Book Antiqua"/>
          <w:bCs/>
          <w:color w:val="000000" w:themeColor="text1"/>
        </w:rPr>
        <w:t xml:space="preserve"> “physical body change”</w:t>
      </w:r>
      <w:r w:rsidRPr="00F17C5F">
        <w:rPr>
          <w:rFonts w:ascii="Book Antiqua" w:hAnsi="Book Antiqua"/>
          <w:bCs/>
          <w:color w:val="000000" w:themeColor="text1"/>
        </w:rPr>
        <w:t xml:space="preserve"> </w:t>
      </w:r>
      <w:r w:rsidR="009E3A46" w:rsidRPr="00F17C5F">
        <w:rPr>
          <w:rFonts w:ascii="Book Antiqua" w:hAnsi="Book Antiqua"/>
          <w:bCs/>
          <w:color w:val="000000" w:themeColor="text1"/>
        </w:rPr>
        <w:t xml:space="preserve">or </w:t>
      </w:r>
      <w:r w:rsidR="002B284C" w:rsidRPr="00F17C5F">
        <w:rPr>
          <w:rFonts w:ascii="Book Antiqua" w:hAnsi="Book Antiqua"/>
          <w:bCs/>
          <w:color w:val="000000" w:themeColor="text1"/>
        </w:rPr>
        <w:t>“body change”</w:t>
      </w:r>
      <w:r w:rsidRPr="00F17C5F">
        <w:rPr>
          <w:rFonts w:ascii="Book Antiqua" w:hAnsi="Book Antiqua"/>
          <w:bCs/>
          <w:color w:val="000000" w:themeColor="text1"/>
        </w:rPr>
        <w:t xml:space="preserve">))) </w:t>
      </w:r>
      <w:r w:rsidR="009E3A46" w:rsidRPr="00F17C5F">
        <w:rPr>
          <w:rFonts w:ascii="Book Antiqua" w:hAnsi="Book Antiqua"/>
          <w:bCs/>
          <w:color w:val="000000" w:themeColor="text1"/>
        </w:rPr>
        <w:t>and</w:t>
      </w:r>
      <w:r w:rsidRPr="00F17C5F">
        <w:rPr>
          <w:rFonts w:ascii="Book Antiqua" w:hAnsi="Book Antiqua"/>
          <w:bCs/>
          <w:color w:val="000000" w:themeColor="text1"/>
        </w:rPr>
        <w:t xml:space="preserve"> English</w:t>
      </w:r>
      <w:r w:rsidR="000C28EB" w:rsidRPr="00F17C5F">
        <w:rPr>
          <w:rFonts w:ascii="Book Antiqua" w:hAnsi="Book Antiqua"/>
          <w:bCs/>
          <w:color w:val="000000" w:themeColor="text1"/>
          <w:lang w:eastAsia="zh-CN"/>
        </w:rPr>
        <w:t>(</w:t>
      </w:r>
      <w:r w:rsidRPr="00F17C5F">
        <w:rPr>
          <w:rFonts w:ascii="Book Antiqua" w:hAnsi="Book Antiqua"/>
          <w:bCs/>
          <w:color w:val="000000" w:themeColor="text1"/>
        </w:rPr>
        <w:t>lang</w:t>
      </w:r>
      <w:r w:rsidR="000C28EB" w:rsidRPr="00F17C5F">
        <w:rPr>
          <w:rFonts w:ascii="Book Antiqua" w:hAnsi="Book Antiqua"/>
          <w:bCs/>
          <w:color w:val="000000" w:themeColor="text1"/>
          <w:lang w:eastAsia="zh-CN"/>
        </w:rPr>
        <w:t>)</w:t>
      </w:r>
      <w:r w:rsidRPr="00F17C5F">
        <w:rPr>
          <w:rFonts w:ascii="Book Antiqua" w:hAnsi="Book Antiqua"/>
          <w:bCs/>
          <w:color w:val="000000" w:themeColor="text1"/>
        </w:rPr>
        <w:t>)))).</w:t>
      </w:r>
      <w:r w:rsidR="000C28EB" w:rsidRPr="00F17C5F">
        <w:rPr>
          <w:rFonts w:ascii="Book Antiqua" w:hAnsi="Book Antiqua"/>
          <w:bCs/>
          <w:color w:val="000000" w:themeColor="text1"/>
        </w:rPr>
        <w:t xml:space="preserve"> </w:t>
      </w:r>
      <w:r w:rsidR="001A0A99" w:rsidRPr="00F17C5F">
        <w:rPr>
          <w:rFonts w:ascii="Book Antiqua" w:hAnsi="Book Antiqua"/>
          <w:bCs/>
          <w:color w:val="000000" w:themeColor="text1"/>
        </w:rPr>
        <w:t xml:space="preserve">For EMBASE the initial search strategy was: </w:t>
      </w:r>
      <w:r w:rsidR="001F6175" w:rsidRPr="00F17C5F">
        <w:rPr>
          <w:rFonts w:ascii="Book Antiqua" w:hAnsi="Book Antiqua"/>
          <w:bCs/>
          <w:color w:val="000000" w:themeColor="text1"/>
          <w:lang w:eastAsia="zh-CN"/>
        </w:rPr>
        <w:t>‘</w:t>
      </w:r>
      <w:r w:rsidR="001A0A99" w:rsidRPr="00F17C5F">
        <w:rPr>
          <w:rFonts w:ascii="Book Antiqua" w:hAnsi="Book Antiqua"/>
          <w:bCs/>
          <w:color w:val="000000" w:themeColor="text1"/>
        </w:rPr>
        <w:t>intensive care</w:t>
      </w:r>
      <w:r w:rsidR="001F6175"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/exp </w:t>
      </w:r>
      <w:r w:rsidR="009E3A46" w:rsidRPr="00F17C5F">
        <w:rPr>
          <w:rFonts w:ascii="Book Antiqua" w:hAnsi="Book Antiqua"/>
          <w:bCs/>
          <w:color w:val="000000" w:themeColor="text1"/>
        </w:rPr>
        <w:t xml:space="preserve">or </w:t>
      </w:r>
      <w:r w:rsidR="001F6175" w:rsidRPr="00F17C5F">
        <w:rPr>
          <w:rFonts w:ascii="Book Antiqua" w:hAnsi="Book Antiqua"/>
          <w:bCs/>
          <w:color w:val="000000" w:themeColor="text1"/>
          <w:lang w:eastAsia="zh-CN"/>
        </w:rPr>
        <w:t>‘</w:t>
      </w:r>
      <w:r w:rsidR="001A0A99" w:rsidRPr="00F17C5F">
        <w:rPr>
          <w:rFonts w:ascii="Book Antiqua" w:hAnsi="Book Antiqua"/>
          <w:bCs/>
          <w:color w:val="000000" w:themeColor="text1"/>
        </w:rPr>
        <w:t>critical care</w:t>
      </w:r>
      <w:r w:rsidR="001F6175" w:rsidRPr="00F17C5F">
        <w:rPr>
          <w:rFonts w:ascii="Book Antiqua" w:hAnsi="Book Antiqua"/>
          <w:bCs/>
          <w:color w:val="000000" w:themeColor="text1"/>
          <w:lang w:eastAsia="zh-CN"/>
        </w:rPr>
        <w:t>’</w:t>
      </w:r>
      <w:r w:rsidR="001A0A99" w:rsidRPr="00F17C5F">
        <w:rPr>
          <w:rFonts w:ascii="Book Antiqua" w:hAnsi="Book Antiqua"/>
          <w:bCs/>
          <w:color w:val="000000" w:themeColor="text1"/>
        </w:rPr>
        <w:t>:</w:t>
      </w:r>
      <w:r w:rsidR="001F6175" w:rsidRPr="00F17C5F">
        <w:rPr>
          <w:rFonts w:ascii="Book Antiqua" w:hAnsi="Book Antiqua"/>
          <w:bCs/>
          <w:color w:val="000000" w:themeColor="text1"/>
          <w:lang w:eastAsia="zh-CN"/>
        </w:rPr>
        <w:t xml:space="preserve"> </w:t>
      </w:r>
      <w:r w:rsidR="001A0A99" w:rsidRPr="00F17C5F">
        <w:rPr>
          <w:rFonts w:ascii="Book Antiqua" w:hAnsi="Book Antiqua"/>
          <w:bCs/>
          <w:color w:val="000000" w:themeColor="text1"/>
        </w:rPr>
        <w:t xml:space="preserve">ab,ti </w:t>
      </w:r>
      <w:r w:rsidR="009E3A46" w:rsidRPr="00F17C5F">
        <w:rPr>
          <w:rFonts w:ascii="Book Antiqua" w:hAnsi="Book Antiqua"/>
          <w:bCs/>
          <w:color w:val="000000" w:themeColor="text1"/>
        </w:rPr>
        <w:t>or</w:t>
      </w:r>
      <w:r w:rsidR="001A0A99" w:rsidRPr="00F17C5F">
        <w:rPr>
          <w:rFonts w:ascii="Book Antiqua" w:hAnsi="Book Antiqua"/>
          <w:bCs/>
          <w:color w:val="000000" w:themeColor="text1"/>
        </w:rPr>
        <w:t xml:space="preserve"> </w:t>
      </w:r>
      <w:r w:rsidR="001F6175" w:rsidRPr="00F17C5F">
        <w:rPr>
          <w:rFonts w:ascii="Book Antiqua" w:hAnsi="Book Antiqua"/>
          <w:bCs/>
          <w:color w:val="000000" w:themeColor="text1"/>
          <w:lang w:eastAsia="zh-CN"/>
        </w:rPr>
        <w:t>‘</w:t>
      </w:r>
      <w:r w:rsidR="001A0A99" w:rsidRPr="00F17C5F">
        <w:rPr>
          <w:rFonts w:ascii="Book Antiqua" w:hAnsi="Book Antiqua"/>
          <w:bCs/>
          <w:color w:val="000000" w:themeColor="text1"/>
        </w:rPr>
        <w:t>critically ill patients</w:t>
      </w:r>
      <w:r w:rsidR="001F6175" w:rsidRPr="00F17C5F">
        <w:rPr>
          <w:rFonts w:ascii="Book Antiqua" w:hAnsi="Book Antiqua"/>
          <w:bCs/>
          <w:color w:val="000000" w:themeColor="text1"/>
          <w:lang w:eastAsia="zh-CN"/>
        </w:rPr>
        <w:t>’</w:t>
      </w:r>
      <w:r w:rsidR="001A0A99" w:rsidRPr="00F17C5F">
        <w:rPr>
          <w:rFonts w:ascii="Book Antiqua" w:hAnsi="Book Antiqua"/>
          <w:bCs/>
          <w:color w:val="000000" w:themeColor="text1"/>
        </w:rPr>
        <w:t>:</w:t>
      </w:r>
      <w:r w:rsidR="001F6175" w:rsidRPr="00F17C5F">
        <w:rPr>
          <w:rFonts w:ascii="Book Antiqua" w:hAnsi="Book Antiqua"/>
          <w:bCs/>
          <w:color w:val="000000" w:themeColor="text1"/>
          <w:lang w:eastAsia="zh-CN"/>
        </w:rPr>
        <w:t xml:space="preserve"> </w:t>
      </w:r>
      <w:r w:rsidR="001A0A99" w:rsidRPr="00F17C5F">
        <w:rPr>
          <w:rFonts w:ascii="Book Antiqua" w:hAnsi="Book Antiqua"/>
          <w:bCs/>
          <w:color w:val="000000" w:themeColor="text1"/>
        </w:rPr>
        <w:t xml:space="preserve">ab,ti </w:t>
      </w:r>
      <w:r w:rsidR="005F42AF" w:rsidRPr="00F17C5F">
        <w:rPr>
          <w:rFonts w:ascii="Book Antiqua" w:hAnsi="Book Antiqua"/>
          <w:bCs/>
          <w:color w:val="000000" w:themeColor="text1"/>
        </w:rPr>
        <w:t>or</w:t>
      </w:r>
      <w:r w:rsidR="001A0A99" w:rsidRPr="00F17C5F">
        <w:rPr>
          <w:rFonts w:ascii="Book Antiqua" w:hAnsi="Book Antiqua"/>
          <w:bCs/>
          <w:color w:val="000000" w:themeColor="text1"/>
        </w:rPr>
        <w:t xml:space="preserve"> </w:t>
      </w:r>
      <w:r w:rsidR="001F6175" w:rsidRPr="00F17C5F">
        <w:rPr>
          <w:rFonts w:ascii="Book Antiqua" w:hAnsi="Book Antiqua"/>
          <w:bCs/>
          <w:color w:val="000000" w:themeColor="text1"/>
          <w:lang w:eastAsia="zh-CN"/>
        </w:rPr>
        <w:t>‘</w:t>
      </w:r>
      <w:r w:rsidR="001A0A99" w:rsidRPr="00F17C5F">
        <w:rPr>
          <w:rFonts w:ascii="Book Antiqua" w:hAnsi="Book Antiqua"/>
          <w:bCs/>
          <w:color w:val="000000" w:themeColor="text1"/>
        </w:rPr>
        <w:t>critically ill</w:t>
      </w:r>
      <w:r w:rsidR="001F6175"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:ab,ti </w:t>
      </w:r>
      <w:r w:rsidR="005F42AF" w:rsidRPr="00F17C5F">
        <w:rPr>
          <w:rFonts w:ascii="Book Antiqua" w:hAnsi="Book Antiqua"/>
          <w:bCs/>
          <w:color w:val="000000" w:themeColor="text1"/>
        </w:rPr>
        <w:t>or</w:t>
      </w:r>
      <w:r w:rsidR="0027008F" w:rsidRPr="00F17C5F">
        <w:rPr>
          <w:rFonts w:ascii="Book Antiqua" w:hAnsi="Book Antiqua"/>
          <w:bCs/>
          <w:color w:val="000000" w:themeColor="text1"/>
        </w:rPr>
        <w:t xml:space="preserve"> ‘critical ill’</w:t>
      </w:r>
      <w:r w:rsidR="001A0A99" w:rsidRPr="00F17C5F">
        <w:rPr>
          <w:rFonts w:ascii="Book Antiqua" w:hAnsi="Book Antiqua"/>
          <w:bCs/>
          <w:color w:val="000000" w:themeColor="text1"/>
        </w:rPr>
        <w:t xml:space="preserve">:ab,ti </w:t>
      </w:r>
      <w:r w:rsidR="005F42AF" w:rsidRPr="00F17C5F">
        <w:rPr>
          <w:rFonts w:ascii="Book Antiqua" w:hAnsi="Book Antiqua"/>
          <w:bCs/>
          <w:color w:val="000000" w:themeColor="text1"/>
        </w:rPr>
        <w:t>or</w:t>
      </w:r>
      <w:r w:rsidR="0027008F" w:rsidRPr="00F17C5F">
        <w:rPr>
          <w:rFonts w:ascii="Book Antiqua" w:hAnsi="Book Antiqua"/>
          <w:bCs/>
          <w:color w:val="000000" w:themeColor="text1"/>
        </w:rPr>
        <w:t xml:space="preserve"> ‘critical patient’</w:t>
      </w:r>
      <w:r w:rsidR="001A0A99" w:rsidRPr="00F17C5F">
        <w:rPr>
          <w:rFonts w:ascii="Book Antiqua" w:hAnsi="Book Antiqua"/>
          <w:bCs/>
          <w:color w:val="000000" w:themeColor="text1"/>
        </w:rPr>
        <w:t xml:space="preserve">:ab,ti </w:t>
      </w:r>
      <w:r w:rsidR="005F42AF" w:rsidRPr="00F17C5F">
        <w:rPr>
          <w:rFonts w:ascii="Book Antiqua" w:hAnsi="Book Antiqua"/>
          <w:bCs/>
          <w:color w:val="000000" w:themeColor="text1"/>
        </w:rPr>
        <w:t>and</w:t>
      </w:r>
      <w:r w:rsidR="0027008F" w:rsidRPr="00F17C5F">
        <w:rPr>
          <w:rFonts w:ascii="Book Antiqua" w:hAnsi="Book Antiqua"/>
          <w:bCs/>
          <w:color w:val="000000" w:themeColor="text1"/>
        </w:rPr>
        <w:t xml:space="preserve"> (‘body weight’</w:t>
      </w:r>
      <w:r w:rsidR="001A0A99" w:rsidRPr="00F17C5F">
        <w:rPr>
          <w:rFonts w:ascii="Book Antiqua" w:hAnsi="Book Antiqua"/>
          <w:bCs/>
          <w:color w:val="000000" w:themeColor="text1"/>
        </w:rPr>
        <w:t xml:space="preserve">/exp </w:t>
      </w:r>
      <w:r w:rsidR="005F42AF" w:rsidRPr="00F17C5F">
        <w:rPr>
          <w:rFonts w:ascii="Book Antiqua" w:hAnsi="Book Antiqua"/>
          <w:bCs/>
          <w:color w:val="000000" w:themeColor="text1"/>
        </w:rPr>
        <w:t xml:space="preserve">or </w:t>
      </w:r>
      <w:r w:rsidR="0027008F" w:rsidRPr="00F17C5F">
        <w:rPr>
          <w:rFonts w:ascii="Book Antiqua" w:hAnsi="Book Antiqua"/>
          <w:bCs/>
          <w:color w:val="000000" w:themeColor="text1"/>
        </w:rPr>
        <w:t>‘weight change’</w:t>
      </w:r>
      <w:r w:rsidR="001A0A99" w:rsidRPr="00F17C5F">
        <w:rPr>
          <w:rFonts w:ascii="Book Antiqua" w:hAnsi="Book Antiqua"/>
          <w:bCs/>
          <w:color w:val="000000" w:themeColor="text1"/>
        </w:rPr>
        <w:t xml:space="preserve">/exp </w:t>
      </w:r>
      <w:r w:rsidR="005F42AF" w:rsidRPr="00F17C5F">
        <w:rPr>
          <w:rFonts w:ascii="Book Antiqua" w:hAnsi="Book Antiqua"/>
          <w:bCs/>
          <w:color w:val="000000" w:themeColor="text1"/>
        </w:rPr>
        <w:t>or</w:t>
      </w:r>
      <w:r w:rsidR="0027008F" w:rsidRPr="00F17C5F">
        <w:rPr>
          <w:rFonts w:ascii="Book Antiqua" w:hAnsi="Book Antiqua"/>
          <w:bCs/>
          <w:color w:val="000000" w:themeColor="text1"/>
        </w:rPr>
        <w:t xml:space="preserve"> ‘weight fluctuation’</w:t>
      </w:r>
      <w:r w:rsidR="001A0A99" w:rsidRPr="00F17C5F">
        <w:rPr>
          <w:rFonts w:ascii="Book Antiqua" w:hAnsi="Book Antiqua"/>
          <w:bCs/>
          <w:color w:val="000000" w:themeColor="text1"/>
        </w:rPr>
        <w:t xml:space="preserve">/exp </w:t>
      </w:r>
      <w:r w:rsidR="005F42AF" w:rsidRPr="00F17C5F">
        <w:rPr>
          <w:rFonts w:ascii="Book Antiqua" w:hAnsi="Book Antiqua"/>
          <w:bCs/>
          <w:color w:val="000000" w:themeColor="text1"/>
        </w:rPr>
        <w:t>or</w:t>
      </w:r>
      <w:r w:rsidR="0027008F" w:rsidRPr="00F17C5F">
        <w:rPr>
          <w:rFonts w:ascii="Book Antiqua" w:hAnsi="Book Antiqua"/>
          <w:bCs/>
          <w:color w:val="000000" w:themeColor="text1"/>
        </w:rPr>
        <w:t xml:space="preserve"> ‘weight, mass and size’</w:t>
      </w:r>
      <w:r w:rsidR="001A0A99" w:rsidRPr="00F17C5F">
        <w:rPr>
          <w:rFonts w:ascii="Book Antiqua" w:hAnsi="Book Antiqua"/>
          <w:bCs/>
          <w:color w:val="000000" w:themeColor="text1"/>
        </w:rPr>
        <w:t xml:space="preserve">/exp </w:t>
      </w:r>
      <w:r w:rsidR="005F42AF" w:rsidRPr="00F17C5F">
        <w:rPr>
          <w:rFonts w:ascii="Book Antiqua" w:hAnsi="Book Antiqua"/>
          <w:bCs/>
          <w:color w:val="000000" w:themeColor="text1"/>
        </w:rPr>
        <w:t>or</w:t>
      </w:r>
      <w:r w:rsidR="0027008F" w:rsidRPr="00F17C5F">
        <w:rPr>
          <w:rFonts w:ascii="Book Antiqua" w:hAnsi="Book Antiqua"/>
          <w:bCs/>
          <w:color w:val="000000" w:themeColor="text1"/>
        </w:rPr>
        <w:t xml:space="preserve"> ‘</w:t>
      </w:r>
      <w:r w:rsidR="001A0A99" w:rsidRPr="00F17C5F">
        <w:rPr>
          <w:rFonts w:ascii="Book Antiqua" w:hAnsi="Book Antiqua"/>
          <w:bCs/>
          <w:color w:val="000000" w:themeColor="text1"/>
        </w:rPr>
        <w:t>body comp</w:t>
      </w:r>
      <w:r w:rsidR="0027008F" w:rsidRPr="00F17C5F">
        <w:rPr>
          <w:rFonts w:ascii="Book Antiqua" w:hAnsi="Book Antiqua"/>
          <w:bCs/>
          <w:color w:val="000000" w:themeColor="text1"/>
        </w:rPr>
        <w:t>osition’</w:t>
      </w:r>
      <w:r w:rsidR="001A0A99" w:rsidRPr="00F17C5F">
        <w:rPr>
          <w:rFonts w:ascii="Book Antiqua" w:hAnsi="Book Antiqua"/>
          <w:bCs/>
          <w:color w:val="000000" w:themeColor="text1"/>
        </w:rPr>
        <w:t xml:space="preserve">/exp </w:t>
      </w:r>
      <w:r w:rsidR="005F42AF" w:rsidRPr="00F17C5F">
        <w:rPr>
          <w:rFonts w:ascii="Book Antiqua" w:hAnsi="Book Antiqua"/>
          <w:bCs/>
          <w:color w:val="000000" w:themeColor="text1"/>
        </w:rPr>
        <w:t>or</w:t>
      </w:r>
      <w:r w:rsidR="0027008F" w:rsidRPr="00F17C5F">
        <w:rPr>
          <w:rFonts w:ascii="Book Antiqua" w:hAnsi="Book Antiqua"/>
          <w:bCs/>
          <w:color w:val="000000" w:themeColor="text1"/>
        </w:rPr>
        <w:t xml:space="preserve"> ‘</w:t>
      </w:r>
      <w:r w:rsidR="001A0A99" w:rsidRPr="00F17C5F">
        <w:rPr>
          <w:rFonts w:ascii="Book Antiqua" w:hAnsi="Book Antiqua"/>
          <w:bCs/>
          <w:color w:val="000000" w:themeColor="text1"/>
        </w:rPr>
        <w:t>body weight change</w:t>
      </w:r>
      <w:r w:rsidR="0027008F" w:rsidRPr="00F17C5F">
        <w:rPr>
          <w:rFonts w:ascii="Book Antiqua" w:hAnsi="Book Antiqua"/>
          <w:bCs/>
          <w:color w:val="000000" w:themeColor="text1"/>
        </w:rPr>
        <w:t>’</w:t>
      </w:r>
      <w:r w:rsidR="001A0A99" w:rsidRPr="00F17C5F">
        <w:rPr>
          <w:rFonts w:ascii="Book Antiqua" w:hAnsi="Book Antiqua"/>
          <w:bCs/>
          <w:color w:val="000000" w:themeColor="text1"/>
        </w:rPr>
        <w:t>:ab,</w:t>
      </w:r>
      <w:r w:rsidR="001F6175" w:rsidRPr="00F17C5F">
        <w:rPr>
          <w:rFonts w:ascii="Book Antiqua" w:hAnsi="Book Antiqua"/>
          <w:bCs/>
          <w:color w:val="000000" w:themeColor="text1"/>
          <w:lang w:eastAsia="zh-CN"/>
        </w:rPr>
        <w:t xml:space="preserve"> </w:t>
      </w:r>
      <w:r w:rsidR="001A0A99" w:rsidRPr="00F17C5F">
        <w:rPr>
          <w:rFonts w:ascii="Book Antiqua" w:hAnsi="Book Antiqua"/>
          <w:bCs/>
          <w:color w:val="000000" w:themeColor="text1"/>
        </w:rPr>
        <w:t xml:space="preserve">ti </w:t>
      </w:r>
      <w:r w:rsidR="005F42AF" w:rsidRPr="00F17C5F">
        <w:rPr>
          <w:rFonts w:ascii="Book Antiqua" w:hAnsi="Book Antiqua"/>
          <w:bCs/>
          <w:color w:val="000000" w:themeColor="text1"/>
        </w:rPr>
        <w:t>or</w:t>
      </w:r>
      <w:r w:rsidR="0027008F" w:rsidRPr="00F17C5F">
        <w:rPr>
          <w:rFonts w:ascii="Book Antiqua" w:hAnsi="Book Antiqua"/>
          <w:bCs/>
          <w:color w:val="000000" w:themeColor="text1"/>
        </w:rPr>
        <w:t xml:space="preserve"> ‘body weight changes’</w:t>
      </w:r>
      <w:r w:rsidR="001A0A99" w:rsidRPr="00F17C5F">
        <w:rPr>
          <w:rFonts w:ascii="Book Antiqua" w:hAnsi="Book Antiqua"/>
          <w:bCs/>
          <w:color w:val="000000" w:themeColor="text1"/>
        </w:rPr>
        <w:t xml:space="preserve">:ab,ti </w:t>
      </w:r>
      <w:r w:rsidR="005F42AF" w:rsidRPr="00F17C5F">
        <w:rPr>
          <w:rFonts w:ascii="Book Antiqua" w:hAnsi="Book Antiqua"/>
          <w:bCs/>
          <w:color w:val="000000" w:themeColor="text1"/>
        </w:rPr>
        <w:t>or</w:t>
      </w:r>
      <w:r w:rsidR="0027008F" w:rsidRPr="00F17C5F">
        <w:rPr>
          <w:rFonts w:ascii="Book Antiqua" w:hAnsi="Book Antiqua"/>
          <w:bCs/>
          <w:color w:val="000000" w:themeColor="text1"/>
        </w:rPr>
        <w:t xml:space="preserve"> ‘body size’</w:t>
      </w:r>
      <w:r w:rsidR="001A0A99" w:rsidRPr="00F17C5F">
        <w:rPr>
          <w:rFonts w:ascii="Book Antiqua" w:hAnsi="Book Antiqua"/>
          <w:bCs/>
          <w:color w:val="000000" w:themeColor="text1"/>
        </w:rPr>
        <w:t xml:space="preserve">:ab,ti </w:t>
      </w:r>
      <w:r w:rsidR="005F42AF" w:rsidRPr="00F17C5F">
        <w:rPr>
          <w:rFonts w:ascii="Book Antiqua" w:hAnsi="Book Antiqua"/>
          <w:bCs/>
          <w:color w:val="000000" w:themeColor="text1"/>
        </w:rPr>
        <w:t>or</w:t>
      </w:r>
      <w:r w:rsidR="001A0A99" w:rsidRPr="00F17C5F">
        <w:rPr>
          <w:rFonts w:ascii="Book Antiqua" w:hAnsi="Book Antiqua"/>
          <w:bCs/>
          <w:color w:val="000000" w:themeColor="text1"/>
        </w:rPr>
        <w:t xml:space="preserve"> </w:t>
      </w:r>
      <w:r w:rsidR="0027008F" w:rsidRPr="00F17C5F">
        <w:rPr>
          <w:rFonts w:ascii="Book Antiqua" w:hAnsi="Book Antiqua"/>
          <w:bCs/>
          <w:color w:val="000000" w:themeColor="text1"/>
        </w:rPr>
        <w:t>‘body composition’</w:t>
      </w:r>
      <w:r w:rsidR="001A0A99" w:rsidRPr="00F17C5F">
        <w:rPr>
          <w:rFonts w:ascii="Book Antiqua" w:hAnsi="Book Antiqua"/>
          <w:bCs/>
          <w:color w:val="000000" w:themeColor="text1"/>
        </w:rPr>
        <w:t>:ab,ti</w:t>
      </w:r>
      <w:r w:rsidR="005F42AF" w:rsidRPr="00F17C5F">
        <w:rPr>
          <w:rFonts w:ascii="Book Antiqua" w:hAnsi="Book Antiqua"/>
          <w:bCs/>
          <w:color w:val="000000" w:themeColor="text1"/>
        </w:rPr>
        <w:t xml:space="preserve"> or</w:t>
      </w:r>
      <w:r w:rsidR="0027008F" w:rsidRPr="00F17C5F">
        <w:rPr>
          <w:rFonts w:ascii="Book Antiqua" w:hAnsi="Book Antiqua"/>
          <w:bCs/>
          <w:color w:val="000000" w:themeColor="text1"/>
        </w:rPr>
        <w:t xml:space="preserve"> ‘</w:t>
      </w:r>
      <w:r w:rsidR="001A0A99" w:rsidRPr="00F17C5F">
        <w:rPr>
          <w:rFonts w:ascii="Book Antiqua" w:hAnsi="Book Antiqua"/>
          <w:bCs/>
          <w:color w:val="000000" w:themeColor="text1"/>
        </w:rPr>
        <w:t>physical body change</w:t>
      </w:r>
      <w:r w:rsidR="0027008F" w:rsidRPr="00F17C5F">
        <w:rPr>
          <w:rFonts w:ascii="Book Antiqua" w:hAnsi="Book Antiqua"/>
          <w:bCs/>
          <w:color w:val="000000" w:themeColor="text1"/>
        </w:rPr>
        <w:t>’</w:t>
      </w:r>
      <w:r w:rsidR="001A0A99" w:rsidRPr="00F17C5F">
        <w:rPr>
          <w:rFonts w:ascii="Book Antiqua" w:hAnsi="Book Antiqua"/>
          <w:bCs/>
          <w:color w:val="000000" w:themeColor="text1"/>
        </w:rPr>
        <w:t xml:space="preserve">:ab,ti) </w:t>
      </w:r>
      <w:r w:rsidR="005F42AF" w:rsidRPr="00F17C5F">
        <w:rPr>
          <w:rFonts w:ascii="Book Antiqua" w:hAnsi="Book Antiqua"/>
          <w:bCs/>
          <w:color w:val="000000" w:themeColor="text1"/>
        </w:rPr>
        <w:t>and</w:t>
      </w:r>
      <w:r w:rsidR="001A0A99" w:rsidRPr="00F17C5F">
        <w:rPr>
          <w:rFonts w:ascii="Book Antiqua" w:hAnsi="Book Antiqua"/>
          <w:bCs/>
          <w:color w:val="000000" w:themeColor="text1"/>
        </w:rPr>
        <w:t xml:space="preserve"> </w:t>
      </w:r>
      <w:r w:rsidR="000C28EB" w:rsidRPr="00F17C5F">
        <w:rPr>
          <w:rFonts w:ascii="Book Antiqua" w:hAnsi="Book Antiqua"/>
          <w:bCs/>
          <w:color w:val="000000" w:themeColor="text1"/>
          <w:lang w:eastAsia="zh-CN"/>
        </w:rPr>
        <w:t>(</w:t>
      </w:r>
      <w:r w:rsidR="000C28EB" w:rsidRPr="00F17C5F">
        <w:rPr>
          <w:rFonts w:ascii="Book Antiqua" w:hAnsi="Book Antiqua"/>
          <w:bCs/>
          <w:color w:val="000000" w:themeColor="text1"/>
        </w:rPr>
        <w:t>English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/lim </w:t>
      </w:r>
      <w:r w:rsidR="005F42AF" w:rsidRPr="00F17C5F">
        <w:rPr>
          <w:rFonts w:ascii="Book Antiqua" w:hAnsi="Book Antiqua"/>
          <w:bCs/>
          <w:color w:val="000000" w:themeColor="text1"/>
        </w:rPr>
        <w:t>and</w:t>
      </w:r>
      <w:r w:rsidR="001A0A99" w:rsidRPr="00F17C5F">
        <w:rPr>
          <w:rFonts w:ascii="Book Antiqua" w:hAnsi="Book Antiqua"/>
          <w:bCs/>
          <w:color w:val="000000" w:themeColor="text1"/>
        </w:rPr>
        <w:t xml:space="preserve"> (</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embase</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/lim </w:t>
      </w:r>
      <w:r w:rsidR="005F42AF" w:rsidRPr="00F17C5F">
        <w:rPr>
          <w:rFonts w:ascii="Book Antiqua" w:hAnsi="Book Antiqua"/>
          <w:bCs/>
          <w:color w:val="000000" w:themeColor="text1"/>
        </w:rPr>
        <w:t xml:space="preserve">or </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embase classic</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/lim).</w:t>
      </w:r>
      <w:r w:rsidR="000C28EB" w:rsidRPr="00F17C5F">
        <w:rPr>
          <w:rFonts w:ascii="Book Antiqua" w:hAnsi="Book Antiqua"/>
          <w:bCs/>
          <w:color w:val="000000" w:themeColor="text1"/>
        </w:rPr>
        <w:t xml:space="preserve"> </w:t>
      </w:r>
      <w:r w:rsidR="001A0A99" w:rsidRPr="00F17C5F">
        <w:rPr>
          <w:rFonts w:ascii="Book Antiqua" w:hAnsi="Book Antiqua"/>
          <w:bCs/>
          <w:color w:val="000000" w:themeColor="text1"/>
        </w:rPr>
        <w:t>Subsequent searches were performed looking at more specific special populations</w:t>
      </w:r>
      <w:r w:rsidR="002B284C" w:rsidRPr="00F17C5F">
        <w:rPr>
          <w:rFonts w:ascii="Book Antiqua" w:hAnsi="Book Antiqua"/>
          <w:bCs/>
          <w:color w:val="000000" w:themeColor="text1"/>
        </w:rPr>
        <w:t>.</w:t>
      </w:r>
      <w:r w:rsidR="000C28EB" w:rsidRPr="00F17C5F">
        <w:rPr>
          <w:rFonts w:ascii="Book Antiqua" w:hAnsi="Book Antiqua"/>
          <w:bCs/>
          <w:color w:val="000000" w:themeColor="text1"/>
        </w:rPr>
        <w:t xml:space="preserve"> </w:t>
      </w:r>
      <w:r w:rsidR="002B284C" w:rsidRPr="00F17C5F">
        <w:rPr>
          <w:rFonts w:ascii="Book Antiqua" w:hAnsi="Book Antiqua"/>
          <w:bCs/>
          <w:color w:val="000000" w:themeColor="text1"/>
        </w:rPr>
        <w:t>For example for MEDLINE: (((“critical care”</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 Terms</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“critically ill patients”</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“critically ill”</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“critical patients”</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“critical patient”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and </w:t>
      </w:r>
      <w:r w:rsidR="002B284C" w:rsidRPr="00F17C5F">
        <w:rPr>
          <w:rFonts w:ascii="Book Antiqua" w:hAnsi="Book Antiqua"/>
          <w:bCs/>
          <w:color w:val="000000" w:themeColor="text1"/>
        </w:rPr>
        <w:t>(“body composition”</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 Terms</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w:t>
      </w:r>
      <w:r w:rsidR="001A0A99" w:rsidRPr="00F17C5F">
        <w:rPr>
          <w:rFonts w:ascii="Book Antiqua" w:hAnsi="Book Antiqua"/>
          <w:bCs/>
          <w:color w:val="000000" w:themeColor="text1"/>
        </w:rPr>
        <w:t>body size descriptor</w:t>
      </w:r>
      <w:r w:rsidR="002B284C" w:rsidRPr="00F17C5F">
        <w:rPr>
          <w:rFonts w:ascii="Book Antiqua" w:hAnsi="Book Antiqua"/>
          <w:bCs/>
          <w:color w:val="000000" w:themeColor="text1"/>
        </w:rPr>
        <w:t>s”</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“body weight changes”</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“body weight change”</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“body size”</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“body composition”</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“physical body change”</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“body change”</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“Overweight”</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“Obesity”</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w:t>
      </w:r>
      <w:r w:rsidR="001A0A99" w:rsidRPr="00F17C5F">
        <w:rPr>
          <w:rFonts w:ascii="Book Antiqua" w:hAnsi="Book Antiqua"/>
          <w:bCs/>
          <w:color w:val="000000" w:themeColor="text1"/>
        </w:rPr>
        <w:t>overweight</w:t>
      </w:r>
      <w:r w:rsidR="002B284C" w:rsidRPr="00F17C5F">
        <w:rPr>
          <w:rFonts w:ascii="Book Antiqua" w:hAnsi="Book Antiqua"/>
          <w:bCs/>
          <w:color w:val="000000" w:themeColor="text1"/>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“obese”</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“obesity”</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“Thinness”</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“underweight’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w:t>
      </w:r>
      <w:r w:rsidR="001A0A99" w:rsidRPr="00F17C5F">
        <w:rPr>
          <w:rFonts w:ascii="Book Antiqua" w:hAnsi="Book Antiqua"/>
          <w:bCs/>
          <w:color w:val="000000" w:themeColor="text1"/>
        </w:rPr>
        <w:t>Am</w:t>
      </w:r>
      <w:r w:rsidR="002B284C" w:rsidRPr="00F17C5F">
        <w:rPr>
          <w:rFonts w:ascii="Book Antiqua" w:hAnsi="Book Antiqua"/>
          <w:bCs/>
          <w:color w:val="000000" w:themeColor="text1"/>
        </w:rPr>
        <w:t>putation Stumps”</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“short limbs”</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“missing limbs”</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“Pregnant Women”</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“Pregnancy”</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“pregnant patients”</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“pregnant women”</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w:t>
      </w:r>
      <w:r w:rsidR="001A0A99" w:rsidRPr="00F17C5F">
        <w:rPr>
          <w:rFonts w:ascii="Book Antiqua" w:hAnsi="Book Antiqua"/>
          <w:bCs/>
          <w:color w:val="000000" w:themeColor="text1"/>
        </w:rPr>
        <w:t>Extr</w:t>
      </w:r>
      <w:r w:rsidR="002B284C" w:rsidRPr="00F17C5F">
        <w:rPr>
          <w:rFonts w:ascii="Book Antiqua" w:hAnsi="Book Antiqua"/>
          <w:bCs/>
          <w:color w:val="000000" w:themeColor="text1"/>
        </w:rPr>
        <w:t>acorporeal Membrane Oxygenation”</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“Plasma Exchange”</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and </w:t>
      </w:r>
      <w:r w:rsidR="002B284C" w:rsidRPr="00F17C5F">
        <w:rPr>
          <w:rFonts w:ascii="Book Antiqua" w:hAnsi="Book Antiqua"/>
          <w:bCs/>
          <w:color w:val="000000" w:themeColor="text1"/>
        </w:rPr>
        <w:t>(“Treatment Outcome”</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“Pharmaceutical Preparations”</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“medication regimen”</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“medication regimens”</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“Patient Care Planning”</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“Patient Care Management”</w:t>
      </w:r>
      <w:r w:rsidR="001838CC"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1838CC"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“Therapeutics”</w:t>
      </w:r>
      <w:r w:rsidR="001838CC"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1838CC"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“Drug Therapy”</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r w:rsidR="005F42AF" w:rsidRPr="00F17C5F">
        <w:rPr>
          <w:rFonts w:ascii="Book Antiqua" w:hAnsi="Book Antiqua"/>
          <w:bCs/>
          <w:color w:val="000000" w:themeColor="text1"/>
        </w:rPr>
        <w:t xml:space="preserve">or </w:t>
      </w:r>
      <w:r w:rsidR="002B284C" w:rsidRPr="00F17C5F">
        <w:rPr>
          <w:rFonts w:ascii="Book Antiqua" w:hAnsi="Book Antiqua"/>
          <w:bCs/>
          <w:color w:val="000000" w:themeColor="text1"/>
        </w:rPr>
        <w:t>“Drug Delivery Systems”</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Mesh</w:t>
      </w:r>
      <w:r w:rsidR="000C28EB" w:rsidRPr="00F17C5F">
        <w:rPr>
          <w:rFonts w:ascii="Book Antiqua" w:hAnsi="Book Antiqua"/>
          <w:bCs/>
          <w:color w:val="000000" w:themeColor="text1"/>
          <w:lang w:eastAsia="zh-CN"/>
        </w:rPr>
        <w:t>)</w:t>
      </w:r>
      <w:r w:rsidR="001A0A99" w:rsidRPr="00F17C5F">
        <w:rPr>
          <w:rFonts w:ascii="Book Antiqua" w:hAnsi="Book Antiqua"/>
          <w:bCs/>
          <w:color w:val="000000" w:themeColor="text1"/>
        </w:rPr>
        <w:t xml:space="preserve">)). </w:t>
      </w:r>
    </w:p>
    <w:p w14:paraId="7DA99349" w14:textId="77777777" w:rsidR="000C28EB" w:rsidRPr="00F17C5F" w:rsidRDefault="000C28EB" w:rsidP="00F17C5F">
      <w:pPr>
        <w:spacing w:after="0" w:line="360" w:lineRule="auto"/>
        <w:jc w:val="both"/>
        <w:rPr>
          <w:rFonts w:ascii="Book Antiqua" w:hAnsi="Book Antiqua"/>
          <w:b/>
          <w:bCs/>
          <w:i/>
          <w:color w:val="000000" w:themeColor="text1"/>
          <w:lang w:eastAsia="zh-CN"/>
        </w:rPr>
      </w:pPr>
    </w:p>
    <w:p w14:paraId="60C35F5B" w14:textId="3B531CAF" w:rsidR="001A0A99" w:rsidRPr="00F17C5F" w:rsidRDefault="001A0A99" w:rsidP="00F17C5F">
      <w:pPr>
        <w:spacing w:after="0" w:line="360" w:lineRule="auto"/>
        <w:jc w:val="both"/>
        <w:rPr>
          <w:rFonts w:ascii="Book Antiqua" w:hAnsi="Book Antiqua"/>
          <w:b/>
          <w:bCs/>
          <w:i/>
          <w:color w:val="000000" w:themeColor="text1"/>
        </w:rPr>
      </w:pPr>
      <w:r w:rsidRPr="00F17C5F">
        <w:rPr>
          <w:rFonts w:ascii="Book Antiqua" w:hAnsi="Book Antiqua"/>
          <w:b/>
          <w:bCs/>
          <w:i/>
          <w:color w:val="000000" w:themeColor="text1"/>
        </w:rPr>
        <w:t xml:space="preserve">Study </w:t>
      </w:r>
      <w:r w:rsidR="001E1B6F" w:rsidRPr="00F17C5F">
        <w:rPr>
          <w:rFonts w:ascii="Book Antiqua" w:hAnsi="Book Antiqua"/>
          <w:b/>
          <w:bCs/>
          <w:i/>
          <w:color w:val="000000" w:themeColor="text1"/>
        </w:rPr>
        <w:t>selection</w:t>
      </w:r>
    </w:p>
    <w:p w14:paraId="422E1AA6" w14:textId="11DC82B2" w:rsidR="00321A2C" w:rsidRPr="00F17C5F" w:rsidRDefault="001A0A99" w:rsidP="00F17C5F">
      <w:pPr>
        <w:spacing w:after="0" w:line="360" w:lineRule="auto"/>
        <w:jc w:val="both"/>
        <w:rPr>
          <w:rFonts w:ascii="Book Antiqua" w:hAnsi="Book Antiqua"/>
          <w:bCs/>
          <w:color w:val="000000" w:themeColor="text1"/>
        </w:rPr>
      </w:pPr>
      <w:r w:rsidRPr="00F17C5F">
        <w:rPr>
          <w:rFonts w:ascii="Book Antiqua" w:hAnsi="Book Antiqua"/>
          <w:bCs/>
          <w:color w:val="000000" w:themeColor="text1"/>
        </w:rPr>
        <w:t xml:space="preserve"> Abstracts of original research investigations and review papers were reviewed for their relevance to drug choice or dosing in the following special critically ill populations: patients with more severe forms of bodyweight or height, patients with amputations or missing limbs, pregnant patients, and patients undergoing extracorporeal membrane oxygenation (ECMO) or plasma exchange.</w:t>
      </w:r>
      <w:r w:rsidR="000C28EB" w:rsidRPr="00F17C5F">
        <w:rPr>
          <w:rFonts w:ascii="Book Antiqua" w:hAnsi="Book Antiqua"/>
          <w:bCs/>
          <w:color w:val="000000" w:themeColor="text1"/>
        </w:rPr>
        <w:t xml:space="preserve"> </w:t>
      </w:r>
      <w:r w:rsidRPr="00F17C5F">
        <w:rPr>
          <w:rFonts w:ascii="Book Antiqua" w:hAnsi="Book Antiqua"/>
          <w:bCs/>
          <w:color w:val="000000" w:themeColor="text1"/>
        </w:rPr>
        <w:t xml:space="preserve">Relevant papers were retrieved and evaluated, and their associated reference lists were reviewed for citations that may have been missed through the electronic search strategy. </w:t>
      </w:r>
    </w:p>
    <w:p w14:paraId="6D845AF1" w14:textId="77777777" w:rsidR="000C28EB" w:rsidRPr="00F17C5F" w:rsidRDefault="000C28EB" w:rsidP="00F17C5F">
      <w:pPr>
        <w:spacing w:after="0" w:line="360" w:lineRule="auto"/>
        <w:jc w:val="both"/>
        <w:rPr>
          <w:rFonts w:ascii="Book Antiqua" w:hAnsi="Book Antiqua"/>
          <w:b/>
          <w:bCs/>
          <w:i/>
          <w:color w:val="000000" w:themeColor="text1"/>
          <w:lang w:eastAsia="zh-CN"/>
        </w:rPr>
      </w:pPr>
    </w:p>
    <w:p w14:paraId="7DC11E0E" w14:textId="604A6517" w:rsidR="001A0A99" w:rsidRPr="00F17C5F" w:rsidRDefault="001A0A99" w:rsidP="00F17C5F">
      <w:pPr>
        <w:spacing w:after="0" w:line="360" w:lineRule="auto"/>
        <w:jc w:val="both"/>
        <w:rPr>
          <w:rFonts w:ascii="Book Antiqua" w:hAnsi="Book Antiqua"/>
          <w:b/>
          <w:bCs/>
          <w:i/>
          <w:color w:val="000000" w:themeColor="text1"/>
        </w:rPr>
      </w:pPr>
      <w:r w:rsidRPr="00F17C5F">
        <w:rPr>
          <w:rFonts w:ascii="Book Antiqua" w:hAnsi="Book Antiqua"/>
          <w:b/>
          <w:bCs/>
          <w:i/>
          <w:color w:val="000000" w:themeColor="text1"/>
        </w:rPr>
        <w:t xml:space="preserve">Data </w:t>
      </w:r>
      <w:r w:rsidR="003155A9" w:rsidRPr="00F17C5F">
        <w:rPr>
          <w:rFonts w:ascii="Book Antiqua" w:hAnsi="Book Antiqua"/>
          <w:b/>
          <w:bCs/>
          <w:i/>
          <w:color w:val="000000" w:themeColor="text1"/>
        </w:rPr>
        <w:t>extraction</w:t>
      </w:r>
    </w:p>
    <w:p w14:paraId="74AAF16C" w14:textId="200710E6" w:rsidR="00F066F6" w:rsidRPr="00F17C5F" w:rsidRDefault="001A0A99"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Relevant original research investigations and review papers that could be used to formulate general principles for drug choice or dosing in special populations of critically ill patients.</w:t>
      </w:r>
      <w:r w:rsidR="000C28EB" w:rsidRPr="00F17C5F">
        <w:rPr>
          <w:rFonts w:ascii="Book Antiqua" w:hAnsi="Book Antiqua"/>
          <w:color w:val="000000" w:themeColor="text1"/>
        </w:rPr>
        <w:t xml:space="preserve"> </w:t>
      </w:r>
    </w:p>
    <w:p w14:paraId="09A1C052" w14:textId="77777777" w:rsidR="000C28EB" w:rsidRPr="00F17C5F" w:rsidRDefault="000C28EB" w:rsidP="00F17C5F">
      <w:pPr>
        <w:spacing w:after="0" w:line="360" w:lineRule="auto"/>
        <w:jc w:val="both"/>
        <w:rPr>
          <w:rFonts w:ascii="Book Antiqua" w:hAnsi="Book Antiqua"/>
          <w:b/>
          <w:i/>
          <w:color w:val="000000" w:themeColor="text1"/>
          <w:lang w:eastAsia="zh-CN"/>
        </w:rPr>
      </w:pPr>
    </w:p>
    <w:p w14:paraId="5CFCC3A1" w14:textId="616BBC07" w:rsidR="001A0A99" w:rsidRPr="00F17C5F" w:rsidRDefault="00AE32E3"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Data</w:t>
      </w:r>
      <w:r w:rsidR="003155A9" w:rsidRPr="00F17C5F">
        <w:rPr>
          <w:rFonts w:ascii="Book Antiqua" w:hAnsi="Book Antiqua"/>
          <w:b/>
          <w:i/>
          <w:color w:val="000000" w:themeColor="text1"/>
        </w:rPr>
        <w:t xml:space="preserve"> synthesis and analysis</w:t>
      </w:r>
    </w:p>
    <w:p w14:paraId="67E9DA04" w14:textId="3006E62A" w:rsidR="00F066F6" w:rsidRPr="00F17C5F" w:rsidRDefault="00F066F6"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Randomized studies with clinically relevant endpoints were not available for performing quantitative analyses</w:t>
      </w:r>
      <w:r w:rsidR="00772E20" w:rsidRPr="00F17C5F">
        <w:rPr>
          <w:rFonts w:ascii="Book Antiqua" w:hAnsi="Book Antiqua"/>
          <w:color w:val="000000" w:themeColor="text1"/>
        </w:rPr>
        <w:t xml:space="preserve"> (Table 1)</w:t>
      </w:r>
      <w:r w:rsidRPr="00F17C5F">
        <w:rPr>
          <w:rFonts w:ascii="Book Antiqua" w:hAnsi="Book Antiqua"/>
          <w:color w:val="000000" w:themeColor="text1"/>
        </w:rPr>
        <w:t>.</w:t>
      </w:r>
      <w:r w:rsidR="000C28EB" w:rsidRPr="00F17C5F">
        <w:rPr>
          <w:rFonts w:ascii="Book Antiqua" w:hAnsi="Book Antiqua"/>
          <w:color w:val="000000" w:themeColor="text1"/>
        </w:rPr>
        <w:t xml:space="preserve"> </w:t>
      </w:r>
      <w:r w:rsidRPr="00F17C5F">
        <w:rPr>
          <w:rFonts w:ascii="Book Antiqua" w:hAnsi="Book Antiqua"/>
          <w:color w:val="000000" w:themeColor="text1"/>
        </w:rPr>
        <w:t xml:space="preserve">For this reason, </w:t>
      </w:r>
      <w:r w:rsidR="007351F2" w:rsidRPr="00F17C5F">
        <w:rPr>
          <w:rFonts w:ascii="Book Antiqua" w:hAnsi="Book Antiqua"/>
          <w:color w:val="000000" w:themeColor="text1"/>
        </w:rPr>
        <w:t xml:space="preserve">it was decided to focus this review </w:t>
      </w:r>
      <w:r w:rsidRPr="00F17C5F">
        <w:rPr>
          <w:rFonts w:ascii="Book Antiqua" w:hAnsi="Book Antiqua"/>
          <w:color w:val="000000" w:themeColor="text1"/>
        </w:rPr>
        <w:t>on general principles related to drug choice or dosing in special populations of critically ill patients, rather than trying to provide specific dosing recommendations for every medication that m</w:t>
      </w:r>
      <w:r w:rsidR="00AD1633" w:rsidRPr="00F17C5F">
        <w:rPr>
          <w:rFonts w:ascii="Book Antiqua" w:hAnsi="Book Antiqua"/>
          <w:color w:val="000000" w:themeColor="text1"/>
        </w:rPr>
        <w:t xml:space="preserve">ight be used in the </w:t>
      </w:r>
      <w:r w:rsidR="001838CC" w:rsidRPr="00F17C5F">
        <w:rPr>
          <w:rFonts w:ascii="Book Antiqua" w:hAnsi="Book Antiqua"/>
          <w:color w:val="000000" w:themeColor="text1"/>
        </w:rPr>
        <w:t>intensive care units</w:t>
      </w:r>
      <w:r w:rsidR="00AD1633" w:rsidRPr="00F17C5F">
        <w:rPr>
          <w:rFonts w:ascii="Book Antiqua" w:hAnsi="Book Antiqua"/>
          <w:color w:val="000000" w:themeColor="text1"/>
        </w:rPr>
        <w:t xml:space="preserve"> </w:t>
      </w:r>
      <w:r w:rsidR="001838CC" w:rsidRPr="00F17C5F">
        <w:rPr>
          <w:rFonts w:ascii="Book Antiqua" w:hAnsi="Book Antiqua"/>
          <w:color w:val="000000" w:themeColor="text1"/>
          <w:lang w:eastAsia="zh-CN"/>
        </w:rPr>
        <w:t xml:space="preserve">(ICU) </w:t>
      </w:r>
      <w:r w:rsidR="00AD1633" w:rsidRPr="00F17C5F">
        <w:rPr>
          <w:rFonts w:ascii="Book Antiqua" w:hAnsi="Book Antiqua"/>
          <w:color w:val="000000" w:themeColor="text1"/>
        </w:rPr>
        <w:t>setting</w:t>
      </w:r>
      <w:r w:rsidR="00AD1633" w:rsidRPr="00F17C5F">
        <w:rPr>
          <w:rFonts w:ascii="Book Antiqua" w:hAnsi="Book Antiqua"/>
          <w:color w:val="000000" w:themeColor="text1"/>
          <w:vertAlign w:val="superscript"/>
          <w:lang w:eastAsia="zh-CN"/>
        </w:rPr>
        <w:t>[</w:t>
      </w:r>
      <w:r w:rsidRPr="00F17C5F">
        <w:rPr>
          <w:rFonts w:ascii="Book Antiqua" w:hAnsi="Book Antiqua"/>
          <w:color w:val="000000" w:themeColor="text1"/>
          <w:vertAlign w:val="superscript"/>
        </w:rPr>
        <w:t>1</w:t>
      </w:r>
      <w:r w:rsidR="00AD1633" w:rsidRPr="00F17C5F">
        <w:rPr>
          <w:rFonts w:ascii="Book Antiqua" w:hAnsi="Book Antiqua"/>
          <w:color w:val="000000" w:themeColor="text1"/>
          <w:vertAlign w:val="superscript"/>
          <w:lang w:eastAsia="zh-CN"/>
        </w:rPr>
        <w:t>]</w:t>
      </w:r>
      <w:r w:rsidR="005F42AF" w:rsidRPr="00F17C5F">
        <w:rPr>
          <w:rFonts w:ascii="Book Antiqua" w:hAnsi="Book Antiqua"/>
          <w:color w:val="000000" w:themeColor="text1"/>
          <w:lang w:eastAsia="zh-CN"/>
        </w:rPr>
        <w:t>.</w:t>
      </w:r>
      <w:r w:rsidRPr="00F17C5F">
        <w:rPr>
          <w:rFonts w:ascii="Book Antiqua" w:hAnsi="Book Antiqua"/>
          <w:color w:val="000000" w:themeColor="text1"/>
        </w:rPr>
        <w:t xml:space="preserve"> Selected medications will be discussed to provide examples of dosing issues, but most of the references will list review articles and guidelines of particular relevance to the special population under consideration.</w:t>
      </w:r>
      <w:r w:rsidR="000C28EB" w:rsidRPr="00F17C5F">
        <w:rPr>
          <w:rFonts w:ascii="Book Antiqua" w:hAnsi="Book Antiqua"/>
          <w:color w:val="000000" w:themeColor="text1"/>
        </w:rPr>
        <w:t xml:space="preserve"> </w:t>
      </w:r>
      <w:r w:rsidRPr="00F17C5F">
        <w:rPr>
          <w:rFonts w:ascii="Book Antiqua" w:hAnsi="Book Antiqua"/>
          <w:color w:val="000000" w:themeColor="text1"/>
        </w:rPr>
        <w:t>Recommendations that are provided are done so under the assumption that there are no concomitant therapies or co-morbidities that would alter the parameter of interest.</w:t>
      </w:r>
      <w:r w:rsidR="000C28EB" w:rsidRPr="00F17C5F">
        <w:rPr>
          <w:rFonts w:ascii="Book Antiqua" w:hAnsi="Book Antiqua"/>
          <w:color w:val="000000" w:themeColor="text1"/>
        </w:rPr>
        <w:t xml:space="preserve"> </w:t>
      </w:r>
      <w:r w:rsidRPr="00F17C5F">
        <w:rPr>
          <w:rFonts w:ascii="Book Antiqua" w:hAnsi="Book Antiqua"/>
          <w:color w:val="000000" w:themeColor="text1"/>
        </w:rPr>
        <w:t>It is also presumed that additional expertise, such as that of a clinical pharmacist, will be sought when dealing with these difficult therapeutic decisions.</w:t>
      </w:r>
    </w:p>
    <w:p w14:paraId="115DC630" w14:textId="6966C390" w:rsidR="00E713E9" w:rsidRPr="00F17C5F" w:rsidRDefault="007351F2" w:rsidP="00F17C5F">
      <w:pPr>
        <w:spacing w:after="0" w:line="360" w:lineRule="auto"/>
        <w:ind w:firstLineChars="200" w:firstLine="480"/>
        <w:jc w:val="both"/>
        <w:rPr>
          <w:rFonts w:ascii="Book Antiqua" w:hAnsi="Book Antiqua"/>
          <w:color w:val="000000" w:themeColor="text1"/>
        </w:rPr>
      </w:pPr>
      <w:r w:rsidRPr="00F17C5F">
        <w:rPr>
          <w:rFonts w:ascii="Book Antiqua" w:hAnsi="Book Antiqua"/>
          <w:color w:val="000000" w:themeColor="text1"/>
        </w:rPr>
        <w:t xml:space="preserve">This paper will be divided into 2 parts beginning </w:t>
      </w:r>
      <w:r w:rsidR="005D4A78" w:rsidRPr="00F17C5F">
        <w:rPr>
          <w:rFonts w:ascii="Book Antiqua" w:hAnsi="Book Antiqua"/>
          <w:color w:val="000000" w:themeColor="text1"/>
        </w:rPr>
        <w:t xml:space="preserve">in Part 1 </w:t>
      </w:r>
      <w:r w:rsidRPr="00F17C5F">
        <w:rPr>
          <w:rFonts w:ascii="Book Antiqua" w:hAnsi="Book Antiqua"/>
          <w:color w:val="000000" w:themeColor="text1"/>
        </w:rPr>
        <w:t>w</w:t>
      </w:r>
      <w:r w:rsidR="00E713E9" w:rsidRPr="00F17C5F">
        <w:rPr>
          <w:rFonts w:ascii="Book Antiqua" w:hAnsi="Book Antiqua"/>
          <w:color w:val="000000" w:themeColor="text1"/>
        </w:rPr>
        <w:t>ith an overview of</w:t>
      </w:r>
      <w:r w:rsidR="007F6C59" w:rsidRPr="00F17C5F">
        <w:rPr>
          <w:rFonts w:ascii="Book Antiqua" w:hAnsi="Book Antiqua"/>
          <w:color w:val="000000" w:themeColor="text1"/>
        </w:rPr>
        <w:t xml:space="preserve"> body composition and how various size descriptors such as body weight that are used for drug dosing reflect changes in body composition</w:t>
      </w:r>
      <w:r w:rsidR="00E713E9"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7F6C59" w:rsidRPr="00F17C5F">
        <w:rPr>
          <w:rFonts w:ascii="Book Antiqua" w:hAnsi="Book Antiqua"/>
          <w:color w:val="000000" w:themeColor="text1"/>
        </w:rPr>
        <w:t>The remaining sections of Part 1 deal with p</w:t>
      </w:r>
      <w:r w:rsidR="005D4A78" w:rsidRPr="00F17C5F">
        <w:rPr>
          <w:rFonts w:ascii="Book Antiqua" w:hAnsi="Book Antiqua"/>
          <w:color w:val="000000" w:themeColor="text1"/>
        </w:rPr>
        <w:t>harmacokinetic</w:t>
      </w:r>
      <w:r w:rsidR="007F6C59" w:rsidRPr="00F17C5F">
        <w:rPr>
          <w:rFonts w:ascii="Book Antiqua" w:hAnsi="Book Antiqua"/>
          <w:color w:val="000000" w:themeColor="text1"/>
        </w:rPr>
        <w:t xml:space="preserve"> and </w:t>
      </w:r>
      <w:r w:rsidR="00E713E9" w:rsidRPr="00F17C5F">
        <w:rPr>
          <w:rFonts w:ascii="Book Antiqua" w:hAnsi="Book Antiqua"/>
          <w:color w:val="000000" w:themeColor="text1"/>
        </w:rPr>
        <w:t>therapeutic drug monitor</w:t>
      </w:r>
      <w:r w:rsidR="007F6C59" w:rsidRPr="00F17C5F">
        <w:rPr>
          <w:rFonts w:ascii="Book Antiqua" w:hAnsi="Book Antiqua"/>
          <w:color w:val="000000" w:themeColor="text1"/>
        </w:rPr>
        <w:t>ing</w:t>
      </w:r>
      <w:r w:rsidR="005D4A78" w:rsidRPr="00F17C5F">
        <w:rPr>
          <w:rFonts w:ascii="Book Antiqua" w:hAnsi="Book Antiqua"/>
          <w:color w:val="000000" w:themeColor="text1"/>
        </w:rPr>
        <w:t xml:space="preserve"> considerations when selecting and dosing drugs in special populations</w:t>
      </w:r>
      <w:r w:rsidR="00E713E9"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C33411" w:rsidRPr="00F17C5F">
        <w:rPr>
          <w:rFonts w:ascii="Book Antiqua" w:hAnsi="Book Antiqua"/>
          <w:color w:val="000000" w:themeColor="text1"/>
        </w:rPr>
        <w:t xml:space="preserve"> </w:t>
      </w:r>
      <w:r w:rsidR="007F6C59" w:rsidRPr="00F17C5F">
        <w:rPr>
          <w:rFonts w:ascii="Book Antiqua" w:hAnsi="Book Antiqua"/>
          <w:color w:val="000000" w:themeColor="text1"/>
        </w:rPr>
        <w:t xml:space="preserve">Part 2 of this paper </w:t>
      </w:r>
      <w:r w:rsidR="00C10223" w:rsidRPr="00F17C5F">
        <w:rPr>
          <w:rFonts w:ascii="Book Antiqua" w:hAnsi="Book Antiqua"/>
          <w:color w:val="000000" w:themeColor="text1"/>
        </w:rPr>
        <w:t>will highlight</w:t>
      </w:r>
      <w:r w:rsidR="00C33411" w:rsidRPr="00F17C5F">
        <w:rPr>
          <w:rFonts w:ascii="Book Antiqua" w:hAnsi="Book Antiqua"/>
          <w:color w:val="000000" w:themeColor="text1"/>
        </w:rPr>
        <w:t xml:space="preserve"> </w:t>
      </w:r>
      <w:r w:rsidR="007F6C59" w:rsidRPr="00F17C5F">
        <w:rPr>
          <w:rFonts w:ascii="Book Antiqua" w:hAnsi="Book Antiqua"/>
          <w:color w:val="000000" w:themeColor="text1"/>
        </w:rPr>
        <w:t xml:space="preserve">specific </w:t>
      </w:r>
      <w:r w:rsidR="00E713E9" w:rsidRPr="00F17C5F">
        <w:rPr>
          <w:rFonts w:ascii="Book Antiqua" w:hAnsi="Book Antiqua"/>
          <w:color w:val="000000" w:themeColor="text1"/>
        </w:rPr>
        <w:t xml:space="preserve">populations with changes in body </w:t>
      </w:r>
      <w:r w:rsidR="00C33411" w:rsidRPr="00F17C5F">
        <w:rPr>
          <w:rFonts w:ascii="Book Antiqua" w:hAnsi="Book Antiqua"/>
          <w:color w:val="000000" w:themeColor="text1"/>
        </w:rPr>
        <w:t xml:space="preserve">size, </w:t>
      </w:r>
      <w:r w:rsidR="00E713E9" w:rsidRPr="00F17C5F">
        <w:rPr>
          <w:rFonts w:ascii="Book Antiqua" w:hAnsi="Book Antiqua"/>
          <w:color w:val="000000" w:themeColor="text1"/>
        </w:rPr>
        <w:t>habitus</w:t>
      </w:r>
      <w:r w:rsidR="00C33411" w:rsidRPr="00F17C5F">
        <w:rPr>
          <w:rFonts w:ascii="Book Antiqua" w:hAnsi="Book Antiqua"/>
          <w:color w:val="000000" w:themeColor="text1"/>
        </w:rPr>
        <w:t xml:space="preserve"> and composition</w:t>
      </w:r>
      <w:r w:rsidR="00E713E9" w:rsidRPr="00F17C5F">
        <w:rPr>
          <w:rFonts w:ascii="Book Antiqua" w:hAnsi="Book Antiqua"/>
          <w:color w:val="000000" w:themeColor="text1"/>
        </w:rPr>
        <w:t xml:space="preserve"> that require special consideration when designing </w:t>
      </w:r>
      <w:r w:rsidR="000A7DA0" w:rsidRPr="00F17C5F">
        <w:rPr>
          <w:rFonts w:ascii="Book Antiqua" w:hAnsi="Book Antiqua"/>
          <w:color w:val="000000" w:themeColor="text1"/>
        </w:rPr>
        <w:t>drug</w:t>
      </w:r>
      <w:r w:rsidR="00EC651D" w:rsidRPr="00F17C5F">
        <w:rPr>
          <w:rFonts w:ascii="Book Antiqua" w:hAnsi="Book Antiqua"/>
          <w:color w:val="000000" w:themeColor="text1"/>
        </w:rPr>
        <w:t xml:space="preserve"> regimens: obese</w:t>
      </w:r>
      <w:r w:rsidR="00E713E9" w:rsidRPr="00F17C5F">
        <w:rPr>
          <w:rFonts w:ascii="Book Antiqua" w:hAnsi="Book Antiqua"/>
          <w:color w:val="000000" w:themeColor="text1"/>
        </w:rPr>
        <w:t xml:space="preserve"> patient</w:t>
      </w:r>
      <w:r w:rsidR="00EC651D" w:rsidRPr="00F17C5F">
        <w:rPr>
          <w:rFonts w:ascii="Book Antiqua" w:hAnsi="Book Antiqua"/>
          <w:color w:val="000000" w:themeColor="text1"/>
        </w:rPr>
        <w:t xml:space="preserve">s, </w:t>
      </w:r>
      <w:r w:rsidR="00650387" w:rsidRPr="00F17C5F">
        <w:rPr>
          <w:rFonts w:ascii="Book Antiqua" w:hAnsi="Book Antiqua"/>
          <w:color w:val="000000" w:themeColor="text1"/>
        </w:rPr>
        <w:t xml:space="preserve">patients who are </w:t>
      </w:r>
      <w:r w:rsidR="00EC651D" w:rsidRPr="00F17C5F">
        <w:rPr>
          <w:rFonts w:ascii="Book Antiqua" w:hAnsi="Book Antiqua"/>
          <w:color w:val="000000" w:themeColor="text1"/>
        </w:rPr>
        <w:t>underweight</w:t>
      </w:r>
      <w:r w:rsidR="00650387" w:rsidRPr="00F17C5F">
        <w:rPr>
          <w:rFonts w:ascii="Book Antiqua" w:hAnsi="Book Antiqua"/>
          <w:color w:val="000000" w:themeColor="text1"/>
        </w:rPr>
        <w:t xml:space="preserve">, </w:t>
      </w:r>
      <w:r w:rsidR="00417B92" w:rsidRPr="00F17C5F">
        <w:rPr>
          <w:rFonts w:ascii="Book Antiqua" w:hAnsi="Book Antiqua"/>
          <w:color w:val="000000" w:themeColor="text1"/>
        </w:rPr>
        <w:t>amputated</w:t>
      </w:r>
      <w:r w:rsidR="00650387" w:rsidRPr="00F17C5F">
        <w:rPr>
          <w:rFonts w:ascii="Book Antiqua" w:hAnsi="Book Antiqua"/>
          <w:color w:val="000000" w:themeColor="text1"/>
        </w:rPr>
        <w:t xml:space="preserve"> or missing limbs</w:t>
      </w:r>
      <w:r w:rsidR="00C33411" w:rsidRPr="00F17C5F">
        <w:rPr>
          <w:rFonts w:ascii="Book Antiqua" w:hAnsi="Book Antiqua"/>
          <w:color w:val="000000" w:themeColor="text1"/>
        </w:rPr>
        <w:t xml:space="preserve">, </w:t>
      </w:r>
      <w:r w:rsidR="002E1F54" w:rsidRPr="00F17C5F">
        <w:rPr>
          <w:rFonts w:ascii="Book Antiqua" w:hAnsi="Book Antiqua"/>
          <w:color w:val="000000" w:themeColor="text1"/>
        </w:rPr>
        <w:t>pregnant patients</w:t>
      </w:r>
      <w:r w:rsidR="00C33411" w:rsidRPr="00F17C5F">
        <w:rPr>
          <w:rFonts w:ascii="Book Antiqua" w:hAnsi="Book Antiqua"/>
          <w:color w:val="000000" w:themeColor="text1"/>
        </w:rPr>
        <w:t xml:space="preserve">, and patients undergoing extracorporeal membrane oxygenation </w:t>
      </w:r>
      <w:r w:rsidR="005D35CA" w:rsidRPr="00F17C5F">
        <w:rPr>
          <w:rFonts w:ascii="Book Antiqua" w:hAnsi="Book Antiqua"/>
          <w:color w:val="000000" w:themeColor="text1"/>
        </w:rPr>
        <w:t xml:space="preserve">(ECMO) </w:t>
      </w:r>
      <w:r w:rsidR="00C33411" w:rsidRPr="00F17C5F">
        <w:rPr>
          <w:rFonts w:ascii="Book Antiqua" w:hAnsi="Book Antiqua"/>
          <w:color w:val="000000" w:themeColor="text1"/>
        </w:rPr>
        <w:t>or plasma exchange</w:t>
      </w:r>
      <w:r w:rsidR="00E713E9" w:rsidRPr="00F17C5F">
        <w:rPr>
          <w:rFonts w:ascii="Book Antiqua" w:hAnsi="Book Antiqua"/>
          <w:color w:val="000000" w:themeColor="text1"/>
        </w:rPr>
        <w:t>.</w:t>
      </w:r>
      <w:r w:rsidRPr="00F17C5F">
        <w:rPr>
          <w:rFonts w:ascii="Book Antiqua" w:hAnsi="Book Antiqua"/>
          <w:color w:val="000000" w:themeColor="text1"/>
        </w:rPr>
        <w:t xml:space="preserve"> </w:t>
      </w:r>
    </w:p>
    <w:p w14:paraId="5588E725" w14:textId="77777777" w:rsidR="00C96843" w:rsidRPr="00F17C5F" w:rsidRDefault="00C96843" w:rsidP="00F17C5F">
      <w:pPr>
        <w:spacing w:after="0" w:line="360" w:lineRule="auto"/>
        <w:jc w:val="both"/>
        <w:rPr>
          <w:rFonts w:ascii="Book Antiqua" w:hAnsi="Book Antiqua"/>
          <w:b/>
          <w:color w:val="000000" w:themeColor="text1"/>
        </w:rPr>
      </w:pPr>
    </w:p>
    <w:p w14:paraId="001849C4" w14:textId="77777777" w:rsidR="007351F2" w:rsidRPr="00F17C5F" w:rsidRDefault="00A87D46" w:rsidP="00F17C5F">
      <w:pPr>
        <w:spacing w:after="0" w:line="360" w:lineRule="auto"/>
        <w:jc w:val="both"/>
        <w:rPr>
          <w:rFonts w:ascii="Book Antiqua" w:hAnsi="Book Antiqua"/>
          <w:b/>
          <w:color w:val="000000" w:themeColor="text1"/>
        </w:rPr>
      </w:pPr>
      <w:r w:rsidRPr="00F17C5F">
        <w:rPr>
          <w:rFonts w:ascii="Book Antiqua" w:hAnsi="Book Antiqua"/>
          <w:b/>
          <w:color w:val="000000" w:themeColor="text1"/>
        </w:rPr>
        <w:t>PART 1</w:t>
      </w:r>
    </w:p>
    <w:p w14:paraId="3ED29714" w14:textId="254942DE" w:rsidR="004116E2" w:rsidRPr="00F17C5F" w:rsidRDefault="00974771"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 xml:space="preserve">Body </w:t>
      </w:r>
      <w:r w:rsidR="003155A9" w:rsidRPr="00F17C5F">
        <w:rPr>
          <w:rFonts w:ascii="Book Antiqua" w:hAnsi="Book Antiqua"/>
          <w:b/>
          <w:i/>
          <w:color w:val="000000" w:themeColor="text1"/>
        </w:rPr>
        <w:t>composition</w:t>
      </w:r>
    </w:p>
    <w:p w14:paraId="2FFAC0EC" w14:textId="65AC04E2" w:rsidR="00454A86" w:rsidRPr="00F17C5F" w:rsidRDefault="003D7F3D"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 xml:space="preserve">Body size and </w:t>
      </w:r>
      <w:r w:rsidR="00A663B5" w:rsidRPr="00F17C5F">
        <w:rPr>
          <w:rFonts w:ascii="Book Antiqua" w:hAnsi="Book Antiqua"/>
          <w:color w:val="000000" w:themeColor="text1"/>
        </w:rPr>
        <w:t xml:space="preserve">shape (also known as </w:t>
      </w:r>
      <w:r w:rsidRPr="00F17C5F">
        <w:rPr>
          <w:rFonts w:ascii="Book Antiqua" w:hAnsi="Book Antiqua"/>
          <w:color w:val="000000" w:themeColor="text1"/>
        </w:rPr>
        <w:t>habitus</w:t>
      </w:r>
      <w:r w:rsidR="00A663B5" w:rsidRPr="00F17C5F">
        <w:rPr>
          <w:rFonts w:ascii="Book Antiqua" w:hAnsi="Book Antiqua"/>
          <w:color w:val="000000" w:themeColor="text1"/>
        </w:rPr>
        <w:t>)</w:t>
      </w:r>
      <w:r w:rsidRPr="00F17C5F">
        <w:rPr>
          <w:rFonts w:ascii="Book Antiqua" w:hAnsi="Book Antiqua"/>
          <w:color w:val="000000" w:themeColor="text1"/>
        </w:rPr>
        <w:t xml:space="preserve"> refer to physical attributes of individuals such as height, weight, and body proportions.</w:t>
      </w:r>
      <w:r w:rsidR="000C28EB" w:rsidRPr="00F17C5F">
        <w:rPr>
          <w:rFonts w:ascii="Book Antiqua" w:hAnsi="Book Antiqua"/>
          <w:color w:val="000000" w:themeColor="text1"/>
        </w:rPr>
        <w:t xml:space="preserve"> </w:t>
      </w:r>
      <w:r w:rsidR="00A663B5" w:rsidRPr="00F17C5F">
        <w:rPr>
          <w:rFonts w:ascii="Book Antiqua" w:hAnsi="Book Antiqua"/>
          <w:color w:val="000000" w:themeColor="text1"/>
        </w:rPr>
        <w:t>Anthropometry is the measure of such attributes.</w:t>
      </w:r>
      <w:r w:rsidR="000C28EB" w:rsidRPr="00F17C5F">
        <w:rPr>
          <w:rFonts w:ascii="Book Antiqua" w:hAnsi="Book Antiqua"/>
          <w:color w:val="000000" w:themeColor="text1"/>
        </w:rPr>
        <w:t xml:space="preserve"> </w:t>
      </w:r>
      <w:r w:rsidR="00F262CA" w:rsidRPr="00F17C5F">
        <w:rPr>
          <w:rFonts w:ascii="Book Antiqua" w:hAnsi="Book Antiqua"/>
          <w:color w:val="000000" w:themeColor="text1"/>
        </w:rPr>
        <w:t>Epidemiological studies</w:t>
      </w:r>
      <w:r w:rsidR="003A32DA" w:rsidRPr="00F17C5F">
        <w:rPr>
          <w:rFonts w:ascii="Book Antiqua" w:hAnsi="Book Antiqua"/>
          <w:color w:val="000000" w:themeColor="text1"/>
        </w:rPr>
        <w:t xml:space="preserve"> conducted in the United States</w:t>
      </w:r>
      <w:r w:rsidR="00F262CA" w:rsidRPr="00F17C5F">
        <w:rPr>
          <w:rFonts w:ascii="Book Antiqua" w:hAnsi="Book Antiqua"/>
          <w:color w:val="000000" w:themeColor="text1"/>
        </w:rPr>
        <w:t xml:space="preserve"> have demonstrated </w:t>
      </w:r>
      <w:r w:rsidR="00A20B49" w:rsidRPr="00F17C5F">
        <w:rPr>
          <w:rFonts w:ascii="Book Antiqua" w:hAnsi="Book Antiqua"/>
          <w:color w:val="000000" w:themeColor="text1"/>
        </w:rPr>
        <w:t xml:space="preserve">not only an increase in attributes such as weight but also </w:t>
      </w:r>
      <w:r w:rsidR="003A32DA" w:rsidRPr="00F17C5F">
        <w:rPr>
          <w:rFonts w:ascii="Book Antiqua" w:hAnsi="Book Antiqua"/>
          <w:color w:val="000000" w:themeColor="text1"/>
        </w:rPr>
        <w:t>increased variabili</w:t>
      </w:r>
      <w:r w:rsidR="00A20B49" w:rsidRPr="00F17C5F">
        <w:rPr>
          <w:rFonts w:ascii="Book Antiqua" w:hAnsi="Book Antiqua"/>
          <w:color w:val="000000" w:themeColor="text1"/>
        </w:rPr>
        <w:t>ty in anthropometric indicators with implications for drug dosing</w:t>
      </w:r>
      <w:r w:rsidR="00A87D46" w:rsidRPr="00F17C5F">
        <w:rPr>
          <w:rFonts w:ascii="Book Antiqua" w:hAnsi="Book Antiqua"/>
          <w:color w:val="000000" w:themeColor="text1"/>
          <w:vertAlign w:val="superscript"/>
        </w:rPr>
        <w:t>[</w:t>
      </w:r>
      <w:r w:rsidR="0081053B" w:rsidRPr="00F17C5F">
        <w:rPr>
          <w:rFonts w:ascii="Book Antiqua" w:hAnsi="Book Antiqua"/>
          <w:color w:val="000000" w:themeColor="text1"/>
          <w:vertAlign w:val="superscript"/>
        </w:rPr>
        <w:t>2</w:t>
      </w:r>
      <w:r w:rsidR="00A87D46" w:rsidRPr="00F17C5F">
        <w:rPr>
          <w:rFonts w:ascii="Book Antiqua" w:hAnsi="Book Antiqua"/>
          <w:color w:val="000000" w:themeColor="text1"/>
          <w:vertAlign w:val="superscript"/>
        </w:rPr>
        <w:t>]</w:t>
      </w:r>
      <w:r w:rsidR="001F6175"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772E20" w:rsidRPr="00F17C5F">
        <w:rPr>
          <w:rFonts w:ascii="Book Antiqua" w:hAnsi="Book Antiqua"/>
          <w:color w:val="000000" w:themeColor="text1"/>
        </w:rPr>
        <w:t>Table 2</w:t>
      </w:r>
      <w:r w:rsidR="00564115" w:rsidRPr="00F17C5F">
        <w:rPr>
          <w:rFonts w:ascii="Book Antiqua" w:hAnsi="Book Antiqua"/>
          <w:color w:val="000000" w:themeColor="text1"/>
        </w:rPr>
        <w:t xml:space="preserve"> lists body composition changes that </w:t>
      </w:r>
      <w:r w:rsidR="00C57DD2" w:rsidRPr="00F17C5F">
        <w:rPr>
          <w:rFonts w:ascii="Book Antiqua" w:hAnsi="Book Antiqua"/>
          <w:color w:val="000000" w:themeColor="text1"/>
        </w:rPr>
        <w:t xml:space="preserve">frequently </w:t>
      </w:r>
      <w:r w:rsidR="00564115" w:rsidRPr="00F17C5F">
        <w:rPr>
          <w:rFonts w:ascii="Book Antiqua" w:hAnsi="Book Antiqua"/>
          <w:color w:val="000000" w:themeColor="text1"/>
        </w:rPr>
        <w:t>occur in critically ill patients</w:t>
      </w:r>
      <w:r w:rsidR="00C57DD2" w:rsidRPr="00F17C5F">
        <w:rPr>
          <w:rFonts w:ascii="Book Antiqua" w:hAnsi="Book Antiqua"/>
          <w:color w:val="000000" w:themeColor="text1"/>
        </w:rPr>
        <w:t xml:space="preserve"> during more prolonged</w:t>
      </w:r>
      <w:r w:rsidR="00564115" w:rsidRPr="00F17C5F">
        <w:rPr>
          <w:rFonts w:ascii="Book Antiqua" w:hAnsi="Book Antiqua"/>
          <w:color w:val="000000" w:themeColor="text1"/>
        </w:rPr>
        <w:t xml:space="preserve"> ICU stay</w:t>
      </w:r>
      <w:r w:rsidR="00C57DD2" w:rsidRPr="00F17C5F">
        <w:rPr>
          <w:rFonts w:ascii="Book Antiqua" w:hAnsi="Book Antiqua"/>
          <w:color w:val="000000" w:themeColor="text1"/>
        </w:rPr>
        <w:t>s</w:t>
      </w:r>
      <w:r w:rsidR="00564115" w:rsidRPr="00F17C5F">
        <w:rPr>
          <w:rFonts w:ascii="Book Antiqua" w:hAnsi="Book Antiqua"/>
          <w:color w:val="000000" w:themeColor="text1"/>
        </w:rPr>
        <w:t>.</w:t>
      </w:r>
    </w:p>
    <w:p w14:paraId="41C7D901" w14:textId="56D8BC88" w:rsidR="00D213F2" w:rsidRPr="00F17C5F" w:rsidRDefault="004174BD" w:rsidP="00F17C5F">
      <w:pPr>
        <w:spacing w:after="0" w:line="360" w:lineRule="auto"/>
        <w:ind w:firstLineChars="200" w:firstLine="480"/>
        <w:jc w:val="both"/>
        <w:rPr>
          <w:rFonts w:ascii="Book Antiqua" w:hAnsi="Book Antiqua"/>
          <w:color w:val="000000" w:themeColor="text1"/>
        </w:rPr>
      </w:pPr>
      <w:r w:rsidRPr="00F17C5F">
        <w:rPr>
          <w:rFonts w:ascii="Book Antiqua" w:hAnsi="Book Antiqua"/>
          <w:color w:val="000000" w:themeColor="text1"/>
        </w:rPr>
        <w:t xml:space="preserve">There are a number of techniques </w:t>
      </w:r>
      <w:r w:rsidR="004159B2" w:rsidRPr="00F17C5F">
        <w:rPr>
          <w:rFonts w:ascii="Book Antiqua" w:hAnsi="Book Antiqua"/>
          <w:color w:val="000000" w:themeColor="text1"/>
        </w:rPr>
        <w:t>for assessing body composition</w:t>
      </w:r>
      <w:r w:rsidRPr="00F17C5F">
        <w:rPr>
          <w:rFonts w:ascii="Book Antiqua" w:hAnsi="Book Antiqua"/>
          <w:color w:val="000000" w:themeColor="text1"/>
        </w:rPr>
        <w:t xml:space="preserve"> that have been</w:t>
      </w:r>
      <w:r w:rsidR="004159B2" w:rsidRPr="00F17C5F">
        <w:rPr>
          <w:rFonts w:ascii="Book Antiqua" w:hAnsi="Book Antiqua"/>
          <w:color w:val="000000" w:themeColor="text1"/>
        </w:rPr>
        <w:t xml:space="preserve"> used</w:t>
      </w:r>
      <w:r w:rsidR="00A24BE9" w:rsidRPr="00F17C5F">
        <w:rPr>
          <w:rFonts w:ascii="Book Antiqua" w:hAnsi="Book Antiqua"/>
          <w:color w:val="000000" w:themeColor="text1"/>
        </w:rPr>
        <w:t xml:space="preserve"> to assess ti</w:t>
      </w:r>
      <w:r w:rsidR="00A57DA2" w:rsidRPr="00F17C5F">
        <w:rPr>
          <w:rFonts w:ascii="Book Antiqua" w:hAnsi="Book Antiqua"/>
          <w:color w:val="000000" w:themeColor="text1"/>
        </w:rPr>
        <w:t xml:space="preserve">ssue differences such as fat </w:t>
      </w:r>
      <w:r w:rsidR="00A57DA2" w:rsidRPr="00F17C5F">
        <w:rPr>
          <w:rFonts w:ascii="Book Antiqua" w:hAnsi="Book Antiqua"/>
          <w:i/>
          <w:color w:val="000000" w:themeColor="text1"/>
        </w:rPr>
        <w:t>vs</w:t>
      </w:r>
      <w:r w:rsidR="00A24BE9" w:rsidRPr="00F17C5F">
        <w:rPr>
          <w:rFonts w:ascii="Book Antiqua" w:hAnsi="Book Antiqua"/>
          <w:color w:val="000000" w:themeColor="text1"/>
        </w:rPr>
        <w:t xml:space="preserve"> fat-free mass</w:t>
      </w:r>
      <w:r w:rsidRPr="00F17C5F">
        <w:rPr>
          <w:rFonts w:ascii="Book Antiqua" w:hAnsi="Book Antiqua"/>
          <w:color w:val="000000" w:themeColor="text1"/>
        </w:rPr>
        <w:t>, but have yet to receive wides</w:t>
      </w:r>
      <w:r w:rsidR="001F6175" w:rsidRPr="00F17C5F">
        <w:rPr>
          <w:rFonts w:ascii="Book Antiqua" w:hAnsi="Book Antiqua"/>
          <w:color w:val="000000" w:themeColor="text1"/>
        </w:rPr>
        <w:t>pread use in the clinical arena</w:t>
      </w:r>
      <w:r w:rsidR="00703751" w:rsidRPr="00F17C5F">
        <w:rPr>
          <w:rFonts w:ascii="Book Antiqua" w:hAnsi="Book Antiqua"/>
          <w:color w:val="000000" w:themeColor="text1"/>
          <w:vertAlign w:val="superscript"/>
        </w:rPr>
        <w:t>[</w:t>
      </w:r>
      <w:r w:rsidR="0081053B" w:rsidRPr="00F17C5F">
        <w:rPr>
          <w:rFonts w:ascii="Book Antiqua" w:hAnsi="Book Antiqua"/>
          <w:color w:val="000000" w:themeColor="text1"/>
          <w:vertAlign w:val="superscript"/>
        </w:rPr>
        <w:t>3</w:t>
      </w:r>
      <w:r w:rsidR="00703751" w:rsidRPr="00F17C5F">
        <w:rPr>
          <w:rFonts w:ascii="Book Antiqua" w:hAnsi="Book Antiqua"/>
          <w:color w:val="000000" w:themeColor="text1"/>
          <w:vertAlign w:val="superscript"/>
        </w:rPr>
        <w:t>]</w:t>
      </w:r>
      <w:r w:rsidR="001F6175"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621A64" w:rsidRPr="00F17C5F">
        <w:rPr>
          <w:rFonts w:ascii="Book Antiqua" w:hAnsi="Book Antiqua"/>
          <w:color w:val="000000" w:themeColor="text1"/>
        </w:rPr>
        <w:t>While much of this research has focused on the nutritional aspects o</w:t>
      </w:r>
      <w:r w:rsidR="001F6175" w:rsidRPr="00F17C5F">
        <w:rPr>
          <w:rFonts w:ascii="Book Antiqua" w:hAnsi="Book Antiqua"/>
          <w:color w:val="000000" w:themeColor="text1"/>
        </w:rPr>
        <w:t>f body composition measurements</w:t>
      </w:r>
      <w:r w:rsidR="00703751" w:rsidRPr="00F17C5F">
        <w:rPr>
          <w:rFonts w:ascii="Book Antiqua" w:hAnsi="Book Antiqua"/>
          <w:color w:val="000000" w:themeColor="text1"/>
          <w:vertAlign w:val="superscript"/>
        </w:rPr>
        <w:t>[</w:t>
      </w:r>
      <w:r w:rsidR="0081053B" w:rsidRPr="00F17C5F">
        <w:rPr>
          <w:rFonts w:ascii="Book Antiqua" w:hAnsi="Book Antiqua"/>
          <w:color w:val="000000" w:themeColor="text1"/>
          <w:vertAlign w:val="superscript"/>
        </w:rPr>
        <w:t>4</w:t>
      </w:r>
      <w:r w:rsidR="00703751" w:rsidRPr="00F17C5F">
        <w:rPr>
          <w:rFonts w:ascii="Book Antiqua" w:hAnsi="Book Antiqua"/>
          <w:color w:val="000000" w:themeColor="text1"/>
          <w:vertAlign w:val="superscript"/>
        </w:rPr>
        <w:t>]</w:t>
      </w:r>
      <w:r w:rsidR="001F6175" w:rsidRPr="00F17C5F">
        <w:rPr>
          <w:rFonts w:ascii="Book Antiqua" w:hAnsi="Book Antiqua"/>
          <w:color w:val="000000" w:themeColor="text1"/>
          <w:lang w:eastAsia="zh-CN"/>
        </w:rPr>
        <w:t>,</w:t>
      </w:r>
      <w:r w:rsidR="00703751" w:rsidRPr="00F17C5F">
        <w:rPr>
          <w:rFonts w:ascii="Book Antiqua" w:hAnsi="Book Antiqua"/>
          <w:color w:val="000000" w:themeColor="text1"/>
        </w:rPr>
        <w:t xml:space="preserve"> </w:t>
      </w:r>
      <w:r w:rsidR="00621A64" w:rsidRPr="00F17C5F">
        <w:rPr>
          <w:rFonts w:ascii="Book Antiqua" w:hAnsi="Book Antiqua"/>
          <w:color w:val="000000" w:themeColor="text1"/>
        </w:rPr>
        <w:t xml:space="preserve">the metabolic aspects of the measurements have implications for the pharmacokinetics and </w:t>
      </w:r>
      <w:r w:rsidR="001F6175" w:rsidRPr="00F17C5F">
        <w:rPr>
          <w:rFonts w:ascii="Book Antiqua" w:hAnsi="Book Antiqua"/>
          <w:color w:val="000000" w:themeColor="text1"/>
        </w:rPr>
        <w:t>pharmacodynamics of medications</w:t>
      </w:r>
      <w:r w:rsidR="00703751" w:rsidRPr="00F17C5F">
        <w:rPr>
          <w:rFonts w:ascii="Book Antiqua" w:hAnsi="Book Antiqua"/>
          <w:color w:val="000000" w:themeColor="text1"/>
          <w:vertAlign w:val="superscript"/>
        </w:rPr>
        <w:t>[</w:t>
      </w:r>
      <w:r w:rsidR="0081053B" w:rsidRPr="00F17C5F">
        <w:rPr>
          <w:rFonts w:ascii="Book Antiqua" w:hAnsi="Book Antiqua"/>
          <w:color w:val="000000" w:themeColor="text1"/>
          <w:vertAlign w:val="superscript"/>
        </w:rPr>
        <w:t>5</w:t>
      </w:r>
      <w:r w:rsidR="00703751" w:rsidRPr="00F17C5F">
        <w:rPr>
          <w:rFonts w:ascii="Book Antiqua" w:hAnsi="Book Antiqua"/>
          <w:color w:val="000000" w:themeColor="text1"/>
          <w:vertAlign w:val="superscript"/>
        </w:rPr>
        <w:t>]</w:t>
      </w:r>
      <w:r w:rsidR="001F6175"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FE599E" w:rsidRPr="00F17C5F">
        <w:rPr>
          <w:rFonts w:ascii="Book Antiqua" w:hAnsi="Book Antiqua"/>
          <w:color w:val="000000" w:themeColor="text1"/>
        </w:rPr>
        <w:t>A</w:t>
      </w:r>
      <w:r w:rsidR="005D54DB" w:rsidRPr="00F17C5F">
        <w:rPr>
          <w:rFonts w:ascii="Book Antiqua" w:hAnsi="Book Antiqua"/>
          <w:color w:val="000000" w:themeColor="text1"/>
        </w:rPr>
        <w:t>pproximately 2</w:t>
      </w:r>
      <w:r w:rsidR="00FE599E" w:rsidRPr="00F17C5F">
        <w:rPr>
          <w:rFonts w:ascii="Book Antiqua" w:hAnsi="Book Antiqua"/>
          <w:color w:val="000000" w:themeColor="text1"/>
        </w:rPr>
        <w:t xml:space="preserve">5% of </w:t>
      </w:r>
      <w:r w:rsidR="005D54DB" w:rsidRPr="00F17C5F">
        <w:rPr>
          <w:rFonts w:ascii="Book Antiqua" w:hAnsi="Book Antiqua"/>
          <w:color w:val="000000" w:themeColor="text1"/>
        </w:rPr>
        <w:t>weigh</w:t>
      </w:r>
      <w:r w:rsidR="001F6175" w:rsidRPr="00F17C5F">
        <w:rPr>
          <w:rFonts w:ascii="Book Antiqua" w:hAnsi="Book Antiqua"/>
          <w:color w:val="000000" w:themeColor="text1"/>
        </w:rPr>
        <w:t>t gain or loss is fat free mass</w:t>
      </w:r>
      <w:r w:rsidR="00703751" w:rsidRPr="00F17C5F">
        <w:rPr>
          <w:rFonts w:ascii="Book Antiqua" w:hAnsi="Book Antiqua"/>
          <w:color w:val="000000" w:themeColor="text1"/>
          <w:vertAlign w:val="superscript"/>
        </w:rPr>
        <w:t>[</w:t>
      </w:r>
      <w:r w:rsidR="0081053B" w:rsidRPr="00F17C5F">
        <w:rPr>
          <w:rFonts w:ascii="Book Antiqua" w:hAnsi="Book Antiqua"/>
          <w:color w:val="000000" w:themeColor="text1"/>
          <w:vertAlign w:val="superscript"/>
        </w:rPr>
        <w:t>6</w:t>
      </w:r>
      <w:r w:rsidR="00703751" w:rsidRPr="00F17C5F">
        <w:rPr>
          <w:rFonts w:ascii="Book Antiqua" w:hAnsi="Book Antiqua"/>
          <w:color w:val="000000" w:themeColor="text1"/>
          <w:vertAlign w:val="superscript"/>
        </w:rPr>
        <w:t>]</w:t>
      </w:r>
      <w:r w:rsidR="001F6175"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9B628B" w:rsidRPr="00F17C5F">
        <w:rPr>
          <w:rFonts w:ascii="Book Antiqua" w:hAnsi="Book Antiqua"/>
          <w:color w:val="000000" w:themeColor="text1"/>
        </w:rPr>
        <w:t xml:space="preserve">Further, </w:t>
      </w:r>
      <w:r w:rsidR="00564115" w:rsidRPr="00F17C5F">
        <w:rPr>
          <w:rFonts w:ascii="Book Antiqua" w:hAnsi="Book Antiqua"/>
          <w:color w:val="000000" w:themeColor="text1"/>
        </w:rPr>
        <w:t xml:space="preserve">different </w:t>
      </w:r>
      <w:r w:rsidR="009B628B" w:rsidRPr="00F17C5F">
        <w:rPr>
          <w:rFonts w:ascii="Book Antiqua" w:hAnsi="Book Antiqua"/>
          <w:color w:val="000000" w:themeColor="text1"/>
        </w:rPr>
        <w:t>type</w:t>
      </w:r>
      <w:r w:rsidR="00564115" w:rsidRPr="00F17C5F">
        <w:rPr>
          <w:rFonts w:ascii="Book Antiqua" w:hAnsi="Book Antiqua"/>
          <w:color w:val="000000" w:themeColor="text1"/>
        </w:rPr>
        <w:t xml:space="preserve">s of </w:t>
      </w:r>
      <w:r w:rsidR="009B628B" w:rsidRPr="00F17C5F">
        <w:rPr>
          <w:rFonts w:ascii="Book Antiqua" w:hAnsi="Book Antiqua"/>
          <w:color w:val="000000" w:themeColor="text1"/>
        </w:rPr>
        <w:t>adipose tissue</w:t>
      </w:r>
      <w:r w:rsidR="00564115" w:rsidRPr="00F17C5F">
        <w:rPr>
          <w:rFonts w:ascii="Book Antiqua" w:hAnsi="Book Antiqua"/>
          <w:color w:val="000000" w:themeColor="text1"/>
        </w:rPr>
        <w:t xml:space="preserve"> have differing </w:t>
      </w:r>
      <w:r w:rsidR="009B628B" w:rsidRPr="00F17C5F">
        <w:rPr>
          <w:rFonts w:ascii="Book Antiqua" w:hAnsi="Book Antiqua"/>
          <w:color w:val="000000" w:themeColor="text1"/>
        </w:rPr>
        <w:t>metabolic activity.</w:t>
      </w:r>
      <w:r w:rsidR="000C28EB" w:rsidRPr="00F17C5F">
        <w:rPr>
          <w:rFonts w:ascii="Book Antiqua" w:hAnsi="Book Antiqua"/>
          <w:color w:val="000000" w:themeColor="text1"/>
        </w:rPr>
        <w:t xml:space="preserve"> </w:t>
      </w:r>
      <w:r w:rsidR="009B628B" w:rsidRPr="00F17C5F">
        <w:rPr>
          <w:rFonts w:ascii="Book Antiqua" w:hAnsi="Book Antiqua"/>
          <w:color w:val="000000" w:themeColor="text1"/>
        </w:rPr>
        <w:t>Brown adipose tissue has been investi</w:t>
      </w:r>
      <w:r w:rsidR="001F6175" w:rsidRPr="00F17C5F">
        <w:rPr>
          <w:rFonts w:ascii="Book Antiqua" w:hAnsi="Book Antiqua"/>
          <w:color w:val="000000" w:themeColor="text1"/>
        </w:rPr>
        <w:t>gated as an anti-obesity tissue</w:t>
      </w:r>
      <w:r w:rsidR="00703751" w:rsidRPr="00F17C5F">
        <w:rPr>
          <w:rFonts w:ascii="Book Antiqua" w:hAnsi="Book Antiqua"/>
          <w:color w:val="000000" w:themeColor="text1"/>
          <w:vertAlign w:val="superscript"/>
        </w:rPr>
        <w:t>[</w:t>
      </w:r>
      <w:r w:rsidR="0081053B" w:rsidRPr="00F17C5F">
        <w:rPr>
          <w:rFonts w:ascii="Book Antiqua" w:hAnsi="Book Antiqua"/>
          <w:color w:val="000000" w:themeColor="text1"/>
          <w:vertAlign w:val="superscript"/>
        </w:rPr>
        <w:t>7</w:t>
      </w:r>
      <w:r w:rsidR="00703751" w:rsidRPr="00F17C5F">
        <w:rPr>
          <w:rFonts w:ascii="Book Antiqua" w:hAnsi="Book Antiqua"/>
          <w:color w:val="000000" w:themeColor="text1"/>
          <w:vertAlign w:val="superscript"/>
        </w:rPr>
        <w:t>]</w:t>
      </w:r>
      <w:r w:rsidR="001F6175" w:rsidRPr="00F17C5F">
        <w:rPr>
          <w:rFonts w:ascii="Book Antiqua" w:hAnsi="Book Antiqua"/>
          <w:color w:val="000000" w:themeColor="text1"/>
        </w:rPr>
        <w:t>.</w:t>
      </w:r>
    </w:p>
    <w:p w14:paraId="2ADCC8D7" w14:textId="77777777" w:rsidR="00BC7C00" w:rsidRPr="00F17C5F" w:rsidRDefault="00BC7C00" w:rsidP="00F17C5F">
      <w:pPr>
        <w:spacing w:after="0" w:line="360" w:lineRule="auto"/>
        <w:jc w:val="both"/>
        <w:rPr>
          <w:rFonts w:ascii="Book Antiqua" w:hAnsi="Book Antiqua"/>
          <w:color w:val="000000" w:themeColor="text1"/>
        </w:rPr>
      </w:pPr>
    </w:p>
    <w:p w14:paraId="7311B2E6" w14:textId="74A76CD2" w:rsidR="00974771" w:rsidRPr="00F17C5F" w:rsidRDefault="00974771"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 xml:space="preserve">Size </w:t>
      </w:r>
      <w:r w:rsidR="003155A9" w:rsidRPr="00F17C5F">
        <w:rPr>
          <w:rFonts w:ascii="Book Antiqua" w:hAnsi="Book Antiqua"/>
          <w:b/>
          <w:i/>
          <w:color w:val="000000" w:themeColor="text1"/>
        </w:rPr>
        <w:t>descriptors</w:t>
      </w:r>
    </w:p>
    <w:p w14:paraId="090916BF" w14:textId="605CA9ED" w:rsidR="00974771" w:rsidRPr="00F17C5F" w:rsidRDefault="000A2247"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 xml:space="preserve">Since sophisticated technologies for assessing body composition are not typically employed in the ICU setting, most prognostic and drug dosing information based on physical attributes is derived from basic size descriptor information such as height, weight, sex or some combination of these variables (see </w:t>
      </w:r>
      <w:r w:rsidR="00F86664" w:rsidRPr="00F17C5F">
        <w:rPr>
          <w:rFonts w:ascii="Book Antiqua" w:hAnsi="Book Antiqua"/>
          <w:color w:val="000000" w:themeColor="text1"/>
        </w:rPr>
        <w:t>Table</w:t>
      </w:r>
      <w:r w:rsidR="00772E20" w:rsidRPr="00F17C5F">
        <w:rPr>
          <w:rFonts w:ascii="Book Antiqua" w:hAnsi="Book Antiqua"/>
          <w:color w:val="000000" w:themeColor="text1"/>
        </w:rPr>
        <w:t xml:space="preserve"> 3</w:t>
      </w:r>
      <w:r w:rsidRPr="00F17C5F">
        <w:rPr>
          <w:rFonts w:ascii="Book Antiqua" w:hAnsi="Book Antiqua"/>
          <w:color w:val="000000" w:themeColor="text1"/>
        </w:rPr>
        <w:t>).</w:t>
      </w:r>
      <w:r w:rsidR="000C28EB" w:rsidRPr="00F17C5F">
        <w:rPr>
          <w:rFonts w:ascii="Book Antiqua" w:hAnsi="Book Antiqua"/>
          <w:color w:val="000000" w:themeColor="text1"/>
        </w:rPr>
        <w:t xml:space="preserve"> </w:t>
      </w:r>
      <w:r w:rsidRPr="00F17C5F">
        <w:rPr>
          <w:rFonts w:ascii="Book Antiqua" w:hAnsi="Book Antiqua"/>
          <w:color w:val="000000" w:themeColor="text1"/>
        </w:rPr>
        <w:t>In particular, body mass index has been studied as an indicator of morbidity and mortality in critically ill patients.</w:t>
      </w:r>
      <w:r w:rsidR="000C28EB" w:rsidRPr="00F17C5F">
        <w:rPr>
          <w:rFonts w:ascii="Book Antiqua" w:hAnsi="Book Antiqua"/>
          <w:color w:val="000000" w:themeColor="text1"/>
        </w:rPr>
        <w:t xml:space="preserve"> </w:t>
      </w:r>
      <w:r w:rsidR="006D55EE" w:rsidRPr="00F17C5F">
        <w:rPr>
          <w:rFonts w:ascii="Book Antiqua" w:hAnsi="Book Antiqua"/>
          <w:color w:val="000000" w:themeColor="text1"/>
        </w:rPr>
        <w:t>T</w:t>
      </w:r>
      <w:r w:rsidR="00E721B3" w:rsidRPr="00F17C5F">
        <w:rPr>
          <w:rFonts w:ascii="Book Antiqua" w:hAnsi="Book Antiqua"/>
          <w:color w:val="000000" w:themeColor="text1"/>
        </w:rPr>
        <w:t>he relationship between body mass index and mortality is not linear</w:t>
      </w:r>
      <w:r w:rsidR="006D55EE" w:rsidRPr="00F17C5F">
        <w:rPr>
          <w:rFonts w:ascii="Book Antiqua" w:hAnsi="Book Antiqua"/>
          <w:color w:val="000000" w:themeColor="text1"/>
        </w:rPr>
        <w:t xml:space="preserve"> and there appears to be a so-called </w:t>
      </w:r>
      <w:r w:rsidR="00E721B3" w:rsidRPr="00F17C5F">
        <w:rPr>
          <w:rFonts w:ascii="Book Antiqua" w:hAnsi="Book Antiqua"/>
          <w:color w:val="000000" w:themeColor="text1"/>
        </w:rPr>
        <w:t>obesity paradox in which obese patients as defined by a BMI range between 30 and 39.9 kg/m</w:t>
      </w:r>
      <w:r w:rsidR="00E721B3" w:rsidRPr="00F17C5F">
        <w:rPr>
          <w:rFonts w:ascii="Book Antiqua" w:hAnsi="Book Antiqua"/>
          <w:color w:val="000000" w:themeColor="text1"/>
          <w:vertAlign w:val="superscript"/>
        </w:rPr>
        <w:t>2</w:t>
      </w:r>
      <w:r w:rsidR="00E721B3" w:rsidRPr="00F17C5F">
        <w:rPr>
          <w:rFonts w:ascii="Book Antiqua" w:hAnsi="Book Antiqua"/>
          <w:color w:val="000000" w:themeColor="text1"/>
        </w:rPr>
        <w:t xml:space="preserve"> have a lower ICU mortality compared to patients of more extreme weights</w:t>
      </w:r>
      <w:r w:rsidR="000D6435" w:rsidRPr="00F17C5F">
        <w:rPr>
          <w:rFonts w:ascii="Book Antiqua" w:hAnsi="Book Antiqua"/>
          <w:color w:val="000000" w:themeColor="text1"/>
          <w:vertAlign w:val="superscript"/>
        </w:rPr>
        <w:t>[</w:t>
      </w:r>
      <w:r w:rsidR="0081053B" w:rsidRPr="00F17C5F">
        <w:rPr>
          <w:rFonts w:ascii="Book Antiqua" w:hAnsi="Book Antiqua"/>
          <w:color w:val="000000" w:themeColor="text1"/>
          <w:vertAlign w:val="superscript"/>
        </w:rPr>
        <w:t>8,9</w:t>
      </w:r>
      <w:r w:rsidR="000D6435" w:rsidRPr="00F17C5F">
        <w:rPr>
          <w:rFonts w:ascii="Book Antiqua" w:hAnsi="Book Antiqua"/>
          <w:color w:val="000000" w:themeColor="text1"/>
          <w:vertAlign w:val="superscript"/>
        </w:rPr>
        <w:t>]</w:t>
      </w:r>
      <w:r w:rsidR="001F6175" w:rsidRPr="00F17C5F">
        <w:rPr>
          <w:rFonts w:ascii="Book Antiqua" w:hAnsi="Book Antiqua"/>
          <w:color w:val="000000" w:themeColor="text1"/>
        </w:rPr>
        <w:t>.</w:t>
      </w:r>
    </w:p>
    <w:p w14:paraId="533B7A44" w14:textId="0F6B946B" w:rsidR="00054119" w:rsidRPr="00F17C5F" w:rsidRDefault="003F1BA5" w:rsidP="00F17C5F">
      <w:pPr>
        <w:spacing w:after="0" w:line="360" w:lineRule="auto"/>
        <w:ind w:firstLineChars="200" w:firstLine="480"/>
        <w:jc w:val="both"/>
        <w:rPr>
          <w:rFonts w:ascii="Book Antiqua" w:hAnsi="Book Antiqua"/>
          <w:color w:val="000000" w:themeColor="text1"/>
        </w:rPr>
      </w:pPr>
      <w:r w:rsidRPr="00F17C5F">
        <w:rPr>
          <w:rFonts w:ascii="Book Antiqua" w:hAnsi="Book Antiqua"/>
          <w:color w:val="000000" w:themeColor="text1"/>
        </w:rPr>
        <w:t>While commonly used to categorize and stratify patients by height and weight, body mass index is used less frequently as a size descriptor for drug dosing.</w:t>
      </w:r>
      <w:r w:rsidR="000C28EB" w:rsidRPr="00F17C5F">
        <w:rPr>
          <w:rFonts w:ascii="Book Antiqua" w:hAnsi="Book Antiqua"/>
          <w:color w:val="000000" w:themeColor="text1"/>
        </w:rPr>
        <w:t xml:space="preserve"> </w:t>
      </w:r>
      <w:r w:rsidR="005A759B" w:rsidRPr="00F17C5F">
        <w:rPr>
          <w:rFonts w:ascii="Book Antiqua" w:hAnsi="Book Antiqua"/>
          <w:color w:val="000000" w:themeColor="text1"/>
        </w:rPr>
        <w:t>T</w:t>
      </w:r>
      <w:r w:rsidRPr="00F17C5F">
        <w:rPr>
          <w:rFonts w:ascii="Book Antiqua" w:hAnsi="Book Antiqua"/>
          <w:color w:val="000000" w:themeColor="text1"/>
        </w:rPr>
        <w:t xml:space="preserve">he choice </w:t>
      </w:r>
      <w:r w:rsidR="0025093D" w:rsidRPr="00F17C5F">
        <w:rPr>
          <w:rFonts w:ascii="Book Antiqua" w:hAnsi="Book Antiqua"/>
          <w:color w:val="000000" w:themeColor="text1"/>
        </w:rPr>
        <w:t xml:space="preserve">of size descriptor </w:t>
      </w:r>
      <w:r w:rsidR="005A759B" w:rsidRPr="00F17C5F">
        <w:rPr>
          <w:rFonts w:ascii="Book Antiqua" w:hAnsi="Book Antiqua"/>
          <w:color w:val="000000" w:themeColor="text1"/>
        </w:rPr>
        <w:t xml:space="preserve">for drug dosing </w:t>
      </w:r>
      <w:r w:rsidRPr="00F17C5F">
        <w:rPr>
          <w:rFonts w:ascii="Book Antiqua" w:hAnsi="Book Antiqua"/>
          <w:color w:val="000000" w:themeColor="text1"/>
        </w:rPr>
        <w:t>is between actual body weight</w:t>
      </w:r>
      <w:r w:rsidR="005A759B" w:rsidRPr="00F17C5F">
        <w:rPr>
          <w:rFonts w:ascii="Book Antiqua" w:hAnsi="Book Antiqua"/>
          <w:color w:val="000000" w:themeColor="text1"/>
        </w:rPr>
        <w:t xml:space="preserve"> or some type of</w:t>
      </w:r>
      <w:r w:rsidRPr="00F17C5F">
        <w:rPr>
          <w:rFonts w:ascii="Book Antiqua" w:hAnsi="Book Antiqua"/>
          <w:color w:val="000000" w:themeColor="text1"/>
        </w:rPr>
        <w:t xml:space="preserve"> adjusted </w:t>
      </w:r>
      <w:r w:rsidR="005A759B" w:rsidRPr="00F17C5F">
        <w:rPr>
          <w:rFonts w:ascii="Book Antiqua" w:hAnsi="Book Antiqua"/>
          <w:color w:val="000000" w:themeColor="text1"/>
        </w:rPr>
        <w:t xml:space="preserve">body </w:t>
      </w:r>
      <w:r w:rsidRPr="00F17C5F">
        <w:rPr>
          <w:rFonts w:ascii="Book Antiqua" w:hAnsi="Book Antiqua"/>
          <w:color w:val="000000" w:themeColor="text1"/>
        </w:rPr>
        <w:t>weight.</w:t>
      </w:r>
      <w:r w:rsidR="000C28EB" w:rsidRPr="00F17C5F">
        <w:rPr>
          <w:rFonts w:ascii="Book Antiqua" w:hAnsi="Book Antiqua"/>
          <w:color w:val="000000" w:themeColor="text1"/>
        </w:rPr>
        <w:t xml:space="preserve"> </w:t>
      </w:r>
      <w:r w:rsidR="002876A4" w:rsidRPr="00F17C5F">
        <w:rPr>
          <w:rFonts w:ascii="Book Antiqua" w:hAnsi="Book Antiqua"/>
          <w:color w:val="000000" w:themeColor="text1"/>
        </w:rPr>
        <w:t>Clearly, t</w:t>
      </w:r>
      <w:r w:rsidR="005A759B" w:rsidRPr="00F17C5F">
        <w:rPr>
          <w:rFonts w:ascii="Book Antiqua" w:hAnsi="Book Antiqua"/>
          <w:color w:val="000000" w:themeColor="text1"/>
        </w:rPr>
        <w:t xml:space="preserve">here are implications for </w:t>
      </w:r>
      <w:r w:rsidR="002876A4" w:rsidRPr="00F17C5F">
        <w:rPr>
          <w:rFonts w:ascii="Book Antiqua" w:hAnsi="Book Antiqua"/>
          <w:color w:val="000000" w:themeColor="text1"/>
        </w:rPr>
        <w:t>body composi</w:t>
      </w:r>
      <w:r w:rsidR="005A759B" w:rsidRPr="00F17C5F">
        <w:rPr>
          <w:rFonts w:ascii="Book Antiqua" w:hAnsi="Book Antiqua"/>
          <w:color w:val="000000" w:themeColor="text1"/>
        </w:rPr>
        <w:t>tion differences on medications dosed based by body</w:t>
      </w:r>
      <w:r w:rsidR="002876A4" w:rsidRPr="00F17C5F">
        <w:rPr>
          <w:rFonts w:ascii="Book Antiqua" w:hAnsi="Book Antiqua"/>
          <w:color w:val="000000" w:themeColor="text1"/>
        </w:rPr>
        <w:t xml:space="preserve"> weight</w:t>
      </w:r>
      <w:r w:rsidR="001A58ED" w:rsidRPr="00F17C5F">
        <w:rPr>
          <w:rFonts w:ascii="Book Antiqua" w:hAnsi="Book Antiqua"/>
          <w:color w:val="000000" w:themeColor="text1"/>
        </w:rPr>
        <w:t xml:space="preserve"> even when weight is appropriately measured</w:t>
      </w:r>
      <w:r w:rsidR="0081053B" w:rsidRPr="00F17C5F">
        <w:rPr>
          <w:rFonts w:ascii="Book Antiqua" w:hAnsi="Book Antiqua"/>
          <w:color w:val="000000" w:themeColor="text1"/>
          <w:vertAlign w:val="superscript"/>
        </w:rPr>
        <w:t>10</w:t>
      </w:r>
      <w:r w:rsidR="000D6435" w:rsidRPr="00F17C5F">
        <w:rPr>
          <w:rFonts w:ascii="Book Antiqua" w:hAnsi="Book Antiqua"/>
          <w:color w:val="000000" w:themeColor="text1"/>
          <w:vertAlign w:val="superscript"/>
        </w:rPr>
        <w:t>]</w:t>
      </w:r>
      <w:r w:rsidR="001F6175" w:rsidRPr="00F17C5F">
        <w:rPr>
          <w:rFonts w:ascii="Book Antiqua" w:hAnsi="Book Antiqua"/>
          <w:color w:val="000000" w:themeColor="text1"/>
        </w:rPr>
        <w:t>.</w:t>
      </w:r>
      <w:r w:rsidR="001F6175" w:rsidRPr="00F17C5F">
        <w:rPr>
          <w:rFonts w:ascii="Book Antiqua" w:hAnsi="Book Antiqua"/>
          <w:color w:val="000000" w:themeColor="text1"/>
          <w:lang w:eastAsia="zh-CN"/>
        </w:rPr>
        <w:t xml:space="preserve"> </w:t>
      </w:r>
      <w:r w:rsidR="00F86664" w:rsidRPr="00F17C5F">
        <w:rPr>
          <w:rFonts w:ascii="Book Antiqua" w:hAnsi="Book Antiqua"/>
          <w:color w:val="000000" w:themeColor="text1"/>
        </w:rPr>
        <w:t>Table</w:t>
      </w:r>
      <w:r w:rsidR="00772E20" w:rsidRPr="00F17C5F">
        <w:rPr>
          <w:rFonts w:ascii="Book Antiqua" w:hAnsi="Book Antiqua"/>
          <w:color w:val="000000" w:themeColor="text1"/>
        </w:rPr>
        <w:t xml:space="preserve"> 4</w:t>
      </w:r>
      <w:r w:rsidR="00054119" w:rsidRPr="00F17C5F">
        <w:rPr>
          <w:rFonts w:ascii="Book Antiqua" w:hAnsi="Book Antiqua"/>
          <w:color w:val="000000" w:themeColor="text1"/>
        </w:rPr>
        <w:t xml:space="preserve"> </w:t>
      </w:r>
      <w:r w:rsidR="00E63F5C" w:rsidRPr="00F17C5F">
        <w:rPr>
          <w:rFonts w:ascii="Book Antiqua" w:hAnsi="Book Antiqua"/>
          <w:color w:val="000000" w:themeColor="text1"/>
        </w:rPr>
        <w:t xml:space="preserve">describes some of the more important issues to consider relative </w:t>
      </w:r>
      <w:r w:rsidR="00095144" w:rsidRPr="00F17C5F">
        <w:rPr>
          <w:rFonts w:ascii="Book Antiqua" w:hAnsi="Book Antiqua"/>
          <w:color w:val="000000" w:themeColor="text1"/>
        </w:rPr>
        <w:t>to size descriptor measurements.</w:t>
      </w:r>
    </w:p>
    <w:p w14:paraId="2BCE6696" w14:textId="77777777" w:rsidR="00346C80" w:rsidRPr="00F17C5F" w:rsidRDefault="00346C80" w:rsidP="00F17C5F">
      <w:pPr>
        <w:spacing w:after="0" w:line="360" w:lineRule="auto"/>
        <w:jc w:val="both"/>
        <w:rPr>
          <w:rFonts w:ascii="Book Antiqua" w:hAnsi="Book Antiqua"/>
          <w:color w:val="000000" w:themeColor="text1"/>
        </w:rPr>
      </w:pPr>
    </w:p>
    <w:p w14:paraId="284240D7" w14:textId="4BA7ED5F" w:rsidR="00054119" w:rsidRPr="00F17C5F" w:rsidRDefault="00054119"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 xml:space="preserve">Pharmacokinetic </w:t>
      </w:r>
      <w:r w:rsidR="003155A9" w:rsidRPr="00F17C5F">
        <w:rPr>
          <w:rFonts w:ascii="Book Antiqua" w:hAnsi="Book Antiqua"/>
          <w:b/>
          <w:i/>
          <w:color w:val="000000" w:themeColor="text1"/>
        </w:rPr>
        <w:t>considerations and therapeutic drug monitoring</w:t>
      </w:r>
    </w:p>
    <w:p w14:paraId="10BE425D" w14:textId="2B7F96D6" w:rsidR="003D1656" w:rsidRPr="00F17C5F" w:rsidRDefault="009C4821"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Volume of distribution is the pharmacokinetic parameter of most importance for giving loading doses of drugs and it is expected that more liphophilic drugs would have more extensive distribution. L</w:t>
      </w:r>
      <w:r w:rsidR="003D1656" w:rsidRPr="00F17C5F">
        <w:rPr>
          <w:rFonts w:ascii="Book Antiqua" w:hAnsi="Book Antiqua"/>
          <w:color w:val="000000" w:themeColor="text1"/>
        </w:rPr>
        <w:t xml:space="preserve">ean body weight appears </w:t>
      </w:r>
      <w:r w:rsidRPr="00F17C5F">
        <w:rPr>
          <w:rFonts w:ascii="Book Antiqua" w:hAnsi="Book Antiqua"/>
          <w:color w:val="000000" w:themeColor="text1"/>
        </w:rPr>
        <w:t>to be more predictive of renal clearance than actual body weight for obese patients, but there is substantial variation in clearance in critically ill patients</w:t>
      </w:r>
      <w:r w:rsidR="00F84AD9" w:rsidRPr="00F17C5F">
        <w:rPr>
          <w:rFonts w:ascii="Book Antiqua" w:hAnsi="Book Antiqua"/>
          <w:color w:val="000000" w:themeColor="text1"/>
          <w:vertAlign w:val="superscript"/>
        </w:rPr>
        <w:t>[11,12]</w:t>
      </w:r>
      <w:r w:rsidR="001F6175"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757543" w:rsidRPr="00F17C5F">
        <w:rPr>
          <w:rFonts w:ascii="Book Antiqua" w:hAnsi="Book Antiqua"/>
          <w:color w:val="000000" w:themeColor="text1"/>
        </w:rPr>
        <w:t>Further, c</w:t>
      </w:r>
      <w:r w:rsidR="00085AF4" w:rsidRPr="00F17C5F">
        <w:rPr>
          <w:rFonts w:ascii="Book Antiqua" w:hAnsi="Book Antiqua"/>
          <w:color w:val="000000" w:themeColor="text1"/>
        </w:rPr>
        <w:t xml:space="preserve">ritically ill patients </w:t>
      </w:r>
      <w:r w:rsidR="00757543" w:rsidRPr="00F17C5F">
        <w:rPr>
          <w:rFonts w:ascii="Book Antiqua" w:hAnsi="Book Antiqua"/>
          <w:color w:val="000000" w:themeColor="text1"/>
        </w:rPr>
        <w:t xml:space="preserve">may have </w:t>
      </w:r>
      <w:r w:rsidR="00085AF4" w:rsidRPr="00F17C5F">
        <w:rPr>
          <w:rFonts w:ascii="Book Antiqua" w:hAnsi="Book Antiqua"/>
          <w:color w:val="000000" w:themeColor="text1"/>
        </w:rPr>
        <w:t>augmented measured creatinine clearance values</w:t>
      </w:r>
      <w:r w:rsidR="00F84AD9" w:rsidRPr="00F17C5F">
        <w:rPr>
          <w:rFonts w:ascii="Book Antiqua" w:hAnsi="Book Antiqua"/>
          <w:color w:val="000000" w:themeColor="text1"/>
          <w:vertAlign w:val="superscript"/>
        </w:rPr>
        <w:t>[13]</w:t>
      </w:r>
      <w:r w:rsidR="001F6175" w:rsidRPr="00F17C5F">
        <w:rPr>
          <w:rFonts w:ascii="Book Antiqua" w:hAnsi="Book Antiqua"/>
          <w:color w:val="000000" w:themeColor="text1"/>
        </w:rPr>
        <w:t>.</w:t>
      </w:r>
    </w:p>
    <w:p w14:paraId="6E049D7C" w14:textId="73FF0595" w:rsidR="00095144" w:rsidRPr="00F17C5F" w:rsidRDefault="003E4CCF" w:rsidP="00F17C5F">
      <w:pPr>
        <w:spacing w:after="0" w:line="360" w:lineRule="auto"/>
        <w:ind w:firstLineChars="200" w:firstLine="480"/>
        <w:jc w:val="both"/>
        <w:rPr>
          <w:rFonts w:ascii="Book Antiqua" w:hAnsi="Book Antiqua"/>
          <w:color w:val="000000" w:themeColor="text1"/>
        </w:rPr>
      </w:pPr>
      <w:r w:rsidRPr="00F17C5F">
        <w:rPr>
          <w:rFonts w:ascii="Book Antiqua" w:hAnsi="Book Antiqua"/>
          <w:color w:val="000000" w:themeColor="text1"/>
        </w:rPr>
        <w:t xml:space="preserve">An understanding of the concept of dose proportionality is important </w:t>
      </w:r>
      <w:r w:rsidR="00421833" w:rsidRPr="00F17C5F">
        <w:rPr>
          <w:rFonts w:ascii="Book Antiqua" w:hAnsi="Book Antiqua"/>
          <w:color w:val="000000" w:themeColor="text1"/>
        </w:rPr>
        <w:t xml:space="preserve">for deciding how to apply </w:t>
      </w:r>
      <w:r w:rsidRPr="00F17C5F">
        <w:rPr>
          <w:rFonts w:ascii="Book Antiqua" w:hAnsi="Book Antiqua"/>
          <w:color w:val="000000" w:themeColor="text1"/>
        </w:rPr>
        <w:t xml:space="preserve">pharmacokinetic data from </w:t>
      </w:r>
      <w:r w:rsidR="00421833" w:rsidRPr="00F17C5F">
        <w:rPr>
          <w:rFonts w:ascii="Book Antiqua" w:hAnsi="Book Antiqua"/>
          <w:color w:val="000000" w:themeColor="text1"/>
        </w:rPr>
        <w:t xml:space="preserve">patients with </w:t>
      </w:r>
      <w:r w:rsidR="00CE3F17" w:rsidRPr="00F17C5F">
        <w:rPr>
          <w:rFonts w:ascii="Book Antiqua" w:hAnsi="Book Antiqua"/>
          <w:color w:val="000000" w:themeColor="text1"/>
        </w:rPr>
        <w:t xml:space="preserve">near-normal </w:t>
      </w:r>
      <w:r w:rsidR="00421833" w:rsidRPr="00F17C5F">
        <w:rPr>
          <w:rFonts w:ascii="Book Antiqua" w:hAnsi="Book Antiqua"/>
          <w:color w:val="000000" w:themeColor="text1"/>
        </w:rPr>
        <w:t>body size and shape to patients with</w:t>
      </w:r>
      <w:r w:rsidR="00A07F80" w:rsidRPr="00F17C5F">
        <w:rPr>
          <w:rFonts w:ascii="Book Antiqua" w:hAnsi="Book Antiqua"/>
          <w:color w:val="000000" w:themeColor="text1"/>
        </w:rPr>
        <w:t xml:space="preserve"> more extreme forms of size, </w:t>
      </w:r>
      <w:r w:rsidR="00421833" w:rsidRPr="00F17C5F">
        <w:rPr>
          <w:rFonts w:ascii="Book Antiqua" w:hAnsi="Book Antiqua"/>
          <w:color w:val="000000" w:themeColor="text1"/>
        </w:rPr>
        <w:t>shape</w:t>
      </w:r>
      <w:r w:rsidR="00A07F80" w:rsidRPr="00F17C5F">
        <w:rPr>
          <w:rFonts w:ascii="Book Antiqua" w:hAnsi="Book Antiqua"/>
          <w:color w:val="000000" w:themeColor="text1"/>
        </w:rPr>
        <w:t xml:space="preserve"> and body composition</w:t>
      </w:r>
      <w:r w:rsidR="00B16425"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B16425" w:rsidRPr="00F17C5F">
        <w:rPr>
          <w:rFonts w:ascii="Book Antiqua" w:hAnsi="Book Antiqua"/>
          <w:color w:val="000000" w:themeColor="text1"/>
        </w:rPr>
        <w:t xml:space="preserve">Basically, </w:t>
      </w:r>
      <w:r w:rsidR="00A07F80" w:rsidRPr="00F17C5F">
        <w:rPr>
          <w:rFonts w:ascii="Book Antiqua" w:hAnsi="Book Antiqua"/>
          <w:color w:val="000000" w:themeColor="text1"/>
        </w:rPr>
        <w:t>dose proportionality suggests</w:t>
      </w:r>
      <w:r w:rsidR="00B16425" w:rsidRPr="00F17C5F">
        <w:rPr>
          <w:rFonts w:ascii="Book Antiqua" w:hAnsi="Book Antiqua"/>
          <w:color w:val="000000" w:themeColor="text1"/>
        </w:rPr>
        <w:t xml:space="preserve"> that </w:t>
      </w:r>
      <w:r w:rsidR="00CF538C" w:rsidRPr="00F17C5F">
        <w:rPr>
          <w:rFonts w:ascii="Book Antiqua" w:hAnsi="Book Antiqua"/>
          <w:color w:val="000000" w:themeColor="text1"/>
        </w:rPr>
        <w:t xml:space="preserve">pharmacokinetic parameters </w:t>
      </w:r>
      <w:r w:rsidR="00B16425" w:rsidRPr="00F17C5F">
        <w:rPr>
          <w:rFonts w:ascii="Book Antiqua" w:hAnsi="Book Antiqua"/>
          <w:color w:val="000000" w:themeColor="text1"/>
        </w:rPr>
        <w:t>change in the same direction and same degree as changes in body weight</w:t>
      </w:r>
      <w:r w:rsidR="00CF538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F86664" w:rsidRPr="00F17C5F">
        <w:rPr>
          <w:rFonts w:ascii="Book Antiqua" w:hAnsi="Book Antiqua"/>
          <w:color w:val="000000" w:themeColor="text1"/>
        </w:rPr>
        <w:t>Table</w:t>
      </w:r>
      <w:r w:rsidR="006958A9" w:rsidRPr="00F17C5F">
        <w:rPr>
          <w:rFonts w:ascii="Book Antiqua" w:hAnsi="Book Antiqua"/>
          <w:color w:val="000000" w:themeColor="text1"/>
        </w:rPr>
        <w:t>s</w:t>
      </w:r>
      <w:r w:rsidR="00421833" w:rsidRPr="00F17C5F">
        <w:rPr>
          <w:rFonts w:ascii="Book Antiqua" w:hAnsi="Book Antiqua"/>
          <w:color w:val="000000" w:themeColor="text1"/>
        </w:rPr>
        <w:t xml:space="preserve"> </w:t>
      </w:r>
      <w:r w:rsidR="00772E20" w:rsidRPr="00F17C5F">
        <w:rPr>
          <w:rFonts w:ascii="Book Antiqua" w:hAnsi="Book Antiqua"/>
          <w:color w:val="000000" w:themeColor="text1"/>
        </w:rPr>
        <w:t>5</w:t>
      </w:r>
      <w:r w:rsidR="00421833" w:rsidRPr="00F17C5F">
        <w:rPr>
          <w:rFonts w:ascii="Book Antiqua" w:hAnsi="Book Antiqua"/>
          <w:color w:val="000000" w:themeColor="text1"/>
        </w:rPr>
        <w:t xml:space="preserve"> </w:t>
      </w:r>
      <w:r w:rsidR="00772E20" w:rsidRPr="00F17C5F">
        <w:rPr>
          <w:rFonts w:ascii="Book Antiqua" w:hAnsi="Book Antiqua"/>
          <w:color w:val="000000" w:themeColor="text1"/>
        </w:rPr>
        <w:t>and 6</w:t>
      </w:r>
      <w:r w:rsidR="006958A9" w:rsidRPr="00F17C5F">
        <w:rPr>
          <w:rFonts w:ascii="Book Antiqua" w:hAnsi="Book Antiqua"/>
          <w:color w:val="000000" w:themeColor="text1"/>
        </w:rPr>
        <w:t xml:space="preserve"> describe </w:t>
      </w:r>
      <w:r w:rsidR="00C84290" w:rsidRPr="00F17C5F">
        <w:rPr>
          <w:rFonts w:ascii="Book Antiqua" w:hAnsi="Book Antiqua"/>
          <w:color w:val="000000" w:themeColor="text1"/>
        </w:rPr>
        <w:t xml:space="preserve">important </w:t>
      </w:r>
      <w:r w:rsidR="006958A9" w:rsidRPr="00F17C5F">
        <w:rPr>
          <w:rFonts w:ascii="Book Antiqua" w:hAnsi="Book Antiqua"/>
          <w:color w:val="000000" w:themeColor="text1"/>
        </w:rPr>
        <w:t>considerations when evaluating</w:t>
      </w:r>
      <w:r w:rsidR="00C84290" w:rsidRPr="00F17C5F">
        <w:rPr>
          <w:rFonts w:ascii="Book Antiqua" w:hAnsi="Book Antiqua"/>
          <w:color w:val="000000" w:themeColor="text1"/>
        </w:rPr>
        <w:t xml:space="preserve"> </w:t>
      </w:r>
      <w:r w:rsidR="006958A9" w:rsidRPr="00F17C5F">
        <w:rPr>
          <w:rFonts w:ascii="Book Antiqua" w:hAnsi="Book Antiqua"/>
          <w:color w:val="000000" w:themeColor="text1"/>
        </w:rPr>
        <w:t xml:space="preserve">pharmacokinetic and </w:t>
      </w:r>
      <w:r w:rsidR="00421833" w:rsidRPr="00F17C5F">
        <w:rPr>
          <w:rFonts w:ascii="Book Antiqua" w:hAnsi="Book Antiqua"/>
          <w:color w:val="000000" w:themeColor="text1"/>
        </w:rPr>
        <w:t>dose proportionality</w:t>
      </w:r>
      <w:r w:rsidR="006958A9" w:rsidRPr="00F17C5F">
        <w:rPr>
          <w:rFonts w:ascii="Book Antiqua" w:hAnsi="Book Antiqua"/>
          <w:color w:val="000000" w:themeColor="text1"/>
        </w:rPr>
        <w:t xml:space="preserve"> issues in critically ill patients</w:t>
      </w:r>
      <w:r w:rsidR="00095144" w:rsidRPr="00F17C5F">
        <w:rPr>
          <w:rFonts w:ascii="Book Antiqua" w:hAnsi="Book Antiqua"/>
          <w:color w:val="000000" w:themeColor="text1"/>
        </w:rPr>
        <w:t>.</w:t>
      </w:r>
    </w:p>
    <w:p w14:paraId="421A84A0" w14:textId="33634014" w:rsidR="006C06CA" w:rsidRPr="00F17C5F" w:rsidRDefault="003D1656" w:rsidP="00F17C5F">
      <w:pPr>
        <w:spacing w:after="0" w:line="360" w:lineRule="auto"/>
        <w:ind w:firstLineChars="200" w:firstLine="480"/>
        <w:jc w:val="both"/>
        <w:rPr>
          <w:rFonts w:ascii="Book Antiqua" w:hAnsi="Book Antiqua"/>
          <w:color w:val="000000" w:themeColor="text1"/>
        </w:rPr>
      </w:pPr>
      <w:r w:rsidRPr="00F17C5F">
        <w:rPr>
          <w:rFonts w:ascii="Book Antiqua" w:hAnsi="Book Antiqua"/>
          <w:color w:val="000000" w:themeColor="text1"/>
        </w:rPr>
        <w:t>Because drug dosing based on pharmacokinetic parameters is often insufficient to accurately predict pharmacologic effects in individual patients, therapeutic drug monitoring may help to provide additional information about the body’s handling of a drug.</w:t>
      </w:r>
      <w:r w:rsidR="000C28EB" w:rsidRPr="00F17C5F">
        <w:rPr>
          <w:rFonts w:ascii="Book Antiqua" w:hAnsi="Book Antiqua"/>
          <w:color w:val="000000" w:themeColor="text1"/>
        </w:rPr>
        <w:t xml:space="preserve"> </w:t>
      </w:r>
      <w:r w:rsidRPr="00F17C5F">
        <w:rPr>
          <w:rFonts w:ascii="Book Antiqua" w:hAnsi="Book Antiqua"/>
          <w:color w:val="000000" w:themeColor="text1"/>
        </w:rPr>
        <w:t xml:space="preserve">Unfortunately, in most clinical settings, only a limited number of drugs </w:t>
      </w:r>
      <w:r w:rsidR="00346C80" w:rsidRPr="00F17C5F">
        <w:rPr>
          <w:rFonts w:ascii="Book Antiqua" w:hAnsi="Book Antiqua"/>
          <w:color w:val="000000" w:themeColor="text1"/>
        </w:rPr>
        <w:t>have assays for assessing concentrations of the drugs in the body; even when such assays are available, they do not always have a clear-cut correlation with the pharmacodynamic and pharmacological properti</w:t>
      </w:r>
      <w:r w:rsidR="00317F26" w:rsidRPr="00F17C5F">
        <w:rPr>
          <w:rFonts w:ascii="Book Antiqua" w:hAnsi="Book Antiqua"/>
          <w:color w:val="000000" w:themeColor="text1"/>
        </w:rPr>
        <w:t>es of a p</w:t>
      </w:r>
      <w:r w:rsidR="00095144" w:rsidRPr="00F17C5F">
        <w:rPr>
          <w:rFonts w:ascii="Book Antiqua" w:hAnsi="Book Antiqua"/>
          <w:color w:val="000000" w:themeColor="text1"/>
        </w:rPr>
        <w:t>articular drug (</w:t>
      </w:r>
      <w:r w:rsidR="00F86664" w:rsidRPr="00F17C5F">
        <w:rPr>
          <w:rFonts w:ascii="Book Antiqua" w:hAnsi="Book Antiqua"/>
          <w:color w:val="000000" w:themeColor="text1"/>
        </w:rPr>
        <w:t>Table</w:t>
      </w:r>
      <w:r w:rsidR="00095144" w:rsidRPr="00F17C5F">
        <w:rPr>
          <w:rFonts w:ascii="Book Antiqua" w:hAnsi="Book Antiqua"/>
          <w:color w:val="000000" w:themeColor="text1"/>
        </w:rPr>
        <w:t xml:space="preserve"> </w:t>
      </w:r>
      <w:r w:rsidR="00772E20" w:rsidRPr="00F17C5F">
        <w:rPr>
          <w:rFonts w:ascii="Book Antiqua" w:hAnsi="Book Antiqua"/>
          <w:color w:val="000000" w:themeColor="text1"/>
        </w:rPr>
        <w:t>7</w:t>
      </w:r>
      <w:r w:rsidR="00346C80"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346C80" w:rsidRPr="00F17C5F">
        <w:rPr>
          <w:rFonts w:ascii="Book Antiqua" w:hAnsi="Book Antiqua"/>
          <w:color w:val="000000" w:themeColor="text1"/>
        </w:rPr>
        <w:t>Importantly</w:t>
      </w:r>
      <w:r w:rsidR="00382470" w:rsidRPr="00F17C5F">
        <w:rPr>
          <w:rFonts w:ascii="Book Antiqua" w:hAnsi="Book Antiqua"/>
          <w:color w:val="000000" w:themeColor="text1"/>
        </w:rPr>
        <w:t xml:space="preserve">, </w:t>
      </w:r>
      <w:r w:rsidRPr="00F17C5F">
        <w:rPr>
          <w:rFonts w:ascii="Book Antiqua" w:hAnsi="Book Antiqua"/>
          <w:color w:val="000000" w:themeColor="text1"/>
        </w:rPr>
        <w:t>this discussion of pharmacokinetics and therapeutic drug monitoring is based on generalizations and should not be used to guide dosing regimens of specific drugs.</w:t>
      </w:r>
      <w:r w:rsidR="000C28EB" w:rsidRPr="00F17C5F">
        <w:rPr>
          <w:rFonts w:ascii="Book Antiqua" w:hAnsi="Book Antiqua"/>
          <w:color w:val="000000" w:themeColor="text1"/>
        </w:rPr>
        <w:t xml:space="preserve"> </w:t>
      </w:r>
      <w:r w:rsidRPr="00F17C5F">
        <w:rPr>
          <w:rFonts w:ascii="Book Antiqua" w:hAnsi="Book Antiqua"/>
          <w:color w:val="000000" w:themeColor="text1"/>
        </w:rPr>
        <w:t>Instead, drug dosing regimens in patients of more extreme body compositions</w:t>
      </w:r>
      <w:r w:rsidR="00B87D45" w:rsidRPr="00F17C5F">
        <w:rPr>
          <w:rFonts w:ascii="Book Antiqua" w:hAnsi="Book Antiqua"/>
          <w:color w:val="000000" w:themeColor="text1"/>
        </w:rPr>
        <w:t xml:space="preserve"> </w:t>
      </w:r>
      <w:r w:rsidRPr="00F17C5F">
        <w:rPr>
          <w:rFonts w:ascii="Book Antiqua" w:hAnsi="Book Antiqua"/>
          <w:color w:val="000000" w:themeColor="text1"/>
        </w:rPr>
        <w:t xml:space="preserve">should be based on evidence from a variety of </w:t>
      </w:r>
      <w:r w:rsidR="00825605" w:rsidRPr="00F17C5F">
        <w:rPr>
          <w:rFonts w:ascii="Book Antiqua" w:hAnsi="Book Antiqua"/>
          <w:color w:val="000000" w:themeColor="text1"/>
        </w:rPr>
        <w:t>sources</w:t>
      </w:r>
      <w:r w:rsidR="00B87D45" w:rsidRPr="00F17C5F">
        <w:rPr>
          <w:rFonts w:ascii="Book Antiqua" w:hAnsi="Book Antiqua"/>
          <w:color w:val="000000" w:themeColor="text1"/>
        </w:rPr>
        <w:t xml:space="preserve"> as exemplified</w:t>
      </w:r>
      <w:r w:rsidR="00772E20" w:rsidRPr="00F17C5F">
        <w:rPr>
          <w:rFonts w:ascii="Book Antiqua" w:hAnsi="Book Antiqua"/>
          <w:color w:val="000000" w:themeColor="text1"/>
        </w:rPr>
        <w:t xml:space="preserve"> by the approach used in </w:t>
      </w:r>
      <w:r w:rsidR="00F86664" w:rsidRPr="00F17C5F">
        <w:rPr>
          <w:rFonts w:ascii="Book Antiqua" w:hAnsi="Book Antiqua"/>
          <w:color w:val="000000" w:themeColor="text1"/>
        </w:rPr>
        <w:t>Table</w:t>
      </w:r>
      <w:r w:rsidR="00772E20" w:rsidRPr="00F17C5F">
        <w:rPr>
          <w:rFonts w:ascii="Book Antiqua" w:hAnsi="Book Antiqua"/>
          <w:color w:val="000000" w:themeColor="text1"/>
        </w:rPr>
        <w:t xml:space="preserve"> 8</w:t>
      </w:r>
      <w:r w:rsidR="00B87D45" w:rsidRPr="00F17C5F">
        <w:rPr>
          <w:rFonts w:ascii="Book Antiqua" w:hAnsi="Book Antiqua"/>
          <w:color w:val="000000" w:themeColor="text1"/>
        </w:rPr>
        <w:t xml:space="preserve"> for obese patients.</w:t>
      </w:r>
    </w:p>
    <w:p w14:paraId="0E5EBB3B" w14:textId="77777777" w:rsidR="00C96843" w:rsidRPr="00F17C5F" w:rsidRDefault="00C96843" w:rsidP="00F17C5F">
      <w:pPr>
        <w:spacing w:after="0" w:line="360" w:lineRule="auto"/>
        <w:jc w:val="both"/>
        <w:rPr>
          <w:rFonts w:ascii="Book Antiqua" w:hAnsi="Book Antiqua"/>
          <w:b/>
          <w:color w:val="000000" w:themeColor="text1"/>
        </w:rPr>
      </w:pPr>
    </w:p>
    <w:p w14:paraId="63417663" w14:textId="530DDE16" w:rsidR="006C06CA" w:rsidRPr="00F17C5F" w:rsidRDefault="00703751" w:rsidP="00F17C5F">
      <w:pPr>
        <w:spacing w:after="0" w:line="360" w:lineRule="auto"/>
        <w:jc w:val="both"/>
        <w:rPr>
          <w:rFonts w:ascii="Book Antiqua" w:hAnsi="Book Antiqua"/>
          <w:b/>
          <w:color w:val="000000" w:themeColor="text1"/>
        </w:rPr>
      </w:pPr>
      <w:r w:rsidRPr="00F17C5F">
        <w:rPr>
          <w:rFonts w:ascii="Book Antiqua" w:hAnsi="Book Antiqua"/>
          <w:b/>
          <w:color w:val="000000" w:themeColor="text1"/>
        </w:rPr>
        <w:t>PART 2</w:t>
      </w:r>
    </w:p>
    <w:p w14:paraId="61679765" w14:textId="7B23AEA1" w:rsidR="0000039E" w:rsidRPr="00F17C5F" w:rsidRDefault="005040E2"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Drug</w:t>
      </w:r>
      <w:r w:rsidR="003155A9" w:rsidRPr="00F17C5F">
        <w:rPr>
          <w:rFonts w:ascii="Book Antiqua" w:hAnsi="Book Antiqua"/>
          <w:b/>
          <w:i/>
          <w:color w:val="000000" w:themeColor="text1"/>
        </w:rPr>
        <w:t xml:space="preserve"> dosing in obese patients</w:t>
      </w:r>
    </w:p>
    <w:p w14:paraId="5E27D8F4" w14:textId="5FEE07CA" w:rsidR="00331730" w:rsidRPr="00F17C5F" w:rsidRDefault="0000039E"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It is not surprising that epidemiological studies continue to track the prevalence and markers (</w:t>
      </w:r>
      <w:r w:rsidRPr="00F17C5F">
        <w:rPr>
          <w:rFonts w:ascii="Book Antiqua" w:hAnsi="Book Antiqua"/>
          <w:i/>
          <w:color w:val="000000" w:themeColor="text1"/>
        </w:rPr>
        <w:t>e.g.,</w:t>
      </w:r>
      <w:r w:rsidRPr="00F17C5F">
        <w:rPr>
          <w:rFonts w:ascii="Book Antiqua" w:hAnsi="Book Antiqua"/>
          <w:color w:val="000000" w:themeColor="text1"/>
        </w:rPr>
        <w:t xml:space="preserve"> body mass index) of obesity </w:t>
      </w:r>
      <w:r w:rsidR="00C53463" w:rsidRPr="00F17C5F">
        <w:rPr>
          <w:rFonts w:ascii="Book Antiqua" w:hAnsi="Book Antiqua"/>
          <w:color w:val="000000" w:themeColor="text1"/>
        </w:rPr>
        <w:t>and associated health outcomes.</w:t>
      </w:r>
      <w:r w:rsidR="000C28EB" w:rsidRPr="00F17C5F">
        <w:rPr>
          <w:rFonts w:ascii="Book Antiqua" w:hAnsi="Book Antiqua"/>
          <w:color w:val="000000" w:themeColor="text1"/>
        </w:rPr>
        <w:t xml:space="preserve"> </w:t>
      </w:r>
      <w:r w:rsidR="00C53463" w:rsidRPr="00F17C5F">
        <w:rPr>
          <w:rFonts w:ascii="Book Antiqua" w:hAnsi="Book Antiqua"/>
          <w:color w:val="000000" w:themeColor="text1"/>
        </w:rPr>
        <w:t xml:space="preserve">What is surprising is the relative lack of data on drug dosing in obesity, particularly in patients with </w:t>
      </w:r>
      <w:r w:rsidR="001838CC" w:rsidRPr="00F17C5F">
        <w:rPr>
          <w:rFonts w:ascii="Book Antiqua" w:hAnsi="Book Antiqua"/>
          <w:color w:val="000000" w:themeColor="text1"/>
        </w:rPr>
        <w:t>more extreme forms of obesity</w:t>
      </w:r>
      <w:r w:rsidR="00F84AD9" w:rsidRPr="00F17C5F">
        <w:rPr>
          <w:rFonts w:ascii="Book Antiqua" w:hAnsi="Book Antiqua"/>
          <w:color w:val="000000" w:themeColor="text1"/>
          <w:vertAlign w:val="superscript"/>
        </w:rPr>
        <w:t>[</w:t>
      </w:r>
      <w:r w:rsidR="00232CD9" w:rsidRPr="00F17C5F">
        <w:rPr>
          <w:rFonts w:ascii="Book Antiqua" w:hAnsi="Book Antiqua"/>
          <w:color w:val="000000" w:themeColor="text1"/>
          <w:vertAlign w:val="superscript"/>
        </w:rPr>
        <w:t>14</w:t>
      </w:r>
      <w:r w:rsidR="00F84AD9"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C53463" w:rsidRPr="00F17C5F">
        <w:rPr>
          <w:rFonts w:ascii="Book Antiqua" w:hAnsi="Book Antiqua"/>
          <w:color w:val="000000" w:themeColor="text1"/>
        </w:rPr>
        <w:t>Currently, there is no mandate that product labeling provide information on drug dosing in obesity, or for that matter, what weight should be used for weig</w:t>
      </w:r>
      <w:r w:rsidR="00C10223" w:rsidRPr="00F17C5F">
        <w:rPr>
          <w:rFonts w:ascii="Book Antiqua" w:hAnsi="Book Antiqua"/>
          <w:color w:val="000000" w:themeColor="text1"/>
        </w:rPr>
        <w:t>ht-based dosing of medications.</w:t>
      </w:r>
      <w:r w:rsidR="000C28EB" w:rsidRPr="00F17C5F">
        <w:rPr>
          <w:rFonts w:ascii="Book Antiqua" w:hAnsi="Book Antiqua"/>
          <w:color w:val="000000" w:themeColor="text1"/>
        </w:rPr>
        <w:t xml:space="preserve"> </w:t>
      </w:r>
      <w:r w:rsidR="00C53463" w:rsidRPr="00F17C5F">
        <w:rPr>
          <w:rFonts w:ascii="Book Antiqua" w:hAnsi="Book Antiqua"/>
          <w:color w:val="000000" w:themeColor="text1"/>
        </w:rPr>
        <w:t xml:space="preserve">Even the word “weight” </w:t>
      </w:r>
      <w:r w:rsidR="00A65086" w:rsidRPr="00F17C5F">
        <w:rPr>
          <w:rFonts w:ascii="Book Antiqua" w:hAnsi="Book Antiqua"/>
          <w:color w:val="000000" w:themeColor="text1"/>
        </w:rPr>
        <w:t xml:space="preserve">as used </w:t>
      </w:r>
      <w:r w:rsidR="00C53463" w:rsidRPr="00F17C5F">
        <w:rPr>
          <w:rFonts w:ascii="Book Antiqua" w:hAnsi="Book Antiqua"/>
          <w:color w:val="000000" w:themeColor="text1"/>
        </w:rPr>
        <w:t>in most product brochures</w:t>
      </w:r>
      <w:r w:rsidR="00A65086" w:rsidRPr="00F17C5F">
        <w:rPr>
          <w:rFonts w:ascii="Book Antiqua" w:hAnsi="Book Antiqua"/>
          <w:color w:val="000000" w:themeColor="text1"/>
        </w:rPr>
        <w:t xml:space="preserve"> is not defined, so an assumption is usually made by clinicians that the term is referring to actual body weight.</w:t>
      </w:r>
      <w:r w:rsidR="000C28EB" w:rsidRPr="00F17C5F">
        <w:rPr>
          <w:rFonts w:ascii="Book Antiqua" w:hAnsi="Book Antiqua"/>
          <w:color w:val="000000" w:themeColor="text1"/>
        </w:rPr>
        <w:t xml:space="preserve"> </w:t>
      </w:r>
      <w:r w:rsidR="00F47CB9" w:rsidRPr="00F17C5F">
        <w:rPr>
          <w:rFonts w:ascii="Book Antiqua" w:hAnsi="Book Antiqua"/>
          <w:color w:val="000000" w:themeColor="text1"/>
        </w:rPr>
        <w:t>For drugs that have non-weight-based dosing regimens (</w:t>
      </w:r>
      <w:r w:rsidR="00F47CB9" w:rsidRPr="00F17C5F">
        <w:rPr>
          <w:rFonts w:ascii="Book Antiqua" w:hAnsi="Book Antiqua"/>
          <w:i/>
          <w:color w:val="000000" w:themeColor="text1"/>
        </w:rPr>
        <w:t>e.g.,</w:t>
      </w:r>
      <w:r w:rsidR="00F47CB9" w:rsidRPr="00F17C5F">
        <w:rPr>
          <w:rFonts w:ascii="Book Antiqua" w:hAnsi="Book Antiqua"/>
          <w:color w:val="000000" w:themeColor="text1"/>
        </w:rPr>
        <w:t xml:space="preserve"> mg per dose rather than mg/kg per dose), the clinician make elect to use the higher end of the dosing range for drugs with a rather wide therapeutic index.</w:t>
      </w:r>
      <w:r w:rsidR="000C28EB" w:rsidRPr="00F17C5F">
        <w:rPr>
          <w:rFonts w:ascii="Book Antiqua" w:hAnsi="Book Antiqua"/>
          <w:color w:val="000000" w:themeColor="text1"/>
        </w:rPr>
        <w:t xml:space="preserve"> </w:t>
      </w:r>
      <w:r w:rsidR="00F47CB9" w:rsidRPr="00F17C5F">
        <w:rPr>
          <w:rFonts w:ascii="Book Antiqua" w:hAnsi="Book Antiqua"/>
          <w:color w:val="000000" w:themeColor="text1"/>
        </w:rPr>
        <w:t>The issue becomes more complicated for weight-based dosing regimens in which the choice of weight is not clear.</w:t>
      </w:r>
    </w:p>
    <w:p w14:paraId="39BAEB9F" w14:textId="0C04DD9C" w:rsidR="00873A1D" w:rsidRPr="00F17C5F" w:rsidRDefault="00F47CB9" w:rsidP="00F17C5F">
      <w:pPr>
        <w:spacing w:after="0" w:line="360" w:lineRule="auto"/>
        <w:ind w:firstLineChars="200" w:firstLine="480"/>
        <w:jc w:val="both"/>
        <w:rPr>
          <w:rFonts w:ascii="Book Antiqua" w:hAnsi="Book Antiqua"/>
          <w:color w:val="000000" w:themeColor="text1"/>
          <w:lang w:eastAsia="zh-CN"/>
        </w:rPr>
      </w:pPr>
      <w:r w:rsidRPr="00F17C5F">
        <w:rPr>
          <w:rFonts w:ascii="Book Antiqua" w:hAnsi="Book Antiqua"/>
          <w:color w:val="000000" w:themeColor="text1"/>
        </w:rPr>
        <w:t>When dosing an obese patient on a drug that does not include specific recommendations in the product labeling, the first step should be to perform a literature search looking for relevant investigations.</w:t>
      </w:r>
      <w:r w:rsidR="000C28EB" w:rsidRPr="00F17C5F">
        <w:rPr>
          <w:rFonts w:ascii="Book Antiqua" w:hAnsi="Book Antiqua"/>
          <w:color w:val="000000" w:themeColor="text1"/>
        </w:rPr>
        <w:t xml:space="preserve"> </w:t>
      </w:r>
      <w:r w:rsidRPr="00F17C5F">
        <w:rPr>
          <w:rFonts w:ascii="Book Antiqua" w:hAnsi="Book Antiqua"/>
          <w:color w:val="000000" w:themeColor="text1"/>
        </w:rPr>
        <w:t>The clinician may find that key studies involving a drug included patients with more mild to moderate forms of obesity (body mass index &lt; 35), suggesting that weight-based dosing with the use of actual body weight is applicable.</w:t>
      </w:r>
      <w:r w:rsidR="000C28EB" w:rsidRPr="00F17C5F">
        <w:rPr>
          <w:rFonts w:ascii="Book Antiqua" w:hAnsi="Book Antiqua"/>
          <w:color w:val="000000" w:themeColor="text1"/>
        </w:rPr>
        <w:t xml:space="preserve"> </w:t>
      </w:r>
      <w:r w:rsidR="00941817" w:rsidRPr="00F17C5F">
        <w:rPr>
          <w:rFonts w:ascii="Book Antiqua" w:hAnsi="Book Antiqua"/>
          <w:color w:val="000000" w:themeColor="text1"/>
        </w:rPr>
        <w:t>When such studies with direct applicability to a particular patient are not available, the clinician will likely have to extrapolate from the evidence that does exist; often, this evidence is limited to pharmacokinetic investigations where an assessment of dose proportionality is needed.</w:t>
      </w:r>
      <w:r w:rsidR="00621D32" w:rsidRPr="00F17C5F">
        <w:rPr>
          <w:rFonts w:ascii="Book Antiqua" w:hAnsi="Book Antiqua"/>
          <w:color w:val="000000" w:themeColor="text1"/>
        </w:rPr>
        <w:t xml:space="preserve"> F</w:t>
      </w:r>
      <w:r w:rsidR="00317F26" w:rsidRPr="00F17C5F">
        <w:rPr>
          <w:rFonts w:ascii="Book Antiqua" w:hAnsi="Book Antiqua"/>
          <w:color w:val="000000" w:themeColor="text1"/>
        </w:rPr>
        <w:t>or the majority of drugs</w:t>
      </w:r>
      <w:r w:rsidR="00621D32" w:rsidRPr="00F17C5F">
        <w:rPr>
          <w:rFonts w:ascii="Book Antiqua" w:hAnsi="Book Antiqua"/>
          <w:color w:val="000000" w:themeColor="text1"/>
        </w:rPr>
        <w:t xml:space="preserve"> commonly used in the ICU setting,</w:t>
      </w:r>
      <w:r w:rsidR="00317F26" w:rsidRPr="00F17C5F">
        <w:rPr>
          <w:rFonts w:ascii="Book Antiqua" w:hAnsi="Book Antiqua"/>
          <w:color w:val="000000" w:themeColor="text1"/>
        </w:rPr>
        <w:t xml:space="preserve"> there is little evidence to suggest the use of actual body weight for weight-based dosing regimens</w:t>
      </w:r>
      <w:r w:rsidR="00B74E79" w:rsidRPr="00F17C5F">
        <w:rPr>
          <w:rFonts w:ascii="Book Antiqua" w:hAnsi="Book Antiqua"/>
          <w:color w:val="000000" w:themeColor="text1"/>
        </w:rPr>
        <w:t xml:space="preserve"> in more severe forms of obesity</w:t>
      </w:r>
      <w:r w:rsidR="00F84AD9" w:rsidRPr="00F17C5F">
        <w:rPr>
          <w:rFonts w:ascii="Book Antiqua" w:hAnsi="Book Antiqua"/>
          <w:color w:val="000000" w:themeColor="text1"/>
          <w:vertAlign w:val="superscript"/>
        </w:rPr>
        <w:t>[15]</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317F26" w:rsidRPr="00F17C5F">
        <w:rPr>
          <w:rFonts w:ascii="Book Antiqua" w:hAnsi="Book Antiqua"/>
          <w:color w:val="000000" w:themeColor="text1"/>
        </w:rPr>
        <w:t>The recommendation for the use of actual body weight for maintenance dosing of vancomy</w:t>
      </w:r>
      <w:r w:rsidR="00621D32" w:rsidRPr="00F17C5F">
        <w:rPr>
          <w:rFonts w:ascii="Book Antiqua" w:hAnsi="Book Antiqua"/>
          <w:color w:val="000000" w:themeColor="text1"/>
        </w:rPr>
        <w:t>c</w:t>
      </w:r>
      <w:r w:rsidR="00317F26" w:rsidRPr="00F17C5F">
        <w:rPr>
          <w:rFonts w:ascii="Book Antiqua" w:hAnsi="Book Antiqua"/>
          <w:color w:val="000000" w:themeColor="text1"/>
        </w:rPr>
        <w:t>in is a notable exception, not the rule</w:t>
      </w:r>
      <w:r w:rsidR="00C10223" w:rsidRPr="00F17C5F">
        <w:rPr>
          <w:rFonts w:ascii="Book Antiqua" w:hAnsi="Book Antiqua"/>
          <w:color w:val="000000" w:themeColor="text1"/>
        </w:rPr>
        <w:t>,</w:t>
      </w:r>
      <w:r w:rsidR="00317F26" w:rsidRPr="00F17C5F">
        <w:rPr>
          <w:rFonts w:ascii="Book Antiqua" w:hAnsi="Book Antiqua"/>
          <w:color w:val="000000" w:themeColor="text1"/>
        </w:rPr>
        <w:t xml:space="preserve"> for most of these drugs.</w:t>
      </w:r>
      <w:r w:rsidR="000C28EB" w:rsidRPr="00F17C5F">
        <w:rPr>
          <w:rFonts w:ascii="Book Antiqua" w:hAnsi="Book Antiqua"/>
          <w:color w:val="000000" w:themeColor="text1"/>
        </w:rPr>
        <w:t xml:space="preserve"> </w:t>
      </w:r>
      <w:r w:rsidR="001A16A0" w:rsidRPr="00F17C5F">
        <w:rPr>
          <w:rFonts w:ascii="Book Antiqua" w:hAnsi="Book Antiqua"/>
          <w:color w:val="000000" w:themeColor="text1"/>
        </w:rPr>
        <w:t>This is not totally unexpected given that many of these drugs are eliminated by the kidneys and the most accurate estimations of creatinine clearance in more extreme forms of obesity have been made usin</w:t>
      </w:r>
      <w:r w:rsidR="00973253" w:rsidRPr="00F17C5F">
        <w:rPr>
          <w:rFonts w:ascii="Book Antiqua" w:hAnsi="Book Antiqua"/>
          <w:color w:val="000000" w:themeColor="text1"/>
        </w:rPr>
        <w:t xml:space="preserve">g equations based on lean or another form of </w:t>
      </w:r>
      <w:r w:rsidR="001838CC" w:rsidRPr="00F17C5F">
        <w:rPr>
          <w:rFonts w:ascii="Book Antiqua" w:hAnsi="Book Antiqua"/>
          <w:color w:val="000000" w:themeColor="text1"/>
        </w:rPr>
        <w:t>adjusted body weight</w:t>
      </w:r>
      <w:r w:rsidR="00F84AD9"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16</w:t>
      </w:r>
      <w:r w:rsidR="00F84AD9"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F84AD9" w:rsidRPr="00F17C5F">
        <w:rPr>
          <w:rFonts w:ascii="Book Antiqua" w:hAnsi="Book Antiqua"/>
          <w:color w:val="000000" w:themeColor="text1"/>
        </w:rPr>
        <w:t xml:space="preserve"> </w:t>
      </w:r>
      <w:r w:rsidR="00650ABC" w:rsidRPr="00F17C5F">
        <w:rPr>
          <w:rFonts w:ascii="Book Antiqua" w:hAnsi="Book Antiqua"/>
          <w:color w:val="000000" w:themeColor="text1"/>
        </w:rPr>
        <w:t>Similarly, loading doses of drugs that primarily distribute into the intravascular compartment would likely require dosing based on a lean or adjusted body weight for weight-based dosing regimens given that blood volume does not increase proportionally to increasing fat weight</w:t>
      </w:r>
      <w:r w:rsidR="000B550D" w:rsidRPr="00F17C5F">
        <w:rPr>
          <w:rFonts w:ascii="Book Antiqua" w:hAnsi="Book Antiqua"/>
          <w:color w:val="000000" w:themeColor="text1"/>
        </w:rPr>
        <w:t>; i</w:t>
      </w:r>
      <w:r w:rsidR="00650ABC" w:rsidRPr="00F17C5F">
        <w:rPr>
          <w:rFonts w:ascii="Book Antiqua" w:hAnsi="Book Antiqua"/>
          <w:color w:val="000000" w:themeColor="text1"/>
        </w:rPr>
        <w:t>mportantly, the standard variation of both creatinine clearance and plasma volume measurements become larger i</w:t>
      </w:r>
      <w:r w:rsidR="001838CC" w:rsidRPr="00F17C5F">
        <w:rPr>
          <w:rFonts w:ascii="Book Antiqua" w:hAnsi="Book Antiqua"/>
          <w:color w:val="000000" w:themeColor="text1"/>
        </w:rPr>
        <w:t>n more severely obese patients</w:t>
      </w:r>
      <w:r w:rsidR="00F84AD9" w:rsidRPr="00F17C5F">
        <w:rPr>
          <w:rFonts w:ascii="Book Antiqua" w:hAnsi="Book Antiqua"/>
          <w:color w:val="000000" w:themeColor="text1"/>
          <w:vertAlign w:val="superscript"/>
        </w:rPr>
        <w:t>[17,18]</w:t>
      </w:r>
      <w:r w:rsidR="001838CC" w:rsidRPr="00F17C5F">
        <w:rPr>
          <w:rFonts w:ascii="Book Antiqua" w:hAnsi="Book Antiqua"/>
          <w:color w:val="000000" w:themeColor="text1"/>
        </w:rPr>
        <w:t>.</w:t>
      </w:r>
    </w:p>
    <w:p w14:paraId="31B65D39" w14:textId="77777777" w:rsidR="001838CC" w:rsidRPr="00F17C5F" w:rsidRDefault="001838CC" w:rsidP="00F17C5F">
      <w:pPr>
        <w:spacing w:after="0" w:line="360" w:lineRule="auto"/>
        <w:jc w:val="both"/>
        <w:rPr>
          <w:rFonts w:ascii="Book Antiqua" w:hAnsi="Book Antiqua"/>
          <w:color w:val="000000" w:themeColor="text1"/>
          <w:lang w:eastAsia="zh-CN"/>
        </w:rPr>
      </w:pPr>
    </w:p>
    <w:p w14:paraId="52EE0A94" w14:textId="77777777" w:rsidR="000B550D" w:rsidRPr="00F17C5F" w:rsidRDefault="000B550D"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Recommendation</w:t>
      </w:r>
      <w:r w:rsidR="00DD4909" w:rsidRPr="00F17C5F">
        <w:rPr>
          <w:rFonts w:ascii="Book Antiqua" w:hAnsi="Book Antiqua"/>
          <w:b/>
          <w:i/>
          <w:color w:val="000000" w:themeColor="text1"/>
        </w:rPr>
        <w:t>s</w:t>
      </w:r>
    </w:p>
    <w:p w14:paraId="1118A51D" w14:textId="53C5963B" w:rsidR="000B550D" w:rsidRPr="00F17C5F" w:rsidRDefault="000B550D"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For patients with mild-m</w:t>
      </w:r>
      <w:r w:rsidR="007859C0" w:rsidRPr="00F17C5F">
        <w:rPr>
          <w:rFonts w:ascii="Book Antiqua" w:hAnsi="Book Antiqua"/>
          <w:color w:val="000000" w:themeColor="text1"/>
        </w:rPr>
        <w:t>oderate forms of obesity (</w:t>
      </w:r>
      <w:r w:rsidRPr="00F17C5F">
        <w:rPr>
          <w:rFonts w:ascii="Book Antiqua" w:hAnsi="Book Antiqua"/>
          <w:color w:val="000000" w:themeColor="text1"/>
        </w:rPr>
        <w:t xml:space="preserve">BMI &lt; 35), dosing recommendations provided in the product information and other reputable drug information sources are usually appropriate since the studies that led to drug approval likely included </w:t>
      </w:r>
      <w:r w:rsidR="007859C0" w:rsidRPr="00F17C5F">
        <w:rPr>
          <w:rFonts w:ascii="Book Antiqua" w:hAnsi="Book Antiqua"/>
          <w:color w:val="000000" w:themeColor="text1"/>
        </w:rPr>
        <w:t>such patients.</w:t>
      </w:r>
      <w:r w:rsidR="000C28EB" w:rsidRPr="00F17C5F">
        <w:rPr>
          <w:rFonts w:ascii="Book Antiqua" w:hAnsi="Book Antiqua"/>
          <w:color w:val="000000" w:themeColor="text1"/>
        </w:rPr>
        <w:t xml:space="preserve"> </w:t>
      </w:r>
      <w:r w:rsidR="007859C0" w:rsidRPr="00F17C5F">
        <w:rPr>
          <w:rFonts w:ascii="Book Antiqua" w:hAnsi="Book Antiqua"/>
          <w:color w:val="000000" w:themeColor="text1"/>
        </w:rPr>
        <w:t>The issue of dosing is more complicated in patients with more extreme forms of obesity since such patients are often either excluded from studies or included in such small numbers that a sub-analysis of data is inadequately powered to provide meaningful conclusions.</w:t>
      </w:r>
      <w:r w:rsidR="000C28EB" w:rsidRPr="00F17C5F">
        <w:rPr>
          <w:rFonts w:ascii="Book Antiqua" w:hAnsi="Book Antiqua"/>
          <w:color w:val="000000" w:themeColor="text1"/>
        </w:rPr>
        <w:t xml:space="preserve"> </w:t>
      </w:r>
      <w:r w:rsidR="007859C0" w:rsidRPr="00F17C5F">
        <w:rPr>
          <w:rFonts w:ascii="Book Antiqua" w:hAnsi="Book Antiqua"/>
          <w:color w:val="000000" w:themeColor="text1"/>
        </w:rPr>
        <w:t xml:space="preserve">When dosing these patients </w:t>
      </w:r>
      <w:r w:rsidR="00343215" w:rsidRPr="00F17C5F">
        <w:rPr>
          <w:rFonts w:ascii="Book Antiqua" w:hAnsi="Book Antiqua"/>
          <w:color w:val="000000" w:themeColor="text1"/>
        </w:rPr>
        <w:t xml:space="preserve">in the ICU setting </w:t>
      </w:r>
      <w:r w:rsidR="007859C0" w:rsidRPr="00F17C5F">
        <w:rPr>
          <w:rFonts w:ascii="Book Antiqua" w:hAnsi="Book Antiqua"/>
          <w:color w:val="000000" w:themeColor="text1"/>
        </w:rPr>
        <w:t>the clinician will likely need to</w:t>
      </w:r>
      <w:r w:rsidR="00343215" w:rsidRPr="00F17C5F">
        <w:rPr>
          <w:rFonts w:ascii="Book Antiqua" w:hAnsi="Book Antiqua"/>
          <w:color w:val="000000" w:themeColor="text1"/>
        </w:rPr>
        <w:t xml:space="preserve"> </w:t>
      </w:r>
      <w:r w:rsidR="007859C0" w:rsidRPr="00F17C5F">
        <w:rPr>
          <w:rFonts w:ascii="Book Antiqua" w:hAnsi="Book Antiqua"/>
          <w:color w:val="000000" w:themeColor="text1"/>
        </w:rPr>
        <w:t xml:space="preserve">extrapolate dosing information from other </w:t>
      </w:r>
      <w:r w:rsidR="000B1D03" w:rsidRPr="00F17C5F">
        <w:rPr>
          <w:rFonts w:ascii="Book Antiqua" w:hAnsi="Book Antiqua"/>
          <w:color w:val="000000" w:themeColor="text1"/>
        </w:rPr>
        <w:t xml:space="preserve">similar </w:t>
      </w:r>
      <w:r w:rsidR="007859C0" w:rsidRPr="00F17C5F">
        <w:rPr>
          <w:rFonts w:ascii="Book Antiqua" w:hAnsi="Book Antiqua"/>
          <w:color w:val="000000" w:themeColor="text1"/>
        </w:rPr>
        <w:t>drugs (</w:t>
      </w:r>
      <w:r w:rsidR="007859C0" w:rsidRPr="00F17C5F">
        <w:rPr>
          <w:rFonts w:ascii="Book Antiqua" w:hAnsi="Book Antiqua"/>
          <w:i/>
          <w:color w:val="000000" w:themeColor="text1"/>
        </w:rPr>
        <w:t>e.g.,</w:t>
      </w:r>
      <w:r w:rsidR="007859C0" w:rsidRPr="00F17C5F">
        <w:rPr>
          <w:rFonts w:ascii="Book Antiqua" w:hAnsi="Book Antiqua"/>
          <w:color w:val="000000" w:themeColor="text1"/>
        </w:rPr>
        <w:t xml:space="preserve"> drugs in the same structural </w:t>
      </w:r>
      <w:r w:rsidR="000B1D03" w:rsidRPr="00F17C5F">
        <w:rPr>
          <w:rFonts w:ascii="Book Antiqua" w:hAnsi="Book Antiqua"/>
          <w:color w:val="000000" w:themeColor="text1"/>
        </w:rPr>
        <w:t>class</w:t>
      </w:r>
      <w:r w:rsidR="00343215" w:rsidRPr="00F17C5F">
        <w:rPr>
          <w:rFonts w:ascii="Book Antiqua" w:hAnsi="Book Antiqua"/>
          <w:color w:val="000000" w:themeColor="text1"/>
        </w:rPr>
        <w:t xml:space="preserve">) </w:t>
      </w:r>
      <w:r w:rsidR="000B1D03" w:rsidRPr="00F17C5F">
        <w:rPr>
          <w:rFonts w:ascii="Book Antiqua" w:hAnsi="Book Antiqua"/>
          <w:color w:val="000000" w:themeColor="text1"/>
        </w:rPr>
        <w:t>when such information is available and from investigations</w:t>
      </w:r>
      <w:r w:rsidR="00343215" w:rsidRPr="00F17C5F">
        <w:rPr>
          <w:rFonts w:ascii="Book Antiqua" w:hAnsi="Book Antiqua"/>
          <w:color w:val="000000" w:themeColor="text1"/>
        </w:rPr>
        <w:t xml:space="preserve"> evaluating the drug’s physicochemical and pharmacokinetic properties</w:t>
      </w:r>
      <w:r w:rsidR="007859C0"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6C7F5F" w:rsidRPr="00F17C5F">
        <w:rPr>
          <w:rFonts w:ascii="Book Antiqua" w:hAnsi="Book Antiqua"/>
          <w:color w:val="000000" w:themeColor="text1"/>
        </w:rPr>
        <w:t xml:space="preserve">Finally, the benefit </w:t>
      </w:r>
      <w:r w:rsidR="006C7F5F" w:rsidRPr="00F17C5F">
        <w:rPr>
          <w:rFonts w:ascii="Book Antiqua" w:hAnsi="Book Antiqua"/>
          <w:i/>
          <w:color w:val="000000" w:themeColor="text1"/>
        </w:rPr>
        <w:t>vs</w:t>
      </w:r>
      <w:r w:rsidR="006C7F5F" w:rsidRPr="00F17C5F">
        <w:rPr>
          <w:rFonts w:ascii="Book Antiqua" w:hAnsi="Book Antiqua"/>
          <w:color w:val="000000" w:themeColor="text1"/>
        </w:rPr>
        <w:t xml:space="preserve"> risk assessment of using actual body weight for weight-based dosing of a drug should take into account the fact that most renally-eliminated drugs studied to date have not exhibited dose proportionality in patient</w:t>
      </w:r>
      <w:r w:rsidR="00357895" w:rsidRPr="00F17C5F">
        <w:rPr>
          <w:rFonts w:ascii="Book Antiqua" w:hAnsi="Book Antiqua"/>
          <w:color w:val="000000" w:themeColor="text1"/>
        </w:rPr>
        <w:t>s with extreme forms of obesity; in other words, renal clearance of the drug does not increase proportionately with increasing body weight suggesting that an adjusted weight would be more appropriate to use when designing weight-based dosing regimens in severely obese patients.</w:t>
      </w:r>
    </w:p>
    <w:p w14:paraId="7982F8BD" w14:textId="3D73170D" w:rsidR="006C06CA" w:rsidRPr="00F17C5F" w:rsidRDefault="000C28EB"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 xml:space="preserve"> </w:t>
      </w:r>
    </w:p>
    <w:p w14:paraId="308D5522" w14:textId="70B310D1" w:rsidR="00EC651D" w:rsidRPr="00F17C5F" w:rsidRDefault="00EC651D"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 xml:space="preserve">Drug </w:t>
      </w:r>
      <w:r w:rsidR="003155A9" w:rsidRPr="00F17C5F">
        <w:rPr>
          <w:rFonts w:ascii="Book Antiqua" w:hAnsi="Book Antiqua"/>
          <w:b/>
          <w:i/>
          <w:color w:val="000000" w:themeColor="text1"/>
        </w:rPr>
        <w:t>dosing in patients who are underweight, short, or have amputations or missing limbs</w:t>
      </w:r>
    </w:p>
    <w:p w14:paraId="3907D78A" w14:textId="10B0FB11" w:rsidR="00E427CC" w:rsidRPr="00F17C5F" w:rsidRDefault="00782B55" w:rsidP="00F17C5F">
      <w:pPr>
        <w:spacing w:after="0" w:line="360" w:lineRule="auto"/>
        <w:jc w:val="both"/>
        <w:rPr>
          <w:rFonts w:ascii="Book Antiqua" w:hAnsi="Book Antiqua"/>
          <w:color w:val="000000" w:themeColor="text1"/>
          <w:lang w:eastAsia="zh-CN"/>
        </w:rPr>
      </w:pPr>
      <w:r w:rsidRPr="00F17C5F">
        <w:rPr>
          <w:rFonts w:ascii="Book Antiqua" w:hAnsi="Book Antiqua"/>
          <w:color w:val="000000" w:themeColor="text1"/>
        </w:rPr>
        <w:t>Based primarily on indirect</w:t>
      </w:r>
      <w:r w:rsidR="00417B92" w:rsidRPr="00F17C5F">
        <w:rPr>
          <w:rFonts w:ascii="Book Antiqua" w:hAnsi="Book Antiqua"/>
          <w:color w:val="000000" w:themeColor="text1"/>
        </w:rPr>
        <w:t xml:space="preserve"> evidence, underweight or short </w:t>
      </w:r>
      <w:r w:rsidRPr="00F17C5F">
        <w:rPr>
          <w:rFonts w:ascii="Book Antiqua" w:hAnsi="Book Antiqua"/>
          <w:color w:val="000000" w:themeColor="text1"/>
        </w:rPr>
        <w:t xml:space="preserve">(assuming relatively normal body weight for height) </w:t>
      </w:r>
      <w:r w:rsidR="00417B92" w:rsidRPr="00F17C5F">
        <w:rPr>
          <w:rFonts w:ascii="Book Antiqua" w:hAnsi="Book Antiqua"/>
          <w:color w:val="000000" w:themeColor="text1"/>
        </w:rPr>
        <w:t xml:space="preserve">patients </w:t>
      </w:r>
      <w:r w:rsidRPr="00F17C5F">
        <w:rPr>
          <w:rFonts w:ascii="Book Antiqua" w:hAnsi="Book Antiqua"/>
          <w:color w:val="000000" w:themeColor="text1"/>
        </w:rPr>
        <w:t>are usually dosed on the lower end of dosing ranges for non-weight based dosing regimens.</w:t>
      </w:r>
      <w:r w:rsidR="000C28EB" w:rsidRPr="00F17C5F">
        <w:rPr>
          <w:rFonts w:ascii="Book Antiqua" w:hAnsi="Book Antiqua"/>
          <w:color w:val="000000" w:themeColor="text1"/>
        </w:rPr>
        <w:t xml:space="preserve"> </w:t>
      </w:r>
      <w:r w:rsidRPr="00F17C5F">
        <w:rPr>
          <w:rFonts w:ascii="Book Antiqua" w:hAnsi="Book Antiqua"/>
          <w:color w:val="000000" w:themeColor="text1"/>
        </w:rPr>
        <w:t>Su</w:t>
      </w:r>
      <w:r w:rsidR="00BC2E74" w:rsidRPr="00F17C5F">
        <w:rPr>
          <w:rFonts w:ascii="Book Antiqua" w:hAnsi="Book Antiqua"/>
          <w:color w:val="000000" w:themeColor="text1"/>
        </w:rPr>
        <w:t>ch dosing is predicated</w:t>
      </w:r>
      <w:r w:rsidRPr="00F17C5F">
        <w:rPr>
          <w:rFonts w:ascii="Book Antiqua" w:hAnsi="Book Antiqua"/>
          <w:color w:val="000000" w:themeColor="text1"/>
        </w:rPr>
        <w:t xml:space="preserve"> on the assumption that the proportion of lean or metabolically active tissue is similar to that of patients of more normal weight and stature.</w:t>
      </w:r>
      <w:r w:rsidR="000C28EB" w:rsidRPr="00F17C5F">
        <w:rPr>
          <w:rFonts w:ascii="Book Antiqua" w:hAnsi="Book Antiqua"/>
          <w:color w:val="000000" w:themeColor="text1"/>
        </w:rPr>
        <w:t xml:space="preserve"> </w:t>
      </w:r>
      <w:r w:rsidR="00834D55" w:rsidRPr="00F17C5F">
        <w:rPr>
          <w:rFonts w:ascii="Book Antiqua" w:hAnsi="Book Antiqua"/>
          <w:color w:val="000000" w:themeColor="text1"/>
        </w:rPr>
        <w:t xml:space="preserve"> </w:t>
      </w:r>
      <w:r w:rsidR="001E7167" w:rsidRPr="00F17C5F">
        <w:rPr>
          <w:rFonts w:ascii="Book Antiqua" w:hAnsi="Book Antiqua"/>
          <w:color w:val="000000" w:themeColor="text1"/>
        </w:rPr>
        <w:t>However, an interesting issue arises when it is decided to use ideal body weight for</w:t>
      </w:r>
      <w:r w:rsidR="00BA6891" w:rsidRPr="00F17C5F">
        <w:rPr>
          <w:rFonts w:ascii="Book Antiqua" w:hAnsi="Book Antiqua"/>
          <w:color w:val="000000" w:themeColor="text1"/>
        </w:rPr>
        <w:t xml:space="preserve"> a drug that has</w:t>
      </w:r>
      <w:r w:rsidR="001E7167" w:rsidRPr="00F17C5F">
        <w:rPr>
          <w:rFonts w:ascii="Book Antiqua" w:hAnsi="Book Antiqua"/>
          <w:color w:val="000000" w:themeColor="text1"/>
        </w:rPr>
        <w:t xml:space="preserve"> weight-based</w:t>
      </w:r>
      <w:r w:rsidR="00BA6891" w:rsidRPr="00F17C5F">
        <w:rPr>
          <w:rFonts w:ascii="Book Antiqua" w:hAnsi="Book Antiqua"/>
          <w:color w:val="000000" w:themeColor="text1"/>
        </w:rPr>
        <w:t xml:space="preserve"> recommendations.</w:t>
      </w:r>
      <w:r w:rsidR="000C28EB" w:rsidRPr="00F17C5F">
        <w:rPr>
          <w:rFonts w:ascii="Book Antiqua" w:hAnsi="Book Antiqua"/>
          <w:color w:val="000000" w:themeColor="text1"/>
        </w:rPr>
        <w:t xml:space="preserve"> </w:t>
      </w:r>
      <w:r w:rsidR="00BA6891" w:rsidRPr="00F17C5F">
        <w:rPr>
          <w:rFonts w:ascii="Book Antiqua" w:hAnsi="Book Antiqua"/>
          <w:color w:val="000000" w:themeColor="text1"/>
        </w:rPr>
        <w:t>The formulas most commonly used for dosing ideal body weight are based on calculations that assume the patient is at least 5 feet tall.</w:t>
      </w:r>
      <w:r w:rsidR="000C28EB" w:rsidRPr="00F17C5F">
        <w:rPr>
          <w:rFonts w:ascii="Book Antiqua" w:hAnsi="Book Antiqua"/>
          <w:color w:val="000000" w:themeColor="text1"/>
        </w:rPr>
        <w:t xml:space="preserve"> </w:t>
      </w:r>
      <w:r w:rsidR="00BA6891" w:rsidRPr="00F17C5F">
        <w:rPr>
          <w:rFonts w:ascii="Book Antiqua" w:hAnsi="Book Antiqua"/>
          <w:color w:val="000000" w:themeColor="text1"/>
        </w:rPr>
        <w:t>For example, for a male, one ideal body weight equation is calculated by adding 2.3 kg for each inch above 5 feet tall with a 50 kg base weight for the first 5 feet.</w:t>
      </w:r>
      <w:r w:rsidR="000C28EB" w:rsidRPr="00F17C5F">
        <w:rPr>
          <w:rFonts w:ascii="Book Antiqua" w:hAnsi="Book Antiqua"/>
          <w:color w:val="000000" w:themeColor="text1"/>
        </w:rPr>
        <w:t xml:space="preserve"> </w:t>
      </w:r>
      <w:r w:rsidR="00BA6891" w:rsidRPr="00F17C5F">
        <w:rPr>
          <w:rFonts w:ascii="Book Antiqua" w:hAnsi="Book Antiqua"/>
          <w:color w:val="000000" w:themeColor="text1"/>
        </w:rPr>
        <w:t>While not based on any solid evidence, some clinicians have estimated the ideal body weight for a person less than 5 feet tall by subtracting 2.3 kg for each inch below 5 feet.</w:t>
      </w:r>
      <w:r w:rsidR="000C28EB" w:rsidRPr="00F17C5F">
        <w:rPr>
          <w:rFonts w:ascii="Book Antiqua" w:hAnsi="Book Antiqua"/>
          <w:color w:val="000000" w:themeColor="text1"/>
        </w:rPr>
        <w:t xml:space="preserve"> </w:t>
      </w:r>
      <w:r w:rsidR="00BA6891" w:rsidRPr="00F17C5F">
        <w:rPr>
          <w:rFonts w:ascii="Book Antiqua" w:hAnsi="Book Antiqua"/>
          <w:color w:val="000000" w:themeColor="text1"/>
        </w:rPr>
        <w:t>Others have used regression analysis, typically on older data, to derive estimations for individuals less than 5 feet.</w:t>
      </w:r>
      <w:r w:rsidR="000C28EB" w:rsidRPr="00F17C5F">
        <w:rPr>
          <w:rFonts w:ascii="Book Antiqua" w:hAnsi="Book Antiqua"/>
          <w:color w:val="000000" w:themeColor="text1"/>
        </w:rPr>
        <w:t xml:space="preserve"> </w:t>
      </w:r>
      <w:r w:rsidR="00146CC8" w:rsidRPr="00F17C5F">
        <w:rPr>
          <w:rFonts w:ascii="Book Antiqua" w:hAnsi="Book Antiqua"/>
          <w:color w:val="000000" w:themeColor="text1"/>
        </w:rPr>
        <w:t>With any of these methods, the estimates are likely to be less precise the shorter the patient.</w:t>
      </w:r>
      <w:r w:rsidR="000C28EB" w:rsidRPr="00F17C5F">
        <w:rPr>
          <w:rFonts w:ascii="Book Antiqua" w:hAnsi="Book Antiqua"/>
          <w:color w:val="000000" w:themeColor="text1"/>
        </w:rPr>
        <w:t xml:space="preserve"> </w:t>
      </w:r>
      <w:r w:rsidR="00650387" w:rsidRPr="00F17C5F">
        <w:rPr>
          <w:rFonts w:ascii="Book Antiqua" w:hAnsi="Book Antiqua"/>
          <w:color w:val="000000" w:themeColor="text1"/>
        </w:rPr>
        <w:t xml:space="preserve">Similar issues </w:t>
      </w:r>
      <w:r w:rsidR="00E427CC" w:rsidRPr="00F17C5F">
        <w:rPr>
          <w:rFonts w:ascii="Book Antiqua" w:hAnsi="Book Antiqua"/>
          <w:color w:val="000000" w:themeColor="text1"/>
        </w:rPr>
        <w:t xml:space="preserve">would </w:t>
      </w:r>
      <w:r w:rsidR="00650387" w:rsidRPr="00F17C5F">
        <w:rPr>
          <w:rFonts w:ascii="Book Antiqua" w:hAnsi="Book Antiqua"/>
          <w:color w:val="000000" w:themeColor="text1"/>
        </w:rPr>
        <w:t xml:space="preserve">arise </w:t>
      </w:r>
      <w:r w:rsidR="00E427CC" w:rsidRPr="00F17C5F">
        <w:rPr>
          <w:rFonts w:ascii="Book Antiqua" w:hAnsi="Book Antiqua"/>
          <w:color w:val="000000" w:themeColor="text1"/>
        </w:rPr>
        <w:t xml:space="preserve">when estimating ideal body weight </w:t>
      </w:r>
      <w:r w:rsidR="00650387" w:rsidRPr="00F17C5F">
        <w:rPr>
          <w:rFonts w:ascii="Book Antiqua" w:hAnsi="Book Antiqua"/>
          <w:color w:val="000000" w:themeColor="text1"/>
        </w:rPr>
        <w:t>in patients who are missing body parts such as an arm or leg.</w:t>
      </w:r>
      <w:r w:rsidR="000C28EB" w:rsidRPr="00F17C5F">
        <w:rPr>
          <w:rFonts w:ascii="Book Antiqua" w:hAnsi="Book Antiqua"/>
          <w:color w:val="000000" w:themeColor="text1"/>
        </w:rPr>
        <w:t xml:space="preserve"> </w:t>
      </w:r>
    </w:p>
    <w:p w14:paraId="08C95B65" w14:textId="77777777" w:rsidR="001F6175" w:rsidRPr="00F17C5F" w:rsidRDefault="001F6175" w:rsidP="00F17C5F">
      <w:pPr>
        <w:spacing w:after="0" w:line="360" w:lineRule="auto"/>
        <w:jc w:val="both"/>
        <w:rPr>
          <w:rFonts w:ascii="Book Antiqua" w:hAnsi="Book Antiqua"/>
          <w:color w:val="000000" w:themeColor="text1"/>
          <w:lang w:eastAsia="zh-CN"/>
        </w:rPr>
      </w:pPr>
    </w:p>
    <w:p w14:paraId="7CE488F8" w14:textId="77777777" w:rsidR="00E427CC" w:rsidRPr="00F17C5F" w:rsidRDefault="00E427CC"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Recommendations</w:t>
      </w:r>
    </w:p>
    <w:p w14:paraId="66678901" w14:textId="0DD25C18" w:rsidR="00EC651D" w:rsidRPr="00F17C5F" w:rsidRDefault="001B6300"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For non-weight-based dosing, usual or slightly lower than usual doses likely will suffice, assuming all other factors such as body weight and renal function are near normal.</w:t>
      </w:r>
      <w:r w:rsidR="000C28EB" w:rsidRPr="00F17C5F">
        <w:rPr>
          <w:rFonts w:ascii="Book Antiqua" w:hAnsi="Book Antiqua"/>
          <w:color w:val="000000" w:themeColor="text1"/>
        </w:rPr>
        <w:t xml:space="preserve"> </w:t>
      </w:r>
      <w:r w:rsidRPr="00F17C5F">
        <w:rPr>
          <w:rFonts w:ascii="Book Antiqua" w:hAnsi="Book Antiqua"/>
          <w:color w:val="000000" w:themeColor="text1"/>
        </w:rPr>
        <w:t>For weight-based dosing, there are a couple of options.</w:t>
      </w:r>
      <w:r w:rsidR="000C28EB" w:rsidRPr="00F17C5F">
        <w:rPr>
          <w:rFonts w:ascii="Book Antiqua" w:hAnsi="Book Antiqua"/>
          <w:color w:val="000000" w:themeColor="text1"/>
        </w:rPr>
        <w:t xml:space="preserve"> </w:t>
      </w:r>
      <w:r w:rsidRPr="00F17C5F">
        <w:rPr>
          <w:rFonts w:ascii="Book Antiqua" w:hAnsi="Book Antiqua"/>
          <w:color w:val="000000" w:themeColor="text1"/>
        </w:rPr>
        <w:t>Particularly for drugs with a wide therapeutic index, one could use actual body weight with the assumption that the missing limb had metabolic activity similar to the rest of the body.</w:t>
      </w:r>
      <w:r w:rsidR="000C28EB" w:rsidRPr="00F17C5F">
        <w:rPr>
          <w:rFonts w:ascii="Book Antiqua" w:hAnsi="Book Antiqua"/>
          <w:color w:val="000000" w:themeColor="text1"/>
        </w:rPr>
        <w:t xml:space="preserve"> </w:t>
      </w:r>
      <w:r w:rsidRPr="00F17C5F">
        <w:rPr>
          <w:rFonts w:ascii="Book Antiqua" w:hAnsi="Book Antiqua"/>
          <w:color w:val="000000" w:themeColor="text1"/>
        </w:rPr>
        <w:t>Also as above, the issue arises as to which weight to use when calculating an ideal body weight.</w:t>
      </w:r>
      <w:r w:rsidR="000C28EB" w:rsidRPr="00F17C5F">
        <w:rPr>
          <w:rFonts w:ascii="Book Antiqua" w:hAnsi="Book Antiqua"/>
          <w:color w:val="000000" w:themeColor="text1"/>
        </w:rPr>
        <w:t xml:space="preserve"> </w:t>
      </w:r>
      <w:r w:rsidRPr="00F17C5F">
        <w:rPr>
          <w:rFonts w:ascii="Book Antiqua" w:hAnsi="Book Antiqua"/>
          <w:color w:val="000000" w:themeColor="text1"/>
        </w:rPr>
        <w:t>One method that has been used in this situation for nutritional assessment is bas</w:t>
      </w:r>
      <w:r w:rsidR="001838CC" w:rsidRPr="00F17C5F">
        <w:rPr>
          <w:rFonts w:ascii="Book Antiqua" w:hAnsi="Book Antiqua"/>
          <w:color w:val="000000" w:themeColor="text1"/>
        </w:rPr>
        <w:t>ed on body part proportionality</w:t>
      </w:r>
      <w:r w:rsidR="002F6F5B"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19</w:t>
      </w:r>
      <w:r w:rsidR="002F6F5B"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1838CC" w:rsidRPr="00F17C5F">
        <w:rPr>
          <w:rFonts w:ascii="Book Antiqua" w:hAnsi="Book Antiqua"/>
          <w:color w:val="000000" w:themeColor="text1"/>
          <w:lang w:eastAsia="zh-CN"/>
        </w:rPr>
        <w:t xml:space="preserve"> </w:t>
      </w:r>
      <w:r w:rsidR="000A4705" w:rsidRPr="00F17C5F">
        <w:rPr>
          <w:rFonts w:ascii="Book Antiqua" w:hAnsi="Book Antiqua"/>
          <w:color w:val="000000" w:themeColor="text1"/>
        </w:rPr>
        <w:t>With this method, different body segments are assigned a percentage of total body weight.</w:t>
      </w:r>
      <w:r w:rsidR="000C28EB" w:rsidRPr="00F17C5F">
        <w:rPr>
          <w:rFonts w:ascii="Book Antiqua" w:hAnsi="Book Antiqua"/>
          <w:color w:val="000000" w:themeColor="text1"/>
        </w:rPr>
        <w:t xml:space="preserve"> </w:t>
      </w:r>
      <w:r w:rsidR="000A4705" w:rsidRPr="00F17C5F">
        <w:rPr>
          <w:rFonts w:ascii="Book Antiqua" w:hAnsi="Book Antiqua"/>
          <w:color w:val="000000" w:themeColor="text1"/>
        </w:rPr>
        <w:t xml:space="preserve">For example, a leg with a foot might comprise 16% of the total body weight, so the ideal </w:t>
      </w:r>
      <w:r w:rsidR="000E1B17" w:rsidRPr="00F17C5F">
        <w:rPr>
          <w:rFonts w:ascii="Book Antiqua" w:hAnsi="Book Antiqua"/>
          <w:color w:val="000000" w:themeColor="text1"/>
        </w:rPr>
        <w:t xml:space="preserve">body weight calculation in </w:t>
      </w:r>
      <w:r w:rsidR="000A4705" w:rsidRPr="00F17C5F">
        <w:rPr>
          <w:rFonts w:ascii="Book Antiqua" w:hAnsi="Book Antiqua"/>
          <w:color w:val="000000" w:themeColor="text1"/>
        </w:rPr>
        <w:t xml:space="preserve">a patient </w:t>
      </w:r>
      <w:r w:rsidR="000E1B17" w:rsidRPr="00F17C5F">
        <w:rPr>
          <w:rFonts w:ascii="Book Antiqua" w:hAnsi="Book Antiqua"/>
          <w:color w:val="000000" w:themeColor="text1"/>
        </w:rPr>
        <w:t xml:space="preserve">with a leg amputation </w:t>
      </w:r>
      <w:r w:rsidR="000A4705" w:rsidRPr="00F17C5F">
        <w:rPr>
          <w:rFonts w:ascii="Book Antiqua" w:hAnsi="Book Antiqua"/>
          <w:color w:val="000000" w:themeColor="text1"/>
        </w:rPr>
        <w:t>would be lowered by 16%.</w:t>
      </w:r>
      <w:r w:rsidR="000C28EB" w:rsidRPr="00F17C5F">
        <w:rPr>
          <w:rFonts w:ascii="Book Antiqua" w:hAnsi="Book Antiqua"/>
          <w:color w:val="000000" w:themeColor="text1"/>
        </w:rPr>
        <w:t xml:space="preserve"> </w:t>
      </w:r>
      <w:r w:rsidR="000A4705" w:rsidRPr="00F17C5F">
        <w:rPr>
          <w:rFonts w:ascii="Book Antiqua" w:hAnsi="Book Antiqua"/>
          <w:color w:val="000000" w:themeColor="text1"/>
        </w:rPr>
        <w:t xml:space="preserve">For an obese patient with this same amputation, the ideal body weight </w:t>
      </w:r>
      <w:r w:rsidR="000E1B17" w:rsidRPr="00F17C5F">
        <w:rPr>
          <w:rFonts w:ascii="Book Antiqua" w:hAnsi="Book Antiqua"/>
          <w:color w:val="000000" w:themeColor="text1"/>
        </w:rPr>
        <w:t xml:space="preserve">would </w:t>
      </w:r>
      <w:r w:rsidR="000A4705" w:rsidRPr="00F17C5F">
        <w:rPr>
          <w:rFonts w:ascii="Book Antiqua" w:hAnsi="Book Antiqua"/>
          <w:color w:val="000000" w:themeColor="text1"/>
        </w:rPr>
        <w:t>be calculated in the same manner.</w:t>
      </w:r>
      <w:r w:rsidR="000C28EB" w:rsidRPr="00F17C5F">
        <w:rPr>
          <w:rFonts w:ascii="Book Antiqua" w:hAnsi="Book Antiqua"/>
          <w:color w:val="000000" w:themeColor="text1"/>
        </w:rPr>
        <w:t xml:space="preserve"> </w:t>
      </w:r>
      <w:r w:rsidR="000A4705" w:rsidRPr="00F17C5F">
        <w:rPr>
          <w:rFonts w:ascii="Book Antiqua" w:hAnsi="Book Antiqua"/>
          <w:color w:val="000000" w:themeColor="text1"/>
        </w:rPr>
        <w:t>If this same obese patient was being dosed by some other adjusted body weight equation</w:t>
      </w:r>
      <w:r w:rsidR="000E1B17" w:rsidRPr="00F17C5F">
        <w:rPr>
          <w:rFonts w:ascii="Book Antiqua" w:hAnsi="Book Antiqua"/>
          <w:color w:val="000000" w:themeColor="text1"/>
        </w:rPr>
        <w:t xml:space="preserve"> (</w:t>
      </w:r>
      <w:r w:rsidR="000E1B17" w:rsidRPr="00F17C5F">
        <w:rPr>
          <w:rFonts w:ascii="Book Antiqua" w:hAnsi="Book Antiqua"/>
          <w:i/>
          <w:color w:val="000000" w:themeColor="text1"/>
        </w:rPr>
        <w:t>e.g.,</w:t>
      </w:r>
      <w:r w:rsidR="000E1B17" w:rsidRPr="00F17C5F">
        <w:rPr>
          <w:rFonts w:ascii="Book Antiqua" w:hAnsi="Book Antiqua"/>
          <w:color w:val="000000" w:themeColor="text1"/>
        </w:rPr>
        <w:t xml:space="preserve"> ideal weight plus 40% of the excess weight), then the ideal body weight that takes into account the missing leg would be calculated first and used in the adjusted body weight equation.</w:t>
      </w:r>
      <w:r w:rsidR="000C28EB" w:rsidRPr="00F17C5F">
        <w:rPr>
          <w:rFonts w:ascii="Book Antiqua" w:hAnsi="Book Antiqua"/>
          <w:color w:val="000000" w:themeColor="text1"/>
        </w:rPr>
        <w:t xml:space="preserve"> </w:t>
      </w:r>
      <w:r w:rsidR="00A04DFE" w:rsidRPr="00F17C5F">
        <w:rPr>
          <w:rFonts w:ascii="Book Antiqua" w:hAnsi="Book Antiqua"/>
          <w:color w:val="000000" w:themeColor="text1"/>
        </w:rPr>
        <w:t>It is unknown if these methods of ideal body weight correction are more accurate or appropriate than an uncorrected (and easier to calculate) ideal body weight estimation for drug dosing.</w:t>
      </w:r>
    </w:p>
    <w:p w14:paraId="2CFFCF65" w14:textId="76D37A51" w:rsidR="00650387" w:rsidRPr="00F17C5F" w:rsidRDefault="000E1B17" w:rsidP="00F17C5F">
      <w:pPr>
        <w:spacing w:after="0" w:line="360" w:lineRule="auto"/>
        <w:ind w:firstLineChars="200" w:firstLine="480"/>
        <w:jc w:val="both"/>
        <w:rPr>
          <w:rFonts w:ascii="Book Antiqua" w:hAnsi="Book Antiqua"/>
          <w:color w:val="000000" w:themeColor="text1"/>
        </w:rPr>
      </w:pPr>
      <w:r w:rsidRPr="00F17C5F">
        <w:rPr>
          <w:rFonts w:ascii="Book Antiqua" w:hAnsi="Book Antiqua"/>
          <w:color w:val="000000" w:themeColor="text1"/>
        </w:rPr>
        <w:t>None of these methods has been validated; further, the methods for calculating ideal body weight in patients of short stature do not take into account possible fat weight associated with obesity.</w:t>
      </w:r>
      <w:r w:rsidR="000C28EB" w:rsidRPr="00F17C5F">
        <w:rPr>
          <w:rFonts w:ascii="Book Antiqua" w:hAnsi="Book Antiqua"/>
          <w:color w:val="000000" w:themeColor="text1"/>
        </w:rPr>
        <w:t xml:space="preserve"> </w:t>
      </w:r>
      <w:r w:rsidRPr="00F17C5F">
        <w:rPr>
          <w:rFonts w:ascii="Book Antiqua" w:hAnsi="Book Antiqua"/>
          <w:color w:val="000000" w:themeColor="text1"/>
        </w:rPr>
        <w:t>If used, any of these dosing estimations should have some form of verification through therapeutic drug monitoring if available and/or through pharmacologic endpoints.</w:t>
      </w:r>
      <w:r w:rsidR="000C28EB" w:rsidRPr="00F17C5F">
        <w:rPr>
          <w:rFonts w:ascii="Book Antiqua" w:hAnsi="Book Antiqua"/>
          <w:color w:val="000000" w:themeColor="text1"/>
        </w:rPr>
        <w:t xml:space="preserve"> </w:t>
      </w:r>
    </w:p>
    <w:p w14:paraId="6CC41BF9" w14:textId="77777777" w:rsidR="000E1B17" w:rsidRPr="00F17C5F" w:rsidRDefault="000E1B17" w:rsidP="00F17C5F">
      <w:pPr>
        <w:spacing w:after="0" w:line="360" w:lineRule="auto"/>
        <w:jc w:val="both"/>
        <w:rPr>
          <w:rFonts w:ascii="Book Antiqua" w:hAnsi="Book Antiqua"/>
          <w:color w:val="000000" w:themeColor="text1"/>
        </w:rPr>
      </w:pPr>
    </w:p>
    <w:p w14:paraId="3A7207D5" w14:textId="61CC1BED" w:rsidR="006C06CA" w:rsidRPr="00F17C5F" w:rsidRDefault="006C06CA"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 xml:space="preserve">Drug </w:t>
      </w:r>
      <w:r w:rsidR="003155A9" w:rsidRPr="00F17C5F">
        <w:rPr>
          <w:rFonts w:ascii="Book Antiqua" w:hAnsi="Book Antiqua"/>
          <w:b/>
          <w:i/>
          <w:color w:val="000000" w:themeColor="text1"/>
        </w:rPr>
        <w:t>choice or dosing in pregnancy</w:t>
      </w:r>
    </w:p>
    <w:p w14:paraId="43A35144" w14:textId="15BDC9BC" w:rsidR="006C06CA" w:rsidRPr="00F17C5F" w:rsidRDefault="00121EF4"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In general, pregnant or postpartum women account for a relatively small percent of ICU admissions, although the numbers are dependent on th</w:t>
      </w:r>
      <w:r w:rsidR="001838CC" w:rsidRPr="00F17C5F">
        <w:rPr>
          <w:rFonts w:ascii="Book Antiqua" w:hAnsi="Book Antiqua"/>
          <w:color w:val="000000" w:themeColor="text1"/>
        </w:rPr>
        <w:t>e type and location of hospital</w:t>
      </w:r>
      <w:r w:rsidR="00F47B09"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20</w:t>
      </w:r>
      <w:r w:rsidR="00F47B09"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Pr="00F17C5F">
        <w:rPr>
          <w:rFonts w:ascii="Book Antiqua" w:hAnsi="Book Antiqua"/>
          <w:color w:val="000000" w:themeColor="text1"/>
        </w:rPr>
        <w:t>Traumatic injuries occur in approximately 7% of p</w:t>
      </w:r>
      <w:r w:rsidR="001838CC" w:rsidRPr="00F17C5F">
        <w:rPr>
          <w:rFonts w:ascii="Book Antiqua" w:hAnsi="Book Antiqua"/>
          <w:color w:val="000000" w:themeColor="text1"/>
        </w:rPr>
        <w:t>regnancies in the United States</w:t>
      </w:r>
      <w:r w:rsidR="00F47B09"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21</w:t>
      </w:r>
      <w:r w:rsidR="00F47B09"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Pr="00F17C5F">
        <w:rPr>
          <w:rFonts w:ascii="Book Antiqua" w:hAnsi="Book Antiqua"/>
          <w:color w:val="000000" w:themeColor="text1"/>
        </w:rPr>
        <w:t>Apart from the direct adverse consequences of the trauma or underlying disease states in the pregnant woman, there are special considerations for drug dosing not only because of physiological changes in the mother, but also because of potential fetal risk.</w:t>
      </w:r>
      <w:r w:rsidR="000C28EB" w:rsidRPr="00F17C5F">
        <w:rPr>
          <w:rFonts w:ascii="Book Antiqua" w:hAnsi="Book Antiqua"/>
          <w:color w:val="000000" w:themeColor="text1"/>
        </w:rPr>
        <w:t xml:space="preserve"> </w:t>
      </w:r>
      <w:r w:rsidRPr="00F17C5F">
        <w:rPr>
          <w:rFonts w:ascii="Book Antiqua" w:hAnsi="Book Antiqua"/>
          <w:color w:val="000000" w:themeColor="text1"/>
        </w:rPr>
        <w:t>The current FDA labeling of drugs is based on risk categories A, B, C, D, and X</w:t>
      </w:r>
      <w:r w:rsidR="001C0603" w:rsidRPr="00F17C5F">
        <w:rPr>
          <w:rFonts w:ascii="Book Antiqua" w:hAnsi="Book Antiqua"/>
          <w:color w:val="000000" w:themeColor="text1"/>
        </w:rPr>
        <w:t>, although this system is currently undergoing revision by the FDA</w:t>
      </w:r>
      <w:r w:rsidR="0015601A" w:rsidRPr="00F17C5F">
        <w:rPr>
          <w:rFonts w:ascii="Book Antiqua" w:hAnsi="Book Antiqua"/>
          <w:color w:val="000000" w:themeColor="text1"/>
        </w:rPr>
        <w:t xml:space="preserve"> because of confusion associated with risk/benefit interpretation</w:t>
      </w:r>
      <w:r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1C0603" w:rsidRPr="00F17C5F">
        <w:rPr>
          <w:rFonts w:ascii="Book Antiqua" w:hAnsi="Book Antiqua"/>
          <w:color w:val="000000" w:themeColor="text1"/>
        </w:rPr>
        <w:t xml:space="preserve">It is important to note that these categories do not represent a linear increase in risk, </w:t>
      </w:r>
      <w:r w:rsidR="00B67904" w:rsidRPr="00F17C5F">
        <w:rPr>
          <w:rFonts w:ascii="Book Antiqua" w:hAnsi="Book Antiqua"/>
          <w:color w:val="000000" w:themeColor="text1"/>
        </w:rPr>
        <w:t xml:space="preserve">since categories C, D, and X </w:t>
      </w:r>
      <w:r w:rsidR="0015601A" w:rsidRPr="00F17C5F">
        <w:rPr>
          <w:rFonts w:ascii="Book Antiqua" w:hAnsi="Book Antiqua"/>
          <w:color w:val="000000" w:themeColor="text1"/>
        </w:rPr>
        <w:t xml:space="preserve">each </w:t>
      </w:r>
      <w:r w:rsidR="00B67904" w:rsidRPr="00F17C5F">
        <w:rPr>
          <w:rFonts w:ascii="Book Antiqua" w:hAnsi="Book Antiqua"/>
          <w:color w:val="000000" w:themeColor="text1"/>
        </w:rPr>
        <w:t>involve a risk/benefit assessment.</w:t>
      </w:r>
      <w:r w:rsidR="000C28EB" w:rsidRPr="00F17C5F">
        <w:rPr>
          <w:rFonts w:ascii="Book Antiqua" w:hAnsi="Book Antiqua"/>
          <w:color w:val="000000" w:themeColor="text1"/>
        </w:rPr>
        <w:t xml:space="preserve"> </w:t>
      </w:r>
      <w:r w:rsidR="00B67904" w:rsidRPr="00F17C5F">
        <w:rPr>
          <w:rFonts w:ascii="Book Antiqua" w:hAnsi="Book Antiqua"/>
          <w:color w:val="000000" w:themeColor="text1"/>
        </w:rPr>
        <w:t xml:space="preserve">Such an assessment should take into account </w:t>
      </w:r>
      <w:r w:rsidR="001C0603" w:rsidRPr="00F17C5F">
        <w:rPr>
          <w:rFonts w:ascii="Book Antiqua" w:hAnsi="Book Antiqua"/>
          <w:color w:val="000000" w:themeColor="text1"/>
        </w:rPr>
        <w:t>the timing of drug a</w:t>
      </w:r>
      <w:r w:rsidR="00EE242A" w:rsidRPr="00F17C5F">
        <w:rPr>
          <w:rFonts w:ascii="Book Antiqua" w:hAnsi="Book Antiqua"/>
          <w:color w:val="000000" w:themeColor="text1"/>
        </w:rPr>
        <w:t>dministration is important; for example,</w:t>
      </w:r>
      <w:r w:rsidR="001C0603" w:rsidRPr="00F17C5F">
        <w:rPr>
          <w:rFonts w:ascii="Book Antiqua" w:hAnsi="Book Antiqua"/>
          <w:color w:val="000000" w:themeColor="text1"/>
        </w:rPr>
        <w:t xml:space="preserve"> the critical period for embryonic organ formation is during weeks 3 to 8 post-conception.</w:t>
      </w:r>
      <w:r w:rsidR="000C28EB" w:rsidRPr="00F17C5F">
        <w:rPr>
          <w:rFonts w:ascii="Book Antiqua" w:hAnsi="Book Antiqua"/>
          <w:color w:val="000000" w:themeColor="text1"/>
        </w:rPr>
        <w:t xml:space="preserve"> </w:t>
      </w:r>
      <w:r w:rsidR="001C0603" w:rsidRPr="00F17C5F">
        <w:rPr>
          <w:rFonts w:ascii="Book Antiqua" w:hAnsi="Book Antiqua"/>
          <w:color w:val="000000" w:themeColor="text1"/>
        </w:rPr>
        <w:t xml:space="preserve">It has been estimated that approximately </w:t>
      </w:r>
      <w:r w:rsidR="001838CC" w:rsidRPr="00F17C5F">
        <w:rPr>
          <w:rFonts w:ascii="Book Antiqua" w:hAnsi="Book Antiqua"/>
          <w:color w:val="000000" w:themeColor="text1"/>
        </w:rPr>
        <w:t>66% of all drugs are category C</w:t>
      </w:r>
      <w:r w:rsidR="00F47B09"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22</w:t>
      </w:r>
      <w:r w:rsidR="00F47B09"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1838CC" w:rsidRPr="00F17C5F">
        <w:rPr>
          <w:rFonts w:ascii="Book Antiqua" w:hAnsi="Book Antiqua"/>
          <w:color w:val="000000" w:themeColor="text1"/>
          <w:lang w:eastAsia="zh-CN"/>
        </w:rPr>
        <w:t xml:space="preserve"> </w:t>
      </w:r>
      <w:r w:rsidR="006722C8" w:rsidRPr="00F17C5F">
        <w:rPr>
          <w:rFonts w:ascii="Book Antiqua" w:hAnsi="Book Antiqua"/>
          <w:color w:val="000000" w:themeColor="text1"/>
        </w:rPr>
        <w:t>In light of these categorical limitations, other references have been developed to provide the clinician with more inform</w:t>
      </w:r>
      <w:r w:rsidR="001838CC" w:rsidRPr="00F17C5F">
        <w:rPr>
          <w:rFonts w:ascii="Book Antiqua" w:hAnsi="Book Antiqua"/>
          <w:color w:val="000000" w:themeColor="text1"/>
        </w:rPr>
        <w:t>ation for drug use in pregnancy</w:t>
      </w:r>
      <w:r w:rsidR="00F47B09"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23</w:t>
      </w:r>
      <w:r w:rsidR="00F47B09"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995879" w:rsidRPr="00F17C5F">
        <w:rPr>
          <w:rFonts w:ascii="Book Antiqua" w:hAnsi="Book Antiqua"/>
          <w:color w:val="000000" w:themeColor="text1"/>
        </w:rPr>
        <w:t xml:space="preserve">However, the quality and usefulness of the data in such sources is a function of the method of data collection, which in the case of </w:t>
      </w:r>
      <w:r w:rsidR="00E540E8" w:rsidRPr="00F17C5F">
        <w:rPr>
          <w:rFonts w:ascii="Book Antiqua" w:hAnsi="Book Antiqua"/>
          <w:color w:val="000000" w:themeColor="text1"/>
        </w:rPr>
        <w:t xml:space="preserve">fetal </w:t>
      </w:r>
      <w:r w:rsidR="00995879" w:rsidRPr="00F17C5F">
        <w:rPr>
          <w:rFonts w:ascii="Book Antiqua" w:hAnsi="Book Antiqua"/>
          <w:color w:val="000000" w:themeColor="text1"/>
        </w:rPr>
        <w:t>adverse drug events in pregnancy is data from case reports and registries.</w:t>
      </w:r>
      <w:r w:rsidR="000C28EB" w:rsidRPr="00F17C5F">
        <w:rPr>
          <w:rFonts w:ascii="Book Antiqua" w:hAnsi="Book Antiqua"/>
          <w:color w:val="000000" w:themeColor="text1"/>
        </w:rPr>
        <w:t xml:space="preserve"> </w:t>
      </w:r>
      <w:r w:rsidR="00995879" w:rsidRPr="00F17C5F">
        <w:rPr>
          <w:rFonts w:ascii="Book Antiqua" w:hAnsi="Book Antiqua"/>
          <w:color w:val="000000" w:themeColor="text1"/>
        </w:rPr>
        <w:t>Both the numerator (</w:t>
      </w:r>
      <w:r w:rsidR="00995879" w:rsidRPr="00F17C5F">
        <w:rPr>
          <w:rFonts w:ascii="Book Antiqua" w:hAnsi="Book Antiqua"/>
          <w:i/>
          <w:color w:val="000000" w:themeColor="text1"/>
        </w:rPr>
        <w:t>i.e.</w:t>
      </w:r>
      <w:r w:rsidR="001838CC" w:rsidRPr="00F17C5F">
        <w:rPr>
          <w:rFonts w:ascii="Book Antiqua" w:hAnsi="Book Antiqua"/>
          <w:i/>
          <w:color w:val="000000" w:themeColor="text1"/>
          <w:lang w:eastAsia="zh-CN"/>
        </w:rPr>
        <w:t>,</w:t>
      </w:r>
      <w:r w:rsidR="00995879" w:rsidRPr="00F17C5F">
        <w:rPr>
          <w:rFonts w:ascii="Book Antiqua" w:hAnsi="Book Antiqua"/>
          <w:color w:val="000000" w:themeColor="text1"/>
        </w:rPr>
        <w:t xml:space="preserve"> number of subjects with a reported adverse event) and the denominator (total number of subjects receiving the drug) are unlikely to be accurate with these collection</w:t>
      </w:r>
      <w:r w:rsidR="00E540E8" w:rsidRPr="00F17C5F">
        <w:rPr>
          <w:rFonts w:ascii="Book Antiqua" w:hAnsi="Book Antiqua"/>
          <w:color w:val="000000" w:themeColor="text1"/>
        </w:rPr>
        <w:t xml:space="preserve"> technique</w:t>
      </w:r>
      <w:r w:rsidR="00995879" w:rsidRPr="00F17C5F">
        <w:rPr>
          <w:rFonts w:ascii="Book Antiqua" w:hAnsi="Book Antiqua"/>
          <w:color w:val="000000" w:themeColor="text1"/>
        </w:rPr>
        <w:t xml:space="preserve">s, so a true incidence is unknown, assuming </w:t>
      </w:r>
      <w:r w:rsidR="00E540E8" w:rsidRPr="00F17C5F">
        <w:rPr>
          <w:rFonts w:ascii="Book Antiqua" w:hAnsi="Book Antiqua"/>
          <w:color w:val="000000" w:themeColor="text1"/>
        </w:rPr>
        <w:t>causality does exist</w:t>
      </w:r>
      <w:r w:rsidR="00995879"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E540E8" w:rsidRPr="00F17C5F">
        <w:rPr>
          <w:rFonts w:ascii="Book Antiqua" w:hAnsi="Book Antiqua"/>
          <w:color w:val="000000" w:themeColor="text1"/>
        </w:rPr>
        <w:t xml:space="preserve">Also largely unknown is how the duration of drug exposure relates to potential fetal harm. </w:t>
      </w:r>
    </w:p>
    <w:p w14:paraId="6B718434" w14:textId="3AC8FA79" w:rsidR="002F3D25" w:rsidRPr="00F17C5F" w:rsidRDefault="00CE31E9" w:rsidP="00F17C5F">
      <w:pPr>
        <w:spacing w:after="0" w:line="360" w:lineRule="auto"/>
        <w:ind w:firstLineChars="200" w:firstLine="480"/>
        <w:jc w:val="both"/>
        <w:rPr>
          <w:rFonts w:ascii="Book Antiqua" w:hAnsi="Book Antiqua"/>
          <w:color w:val="000000" w:themeColor="text1"/>
        </w:rPr>
      </w:pPr>
      <w:r w:rsidRPr="00F17C5F">
        <w:rPr>
          <w:rFonts w:ascii="Book Antiqua" w:hAnsi="Book Antiqua"/>
          <w:color w:val="000000" w:themeColor="text1"/>
        </w:rPr>
        <w:t>T</w:t>
      </w:r>
      <w:r w:rsidR="00A57DA2" w:rsidRPr="00F17C5F">
        <w:rPr>
          <w:rFonts w:ascii="Book Antiqua" w:hAnsi="Book Antiqua"/>
          <w:color w:val="000000" w:themeColor="text1"/>
        </w:rPr>
        <w:t xml:space="preserve">he assessment of drug risk </w:t>
      </w:r>
      <w:r w:rsidR="00A57DA2" w:rsidRPr="00F17C5F">
        <w:rPr>
          <w:rFonts w:ascii="Book Antiqua" w:hAnsi="Book Antiqua"/>
          <w:i/>
          <w:color w:val="000000" w:themeColor="text1"/>
        </w:rPr>
        <w:t>vs</w:t>
      </w:r>
      <w:r w:rsidRPr="00F17C5F">
        <w:rPr>
          <w:rFonts w:ascii="Book Antiqua" w:hAnsi="Book Antiqua"/>
          <w:color w:val="000000" w:themeColor="text1"/>
        </w:rPr>
        <w:t xml:space="preserve"> benefit in critically ill pregnant women is particularly complicated since potential delays in therapy could lead to adverse outcomes for the mother and fetus.</w:t>
      </w:r>
      <w:r w:rsidR="000C28EB" w:rsidRPr="00F17C5F">
        <w:rPr>
          <w:rFonts w:ascii="Book Antiqua" w:hAnsi="Book Antiqua"/>
          <w:color w:val="000000" w:themeColor="text1"/>
        </w:rPr>
        <w:t xml:space="preserve"> </w:t>
      </w:r>
      <w:r w:rsidR="00067AAB" w:rsidRPr="00F17C5F">
        <w:rPr>
          <w:rFonts w:ascii="Book Antiqua" w:hAnsi="Book Antiqua"/>
          <w:color w:val="000000" w:themeColor="text1"/>
        </w:rPr>
        <w:t>Often initial life-saving interventions are performed without knowing whether or not a critically ill woman is pregnant.</w:t>
      </w:r>
      <w:r w:rsidR="000C28EB" w:rsidRPr="00F17C5F">
        <w:rPr>
          <w:rFonts w:ascii="Book Antiqua" w:hAnsi="Book Antiqua"/>
          <w:color w:val="000000" w:themeColor="text1"/>
        </w:rPr>
        <w:t xml:space="preserve"> </w:t>
      </w:r>
      <w:r w:rsidR="001709E9" w:rsidRPr="00F17C5F">
        <w:rPr>
          <w:rFonts w:ascii="Book Antiqua" w:hAnsi="Book Antiqua"/>
          <w:color w:val="000000" w:themeColor="text1"/>
        </w:rPr>
        <w:t>There is a saying that as maternal he</w:t>
      </w:r>
      <w:r w:rsidR="001838CC" w:rsidRPr="00F17C5F">
        <w:rPr>
          <w:rFonts w:ascii="Book Antiqua" w:hAnsi="Book Antiqua"/>
          <w:color w:val="000000" w:themeColor="text1"/>
        </w:rPr>
        <w:t>alth goes, so goes fetal health</w:t>
      </w:r>
      <w:r w:rsidR="00F47B09"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24</w:t>
      </w:r>
      <w:r w:rsidR="00F47B09"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8B49F0" w:rsidRPr="00F17C5F">
        <w:rPr>
          <w:rFonts w:ascii="Book Antiqua" w:hAnsi="Book Antiqua"/>
          <w:color w:val="000000" w:themeColor="text1"/>
        </w:rPr>
        <w:t>Recommendations by the American College of Obstetricians and Gynecologists specifically state that necessary medications should not be wi</w:t>
      </w:r>
      <w:r w:rsidR="001838CC" w:rsidRPr="00F17C5F">
        <w:rPr>
          <w:rFonts w:ascii="Book Antiqua" w:hAnsi="Book Antiqua"/>
          <w:color w:val="000000" w:themeColor="text1"/>
        </w:rPr>
        <w:t>thheld to due to fetal concerns</w:t>
      </w:r>
      <w:r w:rsidR="00447DFC"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25</w:t>
      </w:r>
      <w:r w:rsidR="00447DFC"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EE242A" w:rsidRPr="00F17C5F">
        <w:rPr>
          <w:rFonts w:ascii="Book Antiqua" w:hAnsi="Book Antiqua"/>
          <w:color w:val="000000" w:themeColor="text1"/>
        </w:rPr>
        <w:t>Usually, there are at least a few potential alternatives in which case the decision is made based o</w:t>
      </w:r>
      <w:r w:rsidR="00E33EDE" w:rsidRPr="00F17C5F">
        <w:rPr>
          <w:rFonts w:ascii="Book Antiqua" w:hAnsi="Book Antiqua"/>
          <w:color w:val="000000" w:themeColor="text1"/>
        </w:rPr>
        <w:t>n factors such as drug risk category</w:t>
      </w:r>
      <w:r w:rsidR="00CB27D5" w:rsidRPr="00F17C5F">
        <w:rPr>
          <w:rFonts w:ascii="Book Antiqua" w:hAnsi="Book Antiqua"/>
          <w:color w:val="000000" w:themeColor="text1"/>
        </w:rPr>
        <w:t>, other drug toxicities</w:t>
      </w:r>
      <w:r w:rsidR="00E33EDE" w:rsidRPr="00F17C5F">
        <w:rPr>
          <w:rFonts w:ascii="Book Antiqua" w:hAnsi="Book Antiqua"/>
          <w:color w:val="000000" w:themeColor="text1"/>
        </w:rPr>
        <w:t xml:space="preserve"> and experience with the drug in pregnancy.</w:t>
      </w:r>
      <w:r w:rsidR="000C28EB" w:rsidRPr="00F17C5F">
        <w:rPr>
          <w:rFonts w:ascii="Book Antiqua" w:hAnsi="Book Antiqua"/>
          <w:color w:val="000000" w:themeColor="text1"/>
        </w:rPr>
        <w:t xml:space="preserve"> </w:t>
      </w:r>
      <w:r w:rsidR="00B936A8" w:rsidRPr="00F17C5F">
        <w:rPr>
          <w:rFonts w:ascii="Book Antiqua" w:hAnsi="Book Antiqua"/>
          <w:color w:val="000000" w:themeColor="text1"/>
        </w:rPr>
        <w:t>The two examples of severe sepsis/septic shock and hypertensive cr</w:t>
      </w:r>
      <w:r w:rsidR="00CB27D5" w:rsidRPr="00F17C5F">
        <w:rPr>
          <w:rFonts w:ascii="Book Antiqua" w:hAnsi="Book Antiqua"/>
          <w:color w:val="000000" w:themeColor="text1"/>
        </w:rPr>
        <w:t>isis will be used to illustrate some of these</w:t>
      </w:r>
      <w:r w:rsidR="001B0762" w:rsidRPr="00F17C5F">
        <w:rPr>
          <w:rFonts w:ascii="Book Antiqua" w:hAnsi="Book Antiqua"/>
          <w:color w:val="000000" w:themeColor="text1"/>
        </w:rPr>
        <w:t xml:space="preserve"> considerations.</w:t>
      </w:r>
      <w:r w:rsidR="000C28EB" w:rsidRPr="00F17C5F">
        <w:rPr>
          <w:rFonts w:ascii="Book Antiqua" w:hAnsi="Book Antiqua"/>
          <w:color w:val="000000" w:themeColor="text1"/>
        </w:rPr>
        <w:t xml:space="preserve"> </w:t>
      </w:r>
      <w:r w:rsidR="00AD7268" w:rsidRPr="00F17C5F">
        <w:rPr>
          <w:rFonts w:ascii="Book Antiqua" w:hAnsi="Book Antiqua"/>
          <w:color w:val="000000" w:themeColor="text1"/>
        </w:rPr>
        <w:t>In general, t</w:t>
      </w:r>
      <w:r w:rsidR="001B0762" w:rsidRPr="00F17C5F">
        <w:rPr>
          <w:rFonts w:ascii="Book Antiqua" w:hAnsi="Book Antiqua"/>
          <w:color w:val="000000" w:themeColor="text1"/>
        </w:rPr>
        <w:t>he recommendations for fluids, vasoactive agents, and antimicrobial agents in pregnant women with severe sepsis or septic shock are the same as for non-pregnant women</w:t>
      </w:r>
      <w:r w:rsidR="00447DFC"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26,27</w:t>
      </w:r>
      <w:r w:rsidR="00447DFC"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AD7268" w:rsidRPr="00F17C5F">
        <w:rPr>
          <w:rFonts w:ascii="Book Antiqua" w:hAnsi="Book Antiqua"/>
          <w:color w:val="000000" w:themeColor="text1"/>
        </w:rPr>
        <w:t xml:space="preserve">In fact, the recommendations in the Surviving Sepsis Guidelines have been endorsed by respected organizations such as the Royal College of Obstetricians and </w:t>
      </w:r>
      <w:r w:rsidR="001838CC" w:rsidRPr="00F17C5F">
        <w:rPr>
          <w:rFonts w:ascii="Book Antiqua" w:hAnsi="Book Antiqua"/>
          <w:color w:val="000000" w:themeColor="text1"/>
        </w:rPr>
        <w:t>Gynaecologists</w:t>
      </w:r>
      <w:r w:rsidR="00447DFC"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28</w:t>
      </w:r>
      <w:r w:rsidR="00447DFC"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FC4E20" w:rsidRPr="00F17C5F">
        <w:rPr>
          <w:rFonts w:ascii="Book Antiqua" w:hAnsi="Book Antiqua"/>
          <w:color w:val="000000" w:themeColor="text1"/>
        </w:rPr>
        <w:t>Prior to widespread endorsement of these guidelines, arguments for the use of specific agents such as choice of vasopressors was often made on the basis of animal models that focused on is</w:t>
      </w:r>
      <w:r w:rsidR="001838CC" w:rsidRPr="00F17C5F">
        <w:rPr>
          <w:rFonts w:ascii="Book Antiqua" w:hAnsi="Book Antiqua"/>
          <w:color w:val="000000" w:themeColor="text1"/>
        </w:rPr>
        <w:t>sues such as uterine blood flow</w:t>
      </w:r>
      <w:r w:rsidR="00447DFC"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29</w:t>
      </w:r>
      <w:r w:rsidR="00447DFC"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A73A3A" w:rsidRPr="00F17C5F">
        <w:rPr>
          <w:rFonts w:ascii="Book Antiqua" w:hAnsi="Book Antiqua"/>
          <w:color w:val="000000" w:themeColor="text1"/>
        </w:rPr>
        <w:t xml:space="preserve">Current thinking is that the </w:t>
      </w:r>
      <w:r w:rsidR="0058549A" w:rsidRPr="00F17C5F">
        <w:rPr>
          <w:rFonts w:ascii="Book Antiqua" w:hAnsi="Book Antiqua"/>
          <w:color w:val="000000" w:themeColor="text1"/>
        </w:rPr>
        <w:t xml:space="preserve">potential mortality </w:t>
      </w:r>
      <w:r w:rsidR="00A73A3A" w:rsidRPr="00F17C5F">
        <w:rPr>
          <w:rFonts w:ascii="Book Antiqua" w:hAnsi="Book Antiqua"/>
          <w:color w:val="000000" w:themeColor="text1"/>
        </w:rPr>
        <w:t xml:space="preserve">benefits of optimal </w:t>
      </w:r>
      <w:r w:rsidR="0058549A" w:rsidRPr="00F17C5F">
        <w:rPr>
          <w:rFonts w:ascii="Book Antiqua" w:hAnsi="Book Antiqua"/>
          <w:color w:val="000000" w:themeColor="text1"/>
        </w:rPr>
        <w:t xml:space="preserve">resuscitation with a more potent agent such as norepinephrine outweigh more local </w:t>
      </w:r>
      <w:r w:rsidR="001838CC" w:rsidRPr="00F17C5F">
        <w:rPr>
          <w:rFonts w:ascii="Book Antiqua" w:hAnsi="Book Antiqua"/>
          <w:color w:val="000000" w:themeColor="text1"/>
        </w:rPr>
        <w:t>or regional blood flow concerns</w:t>
      </w:r>
      <w:r w:rsidR="00447DFC" w:rsidRPr="00F17C5F">
        <w:rPr>
          <w:rFonts w:ascii="Book Antiqua" w:hAnsi="Book Antiqua"/>
          <w:color w:val="000000" w:themeColor="text1"/>
          <w:vertAlign w:val="superscript"/>
        </w:rPr>
        <w:t>[</w:t>
      </w:r>
      <w:r w:rsidR="00E76671" w:rsidRPr="00F17C5F">
        <w:rPr>
          <w:rFonts w:ascii="Book Antiqua" w:hAnsi="Book Antiqua"/>
          <w:color w:val="000000" w:themeColor="text1"/>
          <w:vertAlign w:val="superscript"/>
        </w:rPr>
        <w:t>26</w:t>
      </w:r>
      <w:r w:rsidR="00447DFC"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1838CC" w:rsidRPr="00F17C5F">
        <w:rPr>
          <w:rFonts w:ascii="Book Antiqua" w:hAnsi="Book Antiqua"/>
          <w:color w:val="000000" w:themeColor="text1"/>
          <w:lang w:eastAsia="zh-CN"/>
        </w:rPr>
        <w:t xml:space="preserve"> </w:t>
      </w:r>
      <w:r w:rsidR="0058549A" w:rsidRPr="00F17C5F">
        <w:rPr>
          <w:rFonts w:ascii="Book Antiqua" w:hAnsi="Book Antiqua"/>
          <w:color w:val="000000" w:themeColor="text1"/>
        </w:rPr>
        <w:t>In cases where there is no clear drug of choice</w:t>
      </w:r>
      <w:r w:rsidR="00652CC5" w:rsidRPr="00F17C5F">
        <w:rPr>
          <w:rFonts w:ascii="Book Antiqua" w:hAnsi="Book Antiqua"/>
          <w:color w:val="000000" w:themeColor="text1"/>
        </w:rPr>
        <w:t>,</w:t>
      </w:r>
      <w:r w:rsidR="0058549A" w:rsidRPr="00F17C5F">
        <w:rPr>
          <w:rFonts w:ascii="Book Antiqua" w:hAnsi="Book Antiqua"/>
          <w:color w:val="000000" w:themeColor="text1"/>
        </w:rPr>
        <w:t xml:space="preserve"> as might occur with antimicrobial selection, drugs with well-described toxicities (</w:t>
      </w:r>
      <w:r w:rsidR="0058549A" w:rsidRPr="00F17C5F">
        <w:rPr>
          <w:rFonts w:ascii="Book Antiqua" w:hAnsi="Book Antiqua"/>
          <w:i/>
          <w:color w:val="000000" w:themeColor="text1"/>
        </w:rPr>
        <w:t>e.g.,</w:t>
      </w:r>
      <w:r w:rsidR="0058549A" w:rsidRPr="00F17C5F">
        <w:rPr>
          <w:rFonts w:ascii="Book Antiqua" w:hAnsi="Book Antiqua"/>
          <w:color w:val="000000" w:themeColor="text1"/>
        </w:rPr>
        <w:t xml:space="preserve"> aminoglycoside nephrotoxicity) should</w:t>
      </w:r>
      <w:r w:rsidR="00981955" w:rsidRPr="00F17C5F">
        <w:rPr>
          <w:rFonts w:ascii="Book Antiqua" w:hAnsi="Book Antiqua"/>
          <w:color w:val="000000" w:themeColor="text1"/>
        </w:rPr>
        <w:t xml:space="preserve"> </w:t>
      </w:r>
      <w:r w:rsidR="006F3D46" w:rsidRPr="00F17C5F">
        <w:rPr>
          <w:rFonts w:ascii="Book Antiqua" w:hAnsi="Book Antiqua"/>
          <w:color w:val="000000" w:themeColor="text1"/>
        </w:rPr>
        <w:t>only prescribed</w:t>
      </w:r>
      <w:r w:rsidR="00981955" w:rsidRPr="00F17C5F">
        <w:rPr>
          <w:rFonts w:ascii="Book Antiqua" w:hAnsi="Book Antiqua"/>
          <w:color w:val="000000" w:themeColor="text1"/>
        </w:rPr>
        <w:t xml:space="preserve"> when similarly efficacious, but l</w:t>
      </w:r>
      <w:r w:rsidR="00652CC5" w:rsidRPr="00F17C5F">
        <w:rPr>
          <w:rFonts w:ascii="Book Antiqua" w:hAnsi="Book Antiqua"/>
          <w:color w:val="000000" w:themeColor="text1"/>
        </w:rPr>
        <w:t>ess toxic agents are not an option</w:t>
      </w:r>
      <w:r w:rsidR="0058549A" w:rsidRPr="00F17C5F">
        <w:rPr>
          <w:rFonts w:ascii="Book Antiqua" w:hAnsi="Book Antiqua"/>
          <w:color w:val="000000" w:themeColor="text1"/>
        </w:rPr>
        <w:t xml:space="preserve"> (as should be the case in non-pregnant women)</w:t>
      </w:r>
      <w:r w:rsidR="00981955" w:rsidRPr="00F17C5F">
        <w:rPr>
          <w:rFonts w:ascii="Book Antiqua" w:hAnsi="Book Antiqua"/>
          <w:color w:val="000000" w:themeColor="text1"/>
        </w:rPr>
        <w:t>.</w:t>
      </w:r>
      <w:r w:rsidR="000C28EB" w:rsidRPr="00F17C5F">
        <w:rPr>
          <w:rFonts w:ascii="Book Antiqua" w:hAnsi="Book Antiqua"/>
          <w:color w:val="000000" w:themeColor="text1"/>
        </w:rPr>
        <w:t xml:space="preserve"> </w:t>
      </w:r>
    </w:p>
    <w:p w14:paraId="7CE9AB4F" w14:textId="6757D4E4" w:rsidR="00CE31E9" w:rsidRPr="00F17C5F" w:rsidRDefault="00974C81" w:rsidP="00F17C5F">
      <w:pPr>
        <w:spacing w:after="0" w:line="360" w:lineRule="auto"/>
        <w:ind w:firstLineChars="200" w:firstLine="480"/>
        <w:jc w:val="both"/>
        <w:rPr>
          <w:rFonts w:ascii="Book Antiqua" w:hAnsi="Book Antiqua"/>
          <w:color w:val="000000" w:themeColor="text1"/>
        </w:rPr>
      </w:pPr>
      <w:r w:rsidRPr="00F17C5F">
        <w:rPr>
          <w:rFonts w:ascii="Book Antiqua" w:hAnsi="Book Antiqua"/>
          <w:color w:val="000000" w:themeColor="text1"/>
        </w:rPr>
        <w:t xml:space="preserve">In contrast to severe sepsis and septic shock that have </w:t>
      </w:r>
      <w:r w:rsidR="005B121B" w:rsidRPr="00F17C5F">
        <w:rPr>
          <w:rFonts w:ascii="Book Antiqua" w:hAnsi="Book Antiqua"/>
          <w:color w:val="000000" w:themeColor="text1"/>
        </w:rPr>
        <w:t>one</w:t>
      </w:r>
      <w:r w:rsidRPr="00F17C5F">
        <w:rPr>
          <w:rFonts w:ascii="Book Antiqua" w:hAnsi="Book Antiqua"/>
          <w:color w:val="000000" w:themeColor="text1"/>
        </w:rPr>
        <w:t xml:space="preserve"> widely accepted guidelin</w:t>
      </w:r>
      <w:r w:rsidR="008C1B3A" w:rsidRPr="00F17C5F">
        <w:rPr>
          <w:rFonts w:ascii="Book Antiqua" w:hAnsi="Book Antiqua"/>
          <w:color w:val="000000" w:themeColor="text1"/>
        </w:rPr>
        <w:t>e with treatment recommendations</w:t>
      </w:r>
      <w:r w:rsidR="00FC30BF" w:rsidRPr="00F17C5F">
        <w:rPr>
          <w:rFonts w:ascii="Book Antiqua" w:hAnsi="Book Antiqua"/>
          <w:color w:val="000000" w:themeColor="text1"/>
        </w:rPr>
        <w:t xml:space="preserve"> aimed at reducing mortality</w:t>
      </w:r>
      <w:r w:rsidRPr="00F17C5F">
        <w:rPr>
          <w:rFonts w:ascii="Book Antiqua" w:hAnsi="Book Antiqua"/>
          <w:color w:val="000000" w:themeColor="text1"/>
        </w:rPr>
        <w:t xml:space="preserve">, there are </w:t>
      </w:r>
      <w:r w:rsidR="005B121B" w:rsidRPr="00F17C5F">
        <w:rPr>
          <w:rFonts w:ascii="Book Antiqua" w:hAnsi="Book Antiqua"/>
          <w:color w:val="000000" w:themeColor="text1"/>
        </w:rPr>
        <w:t>multiple guidelines and recommended agents</w:t>
      </w:r>
      <w:r w:rsidRPr="00F17C5F">
        <w:rPr>
          <w:rFonts w:ascii="Book Antiqua" w:hAnsi="Book Antiqua"/>
          <w:color w:val="000000" w:themeColor="text1"/>
        </w:rPr>
        <w:t xml:space="preserve"> for </w:t>
      </w:r>
      <w:r w:rsidR="005B121B" w:rsidRPr="00F17C5F">
        <w:rPr>
          <w:rFonts w:ascii="Book Antiqua" w:hAnsi="Book Antiqua"/>
          <w:color w:val="000000" w:themeColor="text1"/>
        </w:rPr>
        <w:t xml:space="preserve">treating </w:t>
      </w:r>
      <w:r w:rsidRPr="00F17C5F">
        <w:rPr>
          <w:rFonts w:ascii="Book Antiqua" w:hAnsi="Book Antiqua"/>
          <w:color w:val="000000" w:themeColor="text1"/>
        </w:rPr>
        <w:t>hypertensive crisis during pregnancy.</w:t>
      </w:r>
      <w:r w:rsidR="000C28EB" w:rsidRPr="00F17C5F">
        <w:rPr>
          <w:rFonts w:ascii="Book Antiqua" w:hAnsi="Book Antiqua"/>
          <w:color w:val="000000" w:themeColor="text1"/>
        </w:rPr>
        <w:t xml:space="preserve"> </w:t>
      </w:r>
      <w:r w:rsidR="008C1B3A" w:rsidRPr="00F17C5F">
        <w:rPr>
          <w:rFonts w:ascii="Book Antiqua" w:hAnsi="Book Antiqua"/>
          <w:color w:val="000000" w:themeColor="text1"/>
        </w:rPr>
        <w:t xml:space="preserve">There is no high level evidence to suggest any differences in </w:t>
      </w:r>
      <w:r w:rsidR="00FC30BF" w:rsidRPr="00F17C5F">
        <w:rPr>
          <w:rFonts w:ascii="Book Antiqua" w:hAnsi="Book Antiqua"/>
          <w:color w:val="000000" w:themeColor="text1"/>
        </w:rPr>
        <w:t xml:space="preserve">antihypertensive </w:t>
      </w:r>
      <w:r w:rsidR="008C1B3A" w:rsidRPr="00F17C5F">
        <w:rPr>
          <w:rFonts w:ascii="Book Antiqua" w:hAnsi="Book Antiqua"/>
          <w:color w:val="000000" w:themeColor="text1"/>
        </w:rPr>
        <w:t>agents using mortality as the outcome of interest, so the choice-of-drug decision is heavily based on toxicity considerations.</w:t>
      </w:r>
      <w:r w:rsidR="000C28EB" w:rsidRPr="00F17C5F">
        <w:rPr>
          <w:rFonts w:ascii="Book Antiqua" w:hAnsi="Book Antiqua"/>
          <w:color w:val="000000" w:themeColor="text1"/>
        </w:rPr>
        <w:t xml:space="preserve"> </w:t>
      </w:r>
      <w:r w:rsidRPr="00F17C5F">
        <w:rPr>
          <w:rFonts w:ascii="Book Antiqua" w:hAnsi="Book Antiqua"/>
          <w:color w:val="000000" w:themeColor="text1"/>
        </w:rPr>
        <w:t>In the past, IV hydralazine was routinely recommended as a first-line choice for hypertensive crises including preeclampsia, but it is increasingly be considered a second-tier agent</w:t>
      </w:r>
      <w:r w:rsidR="00447DFC" w:rsidRPr="00F17C5F">
        <w:rPr>
          <w:rFonts w:ascii="Book Antiqua" w:hAnsi="Book Antiqua"/>
          <w:color w:val="000000" w:themeColor="text1"/>
          <w:vertAlign w:val="superscript"/>
        </w:rPr>
        <w:t>[</w:t>
      </w:r>
      <w:r w:rsidR="00E76671" w:rsidRPr="00F17C5F">
        <w:rPr>
          <w:rFonts w:ascii="Book Antiqua" w:hAnsi="Book Antiqua"/>
          <w:color w:val="000000" w:themeColor="text1"/>
          <w:vertAlign w:val="superscript"/>
        </w:rPr>
        <w:t>30,31</w:t>
      </w:r>
      <w:r w:rsidR="00447DFC" w:rsidRPr="00F17C5F">
        <w:rPr>
          <w:rFonts w:ascii="Book Antiqua" w:hAnsi="Book Antiqua"/>
          <w:color w:val="000000" w:themeColor="text1"/>
          <w:vertAlign w:val="superscript"/>
        </w:rPr>
        <w:t>]</w:t>
      </w:r>
      <w:r w:rsidR="001F6175" w:rsidRPr="00F17C5F">
        <w:rPr>
          <w:rFonts w:ascii="Book Antiqua" w:hAnsi="Book Antiqua"/>
          <w:color w:val="000000" w:themeColor="text1"/>
          <w:lang w:eastAsia="zh-CN"/>
        </w:rPr>
        <w:t>.</w:t>
      </w:r>
      <w:r w:rsidR="000C28EB" w:rsidRPr="00F17C5F">
        <w:rPr>
          <w:rFonts w:ascii="Book Antiqua" w:hAnsi="Book Antiqua"/>
          <w:color w:val="000000" w:themeColor="text1"/>
        </w:rPr>
        <w:t xml:space="preserve"> </w:t>
      </w:r>
      <w:r w:rsidRPr="00F17C5F">
        <w:rPr>
          <w:rFonts w:ascii="Book Antiqua" w:hAnsi="Book Antiqua"/>
          <w:color w:val="000000" w:themeColor="text1"/>
        </w:rPr>
        <w:t>Currently</w:t>
      </w:r>
      <w:r w:rsidR="00152BA2" w:rsidRPr="00F17C5F">
        <w:rPr>
          <w:rFonts w:ascii="Book Antiqua" w:hAnsi="Book Antiqua"/>
          <w:color w:val="000000" w:themeColor="text1"/>
        </w:rPr>
        <w:t xml:space="preserve">, </w:t>
      </w:r>
      <w:r w:rsidR="0093152A" w:rsidRPr="00F17C5F">
        <w:rPr>
          <w:rFonts w:ascii="Book Antiqua" w:hAnsi="Book Antiqua"/>
          <w:color w:val="000000" w:themeColor="text1"/>
        </w:rPr>
        <w:t xml:space="preserve">IV </w:t>
      </w:r>
      <w:r w:rsidR="00152BA2" w:rsidRPr="00F17C5F">
        <w:rPr>
          <w:rFonts w:ascii="Book Antiqua" w:hAnsi="Book Antiqua"/>
          <w:color w:val="000000" w:themeColor="text1"/>
        </w:rPr>
        <w:t>l</w:t>
      </w:r>
      <w:r w:rsidR="00E33EDE" w:rsidRPr="00F17C5F">
        <w:rPr>
          <w:rFonts w:ascii="Book Antiqua" w:hAnsi="Book Antiqua"/>
          <w:color w:val="000000" w:themeColor="text1"/>
        </w:rPr>
        <w:t>ab</w:t>
      </w:r>
      <w:r w:rsidR="002F3D25" w:rsidRPr="00F17C5F">
        <w:rPr>
          <w:rFonts w:ascii="Book Antiqua" w:hAnsi="Book Antiqua"/>
          <w:color w:val="000000" w:themeColor="text1"/>
        </w:rPr>
        <w:t xml:space="preserve">etalol is </w:t>
      </w:r>
      <w:r w:rsidR="00E33EDE" w:rsidRPr="00F17C5F">
        <w:rPr>
          <w:rFonts w:ascii="Book Antiqua" w:hAnsi="Book Antiqua"/>
          <w:color w:val="000000" w:themeColor="text1"/>
        </w:rPr>
        <w:t xml:space="preserve">considered as </w:t>
      </w:r>
      <w:r w:rsidR="002F3D25" w:rsidRPr="00F17C5F">
        <w:rPr>
          <w:rFonts w:ascii="Book Antiqua" w:hAnsi="Book Antiqua"/>
          <w:color w:val="000000" w:themeColor="text1"/>
        </w:rPr>
        <w:t>a preferred first-line agent</w:t>
      </w:r>
      <w:r w:rsidR="00E33EDE" w:rsidRPr="00F17C5F">
        <w:rPr>
          <w:rFonts w:ascii="Book Antiqua" w:hAnsi="Book Antiqua"/>
          <w:color w:val="000000" w:themeColor="text1"/>
        </w:rPr>
        <w:t xml:space="preserve"> for </w:t>
      </w:r>
      <w:r w:rsidRPr="00F17C5F">
        <w:rPr>
          <w:rFonts w:ascii="Book Antiqua" w:hAnsi="Book Antiqua"/>
          <w:color w:val="000000" w:themeColor="text1"/>
        </w:rPr>
        <w:t xml:space="preserve">hypertensive crisis in </w:t>
      </w:r>
      <w:r w:rsidR="00152BA2" w:rsidRPr="00F17C5F">
        <w:rPr>
          <w:rFonts w:ascii="Book Antiqua" w:hAnsi="Book Antiqua"/>
          <w:color w:val="000000" w:themeColor="text1"/>
        </w:rPr>
        <w:t>pregnant women</w:t>
      </w:r>
      <w:r w:rsidR="005B121B" w:rsidRPr="00F17C5F">
        <w:rPr>
          <w:rFonts w:ascii="Book Antiqua" w:hAnsi="Book Antiqua"/>
          <w:color w:val="000000" w:themeColor="text1"/>
        </w:rPr>
        <w:t xml:space="preserve"> in the majority of treatment guidelines</w:t>
      </w:r>
      <w:r w:rsidR="00447DFC"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3</w:t>
      </w:r>
      <w:r w:rsidR="002B3593" w:rsidRPr="00F17C5F">
        <w:rPr>
          <w:rFonts w:ascii="Book Antiqua" w:hAnsi="Book Antiqua"/>
          <w:color w:val="000000" w:themeColor="text1"/>
          <w:vertAlign w:val="superscript"/>
        </w:rPr>
        <w:t>2</w:t>
      </w:r>
      <w:r w:rsidR="00447DFC" w:rsidRPr="00F17C5F">
        <w:rPr>
          <w:rFonts w:ascii="Book Antiqua" w:hAnsi="Book Antiqua"/>
          <w:color w:val="000000" w:themeColor="text1"/>
          <w:vertAlign w:val="superscript"/>
        </w:rPr>
        <w:t>]</w:t>
      </w:r>
      <w:r w:rsidR="001838CC" w:rsidRPr="00F17C5F">
        <w:rPr>
          <w:rFonts w:ascii="Book Antiqua" w:hAnsi="Book Antiqua"/>
          <w:color w:val="000000" w:themeColor="text1"/>
          <w:lang w:eastAsia="zh-CN"/>
        </w:rPr>
        <w:t>,</w:t>
      </w:r>
      <w:r w:rsidR="00447DFC" w:rsidRPr="00F17C5F">
        <w:rPr>
          <w:rFonts w:ascii="Book Antiqua" w:hAnsi="Book Antiqua"/>
          <w:color w:val="000000" w:themeColor="text1"/>
        </w:rPr>
        <w:t xml:space="preserve"> </w:t>
      </w:r>
      <w:r w:rsidR="00E33EDE" w:rsidRPr="00F17C5F">
        <w:rPr>
          <w:rFonts w:ascii="Book Antiqua" w:hAnsi="Book Antiqua"/>
          <w:color w:val="000000" w:themeColor="text1"/>
        </w:rPr>
        <w:t>but alternatives exist for refractory cases as long as one considers potential toxicities especially with more prolonged use (</w:t>
      </w:r>
      <w:r w:rsidR="00E33EDE" w:rsidRPr="00F17C5F">
        <w:rPr>
          <w:rFonts w:ascii="Book Antiqua" w:hAnsi="Book Antiqua"/>
          <w:i/>
          <w:color w:val="000000" w:themeColor="text1"/>
        </w:rPr>
        <w:t>e.g.,</w:t>
      </w:r>
      <w:r w:rsidR="00E33EDE" w:rsidRPr="00F17C5F">
        <w:rPr>
          <w:rFonts w:ascii="Book Antiqua" w:hAnsi="Book Antiqua"/>
          <w:color w:val="000000" w:themeColor="text1"/>
        </w:rPr>
        <w:t xml:space="preserve"> methemog</w:t>
      </w:r>
      <w:r w:rsidR="001838CC" w:rsidRPr="00F17C5F">
        <w:rPr>
          <w:rFonts w:ascii="Book Antiqua" w:hAnsi="Book Antiqua"/>
          <w:color w:val="000000" w:themeColor="text1"/>
        </w:rPr>
        <w:t>lobinemia due to nitroglycerin)</w:t>
      </w:r>
      <w:r w:rsidR="00E21F9D"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3</w:t>
      </w:r>
      <w:r w:rsidR="002B3593" w:rsidRPr="00F17C5F">
        <w:rPr>
          <w:rFonts w:ascii="Book Antiqua" w:hAnsi="Book Antiqua"/>
          <w:color w:val="000000" w:themeColor="text1"/>
          <w:vertAlign w:val="superscript"/>
        </w:rPr>
        <w:t>3</w:t>
      </w:r>
      <w:r w:rsidR="00621D32" w:rsidRPr="00F17C5F">
        <w:rPr>
          <w:rFonts w:ascii="Book Antiqua" w:hAnsi="Book Antiqua"/>
          <w:color w:val="000000" w:themeColor="text1"/>
          <w:vertAlign w:val="superscript"/>
        </w:rPr>
        <w:t>,3</w:t>
      </w:r>
      <w:r w:rsidR="002B3593" w:rsidRPr="00F17C5F">
        <w:rPr>
          <w:rFonts w:ascii="Book Antiqua" w:hAnsi="Book Antiqua"/>
          <w:color w:val="000000" w:themeColor="text1"/>
          <w:vertAlign w:val="superscript"/>
        </w:rPr>
        <w:t>4</w:t>
      </w:r>
      <w:r w:rsidR="00E21F9D"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E33EDE" w:rsidRPr="00F17C5F">
        <w:rPr>
          <w:rFonts w:ascii="Book Antiqua" w:hAnsi="Book Antiqua"/>
          <w:color w:val="000000" w:themeColor="text1"/>
        </w:rPr>
        <w:t xml:space="preserve">An example of a class of antihypertensive agents that should almost always be avoided during pregnancy </w:t>
      </w:r>
      <w:r w:rsidR="00B936A8" w:rsidRPr="00F17C5F">
        <w:rPr>
          <w:rFonts w:ascii="Book Antiqua" w:hAnsi="Book Antiqua"/>
          <w:color w:val="000000" w:themeColor="text1"/>
        </w:rPr>
        <w:t>is the angiotensin-converting enzyme inhibitors such as intravenous enalaprilat that have a boxed warning about potential fetal injury and death when given during the second and third trimesters of pregnancy.</w:t>
      </w:r>
      <w:r w:rsidR="000D6098" w:rsidRPr="00F17C5F">
        <w:rPr>
          <w:rFonts w:ascii="Book Antiqua" w:hAnsi="Book Antiqua"/>
          <w:color w:val="000000" w:themeColor="text1"/>
        </w:rPr>
        <w:t xml:space="preserve"> </w:t>
      </w:r>
    </w:p>
    <w:p w14:paraId="2B5DEF9C" w14:textId="5C7A2D0A" w:rsidR="000D6098" w:rsidRPr="00F17C5F" w:rsidRDefault="000D6098" w:rsidP="00F17C5F">
      <w:pPr>
        <w:spacing w:after="0" w:line="360" w:lineRule="auto"/>
        <w:ind w:firstLineChars="200" w:firstLine="480"/>
        <w:jc w:val="both"/>
        <w:rPr>
          <w:rFonts w:ascii="Book Antiqua" w:hAnsi="Book Antiqua"/>
          <w:color w:val="000000" w:themeColor="text1"/>
          <w:lang w:eastAsia="zh-CN"/>
        </w:rPr>
      </w:pPr>
      <w:r w:rsidRPr="00F17C5F">
        <w:rPr>
          <w:rFonts w:ascii="Book Antiqua" w:hAnsi="Book Antiqua"/>
          <w:color w:val="000000" w:themeColor="text1"/>
        </w:rPr>
        <w:t xml:space="preserve">There are far more questions than answers when it comes to </w:t>
      </w:r>
      <w:r w:rsidR="00BF7BE5" w:rsidRPr="00F17C5F">
        <w:rPr>
          <w:rFonts w:ascii="Book Antiqua" w:hAnsi="Book Antiqua"/>
          <w:color w:val="000000" w:themeColor="text1"/>
        </w:rPr>
        <w:t xml:space="preserve">supportive care </w:t>
      </w:r>
      <w:r w:rsidR="00797780" w:rsidRPr="00F17C5F">
        <w:rPr>
          <w:rFonts w:ascii="Book Antiqua" w:hAnsi="Book Antiqua"/>
          <w:color w:val="000000" w:themeColor="text1"/>
        </w:rPr>
        <w:t xml:space="preserve">drug </w:t>
      </w:r>
      <w:r w:rsidR="00BF7BE5" w:rsidRPr="00F17C5F">
        <w:rPr>
          <w:rFonts w:ascii="Book Antiqua" w:hAnsi="Book Antiqua"/>
          <w:color w:val="000000" w:themeColor="text1"/>
        </w:rPr>
        <w:t>(</w:t>
      </w:r>
      <w:r w:rsidR="00BF7BE5" w:rsidRPr="00F17C5F">
        <w:rPr>
          <w:rFonts w:ascii="Book Antiqua" w:hAnsi="Book Antiqua"/>
          <w:i/>
          <w:color w:val="000000" w:themeColor="text1"/>
        </w:rPr>
        <w:t>e.g.,</w:t>
      </w:r>
      <w:r w:rsidR="00BF7BE5" w:rsidRPr="00F17C5F">
        <w:rPr>
          <w:rFonts w:ascii="Book Antiqua" w:hAnsi="Book Antiqua"/>
          <w:color w:val="000000" w:themeColor="text1"/>
        </w:rPr>
        <w:t xml:space="preserve"> analgesics, sedatives) </w:t>
      </w:r>
      <w:r w:rsidR="00797780" w:rsidRPr="00F17C5F">
        <w:rPr>
          <w:rFonts w:ascii="Book Antiqua" w:hAnsi="Book Antiqua"/>
          <w:color w:val="000000" w:themeColor="text1"/>
        </w:rPr>
        <w:t xml:space="preserve">use </w:t>
      </w:r>
      <w:r w:rsidRPr="00F17C5F">
        <w:rPr>
          <w:rFonts w:ascii="Book Antiqua" w:hAnsi="Book Antiqua"/>
          <w:color w:val="000000" w:themeColor="text1"/>
        </w:rPr>
        <w:t>in the critically ill pregna</w:t>
      </w:r>
      <w:r w:rsidR="00067AAB" w:rsidRPr="00F17C5F">
        <w:rPr>
          <w:rFonts w:ascii="Book Antiqua" w:hAnsi="Book Antiqua"/>
          <w:color w:val="000000" w:themeColor="text1"/>
        </w:rPr>
        <w:t>nt patient</w:t>
      </w:r>
      <w:r w:rsidR="00FB5E53" w:rsidRPr="00F17C5F">
        <w:rPr>
          <w:rFonts w:ascii="Book Antiqua" w:hAnsi="Book Antiqua"/>
          <w:color w:val="000000" w:themeColor="text1"/>
        </w:rPr>
        <w:t>,</w:t>
      </w:r>
      <w:r w:rsidR="00067AAB" w:rsidRPr="00F17C5F">
        <w:rPr>
          <w:rFonts w:ascii="Book Antiqua" w:hAnsi="Book Antiqua"/>
          <w:color w:val="000000" w:themeColor="text1"/>
        </w:rPr>
        <w:t xml:space="preserve"> and the risk/benefit assessment must include potential harm to </w:t>
      </w:r>
      <w:r w:rsidR="00FB5E53" w:rsidRPr="00F17C5F">
        <w:rPr>
          <w:rFonts w:ascii="Book Antiqua" w:hAnsi="Book Antiqua"/>
          <w:color w:val="000000" w:themeColor="text1"/>
        </w:rPr>
        <w:t>the fetus.</w:t>
      </w:r>
      <w:r w:rsidR="000C28EB" w:rsidRPr="00F17C5F">
        <w:rPr>
          <w:rFonts w:ascii="Book Antiqua" w:hAnsi="Book Antiqua"/>
          <w:color w:val="000000" w:themeColor="text1"/>
        </w:rPr>
        <w:t xml:space="preserve"> </w:t>
      </w:r>
      <w:r w:rsidR="00FB5E53" w:rsidRPr="00F17C5F">
        <w:rPr>
          <w:rFonts w:ascii="Book Antiqua" w:hAnsi="Book Antiqua"/>
          <w:color w:val="000000" w:themeColor="text1"/>
        </w:rPr>
        <w:t>The difficulty in such assessments</w:t>
      </w:r>
      <w:r w:rsidR="00067AAB" w:rsidRPr="00F17C5F">
        <w:rPr>
          <w:rFonts w:ascii="Book Antiqua" w:hAnsi="Book Antiqua"/>
          <w:color w:val="000000" w:themeColor="text1"/>
        </w:rPr>
        <w:t xml:space="preserve"> is illustrated by the choice of a sedative agent for a pregnant critically ill patient.</w:t>
      </w:r>
      <w:r w:rsidR="000C28EB" w:rsidRPr="00F17C5F">
        <w:rPr>
          <w:rFonts w:ascii="Book Antiqua" w:hAnsi="Book Antiqua"/>
          <w:color w:val="000000" w:themeColor="text1"/>
        </w:rPr>
        <w:t xml:space="preserve"> </w:t>
      </w:r>
      <w:r w:rsidR="00067AAB" w:rsidRPr="00F17C5F">
        <w:rPr>
          <w:rFonts w:ascii="Book Antiqua" w:hAnsi="Book Antiqua"/>
          <w:color w:val="000000" w:themeColor="text1"/>
        </w:rPr>
        <w:t>In the not too distant past, benzodiazepines were the drugs of choice for ICU sedation.</w:t>
      </w:r>
      <w:r w:rsidR="000C28EB" w:rsidRPr="00F17C5F">
        <w:rPr>
          <w:rFonts w:ascii="Book Antiqua" w:hAnsi="Book Antiqua"/>
          <w:color w:val="000000" w:themeColor="text1"/>
        </w:rPr>
        <w:t xml:space="preserve"> </w:t>
      </w:r>
      <w:r w:rsidR="00067AAB" w:rsidRPr="00F17C5F">
        <w:rPr>
          <w:rFonts w:ascii="Book Antiqua" w:hAnsi="Book Antiqua"/>
          <w:color w:val="000000" w:themeColor="text1"/>
        </w:rPr>
        <w:t>However, benzodiazepines cross the placenta and are labe</w:t>
      </w:r>
      <w:r w:rsidR="00FB5E53" w:rsidRPr="00F17C5F">
        <w:rPr>
          <w:rFonts w:ascii="Book Antiqua" w:hAnsi="Book Antiqua"/>
          <w:color w:val="000000" w:themeColor="text1"/>
        </w:rPr>
        <w:t>led as pregnancy category D.</w:t>
      </w:r>
      <w:r w:rsidR="000C28EB" w:rsidRPr="00F17C5F">
        <w:rPr>
          <w:rFonts w:ascii="Book Antiqua" w:hAnsi="Book Antiqua"/>
          <w:color w:val="000000" w:themeColor="text1"/>
        </w:rPr>
        <w:t xml:space="preserve"> </w:t>
      </w:r>
      <w:r w:rsidR="00FB5E53" w:rsidRPr="00F17C5F">
        <w:rPr>
          <w:rFonts w:ascii="Book Antiqua" w:hAnsi="Book Antiqua"/>
          <w:color w:val="000000" w:themeColor="text1"/>
        </w:rPr>
        <w:t>Additionally, a</w:t>
      </w:r>
      <w:r w:rsidR="00067AAB" w:rsidRPr="00F17C5F">
        <w:rPr>
          <w:rFonts w:ascii="Book Antiqua" w:hAnsi="Book Antiqua"/>
          <w:color w:val="000000" w:themeColor="text1"/>
        </w:rPr>
        <w:t>lternative sedative a</w:t>
      </w:r>
      <w:r w:rsidR="00FB5E53" w:rsidRPr="00F17C5F">
        <w:rPr>
          <w:rFonts w:ascii="Book Antiqua" w:hAnsi="Book Antiqua"/>
          <w:color w:val="000000" w:themeColor="text1"/>
        </w:rPr>
        <w:t xml:space="preserve">gents are now available including </w:t>
      </w:r>
      <w:r w:rsidR="00067AAB" w:rsidRPr="00F17C5F">
        <w:rPr>
          <w:rFonts w:ascii="Book Antiqua" w:hAnsi="Book Antiqua"/>
          <w:color w:val="000000" w:themeColor="text1"/>
        </w:rPr>
        <w:t xml:space="preserve">propofol (category B) and dexmedetomidine (category C), </w:t>
      </w:r>
      <w:r w:rsidR="00FB5E53" w:rsidRPr="00F17C5F">
        <w:rPr>
          <w:rFonts w:ascii="Book Antiqua" w:hAnsi="Book Antiqua"/>
          <w:color w:val="000000" w:themeColor="text1"/>
        </w:rPr>
        <w:t>but there is little data on longer-term use in pregnant women.</w:t>
      </w:r>
      <w:r w:rsidR="000C28EB" w:rsidRPr="00F17C5F">
        <w:rPr>
          <w:rFonts w:ascii="Book Antiqua" w:hAnsi="Book Antiqua"/>
          <w:color w:val="000000" w:themeColor="text1"/>
        </w:rPr>
        <w:t xml:space="preserve"> </w:t>
      </w:r>
      <w:r w:rsidR="00FB5E53" w:rsidRPr="00F17C5F">
        <w:rPr>
          <w:rFonts w:ascii="Book Antiqua" w:hAnsi="Book Antiqua"/>
          <w:color w:val="000000" w:themeColor="text1"/>
        </w:rPr>
        <w:t>This can lead to difficult decisions in pregnant women with prolon</w:t>
      </w:r>
      <w:r w:rsidR="001838CC" w:rsidRPr="00F17C5F">
        <w:rPr>
          <w:rFonts w:ascii="Book Antiqua" w:hAnsi="Book Antiqua"/>
          <w:color w:val="000000" w:themeColor="text1"/>
        </w:rPr>
        <w:t>ged ICU stays</w:t>
      </w:r>
      <w:r w:rsidR="00287BA4"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3</w:t>
      </w:r>
      <w:r w:rsidR="002B3593" w:rsidRPr="00F17C5F">
        <w:rPr>
          <w:rFonts w:ascii="Book Antiqua" w:hAnsi="Book Antiqua"/>
          <w:color w:val="000000" w:themeColor="text1"/>
          <w:vertAlign w:val="superscript"/>
        </w:rPr>
        <w:t>5</w:t>
      </w:r>
      <w:r w:rsidR="00287BA4"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F86664" w:rsidRPr="00F17C5F">
        <w:rPr>
          <w:rFonts w:ascii="Book Antiqua" w:hAnsi="Book Antiqua"/>
          <w:color w:val="000000" w:themeColor="text1"/>
        </w:rPr>
        <w:t>Table</w:t>
      </w:r>
      <w:r w:rsidR="00772E20" w:rsidRPr="00F17C5F">
        <w:rPr>
          <w:rFonts w:ascii="Book Antiqua" w:hAnsi="Book Antiqua"/>
          <w:color w:val="000000" w:themeColor="text1"/>
        </w:rPr>
        <w:t xml:space="preserve"> 9</w:t>
      </w:r>
      <w:r w:rsidR="00567D3E" w:rsidRPr="00F17C5F">
        <w:rPr>
          <w:rFonts w:ascii="Book Antiqua" w:hAnsi="Book Antiqua"/>
          <w:color w:val="000000" w:themeColor="text1"/>
        </w:rPr>
        <w:t xml:space="preserve"> lists some of the more common drugs used in the ICU setting and their implications for use in pregnant women.</w:t>
      </w:r>
      <w:r w:rsidR="000C28EB" w:rsidRPr="00F17C5F">
        <w:rPr>
          <w:rFonts w:ascii="Book Antiqua" w:hAnsi="Book Antiqua"/>
          <w:color w:val="000000" w:themeColor="text1"/>
        </w:rPr>
        <w:t xml:space="preserve"> </w:t>
      </w:r>
      <w:r w:rsidR="00CB7E20" w:rsidRPr="00F17C5F">
        <w:rPr>
          <w:rFonts w:ascii="Book Antiqua" w:hAnsi="Book Antiqua"/>
          <w:color w:val="000000" w:themeColor="text1"/>
        </w:rPr>
        <w:t>This table is meant to supplement other materials including more specific recommendations in FDA-approved product information brochures (</w:t>
      </w:r>
      <w:r w:rsidR="00CB7E20" w:rsidRPr="00F17C5F">
        <w:rPr>
          <w:rFonts w:ascii="Book Antiqua" w:hAnsi="Book Antiqua"/>
          <w:i/>
          <w:color w:val="000000" w:themeColor="text1"/>
        </w:rPr>
        <w:t>e.g.,</w:t>
      </w:r>
      <w:r w:rsidR="00CB7E20" w:rsidRPr="00F17C5F">
        <w:rPr>
          <w:rFonts w:ascii="Book Antiqua" w:hAnsi="Book Antiqua"/>
          <w:color w:val="000000" w:themeColor="text1"/>
        </w:rPr>
        <w:t xml:space="preserve"> the use of preservative-free heparin and low molecular weight heparin preparations).</w:t>
      </w:r>
    </w:p>
    <w:p w14:paraId="2B60EBB6" w14:textId="77777777" w:rsidR="001F6175" w:rsidRPr="00F17C5F" w:rsidRDefault="001F6175" w:rsidP="00F17C5F">
      <w:pPr>
        <w:spacing w:after="0" w:line="360" w:lineRule="auto"/>
        <w:ind w:firstLineChars="200" w:firstLine="480"/>
        <w:jc w:val="both"/>
        <w:rPr>
          <w:rFonts w:ascii="Book Antiqua" w:hAnsi="Book Antiqua"/>
          <w:color w:val="000000" w:themeColor="text1"/>
          <w:lang w:eastAsia="zh-CN"/>
        </w:rPr>
      </w:pPr>
    </w:p>
    <w:p w14:paraId="4DBDFB87" w14:textId="77777777" w:rsidR="00864E88" w:rsidRPr="00F17C5F" w:rsidRDefault="00864E88"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Recommendations</w:t>
      </w:r>
    </w:p>
    <w:p w14:paraId="0C674B4E" w14:textId="75F617FE" w:rsidR="00864E88" w:rsidRPr="00F17C5F" w:rsidRDefault="006E2FAA"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The drug management principles for critically ill pregnant patients are the same as for non-pregnant patients in the sense that potentially life-saving medications should not be withheld when no similarly efficacious therapies exist.</w:t>
      </w:r>
      <w:r w:rsidR="000C28EB" w:rsidRPr="00F17C5F">
        <w:rPr>
          <w:rFonts w:ascii="Book Antiqua" w:hAnsi="Book Antiqua"/>
          <w:color w:val="000000" w:themeColor="text1"/>
        </w:rPr>
        <w:t xml:space="preserve"> </w:t>
      </w:r>
      <w:r w:rsidRPr="00F17C5F">
        <w:rPr>
          <w:rFonts w:ascii="Book Antiqua" w:hAnsi="Book Antiqua"/>
          <w:color w:val="000000" w:themeColor="text1"/>
        </w:rPr>
        <w:t>When the situation is less dire and when more than one drug opti</w:t>
      </w:r>
      <w:r w:rsidR="001838CC" w:rsidRPr="00F17C5F">
        <w:rPr>
          <w:rFonts w:ascii="Book Antiqua" w:hAnsi="Book Antiqua"/>
          <w:color w:val="000000" w:themeColor="text1"/>
        </w:rPr>
        <w:t xml:space="preserve">on is available, the benefit </w:t>
      </w:r>
      <w:r w:rsidR="001838CC" w:rsidRPr="00F17C5F">
        <w:rPr>
          <w:rFonts w:ascii="Book Antiqua" w:hAnsi="Book Antiqua"/>
          <w:i/>
          <w:color w:val="000000" w:themeColor="text1"/>
        </w:rPr>
        <w:t>vs</w:t>
      </w:r>
      <w:r w:rsidRPr="00F17C5F">
        <w:rPr>
          <w:rFonts w:ascii="Book Antiqua" w:hAnsi="Book Antiqua"/>
          <w:color w:val="000000" w:themeColor="text1"/>
        </w:rPr>
        <w:t xml:space="preserve"> risk assessment should take into account the limited information on potential maternal/fetal harm that is available.</w:t>
      </w:r>
      <w:r w:rsidR="000C28EB" w:rsidRPr="00F17C5F">
        <w:rPr>
          <w:rFonts w:ascii="Book Antiqua" w:hAnsi="Book Antiqua"/>
          <w:color w:val="000000" w:themeColor="text1"/>
        </w:rPr>
        <w:t xml:space="preserve"> </w:t>
      </w:r>
      <w:r w:rsidRPr="00F17C5F">
        <w:rPr>
          <w:rFonts w:ascii="Book Antiqua" w:hAnsi="Book Antiqua"/>
          <w:color w:val="000000" w:themeColor="text1"/>
        </w:rPr>
        <w:t>Some decisions will be more clear-cut than others.</w:t>
      </w:r>
      <w:r w:rsidR="000C28EB" w:rsidRPr="00F17C5F">
        <w:rPr>
          <w:rFonts w:ascii="Book Antiqua" w:hAnsi="Book Antiqua"/>
          <w:color w:val="000000" w:themeColor="text1"/>
        </w:rPr>
        <w:t xml:space="preserve"> </w:t>
      </w:r>
      <w:r w:rsidRPr="00F17C5F">
        <w:rPr>
          <w:rFonts w:ascii="Book Antiqua" w:hAnsi="Book Antiqua"/>
          <w:color w:val="000000" w:themeColor="text1"/>
        </w:rPr>
        <w:t>For example, there are multiple agents available for treating hypertensive episodes in the ICU, so there would rarely if ever be a need to use sustained dosing with an agent like an ACE-inhibitor that has documented potential for fetal harm.</w:t>
      </w:r>
      <w:r w:rsidR="000C28EB" w:rsidRPr="00F17C5F">
        <w:rPr>
          <w:rFonts w:ascii="Book Antiqua" w:hAnsi="Book Antiqua"/>
          <w:color w:val="000000" w:themeColor="text1"/>
        </w:rPr>
        <w:t xml:space="preserve"> </w:t>
      </w:r>
      <w:r w:rsidR="00F81BC7" w:rsidRPr="00F17C5F">
        <w:rPr>
          <w:rFonts w:ascii="Book Antiqua" w:hAnsi="Book Antiqua"/>
          <w:color w:val="000000" w:themeColor="text1"/>
        </w:rPr>
        <w:t>For more difficult therapeutic dilemmas,</w:t>
      </w:r>
      <w:r w:rsidRPr="00F17C5F">
        <w:rPr>
          <w:rFonts w:ascii="Book Antiqua" w:hAnsi="Book Antiqua"/>
          <w:color w:val="000000" w:themeColor="text1"/>
        </w:rPr>
        <w:t xml:space="preserve"> additional expertise </w:t>
      </w:r>
      <w:r w:rsidR="00B77802" w:rsidRPr="00F17C5F">
        <w:rPr>
          <w:rFonts w:ascii="Book Antiqua" w:hAnsi="Book Antiqua"/>
          <w:color w:val="000000" w:themeColor="text1"/>
        </w:rPr>
        <w:t xml:space="preserve">such as that by </w:t>
      </w:r>
      <w:r w:rsidRPr="00F17C5F">
        <w:rPr>
          <w:rFonts w:ascii="Book Antiqua" w:hAnsi="Book Antiqua"/>
          <w:color w:val="000000" w:themeColor="text1"/>
        </w:rPr>
        <w:t xml:space="preserve">genetic counseling experts </w:t>
      </w:r>
      <w:r w:rsidR="00B77802" w:rsidRPr="00F17C5F">
        <w:rPr>
          <w:rFonts w:ascii="Book Antiqua" w:hAnsi="Book Antiqua"/>
          <w:color w:val="000000" w:themeColor="text1"/>
        </w:rPr>
        <w:t>may be helpful</w:t>
      </w:r>
      <w:r w:rsidRPr="00F17C5F">
        <w:rPr>
          <w:rFonts w:ascii="Book Antiqua" w:hAnsi="Book Antiqua"/>
          <w:color w:val="000000" w:themeColor="text1"/>
        </w:rPr>
        <w:t>.</w:t>
      </w:r>
    </w:p>
    <w:p w14:paraId="71C099F8" w14:textId="77777777" w:rsidR="003E456E" w:rsidRPr="00F17C5F" w:rsidRDefault="003E456E" w:rsidP="00F17C5F">
      <w:pPr>
        <w:spacing w:after="0" w:line="360" w:lineRule="auto"/>
        <w:jc w:val="both"/>
        <w:rPr>
          <w:rFonts w:ascii="Book Antiqua" w:hAnsi="Book Antiqua"/>
          <w:color w:val="000000" w:themeColor="text1"/>
        </w:rPr>
      </w:pPr>
    </w:p>
    <w:p w14:paraId="04DFA680" w14:textId="2F6EEE73" w:rsidR="003E456E" w:rsidRPr="00F17C5F" w:rsidRDefault="007F795E"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Drug</w:t>
      </w:r>
      <w:r w:rsidR="003155A9" w:rsidRPr="00F17C5F">
        <w:rPr>
          <w:rFonts w:ascii="Book Antiqua" w:hAnsi="Book Antiqua"/>
          <w:b/>
          <w:i/>
          <w:color w:val="000000" w:themeColor="text1"/>
        </w:rPr>
        <w:t xml:space="preserve"> choice or dosing in extracorporeal membrane oxygenation</w:t>
      </w:r>
    </w:p>
    <w:p w14:paraId="13032317" w14:textId="7F35D2DD" w:rsidR="00D379A5" w:rsidRPr="00F17C5F" w:rsidRDefault="003E456E"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 xml:space="preserve">Long-term </w:t>
      </w:r>
      <w:r w:rsidR="003155A9" w:rsidRPr="00F17C5F">
        <w:rPr>
          <w:rFonts w:ascii="Book Antiqua" w:hAnsi="Book Antiqua"/>
          <w:color w:val="000000" w:themeColor="text1"/>
        </w:rPr>
        <w:t>extracorporeal membrane oxygenation (ECMO)</w:t>
      </w:r>
      <w:r w:rsidR="003155A9" w:rsidRPr="00F17C5F">
        <w:rPr>
          <w:rFonts w:ascii="Book Antiqua" w:hAnsi="Book Antiqua"/>
          <w:color w:val="000000" w:themeColor="text1"/>
          <w:lang w:eastAsia="zh-CN"/>
        </w:rPr>
        <w:t xml:space="preserve"> </w:t>
      </w:r>
      <w:r w:rsidRPr="00F17C5F">
        <w:rPr>
          <w:rFonts w:ascii="Book Antiqua" w:hAnsi="Book Antiqua"/>
          <w:color w:val="000000" w:themeColor="text1"/>
        </w:rPr>
        <w:t xml:space="preserve">was first used in an adult patient with respiratory failure in 1972, but initial enthusiasm was dampened when a randomized trial of ECMO for adult respiratory distress syndrome </w:t>
      </w:r>
      <w:r w:rsidR="00B8013C" w:rsidRPr="00F17C5F">
        <w:rPr>
          <w:rFonts w:ascii="Book Antiqua" w:hAnsi="Book Antiqua"/>
          <w:color w:val="000000" w:themeColor="text1"/>
        </w:rPr>
        <w:t xml:space="preserve">(ARDS) </w:t>
      </w:r>
      <w:r w:rsidRPr="00F17C5F">
        <w:rPr>
          <w:rFonts w:ascii="Book Antiqua" w:hAnsi="Book Antiqua"/>
          <w:color w:val="000000" w:themeColor="text1"/>
        </w:rPr>
        <w:t>was stopped due to futil</w:t>
      </w:r>
      <w:r w:rsidR="001838CC" w:rsidRPr="00F17C5F">
        <w:rPr>
          <w:rFonts w:ascii="Book Antiqua" w:hAnsi="Book Antiqua"/>
          <w:color w:val="000000" w:themeColor="text1"/>
        </w:rPr>
        <w:t>ity</w:t>
      </w:r>
      <w:r w:rsidR="00287BA4"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3</w:t>
      </w:r>
      <w:r w:rsidR="002B3593" w:rsidRPr="00F17C5F">
        <w:rPr>
          <w:rFonts w:ascii="Book Antiqua" w:hAnsi="Book Antiqua"/>
          <w:color w:val="000000" w:themeColor="text1"/>
          <w:vertAlign w:val="superscript"/>
        </w:rPr>
        <w:t>6</w:t>
      </w:r>
      <w:r w:rsidR="00287BA4"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Pr="00F17C5F">
        <w:rPr>
          <w:rFonts w:ascii="Book Antiqua" w:hAnsi="Book Antiqua"/>
          <w:color w:val="000000" w:themeColor="text1"/>
        </w:rPr>
        <w:t xml:space="preserve">Enthusiasm for this technique has been renewed based </w:t>
      </w:r>
      <w:r w:rsidR="008B1A23" w:rsidRPr="00F17C5F">
        <w:rPr>
          <w:rFonts w:ascii="Book Antiqua" w:hAnsi="Book Antiqua"/>
          <w:color w:val="000000" w:themeColor="text1"/>
        </w:rPr>
        <w:t>on reductions in mortality noted in</w:t>
      </w:r>
      <w:r w:rsidRPr="00F17C5F">
        <w:rPr>
          <w:rFonts w:ascii="Book Antiqua" w:hAnsi="Book Antiqua"/>
          <w:color w:val="000000" w:themeColor="text1"/>
        </w:rPr>
        <w:t xml:space="preserve"> </w:t>
      </w:r>
      <w:r w:rsidR="008B1A23" w:rsidRPr="00F17C5F">
        <w:rPr>
          <w:rFonts w:ascii="Book Antiqua" w:hAnsi="Book Antiqua"/>
          <w:color w:val="000000" w:themeColor="text1"/>
        </w:rPr>
        <w:t>more recent randomized and</w:t>
      </w:r>
      <w:r w:rsidRPr="00F17C5F">
        <w:rPr>
          <w:rFonts w:ascii="Book Antiqua" w:hAnsi="Book Antiqua"/>
          <w:color w:val="000000" w:themeColor="text1"/>
        </w:rPr>
        <w:t xml:space="preserve"> cohort </w:t>
      </w:r>
      <w:r w:rsidR="008B1A23" w:rsidRPr="00F17C5F">
        <w:rPr>
          <w:rFonts w:ascii="Book Antiqua" w:hAnsi="Book Antiqua"/>
          <w:color w:val="000000" w:themeColor="text1"/>
        </w:rPr>
        <w:t>studies of patients with severe ARDS, and in particular,</w:t>
      </w:r>
      <w:r w:rsidR="00B8013C" w:rsidRPr="00F17C5F">
        <w:rPr>
          <w:rFonts w:ascii="Book Antiqua" w:hAnsi="Book Antiqua"/>
          <w:color w:val="000000" w:themeColor="text1"/>
        </w:rPr>
        <w:t xml:space="preserve"> H1N1-related ARDS</w:t>
      </w:r>
      <w:r w:rsidR="00287BA4" w:rsidRPr="00F17C5F">
        <w:rPr>
          <w:rFonts w:ascii="Book Antiqua" w:hAnsi="Book Antiqua"/>
          <w:color w:val="000000" w:themeColor="text1"/>
          <w:vertAlign w:val="superscript"/>
        </w:rPr>
        <w:t>[</w:t>
      </w:r>
      <w:r w:rsidR="00621D32" w:rsidRPr="00F17C5F">
        <w:rPr>
          <w:rFonts w:ascii="Book Antiqua" w:hAnsi="Book Antiqua"/>
          <w:color w:val="000000" w:themeColor="text1"/>
          <w:vertAlign w:val="superscript"/>
        </w:rPr>
        <w:t>3</w:t>
      </w:r>
      <w:r w:rsidR="002B3593" w:rsidRPr="00F17C5F">
        <w:rPr>
          <w:rFonts w:ascii="Book Antiqua" w:hAnsi="Book Antiqua"/>
          <w:color w:val="000000" w:themeColor="text1"/>
          <w:vertAlign w:val="superscript"/>
        </w:rPr>
        <w:t>7</w:t>
      </w:r>
      <w:r w:rsidR="00621D32" w:rsidRPr="00F17C5F">
        <w:rPr>
          <w:rFonts w:ascii="Book Antiqua" w:hAnsi="Book Antiqua"/>
          <w:color w:val="000000" w:themeColor="text1"/>
          <w:vertAlign w:val="superscript"/>
        </w:rPr>
        <w:t>,3</w:t>
      </w:r>
      <w:r w:rsidR="002B3593" w:rsidRPr="00F17C5F">
        <w:rPr>
          <w:rFonts w:ascii="Book Antiqua" w:hAnsi="Book Antiqua"/>
          <w:color w:val="000000" w:themeColor="text1"/>
          <w:vertAlign w:val="superscript"/>
        </w:rPr>
        <w:t>8</w:t>
      </w:r>
      <w:r w:rsidR="00287BA4"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8B1A23" w:rsidRPr="00F17C5F">
        <w:rPr>
          <w:rFonts w:ascii="Book Antiqua" w:hAnsi="Book Antiqua"/>
          <w:color w:val="000000" w:themeColor="text1"/>
        </w:rPr>
        <w:t>From a medication standpoint, much of the emphasis has been on anticoagulation strategies and monitoring, which is not surprising given that bleeding and thrombosis are important causes of ECMO-ass</w:t>
      </w:r>
      <w:r w:rsidR="001838CC" w:rsidRPr="00F17C5F">
        <w:rPr>
          <w:rFonts w:ascii="Book Antiqua" w:hAnsi="Book Antiqua"/>
          <w:color w:val="000000" w:themeColor="text1"/>
        </w:rPr>
        <w:t>ociated morbidity and mortality</w:t>
      </w:r>
      <w:r w:rsidR="00287BA4" w:rsidRPr="00F17C5F">
        <w:rPr>
          <w:rFonts w:ascii="Book Antiqua" w:hAnsi="Book Antiqua"/>
          <w:color w:val="000000" w:themeColor="text1"/>
          <w:vertAlign w:val="superscript"/>
        </w:rPr>
        <w:t>[</w:t>
      </w:r>
      <w:r w:rsidR="002B3593" w:rsidRPr="00F17C5F">
        <w:rPr>
          <w:rFonts w:ascii="Book Antiqua" w:hAnsi="Book Antiqua"/>
          <w:color w:val="000000" w:themeColor="text1"/>
          <w:vertAlign w:val="superscript"/>
        </w:rPr>
        <w:t>39</w:t>
      </w:r>
      <w:r w:rsidR="00287BA4"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3F1E69" w:rsidRPr="00F17C5F">
        <w:rPr>
          <w:rFonts w:ascii="Book Antiqua" w:hAnsi="Book Antiqua"/>
          <w:color w:val="000000" w:themeColor="text1"/>
        </w:rPr>
        <w:t>However, ECMO may also alter the pharmacokinetic, pharmacodynamics and therapeutic properties of medications that must be administered to patients receiving this modality - that is the focus of this discussion.</w:t>
      </w:r>
      <w:r w:rsidR="000C28EB" w:rsidRPr="00F17C5F">
        <w:rPr>
          <w:rFonts w:ascii="Book Antiqua" w:hAnsi="Book Antiqua"/>
          <w:color w:val="000000" w:themeColor="text1"/>
        </w:rPr>
        <w:t xml:space="preserve"> </w:t>
      </w:r>
      <w:r w:rsidR="003F1E69" w:rsidRPr="00F17C5F">
        <w:rPr>
          <w:rFonts w:ascii="Book Antiqua" w:hAnsi="Book Antiqua"/>
          <w:color w:val="000000" w:themeColor="text1"/>
        </w:rPr>
        <w:t>One recent review of pharmacokinetic changes associated with ECMO concluded that “published literature is insufficient to make any meaningful recommendations for ad</w:t>
      </w:r>
      <w:r w:rsidR="001F6175" w:rsidRPr="00F17C5F">
        <w:rPr>
          <w:rFonts w:ascii="Book Antiqua" w:hAnsi="Book Antiqua"/>
          <w:color w:val="000000" w:themeColor="text1"/>
        </w:rPr>
        <w:t>justing therapy for drug dosing</w:t>
      </w:r>
      <w:r w:rsidR="003F1E69" w:rsidRPr="00F17C5F">
        <w:rPr>
          <w:rFonts w:ascii="Book Antiqua" w:hAnsi="Book Antiqua"/>
          <w:color w:val="000000" w:themeColor="text1"/>
        </w:rPr>
        <w:t>”</w:t>
      </w:r>
      <w:r w:rsidR="00287BA4" w:rsidRPr="00F17C5F">
        <w:rPr>
          <w:rFonts w:ascii="Book Antiqua" w:hAnsi="Book Antiqua"/>
          <w:color w:val="000000" w:themeColor="text1"/>
          <w:vertAlign w:val="superscript"/>
        </w:rPr>
        <w:t>[</w:t>
      </w:r>
      <w:r w:rsidR="0002663A" w:rsidRPr="00F17C5F">
        <w:rPr>
          <w:rFonts w:ascii="Book Antiqua" w:hAnsi="Book Antiqua"/>
          <w:color w:val="000000" w:themeColor="text1"/>
          <w:vertAlign w:val="superscript"/>
        </w:rPr>
        <w:t>40</w:t>
      </w:r>
      <w:r w:rsidR="00287BA4" w:rsidRPr="00F17C5F">
        <w:rPr>
          <w:rFonts w:ascii="Book Antiqua" w:hAnsi="Book Antiqua"/>
          <w:color w:val="000000" w:themeColor="text1"/>
          <w:vertAlign w:val="superscript"/>
        </w:rPr>
        <w:t>]</w:t>
      </w:r>
      <w:r w:rsidR="001F6175" w:rsidRPr="00F17C5F">
        <w:rPr>
          <w:rFonts w:ascii="Book Antiqua" w:hAnsi="Book Antiqua"/>
          <w:color w:val="000000" w:themeColor="text1"/>
          <w:lang w:eastAsia="zh-CN"/>
        </w:rPr>
        <w:t xml:space="preserve">. </w:t>
      </w:r>
      <w:r w:rsidR="003F1E69" w:rsidRPr="00F17C5F">
        <w:rPr>
          <w:rFonts w:ascii="Book Antiqua" w:hAnsi="Book Antiqua"/>
          <w:color w:val="000000" w:themeColor="text1"/>
        </w:rPr>
        <w:t xml:space="preserve">Fortunately, there are ongoing </w:t>
      </w:r>
      <w:r w:rsidR="00C226A3" w:rsidRPr="00F17C5F">
        <w:rPr>
          <w:rFonts w:ascii="Book Antiqua" w:hAnsi="Book Antiqua"/>
          <w:color w:val="000000" w:themeColor="text1"/>
        </w:rPr>
        <w:t xml:space="preserve">systematic </w:t>
      </w:r>
      <w:r w:rsidR="003F1E69" w:rsidRPr="00F17C5F">
        <w:rPr>
          <w:rFonts w:ascii="Book Antiqua" w:hAnsi="Book Antiqua"/>
          <w:color w:val="000000" w:themeColor="text1"/>
        </w:rPr>
        <w:t>studies</w:t>
      </w:r>
      <w:r w:rsidR="00C226A3" w:rsidRPr="00F17C5F">
        <w:rPr>
          <w:rFonts w:ascii="Book Antiqua" w:hAnsi="Book Antiqua"/>
          <w:color w:val="000000" w:themeColor="text1"/>
        </w:rPr>
        <w:t xml:space="preserve"> that are investigating the actions of a variety of drugs commonly administered during ECMO procedures</w:t>
      </w:r>
      <w:r w:rsidR="00287BA4" w:rsidRPr="00F17C5F">
        <w:rPr>
          <w:rFonts w:ascii="Book Antiqua" w:hAnsi="Book Antiqua"/>
          <w:color w:val="000000" w:themeColor="text1"/>
          <w:vertAlign w:val="superscript"/>
        </w:rPr>
        <w:t>[</w:t>
      </w:r>
      <w:r w:rsidR="002D6F7D" w:rsidRPr="00F17C5F">
        <w:rPr>
          <w:rFonts w:ascii="Book Antiqua" w:hAnsi="Book Antiqua"/>
          <w:color w:val="000000" w:themeColor="text1"/>
          <w:vertAlign w:val="superscript"/>
        </w:rPr>
        <w:t>4</w:t>
      </w:r>
      <w:r w:rsidR="002B3593" w:rsidRPr="00F17C5F">
        <w:rPr>
          <w:rFonts w:ascii="Book Antiqua" w:hAnsi="Book Antiqua"/>
          <w:color w:val="000000" w:themeColor="text1"/>
          <w:vertAlign w:val="superscript"/>
        </w:rPr>
        <w:t>1,42</w:t>
      </w:r>
      <w:r w:rsidR="00287BA4" w:rsidRPr="00F17C5F">
        <w:rPr>
          <w:rFonts w:ascii="Book Antiqua" w:hAnsi="Book Antiqua"/>
          <w:color w:val="000000" w:themeColor="text1"/>
          <w:vertAlign w:val="superscript"/>
        </w:rPr>
        <w:t>]</w:t>
      </w:r>
      <w:r w:rsidR="001F6175"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110DC6" w:rsidRPr="00F17C5F">
        <w:rPr>
          <w:rFonts w:ascii="Book Antiqua" w:hAnsi="Book Antiqua"/>
          <w:color w:val="000000" w:themeColor="text1"/>
        </w:rPr>
        <w:t xml:space="preserve">The studies involving drug administration in conjunction with ECMO fall into 3 general categories: </w:t>
      </w:r>
      <w:r w:rsidR="00110DC6" w:rsidRPr="00F17C5F">
        <w:rPr>
          <w:rFonts w:ascii="Book Antiqua" w:hAnsi="Book Antiqua"/>
          <w:i/>
          <w:color w:val="000000" w:themeColor="text1"/>
        </w:rPr>
        <w:t>in vitro</w:t>
      </w:r>
      <w:r w:rsidR="00110DC6" w:rsidRPr="00F17C5F">
        <w:rPr>
          <w:rFonts w:ascii="Book Antiqua" w:hAnsi="Book Antiqua"/>
          <w:color w:val="000000" w:themeColor="text1"/>
        </w:rPr>
        <w:t xml:space="preserve"> studies related to physicochemical properties of drugs (</w:t>
      </w:r>
      <w:r w:rsidR="00110DC6" w:rsidRPr="00F17C5F">
        <w:rPr>
          <w:rFonts w:ascii="Book Antiqua" w:hAnsi="Book Antiqua"/>
          <w:i/>
          <w:color w:val="000000" w:themeColor="text1"/>
        </w:rPr>
        <w:t>e.</w:t>
      </w:r>
      <w:r w:rsidR="002B3593" w:rsidRPr="00F17C5F">
        <w:rPr>
          <w:rFonts w:ascii="Book Antiqua" w:hAnsi="Book Antiqua"/>
          <w:i/>
          <w:color w:val="000000" w:themeColor="text1"/>
        </w:rPr>
        <w:t>g</w:t>
      </w:r>
      <w:r w:rsidR="00110DC6" w:rsidRPr="00F17C5F">
        <w:rPr>
          <w:rFonts w:ascii="Book Antiqua" w:hAnsi="Book Antiqua"/>
          <w:i/>
          <w:color w:val="000000" w:themeColor="text1"/>
        </w:rPr>
        <w:t>.,</w:t>
      </w:r>
      <w:r w:rsidR="00110DC6" w:rsidRPr="00F17C5F">
        <w:rPr>
          <w:rFonts w:ascii="Book Antiqua" w:hAnsi="Book Antiqua"/>
          <w:color w:val="000000" w:themeColor="text1"/>
        </w:rPr>
        <w:t xml:space="preserve"> drug binding to ECMO circuitry); pharmacokinetic studies; and clinical trials.</w:t>
      </w:r>
      <w:r w:rsidR="000C28EB" w:rsidRPr="00F17C5F">
        <w:rPr>
          <w:rFonts w:ascii="Book Antiqua" w:hAnsi="Book Antiqua"/>
          <w:color w:val="000000" w:themeColor="text1"/>
        </w:rPr>
        <w:t xml:space="preserve"> </w:t>
      </w:r>
      <w:r w:rsidR="00110DC6" w:rsidRPr="00F17C5F">
        <w:rPr>
          <w:rFonts w:ascii="Book Antiqua" w:hAnsi="Book Antiqua"/>
          <w:color w:val="000000" w:themeColor="text1"/>
        </w:rPr>
        <w:t xml:space="preserve">The </w:t>
      </w:r>
      <w:r w:rsidR="00110DC6" w:rsidRPr="00F17C5F">
        <w:rPr>
          <w:rFonts w:ascii="Book Antiqua" w:hAnsi="Book Antiqua"/>
          <w:i/>
          <w:color w:val="000000" w:themeColor="text1"/>
        </w:rPr>
        <w:t>in vitro</w:t>
      </w:r>
      <w:r w:rsidR="00110DC6" w:rsidRPr="00F17C5F">
        <w:rPr>
          <w:rFonts w:ascii="Book Antiqua" w:hAnsi="Book Antiqua"/>
          <w:color w:val="000000" w:themeColor="text1"/>
        </w:rPr>
        <w:t xml:space="preserve"> studies are demonstrated by </w:t>
      </w:r>
      <w:r w:rsidR="00775B2C" w:rsidRPr="00F17C5F">
        <w:rPr>
          <w:rFonts w:ascii="Book Antiqua" w:hAnsi="Book Antiqua"/>
          <w:color w:val="000000" w:themeColor="text1"/>
        </w:rPr>
        <w:t>a</w:t>
      </w:r>
      <w:r w:rsidR="00110DC6" w:rsidRPr="00F17C5F">
        <w:rPr>
          <w:rFonts w:ascii="Book Antiqua" w:hAnsi="Book Antiqua"/>
          <w:color w:val="000000" w:themeColor="text1"/>
        </w:rPr>
        <w:t xml:space="preserve"> recent investigation that</w:t>
      </w:r>
      <w:r w:rsidR="00D44D61" w:rsidRPr="00F17C5F">
        <w:rPr>
          <w:rFonts w:ascii="Book Antiqua" w:hAnsi="Book Antiqua"/>
          <w:color w:val="000000" w:themeColor="text1"/>
        </w:rPr>
        <w:t xml:space="preserve"> evaluated potential drug sequestration in ECMO circuit</w:t>
      </w:r>
      <w:r w:rsidR="00775B2C" w:rsidRPr="00F17C5F">
        <w:rPr>
          <w:rFonts w:ascii="Book Antiqua" w:hAnsi="Book Antiqua"/>
          <w:color w:val="000000" w:themeColor="text1"/>
        </w:rPr>
        <w:t>ry by 5 drugs commonly administered to critically ill patients.</w:t>
      </w:r>
      <w:r w:rsidR="000C28EB" w:rsidRPr="00F17C5F">
        <w:rPr>
          <w:rFonts w:ascii="Book Antiqua" w:hAnsi="Book Antiqua"/>
          <w:color w:val="000000" w:themeColor="text1"/>
        </w:rPr>
        <w:t xml:space="preserve"> </w:t>
      </w:r>
      <w:r w:rsidR="00775B2C" w:rsidRPr="00F17C5F">
        <w:rPr>
          <w:rFonts w:ascii="Book Antiqua" w:hAnsi="Book Antiqua"/>
          <w:color w:val="000000" w:themeColor="text1"/>
        </w:rPr>
        <w:t>Equivalent doses of 2 opioids (fentanyl, morphine), 1 sedative (midazolam), and 2 antimicrobials (meropenem, vancomycin) were studied in ECMO circuits and polyvinylchloride ja</w:t>
      </w:r>
      <w:r w:rsidR="001F6175" w:rsidRPr="00F17C5F">
        <w:rPr>
          <w:rFonts w:ascii="Book Antiqua" w:hAnsi="Book Antiqua"/>
          <w:color w:val="000000" w:themeColor="text1"/>
        </w:rPr>
        <w:t>rs with fresh human whole blood</w:t>
      </w:r>
      <w:r w:rsidR="00287BA4" w:rsidRPr="00F17C5F">
        <w:rPr>
          <w:rFonts w:ascii="Book Antiqua" w:hAnsi="Book Antiqua"/>
          <w:color w:val="000000" w:themeColor="text1"/>
          <w:vertAlign w:val="superscript"/>
        </w:rPr>
        <w:t>[</w:t>
      </w:r>
      <w:r w:rsidR="002B3593" w:rsidRPr="00F17C5F">
        <w:rPr>
          <w:rFonts w:ascii="Book Antiqua" w:hAnsi="Book Antiqua"/>
          <w:color w:val="000000" w:themeColor="text1"/>
          <w:vertAlign w:val="superscript"/>
        </w:rPr>
        <w:t>43</w:t>
      </w:r>
      <w:r w:rsidR="00287BA4" w:rsidRPr="00F17C5F">
        <w:rPr>
          <w:rFonts w:ascii="Book Antiqua" w:hAnsi="Book Antiqua"/>
          <w:color w:val="000000" w:themeColor="text1"/>
          <w:vertAlign w:val="superscript"/>
        </w:rPr>
        <w:t>]</w:t>
      </w:r>
      <w:r w:rsidR="001F6175"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775B2C" w:rsidRPr="00F17C5F">
        <w:rPr>
          <w:rFonts w:ascii="Book Antiqua" w:hAnsi="Book Antiqua"/>
          <w:color w:val="000000" w:themeColor="text1"/>
        </w:rPr>
        <w:t xml:space="preserve">There were no substantial issues of stability or sequestration with vancomycin or morphine, but meropenem recovery </w:t>
      </w:r>
      <w:r w:rsidR="001F6175" w:rsidRPr="00F17C5F">
        <w:rPr>
          <w:rFonts w:ascii="Book Antiqua" w:hAnsi="Book Antiqua"/>
          <w:color w:val="000000" w:themeColor="text1"/>
        </w:rPr>
        <w:t xml:space="preserve">was low (20% </w:t>
      </w:r>
      <w:r w:rsidR="001F6175" w:rsidRPr="00F17C5F">
        <w:rPr>
          <w:rFonts w:ascii="Book Antiqua" w:hAnsi="Book Antiqua"/>
          <w:i/>
          <w:color w:val="000000" w:themeColor="text1"/>
        </w:rPr>
        <w:t>vs</w:t>
      </w:r>
      <w:r w:rsidR="001838CC" w:rsidRPr="00F17C5F">
        <w:rPr>
          <w:rFonts w:ascii="Book Antiqua" w:hAnsi="Book Antiqua"/>
          <w:color w:val="000000" w:themeColor="text1"/>
        </w:rPr>
        <w:t xml:space="preserve"> 42% in ECMO </w:t>
      </w:r>
      <w:r w:rsidR="001838CC" w:rsidRPr="00F17C5F">
        <w:rPr>
          <w:rFonts w:ascii="Book Antiqua" w:hAnsi="Book Antiqua"/>
          <w:i/>
          <w:color w:val="000000" w:themeColor="text1"/>
        </w:rPr>
        <w:t>vs</w:t>
      </w:r>
      <w:r w:rsidR="00775B2C" w:rsidRPr="00F17C5F">
        <w:rPr>
          <w:rFonts w:ascii="Book Antiqua" w:hAnsi="Book Antiqua"/>
          <w:color w:val="000000" w:themeColor="text1"/>
        </w:rPr>
        <w:t xml:space="preserve"> control, respectively) suggesting temperature-related stability issues</w:t>
      </w:r>
      <w:r w:rsidR="00715BE6" w:rsidRPr="00F17C5F">
        <w:rPr>
          <w:rFonts w:ascii="Book Antiqua" w:hAnsi="Book Antiqua"/>
          <w:color w:val="000000" w:themeColor="text1"/>
        </w:rPr>
        <w:t>,</w:t>
      </w:r>
      <w:r w:rsidR="00775B2C" w:rsidRPr="00F17C5F">
        <w:rPr>
          <w:rFonts w:ascii="Book Antiqua" w:hAnsi="Book Antiqua"/>
          <w:color w:val="000000" w:themeColor="text1"/>
        </w:rPr>
        <w:t xml:space="preserve"> and fentanyl and midazolam recovery were significantly lower in the ECMO groups</w:t>
      </w:r>
      <w:r w:rsidR="00715BE6" w:rsidRPr="00F17C5F">
        <w:rPr>
          <w:rFonts w:ascii="Book Antiqua" w:hAnsi="Book Antiqua"/>
          <w:color w:val="000000" w:themeColor="text1"/>
        </w:rPr>
        <w:t xml:space="preserve"> (3%</w:t>
      </w:r>
      <w:r w:rsidR="00775B2C" w:rsidRPr="00F17C5F">
        <w:rPr>
          <w:rFonts w:ascii="Book Antiqua" w:hAnsi="Book Antiqua"/>
          <w:color w:val="000000" w:themeColor="text1"/>
        </w:rPr>
        <w:t xml:space="preserve"> </w:t>
      </w:r>
      <w:r w:rsidR="001F6175" w:rsidRPr="00F17C5F">
        <w:rPr>
          <w:rFonts w:ascii="Book Antiqua" w:hAnsi="Book Antiqua"/>
          <w:i/>
          <w:color w:val="000000" w:themeColor="text1"/>
        </w:rPr>
        <w:t>vs</w:t>
      </w:r>
      <w:r w:rsidR="001F6175" w:rsidRPr="00F17C5F">
        <w:rPr>
          <w:rFonts w:ascii="Book Antiqua" w:hAnsi="Book Antiqua"/>
          <w:color w:val="000000" w:themeColor="text1"/>
        </w:rPr>
        <w:t xml:space="preserve"> 82%, </w:t>
      </w:r>
      <w:r w:rsidR="001F6175" w:rsidRPr="00F17C5F">
        <w:rPr>
          <w:rFonts w:ascii="Book Antiqua" w:hAnsi="Book Antiqua"/>
          <w:i/>
          <w:color w:val="000000" w:themeColor="text1"/>
        </w:rPr>
        <w:t>P</w:t>
      </w:r>
      <w:r w:rsidR="001F6175" w:rsidRPr="00F17C5F">
        <w:rPr>
          <w:rFonts w:ascii="Book Antiqua" w:hAnsi="Book Antiqua"/>
          <w:color w:val="000000" w:themeColor="text1"/>
          <w:lang w:eastAsia="zh-CN"/>
        </w:rPr>
        <w:t xml:space="preserve"> </w:t>
      </w:r>
      <w:r w:rsidR="001F6175" w:rsidRPr="00F17C5F">
        <w:rPr>
          <w:rFonts w:ascii="Book Antiqua" w:hAnsi="Book Antiqua"/>
          <w:color w:val="000000" w:themeColor="text1"/>
        </w:rPr>
        <w:t>=</w:t>
      </w:r>
      <w:r w:rsidR="001F6175" w:rsidRPr="00F17C5F">
        <w:rPr>
          <w:rFonts w:ascii="Book Antiqua" w:hAnsi="Book Antiqua"/>
          <w:color w:val="000000" w:themeColor="text1"/>
          <w:lang w:eastAsia="zh-CN"/>
        </w:rPr>
        <w:t xml:space="preserve"> </w:t>
      </w:r>
      <w:r w:rsidR="001F6175" w:rsidRPr="00F17C5F">
        <w:rPr>
          <w:rFonts w:ascii="Book Antiqua" w:hAnsi="Book Antiqua"/>
          <w:color w:val="000000" w:themeColor="text1"/>
        </w:rPr>
        <w:t xml:space="preserve">0.0005 and 13% </w:t>
      </w:r>
      <w:r w:rsidR="001F6175" w:rsidRPr="00F17C5F">
        <w:rPr>
          <w:rFonts w:ascii="Book Antiqua" w:hAnsi="Book Antiqua"/>
          <w:i/>
          <w:color w:val="000000" w:themeColor="text1"/>
        </w:rPr>
        <w:t>vs</w:t>
      </w:r>
      <w:r w:rsidR="00715BE6" w:rsidRPr="00F17C5F">
        <w:rPr>
          <w:rFonts w:ascii="Book Antiqua" w:hAnsi="Book Antiqua"/>
          <w:color w:val="000000" w:themeColor="text1"/>
        </w:rPr>
        <w:t xml:space="preserve"> 100%, </w:t>
      </w:r>
      <w:r w:rsidR="001F6175" w:rsidRPr="00F17C5F">
        <w:rPr>
          <w:rFonts w:ascii="Book Antiqua" w:hAnsi="Book Antiqua"/>
          <w:i/>
          <w:color w:val="000000" w:themeColor="text1"/>
        </w:rPr>
        <w:t>P</w:t>
      </w:r>
      <w:r w:rsidR="001F6175" w:rsidRPr="00F17C5F">
        <w:rPr>
          <w:rFonts w:ascii="Book Antiqua" w:hAnsi="Book Antiqua"/>
          <w:color w:val="000000" w:themeColor="text1"/>
          <w:lang w:eastAsia="zh-CN"/>
        </w:rPr>
        <w:t xml:space="preserve"> </w:t>
      </w:r>
      <w:r w:rsidR="00715BE6" w:rsidRPr="00F17C5F">
        <w:rPr>
          <w:rFonts w:ascii="Book Antiqua" w:hAnsi="Book Antiqua"/>
          <w:color w:val="000000" w:themeColor="text1"/>
        </w:rPr>
        <w:t>=</w:t>
      </w:r>
      <w:r w:rsidR="001F6175" w:rsidRPr="00F17C5F">
        <w:rPr>
          <w:rFonts w:ascii="Book Antiqua" w:hAnsi="Book Antiqua"/>
          <w:color w:val="000000" w:themeColor="text1"/>
          <w:lang w:eastAsia="zh-CN"/>
        </w:rPr>
        <w:t xml:space="preserve"> </w:t>
      </w:r>
      <w:r w:rsidR="00715BE6" w:rsidRPr="00F17C5F">
        <w:rPr>
          <w:rFonts w:ascii="Book Antiqua" w:hAnsi="Book Antiqua"/>
          <w:color w:val="000000" w:themeColor="text1"/>
        </w:rPr>
        <w:t xml:space="preserve">0.01, respectively) </w:t>
      </w:r>
      <w:r w:rsidR="00775B2C" w:rsidRPr="00F17C5F">
        <w:rPr>
          <w:rFonts w:ascii="Book Antiqua" w:hAnsi="Book Antiqua"/>
          <w:color w:val="000000" w:themeColor="text1"/>
        </w:rPr>
        <w:t>suggesting lipophilic-drug sequestration.</w:t>
      </w:r>
      <w:r w:rsidR="000C28EB" w:rsidRPr="00F17C5F">
        <w:rPr>
          <w:rFonts w:ascii="Book Antiqua" w:hAnsi="Book Antiqua"/>
          <w:color w:val="000000" w:themeColor="text1"/>
        </w:rPr>
        <w:t xml:space="preserve"> </w:t>
      </w:r>
      <w:r w:rsidR="00D379A5" w:rsidRPr="00F17C5F">
        <w:rPr>
          <w:rFonts w:ascii="Book Antiqua" w:hAnsi="Book Antiqua"/>
          <w:color w:val="000000" w:themeColor="text1"/>
        </w:rPr>
        <w:t xml:space="preserve">Dosing modifications based on these </w:t>
      </w:r>
      <w:r w:rsidR="00D379A5" w:rsidRPr="00F17C5F">
        <w:rPr>
          <w:rFonts w:ascii="Book Antiqua" w:hAnsi="Book Antiqua"/>
          <w:i/>
          <w:color w:val="000000" w:themeColor="text1"/>
        </w:rPr>
        <w:t>ex-vivo</w:t>
      </w:r>
      <w:r w:rsidR="00D379A5" w:rsidRPr="00F17C5F">
        <w:rPr>
          <w:rFonts w:ascii="Book Antiqua" w:hAnsi="Book Antiqua"/>
          <w:color w:val="000000" w:themeColor="text1"/>
        </w:rPr>
        <w:t xml:space="preserve"> findings of meropenem instability requires further study, but there are potential implications for other thermo-labile medications.</w:t>
      </w:r>
      <w:r w:rsidR="000C28EB" w:rsidRPr="00F17C5F">
        <w:rPr>
          <w:rFonts w:ascii="Book Antiqua" w:hAnsi="Book Antiqua"/>
          <w:color w:val="000000" w:themeColor="text1"/>
        </w:rPr>
        <w:t xml:space="preserve"> </w:t>
      </w:r>
      <w:r w:rsidR="00AE016F" w:rsidRPr="00F17C5F">
        <w:rPr>
          <w:rFonts w:ascii="Book Antiqua" w:hAnsi="Book Antiqua"/>
          <w:color w:val="000000" w:themeColor="text1"/>
        </w:rPr>
        <w:t xml:space="preserve">In contrast to these findings that suggest no stability or sequestration concerns with morphine, another </w:t>
      </w:r>
      <w:r w:rsidR="00AE016F" w:rsidRPr="00F17C5F">
        <w:rPr>
          <w:rFonts w:ascii="Book Antiqua" w:hAnsi="Book Antiqua"/>
          <w:i/>
          <w:color w:val="000000" w:themeColor="text1"/>
        </w:rPr>
        <w:t xml:space="preserve">in vitro </w:t>
      </w:r>
      <w:r w:rsidR="00AE016F" w:rsidRPr="00F17C5F">
        <w:rPr>
          <w:rFonts w:ascii="Book Antiqua" w:hAnsi="Book Antiqua"/>
          <w:color w:val="000000" w:themeColor="text1"/>
        </w:rPr>
        <w:t>study found that 40% of a single dose of morphine was remo</w:t>
      </w:r>
      <w:r w:rsidR="001838CC" w:rsidRPr="00F17C5F">
        <w:rPr>
          <w:rFonts w:ascii="Book Antiqua" w:hAnsi="Book Antiqua"/>
          <w:color w:val="000000" w:themeColor="text1"/>
        </w:rPr>
        <w:t>ved by ECMO tubing or circuitry</w:t>
      </w:r>
      <w:r w:rsidR="00287BA4" w:rsidRPr="00F17C5F">
        <w:rPr>
          <w:rFonts w:ascii="Book Antiqua" w:hAnsi="Book Antiqua"/>
          <w:color w:val="000000" w:themeColor="text1"/>
          <w:vertAlign w:val="superscript"/>
        </w:rPr>
        <w:t>[</w:t>
      </w:r>
      <w:r w:rsidR="002B3593" w:rsidRPr="00F17C5F">
        <w:rPr>
          <w:rFonts w:ascii="Book Antiqua" w:hAnsi="Book Antiqua"/>
          <w:color w:val="000000" w:themeColor="text1"/>
          <w:vertAlign w:val="superscript"/>
        </w:rPr>
        <w:t>44</w:t>
      </w:r>
      <w:r w:rsidR="00287BA4"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AE016F" w:rsidRPr="00F17C5F">
        <w:rPr>
          <w:rFonts w:ascii="Book Antiqua" w:hAnsi="Book Antiqua"/>
          <w:color w:val="000000" w:themeColor="text1"/>
        </w:rPr>
        <w:t xml:space="preserve">The differences in morphine disposition in these 2 studies may be a function of differing methodologies, but they illustrate the problem with excessive reliance on </w:t>
      </w:r>
      <w:r w:rsidR="00AE016F" w:rsidRPr="00F17C5F">
        <w:rPr>
          <w:rFonts w:ascii="Book Antiqua" w:hAnsi="Book Antiqua"/>
          <w:i/>
          <w:color w:val="000000" w:themeColor="text1"/>
        </w:rPr>
        <w:t>in vitro</w:t>
      </w:r>
      <w:r w:rsidR="00AE016F" w:rsidRPr="00F17C5F">
        <w:rPr>
          <w:rFonts w:ascii="Book Antiqua" w:hAnsi="Book Antiqua"/>
          <w:color w:val="000000" w:themeColor="text1"/>
        </w:rPr>
        <w:t xml:space="preserve"> data. </w:t>
      </w:r>
    </w:p>
    <w:p w14:paraId="7A65F1BC" w14:textId="074E03BE" w:rsidR="00F53E6B" w:rsidRPr="00F17C5F" w:rsidRDefault="009D3601" w:rsidP="00F17C5F">
      <w:pPr>
        <w:spacing w:after="0" w:line="360" w:lineRule="auto"/>
        <w:ind w:firstLineChars="200" w:firstLine="480"/>
        <w:jc w:val="both"/>
        <w:rPr>
          <w:rFonts w:ascii="Book Antiqua" w:hAnsi="Book Antiqua"/>
          <w:color w:val="000000" w:themeColor="text1"/>
        </w:rPr>
      </w:pPr>
      <w:r w:rsidRPr="00F17C5F">
        <w:rPr>
          <w:rFonts w:ascii="Book Antiqua" w:hAnsi="Book Antiqua"/>
          <w:color w:val="000000" w:themeColor="text1"/>
        </w:rPr>
        <w:t xml:space="preserve">Pharmacokinetic studies have the potential advantage of measuring blood drug concentrations </w:t>
      </w:r>
      <w:r w:rsidRPr="00F17C5F">
        <w:rPr>
          <w:rFonts w:ascii="Book Antiqua" w:hAnsi="Book Antiqua"/>
          <w:i/>
          <w:color w:val="000000" w:themeColor="text1"/>
        </w:rPr>
        <w:t>in vivo</w:t>
      </w:r>
      <w:r w:rsidRPr="00F17C5F">
        <w:rPr>
          <w:rFonts w:ascii="Book Antiqua" w:hAnsi="Book Antiqua"/>
          <w:color w:val="000000" w:themeColor="text1"/>
        </w:rPr>
        <w:t xml:space="preserve"> but these studies require the availability of a drug assay, pr</w:t>
      </w:r>
      <w:r w:rsidR="00436DF2" w:rsidRPr="00F17C5F">
        <w:rPr>
          <w:rFonts w:ascii="Book Antiqua" w:hAnsi="Book Antiqua"/>
          <w:color w:val="000000" w:themeColor="text1"/>
        </w:rPr>
        <w:t>esume a relationship between a</w:t>
      </w:r>
      <w:r w:rsidRPr="00F17C5F">
        <w:rPr>
          <w:rFonts w:ascii="Book Antiqua" w:hAnsi="Book Antiqua"/>
          <w:color w:val="000000" w:themeColor="text1"/>
        </w:rPr>
        <w:t xml:space="preserve"> surrogate marker (</w:t>
      </w:r>
      <w:r w:rsidRPr="00F17C5F">
        <w:rPr>
          <w:rFonts w:ascii="Book Antiqua" w:hAnsi="Book Antiqua"/>
          <w:i/>
          <w:color w:val="000000" w:themeColor="text1"/>
        </w:rPr>
        <w:t>i.e.,</w:t>
      </w:r>
      <w:r w:rsidRPr="00F17C5F">
        <w:rPr>
          <w:rFonts w:ascii="Book Antiqua" w:hAnsi="Book Antiqua"/>
          <w:color w:val="000000" w:themeColor="text1"/>
        </w:rPr>
        <w:t xml:space="preserve"> the blood concentration of the drug</w:t>
      </w:r>
      <w:r w:rsidR="00436DF2" w:rsidRPr="00F17C5F">
        <w:rPr>
          <w:rFonts w:ascii="Book Antiqua" w:hAnsi="Book Antiqua"/>
          <w:color w:val="000000" w:themeColor="text1"/>
        </w:rPr>
        <w:t xml:space="preserve"> or its active metabolite</w:t>
      </w:r>
      <w:r w:rsidRPr="00F17C5F">
        <w:rPr>
          <w:rFonts w:ascii="Book Antiqua" w:hAnsi="Book Antiqua"/>
          <w:color w:val="000000" w:themeColor="text1"/>
        </w:rPr>
        <w:t>) and therapeutic effect, and are difficult to perform in critically i</w:t>
      </w:r>
      <w:r w:rsidR="00436DF2" w:rsidRPr="00F17C5F">
        <w:rPr>
          <w:rFonts w:ascii="Book Antiqua" w:hAnsi="Book Antiqua"/>
          <w:color w:val="000000" w:themeColor="text1"/>
        </w:rPr>
        <w:t>ll patients</w:t>
      </w:r>
      <w:r w:rsidRPr="00F17C5F">
        <w:rPr>
          <w:rFonts w:ascii="Book Antiqua" w:hAnsi="Book Antiqua"/>
          <w:color w:val="000000" w:themeColor="text1"/>
        </w:rPr>
        <w:t>.</w:t>
      </w:r>
      <w:r w:rsidR="000C28EB" w:rsidRPr="00F17C5F">
        <w:rPr>
          <w:rFonts w:ascii="Book Antiqua" w:hAnsi="Book Antiqua"/>
          <w:color w:val="000000" w:themeColor="text1"/>
        </w:rPr>
        <w:t xml:space="preserve"> </w:t>
      </w:r>
      <w:r w:rsidRPr="00F17C5F">
        <w:rPr>
          <w:rFonts w:ascii="Book Antiqua" w:hAnsi="Book Antiqua"/>
          <w:color w:val="000000" w:themeColor="text1"/>
        </w:rPr>
        <w:t xml:space="preserve">Pharmacokinetic studies are commonly employed for investigations of antimicrobial agents used to treat </w:t>
      </w:r>
      <w:r w:rsidR="00A00A4B" w:rsidRPr="00F17C5F">
        <w:rPr>
          <w:rFonts w:ascii="Book Antiqua" w:hAnsi="Book Antiqua"/>
          <w:color w:val="000000" w:themeColor="text1"/>
        </w:rPr>
        <w:t>infections associated with ECMO</w:t>
      </w:r>
      <w:r w:rsidRPr="00F17C5F">
        <w:rPr>
          <w:rFonts w:ascii="Book Antiqua" w:hAnsi="Book Antiqua"/>
          <w:color w:val="000000" w:themeColor="text1"/>
        </w:rPr>
        <w:t>.</w:t>
      </w:r>
      <w:r w:rsidR="000C28EB" w:rsidRPr="00F17C5F">
        <w:rPr>
          <w:rFonts w:ascii="Book Antiqua" w:hAnsi="Book Antiqua"/>
          <w:color w:val="000000" w:themeColor="text1"/>
        </w:rPr>
        <w:t xml:space="preserve"> </w:t>
      </w:r>
      <w:r w:rsidRPr="00F17C5F">
        <w:rPr>
          <w:rFonts w:ascii="Book Antiqua" w:hAnsi="Book Antiqua"/>
          <w:color w:val="000000" w:themeColor="text1"/>
        </w:rPr>
        <w:t>For example</w:t>
      </w:r>
      <w:r w:rsidR="00A00A4B" w:rsidRPr="00F17C5F">
        <w:rPr>
          <w:rFonts w:ascii="Book Antiqua" w:hAnsi="Book Antiqua"/>
          <w:color w:val="000000" w:themeColor="text1"/>
        </w:rPr>
        <w:t>, antiviral medications have been used in combination with ECMO for treating severe influenza infections.</w:t>
      </w:r>
      <w:r w:rsidR="000C28EB" w:rsidRPr="00F17C5F">
        <w:rPr>
          <w:rFonts w:ascii="Book Antiqua" w:hAnsi="Book Antiqua"/>
          <w:color w:val="000000" w:themeColor="text1"/>
        </w:rPr>
        <w:t xml:space="preserve"> </w:t>
      </w:r>
      <w:r w:rsidR="00D379A5" w:rsidRPr="00F17C5F">
        <w:rPr>
          <w:rFonts w:ascii="Book Antiqua" w:hAnsi="Book Antiqua"/>
          <w:color w:val="000000" w:themeColor="text1"/>
        </w:rPr>
        <w:t>P</w:t>
      </w:r>
      <w:r w:rsidR="00A13644" w:rsidRPr="00F17C5F">
        <w:rPr>
          <w:rFonts w:ascii="Book Antiqua" w:hAnsi="Book Antiqua"/>
          <w:color w:val="000000" w:themeColor="text1"/>
        </w:rPr>
        <w:t xml:space="preserve">harmacokinetic </w:t>
      </w:r>
      <w:r w:rsidR="00715BE6" w:rsidRPr="00F17C5F">
        <w:rPr>
          <w:rFonts w:ascii="Book Antiqua" w:hAnsi="Book Antiqua"/>
          <w:color w:val="000000" w:themeColor="text1"/>
        </w:rPr>
        <w:t xml:space="preserve">studies involving the neuraminidase inhibitor oseltamivir given enterally in critically </w:t>
      </w:r>
      <w:r w:rsidR="00436DF2" w:rsidRPr="00F17C5F">
        <w:rPr>
          <w:rFonts w:ascii="Book Antiqua" w:hAnsi="Book Antiqua"/>
          <w:color w:val="000000" w:themeColor="text1"/>
        </w:rPr>
        <w:t>ill adult patients on ECMO suggest</w:t>
      </w:r>
      <w:r w:rsidR="00715BE6" w:rsidRPr="00F17C5F">
        <w:rPr>
          <w:rFonts w:ascii="Book Antiqua" w:hAnsi="Book Antiqua"/>
          <w:color w:val="000000" w:themeColor="text1"/>
        </w:rPr>
        <w:t xml:space="preserve"> that normal doses of oseltamivir</w:t>
      </w:r>
      <w:r w:rsidR="00A13644" w:rsidRPr="00F17C5F">
        <w:rPr>
          <w:rFonts w:ascii="Book Antiqua" w:hAnsi="Book Antiqua"/>
          <w:color w:val="000000" w:themeColor="text1"/>
        </w:rPr>
        <w:t xml:space="preserve"> (</w:t>
      </w:r>
      <w:r w:rsidR="00A13644" w:rsidRPr="00F17C5F">
        <w:rPr>
          <w:rFonts w:ascii="Book Antiqua" w:hAnsi="Book Antiqua"/>
          <w:i/>
          <w:color w:val="000000" w:themeColor="text1"/>
        </w:rPr>
        <w:t>i.e.,</w:t>
      </w:r>
      <w:r w:rsidR="00A13644" w:rsidRPr="00F17C5F">
        <w:rPr>
          <w:rFonts w:ascii="Book Antiqua" w:hAnsi="Book Antiqua"/>
          <w:color w:val="000000" w:themeColor="text1"/>
        </w:rPr>
        <w:t xml:space="preserve"> 75 mg twice daily) are appropriate</w:t>
      </w:r>
      <w:r w:rsidR="00715BE6" w:rsidRPr="00F17C5F">
        <w:rPr>
          <w:rFonts w:ascii="Book Antiqua" w:hAnsi="Book Antiqua"/>
          <w:color w:val="000000" w:themeColor="text1"/>
        </w:rPr>
        <w:t xml:space="preserve"> unless a patient has concomitant renal dysfunction in which case</w:t>
      </w:r>
      <w:r w:rsidR="001838CC" w:rsidRPr="00F17C5F">
        <w:rPr>
          <w:rFonts w:ascii="Book Antiqua" w:hAnsi="Book Antiqua"/>
          <w:color w:val="000000" w:themeColor="text1"/>
        </w:rPr>
        <w:t xml:space="preserve"> dose reduction may be in order</w:t>
      </w:r>
      <w:r w:rsidR="00287BA4" w:rsidRPr="00F17C5F">
        <w:rPr>
          <w:rFonts w:ascii="Book Antiqua" w:hAnsi="Book Antiqua"/>
          <w:color w:val="000000" w:themeColor="text1"/>
          <w:vertAlign w:val="superscript"/>
        </w:rPr>
        <w:t>[</w:t>
      </w:r>
      <w:r w:rsidR="002B3593" w:rsidRPr="00F17C5F">
        <w:rPr>
          <w:rFonts w:ascii="Book Antiqua" w:hAnsi="Book Antiqua"/>
          <w:color w:val="000000" w:themeColor="text1"/>
          <w:vertAlign w:val="superscript"/>
        </w:rPr>
        <w:t>45</w:t>
      </w:r>
      <w:r w:rsidR="00436DF2" w:rsidRPr="00F17C5F">
        <w:rPr>
          <w:rFonts w:ascii="Book Antiqua" w:hAnsi="Book Antiqua"/>
          <w:color w:val="000000" w:themeColor="text1"/>
          <w:vertAlign w:val="superscript"/>
        </w:rPr>
        <w:t>-4</w:t>
      </w:r>
      <w:r w:rsidR="002B3593" w:rsidRPr="00F17C5F">
        <w:rPr>
          <w:rFonts w:ascii="Book Antiqua" w:hAnsi="Book Antiqua"/>
          <w:color w:val="000000" w:themeColor="text1"/>
          <w:vertAlign w:val="superscript"/>
        </w:rPr>
        <w:t>7</w:t>
      </w:r>
      <w:r w:rsidR="00287BA4"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436DF2" w:rsidRPr="00F17C5F">
        <w:rPr>
          <w:rFonts w:ascii="Book Antiqua" w:hAnsi="Book Antiqua"/>
          <w:color w:val="000000" w:themeColor="text1"/>
        </w:rPr>
        <w:t>Case report pharmacokin</w:t>
      </w:r>
      <w:r w:rsidR="00F53E6B" w:rsidRPr="00F17C5F">
        <w:rPr>
          <w:rFonts w:ascii="Book Antiqua" w:hAnsi="Book Antiqua"/>
          <w:color w:val="000000" w:themeColor="text1"/>
        </w:rPr>
        <w:t xml:space="preserve">etic data in patients undergoing ECMO is available for </w:t>
      </w:r>
      <w:r w:rsidR="00436DF2" w:rsidRPr="00F17C5F">
        <w:rPr>
          <w:rFonts w:ascii="Book Antiqua" w:hAnsi="Book Antiqua"/>
          <w:color w:val="000000" w:themeColor="text1"/>
        </w:rPr>
        <w:t>o</w:t>
      </w:r>
      <w:r w:rsidR="00F53E6B" w:rsidRPr="00F17C5F">
        <w:rPr>
          <w:rFonts w:ascii="Book Antiqua" w:hAnsi="Book Antiqua"/>
          <w:color w:val="000000" w:themeColor="text1"/>
        </w:rPr>
        <w:t>ther antimicrobials including the antifungal agen</w:t>
      </w:r>
      <w:r w:rsidR="001838CC" w:rsidRPr="00F17C5F">
        <w:rPr>
          <w:rFonts w:ascii="Book Antiqua" w:hAnsi="Book Antiqua"/>
          <w:color w:val="000000" w:themeColor="text1"/>
        </w:rPr>
        <w:t>ts caspofungin and voriconazole</w:t>
      </w:r>
      <w:r w:rsidR="005E23C4" w:rsidRPr="00F17C5F">
        <w:rPr>
          <w:rFonts w:ascii="Book Antiqua" w:hAnsi="Book Antiqua"/>
          <w:color w:val="000000" w:themeColor="text1"/>
          <w:vertAlign w:val="superscript"/>
        </w:rPr>
        <w:t>[4</w:t>
      </w:r>
      <w:r w:rsidR="002B3593" w:rsidRPr="00F17C5F">
        <w:rPr>
          <w:rFonts w:ascii="Book Antiqua" w:hAnsi="Book Antiqua"/>
          <w:color w:val="000000" w:themeColor="text1"/>
          <w:vertAlign w:val="superscript"/>
        </w:rPr>
        <w:t>8</w:t>
      </w:r>
      <w:r w:rsidR="005E23C4" w:rsidRPr="00F17C5F">
        <w:rPr>
          <w:rFonts w:ascii="Book Antiqua" w:hAnsi="Book Antiqua"/>
          <w:color w:val="000000" w:themeColor="text1"/>
          <w:vertAlign w:val="superscript"/>
        </w:rPr>
        <w:t>]</w:t>
      </w:r>
      <w:r w:rsidR="001838C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DF1D72" w:rsidRPr="00F17C5F">
        <w:rPr>
          <w:rFonts w:ascii="Book Antiqua" w:hAnsi="Book Antiqua"/>
          <w:color w:val="000000" w:themeColor="text1"/>
        </w:rPr>
        <w:t>Similar to pharmacokinetic studies, there are a few studies using laboratory parameters as surrogate markers of clinical effect.</w:t>
      </w:r>
      <w:r w:rsidR="000C28EB" w:rsidRPr="00F17C5F">
        <w:rPr>
          <w:rFonts w:ascii="Book Antiqua" w:hAnsi="Book Antiqua"/>
          <w:color w:val="000000" w:themeColor="text1"/>
        </w:rPr>
        <w:t xml:space="preserve"> </w:t>
      </w:r>
      <w:r w:rsidR="00DF1D72" w:rsidRPr="00F17C5F">
        <w:rPr>
          <w:rFonts w:ascii="Book Antiqua" w:hAnsi="Book Antiqua"/>
          <w:color w:val="000000" w:themeColor="text1"/>
        </w:rPr>
        <w:t>For example, in critically ill patients on ECMO who were receiving argatroban for suspected heparin-induced thrombocytopenia, argatroban requirements based on activated partial thromboplastin time monitoring were found</w:t>
      </w:r>
      <w:r w:rsidR="001F6175" w:rsidRPr="00F17C5F">
        <w:rPr>
          <w:rFonts w:ascii="Book Antiqua" w:hAnsi="Book Antiqua"/>
          <w:color w:val="000000" w:themeColor="text1"/>
        </w:rPr>
        <w:t xml:space="preserve"> 10-fold lower than the 2 </w:t>
      </w:r>
      <w:r w:rsidR="001838CC" w:rsidRPr="00F17C5F">
        <w:rPr>
          <w:rFonts w:ascii="Book Antiqua" w:hAnsi="Book Antiqua"/>
          <w:color w:val="000000" w:themeColor="text1"/>
          <w:lang w:eastAsia="zh-CN"/>
        </w:rPr>
        <w:t>μ</w:t>
      </w:r>
      <w:r w:rsidR="001F6175" w:rsidRPr="00F17C5F">
        <w:rPr>
          <w:rFonts w:ascii="Book Antiqua" w:hAnsi="Book Antiqua"/>
          <w:color w:val="000000" w:themeColor="text1"/>
        </w:rPr>
        <w:t>g/kg</w:t>
      </w:r>
      <w:r w:rsidR="001F6175" w:rsidRPr="00F17C5F">
        <w:rPr>
          <w:rFonts w:ascii="Book Antiqua" w:hAnsi="Book Antiqua"/>
          <w:color w:val="000000" w:themeColor="text1"/>
          <w:lang w:eastAsia="zh-CN"/>
        </w:rPr>
        <w:t xml:space="preserve"> per </w:t>
      </w:r>
      <w:r w:rsidR="00DF1D72" w:rsidRPr="00F17C5F">
        <w:rPr>
          <w:rFonts w:ascii="Book Antiqua" w:hAnsi="Book Antiqua"/>
          <w:color w:val="000000" w:themeColor="text1"/>
        </w:rPr>
        <w:t xml:space="preserve">minute dose </w:t>
      </w:r>
      <w:r w:rsidR="001F6175" w:rsidRPr="00F17C5F">
        <w:rPr>
          <w:rFonts w:ascii="Book Antiqua" w:hAnsi="Book Antiqua"/>
          <w:color w:val="000000" w:themeColor="text1"/>
        </w:rPr>
        <w:t>recommended in product labeling</w:t>
      </w:r>
      <w:r w:rsidR="005E23C4" w:rsidRPr="00F17C5F">
        <w:rPr>
          <w:rFonts w:ascii="Book Antiqua" w:hAnsi="Book Antiqua"/>
          <w:color w:val="000000" w:themeColor="text1"/>
          <w:vertAlign w:val="superscript"/>
        </w:rPr>
        <w:t>[</w:t>
      </w:r>
      <w:r w:rsidR="002B3593" w:rsidRPr="00F17C5F">
        <w:rPr>
          <w:rFonts w:ascii="Book Antiqua" w:hAnsi="Book Antiqua"/>
          <w:color w:val="000000" w:themeColor="text1"/>
          <w:vertAlign w:val="superscript"/>
        </w:rPr>
        <w:t>49</w:t>
      </w:r>
      <w:r w:rsidR="005E23C4" w:rsidRPr="00F17C5F">
        <w:rPr>
          <w:rFonts w:ascii="Book Antiqua" w:hAnsi="Book Antiqua"/>
          <w:color w:val="000000" w:themeColor="text1"/>
          <w:vertAlign w:val="superscript"/>
        </w:rPr>
        <w:t>]</w:t>
      </w:r>
      <w:r w:rsidR="001F6175" w:rsidRPr="00F17C5F">
        <w:rPr>
          <w:rFonts w:ascii="Book Antiqua" w:hAnsi="Book Antiqua"/>
          <w:color w:val="000000" w:themeColor="text1"/>
        </w:rPr>
        <w:t>.</w:t>
      </w:r>
    </w:p>
    <w:p w14:paraId="33F7A4F8" w14:textId="62CD43C5" w:rsidR="003E456E" w:rsidRPr="00F17C5F" w:rsidRDefault="00F53E6B" w:rsidP="00F17C5F">
      <w:pPr>
        <w:spacing w:after="0" w:line="360" w:lineRule="auto"/>
        <w:ind w:firstLineChars="200" w:firstLine="480"/>
        <w:jc w:val="both"/>
        <w:rPr>
          <w:rFonts w:ascii="Book Antiqua" w:hAnsi="Book Antiqua"/>
          <w:color w:val="000000" w:themeColor="text1"/>
          <w:lang w:eastAsia="zh-CN"/>
        </w:rPr>
      </w:pPr>
      <w:r w:rsidRPr="00F17C5F">
        <w:rPr>
          <w:rFonts w:ascii="Book Antiqua" w:hAnsi="Book Antiqua"/>
          <w:color w:val="000000" w:themeColor="text1"/>
        </w:rPr>
        <w:t xml:space="preserve">There are limited clinical studies involving drug choice or dosing in patients undergoing ECMO and the data from these studies does not always seem to corroborate data from the </w:t>
      </w:r>
      <w:r w:rsidRPr="00F17C5F">
        <w:rPr>
          <w:rFonts w:ascii="Book Antiqua" w:hAnsi="Book Antiqua"/>
          <w:i/>
          <w:color w:val="000000" w:themeColor="text1"/>
        </w:rPr>
        <w:t>in vitro</w:t>
      </w:r>
      <w:r w:rsidRPr="00F17C5F">
        <w:rPr>
          <w:rFonts w:ascii="Book Antiqua" w:hAnsi="Book Antiqua"/>
          <w:color w:val="000000" w:themeColor="text1"/>
        </w:rPr>
        <w:t xml:space="preserve"> and pharmacokinetic investigations.</w:t>
      </w:r>
      <w:r w:rsidR="000C28EB" w:rsidRPr="00F17C5F">
        <w:rPr>
          <w:rFonts w:ascii="Book Antiqua" w:hAnsi="Book Antiqua"/>
          <w:color w:val="000000" w:themeColor="text1"/>
        </w:rPr>
        <w:t xml:space="preserve"> </w:t>
      </w:r>
      <w:r w:rsidRPr="00F17C5F">
        <w:rPr>
          <w:rFonts w:ascii="Book Antiqua" w:hAnsi="Book Antiqua"/>
          <w:color w:val="000000" w:themeColor="text1"/>
        </w:rPr>
        <w:t>For example, on</w:t>
      </w:r>
      <w:r w:rsidR="00F80FA0" w:rsidRPr="00F17C5F">
        <w:rPr>
          <w:rFonts w:ascii="Book Antiqua" w:hAnsi="Book Antiqua"/>
          <w:color w:val="000000" w:themeColor="text1"/>
        </w:rPr>
        <w:t>e</w:t>
      </w:r>
      <w:r w:rsidRPr="00F17C5F">
        <w:rPr>
          <w:rFonts w:ascii="Book Antiqua" w:hAnsi="Book Antiqua"/>
          <w:color w:val="000000" w:themeColor="text1"/>
        </w:rPr>
        <w:t xml:space="preserve"> retrospective study found that morphine and midazola</w:t>
      </w:r>
      <w:r w:rsidR="00F80FA0" w:rsidRPr="00F17C5F">
        <w:rPr>
          <w:rFonts w:ascii="Book Antiqua" w:hAnsi="Book Antiqua"/>
          <w:color w:val="000000" w:themeColor="text1"/>
        </w:rPr>
        <w:t xml:space="preserve">m requirements increased, but </w:t>
      </w:r>
      <w:r w:rsidRPr="00F17C5F">
        <w:rPr>
          <w:rFonts w:ascii="Book Antiqua" w:hAnsi="Book Antiqua"/>
          <w:color w:val="000000" w:themeColor="text1"/>
        </w:rPr>
        <w:t>fentanyl requirements remained unchanged with continued dosing over time in adult patients</w:t>
      </w:r>
      <w:r w:rsidR="00F80FA0" w:rsidRPr="00F17C5F">
        <w:rPr>
          <w:rFonts w:ascii="Book Antiqua" w:hAnsi="Book Antiqua"/>
          <w:color w:val="000000" w:themeColor="text1"/>
        </w:rPr>
        <w:t xml:space="preserve"> on ECM</w:t>
      </w:r>
      <w:r w:rsidR="001F6175" w:rsidRPr="00F17C5F">
        <w:rPr>
          <w:rFonts w:ascii="Book Antiqua" w:hAnsi="Book Antiqua"/>
          <w:color w:val="000000" w:themeColor="text1"/>
        </w:rPr>
        <w:t>O for cardiorespiratory failure</w:t>
      </w:r>
      <w:r w:rsidR="005E23C4" w:rsidRPr="00F17C5F">
        <w:rPr>
          <w:rFonts w:ascii="Book Antiqua" w:hAnsi="Book Antiqua"/>
          <w:color w:val="000000" w:themeColor="text1"/>
          <w:vertAlign w:val="superscript"/>
        </w:rPr>
        <w:t>[</w:t>
      </w:r>
      <w:r w:rsidR="00F80FA0" w:rsidRPr="00F17C5F">
        <w:rPr>
          <w:rFonts w:ascii="Book Antiqua" w:hAnsi="Book Antiqua"/>
          <w:color w:val="000000" w:themeColor="text1"/>
          <w:vertAlign w:val="superscript"/>
        </w:rPr>
        <w:t>5</w:t>
      </w:r>
      <w:r w:rsidR="002B3593" w:rsidRPr="00F17C5F">
        <w:rPr>
          <w:rFonts w:ascii="Book Antiqua" w:hAnsi="Book Antiqua"/>
          <w:color w:val="000000" w:themeColor="text1"/>
          <w:vertAlign w:val="superscript"/>
        </w:rPr>
        <w:t>0</w:t>
      </w:r>
      <w:r w:rsidR="005E23C4" w:rsidRPr="00F17C5F">
        <w:rPr>
          <w:rFonts w:ascii="Book Antiqua" w:hAnsi="Book Antiqua"/>
          <w:color w:val="000000" w:themeColor="text1"/>
          <w:vertAlign w:val="superscript"/>
        </w:rPr>
        <w:t>]</w:t>
      </w:r>
      <w:r w:rsidR="001F6175"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F80FA0" w:rsidRPr="00F17C5F">
        <w:rPr>
          <w:rFonts w:ascii="Book Antiqua" w:hAnsi="Book Antiqua"/>
          <w:color w:val="000000" w:themeColor="text1"/>
        </w:rPr>
        <w:t>On the other hand, neonates on ECMO required less supplemental analgesia when given morphine infusions versus fentanyl infusion</w:t>
      </w:r>
      <w:r w:rsidR="001F6175" w:rsidRPr="00F17C5F">
        <w:rPr>
          <w:rFonts w:ascii="Book Antiqua" w:hAnsi="Book Antiqua"/>
          <w:color w:val="000000" w:themeColor="text1"/>
        </w:rPr>
        <w:t>s in a historical control group</w:t>
      </w:r>
      <w:r w:rsidR="005E23C4" w:rsidRPr="00F17C5F">
        <w:rPr>
          <w:rFonts w:ascii="Book Antiqua" w:hAnsi="Book Antiqua"/>
          <w:color w:val="000000" w:themeColor="text1"/>
          <w:vertAlign w:val="superscript"/>
        </w:rPr>
        <w:t>[</w:t>
      </w:r>
      <w:r w:rsidR="002B3593" w:rsidRPr="00F17C5F">
        <w:rPr>
          <w:rFonts w:ascii="Book Antiqua" w:hAnsi="Book Antiqua"/>
          <w:color w:val="000000" w:themeColor="text1"/>
          <w:vertAlign w:val="superscript"/>
        </w:rPr>
        <w:t>51</w:t>
      </w:r>
      <w:r w:rsidR="005E23C4" w:rsidRPr="00F17C5F">
        <w:rPr>
          <w:rFonts w:ascii="Book Antiqua" w:hAnsi="Book Antiqua"/>
          <w:color w:val="000000" w:themeColor="text1"/>
          <w:vertAlign w:val="superscript"/>
        </w:rPr>
        <w:t>]</w:t>
      </w:r>
      <w:r w:rsidR="001F6175" w:rsidRPr="00F17C5F">
        <w:rPr>
          <w:rFonts w:ascii="Book Antiqua" w:hAnsi="Book Antiqua"/>
          <w:color w:val="000000" w:themeColor="text1"/>
        </w:rPr>
        <w:t>.</w:t>
      </w:r>
      <w:r w:rsidR="001F6175" w:rsidRPr="00F17C5F">
        <w:rPr>
          <w:rFonts w:ascii="Book Antiqua" w:hAnsi="Book Antiqua"/>
          <w:color w:val="000000" w:themeColor="text1"/>
          <w:lang w:eastAsia="zh-CN"/>
        </w:rPr>
        <w:t xml:space="preserve"> </w:t>
      </w:r>
      <w:r w:rsidR="00F80FA0" w:rsidRPr="00F17C5F">
        <w:rPr>
          <w:rFonts w:ascii="Book Antiqua" w:hAnsi="Book Antiqua"/>
          <w:color w:val="000000" w:themeColor="text1"/>
        </w:rPr>
        <w:t>The patients in the morphine group all experienced less withdrawal and were discharged earlier (</w:t>
      </w:r>
      <w:r w:rsidR="001F6175" w:rsidRPr="00F17C5F">
        <w:rPr>
          <w:rFonts w:ascii="Book Antiqua" w:hAnsi="Book Antiqua"/>
          <w:i/>
          <w:color w:val="000000" w:themeColor="text1"/>
        </w:rPr>
        <w:t>P</w:t>
      </w:r>
      <w:r w:rsidR="001F6175" w:rsidRPr="00F17C5F">
        <w:rPr>
          <w:rFonts w:ascii="Book Antiqua" w:hAnsi="Book Antiqua"/>
          <w:i/>
          <w:color w:val="000000" w:themeColor="text1"/>
          <w:lang w:eastAsia="zh-CN"/>
        </w:rPr>
        <w:t xml:space="preserve"> </w:t>
      </w:r>
      <w:r w:rsidR="00F80FA0" w:rsidRPr="00F17C5F">
        <w:rPr>
          <w:rFonts w:ascii="Book Antiqua" w:hAnsi="Book Antiqua"/>
          <w:color w:val="000000" w:themeColor="text1"/>
        </w:rPr>
        <w:t>=</w:t>
      </w:r>
      <w:r w:rsidR="001F6175" w:rsidRPr="00F17C5F">
        <w:rPr>
          <w:rFonts w:ascii="Book Antiqua" w:hAnsi="Book Antiqua"/>
          <w:color w:val="000000" w:themeColor="text1"/>
          <w:lang w:eastAsia="zh-CN"/>
        </w:rPr>
        <w:t xml:space="preserve"> </w:t>
      </w:r>
      <w:r w:rsidR="00F80FA0" w:rsidRPr="00F17C5F">
        <w:rPr>
          <w:rFonts w:ascii="Book Antiqua" w:hAnsi="Book Antiqua"/>
          <w:color w:val="000000" w:themeColor="text1"/>
        </w:rPr>
        <w:t>0.01 for both).</w:t>
      </w:r>
      <w:r w:rsidR="000C28EB" w:rsidRPr="00F17C5F">
        <w:rPr>
          <w:rFonts w:ascii="Book Antiqua" w:hAnsi="Book Antiqua"/>
          <w:color w:val="000000" w:themeColor="text1"/>
        </w:rPr>
        <w:t xml:space="preserve"> </w:t>
      </w:r>
      <w:r w:rsidR="00F80FA0" w:rsidRPr="00F17C5F">
        <w:rPr>
          <w:rFonts w:ascii="Book Antiqua" w:hAnsi="Book Antiqua"/>
          <w:color w:val="000000" w:themeColor="text1"/>
        </w:rPr>
        <w:t xml:space="preserve"> </w:t>
      </w:r>
      <w:r w:rsidR="00F86664" w:rsidRPr="00F17C5F">
        <w:rPr>
          <w:rFonts w:ascii="Book Antiqua" w:hAnsi="Book Antiqua"/>
          <w:color w:val="000000" w:themeColor="text1"/>
        </w:rPr>
        <w:t>Table</w:t>
      </w:r>
      <w:r w:rsidR="00553050" w:rsidRPr="00F17C5F">
        <w:rPr>
          <w:rFonts w:ascii="Book Antiqua" w:hAnsi="Book Antiqua"/>
          <w:color w:val="000000" w:themeColor="text1"/>
        </w:rPr>
        <w:t xml:space="preserve"> </w:t>
      </w:r>
      <w:r w:rsidR="00772E20" w:rsidRPr="00F17C5F">
        <w:rPr>
          <w:rFonts w:ascii="Book Antiqua" w:hAnsi="Book Antiqua"/>
          <w:color w:val="000000" w:themeColor="text1"/>
        </w:rPr>
        <w:t>10</w:t>
      </w:r>
      <w:r w:rsidR="00A13644" w:rsidRPr="00F17C5F">
        <w:rPr>
          <w:rFonts w:ascii="Book Antiqua" w:hAnsi="Book Antiqua"/>
          <w:color w:val="000000" w:themeColor="text1"/>
        </w:rPr>
        <w:t xml:space="preserve"> lists some of the more important considerations when evaluating published literature and devising dosing regimens in critically ill patients receiving ECMO.</w:t>
      </w:r>
    </w:p>
    <w:p w14:paraId="77ADBD5F" w14:textId="77777777" w:rsidR="001F6175" w:rsidRPr="00F17C5F" w:rsidRDefault="001F6175" w:rsidP="00F17C5F">
      <w:pPr>
        <w:spacing w:after="0" w:line="360" w:lineRule="auto"/>
        <w:ind w:firstLineChars="200" w:firstLine="480"/>
        <w:jc w:val="both"/>
        <w:rPr>
          <w:rFonts w:ascii="Book Antiqua" w:hAnsi="Book Antiqua"/>
          <w:color w:val="000000" w:themeColor="text1"/>
          <w:lang w:eastAsia="zh-CN"/>
        </w:rPr>
      </w:pPr>
    </w:p>
    <w:p w14:paraId="3E8098AF" w14:textId="77777777" w:rsidR="00F81BC7" w:rsidRPr="00F17C5F" w:rsidRDefault="00F81BC7"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Recommendations</w:t>
      </w:r>
    </w:p>
    <w:p w14:paraId="666E3C33" w14:textId="19AD46C6" w:rsidR="00F81BC7" w:rsidRPr="00F17C5F" w:rsidRDefault="00F81BC7"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The paucity of literature regarding drug dosing in ECMO with relevant clinical outcomes precludes any meaningful evidence-based recommendations.</w:t>
      </w:r>
      <w:r w:rsidR="000C28EB" w:rsidRPr="00F17C5F">
        <w:rPr>
          <w:rFonts w:ascii="Book Antiqua" w:hAnsi="Book Antiqua"/>
          <w:color w:val="000000" w:themeColor="text1"/>
        </w:rPr>
        <w:t xml:space="preserve"> </w:t>
      </w:r>
      <w:r w:rsidRPr="00F17C5F">
        <w:rPr>
          <w:rFonts w:ascii="Book Antiqua" w:hAnsi="Book Antiqua"/>
          <w:color w:val="000000" w:themeColor="text1"/>
        </w:rPr>
        <w:t xml:space="preserve">Therefore, the clinician must extrapolate information from the limited </w:t>
      </w:r>
      <w:r w:rsidRPr="00F17C5F">
        <w:rPr>
          <w:rFonts w:ascii="Book Antiqua" w:hAnsi="Book Antiqua"/>
          <w:i/>
          <w:color w:val="000000" w:themeColor="text1"/>
        </w:rPr>
        <w:t>ex vivo</w:t>
      </w:r>
      <w:r w:rsidRPr="00F17C5F">
        <w:rPr>
          <w:rFonts w:ascii="Book Antiqua" w:hAnsi="Book Antiqua"/>
          <w:color w:val="000000" w:themeColor="text1"/>
        </w:rPr>
        <w:t xml:space="preserve"> and pharmacokinetic studies that have been conducted for selected drugs</w:t>
      </w:r>
      <w:r w:rsidR="0035043C" w:rsidRPr="00F17C5F">
        <w:rPr>
          <w:rFonts w:ascii="Book Antiqua" w:hAnsi="Book Antiqua"/>
          <w:color w:val="000000" w:themeColor="text1"/>
        </w:rPr>
        <w:t xml:space="preserve"> taking into account changes in ECMO technologies in recent years that may influence previous study findings</w:t>
      </w:r>
      <w:r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35043C" w:rsidRPr="00F17C5F">
        <w:rPr>
          <w:rFonts w:ascii="Book Antiqua" w:hAnsi="Book Antiqua"/>
          <w:i/>
          <w:color w:val="000000" w:themeColor="text1"/>
        </w:rPr>
        <w:t>Ex vivo</w:t>
      </w:r>
      <w:r w:rsidR="009646A8" w:rsidRPr="00F17C5F">
        <w:rPr>
          <w:rFonts w:ascii="Book Antiqua" w:hAnsi="Book Antiqua"/>
          <w:color w:val="000000" w:themeColor="text1"/>
        </w:rPr>
        <w:t xml:space="preserve"> studies suggest that lipophilic drugs are particularly prone sequestration by ECMO circuitry.</w:t>
      </w:r>
      <w:r w:rsidR="000C28EB" w:rsidRPr="00F17C5F">
        <w:rPr>
          <w:rFonts w:ascii="Book Antiqua" w:hAnsi="Book Antiqua"/>
          <w:color w:val="000000" w:themeColor="text1"/>
        </w:rPr>
        <w:t xml:space="preserve"> </w:t>
      </w:r>
      <w:r w:rsidR="009646A8" w:rsidRPr="00F17C5F">
        <w:rPr>
          <w:rFonts w:ascii="Book Antiqua" w:hAnsi="Book Antiqua"/>
          <w:color w:val="000000" w:themeColor="text1"/>
        </w:rPr>
        <w:t>For drugs titrated to clinical effect such as opioids, the clinician may either choose to use less lipophilic agents such as morphine (assuming no renal failure) or use more lipophilic agents like fentanyl with the appreciation that higher than expected doses may be needed.</w:t>
      </w:r>
      <w:r w:rsidR="000C28EB" w:rsidRPr="00F17C5F">
        <w:rPr>
          <w:rFonts w:ascii="Book Antiqua" w:hAnsi="Book Antiqua"/>
          <w:color w:val="000000" w:themeColor="text1"/>
        </w:rPr>
        <w:t xml:space="preserve"> </w:t>
      </w:r>
      <w:r w:rsidR="009646A8" w:rsidRPr="00F17C5F">
        <w:rPr>
          <w:rFonts w:ascii="Book Antiqua" w:hAnsi="Book Antiqua"/>
          <w:color w:val="000000" w:themeColor="text1"/>
        </w:rPr>
        <w:t xml:space="preserve"> For some drugs, therapeutic drug monitoring may be available and useful.</w:t>
      </w:r>
      <w:r w:rsidR="000C28EB" w:rsidRPr="00F17C5F">
        <w:rPr>
          <w:rFonts w:ascii="Book Antiqua" w:hAnsi="Book Antiqua"/>
          <w:color w:val="000000" w:themeColor="text1"/>
        </w:rPr>
        <w:t xml:space="preserve"> </w:t>
      </w:r>
      <w:r w:rsidR="00F44CCB" w:rsidRPr="00F17C5F">
        <w:rPr>
          <w:rFonts w:ascii="Book Antiqua" w:hAnsi="Book Antiqua"/>
          <w:color w:val="000000" w:themeColor="text1"/>
        </w:rPr>
        <w:t>For lipophilic or thermo-labile (</w:t>
      </w:r>
      <w:r w:rsidR="00F44CCB" w:rsidRPr="00F17C5F">
        <w:rPr>
          <w:rFonts w:ascii="Book Antiqua" w:hAnsi="Book Antiqua"/>
          <w:i/>
          <w:color w:val="000000" w:themeColor="text1"/>
        </w:rPr>
        <w:t>e.g.,</w:t>
      </w:r>
      <w:r w:rsidR="00F44CCB" w:rsidRPr="00F17C5F">
        <w:rPr>
          <w:rFonts w:ascii="Book Antiqua" w:hAnsi="Book Antiqua"/>
          <w:color w:val="000000" w:themeColor="text1"/>
        </w:rPr>
        <w:t xml:space="preserve"> carbapenems and ampicillin) drugs that are not titrated to clinical effect and for which therapeutic drug monitoring is usually not available, the clinician must be alert for potential therapeutic unresponsiveness or failure due to inadequate dosing.</w:t>
      </w:r>
      <w:r w:rsidR="000C28EB" w:rsidRPr="00F17C5F">
        <w:rPr>
          <w:rFonts w:ascii="Book Antiqua" w:hAnsi="Book Antiqua"/>
          <w:color w:val="000000" w:themeColor="text1"/>
        </w:rPr>
        <w:t xml:space="preserve"> </w:t>
      </w:r>
      <w:r w:rsidR="00F86664" w:rsidRPr="00F17C5F">
        <w:rPr>
          <w:rFonts w:ascii="Book Antiqua" w:hAnsi="Book Antiqua"/>
          <w:color w:val="000000" w:themeColor="text1"/>
        </w:rPr>
        <w:t>Table</w:t>
      </w:r>
      <w:r w:rsidR="00553050" w:rsidRPr="00F17C5F">
        <w:rPr>
          <w:rFonts w:ascii="Book Antiqua" w:hAnsi="Book Antiqua"/>
          <w:color w:val="000000" w:themeColor="text1"/>
        </w:rPr>
        <w:t xml:space="preserve"> 1</w:t>
      </w:r>
      <w:r w:rsidR="00772E20" w:rsidRPr="00F17C5F">
        <w:rPr>
          <w:rFonts w:ascii="Book Antiqua" w:hAnsi="Book Antiqua"/>
          <w:color w:val="000000" w:themeColor="text1"/>
        </w:rPr>
        <w:t>1</w:t>
      </w:r>
      <w:r w:rsidR="00265126" w:rsidRPr="00F17C5F">
        <w:rPr>
          <w:rFonts w:ascii="Book Antiqua" w:hAnsi="Book Antiqua"/>
          <w:color w:val="000000" w:themeColor="text1"/>
        </w:rPr>
        <w:t xml:space="preserve"> lists the pharmacokinetic and physicochemical characteristics of drugs commonly used in critically ill patients in order to help with drug selection and dosing when data from clinical trials </w:t>
      </w:r>
      <w:r w:rsidR="00CC3502" w:rsidRPr="00F17C5F">
        <w:rPr>
          <w:rFonts w:ascii="Book Antiqua" w:hAnsi="Book Antiqua"/>
          <w:color w:val="000000" w:themeColor="text1"/>
        </w:rPr>
        <w:t>involving ECMO are</w:t>
      </w:r>
      <w:r w:rsidR="00265126" w:rsidRPr="00F17C5F">
        <w:rPr>
          <w:rFonts w:ascii="Book Antiqua" w:hAnsi="Book Antiqua"/>
          <w:color w:val="000000" w:themeColor="text1"/>
        </w:rPr>
        <w:t xml:space="preserve"> not available.</w:t>
      </w:r>
    </w:p>
    <w:p w14:paraId="2E086D6F" w14:textId="77777777" w:rsidR="00876D4B" w:rsidRPr="00F17C5F" w:rsidRDefault="00876D4B" w:rsidP="00F17C5F">
      <w:pPr>
        <w:spacing w:after="0" w:line="360" w:lineRule="auto"/>
        <w:jc w:val="both"/>
        <w:rPr>
          <w:rFonts w:ascii="Book Antiqua" w:hAnsi="Book Antiqua"/>
          <w:color w:val="000000" w:themeColor="text1"/>
        </w:rPr>
      </w:pPr>
    </w:p>
    <w:p w14:paraId="145B0D4C" w14:textId="3AC6BD37" w:rsidR="00876D4B" w:rsidRPr="00F17C5F" w:rsidRDefault="007F795E"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 xml:space="preserve">Drug </w:t>
      </w:r>
      <w:r w:rsidR="003155A9" w:rsidRPr="00F17C5F">
        <w:rPr>
          <w:rFonts w:ascii="Book Antiqua" w:hAnsi="Book Antiqua"/>
          <w:b/>
          <w:i/>
          <w:color w:val="000000" w:themeColor="text1"/>
        </w:rPr>
        <w:t>choice or dosing during plasma exchange</w:t>
      </w:r>
    </w:p>
    <w:p w14:paraId="0419EB83" w14:textId="0003D6BD" w:rsidR="00876D4B" w:rsidRPr="00F17C5F" w:rsidRDefault="00876D4B"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 xml:space="preserve">Plasma exchange (aka plasmapheresis) is another modality that has </w:t>
      </w:r>
      <w:r w:rsidR="00884A64" w:rsidRPr="00F17C5F">
        <w:rPr>
          <w:rFonts w:ascii="Book Antiqua" w:hAnsi="Book Antiqua"/>
          <w:color w:val="000000" w:themeColor="text1"/>
        </w:rPr>
        <w:t>drug-dosing related concerns.</w:t>
      </w:r>
      <w:r w:rsidR="000C28EB" w:rsidRPr="00F17C5F">
        <w:rPr>
          <w:rFonts w:ascii="Book Antiqua" w:hAnsi="Book Antiqua"/>
          <w:color w:val="000000" w:themeColor="text1"/>
        </w:rPr>
        <w:t xml:space="preserve"> </w:t>
      </w:r>
      <w:r w:rsidR="00884A64" w:rsidRPr="00F17C5F">
        <w:rPr>
          <w:rFonts w:ascii="Book Antiqua" w:hAnsi="Book Antiqua"/>
          <w:color w:val="000000" w:themeColor="text1"/>
        </w:rPr>
        <w:t>If one ass</w:t>
      </w:r>
      <w:r w:rsidR="00F22BA7" w:rsidRPr="00F17C5F">
        <w:rPr>
          <w:rFonts w:ascii="Book Antiqua" w:hAnsi="Book Antiqua"/>
          <w:color w:val="000000" w:themeColor="text1"/>
        </w:rPr>
        <w:t>umes a normal plasma volume of approximately 4</w:t>
      </w:r>
      <w:r w:rsidR="00884A64" w:rsidRPr="00F17C5F">
        <w:rPr>
          <w:rFonts w:ascii="Book Antiqua" w:hAnsi="Book Antiqua"/>
          <w:color w:val="000000" w:themeColor="text1"/>
        </w:rPr>
        <w:t xml:space="preserve"> liters</w:t>
      </w:r>
      <w:r w:rsidR="00F22BA7" w:rsidRPr="00F17C5F">
        <w:rPr>
          <w:rFonts w:ascii="Book Antiqua" w:hAnsi="Book Antiqua"/>
          <w:color w:val="000000" w:themeColor="text1"/>
        </w:rPr>
        <w:t xml:space="preserve"> for an 80 kg patient</w:t>
      </w:r>
      <w:r w:rsidR="00884A64" w:rsidRPr="00F17C5F">
        <w:rPr>
          <w:rFonts w:ascii="Book Antiqua" w:hAnsi="Book Antiqua"/>
          <w:color w:val="000000" w:themeColor="text1"/>
        </w:rPr>
        <w:t>, then plasma exchange at a rate of approxi</w:t>
      </w:r>
      <w:r w:rsidR="00F22BA7" w:rsidRPr="00F17C5F">
        <w:rPr>
          <w:rFonts w:ascii="Book Antiqua" w:hAnsi="Book Antiqua"/>
          <w:color w:val="000000" w:themeColor="text1"/>
        </w:rPr>
        <w:t>mately 50 mL/kg over 2 h</w:t>
      </w:r>
      <w:r w:rsidR="005C4E50" w:rsidRPr="00F17C5F">
        <w:rPr>
          <w:rFonts w:ascii="Book Antiqua" w:hAnsi="Book Antiqua"/>
          <w:color w:val="000000" w:themeColor="text1"/>
        </w:rPr>
        <w:t xml:space="preserve"> would remove 2 plasma volumes a</w:t>
      </w:r>
      <w:r w:rsidR="001F6175" w:rsidRPr="00F17C5F">
        <w:rPr>
          <w:rFonts w:ascii="Book Antiqua" w:hAnsi="Book Antiqua"/>
          <w:color w:val="000000" w:themeColor="text1"/>
        </w:rPr>
        <w:t>nd more than 80% of all solutes</w:t>
      </w:r>
      <w:r w:rsidR="005E23C4" w:rsidRPr="00F17C5F">
        <w:rPr>
          <w:rFonts w:ascii="Book Antiqua" w:hAnsi="Book Antiqua"/>
          <w:color w:val="000000" w:themeColor="text1"/>
          <w:vertAlign w:val="superscript"/>
        </w:rPr>
        <w:t>[</w:t>
      </w:r>
      <w:r w:rsidR="00582046" w:rsidRPr="00F17C5F">
        <w:rPr>
          <w:rFonts w:ascii="Book Antiqua" w:hAnsi="Book Antiqua"/>
          <w:color w:val="000000" w:themeColor="text1"/>
          <w:vertAlign w:val="superscript"/>
        </w:rPr>
        <w:t>5</w:t>
      </w:r>
      <w:r w:rsidR="002B3593" w:rsidRPr="00F17C5F">
        <w:rPr>
          <w:rFonts w:ascii="Book Antiqua" w:hAnsi="Book Antiqua"/>
          <w:color w:val="000000" w:themeColor="text1"/>
          <w:vertAlign w:val="superscript"/>
        </w:rPr>
        <w:t>2</w:t>
      </w:r>
      <w:r w:rsidR="005E23C4" w:rsidRPr="00F17C5F">
        <w:rPr>
          <w:rFonts w:ascii="Book Antiqua" w:hAnsi="Book Antiqua"/>
          <w:color w:val="000000" w:themeColor="text1"/>
          <w:vertAlign w:val="superscript"/>
        </w:rPr>
        <w:t>]</w:t>
      </w:r>
      <w:r w:rsidR="001F6175"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5C4E50" w:rsidRPr="00F17C5F">
        <w:rPr>
          <w:rFonts w:ascii="Book Antiqua" w:hAnsi="Book Antiqua"/>
          <w:color w:val="000000" w:themeColor="text1"/>
        </w:rPr>
        <w:t>Much of the experience with plasma exchange has been case report data associated with overdosing or poisonings.</w:t>
      </w:r>
      <w:r w:rsidR="000C28EB" w:rsidRPr="00F17C5F">
        <w:rPr>
          <w:rFonts w:ascii="Book Antiqua" w:hAnsi="Book Antiqua"/>
          <w:color w:val="000000" w:themeColor="text1"/>
        </w:rPr>
        <w:t xml:space="preserve"> </w:t>
      </w:r>
      <w:r w:rsidR="005C4E50" w:rsidRPr="00F17C5F">
        <w:rPr>
          <w:rFonts w:ascii="Book Antiqua" w:hAnsi="Book Antiqua"/>
          <w:color w:val="000000" w:themeColor="text1"/>
        </w:rPr>
        <w:t>The AABB and the American Society for Apheresis has concluded that there is little or conflicting evidence for the latter indications and that such use represents “</w:t>
      </w:r>
      <w:r w:rsidR="001F6175" w:rsidRPr="00F17C5F">
        <w:rPr>
          <w:rFonts w:ascii="Book Antiqua" w:hAnsi="Book Antiqua"/>
          <w:color w:val="000000" w:themeColor="text1"/>
        </w:rPr>
        <w:t>heroic” of “last-ditch” efforts</w:t>
      </w:r>
      <w:r w:rsidR="005E23C4" w:rsidRPr="00F17C5F">
        <w:rPr>
          <w:rFonts w:ascii="Book Antiqua" w:hAnsi="Book Antiqua"/>
          <w:color w:val="000000" w:themeColor="text1"/>
          <w:vertAlign w:val="superscript"/>
        </w:rPr>
        <w:t>[</w:t>
      </w:r>
      <w:r w:rsidR="00582046" w:rsidRPr="00F17C5F">
        <w:rPr>
          <w:rFonts w:ascii="Book Antiqua" w:hAnsi="Book Antiqua"/>
          <w:color w:val="000000" w:themeColor="text1"/>
          <w:vertAlign w:val="superscript"/>
        </w:rPr>
        <w:t>5</w:t>
      </w:r>
      <w:r w:rsidR="002B3593" w:rsidRPr="00F17C5F">
        <w:rPr>
          <w:rFonts w:ascii="Book Antiqua" w:hAnsi="Book Antiqua"/>
          <w:color w:val="000000" w:themeColor="text1"/>
          <w:vertAlign w:val="superscript"/>
        </w:rPr>
        <w:t>3</w:t>
      </w:r>
      <w:r w:rsidR="005E23C4" w:rsidRPr="00F17C5F">
        <w:rPr>
          <w:rFonts w:ascii="Book Antiqua" w:hAnsi="Book Antiqua"/>
          <w:color w:val="000000" w:themeColor="text1"/>
          <w:vertAlign w:val="superscript"/>
        </w:rPr>
        <w:t>]</w:t>
      </w:r>
      <w:r w:rsidR="001F6175"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9E2630" w:rsidRPr="00F17C5F">
        <w:rPr>
          <w:rFonts w:ascii="Book Antiqua" w:hAnsi="Book Antiqua"/>
          <w:color w:val="000000" w:themeColor="text1"/>
        </w:rPr>
        <w:t>Apart from the intended use of plasma exchange for toxicological problems, there is the unintended effect of plasma exchange on drugs being used in usual therapeutic doses.</w:t>
      </w:r>
      <w:r w:rsidR="000C28EB" w:rsidRPr="00F17C5F">
        <w:rPr>
          <w:rFonts w:ascii="Book Antiqua" w:hAnsi="Book Antiqua"/>
          <w:color w:val="000000" w:themeColor="text1"/>
        </w:rPr>
        <w:t xml:space="preserve"> </w:t>
      </w:r>
    </w:p>
    <w:p w14:paraId="716CBE54" w14:textId="71E0E929" w:rsidR="003C548D" w:rsidRPr="00F17C5F" w:rsidRDefault="00A379F4" w:rsidP="00F17C5F">
      <w:pPr>
        <w:spacing w:after="0" w:line="360" w:lineRule="auto"/>
        <w:ind w:firstLineChars="200" w:firstLine="480"/>
        <w:jc w:val="both"/>
        <w:rPr>
          <w:rFonts w:ascii="Book Antiqua" w:hAnsi="Book Antiqua"/>
          <w:color w:val="000000" w:themeColor="text1"/>
          <w:vertAlign w:val="superscript"/>
          <w:lang w:eastAsia="zh-CN"/>
        </w:rPr>
      </w:pPr>
      <w:r w:rsidRPr="00F17C5F">
        <w:rPr>
          <w:rFonts w:ascii="Book Antiqua" w:hAnsi="Book Antiqua"/>
          <w:color w:val="000000" w:themeColor="text1"/>
        </w:rPr>
        <w:t>Drugs most likely to be eliminated by plasma exchange are those with small volumes of distribution that approximate extracellular fluid stores</w:t>
      </w:r>
      <w:r w:rsidR="00A92F23" w:rsidRPr="00F17C5F">
        <w:rPr>
          <w:rFonts w:ascii="Book Antiqua" w:hAnsi="Book Antiqua"/>
          <w:color w:val="000000" w:themeColor="text1"/>
        </w:rPr>
        <w:t xml:space="preserve"> (less than 0.2 L/kg)</w:t>
      </w:r>
      <w:r w:rsidRPr="00F17C5F">
        <w:rPr>
          <w:rFonts w:ascii="Book Antiqua" w:hAnsi="Book Antiqua"/>
          <w:color w:val="000000" w:themeColor="text1"/>
        </w:rPr>
        <w:t xml:space="preserve"> and those with </w:t>
      </w:r>
      <w:r w:rsidR="00A92F23" w:rsidRPr="00F17C5F">
        <w:rPr>
          <w:rFonts w:ascii="Book Antiqua" w:hAnsi="Book Antiqua"/>
          <w:color w:val="000000" w:themeColor="text1"/>
        </w:rPr>
        <w:t xml:space="preserve">plasma </w:t>
      </w:r>
      <w:r w:rsidR="001F6175" w:rsidRPr="00F17C5F">
        <w:rPr>
          <w:rFonts w:ascii="Book Antiqua" w:hAnsi="Book Antiqua"/>
          <w:color w:val="000000" w:themeColor="text1"/>
        </w:rPr>
        <w:t>protein binding of at least 80%</w:t>
      </w:r>
      <w:r w:rsidR="005E23C4" w:rsidRPr="00F17C5F">
        <w:rPr>
          <w:rFonts w:ascii="Book Antiqua" w:hAnsi="Book Antiqua"/>
          <w:color w:val="000000" w:themeColor="text1"/>
          <w:vertAlign w:val="superscript"/>
        </w:rPr>
        <w:t>[</w:t>
      </w:r>
      <w:r w:rsidR="00582046" w:rsidRPr="00F17C5F">
        <w:rPr>
          <w:rFonts w:ascii="Book Antiqua" w:hAnsi="Book Antiqua"/>
          <w:color w:val="000000" w:themeColor="text1"/>
          <w:vertAlign w:val="superscript"/>
        </w:rPr>
        <w:t>5</w:t>
      </w:r>
      <w:r w:rsidR="002B3593" w:rsidRPr="00F17C5F">
        <w:rPr>
          <w:rFonts w:ascii="Book Antiqua" w:hAnsi="Book Antiqua"/>
          <w:color w:val="000000" w:themeColor="text1"/>
          <w:vertAlign w:val="superscript"/>
        </w:rPr>
        <w:t>4</w:t>
      </w:r>
      <w:r w:rsidR="005E23C4" w:rsidRPr="00F17C5F">
        <w:rPr>
          <w:rFonts w:ascii="Book Antiqua" w:hAnsi="Book Antiqua"/>
          <w:color w:val="000000" w:themeColor="text1"/>
          <w:vertAlign w:val="superscript"/>
        </w:rPr>
        <w:t>]</w:t>
      </w:r>
      <w:r w:rsidR="001F6175"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E00A31" w:rsidRPr="00F17C5F">
        <w:rPr>
          <w:rFonts w:ascii="Book Antiqua" w:hAnsi="Book Antiqua"/>
          <w:color w:val="000000" w:themeColor="text1"/>
        </w:rPr>
        <w:t>Since plasma proteins and bound drugs are removed in tandem with fluid in plasma exchange, there is increased drug removal with increased protein binding in contrast to hemodialysis that preferentially removes unbound drugs.</w:t>
      </w:r>
      <w:r w:rsidR="000C28EB" w:rsidRPr="00F17C5F">
        <w:rPr>
          <w:rFonts w:ascii="Book Antiqua" w:hAnsi="Book Antiqua"/>
          <w:color w:val="000000" w:themeColor="text1"/>
        </w:rPr>
        <w:t xml:space="preserve"> </w:t>
      </w:r>
      <w:r w:rsidR="00B041CF" w:rsidRPr="00F17C5F">
        <w:rPr>
          <w:rFonts w:ascii="Book Antiqua" w:hAnsi="Book Antiqua"/>
          <w:color w:val="000000" w:themeColor="text1"/>
        </w:rPr>
        <w:t>The timing of drug administration relative to onset of plasma exchange is critical to the amount of drug elimination.</w:t>
      </w:r>
      <w:r w:rsidR="000C28EB" w:rsidRPr="00F17C5F">
        <w:rPr>
          <w:rFonts w:ascii="Book Antiqua" w:hAnsi="Book Antiqua"/>
          <w:color w:val="000000" w:themeColor="text1"/>
        </w:rPr>
        <w:t xml:space="preserve"> </w:t>
      </w:r>
      <w:r w:rsidR="00B041CF" w:rsidRPr="00F17C5F">
        <w:rPr>
          <w:rFonts w:ascii="Book Antiqua" w:hAnsi="Book Antiqua"/>
          <w:color w:val="000000" w:themeColor="text1"/>
        </w:rPr>
        <w:t>Hydrophilic drugs with small volumes of distribution and high protein binding would be particularly susceptible to removal if initiated after plasma exchange has begun.</w:t>
      </w:r>
      <w:r w:rsidR="000C28EB" w:rsidRPr="00F17C5F">
        <w:rPr>
          <w:rFonts w:ascii="Book Antiqua" w:hAnsi="Book Antiqua"/>
          <w:color w:val="000000" w:themeColor="text1"/>
        </w:rPr>
        <w:t xml:space="preserve"> </w:t>
      </w:r>
      <w:r w:rsidR="00B041CF" w:rsidRPr="00F17C5F">
        <w:rPr>
          <w:rFonts w:ascii="Book Antiqua" w:hAnsi="Book Antiqua"/>
          <w:color w:val="000000" w:themeColor="text1"/>
        </w:rPr>
        <w:t>L</w:t>
      </w:r>
      <w:r w:rsidR="006F6B25" w:rsidRPr="00F17C5F">
        <w:rPr>
          <w:rFonts w:ascii="Book Antiqua" w:hAnsi="Book Antiqua"/>
          <w:color w:val="000000" w:themeColor="text1"/>
        </w:rPr>
        <w:t>ip</w:t>
      </w:r>
      <w:r w:rsidR="00A52E25" w:rsidRPr="00F17C5F">
        <w:rPr>
          <w:rFonts w:ascii="Book Antiqua" w:hAnsi="Book Antiqua"/>
          <w:color w:val="000000" w:themeColor="text1"/>
        </w:rPr>
        <w:t xml:space="preserve">ophilic drugs with larger volumes of distribution would not be expected to have substantial </w:t>
      </w:r>
      <w:r w:rsidR="00B944E1" w:rsidRPr="00F17C5F">
        <w:rPr>
          <w:rFonts w:ascii="Book Antiqua" w:hAnsi="Book Antiqua"/>
          <w:color w:val="000000" w:themeColor="text1"/>
        </w:rPr>
        <w:t>r</w:t>
      </w:r>
      <w:r w:rsidR="00A52E25" w:rsidRPr="00F17C5F">
        <w:rPr>
          <w:rFonts w:ascii="Book Antiqua" w:hAnsi="Book Antiqua"/>
          <w:color w:val="000000" w:themeColor="text1"/>
        </w:rPr>
        <w:t>emoval by plasma exchange, presuming the plasma exchange is not initiated until after the initial distribution phase of the drug has taken place.</w:t>
      </w:r>
      <w:r w:rsidR="000C28EB" w:rsidRPr="00F17C5F">
        <w:rPr>
          <w:rFonts w:ascii="Book Antiqua" w:hAnsi="Book Antiqua"/>
          <w:color w:val="000000" w:themeColor="text1"/>
        </w:rPr>
        <w:t xml:space="preserve"> </w:t>
      </w:r>
      <w:r w:rsidR="00582046" w:rsidRPr="00F17C5F">
        <w:rPr>
          <w:rFonts w:ascii="Book Antiqua" w:hAnsi="Book Antiqua"/>
          <w:color w:val="000000" w:themeColor="text1"/>
        </w:rPr>
        <w:t>There is case report data for some drugs that confirm these generalizations.</w:t>
      </w:r>
      <w:r w:rsidR="000C28EB" w:rsidRPr="00F17C5F">
        <w:rPr>
          <w:rFonts w:ascii="Book Antiqua" w:hAnsi="Book Antiqua"/>
          <w:color w:val="000000" w:themeColor="text1"/>
        </w:rPr>
        <w:t xml:space="preserve"> </w:t>
      </w:r>
      <w:r w:rsidR="00582046" w:rsidRPr="00F17C5F">
        <w:rPr>
          <w:rFonts w:ascii="Book Antiqua" w:hAnsi="Book Antiqua"/>
          <w:color w:val="000000" w:themeColor="text1"/>
        </w:rPr>
        <w:t>For example, voriconazole that has a volume of distribution slightly over 4 L/kg and protein binding of approximately 58% would not be expected to have significant removal by plasma exchange and this was confirmed in a pharmacokinetic study involving a patient receiving plasma exchange in conjunction with voriconazole for an i</w:t>
      </w:r>
      <w:r w:rsidR="001F6175" w:rsidRPr="00F17C5F">
        <w:rPr>
          <w:rFonts w:ascii="Book Antiqua" w:hAnsi="Book Antiqua"/>
          <w:color w:val="000000" w:themeColor="text1"/>
        </w:rPr>
        <w:t>nvasive aspergillosis infection</w:t>
      </w:r>
      <w:r w:rsidR="00CA2558" w:rsidRPr="00F17C5F">
        <w:rPr>
          <w:rFonts w:ascii="Book Antiqua" w:hAnsi="Book Antiqua"/>
          <w:color w:val="000000" w:themeColor="text1"/>
          <w:vertAlign w:val="superscript"/>
        </w:rPr>
        <w:t>[5</w:t>
      </w:r>
      <w:r w:rsidR="002B3593" w:rsidRPr="00F17C5F">
        <w:rPr>
          <w:rFonts w:ascii="Book Antiqua" w:hAnsi="Book Antiqua"/>
          <w:color w:val="000000" w:themeColor="text1"/>
          <w:vertAlign w:val="superscript"/>
        </w:rPr>
        <w:t>5</w:t>
      </w:r>
      <w:r w:rsidR="00CA2558" w:rsidRPr="00F17C5F">
        <w:rPr>
          <w:rFonts w:ascii="Book Antiqua" w:hAnsi="Book Antiqua"/>
          <w:color w:val="000000" w:themeColor="text1"/>
          <w:vertAlign w:val="superscript"/>
        </w:rPr>
        <w:t>]</w:t>
      </w:r>
      <w:r w:rsidR="001F6175" w:rsidRPr="00F17C5F">
        <w:rPr>
          <w:rFonts w:ascii="Book Antiqua" w:hAnsi="Book Antiqua"/>
          <w:color w:val="000000" w:themeColor="text1"/>
        </w:rPr>
        <w:t>.</w:t>
      </w:r>
    </w:p>
    <w:p w14:paraId="6956214B" w14:textId="77777777" w:rsidR="001F6175" w:rsidRPr="00F17C5F" w:rsidRDefault="001F6175" w:rsidP="00F17C5F">
      <w:pPr>
        <w:spacing w:after="0" w:line="360" w:lineRule="auto"/>
        <w:ind w:firstLineChars="200" w:firstLine="480"/>
        <w:jc w:val="both"/>
        <w:rPr>
          <w:rFonts w:ascii="Book Antiqua" w:hAnsi="Book Antiqua"/>
          <w:color w:val="000000" w:themeColor="text1"/>
          <w:lang w:eastAsia="zh-CN"/>
        </w:rPr>
      </w:pPr>
    </w:p>
    <w:p w14:paraId="73CE9021" w14:textId="77777777" w:rsidR="003C548D" w:rsidRPr="00F17C5F" w:rsidRDefault="003C548D" w:rsidP="00F17C5F">
      <w:pPr>
        <w:spacing w:after="0" w:line="360" w:lineRule="auto"/>
        <w:jc w:val="both"/>
        <w:rPr>
          <w:rFonts w:ascii="Book Antiqua" w:hAnsi="Book Antiqua"/>
          <w:b/>
          <w:i/>
          <w:color w:val="000000" w:themeColor="text1"/>
        </w:rPr>
      </w:pPr>
      <w:r w:rsidRPr="00F17C5F">
        <w:rPr>
          <w:rFonts w:ascii="Book Antiqua" w:hAnsi="Book Antiqua"/>
          <w:b/>
          <w:i/>
          <w:color w:val="000000" w:themeColor="text1"/>
        </w:rPr>
        <w:t>Recommendations</w:t>
      </w:r>
    </w:p>
    <w:p w14:paraId="567C2651" w14:textId="51B656E0" w:rsidR="00FD3ED3" w:rsidRPr="00F17C5F" w:rsidRDefault="0032434C"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Once it is known that a patient will undergo plasma exchange, the clinician must evaluate each of the drugs being administered to the patient and attempt to devise an optimal dosing regimen or find alternative drugs unlikely to be affected by the procedure</w:t>
      </w:r>
      <w:r w:rsidR="003C548D" w:rsidRPr="00F17C5F">
        <w:rPr>
          <w:rFonts w:ascii="Book Antiqua" w:hAnsi="Book Antiqua"/>
          <w:color w:val="000000" w:themeColor="text1"/>
        </w:rPr>
        <w:t xml:space="preserve"> (</w:t>
      </w:r>
      <w:r w:rsidR="003C548D" w:rsidRPr="00F17C5F">
        <w:rPr>
          <w:rFonts w:ascii="Book Antiqua" w:hAnsi="Book Antiqua"/>
          <w:i/>
          <w:color w:val="000000" w:themeColor="text1"/>
        </w:rPr>
        <w:t>i.e.,</w:t>
      </w:r>
      <w:r w:rsidR="003C548D" w:rsidRPr="00F17C5F">
        <w:rPr>
          <w:rFonts w:ascii="Book Antiqua" w:hAnsi="Book Antiqua"/>
          <w:color w:val="000000" w:themeColor="text1"/>
        </w:rPr>
        <w:t xml:space="preserve"> large volume of distribution and low protein binding)</w:t>
      </w:r>
      <w:r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C33411" w:rsidRPr="00F17C5F">
        <w:rPr>
          <w:rFonts w:ascii="Book Antiqua" w:hAnsi="Book Antiqua"/>
          <w:color w:val="000000" w:themeColor="text1"/>
        </w:rPr>
        <w:t>The evaluation must take into account the specific plasma expander being used as a replacement fluid</w:t>
      </w:r>
      <w:r w:rsidR="00163F6B" w:rsidRPr="00F17C5F">
        <w:rPr>
          <w:rFonts w:ascii="Book Antiqua" w:hAnsi="Book Antiqua"/>
          <w:color w:val="000000" w:themeColor="text1"/>
        </w:rPr>
        <w:t xml:space="preserve">, since albumin or albumin-containing fluids like fresh frozen plasma </w:t>
      </w:r>
      <w:r w:rsidR="00C33411" w:rsidRPr="00F17C5F">
        <w:rPr>
          <w:rFonts w:ascii="Book Antiqua" w:hAnsi="Book Antiqua"/>
          <w:color w:val="000000" w:themeColor="text1"/>
        </w:rPr>
        <w:t>influence drug binding.</w:t>
      </w:r>
      <w:r w:rsidR="000C28EB" w:rsidRPr="00F17C5F">
        <w:rPr>
          <w:rFonts w:ascii="Book Antiqua" w:hAnsi="Book Antiqua"/>
          <w:color w:val="000000" w:themeColor="text1"/>
        </w:rPr>
        <w:t xml:space="preserve"> </w:t>
      </w:r>
      <w:r w:rsidR="00C33411" w:rsidRPr="00F17C5F">
        <w:rPr>
          <w:rFonts w:ascii="Book Antiqua" w:hAnsi="Book Antiqua"/>
          <w:color w:val="000000" w:themeColor="text1"/>
        </w:rPr>
        <w:t>Additionally, t</w:t>
      </w:r>
      <w:r w:rsidRPr="00F17C5F">
        <w:rPr>
          <w:rFonts w:ascii="Book Antiqua" w:hAnsi="Book Antiqua"/>
          <w:color w:val="000000" w:themeColor="text1"/>
        </w:rPr>
        <w:t xml:space="preserve">he evaluation should consider the pharmacokinetics of the drug, </w:t>
      </w:r>
      <w:r w:rsidR="003C548D" w:rsidRPr="00F17C5F">
        <w:rPr>
          <w:rFonts w:ascii="Book Antiqua" w:hAnsi="Book Antiqua"/>
          <w:color w:val="000000" w:themeColor="text1"/>
        </w:rPr>
        <w:t xml:space="preserve">the timing of the drug relative to the plasma exchange procedure, </w:t>
      </w:r>
      <w:r w:rsidRPr="00F17C5F">
        <w:rPr>
          <w:rFonts w:ascii="Book Antiqua" w:hAnsi="Book Antiqua"/>
          <w:color w:val="000000" w:themeColor="text1"/>
        </w:rPr>
        <w:t>co-morbidities such as renal failure that might alter normal kinetics, and the limited published literature that is available</w:t>
      </w:r>
      <w:r w:rsidR="001521BC" w:rsidRPr="00F17C5F">
        <w:rPr>
          <w:rFonts w:ascii="Book Antiqua" w:hAnsi="Book Antiqua"/>
          <w:color w:val="000000" w:themeColor="text1"/>
        </w:rPr>
        <w:t>.</w:t>
      </w:r>
      <w:r w:rsidR="000C28EB" w:rsidRPr="00F17C5F">
        <w:rPr>
          <w:rFonts w:ascii="Book Antiqua" w:hAnsi="Book Antiqua"/>
          <w:color w:val="000000" w:themeColor="text1"/>
        </w:rPr>
        <w:t xml:space="preserve"> </w:t>
      </w:r>
      <w:r w:rsidR="00F86664" w:rsidRPr="00F17C5F">
        <w:rPr>
          <w:rFonts w:ascii="Book Antiqua" w:hAnsi="Book Antiqua"/>
          <w:color w:val="000000" w:themeColor="text1"/>
        </w:rPr>
        <w:t>Table</w:t>
      </w:r>
      <w:r w:rsidR="00772E20" w:rsidRPr="00F17C5F">
        <w:rPr>
          <w:rFonts w:ascii="Book Antiqua" w:hAnsi="Book Antiqua"/>
          <w:color w:val="000000" w:themeColor="text1"/>
        </w:rPr>
        <w:t xml:space="preserve"> 11</w:t>
      </w:r>
      <w:r w:rsidR="00864EF7" w:rsidRPr="00F17C5F">
        <w:rPr>
          <w:rFonts w:ascii="Book Antiqua" w:hAnsi="Book Antiqua"/>
          <w:color w:val="000000" w:themeColor="text1"/>
        </w:rPr>
        <w:t xml:space="preserve"> </w:t>
      </w:r>
      <w:r w:rsidR="00265126" w:rsidRPr="00F17C5F">
        <w:rPr>
          <w:rFonts w:ascii="Book Antiqua" w:hAnsi="Book Antiqua"/>
          <w:color w:val="000000" w:themeColor="text1"/>
        </w:rPr>
        <w:t>lists pharmacokinetic and physicochemical properties of drugs commonly used in critically ill patients</w:t>
      </w:r>
      <w:r w:rsidR="003F3ACC" w:rsidRPr="00F17C5F">
        <w:rPr>
          <w:rFonts w:ascii="Book Antiqua" w:hAnsi="Book Antiqua"/>
          <w:color w:val="000000" w:themeColor="text1"/>
        </w:rPr>
        <w:t xml:space="preserve"> that can be used to help predict drug disposition in association with plasma exchange</w:t>
      </w:r>
      <w:r w:rsidR="00265126" w:rsidRPr="00F17C5F">
        <w:rPr>
          <w:rFonts w:ascii="Book Antiqua" w:hAnsi="Book Antiqua"/>
          <w:color w:val="000000" w:themeColor="text1"/>
        </w:rPr>
        <w:t>.</w:t>
      </w:r>
    </w:p>
    <w:p w14:paraId="73D6D3A7" w14:textId="77777777" w:rsidR="00FD3ED3" w:rsidRPr="00F17C5F" w:rsidRDefault="00FD3ED3" w:rsidP="00F17C5F">
      <w:pPr>
        <w:spacing w:after="0" w:line="360" w:lineRule="auto"/>
        <w:jc w:val="both"/>
        <w:rPr>
          <w:rFonts w:ascii="Book Antiqua" w:hAnsi="Book Antiqua"/>
          <w:color w:val="000000" w:themeColor="text1"/>
        </w:rPr>
      </w:pPr>
    </w:p>
    <w:p w14:paraId="1382B2E5" w14:textId="19862B04" w:rsidR="00FD3ED3" w:rsidRPr="00F17C5F" w:rsidRDefault="001E1B6F" w:rsidP="00F17C5F">
      <w:pPr>
        <w:spacing w:after="0" w:line="360" w:lineRule="auto"/>
        <w:jc w:val="both"/>
        <w:rPr>
          <w:rFonts w:ascii="Book Antiqua" w:hAnsi="Book Antiqua"/>
          <w:b/>
          <w:color w:val="000000" w:themeColor="text1"/>
          <w:lang w:eastAsia="zh-CN"/>
        </w:rPr>
      </w:pPr>
      <w:r w:rsidRPr="00F17C5F">
        <w:rPr>
          <w:rFonts w:ascii="Book Antiqua" w:hAnsi="Book Antiqua"/>
          <w:b/>
          <w:color w:val="000000" w:themeColor="text1"/>
        </w:rPr>
        <w:t>CONCLUSION</w:t>
      </w:r>
    </w:p>
    <w:p w14:paraId="1815AD2C" w14:textId="5255684B" w:rsidR="00F80FA0" w:rsidRPr="00F17C5F" w:rsidRDefault="000A7DA0" w:rsidP="00F17C5F">
      <w:pPr>
        <w:spacing w:after="0" w:line="360" w:lineRule="auto"/>
        <w:jc w:val="both"/>
        <w:rPr>
          <w:rFonts w:ascii="Book Antiqua" w:hAnsi="Book Antiqua"/>
          <w:color w:val="000000" w:themeColor="text1"/>
        </w:rPr>
      </w:pPr>
      <w:r w:rsidRPr="00F17C5F">
        <w:rPr>
          <w:rFonts w:ascii="Book Antiqua" w:hAnsi="Book Antiqua"/>
          <w:color w:val="000000" w:themeColor="text1"/>
        </w:rPr>
        <w:t>Special populations of ICU patients with more severe alterations in body size, shape, and composition pose unique challenges to clinicians faced with drug choice or dosing decisions.</w:t>
      </w:r>
      <w:r w:rsidR="000C28EB" w:rsidRPr="00F17C5F">
        <w:rPr>
          <w:rFonts w:ascii="Book Antiqua" w:hAnsi="Book Antiqua"/>
          <w:color w:val="000000" w:themeColor="text1"/>
        </w:rPr>
        <w:t xml:space="preserve"> </w:t>
      </w:r>
      <w:r w:rsidRPr="00F17C5F">
        <w:rPr>
          <w:rFonts w:ascii="Book Antiqua" w:hAnsi="Book Antiqua"/>
          <w:color w:val="000000" w:themeColor="text1"/>
        </w:rPr>
        <w:t>Appropriate drug choice or dosing in these populations must take into account a variety of factors from altered pharmacokinetic parameters to concomitant therapeutic interventions and co-morbidities.</w:t>
      </w:r>
    </w:p>
    <w:p w14:paraId="2DA4AB20" w14:textId="77777777" w:rsidR="005E1E6B" w:rsidRPr="00F17C5F" w:rsidRDefault="005E1E6B" w:rsidP="00F17C5F">
      <w:pPr>
        <w:spacing w:after="0" w:line="360" w:lineRule="auto"/>
        <w:jc w:val="both"/>
        <w:rPr>
          <w:rFonts w:ascii="Book Antiqua" w:hAnsi="Book Antiqua"/>
          <w:color w:val="000000" w:themeColor="text1"/>
          <w:lang w:eastAsia="zh-CN"/>
        </w:rPr>
      </w:pPr>
    </w:p>
    <w:p w14:paraId="6838C43E" w14:textId="77777777" w:rsidR="0042752D" w:rsidRPr="00F17C5F" w:rsidRDefault="001F6175" w:rsidP="00F17C5F">
      <w:pPr>
        <w:spacing w:after="0" w:line="360" w:lineRule="auto"/>
        <w:jc w:val="both"/>
        <w:rPr>
          <w:rFonts w:ascii="Book Antiqua" w:hAnsi="Book Antiqua"/>
          <w:b/>
          <w:color w:val="000000" w:themeColor="text1"/>
          <w:lang w:eastAsia="zh-CN"/>
        </w:rPr>
      </w:pPr>
      <w:r w:rsidRPr="00F17C5F">
        <w:rPr>
          <w:rFonts w:ascii="Book Antiqua" w:hAnsi="Book Antiqua"/>
          <w:b/>
          <w:color w:val="000000" w:themeColor="text1"/>
          <w:lang w:eastAsia="zh-CN"/>
        </w:rPr>
        <w:t>REFERENCES</w:t>
      </w:r>
    </w:p>
    <w:p w14:paraId="7E6E48FD" w14:textId="64CD5F8E"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1 </w:t>
      </w:r>
      <w:r w:rsidRPr="00F17C5F">
        <w:rPr>
          <w:rFonts w:ascii="Book Antiqua" w:eastAsia="宋体" w:hAnsi="Book Antiqua" w:cs="宋体"/>
          <w:b/>
          <w:bCs/>
          <w:color w:val="000000" w:themeColor="text1"/>
        </w:rPr>
        <w:t>Erstad BL</w:t>
      </w:r>
      <w:r w:rsidRPr="00F17C5F">
        <w:rPr>
          <w:rFonts w:ascii="Book Antiqua" w:eastAsia="宋体" w:hAnsi="Book Antiqua" w:cs="宋体"/>
          <w:color w:val="000000" w:themeColor="text1"/>
        </w:rPr>
        <w:t xml:space="preserve">. Dosing of medications in morbidly obese patients in the intensive care unit setting. </w:t>
      </w:r>
      <w:r w:rsidRPr="00F17C5F">
        <w:rPr>
          <w:rFonts w:ascii="Book Antiqua" w:eastAsia="宋体" w:hAnsi="Book Antiqua" w:cs="宋体"/>
          <w:i/>
          <w:iCs/>
          <w:color w:val="000000" w:themeColor="text1"/>
        </w:rPr>
        <w:t>Intensive Care Med</w:t>
      </w:r>
      <w:r w:rsidRPr="00F17C5F">
        <w:rPr>
          <w:rFonts w:ascii="Book Antiqua" w:eastAsia="宋体" w:hAnsi="Book Antiqua" w:cs="宋体"/>
          <w:color w:val="000000" w:themeColor="text1"/>
        </w:rPr>
        <w:t xml:space="preserve"> 2004; </w:t>
      </w:r>
      <w:r w:rsidRPr="00F17C5F">
        <w:rPr>
          <w:rFonts w:ascii="Book Antiqua" w:eastAsia="宋体" w:hAnsi="Book Antiqua" w:cs="宋体"/>
          <w:b/>
          <w:bCs/>
          <w:color w:val="000000" w:themeColor="text1"/>
        </w:rPr>
        <w:t>30</w:t>
      </w:r>
      <w:r w:rsidRPr="00F17C5F">
        <w:rPr>
          <w:rFonts w:ascii="Book Antiqua" w:eastAsia="宋体" w:hAnsi="Book Antiqua" w:cs="宋体"/>
          <w:color w:val="000000" w:themeColor="text1"/>
        </w:rPr>
        <w:t>: 18-32 [PMID: 14625670 DOI: 10.1111/j.1365-2125.2011.04159.x]</w:t>
      </w:r>
    </w:p>
    <w:p w14:paraId="67F2FCE8"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2 </w:t>
      </w:r>
      <w:r w:rsidRPr="00F17C5F">
        <w:rPr>
          <w:rFonts w:ascii="Book Antiqua" w:eastAsia="宋体" w:hAnsi="Book Antiqua" w:cs="宋体"/>
          <w:b/>
          <w:bCs/>
          <w:color w:val="000000" w:themeColor="text1"/>
        </w:rPr>
        <w:t>Godoy R</w:t>
      </w:r>
      <w:r w:rsidRPr="00F17C5F">
        <w:rPr>
          <w:rFonts w:ascii="Book Antiqua" w:eastAsia="宋体" w:hAnsi="Book Antiqua" w:cs="宋体"/>
          <w:color w:val="000000" w:themeColor="text1"/>
        </w:rPr>
        <w:t xml:space="preserve">, Goodman E, Levins R, Leonard WR. Anthropometric variability in the USA: 1971-2002. </w:t>
      </w:r>
      <w:r w:rsidRPr="00F17C5F">
        <w:rPr>
          <w:rFonts w:ascii="Book Antiqua" w:eastAsia="宋体" w:hAnsi="Book Antiqua" w:cs="宋体"/>
          <w:i/>
          <w:iCs/>
          <w:color w:val="000000" w:themeColor="text1"/>
        </w:rPr>
        <w:t>Ann Hum Biol</w:t>
      </w:r>
      <w:r w:rsidRPr="00F17C5F">
        <w:rPr>
          <w:rFonts w:ascii="Book Antiqua" w:eastAsia="宋体" w:hAnsi="Book Antiqua" w:cs="宋体"/>
          <w:color w:val="000000" w:themeColor="text1"/>
        </w:rPr>
        <w:t xml:space="preserve"> 2005; </w:t>
      </w:r>
      <w:r w:rsidRPr="00F17C5F">
        <w:rPr>
          <w:rFonts w:ascii="Book Antiqua" w:eastAsia="宋体" w:hAnsi="Book Antiqua" w:cs="宋体"/>
          <w:b/>
          <w:bCs/>
          <w:color w:val="000000" w:themeColor="text1"/>
        </w:rPr>
        <w:t>32</w:t>
      </w:r>
      <w:r w:rsidRPr="00F17C5F">
        <w:rPr>
          <w:rFonts w:ascii="Book Antiqua" w:eastAsia="宋体" w:hAnsi="Book Antiqua" w:cs="宋体"/>
          <w:color w:val="000000" w:themeColor="text1"/>
        </w:rPr>
        <w:t>: 469-486 [PMID: 16147396 DOI: 10.1080/03014460500154384]</w:t>
      </w:r>
    </w:p>
    <w:p w14:paraId="6FDD38CE"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3 </w:t>
      </w:r>
      <w:r w:rsidRPr="00F17C5F">
        <w:rPr>
          <w:rFonts w:ascii="Book Antiqua" w:eastAsia="宋体" w:hAnsi="Book Antiqua" w:cs="宋体"/>
          <w:b/>
          <w:bCs/>
          <w:color w:val="000000" w:themeColor="text1"/>
        </w:rPr>
        <w:t>Thibault R</w:t>
      </w:r>
      <w:r w:rsidRPr="00F17C5F">
        <w:rPr>
          <w:rFonts w:ascii="Book Antiqua" w:eastAsia="宋体" w:hAnsi="Book Antiqua" w:cs="宋体"/>
          <w:color w:val="000000" w:themeColor="text1"/>
        </w:rPr>
        <w:t xml:space="preserve">, Genton L, Pichard C. Body composition: why, when and for who? </w:t>
      </w:r>
      <w:r w:rsidRPr="00F17C5F">
        <w:rPr>
          <w:rFonts w:ascii="Book Antiqua" w:eastAsia="宋体" w:hAnsi="Book Antiqua" w:cs="宋体"/>
          <w:i/>
          <w:iCs/>
          <w:color w:val="000000" w:themeColor="text1"/>
        </w:rPr>
        <w:t>Clin Nutr</w:t>
      </w:r>
      <w:r w:rsidRPr="00F17C5F">
        <w:rPr>
          <w:rFonts w:ascii="Book Antiqua" w:eastAsia="宋体" w:hAnsi="Book Antiqua" w:cs="宋体"/>
          <w:color w:val="000000" w:themeColor="text1"/>
        </w:rPr>
        <w:t xml:space="preserve"> 2012; </w:t>
      </w:r>
      <w:r w:rsidRPr="00F17C5F">
        <w:rPr>
          <w:rFonts w:ascii="Book Antiqua" w:eastAsia="宋体" w:hAnsi="Book Antiqua" w:cs="宋体"/>
          <w:b/>
          <w:bCs/>
          <w:color w:val="000000" w:themeColor="text1"/>
        </w:rPr>
        <w:t>31</w:t>
      </w:r>
      <w:r w:rsidRPr="00F17C5F">
        <w:rPr>
          <w:rFonts w:ascii="Book Antiqua" w:eastAsia="宋体" w:hAnsi="Book Antiqua" w:cs="宋体"/>
          <w:color w:val="000000" w:themeColor="text1"/>
        </w:rPr>
        <w:t>: 435-447 [PMID: 22296871 DOI: 10.1016/j.clnu.2011.12.011]</w:t>
      </w:r>
    </w:p>
    <w:p w14:paraId="14D91F97"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4 </w:t>
      </w:r>
      <w:r w:rsidRPr="00F17C5F">
        <w:rPr>
          <w:rFonts w:ascii="Book Antiqua" w:eastAsia="宋体" w:hAnsi="Book Antiqua" w:cs="宋体"/>
          <w:b/>
          <w:bCs/>
          <w:color w:val="000000" w:themeColor="text1"/>
        </w:rPr>
        <w:t>Heymsfield SB</w:t>
      </w:r>
      <w:r w:rsidRPr="00F17C5F">
        <w:rPr>
          <w:rFonts w:ascii="Book Antiqua" w:eastAsia="宋体" w:hAnsi="Book Antiqua" w:cs="宋体"/>
          <w:color w:val="000000" w:themeColor="text1"/>
        </w:rPr>
        <w:t xml:space="preserve">, Thomas D, Bosy-Westphal A, Shen W, Peterson CM, Müller MJ. Evolving concepts on adjusting human resting energy expenditure measurements for body size. </w:t>
      </w:r>
      <w:r w:rsidRPr="00F17C5F">
        <w:rPr>
          <w:rFonts w:ascii="Book Antiqua" w:eastAsia="宋体" w:hAnsi="Book Antiqua" w:cs="宋体"/>
          <w:i/>
          <w:iCs/>
          <w:color w:val="000000" w:themeColor="text1"/>
        </w:rPr>
        <w:t>Obes Rev</w:t>
      </w:r>
      <w:r w:rsidRPr="00F17C5F">
        <w:rPr>
          <w:rFonts w:ascii="Book Antiqua" w:eastAsia="宋体" w:hAnsi="Book Antiqua" w:cs="宋体"/>
          <w:color w:val="000000" w:themeColor="text1"/>
        </w:rPr>
        <w:t xml:space="preserve"> 2012; </w:t>
      </w:r>
      <w:r w:rsidRPr="00F17C5F">
        <w:rPr>
          <w:rFonts w:ascii="Book Antiqua" w:eastAsia="宋体" w:hAnsi="Book Antiqua" w:cs="宋体"/>
          <w:b/>
          <w:bCs/>
          <w:color w:val="000000" w:themeColor="text1"/>
        </w:rPr>
        <w:t>13</w:t>
      </w:r>
      <w:r w:rsidRPr="00F17C5F">
        <w:rPr>
          <w:rFonts w:ascii="Book Antiqua" w:eastAsia="宋体" w:hAnsi="Book Antiqua" w:cs="宋体"/>
          <w:color w:val="000000" w:themeColor="text1"/>
        </w:rPr>
        <w:t>: 1001-1014 [PMID: 22863371 DOI: 10.1111/j.1467-789X.2012.01019.x]</w:t>
      </w:r>
    </w:p>
    <w:p w14:paraId="689D94C8"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5 </w:t>
      </w:r>
      <w:r w:rsidRPr="00F17C5F">
        <w:rPr>
          <w:rFonts w:ascii="Book Antiqua" w:eastAsia="宋体" w:hAnsi="Book Antiqua" w:cs="宋体"/>
          <w:b/>
          <w:bCs/>
          <w:color w:val="000000" w:themeColor="text1"/>
        </w:rPr>
        <w:t>Jain R</w:t>
      </w:r>
      <w:r w:rsidRPr="00F17C5F">
        <w:rPr>
          <w:rFonts w:ascii="Book Antiqua" w:eastAsia="宋体" w:hAnsi="Book Antiqua" w:cs="宋体"/>
          <w:color w:val="000000" w:themeColor="text1"/>
        </w:rPr>
        <w:t xml:space="preserve">, Chung SM, Jain L, Khurana M, Lau SW, Lee JE, Vaidyanathan J, Zadezensky I, Choe S, Sahajwalla CG. Implications of obesity for drug therapy: limitations and challenges. </w:t>
      </w:r>
      <w:r w:rsidRPr="00F17C5F">
        <w:rPr>
          <w:rFonts w:ascii="Book Antiqua" w:eastAsia="宋体" w:hAnsi="Book Antiqua" w:cs="宋体"/>
          <w:i/>
          <w:iCs/>
          <w:color w:val="000000" w:themeColor="text1"/>
        </w:rPr>
        <w:t>Clin Pharmacol Ther</w:t>
      </w:r>
      <w:r w:rsidRPr="00F17C5F">
        <w:rPr>
          <w:rFonts w:ascii="Book Antiqua" w:eastAsia="宋体" w:hAnsi="Book Antiqua" w:cs="宋体"/>
          <w:color w:val="000000" w:themeColor="text1"/>
        </w:rPr>
        <w:t xml:space="preserve"> 2011; </w:t>
      </w:r>
      <w:r w:rsidRPr="00F17C5F">
        <w:rPr>
          <w:rFonts w:ascii="Book Antiqua" w:eastAsia="宋体" w:hAnsi="Book Antiqua" w:cs="宋体"/>
          <w:b/>
          <w:bCs/>
          <w:color w:val="000000" w:themeColor="text1"/>
        </w:rPr>
        <w:t>90</w:t>
      </w:r>
      <w:r w:rsidRPr="00F17C5F">
        <w:rPr>
          <w:rFonts w:ascii="Book Antiqua" w:eastAsia="宋体" w:hAnsi="Book Antiqua" w:cs="宋体"/>
          <w:color w:val="000000" w:themeColor="text1"/>
        </w:rPr>
        <w:t>: 77-89 [PMID: 21633345 DOI: 10.1038/clpt.2011.104]</w:t>
      </w:r>
    </w:p>
    <w:p w14:paraId="0061ADF4"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6 </w:t>
      </w:r>
      <w:r w:rsidRPr="00F17C5F">
        <w:rPr>
          <w:rFonts w:ascii="Book Antiqua" w:eastAsia="宋体" w:hAnsi="Book Antiqua" w:cs="宋体"/>
          <w:b/>
          <w:bCs/>
          <w:color w:val="000000" w:themeColor="text1"/>
        </w:rPr>
        <w:t>Heymsfield SB</w:t>
      </w:r>
      <w:r w:rsidRPr="00F17C5F">
        <w:rPr>
          <w:rFonts w:ascii="Book Antiqua" w:eastAsia="宋体" w:hAnsi="Book Antiqua" w:cs="宋体"/>
          <w:color w:val="000000" w:themeColor="text1"/>
        </w:rPr>
        <w:t xml:space="preserve">, Gonzalez MC, Shen W, Redman L, Thomas D. Weight loss composition is one-fourth fat-free mass: a critical review and critique of this widely cited rule. </w:t>
      </w:r>
      <w:r w:rsidRPr="00F17C5F">
        <w:rPr>
          <w:rFonts w:ascii="Book Antiqua" w:eastAsia="宋体" w:hAnsi="Book Antiqua" w:cs="宋体"/>
          <w:i/>
          <w:iCs/>
          <w:color w:val="000000" w:themeColor="text1"/>
        </w:rPr>
        <w:t>Obes Rev</w:t>
      </w:r>
      <w:r w:rsidRPr="00F17C5F">
        <w:rPr>
          <w:rFonts w:ascii="Book Antiqua" w:eastAsia="宋体" w:hAnsi="Book Antiqua" w:cs="宋体"/>
          <w:color w:val="000000" w:themeColor="text1"/>
        </w:rPr>
        <w:t xml:space="preserve"> 2014; </w:t>
      </w:r>
      <w:r w:rsidRPr="00F17C5F">
        <w:rPr>
          <w:rFonts w:ascii="Book Antiqua" w:eastAsia="宋体" w:hAnsi="Book Antiqua" w:cs="宋体"/>
          <w:b/>
          <w:bCs/>
          <w:color w:val="000000" w:themeColor="text1"/>
        </w:rPr>
        <w:t>15</w:t>
      </w:r>
      <w:r w:rsidRPr="00F17C5F">
        <w:rPr>
          <w:rFonts w:ascii="Book Antiqua" w:eastAsia="宋体" w:hAnsi="Book Antiqua" w:cs="宋体"/>
          <w:color w:val="000000" w:themeColor="text1"/>
        </w:rPr>
        <w:t>: 310-321 [PMID: 24447775 DOI: 10.1111/obr.12143]</w:t>
      </w:r>
    </w:p>
    <w:p w14:paraId="3E5B0F54"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7 </w:t>
      </w:r>
      <w:r w:rsidRPr="00F17C5F">
        <w:rPr>
          <w:rFonts w:ascii="Book Antiqua" w:eastAsia="宋体" w:hAnsi="Book Antiqua" w:cs="宋体"/>
          <w:b/>
          <w:bCs/>
          <w:color w:val="000000" w:themeColor="text1"/>
        </w:rPr>
        <w:t>Chechi K</w:t>
      </w:r>
      <w:r w:rsidRPr="00F17C5F">
        <w:rPr>
          <w:rFonts w:ascii="Book Antiqua" w:eastAsia="宋体" w:hAnsi="Book Antiqua" w:cs="宋体"/>
          <w:color w:val="000000" w:themeColor="text1"/>
        </w:rPr>
        <w:t xml:space="preserve">, Nedergaard J, Richard D. Brown adipose tissue as an anti-obesity tissue in humans. </w:t>
      </w:r>
      <w:r w:rsidRPr="00F17C5F">
        <w:rPr>
          <w:rFonts w:ascii="Book Antiqua" w:eastAsia="宋体" w:hAnsi="Book Antiqua" w:cs="宋体"/>
          <w:i/>
          <w:iCs/>
          <w:color w:val="000000" w:themeColor="text1"/>
        </w:rPr>
        <w:t>Obes Rev</w:t>
      </w:r>
      <w:r w:rsidRPr="00F17C5F">
        <w:rPr>
          <w:rFonts w:ascii="Book Antiqua" w:eastAsia="宋体" w:hAnsi="Book Antiqua" w:cs="宋体"/>
          <w:color w:val="000000" w:themeColor="text1"/>
        </w:rPr>
        <w:t xml:space="preserve"> 2014; </w:t>
      </w:r>
      <w:r w:rsidRPr="00F17C5F">
        <w:rPr>
          <w:rFonts w:ascii="Book Antiqua" w:eastAsia="宋体" w:hAnsi="Book Antiqua" w:cs="宋体"/>
          <w:b/>
          <w:bCs/>
          <w:color w:val="000000" w:themeColor="text1"/>
        </w:rPr>
        <w:t>15</w:t>
      </w:r>
      <w:r w:rsidRPr="00F17C5F">
        <w:rPr>
          <w:rFonts w:ascii="Book Antiqua" w:eastAsia="宋体" w:hAnsi="Book Antiqua" w:cs="宋体"/>
          <w:color w:val="000000" w:themeColor="text1"/>
        </w:rPr>
        <w:t>: 92-106 [PMID: 24165204 DOI: 10.1111/obr.12116]</w:t>
      </w:r>
    </w:p>
    <w:p w14:paraId="4667F15E"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8 </w:t>
      </w:r>
      <w:r w:rsidRPr="00F17C5F">
        <w:rPr>
          <w:rFonts w:ascii="Book Antiqua" w:eastAsia="宋体" w:hAnsi="Book Antiqua" w:cs="宋体"/>
          <w:b/>
          <w:bCs/>
          <w:color w:val="000000" w:themeColor="text1"/>
        </w:rPr>
        <w:t>Akinnusi ME</w:t>
      </w:r>
      <w:r w:rsidRPr="00F17C5F">
        <w:rPr>
          <w:rFonts w:ascii="Book Antiqua" w:eastAsia="宋体" w:hAnsi="Book Antiqua" w:cs="宋体"/>
          <w:color w:val="000000" w:themeColor="text1"/>
        </w:rPr>
        <w:t xml:space="preserve">, Pineda LA, El Solh AA. Effect of obesity on intensive care morbidity and mortality: a meta-analysis. </w:t>
      </w:r>
      <w:r w:rsidRPr="00F17C5F">
        <w:rPr>
          <w:rFonts w:ascii="Book Antiqua" w:eastAsia="宋体" w:hAnsi="Book Antiqua" w:cs="宋体"/>
          <w:i/>
          <w:iCs/>
          <w:color w:val="000000" w:themeColor="text1"/>
        </w:rPr>
        <w:t>Crit Care Med</w:t>
      </w:r>
      <w:r w:rsidRPr="00F17C5F">
        <w:rPr>
          <w:rFonts w:ascii="Book Antiqua" w:eastAsia="宋体" w:hAnsi="Book Antiqua" w:cs="宋体"/>
          <w:color w:val="000000" w:themeColor="text1"/>
        </w:rPr>
        <w:t xml:space="preserve"> 2008; </w:t>
      </w:r>
      <w:r w:rsidRPr="00F17C5F">
        <w:rPr>
          <w:rFonts w:ascii="Book Antiqua" w:eastAsia="宋体" w:hAnsi="Book Antiqua" w:cs="宋体"/>
          <w:b/>
          <w:bCs/>
          <w:color w:val="000000" w:themeColor="text1"/>
        </w:rPr>
        <w:t>36</w:t>
      </w:r>
      <w:r w:rsidRPr="00F17C5F">
        <w:rPr>
          <w:rFonts w:ascii="Book Antiqua" w:eastAsia="宋体" w:hAnsi="Book Antiqua" w:cs="宋体"/>
          <w:color w:val="000000" w:themeColor="text1"/>
        </w:rPr>
        <w:t>: 151-158 [PMID: 18007266 DOI: 10.1097/01.CCM.0000297885.60037.6E]</w:t>
      </w:r>
    </w:p>
    <w:p w14:paraId="1CA381EF"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9 </w:t>
      </w:r>
      <w:r w:rsidRPr="00F17C5F">
        <w:rPr>
          <w:rFonts w:ascii="Book Antiqua" w:eastAsia="宋体" w:hAnsi="Book Antiqua" w:cs="宋体"/>
          <w:b/>
          <w:bCs/>
          <w:color w:val="000000" w:themeColor="text1"/>
        </w:rPr>
        <w:t>Pickkers P</w:t>
      </w:r>
      <w:r w:rsidRPr="00F17C5F">
        <w:rPr>
          <w:rFonts w:ascii="Book Antiqua" w:eastAsia="宋体" w:hAnsi="Book Antiqua" w:cs="宋体"/>
          <w:color w:val="000000" w:themeColor="text1"/>
        </w:rPr>
        <w:t xml:space="preserve">, de Keizer N, Dusseljee J, Weerheijm D, van der Hoeven JG, Peek N. Body mass index is associated with hospital mortality in critically ill patients: an observational cohort study. </w:t>
      </w:r>
      <w:r w:rsidRPr="00F17C5F">
        <w:rPr>
          <w:rFonts w:ascii="Book Antiqua" w:eastAsia="宋体" w:hAnsi="Book Antiqua" w:cs="宋体"/>
          <w:i/>
          <w:iCs/>
          <w:color w:val="000000" w:themeColor="text1"/>
        </w:rPr>
        <w:t>Crit Care Med</w:t>
      </w:r>
      <w:r w:rsidRPr="00F17C5F">
        <w:rPr>
          <w:rFonts w:ascii="Book Antiqua" w:eastAsia="宋体" w:hAnsi="Book Antiqua" w:cs="宋体"/>
          <w:color w:val="000000" w:themeColor="text1"/>
        </w:rPr>
        <w:t xml:space="preserve"> 2013; </w:t>
      </w:r>
      <w:r w:rsidRPr="00F17C5F">
        <w:rPr>
          <w:rFonts w:ascii="Book Antiqua" w:eastAsia="宋体" w:hAnsi="Book Antiqua" w:cs="宋体"/>
          <w:b/>
          <w:bCs/>
          <w:color w:val="000000" w:themeColor="text1"/>
        </w:rPr>
        <w:t>41</w:t>
      </w:r>
      <w:r w:rsidRPr="00F17C5F">
        <w:rPr>
          <w:rFonts w:ascii="Book Antiqua" w:eastAsia="宋体" w:hAnsi="Book Antiqua" w:cs="宋体"/>
          <w:color w:val="000000" w:themeColor="text1"/>
        </w:rPr>
        <w:t>: 1878-1883 [PMID: 23685638 DOI: 10.1097/CCM.0b013e31828a2aa1]</w:t>
      </w:r>
    </w:p>
    <w:p w14:paraId="47BC7F0C"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10 </w:t>
      </w:r>
      <w:r w:rsidRPr="00F17C5F">
        <w:rPr>
          <w:rFonts w:ascii="Book Antiqua" w:eastAsia="宋体" w:hAnsi="Book Antiqua" w:cs="宋体"/>
          <w:b/>
          <w:bCs/>
          <w:color w:val="000000" w:themeColor="text1"/>
        </w:rPr>
        <w:t>Jensen GL</w:t>
      </w:r>
      <w:r w:rsidRPr="00F17C5F">
        <w:rPr>
          <w:rFonts w:ascii="Book Antiqua" w:eastAsia="宋体" w:hAnsi="Book Antiqua" w:cs="宋体"/>
          <w:color w:val="000000" w:themeColor="text1"/>
        </w:rPr>
        <w:t xml:space="preserve">, Friedmann JM, Henry DK, Skipper A, Beiler E, Porter C, Boyd-Kantoff D. Noncompliance with body weight measurement in tertiary care teaching hospitals. </w:t>
      </w:r>
      <w:r w:rsidRPr="00F17C5F">
        <w:rPr>
          <w:rFonts w:ascii="Book Antiqua" w:eastAsia="宋体" w:hAnsi="Book Antiqua" w:cs="宋体"/>
          <w:i/>
          <w:iCs/>
          <w:color w:val="000000" w:themeColor="text1"/>
        </w:rPr>
        <w:t>JPEN J Parenter Enteral Nutr</w:t>
      </w:r>
      <w:r w:rsidRPr="00F17C5F">
        <w:rPr>
          <w:rFonts w:ascii="Book Antiqua" w:eastAsia="宋体" w:hAnsi="Book Antiqua" w:cs="宋体"/>
          <w:color w:val="000000" w:themeColor="text1"/>
        </w:rPr>
        <w:t xml:space="preserve"> 2003; </w:t>
      </w:r>
      <w:r w:rsidRPr="00F17C5F">
        <w:rPr>
          <w:rFonts w:ascii="Book Antiqua" w:eastAsia="宋体" w:hAnsi="Book Antiqua" w:cs="宋体"/>
          <w:b/>
          <w:bCs/>
          <w:color w:val="000000" w:themeColor="text1"/>
        </w:rPr>
        <w:t>27</w:t>
      </w:r>
      <w:r w:rsidRPr="00F17C5F">
        <w:rPr>
          <w:rFonts w:ascii="Book Antiqua" w:eastAsia="宋体" w:hAnsi="Book Antiqua" w:cs="宋体"/>
          <w:color w:val="000000" w:themeColor="text1"/>
        </w:rPr>
        <w:t>: 89-90 [PMID: 12549605 DOI: 10.1177/014860710302700189]</w:t>
      </w:r>
    </w:p>
    <w:p w14:paraId="2562C54E"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11 </w:t>
      </w:r>
      <w:r w:rsidRPr="00F17C5F">
        <w:rPr>
          <w:rFonts w:ascii="Book Antiqua" w:eastAsia="宋体" w:hAnsi="Book Antiqua" w:cs="宋体"/>
          <w:b/>
          <w:bCs/>
          <w:color w:val="000000" w:themeColor="text1"/>
        </w:rPr>
        <w:t>Anastasio P</w:t>
      </w:r>
      <w:r w:rsidRPr="00F17C5F">
        <w:rPr>
          <w:rFonts w:ascii="Book Antiqua" w:eastAsia="宋体" w:hAnsi="Book Antiqua" w:cs="宋体"/>
          <w:color w:val="000000" w:themeColor="text1"/>
        </w:rPr>
        <w:t xml:space="preserve">, Spitali L, Frangiosa A, Molino D, Stellato D, Cirillo E, Pollastro RM, Capodicasa L, Sepe J, Federico P, Gaspare De Santo N. Glomerular filtration rate in severely overweight normotensive humans. </w:t>
      </w:r>
      <w:r w:rsidRPr="00F17C5F">
        <w:rPr>
          <w:rFonts w:ascii="Book Antiqua" w:eastAsia="宋体" w:hAnsi="Book Antiqua" w:cs="宋体"/>
          <w:i/>
          <w:iCs/>
          <w:color w:val="000000" w:themeColor="text1"/>
        </w:rPr>
        <w:t>Am J Kidney Dis</w:t>
      </w:r>
      <w:r w:rsidRPr="00F17C5F">
        <w:rPr>
          <w:rFonts w:ascii="Book Antiqua" w:eastAsia="宋体" w:hAnsi="Book Antiqua" w:cs="宋体"/>
          <w:color w:val="000000" w:themeColor="text1"/>
        </w:rPr>
        <w:t xml:space="preserve"> 2000; </w:t>
      </w:r>
      <w:r w:rsidRPr="00F17C5F">
        <w:rPr>
          <w:rFonts w:ascii="Book Antiqua" w:eastAsia="宋体" w:hAnsi="Book Antiqua" w:cs="宋体"/>
          <w:b/>
          <w:bCs/>
          <w:color w:val="000000" w:themeColor="text1"/>
        </w:rPr>
        <w:t>35</w:t>
      </w:r>
      <w:r w:rsidRPr="00F17C5F">
        <w:rPr>
          <w:rFonts w:ascii="Book Antiqua" w:eastAsia="宋体" w:hAnsi="Book Antiqua" w:cs="宋体"/>
          <w:color w:val="000000" w:themeColor="text1"/>
        </w:rPr>
        <w:t>: 1144-1148 [PMID: 10845829 DOI: 10.1016/S0272-6386(00)70052-7]</w:t>
      </w:r>
    </w:p>
    <w:p w14:paraId="593801EC"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12 </w:t>
      </w:r>
      <w:r w:rsidRPr="00F17C5F">
        <w:rPr>
          <w:rFonts w:ascii="Book Antiqua" w:eastAsia="宋体" w:hAnsi="Book Antiqua" w:cs="宋体"/>
          <w:b/>
          <w:bCs/>
          <w:color w:val="000000" w:themeColor="text1"/>
        </w:rPr>
        <w:t>Demirovic JA</w:t>
      </w:r>
      <w:r w:rsidRPr="00F17C5F">
        <w:rPr>
          <w:rFonts w:ascii="Book Antiqua" w:eastAsia="宋体" w:hAnsi="Book Antiqua" w:cs="宋体"/>
          <w:color w:val="000000" w:themeColor="text1"/>
        </w:rPr>
        <w:t xml:space="preserve">, Pai AB, Pai MP. Estimation of creatinine clearance in morbidly obese patients. </w:t>
      </w:r>
      <w:r w:rsidRPr="00F17C5F">
        <w:rPr>
          <w:rFonts w:ascii="Book Antiqua" w:eastAsia="宋体" w:hAnsi="Book Antiqua" w:cs="宋体"/>
          <w:i/>
          <w:iCs/>
          <w:color w:val="000000" w:themeColor="text1"/>
        </w:rPr>
        <w:t>Am J Health Syst Pharm</w:t>
      </w:r>
      <w:r w:rsidRPr="00F17C5F">
        <w:rPr>
          <w:rFonts w:ascii="Book Antiqua" w:eastAsia="宋体" w:hAnsi="Book Antiqua" w:cs="宋体"/>
          <w:color w:val="000000" w:themeColor="text1"/>
        </w:rPr>
        <w:t xml:space="preserve"> 2009; </w:t>
      </w:r>
      <w:r w:rsidRPr="00F17C5F">
        <w:rPr>
          <w:rFonts w:ascii="Book Antiqua" w:eastAsia="宋体" w:hAnsi="Book Antiqua" w:cs="宋体"/>
          <w:b/>
          <w:bCs/>
          <w:color w:val="000000" w:themeColor="text1"/>
        </w:rPr>
        <w:t>66</w:t>
      </w:r>
      <w:r w:rsidRPr="00F17C5F">
        <w:rPr>
          <w:rFonts w:ascii="Book Antiqua" w:eastAsia="宋体" w:hAnsi="Book Antiqua" w:cs="宋体"/>
          <w:color w:val="000000" w:themeColor="text1"/>
        </w:rPr>
        <w:t>: 642-648 [PMID: 19299371 DOI: 10.2146/ajhp080200]</w:t>
      </w:r>
    </w:p>
    <w:p w14:paraId="54AEAA9A"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13 </w:t>
      </w:r>
      <w:r w:rsidRPr="00F17C5F">
        <w:rPr>
          <w:rFonts w:ascii="Book Antiqua" w:eastAsia="宋体" w:hAnsi="Book Antiqua" w:cs="宋体"/>
          <w:b/>
          <w:bCs/>
          <w:color w:val="000000" w:themeColor="text1"/>
        </w:rPr>
        <w:t>Udy AA</w:t>
      </w:r>
      <w:r w:rsidRPr="00F17C5F">
        <w:rPr>
          <w:rFonts w:ascii="Book Antiqua" w:eastAsia="宋体" w:hAnsi="Book Antiqua" w:cs="宋体"/>
          <w:color w:val="000000" w:themeColor="text1"/>
        </w:rPr>
        <w:t xml:space="preserve">, Baptista JP, Lim NL, Joynt GM, Jarrett P, Wockner L, Boots RJ, Lipman J. Augmented renal clearance in the ICU: results of a multicenter observational study of renal function in critically ill patients with normal plasma creatinine concentrations*. </w:t>
      </w:r>
      <w:r w:rsidRPr="00F17C5F">
        <w:rPr>
          <w:rFonts w:ascii="Book Antiqua" w:eastAsia="宋体" w:hAnsi="Book Antiqua" w:cs="宋体"/>
          <w:i/>
          <w:iCs/>
          <w:color w:val="000000" w:themeColor="text1"/>
        </w:rPr>
        <w:t>Crit Care Med</w:t>
      </w:r>
      <w:r w:rsidRPr="00F17C5F">
        <w:rPr>
          <w:rFonts w:ascii="Book Antiqua" w:eastAsia="宋体" w:hAnsi="Book Antiqua" w:cs="宋体"/>
          <w:color w:val="000000" w:themeColor="text1"/>
        </w:rPr>
        <w:t xml:space="preserve"> 2014; </w:t>
      </w:r>
      <w:r w:rsidRPr="00F17C5F">
        <w:rPr>
          <w:rFonts w:ascii="Book Antiqua" w:eastAsia="宋体" w:hAnsi="Book Antiqua" w:cs="宋体"/>
          <w:b/>
          <w:bCs/>
          <w:color w:val="000000" w:themeColor="text1"/>
        </w:rPr>
        <w:t>42</w:t>
      </w:r>
      <w:r w:rsidRPr="00F17C5F">
        <w:rPr>
          <w:rFonts w:ascii="Book Antiqua" w:eastAsia="宋体" w:hAnsi="Book Antiqua" w:cs="宋体"/>
          <w:color w:val="000000" w:themeColor="text1"/>
        </w:rPr>
        <w:t>: 520-527 [PMID: 24201175 DOI: 10.1097/CCM.0000000000000029]</w:t>
      </w:r>
    </w:p>
    <w:p w14:paraId="4BD3B70D"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14 </w:t>
      </w:r>
      <w:r w:rsidRPr="00F17C5F">
        <w:rPr>
          <w:rFonts w:ascii="Book Antiqua" w:eastAsia="宋体" w:hAnsi="Book Antiqua" w:cs="宋体"/>
          <w:b/>
          <w:bCs/>
          <w:color w:val="000000" w:themeColor="text1"/>
        </w:rPr>
        <w:t>Jacques KA</w:t>
      </w:r>
      <w:r w:rsidRPr="00F17C5F">
        <w:rPr>
          <w:rFonts w:ascii="Book Antiqua" w:eastAsia="宋体" w:hAnsi="Book Antiqua" w:cs="宋体"/>
          <w:color w:val="000000" w:themeColor="text1"/>
        </w:rPr>
        <w:t xml:space="preserve">, Erstad BL. Availability of information for dosing injectable medications in underweight or obese patients. </w:t>
      </w:r>
      <w:r w:rsidRPr="00F17C5F">
        <w:rPr>
          <w:rFonts w:ascii="Book Antiqua" w:eastAsia="宋体" w:hAnsi="Book Antiqua" w:cs="宋体"/>
          <w:i/>
          <w:iCs/>
          <w:color w:val="000000" w:themeColor="text1"/>
        </w:rPr>
        <w:t>Am J Health Syst Pharm</w:t>
      </w:r>
      <w:r w:rsidRPr="00F17C5F">
        <w:rPr>
          <w:rFonts w:ascii="Book Antiqua" w:eastAsia="宋体" w:hAnsi="Book Antiqua" w:cs="宋体"/>
          <w:color w:val="000000" w:themeColor="text1"/>
        </w:rPr>
        <w:t xml:space="preserve"> 2010; </w:t>
      </w:r>
      <w:r w:rsidRPr="00F17C5F">
        <w:rPr>
          <w:rFonts w:ascii="Book Antiqua" w:eastAsia="宋体" w:hAnsi="Book Antiqua" w:cs="宋体"/>
          <w:b/>
          <w:bCs/>
          <w:color w:val="000000" w:themeColor="text1"/>
        </w:rPr>
        <w:t>67</w:t>
      </w:r>
      <w:r w:rsidRPr="00F17C5F">
        <w:rPr>
          <w:rFonts w:ascii="Book Antiqua" w:eastAsia="宋体" w:hAnsi="Book Antiqua" w:cs="宋体"/>
          <w:color w:val="000000" w:themeColor="text1"/>
        </w:rPr>
        <w:t>: 1948-1950 [PMID: 21048212 DOI: 10.2146/ajhp100226]</w:t>
      </w:r>
    </w:p>
    <w:p w14:paraId="14225726" w14:textId="2A47E209" w:rsidR="0042752D" w:rsidRPr="00F17C5F" w:rsidRDefault="00444E2F" w:rsidP="00F17C5F">
      <w:pPr>
        <w:spacing w:after="0" w:line="360" w:lineRule="auto"/>
        <w:jc w:val="both"/>
        <w:rPr>
          <w:rFonts w:ascii="Book Antiqua" w:eastAsia="宋体" w:hAnsi="Book Antiqua" w:cs="宋体"/>
          <w:color w:val="000000" w:themeColor="text1"/>
          <w:lang w:eastAsia="zh-CN"/>
        </w:rPr>
      </w:pPr>
      <w:r w:rsidRPr="00F17C5F">
        <w:rPr>
          <w:rFonts w:ascii="Book Antiqua" w:eastAsia="宋体" w:hAnsi="Book Antiqua" w:cs="宋体"/>
          <w:color w:val="000000" w:themeColor="text1"/>
        </w:rPr>
        <w:t xml:space="preserve">15 </w:t>
      </w:r>
      <w:r w:rsidR="0042752D" w:rsidRPr="00F17C5F">
        <w:rPr>
          <w:rFonts w:ascii="Book Antiqua" w:eastAsia="宋体" w:hAnsi="Book Antiqua" w:cs="宋体"/>
          <w:b/>
          <w:color w:val="000000" w:themeColor="text1"/>
        </w:rPr>
        <w:t>Erstad BL.</w:t>
      </w:r>
      <w:r w:rsidR="0042752D" w:rsidRPr="00F17C5F">
        <w:rPr>
          <w:rFonts w:ascii="Book Antiqua" w:eastAsia="宋体" w:hAnsi="Book Antiqua" w:cs="宋体"/>
          <w:color w:val="000000" w:themeColor="text1"/>
        </w:rPr>
        <w:t xml:space="preserve"> Drug Dosing in the</w:t>
      </w:r>
      <w:r w:rsidRPr="00F17C5F">
        <w:rPr>
          <w:rFonts w:ascii="Book Antiqua" w:eastAsia="宋体" w:hAnsi="Book Antiqua" w:cs="宋体"/>
          <w:color w:val="000000" w:themeColor="text1"/>
        </w:rPr>
        <w:t xml:space="preserve"> Critically Ill Obese Patient. </w:t>
      </w:r>
      <w:r w:rsidR="0042752D" w:rsidRPr="00F17C5F">
        <w:rPr>
          <w:rFonts w:ascii="Book Antiqua" w:eastAsia="宋体" w:hAnsi="Book Antiqua" w:cs="宋体"/>
          <w:color w:val="000000" w:themeColor="text1"/>
        </w:rPr>
        <w:t xml:space="preserve"> El Solh AA, ed</w:t>
      </w:r>
      <w:r w:rsidRPr="00F17C5F">
        <w:rPr>
          <w:rFonts w:ascii="Book Antiqua" w:eastAsia="宋体" w:hAnsi="Book Antiqua" w:cs="宋体"/>
          <w:color w:val="000000" w:themeColor="text1"/>
          <w:lang w:eastAsia="zh-CN"/>
        </w:rPr>
        <w:t>itor</w:t>
      </w:r>
      <w:r w:rsidR="0042752D" w:rsidRPr="00F17C5F">
        <w:rPr>
          <w:rFonts w:ascii="Book Antiqua" w:eastAsia="宋体" w:hAnsi="Book Antiqua" w:cs="宋体"/>
          <w:color w:val="000000" w:themeColor="text1"/>
        </w:rPr>
        <w:t xml:space="preserve">. Critical Care Management of the Obese Patient. </w:t>
      </w:r>
      <w:r w:rsidRPr="00F17C5F">
        <w:rPr>
          <w:rFonts w:ascii="Book Antiqua" w:eastAsia="宋体" w:hAnsi="Book Antiqua" w:cs="宋体"/>
          <w:color w:val="000000" w:themeColor="text1"/>
        </w:rPr>
        <w:t>Hoboken, NJ</w:t>
      </w:r>
      <w:r w:rsidRPr="00F17C5F">
        <w:rPr>
          <w:rFonts w:ascii="Book Antiqua" w:eastAsia="宋体" w:hAnsi="Book Antiqua" w:cs="宋体"/>
          <w:color w:val="000000" w:themeColor="text1"/>
          <w:lang w:eastAsia="zh-CN"/>
        </w:rPr>
        <w:t xml:space="preserve">: </w:t>
      </w:r>
      <w:r w:rsidR="0042752D" w:rsidRPr="00F17C5F">
        <w:rPr>
          <w:rFonts w:ascii="Book Antiqua" w:eastAsia="宋体" w:hAnsi="Book Antiqua" w:cs="宋体"/>
          <w:color w:val="000000" w:themeColor="text1"/>
        </w:rPr>
        <w:t xml:space="preserve">John Wiley &amp; Sons, Ltd, </w:t>
      </w:r>
      <w:r w:rsidRPr="00F17C5F">
        <w:rPr>
          <w:rFonts w:ascii="Book Antiqua" w:eastAsia="宋体" w:hAnsi="Book Antiqua" w:cs="宋体"/>
          <w:color w:val="000000" w:themeColor="text1"/>
        </w:rPr>
        <w:t>2012: 197-207</w:t>
      </w:r>
      <w:r w:rsidR="0042752D" w:rsidRPr="00F17C5F">
        <w:rPr>
          <w:rFonts w:ascii="Book Antiqua" w:eastAsia="宋体" w:hAnsi="Book Antiqua" w:cs="宋体"/>
          <w:color w:val="000000" w:themeColor="text1"/>
        </w:rPr>
        <w:t xml:space="preserve"> </w:t>
      </w:r>
      <w:r w:rsidRPr="00F17C5F">
        <w:rPr>
          <w:rFonts w:ascii="Book Antiqua" w:eastAsia="宋体" w:hAnsi="Book Antiqua" w:cs="宋体"/>
          <w:color w:val="000000" w:themeColor="text1"/>
          <w:lang w:eastAsia="zh-CN"/>
        </w:rPr>
        <w:t>[</w:t>
      </w:r>
      <w:r w:rsidR="0042752D" w:rsidRPr="00F17C5F">
        <w:rPr>
          <w:rFonts w:ascii="Book Antiqua" w:eastAsia="宋体" w:hAnsi="Book Antiqua" w:cs="宋体"/>
          <w:color w:val="000000" w:themeColor="text1"/>
        </w:rPr>
        <w:t>DOI: 10.1002/9781119962083.ch22</w:t>
      </w:r>
      <w:r w:rsidRPr="00F17C5F">
        <w:rPr>
          <w:rFonts w:ascii="Book Antiqua" w:eastAsia="宋体" w:hAnsi="Book Antiqua" w:cs="宋体"/>
          <w:color w:val="000000" w:themeColor="text1"/>
          <w:lang w:eastAsia="zh-CN"/>
        </w:rPr>
        <w:t>]</w:t>
      </w:r>
    </w:p>
    <w:p w14:paraId="04761617"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16 </w:t>
      </w:r>
      <w:r w:rsidRPr="00F17C5F">
        <w:rPr>
          <w:rFonts w:ascii="Book Antiqua" w:eastAsia="宋体" w:hAnsi="Book Antiqua" w:cs="宋体"/>
          <w:b/>
          <w:bCs/>
          <w:color w:val="000000" w:themeColor="text1"/>
        </w:rPr>
        <w:t>Brown DL</w:t>
      </w:r>
      <w:r w:rsidRPr="00F17C5F">
        <w:rPr>
          <w:rFonts w:ascii="Book Antiqua" w:eastAsia="宋体" w:hAnsi="Book Antiqua" w:cs="宋体"/>
          <w:color w:val="000000" w:themeColor="text1"/>
        </w:rPr>
        <w:t xml:space="preserve">, Masselink AJ, Lalla CD. Functional range of creatinine clearance for renal drug dosing: a practical solution to the controversy of which weight to use in the Cockcroft-Gault equation. </w:t>
      </w:r>
      <w:r w:rsidRPr="00F17C5F">
        <w:rPr>
          <w:rFonts w:ascii="Book Antiqua" w:eastAsia="宋体" w:hAnsi="Book Antiqua" w:cs="宋体"/>
          <w:i/>
          <w:iCs/>
          <w:color w:val="000000" w:themeColor="text1"/>
        </w:rPr>
        <w:t>Ann Pharmacother</w:t>
      </w:r>
      <w:r w:rsidRPr="00F17C5F">
        <w:rPr>
          <w:rFonts w:ascii="Book Antiqua" w:eastAsia="宋体" w:hAnsi="Book Antiqua" w:cs="宋体"/>
          <w:color w:val="000000" w:themeColor="text1"/>
        </w:rPr>
        <w:t xml:space="preserve"> 2013; </w:t>
      </w:r>
      <w:r w:rsidRPr="00F17C5F">
        <w:rPr>
          <w:rFonts w:ascii="Book Antiqua" w:eastAsia="宋体" w:hAnsi="Book Antiqua" w:cs="宋体"/>
          <w:b/>
          <w:bCs/>
          <w:color w:val="000000" w:themeColor="text1"/>
        </w:rPr>
        <w:t>47</w:t>
      </w:r>
      <w:r w:rsidRPr="00F17C5F">
        <w:rPr>
          <w:rFonts w:ascii="Book Antiqua" w:eastAsia="宋体" w:hAnsi="Book Antiqua" w:cs="宋体"/>
          <w:color w:val="000000" w:themeColor="text1"/>
        </w:rPr>
        <w:t>: 1039-1044 [PMID: 23757387 DOI: 10.1345/aph.1S176]</w:t>
      </w:r>
    </w:p>
    <w:p w14:paraId="413A1632" w14:textId="44883AA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17 </w:t>
      </w:r>
      <w:r w:rsidRPr="00F17C5F">
        <w:rPr>
          <w:rFonts w:ascii="Book Antiqua" w:eastAsia="宋体" w:hAnsi="Book Antiqua" w:cs="宋体"/>
          <w:b/>
          <w:bCs/>
          <w:color w:val="000000" w:themeColor="text1"/>
        </w:rPr>
        <w:t>Feldschuh J</w:t>
      </w:r>
      <w:r w:rsidRPr="00F17C5F">
        <w:rPr>
          <w:rFonts w:ascii="Book Antiqua" w:eastAsia="宋体" w:hAnsi="Book Antiqua" w:cs="宋体"/>
          <w:color w:val="000000" w:themeColor="text1"/>
        </w:rPr>
        <w:t xml:space="preserve">, Enson Y. Prediction of the normal blood volume. Relation of blood volume to body habitus. </w:t>
      </w:r>
      <w:r w:rsidRPr="00F17C5F">
        <w:rPr>
          <w:rFonts w:ascii="Book Antiqua" w:eastAsia="宋体" w:hAnsi="Book Antiqua" w:cs="宋体"/>
          <w:i/>
          <w:iCs/>
          <w:color w:val="000000" w:themeColor="text1"/>
        </w:rPr>
        <w:t>Circulation</w:t>
      </w:r>
      <w:r w:rsidRPr="00F17C5F">
        <w:rPr>
          <w:rFonts w:ascii="Book Antiqua" w:eastAsia="宋体" w:hAnsi="Book Antiqua" w:cs="宋体"/>
          <w:color w:val="000000" w:themeColor="text1"/>
        </w:rPr>
        <w:t xml:space="preserve"> 1977; </w:t>
      </w:r>
      <w:r w:rsidRPr="00F17C5F">
        <w:rPr>
          <w:rFonts w:ascii="Book Antiqua" w:eastAsia="宋体" w:hAnsi="Book Antiqua" w:cs="宋体"/>
          <w:b/>
          <w:bCs/>
          <w:color w:val="000000" w:themeColor="text1"/>
        </w:rPr>
        <w:t>56</w:t>
      </w:r>
      <w:r w:rsidRPr="00F17C5F">
        <w:rPr>
          <w:rFonts w:ascii="Book Antiqua" w:eastAsia="宋体" w:hAnsi="Book Antiqua" w:cs="宋体"/>
          <w:color w:val="000000" w:themeColor="text1"/>
        </w:rPr>
        <w:t>: 605-612 [PMID: 902387]</w:t>
      </w:r>
    </w:p>
    <w:p w14:paraId="6C724B96"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18 </w:t>
      </w:r>
      <w:r w:rsidRPr="00F17C5F">
        <w:rPr>
          <w:rFonts w:ascii="Book Antiqua" w:eastAsia="宋体" w:hAnsi="Book Antiqua" w:cs="宋体"/>
          <w:b/>
          <w:bCs/>
          <w:color w:val="000000" w:themeColor="text1"/>
        </w:rPr>
        <w:t>Lemmens HJ</w:t>
      </w:r>
      <w:r w:rsidRPr="00F17C5F">
        <w:rPr>
          <w:rFonts w:ascii="Book Antiqua" w:eastAsia="宋体" w:hAnsi="Book Antiqua" w:cs="宋体"/>
          <w:color w:val="000000" w:themeColor="text1"/>
        </w:rPr>
        <w:t xml:space="preserve">, Bernstein DP, Brodsky JB. Estimating blood volume in obese and morbidly obese patients. </w:t>
      </w:r>
      <w:r w:rsidRPr="00F17C5F">
        <w:rPr>
          <w:rFonts w:ascii="Book Antiqua" w:eastAsia="宋体" w:hAnsi="Book Antiqua" w:cs="宋体"/>
          <w:i/>
          <w:iCs/>
          <w:color w:val="000000" w:themeColor="text1"/>
        </w:rPr>
        <w:t>Obes Surg</w:t>
      </w:r>
      <w:r w:rsidRPr="00F17C5F">
        <w:rPr>
          <w:rFonts w:ascii="Book Antiqua" w:eastAsia="宋体" w:hAnsi="Book Antiqua" w:cs="宋体"/>
          <w:color w:val="000000" w:themeColor="text1"/>
        </w:rPr>
        <w:t xml:space="preserve"> 2006; </w:t>
      </w:r>
      <w:r w:rsidRPr="00F17C5F">
        <w:rPr>
          <w:rFonts w:ascii="Book Antiqua" w:eastAsia="宋体" w:hAnsi="Book Antiqua" w:cs="宋体"/>
          <w:b/>
          <w:bCs/>
          <w:color w:val="000000" w:themeColor="text1"/>
        </w:rPr>
        <w:t>16</w:t>
      </w:r>
      <w:r w:rsidRPr="00F17C5F">
        <w:rPr>
          <w:rFonts w:ascii="Book Antiqua" w:eastAsia="宋体" w:hAnsi="Book Antiqua" w:cs="宋体"/>
          <w:color w:val="000000" w:themeColor="text1"/>
        </w:rPr>
        <w:t>: 773-776 [PMID: 16756741 DOI: 10.1381/096089206777346673]</w:t>
      </w:r>
    </w:p>
    <w:p w14:paraId="77CAA802"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19 </w:t>
      </w:r>
      <w:r w:rsidRPr="00F17C5F">
        <w:rPr>
          <w:rFonts w:ascii="Book Antiqua" w:eastAsia="宋体" w:hAnsi="Book Antiqua" w:cs="宋体"/>
          <w:b/>
          <w:bCs/>
          <w:color w:val="000000" w:themeColor="text1"/>
        </w:rPr>
        <w:t>Osterkamp LK</w:t>
      </w:r>
      <w:r w:rsidRPr="00F17C5F">
        <w:rPr>
          <w:rFonts w:ascii="Book Antiqua" w:eastAsia="宋体" w:hAnsi="Book Antiqua" w:cs="宋体"/>
          <w:color w:val="000000" w:themeColor="text1"/>
        </w:rPr>
        <w:t xml:space="preserve">. Current perspective on assessment of human body proportions of relevance to amputees. </w:t>
      </w:r>
      <w:r w:rsidRPr="00F17C5F">
        <w:rPr>
          <w:rFonts w:ascii="Book Antiqua" w:eastAsia="宋体" w:hAnsi="Book Antiqua" w:cs="宋体"/>
          <w:i/>
          <w:iCs/>
          <w:color w:val="000000" w:themeColor="text1"/>
        </w:rPr>
        <w:t>J Am Diet Assoc</w:t>
      </w:r>
      <w:r w:rsidRPr="00F17C5F">
        <w:rPr>
          <w:rFonts w:ascii="Book Antiqua" w:eastAsia="宋体" w:hAnsi="Book Antiqua" w:cs="宋体"/>
          <w:color w:val="000000" w:themeColor="text1"/>
        </w:rPr>
        <w:t xml:space="preserve"> 1995; </w:t>
      </w:r>
      <w:r w:rsidRPr="00F17C5F">
        <w:rPr>
          <w:rFonts w:ascii="Book Antiqua" w:eastAsia="宋体" w:hAnsi="Book Antiqua" w:cs="宋体"/>
          <w:b/>
          <w:bCs/>
          <w:color w:val="000000" w:themeColor="text1"/>
        </w:rPr>
        <w:t>95</w:t>
      </w:r>
      <w:r w:rsidRPr="00F17C5F">
        <w:rPr>
          <w:rFonts w:ascii="Book Antiqua" w:eastAsia="宋体" w:hAnsi="Book Antiqua" w:cs="宋体"/>
          <w:color w:val="000000" w:themeColor="text1"/>
        </w:rPr>
        <w:t>: 215-218 [PMID: 7852688 DOI: 10.1016/S0002-8223(95)00050-X]</w:t>
      </w:r>
    </w:p>
    <w:p w14:paraId="349C51EF"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20 </w:t>
      </w:r>
      <w:r w:rsidRPr="00F17C5F">
        <w:rPr>
          <w:rFonts w:ascii="Book Antiqua" w:eastAsia="宋体" w:hAnsi="Book Antiqua" w:cs="宋体"/>
          <w:b/>
          <w:bCs/>
          <w:color w:val="000000" w:themeColor="text1"/>
        </w:rPr>
        <w:t>Pollock W</w:t>
      </w:r>
      <w:r w:rsidRPr="00F17C5F">
        <w:rPr>
          <w:rFonts w:ascii="Book Antiqua" w:eastAsia="宋体" w:hAnsi="Book Antiqua" w:cs="宋体"/>
          <w:color w:val="000000" w:themeColor="text1"/>
        </w:rPr>
        <w:t xml:space="preserve">, Rose L, Dennis CL. Pregnant and postpartum admissions to the intensive care unit: a systematic review. </w:t>
      </w:r>
      <w:r w:rsidRPr="00F17C5F">
        <w:rPr>
          <w:rFonts w:ascii="Book Antiqua" w:eastAsia="宋体" w:hAnsi="Book Antiqua" w:cs="宋体"/>
          <w:i/>
          <w:iCs/>
          <w:color w:val="000000" w:themeColor="text1"/>
        </w:rPr>
        <w:t>Intensive Care Med</w:t>
      </w:r>
      <w:r w:rsidRPr="00F17C5F">
        <w:rPr>
          <w:rFonts w:ascii="Book Antiqua" w:eastAsia="宋体" w:hAnsi="Book Antiqua" w:cs="宋体"/>
          <w:color w:val="000000" w:themeColor="text1"/>
        </w:rPr>
        <w:t xml:space="preserve"> 2010; </w:t>
      </w:r>
      <w:r w:rsidRPr="00F17C5F">
        <w:rPr>
          <w:rFonts w:ascii="Book Antiqua" w:eastAsia="宋体" w:hAnsi="Book Antiqua" w:cs="宋体"/>
          <w:b/>
          <w:bCs/>
          <w:color w:val="000000" w:themeColor="text1"/>
        </w:rPr>
        <w:t>36</w:t>
      </w:r>
      <w:r w:rsidRPr="00F17C5F">
        <w:rPr>
          <w:rFonts w:ascii="Book Antiqua" w:eastAsia="宋体" w:hAnsi="Book Antiqua" w:cs="宋体"/>
          <w:color w:val="000000" w:themeColor="text1"/>
        </w:rPr>
        <w:t>: 1465-1474 [PMID: 20631987 DOI: 10.1007/s00134-010-1951-0]</w:t>
      </w:r>
    </w:p>
    <w:p w14:paraId="6C000561"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21 </w:t>
      </w:r>
      <w:r w:rsidRPr="00F17C5F">
        <w:rPr>
          <w:rFonts w:ascii="Book Antiqua" w:eastAsia="宋体" w:hAnsi="Book Antiqua" w:cs="宋体"/>
          <w:b/>
          <w:bCs/>
          <w:color w:val="000000" w:themeColor="text1"/>
        </w:rPr>
        <w:t>Brown S</w:t>
      </w:r>
      <w:r w:rsidRPr="00F17C5F">
        <w:rPr>
          <w:rFonts w:ascii="Book Antiqua" w:eastAsia="宋体" w:hAnsi="Book Antiqua" w:cs="宋体"/>
          <w:color w:val="000000" w:themeColor="text1"/>
        </w:rPr>
        <w:t xml:space="preserve">, Mozurkewich E. Trauma during pregnancy. </w:t>
      </w:r>
      <w:r w:rsidRPr="00F17C5F">
        <w:rPr>
          <w:rFonts w:ascii="Book Antiqua" w:eastAsia="宋体" w:hAnsi="Book Antiqua" w:cs="宋体"/>
          <w:i/>
          <w:iCs/>
          <w:color w:val="000000" w:themeColor="text1"/>
        </w:rPr>
        <w:t>Obstet Gynecol Clin North Am</w:t>
      </w:r>
      <w:r w:rsidRPr="00F17C5F">
        <w:rPr>
          <w:rFonts w:ascii="Book Antiqua" w:eastAsia="宋体" w:hAnsi="Book Antiqua" w:cs="宋体"/>
          <w:color w:val="000000" w:themeColor="text1"/>
        </w:rPr>
        <w:t xml:space="preserve"> 2013; </w:t>
      </w:r>
      <w:r w:rsidRPr="00F17C5F">
        <w:rPr>
          <w:rFonts w:ascii="Book Antiqua" w:eastAsia="宋体" w:hAnsi="Book Antiqua" w:cs="宋体"/>
          <w:b/>
          <w:bCs/>
          <w:color w:val="000000" w:themeColor="text1"/>
        </w:rPr>
        <w:t>40</w:t>
      </w:r>
      <w:r w:rsidRPr="00F17C5F">
        <w:rPr>
          <w:rFonts w:ascii="Book Antiqua" w:eastAsia="宋体" w:hAnsi="Book Antiqua" w:cs="宋体"/>
          <w:color w:val="000000" w:themeColor="text1"/>
        </w:rPr>
        <w:t>: 47-57 [PMID: 23466136 DOI: 10.1016/j.ogc.2012.11.004]</w:t>
      </w:r>
    </w:p>
    <w:p w14:paraId="57DB45FC"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22 </w:t>
      </w:r>
      <w:r w:rsidRPr="00F17C5F">
        <w:rPr>
          <w:rFonts w:ascii="Book Antiqua" w:eastAsia="宋体" w:hAnsi="Book Antiqua" w:cs="宋体"/>
          <w:b/>
          <w:bCs/>
          <w:color w:val="000000" w:themeColor="text1"/>
        </w:rPr>
        <w:t>Ramoz LL</w:t>
      </w:r>
      <w:r w:rsidRPr="00F17C5F">
        <w:rPr>
          <w:rFonts w:ascii="Book Antiqua" w:eastAsia="宋体" w:hAnsi="Book Antiqua" w:cs="宋体"/>
          <w:color w:val="000000" w:themeColor="text1"/>
        </w:rPr>
        <w:t xml:space="preserve">, Patel-Shori NM. Recent changes in pregnancy and lactation labeling: retirement of risk categories. </w:t>
      </w:r>
      <w:r w:rsidRPr="00F17C5F">
        <w:rPr>
          <w:rFonts w:ascii="Book Antiqua" w:eastAsia="宋体" w:hAnsi="Book Antiqua" w:cs="宋体"/>
          <w:i/>
          <w:iCs/>
          <w:color w:val="000000" w:themeColor="text1"/>
        </w:rPr>
        <w:t>Pharmacotherapy</w:t>
      </w:r>
      <w:r w:rsidRPr="00F17C5F">
        <w:rPr>
          <w:rFonts w:ascii="Book Antiqua" w:eastAsia="宋体" w:hAnsi="Book Antiqua" w:cs="宋体"/>
          <w:color w:val="000000" w:themeColor="text1"/>
        </w:rPr>
        <w:t xml:space="preserve"> 2014; </w:t>
      </w:r>
      <w:r w:rsidRPr="00F17C5F">
        <w:rPr>
          <w:rFonts w:ascii="Book Antiqua" w:eastAsia="宋体" w:hAnsi="Book Antiqua" w:cs="宋体"/>
          <w:b/>
          <w:bCs/>
          <w:color w:val="000000" w:themeColor="text1"/>
        </w:rPr>
        <w:t>34</w:t>
      </w:r>
      <w:r w:rsidRPr="00F17C5F">
        <w:rPr>
          <w:rFonts w:ascii="Book Antiqua" w:eastAsia="宋体" w:hAnsi="Book Antiqua" w:cs="宋体"/>
          <w:color w:val="000000" w:themeColor="text1"/>
        </w:rPr>
        <w:t>: 389-395 [PMID: 24390829 DOI: 10.1002/phar.1385]</w:t>
      </w:r>
    </w:p>
    <w:p w14:paraId="1218B608" w14:textId="55221102" w:rsidR="0042752D" w:rsidRPr="00F17C5F" w:rsidRDefault="00444E2F" w:rsidP="00F17C5F">
      <w:pPr>
        <w:spacing w:after="0" w:line="360" w:lineRule="auto"/>
        <w:jc w:val="both"/>
        <w:rPr>
          <w:rFonts w:ascii="Book Antiqua" w:eastAsia="宋体" w:hAnsi="Book Antiqua" w:cs="宋体"/>
          <w:color w:val="000000" w:themeColor="text1"/>
          <w:lang w:eastAsia="zh-CN"/>
        </w:rPr>
      </w:pPr>
      <w:r w:rsidRPr="00F17C5F">
        <w:rPr>
          <w:rFonts w:ascii="Book Antiqua" w:eastAsia="宋体" w:hAnsi="Book Antiqua" w:cs="宋体"/>
          <w:color w:val="000000" w:themeColor="text1"/>
        </w:rPr>
        <w:t>23</w:t>
      </w:r>
      <w:r w:rsidRPr="00F17C5F">
        <w:rPr>
          <w:rFonts w:ascii="Book Antiqua" w:eastAsia="宋体" w:hAnsi="Book Antiqua" w:cs="宋体"/>
          <w:b/>
          <w:color w:val="000000" w:themeColor="text1"/>
          <w:lang w:eastAsia="zh-CN"/>
        </w:rPr>
        <w:t xml:space="preserve"> </w:t>
      </w:r>
      <w:r w:rsidR="0042752D" w:rsidRPr="00F17C5F">
        <w:rPr>
          <w:rFonts w:ascii="Book Antiqua" w:eastAsia="宋体" w:hAnsi="Book Antiqua" w:cs="宋体"/>
          <w:b/>
          <w:color w:val="000000" w:themeColor="text1"/>
        </w:rPr>
        <w:t>Briggs GG,</w:t>
      </w:r>
      <w:r w:rsidRPr="00F17C5F">
        <w:rPr>
          <w:rFonts w:ascii="Book Antiqua" w:eastAsia="宋体" w:hAnsi="Book Antiqua" w:cs="宋体"/>
          <w:color w:val="000000" w:themeColor="text1"/>
        </w:rPr>
        <w:t xml:space="preserve"> Freeman RK, Yaffe SJ, ed</w:t>
      </w:r>
      <w:r w:rsidRPr="00F17C5F">
        <w:rPr>
          <w:rFonts w:ascii="Book Antiqua" w:eastAsia="宋体" w:hAnsi="Book Antiqua" w:cs="宋体"/>
          <w:color w:val="000000" w:themeColor="text1"/>
          <w:lang w:eastAsia="zh-CN"/>
        </w:rPr>
        <w:t>itors</w:t>
      </w:r>
      <w:r w:rsidR="0042752D" w:rsidRPr="00F17C5F">
        <w:rPr>
          <w:rFonts w:ascii="Book Antiqua" w:eastAsia="宋体" w:hAnsi="Book Antiqua" w:cs="宋体"/>
          <w:color w:val="000000" w:themeColor="text1"/>
        </w:rPr>
        <w:t>. Drugs in Pregnancy and Lactation. 9th ed. Philadelphia: Lipp</w:t>
      </w:r>
      <w:r w:rsidRPr="00F17C5F">
        <w:rPr>
          <w:rFonts w:ascii="Book Antiqua" w:eastAsia="宋体" w:hAnsi="Book Antiqua" w:cs="宋体"/>
          <w:color w:val="000000" w:themeColor="text1"/>
        </w:rPr>
        <w:t>incott Williams &amp; Wilkins</w:t>
      </w:r>
      <w:r w:rsidR="001E1B6F" w:rsidRPr="00F17C5F">
        <w:rPr>
          <w:rFonts w:ascii="Book Antiqua" w:eastAsia="宋体" w:hAnsi="Book Antiqua" w:cs="宋体"/>
          <w:color w:val="000000" w:themeColor="text1"/>
          <w:lang w:eastAsia="zh-CN"/>
        </w:rPr>
        <w:t>,</w:t>
      </w:r>
      <w:r w:rsidRPr="00F17C5F">
        <w:rPr>
          <w:rFonts w:ascii="Book Antiqua" w:eastAsia="宋体" w:hAnsi="Book Antiqua" w:cs="宋体"/>
          <w:color w:val="000000" w:themeColor="text1"/>
        </w:rPr>
        <w:t xml:space="preserve"> 2011</w:t>
      </w:r>
    </w:p>
    <w:p w14:paraId="590C1072"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24 </w:t>
      </w:r>
      <w:r w:rsidRPr="00F17C5F">
        <w:rPr>
          <w:rFonts w:ascii="Book Antiqua" w:eastAsia="宋体" w:hAnsi="Book Antiqua" w:cs="宋体"/>
          <w:b/>
          <w:bCs/>
          <w:color w:val="000000" w:themeColor="text1"/>
        </w:rPr>
        <w:t>Morgan J</w:t>
      </w:r>
      <w:r w:rsidRPr="00F17C5F">
        <w:rPr>
          <w:rFonts w:ascii="Book Antiqua" w:eastAsia="宋体" w:hAnsi="Book Antiqua" w:cs="宋体"/>
          <w:color w:val="000000" w:themeColor="text1"/>
        </w:rPr>
        <w:t xml:space="preserve">, Roberts S. Maternal sepsis. </w:t>
      </w:r>
      <w:r w:rsidRPr="00F17C5F">
        <w:rPr>
          <w:rFonts w:ascii="Book Antiqua" w:eastAsia="宋体" w:hAnsi="Book Antiqua" w:cs="宋体"/>
          <w:i/>
          <w:iCs/>
          <w:color w:val="000000" w:themeColor="text1"/>
        </w:rPr>
        <w:t>Obstet Gynecol Clin North Am</w:t>
      </w:r>
      <w:r w:rsidRPr="00F17C5F">
        <w:rPr>
          <w:rFonts w:ascii="Book Antiqua" w:eastAsia="宋体" w:hAnsi="Book Antiqua" w:cs="宋体"/>
          <w:color w:val="000000" w:themeColor="text1"/>
        </w:rPr>
        <w:t xml:space="preserve"> 2013; </w:t>
      </w:r>
      <w:r w:rsidRPr="00F17C5F">
        <w:rPr>
          <w:rFonts w:ascii="Book Antiqua" w:eastAsia="宋体" w:hAnsi="Book Antiqua" w:cs="宋体"/>
          <w:b/>
          <w:bCs/>
          <w:color w:val="000000" w:themeColor="text1"/>
        </w:rPr>
        <w:t>40</w:t>
      </w:r>
      <w:r w:rsidRPr="00F17C5F">
        <w:rPr>
          <w:rFonts w:ascii="Book Antiqua" w:eastAsia="宋体" w:hAnsi="Book Antiqua" w:cs="宋体"/>
          <w:color w:val="000000" w:themeColor="text1"/>
        </w:rPr>
        <w:t>: 69-87 [PMID: 23466138 DOI: 10.1016/j.ogc.2012.11.007]</w:t>
      </w:r>
    </w:p>
    <w:p w14:paraId="3EDFC074" w14:textId="5BFCC0BC" w:rsidR="0042752D" w:rsidRPr="00F17C5F" w:rsidRDefault="00444E2F" w:rsidP="00F17C5F">
      <w:pPr>
        <w:spacing w:after="0" w:line="360" w:lineRule="auto"/>
        <w:jc w:val="both"/>
        <w:rPr>
          <w:rFonts w:ascii="Book Antiqua" w:eastAsia="宋体" w:hAnsi="Book Antiqua" w:cs="宋体"/>
          <w:color w:val="000000" w:themeColor="text1"/>
          <w:lang w:eastAsia="zh-CN"/>
        </w:rPr>
      </w:pPr>
      <w:r w:rsidRPr="00F17C5F">
        <w:rPr>
          <w:rFonts w:ascii="Book Antiqua" w:eastAsia="宋体" w:hAnsi="Book Antiqua" w:cs="宋体"/>
          <w:color w:val="000000" w:themeColor="text1"/>
        </w:rPr>
        <w:t xml:space="preserve">25 </w:t>
      </w:r>
      <w:r w:rsidR="0042752D" w:rsidRPr="00F17C5F">
        <w:rPr>
          <w:rFonts w:ascii="Book Antiqua" w:eastAsia="宋体" w:hAnsi="Book Antiqua" w:cs="宋体"/>
          <w:b/>
          <w:color w:val="000000" w:themeColor="text1"/>
        </w:rPr>
        <w:t xml:space="preserve">American College of Obstetricians and Gynecologists (ACOG). </w:t>
      </w:r>
      <w:r w:rsidR="0042752D" w:rsidRPr="00F17C5F">
        <w:rPr>
          <w:rFonts w:ascii="Book Antiqua" w:eastAsia="宋体" w:hAnsi="Book Antiqua" w:cs="宋体"/>
          <w:color w:val="000000" w:themeColor="text1"/>
        </w:rPr>
        <w:t>Critical care in pregnancy. Washington (DC)</w:t>
      </w:r>
      <w:r w:rsidRPr="00F17C5F">
        <w:rPr>
          <w:rFonts w:ascii="Book Antiqua" w:eastAsia="宋体" w:hAnsi="Book Antiqua" w:cs="宋体"/>
          <w:color w:val="000000" w:themeColor="text1"/>
          <w:lang w:eastAsia="zh-CN"/>
        </w:rPr>
        <w:t>:</w:t>
      </w:r>
      <w:r w:rsidR="0042752D" w:rsidRPr="00F17C5F">
        <w:rPr>
          <w:rFonts w:ascii="Book Antiqua" w:eastAsia="宋体" w:hAnsi="Book Antiqua" w:cs="宋体"/>
          <w:color w:val="000000" w:themeColor="text1"/>
        </w:rPr>
        <w:t xml:space="preserve"> American College of Obstetricians and Gynecologists (ACOG)</w:t>
      </w:r>
      <w:r w:rsidRPr="00F17C5F">
        <w:rPr>
          <w:rFonts w:ascii="Book Antiqua" w:eastAsia="宋体" w:hAnsi="Book Antiqua" w:cs="宋体"/>
          <w:color w:val="000000" w:themeColor="text1"/>
          <w:lang w:eastAsia="zh-CN"/>
        </w:rPr>
        <w:t>,</w:t>
      </w:r>
      <w:r w:rsidR="00717E4E" w:rsidRPr="00F17C5F">
        <w:rPr>
          <w:rFonts w:ascii="Book Antiqua" w:eastAsia="宋体" w:hAnsi="Book Antiqua" w:cs="宋体"/>
          <w:color w:val="000000" w:themeColor="text1"/>
        </w:rPr>
        <w:t xml:space="preserve"> 2009</w:t>
      </w:r>
      <w:r w:rsidR="00717E4E" w:rsidRPr="00F17C5F">
        <w:rPr>
          <w:rFonts w:ascii="Book Antiqua" w:eastAsia="宋体" w:hAnsi="Book Antiqua" w:cs="宋体"/>
          <w:color w:val="000000" w:themeColor="text1"/>
          <w:lang w:eastAsia="zh-CN"/>
        </w:rPr>
        <w:t>: 100</w:t>
      </w:r>
    </w:p>
    <w:p w14:paraId="28E6F038"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26 </w:t>
      </w:r>
      <w:r w:rsidRPr="00F17C5F">
        <w:rPr>
          <w:rFonts w:ascii="Book Antiqua" w:eastAsia="宋体" w:hAnsi="Book Antiqua" w:cs="宋体"/>
          <w:b/>
          <w:bCs/>
          <w:color w:val="000000" w:themeColor="text1"/>
        </w:rPr>
        <w:t>Barton JR</w:t>
      </w:r>
      <w:r w:rsidRPr="00F17C5F">
        <w:rPr>
          <w:rFonts w:ascii="Book Antiqua" w:eastAsia="宋体" w:hAnsi="Book Antiqua" w:cs="宋体"/>
          <w:color w:val="000000" w:themeColor="text1"/>
        </w:rPr>
        <w:t xml:space="preserve">, Sibai BM. Severe sepsis and septic shock in pregnancy. </w:t>
      </w:r>
      <w:r w:rsidRPr="00F17C5F">
        <w:rPr>
          <w:rFonts w:ascii="Book Antiqua" w:eastAsia="宋体" w:hAnsi="Book Antiqua" w:cs="宋体"/>
          <w:i/>
          <w:iCs/>
          <w:color w:val="000000" w:themeColor="text1"/>
        </w:rPr>
        <w:t>Obstet Gynecol</w:t>
      </w:r>
      <w:r w:rsidRPr="00F17C5F">
        <w:rPr>
          <w:rFonts w:ascii="Book Antiqua" w:eastAsia="宋体" w:hAnsi="Book Antiqua" w:cs="宋体"/>
          <w:color w:val="000000" w:themeColor="text1"/>
        </w:rPr>
        <w:t xml:space="preserve"> 2012; </w:t>
      </w:r>
      <w:r w:rsidRPr="00F17C5F">
        <w:rPr>
          <w:rFonts w:ascii="Book Antiqua" w:eastAsia="宋体" w:hAnsi="Book Antiqua" w:cs="宋体"/>
          <w:b/>
          <w:bCs/>
          <w:color w:val="000000" w:themeColor="text1"/>
        </w:rPr>
        <w:t>120</w:t>
      </w:r>
      <w:r w:rsidRPr="00F17C5F">
        <w:rPr>
          <w:rFonts w:ascii="Book Antiqua" w:eastAsia="宋体" w:hAnsi="Book Antiqua" w:cs="宋体"/>
          <w:color w:val="000000" w:themeColor="text1"/>
        </w:rPr>
        <w:t>: 689-706 [PMID: 22914482 DOI: 10.1097/AOG.0b013e318263a52d]</w:t>
      </w:r>
    </w:p>
    <w:p w14:paraId="3E9A5229"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27 </w:t>
      </w:r>
      <w:r w:rsidRPr="00F17C5F">
        <w:rPr>
          <w:rFonts w:ascii="Book Antiqua" w:eastAsia="宋体" w:hAnsi="Book Antiqua" w:cs="宋体"/>
          <w:b/>
          <w:bCs/>
          <w:color w:val="000000" w:themeColor="text1"/>
        </w:rPr>
        <w:t>Galvagno SM</w:t>
      </w:r>
      <w:r w:rsidRPr="00F17C5F">
        <w:rPr>
          <w:rFonts w:ascii="Book Antiqua" w:eastAsia="宋体" w:hAnsi="Book Antiqua" w:cs="宋体"/>
          <w:color w:val="000000" w:themeColor="text1"/>
        </w:rPr>
        <w:t xml:space="preserve">, Camann W. Sepsis and acute renal failure in pregnancy. </w:t>
      </w:r>
      <w:r w:rsidRPr="00F17C5F">
        <w:rPr>
          <w:rFonts w:ascii="Book Antiqua" w:eastAsia="宋体" w:hAnsi="Book Antiqua" w:cs="宋体"/>
          <w:i/>
          <w:iCs/>
          <w:color w:val="000000" w:themeColor="text1"/>
        </w:rPr>
        <w:t>Anesth Analg</w:t>
      </w:r>
      <w:r w:rsidRPr="00F17C5F">
        <w:rPr>
          <w:rFonts w:ascii="Book Antiqua" w:eastAsia="宋体" w:hAnsi="Book Antiqua" w:cs="宋体"/>
          <w:color w:val="000000" w:themeColor="text1"/>
        </w:rPr>
        <w:t xml:space="preserve"> 2009; </w:t>
      </w:r>
      <w:r w:rsidRPr="00F17C5F">
        <w:rPr>
          <w:rFonts w:ascii="Book Antiqua" w:eastAsia="宋体" w:hAnsi="Book Antiqua" w:cs="宋体"/>
          <w:b/>
          <w:bCs/>
          <w:color w:val="000000" w:themeColor="text1"/>
        </w:rPr>
        <w:t>108</w:t>
      </w:r>
      <w:r w:rsidRPr="00F17C5F">
        <w:rPr>
          <w:rFonts w:ascii="Book Antiqua" w:eastAsia="宋体" w:hAnsi="Book Antiqua" w:cs="宋体"/>
          <w:color w:val="000000" w:themeColor="text1"/>
        </w:rPr>
        <w:t>: 572-575 [PMID: 19151289 DOI: 10.1213/ane.0b013e3181937b7e]</w:t>
      </w:r>
    </w:p>
    <w:p w14:paraId="414EC31D"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28 </w:t>
      </w:r>
      <w:r w:rsidRPr="00F17C5F">
        <w:rPr>
          <w:rFonts w:ascii="Book Antiqua" w:eastAsia="宋体" w:hAnsi="Book Antiqua" w:cs="宋体"/>
          <w:b/>
          <w:bCs/>
          <w:color w:val="000000" w:themeColor="text1"/>
        </w:rPr>
        <w:t>Bamfo JE</w:t>
      </w:r>
      <w:r w:rsidRPr="00F17C5F">
        <w:rPr>
          <w:rFonts w:ascii="Book Antiqua" w:eastAsia="宋体" w:hAnsi="Book Antiqua" w:cs="宋体"/>
          <w:color w:val="000000" w:themeColor="text1"/>
        </w:rPr>
        <w:t xml:space="preserve">. Managing the risks of sepsis in pregnancy. </w:t>
      </w:r>
      <w:r w:rsidRPr="00F17C5F">
        <w:rPr>
          <w:rFonts w:ascii="Book Antiqua" w:eastAsia="宋体" w:hAnsi="Book Antiqua" w:cs="宋体"/>
          <w:i/>
          <w:iCs/>
          <w:color w:val="000000" w:themeColor="text1"/>
        </w:rPr>
        <w:t>Best Pract Res Clin Obstet Gynaecol</w:t>
      </w:r>
      <w:r w:rsidRPr="00F17C5F">
        <w:rPr>
          <w:rFonts w:ascii="Book Antiqua" w:eastAsia="宋体" w:hAnsi="Book Antiqua" w:cs="宋体"/>
          <w:color w:val="000000" w:themeColor="text1"/>
        </w:rPr>
        <w:t xml:space="preserve"> 2013; </w:t>
      </w:r>
      <w:r w:rsidRPr="00F17C5F">
        <w:rPr>
          <w:rFonts w:ascii="Book Antiqua" w:eastAsia="宋体" w:hAnsi="Book Antiqua" w:cs="宋体"/>
          <w:b/>
          <w:bCs/>
          <w:color w:val="000000" w:themeColor="text1"/>
        </w:rPr>
        <w:t>27</w:t>
      </w:r>
      <w:r w:rsidRPr="00F17C5F">
        <w:rPr>
          <w:rFonts w:ascii="Book Antiqua" w:eastAsia="宋体" w:hAnsi="Book Antiqua" w:cs="宋体"/>
          <w:color w:val="000000" w:themeColor="text1"/>
        </w:rPr>
        <w:t>: 583-595 [PMID: 23639681 DOI: 10.1016/j.bpobgyn.2013.04.003]</w:t>
      </w:r>
    </w:p>
    <w:p w14:paraId="05A00FAC"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29 </w:t>
      </w:r>
      <w:r w:rsidRPr="00F17C5F">
        <w:rPr>
          <w:rFonts w:ascii="Book Antiqua" w:eastAsia="宋体" w:hAnsi="Book Antiqua" w:cs="宋体"/>
          <w:b/>
          <w:bCs/>
          <w:color w:val="000000" w:themeColor="text1"/>
        </w:rPr>
        <w:t>Ko R</w:t>
      </w:r>
      <w:r w:rsidRPr="00F17C5F">
        <w:rPr>
          <w:rFonts w:ascii="Book Antiqua" w:eastAsia="宋体" w:hAnsi="Book Antiqua" w:cs="宋体"/>
          <w:color w:val="000000" w:themeColor="text1"/>
        </w:rPr>
        <w:t xml:space="preserve">, Mazur JE, Pastis NJ, Chang E, Sahn SA, Boylan AM. Common problems in critically ill obstetric patients, with an emphasis on pharmacotherapy. </w:t>
      </w:r>
      <w:r w:rsidRPr="00F17C5F">
        <w:rPr>
          <w:rFonts w:ascii="Book Antiqua" w:eastAsia="宋体" w:hAnsi="Book Antiqua" w:cs="宋体"/>
          <w:i/>
          <w:iCs/>
          <w:color w:val="000000" w:themeColor="text1"/>
        </w:rPr>
        <w:t>Am J Med Sci</w:t>
      </w:r>
      <w:r w:rsidRPr="00F17C5F">
        <w:rPr>
          <w:rFonts w:ascii="Book Antiqua" w:eastAsia="宋体" w:hAnsi="Book Antiqua" w:cs="宋体"/>
          <w:color w:val="000000" w:themeColor="text1"/>
        </w:rPr>
        <w:t xml:space="preserve"> 2008; </w:t>
      </w:r>
      <w:r w:rsidRPr="00F17C5F">
        <w:rPr>
          <w:rFonts w:ascii="Book Antiqua" w:eastAsia="宋体" w:hAnsi="Book Antiqua" w:cs="宋体"/>
          <w:b/>
          <w:bCs/>
          <w:color w:val="000000" w:themeColor="text1"/>
        </w:rPr>
        <w:t>335</w:t>
      </w:r>
      <w:r w:rsidRPr="00F17C5F">
        <w:rPr>
          <w:rFonts w:ascii="Book Antiqua" w:eastAsia="宋体" w:hAnsi="Book Antiqua" w:cs="宋体"/>
          <w:color w:val="000000" w:themeColor="text1"/>
        </w:rPr>
        <w:t>: 65-70 [PMID: 18195587 DOI: 10.1097/MAJ.0b013e31815f1e14]</w:t>
      </w:r>
    </w:p>
    <w:p w14:paraId="6885EEAE"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30 </w:t>
      </w:r>
      <w:r w:rsidRPr="00F17C5F">
        <w:rPr>
          <w:rFonts w:ascii="Book Antiqua" w:eastAsia="宋体" w:hAnsi="Book Antiqua" w:cs="宋体"/>
          <w:b/>
          <w:bCs/>
          <w:color w:val="000000" w:themeColor="text1"/>
        </w:rPr>
        <w:t>Brown CM</w:t>
      </w:r>
      <w:r w:rsidRPr="00F17C5F">
        <w:rPr>
          <w:rFonts w:ascii="Book Antiqua" w:eastAsia="宋体" w:hAnsi="Book Antiqua" w:cs="宋体"/>
          <w:color w:val="000000" w:themeColor="text1"/>
        </w:rPr>
        <w:t xml:space="preserve">, Garovic VD. Drug treatment of hypertension in pregnancy. </w:t>
      </w:r>
      <w:r w:rsidRPr="00F17C5F">
        <w:rPr>
          <w:rFonts w:ascii="Book Antiqua" w:eastAsia="宋体" w:hAnsi="Book Antiqua" w:cs="宋体"/>
          <w:i/>
          <w:iCs/>
          <w:color w:val="000000" w:themeColor="text1"/>
        </w:rPr>
        <w:t>Drugs</w:t>
      </w:r>
      <w:r w:rsidRPr="00F17C5F">
        <w:rPr>
          <w:rFonts w:ascii="Book Antiqua" w:eastAsia="宋体" w:hAnsi="Book Antiqua" w:cs="宋体"/>
          <w:color w:val="000000" w:themeColor="text1"/>
        </w:rPr>
        <w:t xml:space="preserve"> 2014; </w:t>
      </w:r>
      <w:r w:rsidRPr="00F17C5F">
        <w:rPr>
          <w:rFonts w:ascii="Book Antiqua" w:eastAsia="宋体" w:hAnsi="Book Antiqua" w:cs="宋体"/>
          <w:b/>
          <w:bCs/>
          <w:color w:val="000000" w:themeColor="text1"/>
        </w:rPr>
        <w:t>74</w:t>
      </w:r>
      <w:r w:rsidRPr="00F17C5F">
        <w:rPr>
          <w:rFonts w:ascii="Book Antiqua" w:eastAsia="宋体" w:hAnsi="Book Antiqua" w:cs="宋体"/>
          <w:color w:val="000000" w:themeColor="text1"/>
        </w:rPr>
        <w:t>: 283-296 [PMID: 24554373 DOI: 10.1007/s40265-014-0187-7]</w:t>
      </w:r>
    </w:p>
    <w:p w14:paraId="75228810"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31 </w:t>
      </w:r>
      <w:r w:rsidRPr="00F17C5F">
        <w:rPr>
          <w:rFonts w:ascii="Book Antiqua" w:eastAsia="宋体" w:hAnsi="Book Antiqua" w:cs="宋体"/>
          <w:b/>
          <w:bCs/>
          <w:color w:val="000000" w:themeColor="text1"/>
        </w:rPr>
        <w:t>Magee LA</w:t>
      </w:r>
      <w:r w:rsidRPr="00F17C5F">
        <w:rPr>
          <w:rFonts w:ascii="Book Antiqua" w:eastAsia="宋体" w:hAnsi="Book Antiqua" w:cs="宋体"/>
          <w:color w:val="000000" w:themeColor="text1"/>
        </w:rPr>
        <w:t xml:space="preserve">, Cham C, Waterman EJ, Ohlsson A, von Dadelszen P. Hydralazine for treatment of severe hypertension in pregnancy: meta-analysis. </w:t>
      </w:r>
      <w:r w:rsidRPr="00F17C5F">
        <w:rPr>
          <w:rFonts w:ascii="Book Antiqua" w:eastAsia="宋体" w:hAnsi="Book Antiqua" w:cs="宋体"/>
          <w:i/>
          <w:iCs/>
          <w:color w:val="000000" w:themeColor="text1"/>
        </w:rPr>
        <w:t>BMJ</w:t>
      </w:r>
      <w:r w:rsidRPr="00F17C5F">
        <w:rPr>
          <w:rFonts w:ascii="Book Antiqua" w:eastAsia="宋体" w:hAnsi="Book Antiqua" w:cs="宋体"/>
          <w:color w:val="000000" w:themeColor="text1"/>
        </w:rPr>
        <w:t xml:space="preserve"> 2003; </w:t>
      </w:r>
      <w:r w:rsidRPr="00F17C5F">
        <w:rPr>
          <w:rFonts w:ascii="Book Antiqua" w:eastAsia="宋体" w:hAnsi="Book Antiqua" w:cs="宋体"/>
          <w:b/>
          <w:bCs/>
          <w:color w:val="000000" w:themeColor="text1"/>
        </w:rPr>
        <w:t>327</w:t>
      </w:r>
      <w:r w:rsidRPr="00F17C5F">
        <w:rPr>
          <w:rFonts w:ascii="Book Antiqua" w:eastAsia="宋体" w:hAnsi="Book Antiqua" w:cs="宋体"/>
          <w:color w:val="000000" w:themeColor="text1"/>
        </w:rPr>
        <w:t>: 955-960 [PMID: 14576246 DOI: 10.1136/bmj.327.7421.95]</w:t>
      </w:r>
    </w:p>
    <w:p w14:paraId="48CABB82"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32 </w:t>
      </w:r>
      <w:r w:rsidRPr="00F17C5F">
        <w:rPr>
          <w:rFonts w:ascii="Book Antiqua" w:eastAsia="宋体" w:hAnsi="Book Antiqua" w:cs="宋体"/>
          <w:b/>
          <w:bCs/>
          <w:color w:val="000000" w:themeColor="text1"/>
        </w:rPr>
        <w:t>Al Khaja KA</w:t>
      </w:r>
      <w:r w:rsidRPr="00F17C5F">
        <w:rPr>
          <w:rFonts w:ascii="Book Antiqua" w:eastAsia="宋体" w:hAnsi="Book Antiqua" w:cs="宋体"/>
          <w:color w:val="000000" w:themeColor="text1"/>
        </w:rPr>
        <w:t xml:space="preserve">, Sequeira RP, Alkhaja AK, Damanhori AH. Drug treatment of hypertension in pregnancy: a critical review of adult guideline recommendations. </w:t>
      </w:r>
      <w:r w:rsidRPr="00F17C5F">
        <w:rPr>
          <w:rFonts w:ascii="Book Antiqua" w:eastAsia="宋体" w:hAnsi="Book Antiqua" w:cs="宋体"/>
          <w:i/>
          <w:iCs/>
          <w:color w:val="000000" w:themeColor="text1"/>
        </w:rPr>
        <w:t>J Hypertens</w:t>
      </w:r>
      <w:r w:rsidRPr="00F17C5F">
        <w:rPr>
          <w:rFonts w:ascii="Book Antiqua" w:eastAsia="宋体" w:hAnsi="Book Antiqua" w:cs="宋体"/>
          <w:color w:val="000000" w:themeColor="text1"/>
        </w:rPr>
        <w:t xml:space="preserve"> 2014; </w:t>
      </w:r>
      <w:r w:rsidRPr="00F17C5F">
        <w:rPr>
          <w:rFonts w:ascii="Book Antiqua" w:eastAsia="宋体" w:hAnsi="Book Antiqua" w:cs="宋体"/>
          <w:b/>
          <w:bCs/>
          <w:color w:val="000000" w:themeColor="text1"/>
        </w:rPr>
        <w:t>32</w:t>
      </w:r>
      <w:r w:rsidRPr="00F17C5F">
        <w:rPr>
          <w:rFonts w:ascii="Book Antiqua" w:eastAsia="宋体" w:hAnsi="Book Antiqua" w:cs="宋体"/>
          <w:color w:val="000000" w:themeColor="text1"/>
        </w:rPr>
        <w:t>: 454-463 [PMID: 24384846 DOI: 10.1097/HJH.0000000000000069]</w:t>
      </w:r>
    </w:p>
    <w:p w14:paraId="24884112"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33 </w:t>
      </w:r>
      <w:r w:rsidRPr="00F17C5F">
        <w:rPr>
          <w:rFonts w:ascii="Book Antiqua" w:eastAsia="宋体" w:hAnsi="Book Antiqua" w:cs="宋体"/>
          <w:b/>
          <w:bCs/>
          <w:color w:val="000000" w:themeColor="text1"/>
        </w:rPr>
        <w:t>Munnur U</w:t>
      </w:r>
      <w:r w:rsidRPr="00F17C5F">
        <w:rPr>
          <w:rFonts w:ascii="Book Antiqua" w:eastAsia="宋体" w:hAnsi="Book Antiqua" w:cs="宋体"/>
          <w:color w:val="000000" w:themeColor="text1"/>
        </w:rPr>
        <w:t xml:space="preserve">, Bandi V, Guntupalli KK. Management principles of the critically ill obstetric patient. </w:t>
      </w:r>
      <w:r w:rsidRPr="00F17C5F">
        <w:rPr>
          <w:rFonts w:ascii="Book Antiqua" w:eastAsia="宋体" w:hAnsi="Book Antiqua" w:cs="宋体"/>
          <w:i/>
          <w:iCs/>
          <w:color w:val="000000" w:themeColor="text1"/>
        </w:rPr>
        <w:t>Clin Chest Med</w:t>
      </w:r>
      <w:r w:rsidRPr="00F17C5F">
        <w:rPr>
          <w:rFonts w:ascii="Book Antiqua" w:eastAsia="宋体" w:hAnsi="Book Antiqua" w:cs="宋体"/>
          <w:color w:val="000000" w:themeColor="text1"/>
        </w:rPr>
        <w:t xml:space="preserve"> 2011; </w:t>
      </w:r>
      <w:r w:rsidRPr="00F17C5F">
        <w:rPr>
          <w:rFonts w:ascii="Book Antiqua" w:eastAsia="宋体" w:hAnsi="Book Antiqua" w:cs="宋体"/>
          <w:b/>
          <w:bCs/>
          <w:color w:val="000000" w:themeColor="text1"/>
        </w:rPr>
        <w:t>32</w:t>
      </w:r>
      <w:r w:rsidRPr="00F17C5F">
        <w:rPr>
          <w:rFonts w:ascii="Book Antiqua" w:eastAsia="宋体" w:hAnsi="Book Antiqua" w:cs="宋体"/>
          <w:color w:val="000000" w:themeColor="text1"/>
        </w:rPr>
        <w:t>: 53-60, viii [PMID: 21277449 DOI: 10.1016/j.ccm.2010.10.003]</w:t>
      </w:r>
    </w:p>
    <w:p w14:paraId="1A351706"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34 </w:t>
      </w:r>
      <w:r w:rsidRPr="00F17C5F">
        <w:rPr>
          <w:rFonts w:ascii="Book Antiqua" w:eastAsia="宋体" w:hAnsi="Book Antiqua" w:cs="宋体"/>
          <w:b/>
          <w:bCs/>
          <w:color w:val="000000" w:themeColor="text1"/>
        </w:rPr>
        <w:t>Neligan PJ</w:t>
      </w:r>
      <w:r w:rsidRPr="00F17C5F">
        <w:rPr>
          <w:rFonts w:ascii="Book Antiqua" w:eastAsia="宋体" w:hAnsi="Book Antiqua" w:cs="宋体"/>
          <w:color w:val="000000" w:themeColor="text1"/>
        </w:rPr>
        <w:t xml:space="preserve">, Laffey JG. Clinical review: Special populations--critical illness and pregnancy. </w:t>
      </w:r>
      <w:r w:rsidRPr="00F17C5F">
        <w:rPr>
          <w:rFonts w:ascii="Book Antiqua" w:eastAsia="宋体" w:hAnsi="Book Antiqua" w:cs="宋体"/>
          <w:i/>
          <w:iCs/>
          <w:color w:val="000000" w:themeColor="text1"/>
        </w:rPr>
        <w:t>Crit Care</w:t>
      </w:r>
      <w:r w:rsidRPr="00F17C5F">
        <w:rPr>
          <w:rFonts w:ascii="Book Antiqua" w:eastAsia="宋体" w:hAnsi="Book Antiqua" w:cs="宋体"/>
          <w:color w:val="000000" w:themeColor="text1"/>
        </w:rPr>
        <w:t xml:space="preserve"> 2011; </w:t>
      </w:r>
      <w:r w:rsidRPr="00F17C5F">
        <w:rPr>
          <w:rFonts w:ascii="Book Antiqua" w:eastAsia="宋体" w:hAnsi="Book Antiqua" w:cs="宋体"/>
          <w:b/>
          <w:bCs/>
          <w:color w:val="000000" w:themeColor="text1"/>
        </w:rPr>
        <w:t>15</w:t>
      </w:r>
      <w:r w:rsidRPr="00F17C5F">
        <w:rPr>
          <w:rFonts w:ascii="Book Antiqua" w:eastAsia="宋体" w:hAnsi="Book Antiqua" w:cs="宋体"/>
          <w:color w:val="000000" w:themeColor="text1"/>
        </w:rPr>
        <w:t>: 227 [PMID: 21888683 DOI: 10.1186/cc10256]</w:t>
      </w:r>
    </w:p>
    <w:p w14:paraId="01C0FF99"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35 </w:t>
      </w:r>
      <w:r w:rsidRPr="00F17C5F">
        <w:rPr>
          <w:rFonts w:ascii="Book Antiqua" w:eastAsia="宋体" w:hAnsi="Book Antiqua" w:cs="宋体"/>
          <w:b/>
          <w:bCs/>
          <w:color w:val="000000" w:themeColor="text1"/>
        </w:rPr>
        <w:t>Tajchman SK</w:t>
      </w:r>
      <w:r w:rsidRPr="00F17C5F">
        <w:rPr>
          <w:rFonts w:ascii="Book Antiqua" w:eastAsia="宋体" w:hAnsi="Book Antiqua" w:cs="宋体"/>
          <w:color w:val="000000" w:themeColor="text1"/>
        </w:rPr>
        <w:t xml:space="preserve">, Bruno JJ. Prolonged propofol use in a critically ill pregnant patient. </w:t>
      </w:r>
      <w:r w:rsidRPr="00F17C5F">
        <w:rPr>
          <w:rFonts w:ascii="Book Antiqua" w:eastAsia="宋体" w:hAnsi="Book Antiqua" w:cs="宋体"/>
          <w:i/>
          <w:iCs/>
          <w:color w:val="000000" w:themeColor="text1"/>
        </w:rPr>
        <w:t>Ann Pharmacother</w:t>
      </w:r>
      <w:r w:rsidRPr="00F17C5F">
        <w:rPr>
          <w:rFonts w:ascii="Book Antiqua" w:eastAsia="宋体" w:hAnsi="Book Antiqua" w:cs="宋体"/>
          <w:color w:val="000000" w:themeColor="text1"/>
        </w:rPr>
        <w:t xml:space="preserve"> 2010; </w:t>
      </w:r>
      <w:r w:rsidRPr="00F17C5F">
        <w:rPr>
          <w:rFonts w:ascii="Book Antiqua" w:eastAsia="宋体" w:hAnsi="Book Antiqua" w:cs="宋体"/>
          <w:b/>
          <w:bCs/>
          <w:color w:val="000000" w:themeColor="text1"/>
        </w:rPr>
        <w:t>44</w:t>
      </w:r>
      <w:r w:rsidRPr="00F17C5F">
        <w:rPr>
          <w:rFonts w:ascii="Book Antiqua" w:eastAsia="宋体" w:hAnsi="Book Antiqua" w:cs="宋体"/>
          <w:color w:val="000000" w:themeColor="text1"/>
        </w:rPr>
        <w:t>: 2018-2022 [PMID: 21062907 DOI: 10.1345/aph.1P427]</w:t>
      </w:r>
    </w:p>
    <w:p w14:paraId="641A4FD2"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36 </w:t>
      </w:r>
      <w:r w:rsidRPr="00F17C5F">
        <w:rPr>
          <w:rFonts w:ascii="Book Antiqua" w:eastAsia="宋体" w:hAnsi="Book Antiqua" w:cs="宋体"/>
          <w:b/>
          <w:bCs/>
          <w:color w:val="000000" w:themeColor="text1"/>
        </w:rPr>
        <w:t>Gattinoni L</w:t>
      </w:r>
      <w:r w:rsidRPr="00F17C5F">
        <w:rPr>
          <w:rFonts w:ascii="Book Antiqua" w:eastAsia="宋体" w:hAnsi="Book Antiqua" w:cs="宋体"/>
          <w:color w:val="000000" w:themeColor="text1"/>
        </w:rPr>
        <w:t xml:space="preserve">, Carlesso E, Langer T. Clinical review: Extracorporeal membrane oxygenation. </w:t>
      </w:r>
      <w:r w:rsidRPr="00F17C5F">
        <w:rPr>
          <w:rFonts w:ascii="Book Antiqua" w:eastAsia="宋体" w:hAnsi="Book Antiqua" w:cs="宋体"/>
          <w:i/>
          <w:iCs/>
          <w:color w:val="000000" w:themeColor="text1"/>
        </w:rPr>
        <w:t>Crit Care</w:t>
      </w:r>
      <w:r w:rsidRPr="00F17C5F">
        <w:rPr>
          <w:rFonts w:ascii="Book Antiqua" w:eastAsia="宋体" w:hAnsi="Book Antiqua" w:cs="宋体"/>
          <w:color w:val="000000" w:themeColor="text1"/>
        </w:rPr>
        <w:t xml:space="preserve"> 2011; </w:t>
      </w:r>
      <w:r w:rsidRPr="00F17C5F">
        <w:rPr>
          <w:rFonts w:ascii="Book Antiqua" w:eastAsia="宋体" w:hAnsi="Book Antiqua" w:cs="宋体"/>
          <w:b/>
          <w:bCs/>
          <w:color w:val="000000" w:themeColor="text1"/>
        </w:rPr>
        <w:t>15</w:t>
      </w:r>
      <w:r w:rsidRPr="00F17C5F">
        <w:rPr>
          <w:rFonts w:ascii="Book Antiqua" w:eastAsia="宋体" w:hAnsi="Book Antiqua" w:cs="宋体"/>
          <w:color w:val="000000" w:themeColor="text1"/>
        </w:rPr>
        <w:t>: 243 [PMID: 22188792 DOI: 10.1186/cc10490]</w:t>
      </w:r>
    </w:p>
    <w:p w14:paraId="607510D1"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37 </w:t>
      </w:r>
      <w:r w:rsidRPr="00F17C5F">
        <w:rPr>
          <w:rFonts w:ascii="Book Antiqua" w:eastAsia="宋体" w:hAnsi="Book Antiqua" w:cs="宋体"/>
          <w:b/>
          <w:bCs/>
          <w:color w:val="000000" w:themeColor="text1"/>
        </w:rPr>
        <w:t>Peek GJ</w:t>
      </w:r>
      <w:r w:rsidRPr="00F17C5F">
        <w:rPr>
          <w:rFonts w:ascii="Book Antiqua" w:eastAsia="宋体" w:hAnsi="Book Antiqua" w:cs="宋体"/>
          <w:color w:val="000000" w:themeColor="text1"/>
        </w:rPr>
        <w:t xml:space="preserve">, Mugford M, Tiruvoipati R, Wilson A, Allen E, Thalanany MM, Hibbert CL, Truesdale A, Clemens F, Cooper N, Firmin RK, Elbourne D. Efficacy and economic assessment of conventional ventilatory support versus extracorporeal membrane oxygenation for severe adult respiratory failure (CESAR): a multicentre randomised controlled trial. </w:t>
      </w:r>
      <w:r w:rsidRPr="00F17C5F">
        <w:rPr>
          <w:rFonts w:ascii="Book Antiqua" w:eastAsia="宋体" w:hAnsi="Book Antiqua" w:cs="宋体"/>
          <w:i/>
          <w:iCs/>
          <w:color w:val="000000" w:themeColor="text1"/>
        </w:rPr>
        <w:t>Lancet</w:t>
      </w:r>
      <w:r w:rsidRPr="00F17C5F">
        <w:rPr>
          <w:rFonts w:ascii="Book Antiqua" w:eastAsia="宋体" w:hAnsi="Book Antiqua" w:cs="宋体"/>
          <w:color w:val="000000" w:themeColor="text1"/>
        </w:rPr>
        <w:t xml:space="preserve"> 2009; </w:t>
      </w:r>
      <w:r w:rsidRPr="00F17C5F">
        <w:rPr>
          <w:rFonts w:ascii="Book Antiqua" w:eastAsia="宋体" w:hAnsi="Book Antiqua" w:cs="宋体"/>
          <w:b/>
          <w:bCs/>
          <w:color w:val="000000" w:themeColor="text1"/>
        </w:rPr>
        <w:t>374</w:t>
      </w:r>
      <w:r w:rsidRPr="00F17C5F">
        <w:rPr>
          <w:rFonts w:ascii="Book Antiqua" w:eastAsia="宋体" w:hAnsi="Book Antiqua" w:cs="宋体"/>
          <w:color w:val="000000" w:themeColor="text1"/>
        </w:rPr>
        <w:t>: 1351-1363 [PMID: 19762075 DOI: 10.1016/S0140-6736(09)61069-2]</w:t>
      </w:r>
    </w:p>
    <w:p w14:paraId="0613177E"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38 </w:t>
      </w:r>
      <w:r w:rsidRPr="00F17C5F">
        <w:rPr>
          <w:rFonts w:ascii="Book Antiqua" w:eastAsia="宋体" w:hAnsi="Book Antiqua" w:cs="宋体"/>
          <w:b/>
          <w:bCs/>
          <w:color w:val="000000" w:themeColor="text1"/>
        </w:rPr>
        <w:t>Noah MA</w:t>
      </w:r>
      <w:r w:rsidRPr="00F17C5F">
        <w:rPr>
          <w:rFonts w:ascii="Book Antiqua" w:eastAsia="宋体" w:hAnsi="Book Antiqua" w:cs="宋体"/>
          <w:color w:val="000000" w:themeColor="text1"/>
        </w:rPr>
        <w:t xml:space="preserve">, Peek GJ, Finney SJ, Griffiths MJ, Harrison DA, Grieve R, Sadique MZ, Sekhon JS, McAuley DF, Firmin RK, Harvey C, Cordingley JJ, Price S, Vuylsteke A, Jenkins DP, Noble DW, Bloomfield R, Walsh TS, Perkins GD, Menon D, Taylor BL, Rowan KM. Referral to an extracorporeal membrane oxygenation center and mortality among patients with severe 2009 influenza A(H1N1). </w:t>
      </w:r>
      <w:r w:rsidRPr="00F17C5F">
        <w:rPr>
          <w:rFonts w:ascii="Book Antiqua" w:eastAsia="宋体" w:hAnsi="Book Antiqua" w:cs="宋体"/>
          <w:i/>
          <w:iCs/>
          <w:color w:val="000000" w:themeColor="text1"/>
        </w:rPr>
        <w:t>JAMA</w:t>
      </w:r>
      <w:r w:rsidRPr="00F17C5F">
        <w:rPr>
          <w:rFonts w:ascii="Book Antiqua" w:eastAsia="宋体" w:hAnsi="Book Antiqua" w:cs="宋体"/>
          <w:color w:val="000000" w:themeColor="text1"/>
        </w:rPr>
        <w:t xml:space="preserve"> 2011; </w:t>
      </w:r>
      <w:r w:rsidRPr="00F17C5F">
        <w:rPr>
          <w:rFonts w:ascii="Book Antiqua" w:eastAsia="宋体" w:hAnsi="Book Antiqua" w:cs="宋体"/>
          <w:b/>
          <w:bCs/>
          <w:color w:val="000000" w:themeColor="text1"/>
        </w:rPr>
        <w:t>306</w:t>
      </w:r>
      <w:r w:rsidRPr="00F17C5F">
        <w:rPr>
          <w:rFonts w:ascii="Book Antiqua" w:eastAsia="宋体" w:hAnsi="Book Antiqua" w:cs="宋体"/>
          <w:color w:val="000000" w:themeColor="text1"/>
        </w:rPr>
        <w:t>: 1659-1668 [PMID: 21976615 DOI: 10.1001/jama.2011.1471]</w:t>
      </w:r>
    </w:p>
    <w:p w14:paraId="2578F007"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39 </w:t>
      </w:r>
      <w:r w:rsidRPr="00F17C5F">
        <w:rPr>
          <w:rFonts w:ascii="Book Antiqua" w:eastAsia="宋体" w:hAnsi="Book Antiqua" w:cs="宋体"/>
          <w:b/>
          <w:bCs/>
          <w:color w:val="000000" w:themeColor="text1"/>
        </w:rPr>
        <w:t>Oliver WC</w:t>
      </w:r>
      <w:r w:rsidRPr="00F17C5F">
        <w:rPr>
          <w:rFonts w:ascii="Book Antiqua" w:eastAsia="宋体" w:hAnsi="Book Antiqua" w:cs="宋体"/>
          <w:color w:val="000000" w:themeColor="text1"/>
        </w:rPr>
        <w:t xml:space="preserve">. Anticoagulation and coagulation management for ECMO. </w:t>
      </w:r>
      <w:r w:rsidRPr="00F17C5F">
        <w:rPr>
          <w:rFonts w:ascii="Book Antiqua" w:eastAsia="宋体" w:hAnsi="Book Antiqua" w:cs="宋体"/>
          <w:i/>
          <w:iCs/>
          <w:color w:val="000000" w:themeColor="text1"/>
        </w:rPr>
        <w:t>Semin Cardiothorac Vasc Anesth</w:t>
      </w:r>
      <w:r w:rsidRPr="00F17C5F">
        <w:rPr>
          <w:rFonts w:ascii="Book Antiqua" w:eastAsia="宋体" w:hAnsi="Book Antiqua" w:cs="宋体"/>
          <w:color w:val="000000" w:themeColor="text1"/>
        </w:rPr>
        <w:t xml:space="preserve"> 2009; </w:t>
      </w:r>
      <w:r w:rsidRPr="00F17C5F">
        <w:rPr>
          <w:rFonts w:ascii="Book Antiqua" w:eastAsia="宋体" w:hAnsi="Book Antiqua" w:cs="宋体"/>
          <w:b/>
          <w:bCs/>
          <w:color w:val="000000" w:themeColor="text1"/>
        </w:rPr>
        <w:t>13</w:t>
      </w:r>
      <w:r w:rsidRPr="00F17C5F">
        <w:rPr>
          <w:rFonts w:ascii="Book Antiqua" w:eastAsia="宋体" w:hAnsi="Book Antiqua" w:cs="宋体"/>
          <w:color w:val="000000" w:themeColor="text1"/>
        </w:rPr>
        <w:t>: 154-175 [PMID: 19767408 DOI: 10.1177/1089253209347384]</w:t>
      </w:r>
    </w:p>
    <w:p w14:paraId="2B9CF950"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40 </w:t>
      </w:r>
      <w:r w:rsidRPr="00F17C5F">
        <w:rPr>
          <w:rFonts w:ascii="Book Antiqua" w:eastAsia="宋体" w:hAnsi="Book Antiqua" w:cs="宋体"/>
          <w:b/>
          <w:bCs/>
          <w:color w:val="000000" w:themeColor="text1"/>
        </w:rPr>
        <w:t>Shekar K</w:t>
      </w:r>
      <w:r w:rsidRPr="00F17C5F">
        <w:rPr>
          <w:rFonts w:ascii="Book Antiqua" w:eastAsia="宋体" w:hAnsi="Book Antiqua" w:cs="宋体"/>
          <w:color w:val="000000" w:themeColor="text1"/>
        </w:rPr>
        <w:t xml:space="preserve">, Fraser JF, Smith MT, Roberts JA. Pharmacokinetic changes in patients receiving extracorporeal membrane oxygenation. </w:t>
      </w:r>
      <w:r w:rsidRPr="00F17C5F">
        <w:rPr>
          <w:rFonts w:ascii="Book Antiqua" w:eastAsia="宋体" w:hAnsi="Book Antiqua" w:cs="宋体"/>
          <w:i/>
          <w:iCs/>
          <w:color w:val="000000" w:themeColor="text1"/>
        </w:rPr>
        <w:t>J Crit Care</w:t>
      </w:r>
      <w:r w:rsidRPr="00F17C5F">
        <w:rPr>
          <w:rFonts w:ascii="Book Antiqua" w:eastAsia="宋体" w:hAnsi="Book Antiqua" w:cs="宋体"/>
          <w:color w:val="000000" w:themeColor="text1"/>
        </w:rPr>
        <w:t xml:space="preserve"> 2012; </w:t>
      </w:r>
      <w:r w:rsidRPr="00F17C5F">
        <w:rPr>
          <w:rFonts w:ascii="Book Antiqua" w:eastAsia="宋体" w:hAnsi="Book Antiqua" w:cs="宋体"/>
          <w:b/>
          <w:bCs/>
          <w:color w:val="000000" w:themeColor="text1"/>
        </w:rPr>
        <w:t>27</w:t>
      </w:r>
      <w:r w:rsidRPr="00F17C5F">
        <w:rPr>
          <w:rFonts w:ascii="Book Antiqua" w:eastAsia="宋体" w:hAnsi="Book Antiqua" w:cs="宋体"/>
          <w:color w:val="000000" w:themeColor="text1"/>
        </w:rPr>
        <w:t>: 741.e9-741.18 [PMID: 22520488 DOI: 10.1016/j.jcrc.2012.02.013]</w:t>
      </w:r>
    </w:p>
    <w:p w14:paraId="40153174"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41 </w:t>
      </w:r>
      <w:r w:rsidRPr="00F17C5F">
        <w:rPr>
          <w:rFonts w:ascii="Book Antiqua" w:eastAsia="宋体" w:hAnsi="Book Antiqua" w:cs="宋体"/>
          <w:b/>
          <w:bCs/>
          <w:color w:val="000000" w:themeColor="text1"/>
        </w:rPr>
        <w:t>Shekar K</w:t>
      </w:r>
      <w:r w:rsidRPr="00F17C5F">
        <w:rPr>
          <w:rFonts w:ascii="Book Antiqua" w:eastAsia="宋体" w:hAnsi="Book Antiqua" w:cs="宋体"/>
          <w:color w:val="000000" w:themeColor="text1"/>
        </w:rPr>
        <w:t xml:space="preserve">, Fraser JF, Roberts JA. Can optimal drug dosing during ECMO improve outcomes? </w:t>
      </w:r>
      <w:r w:rsidRPr="00F17C5F">
        <w:rPr>
          <w:rFonts w:ascii="Book Antiqua" w:eastAsia="宋体" w:hAnsi="Book Antiqua" w:cs="宋体"/>
          <w:i/>
          <w:iCs/>
          <w:color w:val="000000" w:themeColor="text1"/>
        </w:rPr>
        <w:t>Intensive Care Med</w:t>
      </w:r>
      <w:r w:rsidRPr="00F17C5F">
        <w:rPr>
          <w:rFonts w:ascii="Book Antiqua" w:eastAsia="宋体" w:hAnsi="Book Antiqua" w:cs="宋体"/>
          <w:color w:val="000000" w:themeColor="text1"/>
        </w:rPr>
        <w:t xml:space="preserve"> 2013; </w:t>
      </w:r>
      <w:r w:rsidRPr="00F17C5F">
        <w:rPr>
          <w:rFonts w:ascii="Book Antiqua" w:eastAsia="宋体" w:hAnsi="Book Antiqua" w:cs="宋体"/>
          <w:b/>
          <w:bCs/>
          <w:color w:val="000000" w:themeColor="text1"/>
        </w:rPr>
        <w:t>39</w:t>
      </w:r>
      <w:r w:rsidRPr="00F17C5F">
        <w:rPr>
          <w:rFonts w:ascii="Book Antiqua" w:eastAsia="宋体" w:hAnsi="Book Antiqua" w:cs="宋体"/>
          <w:color w:val="000000" w:themeColor="text1"/>
        </w:rPr>
        <w:t>: 2237 [PMID: 24037225 DOI: 10.1007/s00134-013-3080-z]</w:t>
      </w:r>
    </w:p>
    <w:p w14:paraId="0816FC3F"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42 </w:t>
      </w:r>
      <w:r w:rsidRPr="00F17C5F">
        <w:rPr>
          <w:rFonts w:ascii="Book Antiqua" w:eastAsia="宋体" w:hAnsi="Book Antiqua" w:cs="宋体"/>
          <w:b/>
          <w:bCs/>
          <w:color w:val="000000" w:themeColor="text1"/>
        </w:rPr>
        <w:t>Shekar K</w:t>
      </w:r>
      <w:r w:rsidRPr="00F17C5F">
        <w:rPr>
          <w:rFonts w:ascii="Book Antiqua" w:eastAsia="宋体" w:hAnsi="Book Antiqua" w:cs="宋体"/>
          <w:color w:val="000000" w:themeColor="text1"/>
        </w:rPr>
        <w:t xml:space="preserve">, Roberts JA, Welch S, Buscher H, Rudham S, Burrows F, Ghassabian S, Wallis SC, Levkovich B, Pellegrino V, McGuinness S, Parke R, Gilder E, Barnett AG, Walsham J, Mullany DV, Fung YL, Smith MT, Fraser JF. ASAP ECMO: Antibiotic, Sedative and Analgesic Pharmacokinetics during Extracorporeal Membrane Oxygenation: a multi-centre study to optimise drug therapy during ECMO. </w:t>
      </w:r>
      <w:r w:rsidRPr="00F17C5F">
        <w:rPr>
          <w:rFonts w:ascii="Book Antiqua" w:eastAsia="宋体" w:hAnsi="Book Antiqua" w:cs="宋体"/>
          <w:i/>
          <w:iCs/>
          <w:color w:val="000000" w:themeColor="text1"/>
        </w:rPr>
        <w:t>BMC Anesthesiol</w:t>
      </w:r>
      <w:r w:rsidRPr="00F17C5F">
        <w:rPr>
          <w:rFonts w:ascii="Book Antiqua" w:eastAsia="宋体" w:hAnsi="Book Antiqua" w:cs="宋体"/>
          <w:color w:val="000000" w:themeColor="text1"/>
        </w:rPr>
        <w:t xml:space="preserve"> 2012; </w:t>
      </w:r>
      <w:r w:rsidRPr="00F17C5F">
        <w:rPr>
          <w:rFonts w:ascii="Book Antiqua" w:eastAsia="宋体" w:hAnsi="Book Antiqua" w:cs="宋体"/>
          <w:b/>
          <w:bCs/>
          <w:color w:val="000000" w:themeColor="text1"/>
        </w:rPr>
        <w:t>12</w:t>
      </w:r>
      <w:r w:rsidRPr="00F17C5F">
        <w:rPr>
          <w:rFonts w:ascii="Book Antiqua" w:eastAsia="宋体" w:hAnsi="Book Antiqua" w:cs="宋体"/>
          <w:color w:val="000000" w:themeColor="text1"/>
        </w:rPr>
        <w:t>: 29 [PMID: 23190792 DOI: 10.1186/1471-2253-12-29]</w:t>
      </w:r>
    </w:p>
    <w:p w14:paraId="74D7ACD7"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43 </w:t>
      </w:r>
      <w:r w:rsidRPr="00F17C5F">
        <w:rPr>
          <w:rFonts w:ascii="Book Antiqua" w:eastAsia="宋体" w:hAnsi="Book Antiqua" w:cs="宋体"/>
          <w:b/>
          <w:bCs/>
          <w:color w:val="000000" w:themeColor="text1"/>
        </w:rPr>
        <w:t>Shekar K</w:t>
      </w:r>
      <w:r w:rsidRPr="00F17C5F">
        <w:rPr>
          <w:rFonts w:ascii="Book Antiqua" w:eastAsia="宋体" w:hAnsi="Book Antiqua" w:cs="宋体"/>
          <w:color w:val="000000" w:themeColor="text1"/>
        </w:rPr>
        <w:t xml:space="preserve">, Roberts JA, Mcdonald CI, Fisquet S, Barnett AG, Mullany DV, Ghassabian S, Wallis SC, Fung YL, Smith MT, Fraser JF. Sequestration of drugs in the circuit may lead to therapeutic failure during extracorporeal membrane oxygenation. </w:t>
      </w:r>
      <w:r w:rsidRPr="00F17C5F">
        <w:rPr>
          <w:rFonts w:ascii="Book Antiqua" w:eastAsia="宋体" w:hAnsi="Book Antiqua" w:cs="宋体"/>
          <w:i/>
          <w:iCs/>
          <w:color w:val="000000" w:themeColor="text1"/>
        </w:rPr>
        <w:t>Crit Care</w:t>
      </w:r>
      <w:r w:rsidRPr="00F17C5F">
        <w:rPr>
          <w:rFonts w:ascii="Book Antiqua" w:eastAsia="宋体" w:hAnsi="Book Antiqua" w:cs="宋体"/>
          <w:color w:val="000000" w:themeColor="text1"/>
        </w:rPr>
        <w:t xml:space="preserve"> 2012; </w:t>
      </w:r>
      <w:r w:rsidRPr="00F17C5F">
        <w:rPr>
          <w:rFonts w:ascii="Book Antiqua" w:eastAsia="宋体" w:hAnsi="Book Antiqua" w:cs="宋体"/>
          <w:b/>
          <w:bCs/>
          <w:color w:val="000000" w:themeColor="text1"/>
        </w:rPr>
        <w:t>16</w:t>
      </w:r>
      <w:r w:rsidRPr="00F17C5F">
        <w:rPr>
          <w:rFonts w:ascii="Book Antiqua" w:eastAsia="宋体" w:hAnsi="Book Antiqua" w:cs="宋体"/>
          <w:color w:val="000000" w:themeColor="text1"/>
        </w:rPr>
        <w:t>: R194 [PMID: 23068416 DOI: 10.1186/cc11679]</w:t>
      </w:r>
    </w:p>
    <w:p w14:paraId="110E978A"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44 </w:t>
      </w:r>
      <w:r w:rsidRPr="00F17C5F">
        <w:rPr>
          <w:rFonts w:ascii="Book Antiqua" w:eastAsia="宋体" w:hAnsi="Book Antiqua" w:cs="宋体"/>
          <w:b/>
          <w:bCs/>
          <w:color w:val="000000" w:themeColor="text1"/>
        </w:rPr>
        <w:t>Tong H</w:t>
      </w:r>
      <w:r w:rsidRPr="00F17C5F">
        <w:rPr>
          <w:rFonts w:ascii="Book Antiqua" w:eastAsia="宋体" w:hAnsi="Book Antiqua" w:cs="宋体"/>
          <w:color w:val="000000" w:themeColor="text1"/>
        </w:rPr>
        <w:t xml:space="preserve">, Chen W, Steenbergen C, Murphy E. Ischemic preconditioning activates phosphatidylinositol-3-kinase upstream of protein kinase C. </w:t>
      </w:r>
      <w:r w:rsidRPr="00F17C5F">
        <w:rPr>
          <w:rFonts w:ascii="Book Antiqua" w:eastAsia="宋体" w:hAnsi="Book Antiqua" w:cs="宋体"/>
          <w:i/>
          <w:iCs/>
          <w:color w:val="000000" w:themeColor="text1"/>
        </w:rPr>
        <w:t>Circ Res</w:t>
      </w:r>
      <w:r w:rsidRPr="00F17C5F">
        <w:rPr>
          <w:rFonts w:ascii="Book Antiqua" w:eastAsia="宋体" w:hAnsi="Book Antiqua" w:cs="宋体"/>
          <w:color w:val="000000" w:themeColor="text1"/>
        </w:rPr>
        <w:t xml:space="preserve"> 2000; </w:t>
      </w:r>
      <w:r w:rsidRPr="00F17C5F">
        <w:rPr>
          <w:rFonts w:ascii="Book Antiqua" w:eastAsia="宋体" w:hAnsi="Book Antiqua" w:cs="宋体"/>
          <w:b/>
          <w:bCs/>
          <w:color w:val="000000" w:themeColor="text1"/>
        </w:rPr>
        <w:t>87</w:t>
      </w:r>
      <w:r w:rsidRPr="00F17C5F">
        <w:rPr>
          <w:rFonts w:ascii="Book Antiqua" w:eastAsia="宋体" w:hAnsi="Book Antiqua" w:cs="宋体"/>
          <w:color w:val="000000" w:themeColor="text1"/>
        </w:rPr>
        <w:t>: 309-315 [PMID: 10948065 DOI: 10.1191/0267659105pf827oa]</w:t>
      </w:r>
    </w:p>
    <w:p w14:paraId="77D83E1B"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45 </w:t>
      </w:r>
      <w:r w:rsidRPr="00F17C5F">
        <w:rPr>
          <w:rFonts w:ascii="Book Antiqua" w:eastAsia="宋体" w:hAnsi="Book Antiqua" w:cs="宋体"/>
          <w:b/>
          <w:bCs/>
          <w:color w:val="000000" w:themeColor="text1"/>
        </w:rPr>
        <w:t>Mulla H</w:t>
      </w:r>
      <w:r w:rsidRPr="00F17C5F">
        <w:rPr>
          <w:rFonts w:ascii="Book Antiqua" w:eastAsia="宋体" w:hAnsi="Book Antiqua" w:cs="宋体"/>
          <w:color w:val="000000" w:themeColor="text1"/>
        </w:rPr>
        <w:t xml:space="preserve">, Peek GJ, Harvey C, Westrope C, Kidy Z, Ramaiah R. Oseltamivir pharmacokinetics in critically ill adults receiving extracorporeal membrane oxygenation support. </w:t>
      </w:r>
      <w:r w:rsidRPr="00F17C5F">
        <w:rPr>
          <w:rFonts w:ascii="Book Antiqua" w:eastAsia="宋体" w:hAnsi="Book Antiqua" w:cs="宋体"/>
          <w:i/>
          <w:iCs/>
          <w:color w:val="000000" w:themeColor="text1"/>
        </w:rPr>
        <w:t>Anaesth Intensive Care</w:t>
      </w:r>
      <w:r w:rsidRPr="00F17C5F">
        <w:rPr>
          <w:rFonts w:ascii="Book Antiqua" w:eastAsia="宋体" w:hAnsi="Book Antiqua" w:cs="宋体"/>
          <w:color w:val="000000" w:themeColor="text1"/>
        </w:rPr>
        <w:t xml:space="preserve"> 2013; </w:t>
      </w:r>
      <w:r w:rsidRPr="00F17C5F">
        <w:rPr>
          <w:rFonts w:ascii="Book Antiqua" w:eastAsia="宋体" w:hAnsi="Book Antiqua" w:cs="宋体"/>
          <w:b/>
          <w:bCs/>
          <w:color w:val="000000" w:themeColor="text1"/>
        </w:rPr>
        <w:t>41</w:t>
      </w:r>
      <w:r w:rsidRPr="00F17C5F">
        <w:rPr>
          <w:rFonts w:ascii="Book Antiqua" w:eastAsia="宋体" w:hAnsi="Book Antiqua" w:cs="宋体"/>
          <w:color w:val="000000" w:themeColor="text1"/>
        </w:rPr>
        <w:t>: 66-73 [PMID: 23362894]</w:t>
      </w:r>
    </w:p>
    <w:p w14:paraId="3DD37BC2"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46 </w:t>
      </w:r>
      <w:r w:rsidRPr="00F17C5F">
        <w:rPr>
          <w:rFonts w:ascii="Book Antiqua" w:eastAsia="宋体" w:hAnsi="Book Antiqua" w:cs="宋体"/>
          <w:b/>
          <w:bCs/>
          <w:color w:val="000000" w:themeColor="text1"/>
        </w:rPr>
        <w:t>Eyler RF</w:t>
      </w:r>
      <w:r w:rsidRPr="00F17C5F">
        <w:rPr>
          <w:rFonts w:ascii="Book Antiqua" w:eastAsia="宋体" w:hAnsi="Book Antiqua" w:cs="宋体"/>
          <w:color w:val="000000" w:themeColor="text1"/>
        </w:rPr>
        <w:t xml:space="preserve">, Heung M, Pleva M, Sowinski KM, Park PK, Napolitano LM, Mueller BA. Pharmacokinetics of oseltamivir and oseltamivir carboxylate in critically ill patients receiving continuous venovenous hemodialysis and/or extracorporeal membrane oxygenation. </w:t>
      </w:r>
      <w:r w:rsidRPr="00F17C5F">
        <w:rPr>
          <w:rFonts w:ascii="Book Antiqua" w:eastAsia="宋体" w:hAnsi="Book Antiqua" w:cs="宋体"/>
          <w:i/>
          <w:iCs/>
          <w:color w:val="000000" w:themeColor="text1"/>
        </w:rPr>
        <w:t>Pharmacotherapy</w:t>
      </w:r>
      <w:r w:rsidRPr="00F17C5F">
        <w:rPr>
          <w:rFonts w:ascii="Book Antiqua" w:eastAsia="宋体" w:hAnsi="Book Antiqua" w:cs="宋体"/>
          <w:color w:val="000000" w:themeColor="text1"/>
        </w:rPr>
        <w:t xml:space="preserve"> 2012; </w:t>
      </w:r>
      <w:r w:rsidRPr="00F17C5F">
        <w:rPr>
          <w:rFonts w:ascii="Book Antiqua" w:eastAsia="宋体" w:hAnsi="Book Antiqua" w:cs="宋体"/>
          <w:b/>
          <w:bCs/>
          <w:color w:val="000000" w:themeColor="text1"/>
        </w:rPr>
        <w:t>32</w:t>
      </w:r>
      <w:r w:rsidRPr="00F17C5F">
        <w:rPr>
          <w:rFonts w:ascii="Book Antiqua" w:eastAsia="宋体" w:hAnsi="Book Antiqua" w:cs="宋体"/>
          <w:color w:val="000000" w:themeColor="text1"/>
        </w:rPr>
        <w:t>: 1061-1069 [PMID: 23208833 DOI: 10.1002/phar.1151]</w:t>
      </w:r>
    </w:p>
    <w:p w14:paraId="753F952B"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47 </w:t>
      </w:r>
      <w:r w:rsidRPr="00F17C5F">
        <w:rPr>
          <w:rFonts w:ascii="Book Antiqua" w:eastAsia="宋体" w:hAnsi="Book Antiqua" w:cs="宋体"/>
          <w:b/>
          <w:bCs/>
          <w:color w:val="000000" w:themeColor="text1"/>
        </w:rPr>
        <w:t>Kromdijk W</w:t>
      </w:r>
      <w:r w:rsidRPr="00F17C5F">
        <w:rPr>
          <w:rFonts w:ascii="Book Antiqua" w:eastAsia="宋体" w:hAnsi="Book Antiqua" w:cs="宋体"/>
          <w:color w:val="000000" w:themeColor="text1"/>
        </w:rPr>
        <w:t xml:space="preserve">, Sikma MA, van den Broek MP, Beijnen JH, Huitema AD, de Lange DW. Pharmacokinetics of oseltamivir carboxylate in critically ill patients: each patient is unique. </w:t>
      </w:r>
      <w:r w:rsidRPr="00F17C5F">
        <w:rPr>
          <w:rFonts w:ascii="Book Antiqua" w:eastAsia="宋体" w:hAnsi="Book Antiqua" w:cs="宋体"/>
          <w:i/>
          <w:iCs/>
          <w:color w:val="000000" w:themeColor="text1"/>
        </w:rPr>
        <w:t>Intensive Care Med</w:t>
      </w:r>
      <w:r w:rsidRPr="00F17C5F">
        <w:rPr>
          <w:rFonts w:ascii="Book Antiqua" w:eastAsia="宋体" w:hAnsi="Book Antiqua" w:cs="宋体"/>
          <w:color w:val="000000" w:themeColor="text1"/>
        </w:rPr>
        <w:t xml:space="preserve"> 2013; </w:t>
      </w:r>
      <w:r w:rsidRPr="00F17C5F">
        <w:rPr>
          <w:rFonts w:ascii="Book Antiqua" w:eastAsia="宋体" w:hAnsi="Book Antiqua" w:cs="宋体"/>
          <w:b/>
          <w:bCs/>
          <w:color w:val="000000" w:themeColor="text1"/>
        </w:rPr>
        <w:t>39</w:t>
      </w:r>
      <w:r w:rsidRPr="00F17C5F">
        <w:rPr>
          <w:rFonts w:ascii="Book Antiqua" w:eastAsia="宋体" w:hAnsi="Book Antiqua" w:cs="宋体"/>
          <w:color w:val="000000" w:themeColor="text1"/>
        </w:rPr>
        <w:t>: 977-978 [PMID: 23443310 DOI: 10.1007/s00134-013-2851-x]</w:t>
      </w:r>
    </w:p>
    <w:p w14:paraId="234A8EB4"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48 </w:t>
      </w:r>
      <w:r w:rsidRPr="00F17C5F">
        <w:rPr>
          <w:rFonts w:ascii="Book Antiqua" w:eastAsia="宋体" w:hAnsi="Book Antiqua" w:cs="宋体"/>
          <w:b/>
          <w:bCs/>
          <w:color w:val="000000" w:themeColor="text1"/>
        </w:rPr>
        <w:t>Spriet I</w:t>
      </w:r>
      <w:r w:rsidRPr="00F17C5F">
        <w:rPr>
          <w:rFonts w:ascii="Book Antiqua" w:eastAsia="宋体" w:hAnsi="Book Antiqua" w:cs="宋体"/>
          <w:color w:val="000000" w:themeColor="text1"/>
        </w:rPr>
        <w:t xml:space="preserve">, Annaert P, Meersseman P, Hermans G, Meersseman W, Verbesselt R, Willems L. Pharmacokinetics of caspofungin and voriconazole in critically ill patients during extracorporeal membrane oxygenation. </w:t>
      </w:r>
      <w:r w:rsidRPr="00F17C5F">
        <w:rPr>
          <w:rFonts w:ascii="Book Antiqua" w:eastAsia="宋体" w:hAnsi="Book Antiqua" w:cs="宋体"/>
          <w:i/>
          <w:iCs/>
          <w:color w:val="000000" w:themeColor="text1"/>
        </w:rPr>
        <w:t>J Antimicrob Chemother</w:t>
      </w:r>
      <w:r w:rsidRPr="00F17C5F">
        <w:rPr>
          <w:rFonts w:ascii="Book Antiqua" w:eastAsia="宋体" w:hAnsi="Book Antiqua" w:cs="宋体"/>
          <w:color w:val="000000" w:themeColor="text1"/>
        </w:rPr>
        <w:t xml:space="preserve"> 2009; </w:t>
      </w:r>
      <w:r w:rsidRPr="00F17C5F">
        <w:rPr>
          <w:rFonts w:ascii="Book Antiqua" w:eastAsia="宋体" w:hAnsi="Book Antiqua" w:cs="宋体"/>
          <w:b/>
          <w:bCs/>
          <w:color w:val="000000" w:themeColor="text1"/>
        </w:rPr>
        <w:t>63</w:t>
      </w:r>
      <w:r w:rsidRPr="00F17C5F">
        <w:rPr>
          <w:rFonts w:ascii="Book Antiqua" w:eastAsia="宋体" w:hAnsi="Book Antiqua" w:cs="宋体"/>
          <w:color w:val="000000" w:themeColor="text1"/>
        </w:rPr>
        <w:t>: 767-770 [PMID: 19218271 DOI: 10.1093/jac/dkp026]</w:t>
      </w:r>
    </w:p>
    <w:p w14:paraId="7E51616F"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49 </w:t>
      </w:r>
      <w:r w:rsidRPr="00F17C5F">
        <w:rPr>
          <w:rFonts w:ascii="Book Antiqua" w:eastAsia="宋体" w:hAnsi="Book Antiqua" w:cs="宋体"/>
          <w:b/>
          <w:bCs/>
          <w:color w:val="000000" w:themeColor="text1"/>
        </w:rPr>
        <w:t>Beiderlinden M</w:t>
      </w:r>
      <w:r w:rsidRPr="00F17C5F">
        <w:rPr>
          <w:rFonts w:ascii="Book Antiqua" w:eastAsia="宋体" w:hAnsi="Book Antiqua" w:cs="宋体"/>
          <w:color w:val="000000" w:themeColor="text1"/>
        </w:rPr>
        <w:t xml:space="preserve">, Treschan T, Görlinger K, Peters J. Argatroban in extracorporeal membrane oxygenation. </w:t>
      </w:r>
      <w:r w:rsidRPr="00F17C5F">
        <w:rPr>
          <w:rFonts w:ascii="Book Antiqua" w:eastAsia="宋体" w:hAnsi="Book Antiqua" w:cs="宋体"/>
          <w:i/>
          <w:iCs/>
          <w:color w:val="000000" w:themeColor="text1"/>
        </w:rPr>
        <w:t>Artif Organs</w:t>
      </w:r>
      <w:r w:rsidRPr="00F17C5F">
        <w:rPr>
          <w:rFonts w:ascii="Book Antiqua" w:eastAsia="宋体" w:hAnsi="Book Antiqua" w:cs="宋体"/>
          <w:color w:val="000000" w:themeColor="text1"/>
        </w:rPr>
        <w:t xml:space="preserve"> 2007; </w:t>
      </w:r>
      <w:r w:rsidRPr="00F17C5F">
        <w:rPr>
          <w:rFonts w:ascii="Book Antiqua" w:eastAsia="宋体" w:hAnsi="Book Antiqua" w:cs="宋体"/>
          <w:b/>
          <w:bCs/>
          <w:color w:val="000000" w:themeColor="text1"/>
        </w:rPr>
        <w:t>31</w:t>
      </w:r>
      <w:r w:rsidRPr="00F17C5F">
        <w:rPr>
          <w:rFonts w:ascii="Book Antiqua" w:eastAsia="宋体" w:hAnsi="Book Antiqua" w:cs="宋体"/>
          <w:color w:val="000000" w:themeColor="text1"/>
        </w:rPr>
        <w:t>: 461-465 [PMID: 17537058 DOI: 10.1111/j.1525-1594.2007.00388.x]</w:t>
      </w:r>
    </w:p>
    <w:p w14:paraId="1313DB8F"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50 </w:t>
      </w:r>
      <w:r w:rsidRPr="00F17C5F">
        <w:rPr>
          <w:rFonts w:ascii="Book Antiqua" w:eastAsia="宋体" w:hAnsi="Book Antiqua" w:cs="宋体"/>
          <w:b/>
          <w:bCs/>
          <w:color w:val="000000" w:themeColor="text1"/>
        </w:rPr>
        <w:t>Shekar K</w:t>
      </w:r>
      <w:r w:rsidRPr="00F17C5F">
        <w:rPr>
          <w:rFonts w:ascii="Book Antiqua" w:eastAsia="宋体" w:hAnsi="Book Antiqua" w:cs="宋体"/>
          <w:color w:val="000000" w:themeColor="text1"/>
        </w:rPr>
        <w:t xml:space="preserve">, Roberts JA, Mullany DV, Corley A, Fisquet S, Bull TN, Barnett AG, Fraser JF. Increased sedation requirements in patients receiving extracorporeal membrane oxygenation for respiratory and cardiorespiratory failure. </w:t>
      </w:r>
      <w:r w:rsidRPr="00F17C5F">
        <w:rPr>
          <w:rFonts w:ascii="Book Antiqua" w:eastAsia="宋体" w:hAnsi="Book Antiqua" w:cs="宋体"/>
          <w:i/>
          <w:iCs/>
          <w:color w:val="000000" w:themeColor="text1"/>
        </w:rPr>
        <w:t>Anaesth Intensive Care</w:t>
      </w:r>
      <w:r w:rsidRPr="00F17C5F">
        <w:rPr>
          <w:rFonts w:ascii="Book Antiqua" w:eastAsia="宋体" w:hAnsi="Book Antiqua" w:cs="宋体"/>
          <w:color w:val="000000" w:themeColor="text1"/>
        </w:rPr>
        <w:t xml:space="preserve"> 2012; </w:t>
      </w:r>
      <w:r w:rsidRPr="00F17C5F">
        <w:rPr>
          <w:rFonts w:ascii="Book Antiqua" w:eastAsia="宋体" w:hAnsi="Book Antiqua" w:cs="宋体"/>
          <w:b/>
          <w:bCs/>
          <w:color w:val="000000" w:themeColor="text1"/>
        </w:rPr>
        <w:t>40</w:t>
      </w:r>
      <w:r w:rsidRPr="00F17C5F">
        <w:rPr>
          <w:rFonts w:ascii="Book Antiqua" w:eastAsia="宋体" w:hAnsi="Book Antiqua" w:cs="宋体"/>
          <w:color w:val="000000" w:themeColor="text1"/>
        </w:rPr>
        <w:t>: 648-655 [PMID: 22813493]</w:t>
      </w:r>
    </w:p>
    <w:p w14:paraId="7BDAB691"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51 </w:t>
      </w:r>
      <w:r w:rsidRPr="00F17C5F">
        <w:rPr>
          <w:rFonts w:ascii="Book Antiqua" w:eastAsia="宋体" w:hAnsi="Book Antiqua" w:cs="宋体"/>
          <w:b/>
          <w:bCs/>
          <w:color w:val="000000" w:themeColor="text1"/>
        </w:rPr>
        <w:t>Franck LS</w:t>
      </w:r>
      <w:r w:rsidRPr="00F17C5F">
        <w:rPr>
          <w:rFonts w:ascii="Book Antiqua" w:eastAsia="宋体" w:hAnsi="Book Antiqua" w:cs="宋体"/>
          <w:color w:val="000000" w:themeColor="text1"/>
        </w:rPr>
        <w:t xml:space="preserve">, Vilardi J, Durand D, Powers R. Opioid withdrawal in neonates after continuous infusions of morphine or fentanyl during extracorporeal membrane oxygenation. </w:t>
      </w:r>
      <w:r w:rsidRPr="00F17C5F">
        <w:rPr>
          <w:rFonts w:ascii="Book Antiqua" w:eastAsia="宋体" w:hAnsi="Book Antiqua" w:cs="宋体"/>
          <w:i/>
          <w:iCs/>
          <w:color w:val="000000" w:themeColor="text1"/>
        </w:rPr>
        <w:t>Am J Crit Care</w:t>
      </w:r>
      <w:r w:rsidRPr="00F17C5F">
        <w:rPr>
          <w:rFonts w:ascii="Book Antiqua" w:eastAsia="宋体" w:hAnsi="Book Antiqua" w:cs="宋体"/>
          <w:color w:val="000000" w:themeColor="text1"/>
        </w:rPr>
        <w:t xml:space="preserve"> 1998; </w:t>
      </w:r>
      <w:r w:rsidRPr="00F17C5F">
        <w:rPr>
          <w:rFonts w:ascii="Book Antiqua" w:eastAsia="宋体" w:hAnsi="Book Antiqua" w:cs="宋体"/>
          <w:b/>
          <w:bCs/>
          <w:color w:val="000000" w:themeColor="text1"/>
        </w:rPr>
        <w:t>7</w:t>
      </w:r>
      <w:r w:rsidRPr="00F17C5F">
        <w:rPr>
          <w:rFonts w:ascii="Book Antiqua" w:eastAsia="宋体" w:hAnsi="Book Antiqua" w:cs="宋体"/>
          <w:color w:val="000000" w:themeColor="text1"/>
        </w:rPr>
        <w:t>: 364-369 [PMID: 9740886]</w:t>
      </w:r>
    </w:p>
    <w:p w14:paraId="109ACCAB"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52 </w:t>
      </w:r>
      <w:r w:rsidRPr="00F17C5F">
        <w:rPr>
          <w:rFonts w:ascii="Book Antiqua" w:eastAsia="宋体" w:hAnsi="Book Antiqua" w:cs="宋体"/>
          <w:b/>
          <w:bCs/>
          <w:color w:val="000000" w:themeColor="text1"/>
        </w:rPr>
        <w:t>Ibrahim RB</w:t>
      </w:r>
      <w:r w:rsidRPr="00F17C5F">
        <w:rPr>
          <w:rFonts w:ascii="Book Antiqua" w:eastAsia="宋体" w:hAnsi="Book Antiqua" w:cs="宋体"/>
          <w:color w:val="000000" w:themeColor="text1"/>
        </w:rPr>
        <w:t xml:space="preserve">, Liu C, Cronin SM, Murphy BC, Cha R, Swerdlow P, Edwards DJ. Drug removal by plasmapheresis: an evidence-based review. </w:t>
      </w:r>
      <w:r w:rsidRPr="00F17C5F">
        <w:rPr>
          <w:rFonts w:ascii="Book Antiqua" w:eastAsia="宋体" w:hAnsi="Book Antiqua" w:cs="宋体"/>
          <w:i/>
          <w:iCs/>
          <w:color w:val="000000" w:themeColor="text1"/>
        </w:rPr>
        <w:t>Pharmacotherapy</w:t>
      </w:r>
      <w:r w:rsidRPr="00F17C5F">
        <w:rPr>
          <w:rFonts w:ascii="Book Antiqua" w:eastAsia="宋体" w:hAnsi="Book Antiqua" w:cs="宋体"/>
          <w:color w:val="000000" w:themeColor="text1"/>
        </w:rPr>
        <w:t xml:space="preserve"> 2007; </w:t>
      </w:r>
      <w:r w:rsidRPr="00F17C5F">
        <w:rPr>
          <w:rFonts w:ascii="Book Antiqua" w:eastAsia="宋体" w:hAnsi="Book Antiqua" w:cs="宋体"/>
          <w:b/>
          <w:bCs/>
          <w:color w:val="000000" w:themeColor="text1"/>
        </w:rPr>
        <w:t>27</w:t>
      </w:r>
      <w:r w:rsidRPr="00F17C5F">
        <w:rPr>
          <w:rFonts w:ascii="Book Antiqua" w:eastAsia="宋体" w:hAnsi="Book Antiqua" w:cs="宋体"/>
          <w:color w:val="000000" w:themeColor="text1"/>
        </w:rPr>
        <w:t>: 1529-1549 [PMID: 17963462 DOI: 10.1592/phco.27.11.1529]</w:t>
      </w:r>
    </w:p>
    <w:p w14:paraId="1DAA767E"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53 </w:t>
      </w:r>
      <w:r w:rsidRPr="00F17C5F">
        <w:rPr>
          <w:rFonts w:ascii="Book Antiqua" w:eastAsia="宋体" w:hAnsi="Book Antiqua" w:cs="宋体"/>
          <w:b/>
          <w:bCs/>
          <w:color w:val="000000" w:themeColor="text1"/>
        </w:rPr>
        <w:t>Smith JW</w:t>
      </w:r>
      <w:r w:rsidRPr="00F17C5F">
        <w:rPr>
          <w:rFonts w:ascii="Book Antiqua" w:eastAsia="宋体" w:hAnsi="Book Antiqua" w:cs="宋体"/>
          <w:color w:val="000000" w:themeColor="text1"/>
        </w:rPr>
        <w:t xml:space="preserve">, Weinstein R, Hillyer KL. Therapeutic apheresis: a summary of current indication categories endorsed by the AABB and the American Society for Apheresis. </w:t>
      </w:r>
      <w:r w:rsidRPr="00F17C5F">
        <w:rPr>
          <w:rFonts w:ascii="Book Antiqua" w:eastAsia="宋体" w:hAnsi="Book Antiqua" w:cs="宋体"/>
          <w:i/>
          <w:iCs/>
          <w:color w:val="000000" w:themeColor="text1"/>
        </w:rPr>
        <w:t>Transfusion</w:t>
      </w:r>
      <w:r w:rsidRPr="00F17C5F">
        <w:rPr>
          <w:rFonts w:ascii="Book Antiqua" w:eastAsia="宋体" w:hAnsi="Book Antiqua" w:cs="宋体"/>
          <w:color w:val="000000" w:themeColor="text1"/>
        </w:rPr>
        <w:t xml:space="preserve"> 2003; </w:t>
      </w:r>
      <w:r w:rsidRPr="00F17C5F">
        <w:rPr>
          <w:rFonts w:ascii="Book Antiqua" w:eastAsia="宋体" w:hAnsi="Book Antiqua" w:cs="宋体"/>
          <w:b/>
          <w:bCs/>
          <w:color w:val="000000" w:themeColor="text1"/>
        </w:rPr>
        <w:t>43</w:t>
      </w:r>
      <w:r w:rsidRPr="00F17C5F">
        <w:rPr>
          <w:rFonts w:ascii="Book Antiqua" w:eastAsia="宋体" w:hAnsi="Book Antiqua" w:cs="宋体"/>
          <w:color w:val="000000" w:themeColor="text1"/>
        </w:rPr>
        <w:t>: 820-822 [PMID: 12757535 DOI: 10.1046/j.1537-2995.2003.00397.x]</w:t>
      </w:r>
    </w:p>
    <w:p w14:paraId="2F90865B" w14:textId="77777777" w:rsidR="0042752D" w:rsidRPr="00F17C5F" w:rsidRDefault="0042752D" w:rsidP="00F17C5F">
      <w:pPr>
        <w:spacing w:after="0" w:line="360" w:lineRule="auto"/>
        <w:jc w:val="both"/>
        <w:rPr>
          <w:rFonts w:ascii="Book Antiqua" w:eastAsia="宋体" w:hAnsi="Book Antiqua" w:cs="宋体"/>
          <w:color w:val="000000" w:themeColor="text1"/>
        </w:rPr>
      </w:pPr>
      <w:r w:rsidRPr="00F17C5F">
        <w:rPr>
          <w:rFonts w:ascii="Book Antiqua" w:eastAsia="宋体" w:hAnsi="Book Antiqua" w:cs="宋体"/>
          <w:color w:val="000000" w:themeColor="text1"/>
        </w:rPr>
        <w:t xml:space="preserve">54 </w:t>
      </w:r>
      <w:r w:rsidRPr="00F17C5F">
        <w:rPr>
          <w:rFonts w:ascii="Book Antiqua" w:eastAsia="宋体" w:hAnsi="Book Antiqua" w:cs="宋体"/>
          <w:b/>
          <w:bCs/>
          <w:color w:val="000000" w:themeColor="text1"/>
        </w:rPr>
        <w:t>Ibrahim RB</w:t>
      </w:r>
      <w:r w:rsidRPr="00F17C5F">
        <w:rPr>
          <w:rFonts w:ascii="Book Antiqua" w:eastAsia="宋体" w:hAnsi="Book Antiqua" w:cs="宋体"/>
          <w:color w:val="000000" w:themeColor="text1"/>
        </w:rPr>
        <w:t xml:space="preserve">, Balogun RA. Medications in patients treated with therapeutic plasma exchange: prescription dosage, timing, and drug overdose. </w:t>
      </w:r>
      <w:r w:rsidRPr="00F17C5F">
        <w:rPr>
          <w:rFonts w:ascii="Book Antiqua" w:eastAsia="宋体" w:hAnsi="Book Antiqua" w:cs="宋体"/>
          <w:i/>
          <w:iCs/>
          <w:color w:val="000000" w:themeColor="text1"/>
        </w:rPr>
        <w:t>Semin Dial</w:t>
      </w:r>
      <w:r w:rsidRPr="00F17C5F">
        <w:rPr>
          <w:rFonts w:ascii="Book Antiqua" w:eastAsia="宋体" w:hAnsi="Book Antiqua" w:cs="宋体"/>
          <w:color w:val="000000" w:themeColor="text1"/>
        </w:rPr>
        <w:t xml:space="preserve"> 2012; </w:t>
      </w:r>
      <w:r w:rsidRPr="00F17C5F">
        <w:rPr>
          <w:rFonts w:ascii="Book Antiqua" w:eastAsia="宋体" w:hAnsi="Book Antiqua" w:cs="宋体"/>
          <w:b/>
          <w:bCs/>
          <w:color w:val="000000" w:themeColor="text1"/>
        </w:rPr>
        <w:t>25</w:t>
      </w:r>
      <w:r w:rsidRPr="00F17C5F">
        <w:rPr>
          <w:rFonts w:ascii="Book Antiqua" w:eastAsia="宋体" w:hAnsi="Book Antiqua" w:cs="宋体"/>
          <w:color w:val="000000" w:themeColor="text1"/>
        </w:rPr>
        <w:t>: 176-189 [PMID: 22321259 DOI: 10.1111/j.1525-139X.2011.01030.x]</w:t>
      </w:r>
    </w:p>
    <w:p w14:paraId="5966E747" w14:textId="15B25A72" w:rsidR="00321C2F" w:rsidRPr="00F17C5F" w:rsidRDefault="0042752D" w:rsidP="00F17C5F">
      <w:pPr>
        <w:spacing w:after="0" w:line="360" w:lineRule="auto"/>
        <w:jc w:val="both"/>
        <w:rPr>
          <w:rFonts w:ascii="Book Antiqua" w:eastAsia="宋体" w:hAnsi="Book Antiqua" w:cs="宋体"/>
          <w:color w:val="000000" w:themeColor="text1"/>
          <w:lang w:eastAsia="zh-CN"/>
        </w:rPr>
      </w:pPr>
      <w:r w:rsidRPr="00F17C5F">
        <w:rPr>
          <w:rFonts w:ascii="Book Antiqua" w:eastAsia="宋体" w:hAnsi="Book Antiqua" w:cs="宋体"/>
          <w:color w:val="000000" w:themeColor="text1"/>
        </w:rPr>
        <w:t xml:space="preserve">55 </w:t>
      </w:r>
      <w:r w:rsidRPr="00F17C5F">
        <w:rPr>
          <w:rFonts w:ascii="Book Antiqua" w:eastAsia="宋体" w:hAnsi="Book Antiqua" w:cs="宋体"/>
          <w:b/>
          <w:bCs/>
          <w:color w:val="000000" w:themeColor="text1"/>
        </w:rPr>
        <w:t>Spriet I</w:t>
      </w:r>
      <w:r w:rsidRPr="00F17C5F">
        <w:rPr>
          <w:rFonts w:ascii="Book Antiqua" w:eastAsia="宋体" w:hAnsi="Book Antiqua" w:cs="宋体"/>
          <w:color w:val="000000" w:themeColor="text1"/>
        </w:rPr>
        <w:t xml:space="preserve">, Brüggemann RJ, Annaert P, Meersseman P, Van Wijngaerden E, Lagrou K, Willems L. Pharmacokinetic profile of voriconazole in a critically ill patient on therapeutic plasma exchange. </w:t>
      </w:r>
      <w:r w:rsidRPr="00F17C5F">
        <w:rPr>
          <w:rFonts w:ascii="Book Antiqua" w:eastAsia="宋体" w:hAnsi="Book Antiqua" w:cs="宋体"/>
          <w:i/>
          <w:iCs/>
          <w:color w:val="000000" w:themeColor="text1"/>
        </w:rPr>
        <w:t>Ther Drug Monit</w:t>
      </w:r>
      <w:r w:rsidRPr="00F17C5F">
        <w:rPr>
          <w:rFonts w:ascii="Book Antiqua" w:eastAsia="宋体" w:hAnsi="Book Antiqua" w:cs="宋体"/>
          <w:color w:val="000000" w:themeColor="text1"/>
        </w:rPr>
        <w:t xml:space="preserve"> 2013; </w:t>
      </w:r>
      <w:r w:rsidRPr="00F17C5F">
        <w:rPr>
          <w:rFonts w:ascii="Book Antiqua" w:eastAsia="宋体" w:hAnsi="Book Antiqua" w:cs="宋体"/>
          <w:b/>
          <w:bCs/>
          <w:color w:val="000000" w:themeColor="text1"/>
        </w:rPr>
        <w:t>35</w:t>
      </w:r>
      <w:r w:rsidRPr="00F17C5F">
        <w:rPr>
          <w:rFonts w:ascii="Book Antiqua" w:eastAsia="宋体" w:hAnsi="Book Antiqua" w:cs="宋体"/>
          <w:color w:val="000000" w:themeColor="text1"/>
        </w:rPr>
        <w:t>: 141-143 [PMID: 23296095 DOI: 10.1097/FTD.0b013e31827d76b0]</w:t>
      </w:r>
    </w:p>
    <w:p w14:paraId="76448D78" w14:textId="550843F1" w:rsidR="00185DD2" w:rsidRPr="00F17C5F" w:rsidRDefault="00185DD2" w:rsidP="00F17C5F">
      <w:pPr>
        <w:pStyle w:val="Default"/>
        <w:spacing w:line="360" w:lineRule="auto"/>
        <w:jc w:val="both"/>
        <w:rPr>
          <w:rFonts w:ascii="Book Antiqua" w:hAnsi="Book Antiqua"/>
          <w:color w:val="000000" w:themeColor="text1"/>
          <w:lang w:eastAsia="zh-CN"/>
        </w:rPr>
      </w:pPr>
      <w:r w:rsidRPr="00F17C5F">
        <w:rPr>
          <w:rFonts w:ascii="Book Antiqua" w:eastAsia="宋体" w:hAnsi="Book Antiqua" w:cs="宋体"/>
          <w:color w:val="000000" w:themeColor="text1"/>
          <w:lang w:eastAsia="zh-CN"/>
        </w:rPr>
        <w:t>56</w:t>
      </w:r>
      <w:r w:rsidRPr="00F17C5F">
        <w:rPr>
          <w:rFonts w:ascii="Book Antiqua" w:eastAsia="宋体" w:hAnsi="Book Antiqua" w:cs="宋体"/>
          <w:b/>
          <w:color w:val="000000" w:themeColor="text1"/>
          <w:lang w:eastAsia="zh-CN"/>
        </w:rPr>
        <w:t xml:space="preserve"> </w:t>
      </w:r>
      <w:r w:rsidRPr="00F17C5F">
        <w:rPr>
          <w:rFonts w:ascii="Book Antiqua" w:hAnsi="Book Antiqua"/>
          <w:b/>
          <w:color w:val="000000" w:themeColor="text1"/>
        </w:rPr>
        <w:t>Erstad BL.</w:t>
      </w:r>
      <w:r w:rsidRPr="00F17C5F">
        <w:rPr>
          <w:rFonts w:ascii="Book Antiqua" w:hAnsi="Book Antiqua"/>
          <w:color w:val="000000" w:themeColor="text1"/>
        </w:rPr>
        <w:t xml:space="preserve"> Special Caveats of Drugs Used in Critical Care Medici</w:t>
      </w:r>
      <w:r w:rsidR="00F6162B" w:rsidRPr="00F17C5F">
        <w:rPr>
          <w:rFonts w:ascii="Book Antiqua" w:hAnsi="Book Antiqua"/>
          <w:color w:val="000000" w:themeColor="text1"/>
        </w:rPr>
        <w:t>ne. In: Roberts PR, Todd SR, editors</w:t>
      </w:r>
      <w:r w:rsidRPr="00F17C5F">
        <w:rPr>
          <w:rFonts w:ascii="Book Antiqua" w:hAnsi="Book Antiqua"/>
          <w:color w:val="000000" w:themeColor="text1"/>
        </w:rPr>
        <w:t xml:space="preserve">. Comprehensive Critical Care: Adult. </w:t>
      </w:r>
      <w:r w:rsidR="00F6162B" w:rsidRPr="00F17C5F">
        <w:rPr>
          <w:rFonts w:ascii="Book Antiqua" w:hAnsi="Book Antiqua"/>
          <w:color w:val="000000" w:themeColor="text1"/>
        </w:rPr>
        <w:t>Mount Prospect,</w:t>
      </w:r>
      <w:r w:rsidR="00F6162B" w:rsidRPr="00F17C5F">
        <w:rPr>
          <w:rFonts w:ascii="Book Antiqua" w:hAnsi="Book Antiqua"/>
          <w:color w:val="000000" w:themeColor="text1"/>
          <w:lang w:eastAsia="zh-CN"/>
        </w:rPr>
        <w:t xml:space="preserve"> </w:t>
      </w:r>
      <w:r w:rsidR="00F6162B" w:rsidRPr="00F17C5F">
        <w:rPr>
          <w:rFonts w:ascii="Book Antiqua" w:hAnsi="Book Antiqua"/>
          <w:color w:val="000000" w:themeColor="text1"/>
        </w:rPr>
        <w:t>IL</w:t>
      </w:r>
      <w:r w:rsidR="00F6162B" w:rsidRPr="00F17C5F">
        <w:rPr>
          <w:rFonts w:ascii="Book Antiqua" w:hAnsi="Book Antiqua"/>
          <w:color w:val="000000" w:themeColor="text1"/>
          <w:lang w:eastAsia="zh-CN"/>
        </w:rPr>
        <w:t>:</w:t>
      </w:r>
      <w:r w:rsidR="00F6162B" w:rsidRPr="00F17C5F">
        <w:rPr>
          <w:rFonts w:ascii="Book Antiqua" w:hAnsi="Book Antiqua"/>
          <w:color w:val="000000" w:themeColor="text1"/>
        </w:rPr>
        <w:t xml:space="preserve"> </w:t>
      </w:r>
      <w:r w:rsidRPr="00F17C5F">
        <w:rPr>
          <w:rFonts w:ascii="Book Antiqua" w:hAnsi="Book Antiqua"/>
          <w:color w:val="000000" w:themeColor="text1"/>
        </w:rPr>
        <w:t>Society of Critical Care Medicine, 2012</w:t>
      </w:r>
      <w:r w:rsidR="00F6162B" w:rsidRPr="00F17C5F">
        <w:rPr>
          <w:rFonts w:ascii="Book Antiqua" w:hAnsi="Book Antiqua"/>
          <w:color w:val="000000" w:themeColor="text1"/>
          <w:lang w:eastAsia="zh-CN"/>
        </w:rPr>
        <w:t xml:space="preserve">: </w:t>
      </w:r>
      <w:r w:rsidRPr="00F17C5F">
        <w:rPr>
          <w:rFonts w:ascii="Book Antiqua" w:hAnsi="Book Antiqua"/>
          <w:color w:val="000000" w:themeColor="text1"/>
        </w:rPr>
        <w:t>779-789</w:t>
      </w:r>
    </w:p>
    <w:p w14:paraId="141179A0" w14:textId="49F91E88" w:rsidR="00F6162B" w:rsidRPr="00F17C5F" w:rsidRDefault="00F6162B" w:rsidP="00F17C5F">
      <w:pPr>
        <w:spacing w:after="0"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 xml:space="preserve">57 </w:t>
      </w:r>
      <w:r w:rsidRPr="00F17C5F">
        <w:rPr>
          <w:rFonts w:ascii="Book Antiqua" w:eastAsia="Calibri" w:hAnsi="Book Antiqua"/>
          <w:b/>
          <w:color w:val="000000" w:themeColor="text1"/>
        </w:rPr>
        <w:t>Erstad BL.</w:t>
      </w:r>
      <w:r w:rsidRPr="00F17C5F">
        <w:rPr>
          <w:rFonts w:ascii="Book Antiqua" w:eastAsia="Calibri" w:hAnsi="Book Antiqua"/>
          <w:color w:val="000000" w:themeColor="text1"/>
        </w:rPr>
        <w:t xml:space="preserve"> Medication Dosing in Overweight and Obese Patients. In: Murphy JE, ed</w:t>
      </w:r>
      <w:r w:rsidRPr="00F17C5F">
        <w:rPr>
          <w:rFonts w:ascii="Book Antiqua" w:hAnsi="Book Antiqua"/>
          <w:color w:val="000000" w:themeColor="text1"/>
          <w:lang w:eastAsia="zh-CN"/>
        </w:rPr>
        <w:t>itor</w:t>
      </w:r>
      <w:r w:rsidRPr="00F17C5F">
        <w:rPr>
          <w:rFonts w:ascii="Book Antiqua" w:eastAsia="Calibri" w:hAnsi="Book Antiqua"/>
          <w:color w:val="000000" w:themeColor="text1"/>
        </w:rPr>
        <w:t xml:space="preserve">. </w:t>
      </w:r>
      <w:r w:rsidRPr="00F17C5F">
        <w:rPr>
          <w:rFonts w:ascii="Book Antiqua" w:eastAsia="Calibri" w:hAnsi="Book Antiqua"/>
          <w:iCs/>
          <w:color w:val="000000" w:themeColor="text1"/>
        </w:rPr>
        <w:t>Clinical Pharmacokinetics</w:t>
      </w:r>
      <w:r w:rsidRPr="00F17C5F">
        <w:rPr>
          <w:rFonts w:ascii="Book Antiqua" w:eastAsia="Calibri" w:hAnsi="Book Antiqua"/>
          <w:i/>
          <w:iCs/>
          <w:color w:val="000000" w:themeColor="text1"/>
        </w:rPr>
        <w:t>.</w:t>
      </w:r>
      <w:r w:rsidRPr="00F17C5F">
        <w:rPr>
          <w:rFonts w:ascii="Book Antiqua" w:eastAsia="Calibri" w:hAnsi="Book Antiqua"/>
          <w:color w:val="000000" w:themeColor="text1"/>
        </w:rPr>
        <w:t xml:space="preserve"> 5th ed. </w:t>
      </w:r>
      <w:r w:rsidRPr="00F17C5F">
        <w:rPr>
          <w:rFonts w:ascii="Book Antiqua" w:hAnsi="Book Antiqua"/>
          <w:color w:val="000000" w:themeColor="text1"/>
        </w:rPr>
        <w:t xml:space="preserve">Bethesda, MD: </w:t>
      </w:r>
      <w:r w:rsidRPr="00F17C5F">
        <w:rPr>
          <w:rFonts w:ascii="Book Antiqua" w:eastAsia="Calibri" w:hAnsi="Book Antiqua"/>
          <w:color w:val="000000" w:themeColor="text1"/>
        </w:rPr>
        <w:t>American Society of Health-System Pharmacists, 2012:</w:t>
      </w:r>
      <w:r w:rsidRPr="00F17C5F">
        <w:rPr>
          <w:rFonts w:ascii="Book Antiqua" w:hAnsi="Book Antiqua"/>
          <w:color w:val="000000" w:themeColor="text1"/>
          <w:lang w:eastAsia="zh-CN"/>
        </w:rPr>
        <w:t xml:space="preserve"> </w:t>
      </w:r>
      <w:r w:rsidRPr="00F17C5F">
        <w:rPr>
          <w:rFonts w:ascii="Book Antiqua" w:eastAsia="Calibri" w:hAnsi="Book Antiqua"/>
          <w:color w:val="000000" w:themeColor="text1"/>
        </w:rPr>
        <w:t>27</w:t>
      </w:r>
    </w:p>
    <w:p w14:paraId="2C620E5A" w14:textId="2929974A" w:rsidR="00F6162B" w:rsidRPr="00F17C5F" w:rsidRDefault="00F6162B" w:rsidP="00F17C5F">
      <w:pPr>
        <w:adjustRightInd w:val="0"/>
        <w:snapToGrid w:val="0"/>
        <w:spacing w:after="0" w:line="360" w:lineRule="auto"/>
        <w:ind w:right="239"/>
        <w:jc w:val="right"/>
        <w:rPr>
          <w:rFonts w:ascii="Book Antiqua" w:hAnsi="Book Antiqua"/>
          <w:b/>
          <w:bCs/>
          <w:color w:val="000000" w:themeColor="text1"/>
          <w:lang w:val="en-GB"/>
        </w:rPr>
      </w:pPr>
      <w:r w:rsidRPr="00F17C5F">
        <w:rPr>
          <w:rStyle w:val="Strong"/>
          <w:rFonts w:ascii="Book Antiqua" w:hAnsi="Book Antiqua" w:cs="Arial"/>
          <w:noProof/>
          <w:color w:val="000000" w:themeColor="text1"/>
          <w:lang w:val="en-GB"/>
        </w:rPr>
        <w:t>P-Reviewer:</w:t>
      </w:r>
      <w:r w:rsidRPr="00F17C5F">
        <w:rPr>
          <w:rFonts w:ascii="Book Antiqua" w:hAnsi="Book Antiqua"/>
          <w:color w:val="000000" w:themeColor="text1"/>
          <w:lang w:val="en-GB"/>
        </w:rPr>
        <w:t xml:space="preserve"> </w:t>
      </w:r>
      <w:r w:rsidR="00296EA8" w:rsidRPr="00F17C5F">
        <w:rPr>
          <w:rFonts w:ascii="Book Antiqua" w:hAnsi="Book Antiqua"/>
          <w:color w:val="000000" w:themeColor="text1"/>
          <w:lang w:val="en-GB"/>
        </w:rPr>
        <w:t>Ciccone MM</w:t>
      </w:r>
      <w:r w:rsidRPr="00F17C5F">
        <w:rPr>
          <w:rFonts w:ascii="Book Antiqua" w:hAnsi="Book Antiqua"/>
          <w:color w:val="000000" w:themeColor="text1"/>
          <w:lang w:val="en-GB"/>
        </w:rPr>
        <w:t xml:space="preserve">, </w:t>
      </w:r>
      <w:r w:rsidR="00296EA8" w:rsidRPr="00F17C5F">
        <w:rPr>
          <w:rFonts w:ascii="Book Antiqua" w:hAnsi="Book Antiqua"/>
          <w:color w:val="000000" w:themeColor="text1"/>
          <w:lang w:val="en-GB"/>
        </w:rPr>
        <w:t>Kanda</w:t>
      </w:r>
      <w:r w:rsidR="00296EA8" w:rsidRPr="00F17C5F">
        <w:rPr>
          <w:rFonts w:ascii="Book Antiqua" w:hAnsi="Book Antiqua"/>
          <w:color w:val="000000" w:themeColor="text1"/>
          <w:lang w:val="en-GB" w:eastAsia="zh-CN"/>
        </w:rPr>
        <w:t xml:space="preserve"> </w:t>
      </w:r>
      <w:r w:rsidR="00296EA8" w:rsidRPr="00F17C5F">
        <w:rPr>
          <w:rFonts w:ascii="Book Antiqua" w:hAnsi="Book Antiqua"/>
          <w:color w:val="000000" w:themeColor="text1"/>
          <w:lang w:val="en-GB"/>
        </w:rPr>
        <w:t>T</w:t>
      </w:r>
      <w:r w:rsidRPr="00F17C5F">
        <w:rPr>
          <w:rFonts w:ascii="Book Antiqua" w:hAnsi="Book Antiqua"/>
          <w:color w:val="000000" w:themeColor="text1"/>
          <w:lang w:val="en-GB" w:eastAsia="zh-CN"/>
        </w:rPr>
        <w:t xml:space="preserve">, </w:t>
      </w:r>
      <w:r w:rsidR="00296EA8" w:rsidRPr="00F17C5F">
        <w:rPr>
          <w:rFonts w:ascii="Book Antiqua" w:hAnsi="Book Antiqua"/>
          <w:color w:val="000000" w:themeColor="text1"/>
          <w:lang w:val="en-GB" w:eastAsia="zh-CN"/>
        </w:rPr>
        <w:t>Tamemoto H</w:t>
      </w:r>
      <w:r w:rsidRPr="00F17C5F">
        <w:rPr>
          <w:rFonts w:ascii="Book Antiqua" w:hAnsi="Book Antiqua"/>
          <w:bCs/>
          <w:color w:val="000000" w:themeColor="text1"/>
          <w:lang w:val="en-GB"/>
        </w:rPr>
        <w:t xml:space="preserve"> </w:t>
      </w:r>
      <w:r w:rsidRPr="00F17C5F">
        <w:rPr>
          <w:rFonts w:ascii="Book Antiqua" w:hAnsi="Book Antiqua"/>
          <w:b/>
          <w:bCs/>
          <w:color w:val="000000" w:themeColor="text1"/>
          <w:lang w:val="en-GB"/>
        </w:rPr>
        <w:t>S-Editor:</w:t>
      </w:r>
      <w:r w:rsidRPr="00F17C5F">
        <w:rPr>
          <w:rFonts w:ascii="Book Antiqua" w:hAnsi="Book Antiqua"/>
          <w:bCs/>
          <w:color w:val="000000" w:themeColor="text1"/>
          <w:lang w:val="en-GB"/>
        </w:rPr>
        <w:t xml:space="preserve"> Tian YL</w:t>
      </w:r>
    </w:p>
    <w:p w14:paraId="48CD4DBD" w14:textId="77777777" w:rsidR="00F6162B" w:rsidRPr="00F17C5F" w:rsidRDefault="00F6162B" w:rsidP="00F17C5F">
      <w:pPr>
        <w:adjustRightInd w:val="0"/>
        <w:snapToGrid w:val="0"/>
        <w:spacing w:after="0" w:line="360" w:lineRule="auto"/>
        <w:ind w:right="239"/>
        <w:jc w:val="right"/>
        <w:rPr>
          <w:rFonts w:ascii="Book Antiqua" w:hAnsi="Book Antiqua"/>
          <w:bCs/>
          <w:color w:val="000000" w:themeColor="text1"/>
        </w:rPr>
      </w:pPr>
      <w:r w:rsidRPr="00F17C5F">
        <w:rPr>
          <w:rFonts w:ascii="Book Antiqua" w:hAnsi="Book Antiqua"/>
          <w:b/>
          <w:bCs/>
          <w:color w:val="000000" w:themeColor="text1"/>
        </w:rPr>
        <w:t>L-Editor:   E-Editor:</w:t>
      </w:r>
    </w:p>
    <w:p w14:paraId="39236505" w14:textId="177F9205" w:rsidR="00F6162B" w:rsidRPr="00F17C5F" w:rsidRDefault="00F6162B" w:rsidP="00F17C5F">
      <w:pPr>
        <w:pStyle w:val="Default"/>
        <w:spacing w:line="360" w:lineRule="auto"/>
        <w:jc w:val="both"/>
        <w:rPr>
          <w:rFonts w:ascii="Book Antiqua" w:hAnsi="Book Antiqua"/>
          <w:color w:val="000000" w:themeColor="text1"/>
          <w:lang w:eastAsia="zh-CN"/>
        </w:rPr>
      </w:pPr>
    </w:p>
    <w:p w14:paraId="4AEC36EF" w14:textId="77777777" w:rsidR="00F6162B" w:rsidRPr="00F17C5F" w:rsidRDefault="00F6162B" w:rsidP="00F17C5F">
      <w:pPr>
        <w:pStyle w:val="Default"/>
        <w:spacing w:line="360" w:lineRule="auto"/>
        <w:jc w:val="both"/>
        <w:rPr>
          <w:rFonts w:ascii="Book Antiqua" w:hAnsi="Book Antiqua"/>
          <w:color w:val="000000" w:themeColor="text1"/>
          <w:lang w:eastAsia="zh-CN"/>
        </w:rPr>
      </w:pPr>
    </w:p>
    <w:p w14:paraId="0A3FCBE9" w14:textId="77777777" w:rsidR="00185DD2" w:rsidRPr="00F17C5F" w:rsidRDefault="00185DD2" w:rsidP="00F17C5F">
      <w:pPr>
        <w:spacing w:after="0" w:line="360" w:lineRule="auto"/>
        <w:rPr>
          <w:rFonts w:ascii="Book Antiqua" w:hAnsi="Book Antiqua"/>
          <w:color w:val="000000" w:themeColor="text1"/>
          <w:lang w:eastAsia="zh-CN"/>
        </w:rPr>
      </w:pPr>
      <w:r w:rsidRPr="00F17C5F">
        <w:rPr>
          <w:rFonts w:ascii="Book Antiqua" w:hAnsi="Book Antiqua"/>
          <w:color w:val="000000" w:themeColor="text1"/>
          <w:lang w:eastAsia="zh-CN"/>
        </w:rPr>
        <w:br w:type="page"/>
      </w:r>
    </w:p>
    <w:p w14:paraId="5CAA230A" w14:textId="77777777" w:rsidR="00185DD2" w:rsidRPr="00F17C5F" w:rsidRDefault="00185DD2" w:rsidP="00F17C5F">
      <w:pPr>
        <w:pStyle w:val="Default"/>
        <w:spacing w:line="360" w:lineRule="auto"/>
        <w:rPr>
          <w:rFonts w:ascii="Book Antiqua" w:hAnsi="Book Antiqua"/>
          <w:color w:val="000000" w:themeColor="text1"/>
          <w:lang w:eastAsia="zh-CN"/>
        </w:rPr>
      </w:pPr>
    </w:p>
    <w:p w14:paraId="5BC36196" w14:textId="0B6F566B" w:rsidR="00B156F0" w:rsidRPr="00F17C5F" w:rsidRDefault="000D2EDE" w:rsidP="00F17C5F">
      <w:pPr>
        <w:spacing w:after="0"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Table 1</w:t>
      </w:r>
      <w:r w:rsidR="000C28EB" w:rsidRPr="00F17C5F">
        <w:rPr>
          <w:rFonts w:ascii="Book Antiqua" w:eastAsia="Calibri" w:hAnsi="Book Antiqua"/>
          <w:b/>
          <w:color w:val="000000" w:themeColor="text1"/>
        </w:rPr>
        <w:t xml:space="preserve"> </w:t>
      </w:r>
      <w:r w:rsidR="00B156F0" w:rsidRPr="00F17C5F">
        <w:rPr>
          <w:rFonts w:ascii="Book Antiqua" w:eastAsia="Calibri" w:hAnsi="Book Antiqua"/>
          <w:b/>
          <w:color w:val="000000" w:themeColor="text1"/>
        </w:rPr>
        <w:t xml:space="preserve">Results of </w:t>
      </w:r>
      <w:r w:rsidR="003155A9" w:rsidRPr="00F17C5F">
        <w:rPr>
          <w:rFonts w:ascii="Book Antiqua" w:eastAsia="Calibri" w:hAnsi="Book Antiqua"/>
          <w:b/>
          <w:color w:val="000000" w:themeColor="text1"/>
        </w:rPr>
        <w:t>s</w:t>
      </w:r>
      <w:r w:rsidR="00B156F0" w:rsidRPr="00F17C5F">
        <w:rPr>
          <w:rFonts w:ascii="Book Antiqua" w:eastAsia="Calibri" w:hAnsi="Book Antiqua"/>
          <w:b/>
          <w:color w:val="000000" w:themeColor="text1"/>
        </w:rPr>
        <w:t>earch Strategies</w:t>
      </w:r>
      <w:r w:rsidR="00772E20" w:rsidRPr="00F17C5F">
        <w:rPr>
          <w:rFonts w:ascii="Book Antiqua" w:eastAsia="Calibri" w:hAnsi="Book Antiqua"/>
          <w:b/>
          <w:color w:val="000000" w:themeColor="text1"/>
        </w:rPr>
        <w:t xml:space="preserve"> for randomized controlled trials (RCTs)</w:t>
      </w:r>
    </w:p>
    <w:tbl>
      <w:tblPr>
        <w:tblStyle w:val="TableGrid"/>
        <w:tblW w:w="0" w:type="auto"/>
        <w:tblLook w:val="04A0" w:firstRow="1" w:lastRow="0" w:firstColumn="1" w:lastColumn="0" w:noHBand="0" w:noVBand="1"/>
      </w:tblPr>
      <w:tblGrid>
        <w:gridCol w:w="5920"/>
        <w:gridCol w:w="3048"/>
      </w:tblGrid>
      <w:tr w:rsidR="000D2EDE" w:rsidRPr="00F17C5F" w14:paraId="6A3D63C7" w14:textId="77777777" w:rsidTr="000D2EDE">
        <w:trPr>
          <w:trHeight w:val="340"/>
        </w:trPr>
        <w:tc>
          <w:tcPr>
            <w:tcW w:w="5920" w:type="dxa"/>
          </w:tcPr>
          <w:p w14:paraId="7183ACAD" w14:textId="77777777" w:rsidR="000D2EDE" w:rsidRPr="00F17C5F" w:rsidRDefault="000D2EDE" w:rsidP="00F17C5F">
            <w:pPr>
              <w:spacing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MEDLINE</w:t>
            </w:r>
            <w:r w:rsidRPr="00F17C5F">
              <w:rPr>
                <w:rFonts w:ascii="Book Antiqua" w:eastAsia="Calibri" w:hAnsi="Book Antiqua"/>
                <w:b/>
                <w:color w:val="000000" w:themeColor="text1"/>
              </w:rPr>
              <w:tab/>
            </w:r>
            <w:r w:rsidRPr="00F17C5F">
              <w:rPr>
                <w:rFonts w:ascii="Book Antiqua" w:eastAsia="Calibri" w:hAnsi="Book Antiqua"/>
                <w:b/>
                <w:color w:val="000000" w:themeColor="text1"/>
              </w:rPr>
              <w:tab/>
            </w:r>
            <w:r w:rsidRPr="00F17C5F">
              <w:rPr>
                <w:rFonts w:ascii="Book Antiqua" w:eastAsia="Calibri" w:hAnsi="Book Antiqua"/>
                <w:b/>
                <w:color w:val="000000" w:themeColor="text1"/>
              </w:rPr>
              <w:tab/>
            </w:r>
            <w:r w:rsidRPr="00F17C5F">
              <w:rPr>
                <w:rFonts w:ascii="Book Antiqua" w:eastAsia="Calibri" w:hAnsi="Book Antiqua"/>
                <w:b/>
                <w:color w:val="000000" w:themeColor="text1"/>
              </w:rPr>
              <w:tab/>
            </w:r>
            <w:r w:rsidRPr="00F17C5F">
              <w:rPr>
                <w:rFonts w:ascii="Book Antiqua" w:eastAsia="Calibri" w:hAnsi="Book Antiqua"/>
                <w:b/>
                <w:color w:val="000000" w:themeColor="text1"/>
              </w:rPr>
              <w:tab/>
            </w:r>
            <w:r w:rsidRPr="00F17C5F">
              <w:rPr>
                <w:rFonts w:ascii="Book Antiqua" w:eastAsia="Calibri" w:hAnsi="Book Antiqua"/>
                <w:b/>
                <w:color w:val="000000" w:themeColor="text1"/>
              </w:rPr>
              <w:tab/>
            </w:r>
            <w:r w:rsidRPr="00F17C5F">
              <w:rPr>
                <w:rFonts w:ascii="Book Antiqua" w:eastAsia="Calibri" w:hAnsi="Book Antiqua"/>
                <w:b/>
                <w:color w:val="000000" w:themeColor="text1"/>
              </w:rPr>
              <w:tab/>
            </w:r>
            <w:r w:rsidRPr="00F17C5F">
              <w:rPr>
                <w:rFonts w:ascii="Book Antiqua" w:eastAsia="Calibri" w:hAnsi="Book Antiqua"/>
                <w:b/>
                <w:color w:val="000000" w:themeColor="text1"/>
              </w:rPr>
              <w:tab/>
            </w:r>
            <w:r w:rsidRPr="00F17C5F">
              <w:rPr>
                <w:rFonts w:ascii="Book Antiqua" w:eastAsia="Calibri" w:hAnsi="Book Antiqua"/>
                <w:b/>
                <w:color w:val="000000" w:themeColor="text1"/>
              </w:rPr>
              <w:tab/>
            </w:r>
          </w:p>
        </w:tc>
        <w:tc>
          <w:tcPr>
            <w:tcW w:w="3048" w:type="dxa"/>
          </w:tcPr>
          <w:p w14:paraId="63846C58" w14:textId="105326F7" w:rsidR="000D2EDE" w:rsidRPr="00F17C5F" w:rsidRDefault="000D2EDE" w:rsidP="00F17C5F">
            <w:pPr>
              <w:spacing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 xml:space="preserve">Number of </w:t>
            </w:r>
            <w:r w:rsidR="003155A9" w:rsidRPr="00F17C5F">
              <w:rPr>
                <w:rFonts w:ascii="Book Antiqua" w:eastAsia="Calibri" w:hAnsi="Book Antiqua"/>
                <w:b/>
                <w:color w:val="000000" w:themeColor="text1"/>
              </w:rPr>
              <w:t>citations</w:t>
            </w:r>
          </w:p>
        </w:tc>
      </w:tr>
      <w:tr w:rsidR="000D2EDE" w:rsidRPr="00F17C5F" w14:paraId="6821194A" w14:textId="77777777" w:rsidTr="000D2EDE">
        <w:trPr>
          <w:trHeight w:val="328"/>
        </w:trPr>
        <w:tc>
          <w:tcPr>
            <w:tcW w:w="5920" w:type="dxa"/>
          </w:tcPr>
          <w:p w14:paraId="5029B424"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Initial search strategy as described in text</w:t>
            </w:r>
          </w:p>
        </w:tc>
        <w:tc>
          <w:tcPr>
            <w:tcW w:w="3048" w:type="dxa"/>
          </w:tcPr>
          <w:p w14:paraId="6AF0A3AA"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5316</w:t>
            </w:r>
          </w:p>
          <w:p w14:paraId="2CC3A1C0" w14:textId="77777777" w:rsidR="000D2EDE" w:rsidRPr="00F17C5F" w:rsidRDefault="000D2EDE" w:rsidP="00F17C5F">
            <w:pPr>
              <w:spacing w:line="360" w:lineRule="auto"/>
              <w:jc w:val="both"/>
              <w:rPr>
                <w:rFonts w:ascii="Book Antiqua" w:hAnsi="Book Antiqua"/>
                <w:color w:val="000000" w:themeColor="text1"/>
                <w:lang w:eastAsia="zh-CN"/>
              </w:rPr>
            </w:pPr>
          </w:p>
        </w:tc>
      </w:tr>
      <w:tr w:rsidR="000D2EDE" w:rsidRPr="00F17C5F" w14:paraId="589862BD" w14:textId="77777777" w:rsidTr="000D2EDE">
        <w:trPr>
          <w:trHeight w:val="340"/>
        </w:trPr>
        <w:tc>
          <w:tcPr>
            <w:tcW w:w="5920" w:type="dxa"/>
          </w:tcPr>
          <w:p w14:paraId="58D42437"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Search strategy limited to “clinical trial” and “humans”</w:t>
            </w:r>
            <w:r w:rsidRPr="00F17C5F">
              <w:rPr>
                <w:rFonts w:ascii="Book Antiqua" w:eastAsia="Calibri" w:hAnsi="Book Antiqua"/>
                <w:color w:val="000000" w:themeColor="text1"/>
              </w:rPr>
              <w:tab/>
            </w:r>
          </w:p>
        </w:tc>
        <w:tc>
          <w:tcPr>
            <w:tcW w:w="3048" w:type="dxa"/>
          </w:tcPr>
          <w:p w14:paraId="5D7E473E"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726</w:t>
            </w:r>
          </w:p>
          <w:p w14:paraId="507FF9A1" w14:textId="77777777" w:rsidR="000D2EDE" w:rsidRPr="00F17C5F" w:rsidRDefault="000D2EDE" w:rsidP="00F17C5F">
            <w:pPr>
              <w:spacing w:line="360" w:lineRule="auto"/>
              <w:jc w:val="both"/>
              <w:rPr>
                <w:rFonts w:ascii="Book Antiqua" w:hAnsi="Book Antiqua"/>
                <w:color w:val="000000" w:themeColor="text1"/>
                <w:lang w:eastAsia="zh-CN"/>
              </w:rPr>
            </w:pPr>
          </w:p>
        </w:tc>
      </w:tr>
      <w:tr w:rsidR="000D2EDE" w:rsidRPr="00F17C5F" w14:paraId="3048662D" w14:textId="77777777" w:rsidTr="000D2EDE">
        <w:trPr>
          <w:trHeight w:val="340"/>
        </w:trPr>
        <w:tc>
          <w:tcPr>
            <w:tcW w:w="5920" w:type="dxa"/>
          </w:tcPr>
          <w:p w14:paraId="6910D0E9"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Of the 725 citations, the number of RCTs with clinically relevant endpoints</w:t>
            </w:r>
            <w:r w:rsidRPr="00F17C5F">
              <w:rPr>
                <w:rFonts w:ascii="Book Antiqua" w:eastAsia="Calibri" w:hAnsi="Book Antiqua"/>
                <w:color w:val="000000" w:themeColor="text1"/>
              </w:rPr>
              <w:tab/>
            </w:r>
          </w:p>
        </w:tc>
        <w:tc>
          <w:tcPr>
            <w:tcW w:w="3048" w:type="dxa"/>
          </w:tcPr>
          <w:p w14:paraId="452B7C32"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0</w:t>
            </w:r>
          </w:p>
        </w:tc>
      </w:tr>
      <w:tr w:rsidR="000D2EDE" w:rsidRPr="00F17C5F" w14:paraId="2E300D80" w14:textId="77777777" w:rsidTr="000D2EDE">
        <w:trPr>
          <w:trHeight w:val="328"/>
        </w:trPr>
        <w:tc>
          <w:tcPr>
            <w:tcW w:w="5920" w:type="dxa"/>
          </w:tcPr>
          <w:p w14:paraId="6484A848"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MEDLINE</w:t>
            </w:r>
            <w:r w:rsidRPr="00F17C5F">
              <w:rPr>
                <w:rFonts w:ascii="Book Antiqua" w:eastAsia="Calibri" w:hAnsi="Book Antiqua"/>
                <w:color w:val="000000" w:themeColor="text1"/>
              </w:rPr>
              <w:tab/>
            </w:r>
          </w:p>
        </w:tc>
        <w:tc>
          <w:tcPr>
            <w:tcW w:w="3048" w:type="dxa"/>
          </w:tcPr>
          <w:p w14:paraId="5038CD7D"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Number of Citations</w:t>
            </w:r>
          </w:p>
        </w:tc>
      </w:tr>
      <w:tr w:rsidR="000D2EDE" w:rsidRPr="00F17C5F" w14:paraId="660460D2" w14:textId="77777777" w:rsidTr="000D2EDE">
        <w:trPr>
          <w:trHeight w:val="328"/>
        </w:trPr>
        <w:tc>
          <w:tcPr>
            <w:tcW w:w="5920" w:type="dxa"/>
          </w:tcPr>
          <w:p w14:paraId="0482C038"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Focused search strategy as described in text</w:t>
            </w:r>
            <w:r w:rsidRPr="00F17C5F">
              <w:rPr>
                <w:rFonts w:ascii="Book Antiqua" w:eastAsia="Calibri" w:hAnsi="Book Antiqua"/>
                <w:color w:val="000000" w:themeColor="text1"/>
              </w:rPr>
              <w:tab/>
            </w:r>
          </w:p>
        </w:tc>
        <w:tc>
          <w:tcPr>
            <w:tcW w:w="3048" w:type="dxa"/>
          </w:tcPr>
          <w:p w14:paraId="2714DA38"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2586</w:t>
            </w:r>
          </w:p>
        </w:tc>
      </w:tr>
      <w:tr w:rsidR="000D2EDE" w:rsidRPr="00F17C5F" w14:paraId="69AA576C" w14:textId="77777777" w:rsidTr="000D2EDE">
        <w:trPr>
          <w:trHeight w:val="328"/>
        </w:trPr>
        <w:tc>
          <w:tcPr>
            <w:tcW w:w="5920" w:type="dxa"/>
          </w:tcPr>
          <w:p w14:paraId="51034742"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Search strategy limited to “clinical trial” and “human”</w:t>
            </w:r>
            <w:r w:rsidRPr="00F17C5F">
              <w:rPr>
                <w:rFonts w:ascii="Book Antiqua" w:eastAsia="Calibri" w:hAnsi="Book Antiqua"/>
                <w:color w:val="000000" w:themeColor="text1"/>
              </w:rPr>
              <w:tab/>
            </w:r>
          </w:p>
        </w:tc>
        <w:tc>
          <w:tcPr>
            <w:tcW w:w="3048" w:type="dxa"/>
          </w:tcPr>
          <w:p w14:paraId="05D18932"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176</w:t>
            </w:r>
          </w:p>
          <w:p w14:paraId="5288EAF3" w14:textId="77777777" w:rsidR="000D2EDE" w:rsidRPr="00F17C5F" w:rsidRDefault="000D2EDE" w:rsidP="00F17C5F">
            <w:pPr>
              <w:spacing w:line="360" w:lineRule="auto"/>
              <w:jc w:val="both"/>
              <w:rPr>
                <w:rFonts w:ascii="Book Antiqua" w:eastAsia="Calibri" w:hAnsi="Book Antiqua"/>
                <w:color w:val="000000" w:themeColor="text1"/>
              </w:rPr>
            </w:pPr>
          </w:p>
        </w:tc>
      </w:tr>
      <w:tr w:rsidR="000D2EDE" w:rsidRPr="00F17C5F" w14:paraId="046FF56F" w14:textId="77777777" w:rsidTr="000D2EDE">
        <w:trPr>
          <w:trHeight w:val="328"/>
        </w:trPr>
        <w:tc>
          <w:tcPr>
            <w:tcW w:w="5920" w:type="dxa"/>
          </w:tcPr>
          <w:p w14:paraId="46E8C0B2"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Of the 176 citations, the number of RCTs with clinically relevant endpoints</w:t>
            </w:r>
            <w:r w:rsidRPr="00F17C5F">
              <w:rPr>
                <w:rFonts w:ascii="Book Antiqua" w:eastAsia="Calibri" w:hAnsi="Book Antiqua"/>
                <w:color w:val="000000" w:themeColor="text1"/>
              </w:rPr>
              <w:tab/>
            </w:r>
          </w:p>
        </w:tc>
        <w:tc>
          <w:tcPr>
            <w:tcW w:w="3048" w:type="dxa"/>
          </w:tcPr>
          <w:p w14:paraId="6A354D2B"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0</w:t>
            </w:r>
          </w:p>
          <w:p w14:paraId="19DE6907" w14:textId="77777777" w:rsidR="000D2EDE" w:rsidRPr="00F17C5F" w:rsidRDefault="000D2EDE" w:rsidP="00F17C5F">
            <w:pPr>
              <w:spacing w:line="360" w:lineRule="auto"/>
              <w:jc w:val="both"/>
              <w:rPr>
                <w:rFonts w:ascii="Book Antiqua" w:eastAsia="Calibri" w:hAnsi="Book Antiqua"/>
                <w:color w:val="000000" w:themeColor="text1"/>
              </w:rPr>
            </w:pPr>
          </w:p>
        </w:tc>
      </w:tr>
      <w:tr w:rsidR="000D2EDE" w:rsidRPr="00F17C5F" w14:paraId="0B8B8898" w14:textId="77777777" w:rsidTr="000D2EDE">
        <w:trPr>
          <w:trHeight w:val="328"/>
        </w:trPr>
        <w:tc>
          <w:tcPr>
            <w:tcW w:w="5920" w:type="dxa"/>
          </w:tcPr>
          <w:p w14:paraId="5627462A"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EMBASE</w:t>
            </w:r>
          </w:p>
          <w:p w14:paraId="3BBBA4DB" w14:textId="77777777" w:rsidR="000D2EDE" w:rsidRPr="00F17C5F" w:rsidRDefault="000D2EDE" w:rsidP="00F17C5F">
            <w:pPr>
              <w:spacing w:line="360" w:lineRule="auto"/>
              <w:jc w:val="both"/>
              <w:rPr>
                <w:rFonts w:ascii="Book Antiqua" w:eastAsia="Calibri" w:hAnsi="Book Antiqua"/>
                <w:color w:val="000000" w:themeColor="text1"/>
              </w:rPr>
            </w:pPr>
          </w:p>
        </w:tc>
        <w:tc>
          <w:tcPr>
            <w:tcW w:w="3048" w:type="dxa"/>
          </w:tcPr>
          <w:p w14:paraId="28B0391B"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Number of Citations</w:t>
            </w:r>
          </w:p>
        </w:tc>
      </w:tr>
      <w:tr w:rsidR="000D2EDE" w:rsidRPr="00F17C5F" w14:paraId="32DBB14C" w14:textId="77777777" w:rsidTr="000D2EDE">
        <w:trPr>
          <w:trHeight w:val="328"/>
        </w:trPr>
        <w:tc>
          <w:tcPr>
            <w:tcW w:w="5920" w:type="dxa"/>
          </w:tcPr>
          <w:p w14:paraId="0303E326"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Initial search strategy as described in text limited to terms indexed as major focus</w:t>
            </w:r>
            <w:r w:rsidRPr="00F17C5F">
              <w:rPr>
                <w:rFonts w:ascii="Book Antiqua" w:eastAsia="Calibri" w:hAnsi="Book Antiqua"/>
                <w:color w:val="000000" w:themeColor="text1"/>
              </w:rPr>
              <w:tab/>
            </w:r>
          </w:p>
        </w:tc>
        <w:tc>
          <w:tcPr>
            <w:tcW w:w="3048" w:type="dxa"/>
          </w:tcPr>
          <w:p w14:paraId="472DD78F"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1898</w:t>
            </w:r>
          </w:p>
          <w:p w14:paraId="44B36FFA" w14:textId="77777777" w:rsidR="000D2EDE" w:rsidRPr="00F17C5F" w:rsidRDefault="000D2EDE" w:rsidP="00F17C5F">
            <w:pPr>
              <w:spacing w:line="360" w:lineRule="auto"/>
              <w:jc w:val="both"/>
              <w:rPr>
                <w:rFonts w:ascii="Book Antiqua" w:eastAsia="Calibri" w:hAnsi="Book Antiqua"/>
                <w:color w:val="000000" w:themeColor="text1"/>
              </w:rPr>
            </w:pPr>
          </w:p>
        </w:tc>
      </w:tr>
      <w:tr w:rsidR="000D2EDE" w:rsidRPr="00F17C5F" w14:paraId="5C7707D4" w14:textId="77777777" w:rsidTr="000D2EDE">
        <w:trPr>
          <w:trHeight w:val="328"/>
        </w:trPr>
        <w:tc>
          <w:tcPr>
            <w:tcW w:w="5920" w:type="dxa"/>
          </w:tcPr>
          <w:p w14:paraId="312D8488"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Search strategy limited to “human” or “clinical trial”</w:t>
            </w:r>
            <w:r w:rsidRPr="00F17C5F">
              <w:rPr>
                <w:rFonts w:ascii="Book Antiqua" w:eastAsia="Calibri" w:hAnsi="Book Antiqua"/>
                <w:color w:val="000000" w:themeColor="text1"/>
              </w:rPr>
              <w:tab/>
            </w:r>
          </w:p>
        </w:tc>
        <w:tc>
          <w:tcPr>
            <w:tcW w:w="3048" w:type="dxa"/>
          </w:tcPr>
          <w:p w14:paraId="3A4219AB"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1431</w:t>
            </w:r>
          </w:p>
          <w:p w14:paraId="14DF7ACF" w14:textId="77777777" w:rsidR="000D2EDE" w:rsidRPr="00F17C5F" w:rsidRDefault="000D2EDE" w:rsidP="00F17C5F">
            <w:pPr>
              <w:spacing w:line="360" w:lineRule="auto"/>
              <w:jc w:val="both"/>
              <w:rPr>
                <w:rFonts w:ascii="Book Antiqua" w:eastAsia="Calibri" w:hAnsi="Book Antiqua"/>
                <w:color w:val="000000" w:themeColor="text1"/>
              </w:rPr>
            </w:pPr>
          </w:p>
        </w:tc>
      </w:tr>
      <w:tr w:rsidR="000D2EDE" w:rsidRPr="00F17C5F" w14:paraId="6B0FA8E9" w14:textId="77777777" w:rsidTr="000D2EDE">
        <w:trPr>
          <w:trHeight w:val="328"/>
        </w:trPr>
        <w:tc>
          <w:tcPr>
            <w:tcW w:w="5920" w:type="dxa"/>
          </w:tcPr>
          <w:p w14:paraId="5D74256F"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Search strategy limited to “article”</w:t>
            </w:r>
            <w:r w:rsidRPr="00F17C5F">
              <w:rPr>
                <w:rFonts w:ascii="Book Antiqua" w:eastAsia="Calibri" w:hAnsi="Book Antiqua"/>
                <w:color w:val="000000" w:themeColor="text1"/>
              </w:rPr>
              <w:tab/>
            </w:r>
          </w:p>
        </w:tc>
        <w:tc>
          <w:tcPr>
            <w:tcW w:w="3048" w:type="dxa"/>
          </w:tcPr>
          <w:p w14:paraId="4BCCEFDC"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870</w:t>
            </w:r>
          </w:p>
          <w:p w14:paraId="101AB147" w14:textId="77777777" w:rsidR="000D2EDE" w:rsidRPr="00F17C5F" w:rsidRDefault="000D2EDE" w:rsidP="00F17C5F">
            <w:pPr>
              <w:spacing w:line="360" w:lineRule="auto"/>
              <w:jc w:val="both"/>
              <w:rPr>
                <w:rFonts w:ascii="Book Antiqua" w:eastAsia="Calibri" w:hAnsi="Book Antiqua"/>
                <w:color w:val="000000" w:themeColor="text1"/>
              </w:rPr>
            </w:pPr>
          </w:p>
        </w:tc>
      </w:tr>
      <w:tr w:rsidR="000D2EDE" w:rsidRPr="00F17C5F" w14:paraId="132BC586" w14:textId="77777777" w:rsidTr="000D2EDE">
        <w:trPr>
          <w:trHeight w:val="328"/>
        </w:trPr>
        <w:tc>
          <w:tcPr>
            <w:tcW w:w="5920" w:type="dxa"/>
          </w:tcPr>
          <w:p w14:paraId="52CFF4B8"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Of the 871 citations, the number of RCTs with clinically relevant endpoints</w:t>
            </w:r>
          </w:p>
        </w:tc>
        <w:tc>
          <w:tcPr>
            <w:tcW w:w="3048" w:type="dxa"/>
          </w:tcPr>
          <w:p w14:paraId="0EEC1D46"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0</w:t>
            </w:r>
          </w:p>
        </w:tc>
      </w:tr>
    </w:tbl>
    <w:p w14:paraId="114556E9" w14:textId="77777777" w:rsidR="000D2EDE" w:rsidRPr="00F17C5F" w:rsidRDefault="000D2EDE" w:rsidP="00F17C5F">
      <w:pPr>
        <w:spacing w:after="0" w:line="360" w:lineRule="auto"/>
        <w:jc w:val="both"/>
        <w:rPr>
          <w:rFonts w:ascii="Book Antiqua" w:hAnsi="Book Antiqua"/>
          <w:color w:val="000000" w:themeColor="text1"/>
          <w:lang w:eastAsia="zh-CN"/>
        </w:rPr>
      </w:pPr>
    </w:p>
    <w:p w14:paraId="2C23E916" w14:textId="77777777" w:rsidR="000D2EDE" w:rsidRPr="00F17C5F" w:rsidRDefault="000D2EDE" w:rsidP="00F17C5F">
      <w:pPr>
        <w:spacing w:after="0" w:line="360" w:lineRule="auto"/>
        <w:jc w:val="both"/>
        <w:rPr>
          <w:rFonts w:ascii="Book Antiqua" w:hAnsi="Book Antiqua"/>
          <w:color w:val="000000" w:themeColor="text1"/>
          <w:lang w:eastAsia="zh-CN"/>
        </w:rPr>
      </w:pPr>
    </w:p>
    <w:p w14:paraId="78B1AC8F" w14:textId="77777777" w:rsidR="000D2EDE" w:rsidRPr="00F17C5F" w:rsidRDefault="000D2EDE" w:rsidP="00F17C5F">
      <w:pPr>
        <w:spacing w:after="0" w:line="360" w:lineRule="auto"/>
        <w:jc w:val="both"/>
        <w:rPr>
          <w:rFonts w:ascii="Book Antiqua" w:hAnsi="Book Antiqua"/>
          <w:color w:val="000000" w:themeColor="text1"/>
          <w:lang w:eastAsia="zh-CN"/>
        </w:rPr>
      </w:pPr>
    </w:p>
    <w:p w14:paraId="52F7F36F" w14:textId="37D09806" w:rsidR="00321C2F" w:rsidRPr="00F17C5F" w:rsidRDefault="00B156F0"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br w:type="page"/>
      </w:r>
      <w:r w:rsidR="00F86664" w:rsidRPr="00F17C5F">
        <w:rPr>
          <w:rFonts w:ascii="Book Antiqua" w:eastAsia="Calibri" w:hAnsi="Book Antiqua"/>
          <w:b/>
          <w:color w:val="000000" w:themeColor="text1"/>
        </w:rPr>
        <w:t>Table</w:t>
      </w:r>
      <w:r w:rsidR="00772E20" w:rsidRPr="00F17C5F">
        <w:rPr>
          <w:rFonts w:ascii="Book Antiqua" w:eastAsia="Calibri" w:hAnsi="Book Antiqua"/>
          <w:b/>
          <w:color w:val="000000" w:themeColor="text1"/>
        </w:rPr>
        <w:t xml:space="preserve"> 2</w:t>
      </w:r>
      <w:r w:rsidR="00321C2F" w:rsidRPr="00F17C5F">
        <w:rPr>
          <w:rFonts w:ascii="Book Antiqua" w:eastAsia="Calibri" w:hAnsi="Book Antiqua"/>
          <w:b/>
          <w:color w:val="000000" w:themeColor="text1"/>
        </w:rPr>
        <w:t xml:space="preserve"> Changes in</w:t>
      </w:r>
      <w:r w:rsidR="00A57DA2" w:rsidRPr="00F17C5F">
        <w:rPr>
          <w:rFonts w:ascii="Book Antiqua" w:eastAsia="Calibri" w:hAnsi="Book Antiqua"/>
          <w:b/>
          <w:color w:val="000000" w:themeColor="text1"/>
        </w:rPr>
        <w:t xml:space="preserve"> body compositio</w:t>
      </w:r>
      <w:r w:rsidR="00321C2F" w:rsidRPr="00F17C5F">
        <w:rPr>
          <w:rFonts w:ascii="Book Antiqua" w:eastAsia="Calibri" w:hAnsi="Book Antiqua"/>
          <w:b/>
          <w:color w:val="000000" w:themeColor="text1"/>
        </w:rPr>
        <w:t xml:space="preserve">n during ICU Stay that may </w:t>
      </w:r>
      <w:r w:rsidR="003155A9" w:rsidRPr="00F17C5F">
        <w:rPr>
          <w:rFonts w:ascii="Book Antiqua" w:eastAsia="Calibri" w:hAnsi="Book Antiqua"/>
          <w:b/>
          <w:color w:val="000000" w:themeColor="text1"/>
        </w:rPr>
        <w:t>affect drug disposition</w:t>
      </w:r>
    </w:p>
    <w:tbl>
      <w:tblPr>
        <w:tblStyle w:val="TableGrid"/>
        <w:tblW w:w="0" w:type="auto"/>
        <w:tblLook w:val="04A0" w:firstRow="1" w:lastRow="0" w:firstColumn="1" w:lastColumn="0" w:noHBand="0" w:noVBand="1"/>
      </w:tblPr>
      <w:tblGrid>
        <w:gridCol w:w="9508"/>
      </w:tblGrid>
      <w:tr w:rsidR="000D2EDE" w:rsidRPr="00F17C5F" w14:paraId="55EF8C4C" w14:textId="77777777" w:rsidTr="000D2EDE">
        <w:trPr>
          <w:trHeight w:val="552"/>
        </w:trPr>
        <w:tc>
          <w:tcPr>
            <w:tcW w:w="9508" w:type="dxa"/>
          </w:tcPr>
          <w:p w14:paraId="0D42C796"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Lean versus adipose tissue changes during more prolonged stay</w:t>
            </w:r>
          </w:p>
        </w:tc>
      </w:tr>
      <w:tr w:rsidR="000D2EDE" w:rsidRPr="00F17C5F" w14:paraId="57285762" w14:textId="77777777" w:rsidTr="000D2EDE">
        <w:trPr>
          <w:trHeight w:val="355"/>
        </w:trPr>
        <w:tc>
          <w:tcPr>
            <w:tcW w:w="9508" w:type="dxa"/>
          </w:tcPr>
          <w:p w14:paraId="61E63266" w14:textId="0F9DD2C3" w:rsidR="000D2EDE" w:rsidRPr="00F17C5F" w:rsidRDefault="000C28EB"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 xml:space="preserve">     </w:t>
            </w:r>
            <w:r w:rsidR="000D2EDE" w:rsidRPr="00F17C5F">
              <w:rPr>
                <w:rFonts w:ascii="Book Antiqua" w:eastAsia="Calibri" w:hAnsi="Book Antiqua"/>
                <w:color w:val="000000" w:themeColor="text1"/>
              </w:rPr>
              <w:t>Loss of lean tissue</w:t>
            </w:r>
          </w:p>
        </w:tc>
      </w:tr>
      <w:tr w:rsidR="000D2EDE" w:rsidRPr="00F17C5F" w14:paraId="2B9AE65E" w14:textId="77777777" w:rsidTr="000D2EDE">
        <w:trPr>
          <w:trHeight w:val="344"/>
        </w:trPr>
        <w:tc>
          <w:tcPr>
            <w:tcW w:w="9508" w:type="dxa"/>
          </w:tcPr>
          <w:p w14:paraId="41AD2CC2" w14:textId="522B6570" w:rsidR="000D2EDE" w:rsidRPr="00F17C5F" w:rsidRDefault="000C28EB"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 xml:space="preserve">     </w:t>
            </w:r>
            <w:r w:rsidR="000D2EDE" w:rsidRPr="00F17C5F">
              <w:rPr>
                <w:rFonts w:ascii="Book Antiqua" w:eastAsia="Calibri" w:hAnsi="Book Antiqua"/>
                <w:color w:val="000000" w:themeColor="text1"/>
              </w:rPr>
              <w:t>Gain of adipose tissue</w:t>
            </w:r>
          </w:p>
        </w:tc>
      </w:tr>
      <w:tr w:rsidR="000D2EDE" w:rsidRPr="00F17C5F" w14:paraId="26410051" w14:textId="77777777" w:rsidTr="000D2EDE">
        <w:trPr>
          <w:trHeight w:val="355"/>
        </w:trPr>
        <w:tc>
          <w:tcPr>
            <w:tcW w:w="9508" w:type="dxa"/>
          </w:tcPr>
          <w:p w14:paraId="70848075" w14:textId="2ADC2E0D" w:rsidR="000D2EDE" w:rsidRPr="00F17C5F" w:rsidRDefault="000C28EB"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 xml:space="preserve">         </w:t>
            </w:r>
            <w:r w:rsidR="000D2EDE" w:rsidRPr="00F17C5F">
              <w:rPr>
                <w:rFonts w:ascii="Book Antiqua" w:eastAsia="Calibri" w:hAnsi="Book Antiqua"/>
                <w:color w:val="000000" w:themeColor="text1"/>
              </w:rPr>
              <w:t>Distribution of adipose tissue (</w:t>
            </w:r>
            <w:r w:rsidR="000D2EDE" w:rsidRPr="00F17C5F">
              <w:rPr>
                <w:rFonts w:ascii="Book Antiqua" w:eastAsia="Calibri" w:hAnsi="Book Antiqua"/>
                <w:i/>
                <w:color w:val="000000" w:themeColor="text1"/>
              </w:rPr>
              <w:t>e.g.</w:t>
            </w:r>
            <w:r w:rsidR="000D2EDE" w:rsidRPr="00F17C5F">
              <w:rPr>
                <w:rFonts w:ascii="Book Antiqua" w:eastAsia="Calibri" w:hAnsi="Book Antiqua"/>
                <w:color w:val="000000" w:themeColor="text1"/>
              </w:rPr>
              <w:t>, subcutaneous versus visceral)</w:t>
            </w:r>
          </w:p>
        </w:tc>
      </w:tr>
      <w:tr w:rsidR="000D2EDE" w:rsidRPr="00F17C5F" w14:paraId="2B91901B" w14:textId="77777777" w:rsidTr="000D2EDE">
        <w:trPr>
          <w:trHeight w:val="355"/>
        </w:trPr>
        <w:tc>
          <w:tcPr>
            <w:tcW w:w="9508" w:type="dxa"/>
          </w:tcPr>
          <w:p w14:paraId="26B5E7FD"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Gains or losses of total body water throughout stay</w:t>
            </w:r>
          </w:p>
        </w:tc>
      </w:tr>
      <w:tr w:rsidR="000D2EDE" w:rsidRPr="00F17C5F" w14:paraId="0BFB5459" w14:textId="77777777" w:rsidTr="000D2EDE">
        <w:trPr>
          <w:trHeight w:val="355"/>
        </w:trPr>
        <w:tc>
          <w:tcPr>
            <w:tcW w:w="9508" w:type="dxa"/>
          </w:tcPr>
          <w:p w14:paraId="0A522252"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Distribution of retained fluid (</w:t>
            </w:r>
            <w:r w:rsidRPr="00F17C5F">
              <w:rPr>
                <w:rFonts w:ascii="Book Antiqua" w:eastAsia="Calibri" w:hAnsi="Book Antiqua"/>
                <w:i/>
                <w:color w:val="000000" w:themeColor="text1"/>
              </w:rPr>
              <w:t>e.g.,</w:t>
            </w:r>
            <w:r w:rsidRPr="00F17C5F">
              <w:rPr>
                <w:rFonts w:ascii="Book Antiqua" w:eastAsia="Calibri" w:hAnsi="Book Antiqua"/>
                <w:color w:val="000000" w:themeColor="text1"/>
              </w:rPr>
              <w:t xml:space="preserve"> intracellular versus extracellular, interstitial versus intravascular)</w:t>
            </w:r>
          </w:p>
        </w:tc>
      </w:tr>
    </w:tbl>
    <w:p w14:paraId="43DF826B" w14:textId="77777777" w:rsidR="00321C2F" w:rsidRPr="00F17C5F" w:rsidRDefault="00321C2F" w:rsidP="00F17C5F">
      <w:pPr>
        <w:spacing w:after="0" w:line="360" w:lineRule="auto"/>
        <w:jc w:val="both"/>
        <w:rPr>
          <w:rFonts w:ascii="Book Antiqua" w:hAnsi="Book Antiqua"/>
          <w:color w:val="000000" w:themeColor="text1"/>
          <w:lang w:eastAsia="zh-CN"/>
        </w:rPr>
      </w:pPr>
    </w:p>
    <w:p w14:paraId="709B2387" w14:textId="70BAD835"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Reprinted with permission from Erstad BL</w:t>
      </w:r>
      <w:r w:rsidR="00A57DA2" w:rsidRPr="00F17C5F">
        <w:rPr>
          <w:rFonts w:ascii="Book Antiqua" w:hAnsi="Book Antiqua"/>
          <w:color w:val="000000" w:themeColor="text1"/>
          <w:vertAlign w:val="superscript"/>
          <w:lang w:eastAsia="zh-CN"/>
        </w:rPr>
        <w:t>[15]</w:t>
      </w:r>
      <w:r w:rsidRPr="00F17C5F">
        <w:rPr>
          <w:rFonts w:ascii="Book Antiqua" w:eastAsia="Calibri" w:hAnsi="Book Antiqua"/>
          <w:color w:val="000000" w:themeColor="text1"/>
        </w:rPr>
        <w:t xml:space="preserve">. Copyright © by John Wiley Sons, Inc. Reprinted by permission of John Wiley &amp; Sons, Inc. </w:t>
      </w:r>
    </w:p>
    <w:p w14:paraId="0AAED806" w14:textId="77777777"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br w:type="page"/>
      </w:r>
    </w:p>
    <w:p w14:paraId="70A219E5" w14:textId="77777777" w:rsidR="00321C2F" w:rsidRPr="00F17C5F" w:rsidRDefault="00F86664" w:rsidP="00F17C5F">
      <w:pPr>
        <w:spacing w:after="0" w:line="360" w:lineRule="auto"/>
        <w:jc w:val="both"/>
        <w:rPr>
          <w:rFonts w:ascii="Book Antiqua" w:hAnsi="Book Antiqua"/>
          <w:b/>
          <w:color w:val="000000" w:themeColor="text1"/>
          <w:lang w:eastAsia="zh-CN"/>
        </w:rPr>
      </w:pPr>
      <w:r w:rsidRPr="00F17C5F">
        <w:rPr>
          <w:rFonts w:ascii="Book Antiqua" w:eastAsia="Calibri" w:hAnsi="Book Antiqua"/>
          <w:b/>
          <w:bCs/>
          <w:color w:val="000000" w:themeColor="text1"/>
        </w:rPr>
        <w:t>Table</w:t>
      </w:r>
      <w:r w:rsidR="00772E20" w:rsidRPr="00F17C5F">
        <w:rPr>
          <w:rFonts w:ascii="Book Antiqua" w:eastAsia="Calibri" w:hAnsi="Book Antiqua"/>
          <w:b/>
          <w:bCs/>
          <w:color w:val="000000" w:themeColor="text1"/>
        </w:rPr>
        <w:t xml:space="preserve"> 3</w:t>
      </w:r>
      <w:r w:rsidR="000D2EDE" w:rsidRPr="00F17C5F">
        <w:rPr>
          <w:rFonts w:ascii="Book Antiqua" w:hAnsi="Book Antiqua"/>
          <w:b/>
          <w:bCs/>
          <w:color w:val="000000" w:themeColor="text1"/>
          <w:lang w:eastAsia="zh-CN"/>
        </w:rPr>
        <w:t xml:space="preserve"> </w:t>
      </w:r>
      <w:r w:rsidR="00321C2F" w:rsidRPr="00F17C5F">
        <w:rPr>
          <w:rFonts w:ascii="Book Antiqua" w:eastAsia="Calibri" w:hAnsi="Book Antiqua"/>
          <w:b/>
          <w:color w:val="000000" w:themeColor="text1"/>
        </w:rPr>
        <w:t xml:space="preserve">Weight descriptors commonly used in adult patients in the clinical </w:t>
      </w:r>
      <w:r w:rsidR="000D2EDE" w:rsidRPr="00F17C5F">
        <w:rPr>
          <w:rFonts w:ascii="Book Antiqua" w:eastAsia="Calibri" w:hAnsi="Book Antiqua"/>
          <w:b/>
          <w:color w:val="000000" w:themeColor="text1"/>
        </w:rPr>
        <w:t>setting</w:t>
      </w:r>
    </w:p>
    <w:tbl>
      <w:tblPr>
        <w:tblStyle w:val="TableGrid"/>
        <w:tblW w:w="0" w:type="auto"/>
        <w:tblLook w:val="04A0" w:firstRow="1" w:lastRow="0" w:firstColumn="1" w:lastColumn="0" w:noHBand="0" w:noVBand="1"/>
      </w:tblPr>
      <w:tblGrid>
        <w:gridCol w:w="8865"/>
      </w:tblGrid>
      <w:tr w:rsidR="000D2EDE" w:rsidRPr="00F17C5F" w14:paraId="7F654A2F" w14:textId="77777777" w:rsidTr="000D2EDE">
        <w:trPr>
          <w:trHeight w:val="604"/>
        </w:trPr>
        <w:tc>
          <w:tcPr>
            <w:tcW w:w="8865" w:type="dxa"/>
          </w:tcPr>
          <w:p w14:paraId="15C85D7B" w14:textId="77777777" w:rsidR="000D2EDE" w:rsidRPr="00F17C5F" w:rsidRDefault="000D2EDE" w:rsidP="00F17C5F">
            <w:pPr>
              <w:spacing w:line="360" w:lineRule="auto"/>
              <w:jc w:val="both"/>
              <w:rPr>
                <w:rFonts w:ascii="Book Antiqua" w:eastAsia="Calibri" w:hAnsi="Book Antiqua"/>
                <w:b/>
                <w:bCs/>
                <w:color w:val="000000" w:themeColor="text1"/>
              </w:rPr>
            </w:pPr>
            <w:r w:rsidRPr="00F17C5F">
              <w:rPr>
                <w:rFonts w:ascii="Book Antiqua" w:eastAsia="Calibri" w:hAnsi="Book Antiqua"/>
                <w:b/>
                <w:bCs/>
                <w:color w:val="000000" w:themeColor="text1"/>
              </w:rPr>
              <w:t>Ideal body weight (IBW)</w:t>
            </w:r>
          </w:p>
          <w:p w14:paraId="42B6F1C1" w14:textId="77777777" w:rsidR="000D2EDE" w:rsidRPr="00F17C5F" w:rsidRDefault="000D2EDE" w:rsidP="00F17C5F">
            <w:pPr>
              <w:spacing w:line="360" w:lineRule="auto"/>
              <w:ind w:firstLine="720"/>
              <w:jc w:val="both"/>
              <w:rPr>
                <w:rFonts w:ascii="Book Antiqua" w:eastAsia="Calibri" w:hAnsi="Book Antiqua"/>
                <w:b/>
                <w:bCs/>
                <w:color w:val="000000" w:themeColor="text1"/>
              </w:rPr>
            </w:pPr>
          </w:p>
        </w:tc>
      </w:tr>
      <w:tr w:rsidR="000D2EDE" w:rsidRPr="00F17C5F" w14:paraId="6C7E6D51" w14:textId="77777777" w:rsidTr="000D2EDE">
        <w:trPr>
          <w:trHeight w:val="533"/>
        </w:trPr>
        <w:tc>
          <w:tcPr>
            <w:tcW w:w="8865" w:type="dxa"/>
          </w:tcPr>
          <w:p w14:paraId="6BDBDB71" w14:textId="77777777" w:rsidR="000D2EDE" w:rsidRPr="00F17C5F" w:rsidRDefault="000D2EDE" w:rsidP="00F17C5F">
            <w:pPr>
              <w:spacing w:line="360" w:lineRule="auto"/>
              <w:ind w:firstLine="720"/>
              <w:jc w:val="both"/>
              <w:rPr>
                <w:rFonts w:ascii="Book Antiqua" w:hAnsi="Book Antiqua"/>
                <w:color w:val="000000" w:themeColor="text1"/>
                <w:lang w:eastAsia="zh-CN"/>
              </w:rPr>
            </w:pPr>
            <w:r w:rsidRPr="00F17C5F">
              <w:rPr>
                <w:rFonts w:ascii="Book Antiqua" w:eastAsia="Calibri" w:hAnsi="Book Antiqua"/>
                <w:color w:val="000000" w:themeColor="text1"/>
              </w:rPr>
              <w:t>IBW in kg for men = 50 kg + 2.3 kg for each inch in height over 60 inches</w:t>
            </w:r>
          </w:p>
        </w:tc>
      </w:tr>
      <w:tr w:rsidR="000D2EDE" w:rsidRPr="00F17C5F" w14:paraId="05B40F92" w14:textId="77777777" w:rsidTr="000D2EDE">
        <w:trPr>
          <w:trHeight w:val="427"/>
        </w:trPr>
        <w:tc>
          <w:tcPr>
            <w:tcW w:w="8865" w:type="dxa"/>
          </w:tcPr>
          <w:p w14:paraId="4934B296" w14:textId="77777777" w:rsidR="000D2EDE" w:rsidRPr="00F17C5F" w:rsidRDefault="000D2EDE" w:rsidP="00F17C5F">
            <w:pPr>
              <w:spacing w:line="360" w:lineRule="auto"/>
              <w:ind w:firstLine="720"/>
              <w:jc w:val="both"/>
              <w:rPr>
                <w:rFonts w:ascii="Book Antiqua" w:hAnsi="Book Antiqua"/>
                <w:color w:val="000000" w:themeColor="text1"/>
                <w:lang w:eastAsia="zh-CN"/>
              </w:rPr>
            </w:pPr>
            <w:r w:rsidRPr="00F17C5F">
              <w:rPr>
                <w:rFonts w:ascii="Book Antiqua" w:eastAsia="Calibri" w:hAnsi="Book Antiqua"/>
                <w:color w:val="000000" w:themeColor="text1"/>
              </w:rPr>
              <w:t>IBW in kg for women = 45.5 kg + 2.3 kg for each inch in height over 60 inches</w:t>
            </w:r>
          </w:p>
        </w:tc>
      </w:tr>
      <w:tr w:rsidR="000D2EDE" w:rsidRPr="00F17C5F" w14:paraId="309A2177" w14:textId="77777777" w:rsidTr="000D2EDE">
        <w:trPr>
          <w:trHeight w:val="293"/>
        </w:trPr>
        <w:tc>
          <w:tcPr>
            <w:tcW w:w="8865" w:type="dxa"/>
          </w:tcPr>
          <w:p w14:paraId="67C5F6CE" w14:textId="77777777" w:rsidR="000D2EDE" w:rsidRPr="00F17C5F" w:rsidRDefault="000D2EDE" w:rsidP="00F17C5F">
            <w:pPr>
              <w:spacing w:line="360" w:lineRule="auto"/>
              <w:jc w:val="both"/>
              <w:rPr>
                <w:rFonts w:ascii="Book Antiqua" w:hAnsi="Book Antiqua"/>
                <w:b/>
                <w:bCs/>
                <w:color w:val="000000" w:themeColor="text1"/>
                <w:lang w:eastAsia="zh-CN"/>
              </w:rPr>
            </w:pPr>
            <w:r w:rsidRPr="00F17C5F">
              <w:rPr>
                <w:rFonts w:ascii="Book Antiqua" w:eastAsia="Calibri" w:hAnsi="Book Antiqua"/>
                <w:b/>
                <w:bCs/>
                <w:color w:val="000000" w:themeColor="text1"/>
              </w:rPr>
              <w:t>Adjusted body weight (ABWadj)</w:t>
            </w:r>
          </w:p>
        </w:tc>
      </w:tr>
      <w:tr w:rsidR="000D2EDE" w:rsidRPr="00F17C5F" w14:paraId="153CA3F7" w14:textId="77777777" w:rsidTr="000D2EDE">
        <w:trPr>
          <w:trHeight w:val="302"/>
        </w:trPr>
        <w:tc>
          <w:tcPr>
            <w:tcW w:w="8865" w:type="dxa"/>
          </w:tcPr>
          <w:p w14:paraId="2402A9E6" w14:textId="77777777" w:rsidR="000D2EDE" w:rsidRPr="00F17C5F" w:rsidRDefault="000D2EDE" w:rsidP="00F17C5F">
            <w:pPr>
              <w:spacing w:line="360" w:lineRule="auto"/>
              <w:ind w:firstLine="720"/>
              <w:jc w:val="both"/>
              <w:rPr>
                <w:rFonts w:ascii="Book Antiqua" w:hAnsi="Book Antiqua"/>
                <w:color w:val="000000" w:themeColor="text1"/>
                <w:lang w:eastAsia="zh-CN"/>
              </w:rPr>
            </w:pPr>
            <w:r w:rsidRPr="00F17C5F">
              <w:rPr>
                <w:rFonts w:ascii="Book Antiqua" w:eastAsia="Calibri" w:hAnsi="Book Antiqua"/>
                <w:color w:val="000000" w:themeColor="text1"/>
              </w:rPr>
              <w:t>ABWadj in kg = IBW + 0.4 (actual weight − IBW)</w:t>
            </w:r>
          </w:p>
        </w:tc>
      </w:tr>
      <w:tr w:rsidR="000D2EDE" w:rsidRPr="00F17C5F" w14:paraId="6BD99212" w14:textId="77777777" w:rsidTr="000D2EDE">
        <w:trPr>
          <w:trHeight w:val="302"/>
        </w:trPr>
        <w:tc>
          <w:tcPr>
            <w:tcW w:w="8865" w:type="dxa"/>
          </w:tcPr>
          <w:p w14:paraId="526AF22D" w14:textId="77777777" w:rsidR="000D2EDE" w:rsidRPr="00F17C5F" w:rsidRDefault="000D2EDE" w:rsidP="00F17C5F">
            <w:pPr>
              <w:spacing w:line="360" w:lineRule="auto"/>
              <w:jc w:val="both"/>
              <w:rPr>
                <w:rFonts w:ascii="Book Antiqua" w:hAnsi="Book Antiqua"/>
                <w:b/>
                <w:bCs/>
                <w:color w:val="000000" w:themeColor="text1"/>
                <w:lang w:eastAsia="zh-CN"/>
              </w:rPr>
            </w:pPr>
            <w:r w:rsidRPr="00F17C5F">
              <w:rPr>
                <w:rFonts w:ascii="Book Antiqua" w:eastAsia="Calibri" w:hAnsi="Book Antiqua"/>
                <w:b/>
                <w:bCs/>
                <w:color w:val="000000" w:themeColor="text1"/>
              </w:rPr>
              <w:t>Lean body weight (LBW)</w:t>
            </w:r>
          </w:p>
        </w:tc>
      </w:tr>
      <w:tr w:rsidR="000D2EDE" w:rsidRPr="00F17C5F" w14:paraId="7CD8E587" w14:textId="77777777" w:rsidTr="000D2EDE">
        <w:trPr>
          <w:trHeight w:val="293"/>
        </w:trPr>
        <w:tc>
          <w:tcPr>
            <w:tcW w:w="8865" w:type="dxa"/>
          </w:tcPr>
          <w:p w14:paraId="14C5A1B2" w14:textId="77777777" w:rsidR="000D2EDE" w:rsidRPr="00F17C5F" w:rsidRDefault="000D2EDE" w:rsidP="00F17C5F">
            <w:pPr>
              <w:spacing w:line="360" w:lineRule="auto"/>
              <w:ind w:firstLine="720"/>
              <w:jc w:val="both"/>
              <w:rPr>
                <w:rFonts w:ascii="Book Antiqua" w:hAnsi="Book Antiqua"/>
                <w:color w:val="000000" w:themeColor="text1"/>
                <w:lang w:eastAsia="zh-CN"/>
              </w:rPr>
            </w:pPr>
            <w:r w:rsidRPr="00F17C5F">
              <w:rPr>
                <w:rFonts w:ascii="Book Antiqua" w:eastAsia="Calibri" w:hAnsi="Book Antiqua"/>
                <w:color w:val="000000" w:themeColor="text1"/>
              </w:rPr>
              <w:t>LBW (men) = [(1.10 × weight in kg)] – [120 × ((weight</w:t>
            </w:r>
            <w:r w:rsidRPr="00F17C5F">
              <w:rPr>
                <w:rFonts w:ascii="Book Antiqua" w:eastAsia="Calibri" w:hAnsi="Book Antiqua"/>
                <w:color w:val="000000" w:themeColor="text1"/>
                <w:vertAlign w:val="superscript"/>
              </w:rPr>
              <w:t xml:space="preserve"> </w:t>
            </w:r>
            <w:r w:rsidRPr="00F17C5F">
              <w:rPr>
                <w:rFonts w:ascii="Book Antiqua" w:eastAsia="Calibri" w:hAnsi="Book Antiqua"/>
                <w:color w:val="000000" w:themeColor="text1"/>
              </w:rPr>
              <w:t>in kg) / (height in cm))</w:t>
            </w:r>
            <w:r w:rsidRPr="00F17C5F">
              <w:rPr>
                <w:rFonts w:ascii="Book Antiqua" w:eastAsia="Calibri" w:hAnsi="Book Antiqua"/>
                <w:color w:val="000000" w:themeColor="text1"/>
                <w:vertAlign w:val="superscript"/>
              </w:rPr>
              <w:t>2</w:t>
            </w:r>
            <w:r w:rsidRPr="00F17C5F">
              <w:rPr>
                <w:rFonts w:ascii="Book Antiqua" w:eastAsia="Calibri" w:hAnsi="Book Antiqua"/>
                <w:color w:val="000000" w:themeColor="text1"/>
              </w:rPr>
              <w:t>]</w:t>
            </w:r>
          </w:p>
        </w:tc>
      </w:tr>
      <w:tr w:rsidR="000D2EDE" w:rsidRPr="00F17C5F" w14:paraId="6808160B" w14:textId="77777777" w:rsidTr="000D2EDE">
        <w:trPr>
          <w:trHeight w:val="311"/>
        </w:trPr>
        <w:tc>
          <w:tcPr>
            <w:tcW w:w="8865" w:type="dxa"/>
          </w:tcPr>
          <w:p w14:paraId="27EA7144" w14:textId="77777777" w:rsidR="000D2EDE" w:rsidRPr="00F17C5F" w:rsidRDefault="000D2EDE" w:rsidP="00F17C5F">
            <w:pPr>
              <w:spacing w:line="360" w:lineRule="auto"/>
              <w:ind w:firstLineChars="400" w:firstLine="960"/>
              <w:jc w:val="both"/>
              <w:rPr>
                <w:rFonts w:ascii="Book Antiqua" w:hAnsi="Book Antiqua"/>
                <w:color w:val="000000" w:themeColor="text1"/>
                <w:lang w:eastAsia="zh-CN"/>
              </w:rPr>
            </w:pPr>
            <w:r w:rsidRPr="00F17C5F">
              <w:rPr>
                <w:rFonts w:ascii="Book Antiqua" w:eastAsia="Calibri" w:hAnsi="Book Antiqua"/>
                <w:color w:val="000000" w:themeColor="text1"/>
              </w:rPr>
              <w:t>LBW (women) = [(1.07 × weight in kg)] – [148 × ((weight</w:t>
            </w:r>
            <w:r w:rsidRPr="00F17C5F">
              <w:rPr>
                <w:rFonts w:ascii="Book Antiqua" w:eastAsia="Calibri" w:hAnsi="Book Antiqua"/>
                <w:color w:val="000000" w:themeColor="text1"/>
                <w:vertAlign w:val="superscript"/>
              </w:rPr>
              <w:t xml:space="preserve"> </w:t>
            </w:r>
            <w:r w:rsidRPr="00F17C5F">
              <w:rPr>
                <w:rFonts w:ascii="Book Antiqua" w:eastAsia="Calibri" w:hAnsi="Book Antiqua"/>
                <w:color w:val="000000" w:themeColor="text1"/>
              </w:rPr>
              <w:t>in kg) / (height in cm))</w:t>
            </w:r>
            <w:r w:rsidRPr="00F17C5F">
              <w:rPr>
                <w:rFonts w:ascii="Book Antiqua" w:eastAsia="Calibri" w:hAnsi="Book Antiqua"/>
                <w:color w:val="000000" w:themeColor="text1"/>
                <w:vertAlign w:val="superscript"/>
              </w:rPr>
              <w:t>2</w:t>
            </w:r>
            <w:r w:rsidRPr="00F17C5F">
              <w:rPr>
                <w:rFonts w:ascii="Book Antiqua" w:eastAsia="Calibri" w:hAnsi="Book Antiqua"/>
                <w:color w:val="000000" w:themeColor="text1"/>
              </w:rPr>
              <w:t>]</w:t>
            </w:r>
          </w:p>
        </w:tc>
      </w:tr>
      <w:tr w:rsidR="000D2EDE" w:rsidRPr="00F17C5F" w14:paraId="27C56233" w14:textId="77777777" w:rsidTr="000D2EDE">
        <w:trPr>
          <w:trHeight w:val="311"/>
        </w:trPr>
        <w:tc>
          <w:tcPr>
            <w:tcW w:w="8865" w:type="dxa"/>
          </w:tcPr>
          <w:p w14:paraId="194283C2" w14:textId="77777777" w:rsidR="000D2EDE" w:rsidRPr="00F17C5F" w:rsidRDefault="000D2EDE" w:rsidP="00F17C5F">
            <w:pPr>
              <w:spacing w:line="360" w:lineRule="auto"/>
              <w:jc w:val="both"/>
              <w:rPr>
                <w:rFonts w:ascii="Book Antiqua" w:hAnsi="Book Antiqua"/>
                <w:b/>
                <w:bCs/>
                <w:color w:val="000000" w:themeColor="text1"/>
                <w:lang w:eastAsia="zh-CN"/>
              </w:rPr>
            </w:pPr>
            <w:r w:rsidRPr="00F17C5F">
              <w:rPr>
                <w:rFonts w:ascii="Book Antiqua" w:eastAsia="Calibri" w:hAnsi="Book Antiqua"/>
                <w:b/>
                <w:bCs/>
                <w:color w:val="000000" w:themeColor="text1"/>
              </w:rPr>
              <w:t>Body mass index (BMI)</w:t>
            </w:r>
          </w:p>
        </w:tc>
      </w:tr>
      <w:tr w:rsidR="000D2EDE" w:rsidRPr="00F17C5F" w14:paraId="0AB7A0CD" w14:textId="77777777" w:rsidTr="000D2EDE">
        <w:trPr>
          <w:trHeight w:val="311"/>
        </w:trPr>
        <w:tc>
          <w:tcPr>
            <w:tcW w:w="8865" w:type="dxa"/>
          </w:tcPr>
          <w:p w14:paraId="5A550542" w14:textId="77777777" w:rsidR="000D2EDE" w:rsidRPr="00F17C5F" w:rsidRDefault="000D2EDE" w:rsidP="00F17C5F">
            <w:pPr>
              <w:spacing w:line="360" w:lineRule="auto"/>
              <w:ind w:firstLine="720"/>
              <w:jc w:val="both"/>
              <w:rPr>
                <w:rFonts w:ascii="Book Antiqua" w:hAnsi="Book Antiqua"/>
                <w:color w:val="000000" w:themeColor="text1"/>
                <w:lang w:eastAsia="zh-CN"/>
              </w:rPr>
            </w:pPr>
            <w:r w:rsidRPr="00F17C5F">
              <w:rPr>
                <w:rFonts w:ascii="Book Antiqua" w:eastAsia="Calibri" w:hAnsi="Book Antiqua"/>
                <w:color w:val="000000" w:themeColor="text1"/>
              </w:rPr>
              <w:t>BMI = actual body weight (ABW) in kg divided by (height in m)</w:t>
            </w:r>
            <w:r w:rsidRPr="00F17C5F">
              <w:rPr>
                <w:rFonts w:ascii="Book Antiqua" w:eastAsia="Calibri" w:hAnsi="Book Antiqua"/>
                <w:color w:val="000000" w:themeColor="text1"/>
                <w:vertAlign w:val="superscript"/>
              </w:rPr>
              <w:t>2</w:t>
            </w:r>
          </w:p>
        </w:tc>
      </w:tr>
      <w:tr w:rsidR="000D2EDE" w:rsidRPr="00F17C5F" w14:paraId="495641BB" w14:textId="77777777" w:rsidTr="000D2EDE">
        <w:trPr>
          <w:trHeight w:val="311"/>
        </w:trPr>
        <w:tc>
          <w:tcPr>
            <w:tcW w:w="8865" w:type="dxa"/>
          </w:tcPr>
          <w:p w14:paraId="41A09A8F"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b/>
                <w:bCs/>
                <w:color w:val="000000" w:themeColor="text1"/>
              </w:rPr>
              <w:t>Body surface area (BSA) in m</w:t>
            </w:r>
            <w:r w:rsidRPr="00F17C5F">
              <w:rPr>
                <w:rFonts w:ascii="Book Antiqua" w:eastAsia="Calibri" w:hAnsi="Book Antiqua"/>
                <w:color w:val="000000" w:themeColor="text1"/>
                <w:vertAlign w:val="superscript"/>
              </w:rPr>
              <w:t>2</w:t>
            </w:r>
          </w:p>
        </w:tc>
      </w:tr>
      <w:tr w:rsidR="000D2EDE" w:rsidRPr="00F17C5F" w14:paraId="4C0FE6E3" w14:textId="77777777" w:rsidTr="000D2EDE">
        <w:trPr>
          <w:trHeight w:val="311"/>
        </w:trPr>
        <w:tc>
          <w:tcPr>
            <w:tcW w:w="8865" w:type="dxa"/>
          </w:tcPr>
          <w:p w14:paraId="0D247E59" w14:textId="77777777" w:rsidR="000D2EDE" w:rsidRPr="00F17C5F" w:rsidRDefault="000D2EDE" w:rsidP="00F17C5F">
            <w:pPr>
              <w:spacing w:line="360" w:lineRule="auto"/>
              <w:ind w:firstLine="720"/>
              <w:jc w:val="both"/>
              <w:rPr>
                <w:rFonts w:ascii="Book Antiqua" w:hAnsi="Book Antiqua"/>
                <w:color w:val="000000" w:themeColor="text1"/>
                <w:lang w:eastAsia="zh-CN"/>
              </w:rPr>
            </w:pPr>
            <w:r w:rsidRPr="00F17C5F">
              <w:rPr>
                <w:rFonts w:ascii="Book Antiqua" w:eastAsia="Calibri" w:hAnsi="Book Antiqua"/>
                <w:color w:val="000000" w:themeColor="text1"/>
              </w:rPr>
              <w:t>BSA = square root ((height in cm × ABW in kg) / 3600)</w:t>
            </w:r>
          </w:p>
        </w:tc>
      </w:tr>
    </w:tbl>
    <w:p w14:paraId="7DD2EFB9" w14:textId="7EC15B1B"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Various methods have been used for estimation </w:t>
      </w:r>
      <w:r w:rsidR="003155A9" w:rsidRPr="00F17C5F">
        <w:rPr>
          <w:rFonts w:ascii="Book Antiqua" w:hAnsi="Book Antiqua"/>
          <w:color w:val="000000" w:themeColor="text1"/>
          <w:lang w:eastAsia="zh-CN"/>
        </w:rPr>
        <w:t>-</w:t>
      </w:r>
      <w:r w:rsidRPr="00F17C5F">
        <w:rPr>
          <w:rFonts w:ascii="Book Antiqua" w:eastAsia="Calibri" w:hAnsi="Book Antiqua"/>
          <w:color w:val="000000" w:themeColor="text1"/>
        </w:rPr>
        <w:t xml:space="preserve"> inclusion in this table should not be interpreted as support for </w:t>
      </w:r>
      <w:r w:rsidR="00185DD2" w:rsidRPr="00F17C5F">
        <w:rPr>
          <w:rFonts w:ascii="Book Antiqua" w:eastAsia="Calibri" w:hAnsi="Book Antiqua"/>
          <w:color w:val="000000" w:themeColor="text1"/>
        </w:rPr>
        <w:t>a particular method.</w:t>
      </w:r>
      <w:r w:rsidR="00185DD2" w:rsidRPr="00F17C5F">
        <w:rPr>
          <w:rFonts w:ascii="Book Antiqua" w:hAnsi="Book Antiqua"/>
          <w:color w:val="000000" w:themeColor="text1"/>
          <w:lang w:eastAsia="zh-CN"/>
        </w:rPr>
        <w:t xml:space="preserve"> </w:t>
      </w:r>
      <w:r w:rsidRPr="00F17C5F">
        <w:rPr>
          <w:rFonts w:ascii="Book Antiqua" w:eastAsia="Calibri" w:hAnsi="Book Antiqua"/>
          <w:color w:val="000000" w:themeColor="text1"/>
        </w:rPr>
        <w:t xml:space="preserve">Reprinted with permission from </w:t>
      </w:r>
      <w:r w:rsidR="00A57DA2" w:rsidRPr="00F17C5F">
        <w:rPr>
          <w:rFonts w:ascii="Book Antiqua" w:eastAsia="Calibri" w:hAnsi="Book Antiqua"/>
          <w:color w:val="000000" w:themeColor="text1"/>
        </w:rPr>
        <w:t>Erstad BL</w:t>
      </w:r>
      <w:r w:rsidR="00A57DA2" w:rsidRPr="00F17C5F">
        <w:rPr>
          <w:rFonts w:ascii="Book Antiqua" w:hAnsi="Book Antiqua"/>
          <w:color w:val="000000" w:themeColor="text1"/>
          <w:vertAlign w:val="superscript"/>
          <w:lang w:eastAsia="zh-CN"/>
        </w:rPr>
        <w:t>[15]</w:t>
      </w:r>
      <w:r w:rsidR="00A57DA2" w:rsidRPr="00F17C5F">
        <w:rPr>
          <w:rFonts w:ascii="Book Antiqua" w:eastAsia="Calibri" w:hAnsi="Book Antiqua"/>
          <w:color w:val="000000" w:themeColor="text1"/>
        </w:rPr>
        <w:t>.</w:t>
      </w:r>
      <w:r w:rsidRPr="00F17C5F">
        <w:rPr>
          <w:rFonts w:ascii="Book Antiqua" w:eastAsia="Calibri" w:hAnsi="Book Antiqua"/>
          <w:color w:val="000000" w:themeColor="text1"/>
        </w:rPr>
        <w:t xml:space="preserve"> Copyright © by John Wiley Sons, Inc. Reprinted by permission of John Wiley &amp; Sons, Inc. </w:t>
      </w:r>
    </w:p>
    <w:p w14:paraId="20438119" w14:textId="77777777"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br w:type="page"/>
      </w:r>
    </w:p>
    <w:p w14:paraId="58BC5D58" w14:textId="56BFF90D" w:rsidR="00321C2F" w:rsidRPr="00F17C5F" w:rsidRDefault="00772E20" w:rsidP="00F17C5F">
      <w:pPr>
        <w:spacing w:after="0" w:line="360" w:lineRule="auto"/>
        <w:jc w:val="both"/>
        <w:rPr>
          <w:rFonts w:ascii="Book Antiqua" w:eastAsia="Calibri" w:hAnsi="Book Antiqua"/>
          <w:b/>
          <w:color w:val="000000" w:themeColor="text1"/>
        </w:rPr>
      </w:pPr>
      <w:r w:rsidRPr="00F17C5F">
        <w:rPr>
          <w:rFonts w:ascii="Book Antiqua" w:eastAsia="Calibri" w:hAnsi="Book Antiqua"/>
          <w:b/>
          <w:color w:val="000000" w:themeColor="text1"/>
        </w:rPr>
        <w:t>Table 4</w:t>
      </w:r>
      <w:r w:rsidR="000C28EB" w:rsidRPr="00F17C5F">
        <w:rPr>
          <w:rFonts w:ascii="Book Antiqua" w:eastAsia="Calibri" w:hAnsi="Book Antiqua"/>
          <w:b/>
          <w:color w:val="000000" w:themeColor="text1"/>
        </w:rPr>
        <w:t xml:space="preserve"> </w:t>
      </w:r>
      <w:r w:rsidR="00321C2F" w:rsidRPr="00F17C5F">
        <w:rPr>
          <w:rFonts w:ascii="Book Antiqua" w:eastAsia="Calibri" w:hAnsi="Book Antiqua"/>
          <w:b/>
          <w:color w:val="000000" w:themeColor="text1"/>
        </w:rPr>
        <w:t xml:space="preserve">Estimates and </w:t>
      </w:r>
      <w:r w:rsidR="001F6175" w:rsidRPr="00F17C5F">
        <w:rPr>
          <w:rFonts w:ascii="Book Antiqua" w:eastAsia="Calibri" w:hAnsi="Book Antiqua"/>
          <w:b/>
          <w:color w:val="000000" w:themeColor="text1"/>
        </w:rPr>
        <w:t>measurements of size descriptors such as height and weight</w:t>
      </w:r>
    </w:p>
    <w:tbl>
      <w:tblPr>
        <w:tblStyle w:val="TableGrid"/>
        <w:tblW w:w="0" w:type="auto"/>
        <w:tblLook w:val="04A0" w:firstRow="1" w:lastRow="0" w:firstColumn="1" w:lastColumn="0" w:noHBand="0" w:noVBand="1"/>
      </w:tblPr>
      <w:tblGrid>
        <w:gridCol w:w="9576"/>
      </w:tblGrid>
      <w:tr w:rsidR="000D2EDE" w:rsidRPr="00F17C5F" w14:paraId="71B8B308" w14:textId="77777777" w:rsidTr="000D2EDE">
        <w:tc>
          <w:tcPr>
            <w:tcW w:w="9576" w:type="dxa"/>
          </w:tcPr>
          <w:p w14:paraId="4D55DAD3" w14:textId="1879F8F8"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Strive for consistency and standardization within and between all healthcare professionals and staff involved in size descriptor estimates and measurements.</w:t>
            </w:r>
            <w:r w:rsidR="000C28EB" w:rsidRPr="00F17C5F">
              <w:rPr>
                <w:rFonts w:ascii="Book Antiqua" w:eastAsia="Calibri" w:hAnsi="Book Antiqua"/>
                <w:color w:val="000000" w:themeColor="text1"/>
              </w:rPr>
              <w:t xml:space="preserve"> </w:t>
            </w:r>
            <w:r w:rsidRPr="00F17C5F">
              <w:rPr>
                <w:rFonts w:ascii="Book Antiqua" w:eastAsia="Calibri" w:hAnsi="Book Antiqua"/>
                <w:color w:val="000000" w:themeColor="text1"/>
              </w:rPr>
              <w:t>Examples include:</w:t>
            </w:r>
          </w:p>
        </w:tc>
      </w:tr>
      <w:tr w:rsidR="000D2EDE" w:rsidRPr="00F17C5F" w14:paraId="3B0E9757" w14:textId="77777777" w:rsidTr="000D2EDE">
        <w:tc>
          <w:tcPr>
            <w:tcW w:w="9576" w:type="dxa"/>
          </w:tcPr>
          <w:p w14:paraId="55B926B3" w14:textId="77777777" w:rsidR="000D2EDE" w:rsidRPr="00F17C5F" w:rsidRDefault="000D2EDE" w:rsidP="00F17C5F">
            <w:pPr>
              <w:spacing w:line="360" w:lineRule="auto"/>
              <w:ind w:firstLineChars="400" w:firstLine="960"/>
              <w:jc w:val="both"/>
              <w:rPr>
                <w:rFonts w:ascii="Book Antiqua" w:hAnsi="Book Antiqua"/>
                <w:color w:val="000000" w:themeColor="text1"/>
                <w:lang w:eastAsia="zh-CN"/>
              </w:rPr>
            </w:pPr>
            <w:r w:rsidRPr="00F17C5F">
              <w:rPr>
                <w:rFonts w:ascii="Book Antiqua" w:eastAsia="Calibri" w:hAnsi="Book Antiqua"/>
                <w:color w:val="000000" w:themeColor="text1"/>
              </w:rPr>
              <w:t>Method of estimates including formulas and equations used for calculations</w:t>
            </w:r>
          </w:p>
        </w:tc>
      </w:tr>
      <w:tr w:rsidR="000D2EDE" w:rsidRPr="00F17C5F" w14:paraId="171019A2" w14:textId="77777777" w:rsidTr="000D2EDE">
        <w:tc>
          <w:tcPr>
            <w:tcW w:w="9576" w:type="dxa"/>
          </w:tcPr>
          <w:p w14:paraId="39D0B72D" w14:textId="77777777" w:rsidR="000D2EDE" w:rsidRPr="00F17C5F" w:rsidRDefault="000D2EDE" w:rsidP="00F17C5F">
            <w:pPr>
              <w:spacing w:line="360" w:lineRule="auto"/>
              <w:ind w:left="720"/>
              <w:jc w:val="both"/>
              <w:rPr>
                <w:rFonts w:ascii="Book Antiqua" w:hAnsi="Book Antiqua"/>
                <w:color w:val="000000" w:themeColor="text1"/>
                <w:lang w:eastAsia="zh-CN"/>
              </w:rPr>
            </w:pPr>
            <w:r w:rsidRPr="00F17C5F">
              <w:rPr>
                <w:rFonts w:ascii="Book Antiqua" w:eastAsia="Calibri" w:hAnsi="Book Antiqua"/>
                <w:color w:val="000000" w:themeColor="text1"/>
              </w:rPr>
              <w:t>Instruments used for measurement and how utilized (</w:t>
            </w:r>
            <w:r w:rsidRPr="00F17C5F">
              <w:rPr>
                <w:rFonts w:ascii="Book Antiqua" w:eastAsia="Calibri" w:hAnsi="Book Antiqua"/>
                <w:i/>
                <w:color w:val="000000" w:themeColor="text1"/>
              </w:rPr>
              <w:t>e.g.,</w:t>
            </w:r>
            <w:r w:rsidRPr="00F17C5F">
              <w:rPr>
                <w:rFonts w:ascii="Book Antiqua" w:eastAsia="Calibri" w:hAnsi="Book Antiqua"/>
                <w:color w:val="000000" w:themeColor="text1"/>
              </w:rPr>
              <w:t xml:space="preserve"> clothes off or on for weight recordings)</w:t>
            </w:r>
          </w:p>
        </w:tc>
      </w:tr>
      <w:tr w:rsidR="000D2EDE" w:rsidRPr="00F17C5F" w14:paraId="1C15A029" w14:textId="77777777" w:rsidTr="000D2EDE">
        <w:tc>
          <w:tcPr>
            <w:tcW w:w="9576" w:type="dxa"/>
          </w:tcPr>
          <w:p w14:paraId="5FB41EFC" w14:textId="54FC2288" w:rsidR="000D2EDE" w:rsidRPr="00F17C5F" w:rsidRDefault="000D2EDE" w:rsidP="00F17C5F">
            <w:pPr>
              <w:spacing w:line="360" w:lineRule="auto"/>
              <w:ind w:left="720"/>
              <w:jc w:val="both"/>
              <w:rPr>
                <w:rFonts w:ascii="Book Antiqua" w:hAnsi="Book Antiqua"/>
                <w:color w:val="000000" w:themeColor="text1"/>
                <w:lang w:eastAsia="zh-CN"/>
              </w:rPr>
            </w:pPr>
            <w:r w:rsidRPr="00F17C5F">
              <w:rPr>
                <w:rFonts w:ascii="Book Antiqua" w:eastAsia="Calibri" w:hAnsi="Book Antiqua"/>
                <w:color w:val="000000" w:themeColor="text1"/>
              </w:rPr>
              <w:t>Recording and use of units of estimates and measurements (</w:t>
            </w:r>
            <w:r w:rsidRPr="00F17C5F">
              <w:rPr>
                <w:rFonts w:ascii="Book Antiqua" w:eastAsia="Calibri" w:hAnsi="Book Antiqua"/>
                <w:i/>
                <w:color w:val="000000" w:themeColor="text1"/>
              </w:rPr>
              <w:t>e.g.,</w:t>
            </w:r>
            <w:r w:rsidRPr="00F17C5F">
              <w:rPr>
                <w:rFonts w:ascii="Book Antiqua" w:eastAsia="Calibri" w:hAnsi="Book Antiqua"/>
                <w:color w:val="000000" w:themeColor="text1"/>
              </w:rPr>
              <w:t xml:space="preserve"> ce</w:t>
            </w:r>
            <w:r w:rsidR="001F6175" w:rsidRPr="00F17C5F">
              <w:rPr>
                <w:rFonts w:ascii="Book Antiqua" w:eastAsia="Calibri" w:hAnsi="Book Antiqua"/>
                <w:color w:val="000000" w:themeColor="text1"/>
              </w:rPr>
              <w:t xml:space="preserve">ntimeters </w:t>
            </w:r>
            <w:r w:rsidR="001F6175" w:rsidRPr="00F17C5F">
              <w:rPr>
                <w:rFonts w:ascii="Book Antiqua" w:eastAsia="Calibri" w:hAnsi="Book Antiqua"/>
                <w:i/>
                <w:color w:val="000000" w:themeColor="text1"/>
              </w:rPr>
              <w:t>vs</w:t>
            </w:r>
            <w:r w:rsidR="001F6175" w:rsidRPr="00F17C5F">
              <w:rPr>
                <w:rFonts w:ascii="Book Antiqua" w:eastAsia="Calibri" w:hAnsi="Book Antiqua"/>
                <w:color w:val="000000" w:themeColor="text1"/>
              </w:rPr>
              <w:t xml:space="preserve"> inches, pounds </w:t>
            </w:r>
            <w:r w:rsidR="001F6175" w:rsidRPr="00F17C5F">
              <w:rPr>
                <w:rFonts w:ascii="Book Antiqua" w:eastAsia="Calibri" w:hAnsi="Book Antiqua"/>
                <w:i/>
                <w:color w:val="000000" w:themeColor="text1"/>
              </w:rPr>
              <w:t>vs</w:t>
            </w:r>
            <w:r w:rsidRPr="00F17C5F">
              <w:rPr>
                <w:rFonts w:ascii="Book Antiqua" w:eastAsia="Calibri" w:hAnsi="Book Antiqua"/>
                <w:color w:val="000000" w:themeColor="text1"/>
              </w:rPr>
              <w:t xml:space="preserve"> kilograms)</w:t>
            </w:r>
          </w:p>
        </w:tc>
      </w:tr>
      <w:tr w:rsidR="000D2EDE" w:rsidRPr="00F17C5F" w14:paraId="2434A29F" w14:textId="77777777" w:rsidTr="000D2EDE">
        <w:tc>
          <w:tcPr>
            <w:tcW w:w="9576" w:type="dxa"/>
          </w:tcPr>
          <w:p w14:paraId="04AE0CFB" w14:textId="77777777" w:rsidR="000D2EDE" w:rsidRPr="00F17C5F" w:rsidRDefault="000D2EDE" w:rsidP="00F17C5F">
            <w:pPr>
              <w:spacing w:line="360" w:lineRule="auto"/>
              <w:ind w:firstLineChars="300" w:firstLine="720"/>
              <w:jc w:val="both"/>
              <w:rPr>
                <w:rFonts w:ascii="Book Antiqua" w:hAnsi="Book Antiqua"/>
                <w:color w:val="000000" w:themeColor="text1"/>
                <w:lang w:eastAsia="zh-CN"/>
              </w:rPr>
            </w:pPr>
            <w:r w:rsidRPr="00F17C5F">
              <w:rPr>
                <w:rFonts w:ascii="Book Antiqua" w:eastAsia="Calibri" w:hAnsi="Book Antiqua"/>
                <w:color w:val="000000" w:themeColor="text1"/>
              </w:rPr>
              <w:t>Terminology related to size descriptors (</w:t>
            </w:r>
            <w:r w:rsidRPr="00F17C5F">
              <w:rPr>
                <w:rFonts w:ascii="Book Antiqua" w:eastAsia="Calibri" w:hAnsi="Book Antiqua"/>
                <w:i/>
                <w:color w:val="000000" w:themeColor="text1"/>
              </w:rPr>
              <w:t>e.g.,</w:t>
            </w:r>
            <w:r w:rsidRPr="00F17C5F">
              <w:rPr>
                <w:rFonts w:ascii="Book Antiqua" w:eastAsia="Calibri" w:hAnsi="Book Antiqua"/>
                <w:color w:val="000000" w:themeColor="text1"/>
              </w:rPr>
              <w:t xml:space="preserve"> ideal weight, adjusted weight)</w:t>
            </w:r>
          </w:p>
        </w:tc>
      </w:tr>
      <w:tr w:rsidR="000D2EDE" w:rsidRPr="00F17C5F" w14:paraId="0CE47538" w14:textId="77777777" w:rsidTr="000D2EDE">
        <w:tc>
          <w:tcPr>
            <w:tcW w:w="9576" w:type="dxa"/>
          </w:tcPr>
          <w:p w14:paraId="124F7266" w14:textId="195124B0"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Ensure proper communication and documentation of method (</w:t>
            </w:r>
            <w:r w:rsidRPr="00F17C5F">
              <w:rPr>
                <w:rFonts w:ascii="Book Antiqua" w:eastAsia="Calibri" w:hAnsi="Book Antiqua"/>
                <w:i/>
                <w:color w:val="000000" w:themeColor="text1"/>
              </w:rPr>
              <w:t>e.g.,</w:t>
            </w:r>
            <w:r w:rsidRPr="00F17C5F">
              <w:rPr>
                <w:rFonts w:ascii="Book Antiqua" w:eastAsia="Calibri" w:hAnsi="Book Antiqua"/>
                <w:color w:val="000000" w:themeColor="text1"/>
              </w:rPr>
              <w:t xml:space="preserve"> pa</w:t>
            </w:r>
            <w:r w:rsidR="001F6175" w:rsidRPr="00F17C5F">
              <w:rPr>
                <w:rFonts w:ascii="Book Antiqua" w:eastAsia="Calibri" w:hAnsi="Book Antiqua"/>
                <w:color w:val="000000" w:themeColor="text1"/>
              </w:rPr>
              <w:t xml:space="preserve">tient </w:t>
            </w:r>
            <w:r w:rsidR="001F6175" w:rsidRPr="00F17C5F">
              <w:rPr>
                <w:rFonts w:ascii="Book Antiqua" w:eastAsia="Calibri" w:hAnsi="Book Antiqua"/>
                <w:i/>
                <w:color w:val="000000" w:themeColor="text1"/>
              </w:rPr>
              <w:t>vs</w:t>
            </w:r>
            <w:r w:rsidR="001F6175" w:rsidRPr="00F17C5F">
              <w:rPr>
                <w:rFonts w:ascii="Book Antiqua" w:eastAsia="Calibri" w:hAnsi="Book Antiqua"/>
                <w:color w:val="000000" w:themeColor="text1"/>
              </w:rPr>
              <w:t xml:space="preserve"> provider, estimate </w:t>
            </w:r>
            <w:r w:rsidR="001F6175" w:rsidRPr="00F17C5F">
              <w:rPr>
                <w:rFonts w:ascii="Book Antiqua" w:eastAsia="Calibri" w:hAnsi="Book Antiqua"/>
                <w:i/>
                <w:color w:val="000000" w:themeColor="text1"/>
              </w:rPr>
              <w:t>vs</w:t>
            </w:r>
            <w:r w:rsidRPr="00F17C5F">
              <w:rPr>
                <w:rFonts w:ascii="Book Antiqua" w:eastAsia="Calibri" w:hAnsi="Book Antiqua"/>
                <w:color w:val="000000" w:themeColor="text1"/>
              </w:rPr>
              <w:t xml:space="preserve"> measurement) used to obtain estimates and measurements of size descriptors</w:t>
            </w:r>
          </w:p>
        </w:tc>
      </w:tr>
      <w:tr w:rsidR="000D2EDE" w:rsidRPr="00F17C5F" w14:paraId="2A3C883A" w14:textId="77777777" w:rsidTr="000D2EDE">
        <w:tc>
          <w:tcPr>
            <w:tcW w:w="9576" w:type="dxa"/>
          </w:tcPr>
          <w:p w14:paraId="3371A7BB"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Have ongoing education with evaluation of all personnel involved in the determination and documentation of estimates and measurements</w:t>
            </w:r>
          </w:p>
        </w:tc>
      </w:tr>
      <w:tr w:rsidR="000D2EDE" w:rsidRPr="00F17C5F" w14:paraId="7431A00D" w14:textId="77777777" w:rsidTr="000D2EDE">
        <w:tc>
          <w:tcPr>
            <w:tcW w:w="9576" w:type="dxa"/>
          </w:tcPr>
          <w:p w14:paraId="6F42E3FF" w14:textId="23B8EF84"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Have periodic evaluation of compliance by area (</w:t>
            </w:r>
            <w:r w:rsidRPr="00F17C5F">
              <w:rPr>
                <w:rFonts w:ascii="Book Antiqua" w:eastAsia="Calibri" w:hAnsi="Book Antiqua"/>
                <w:i/>
                <w:color w:val="000000" w:themeColor="text1"/>
              </w:rPr>
              <w:t>e.g.,</w:t>
            </w:r>
            <w:r w:rsidR="001F6175" w:rsidRPr="00F17C5F">
              <w:rPr>
                <w:rFonts w:ascii="Book Antiqua" w:eastAsia="Calibri" w:hAnsi="Book Antiqua"/>
                <w:color w:val="000000" w:themeColor="text1"/>
              </w:rPr>
              <w:t xml:space="preserve"> ICU </w:t>
            </w:r>
            <w:r w:rsidR="001F6175" w:rsidRPr="00F17C5F">
              <w:rPr>
                <w:rFonts w:ascii="Book Antiqua" w:eastAsia="Calibri" w:hAnsi="Book Antiqua"/>
                <w:i/>
                <w:color w:val="000000" w:themeColor="text1"/>
              </w:rPr>
              <w:t>vs</w:t>
            </w:r>
            <w:r w:rsidRPr="00F17C5F">
              <w:rPr>
                <w:rFonts w:ascii="Book Antiqua" w:eastAsia="Calibri" w:hAnsi="Book Antiqua"/>
                <w:color w:val="000000" w:themeColor="text1"/>
              </w:rPr>
              <w:t xml:space="preserve"> emergency department)</w:t>
            </w:r>
          </w:p>
        </w:tc>
      </w:tr>
      <w:tr w:rsidR="000D2EDE" w:rsidRPr="00F17C5F" w14:paraId="61FD89BF" w14:textId="77777777" w:rsidTr="000D2EDE">
        <w:tc>
          <w:tcPr>
            <w:tcW w:w="9576" w:type="dxa"/>
          </w:tcPr>
          <w:p w14:paraId="2ED5FAA6"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Ensure that age-appropriate instruments are available and have regularly scheduled calibration</w:t>
            </w:r>
          </w:p>
        </w:tc>
      </w:tr>
      <w:tr w:rsidR="000D2EDE" w:rsidRPr="00F17C5F" w14:paraId="762CAA6C" w14:textId="77777777" w:rsidTr="000D2EDE">
        <w:tc>
          <w:tcPr>
            <w:tcW w:w="9576" w:type="dxa"/>
          </w:tcPr>
          <w:p w14:paraId="569A3D40"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Use technology (</w:t>
            </w:r>
            <w:r w:rsidRPr="00F17C5F">
              <w:rPr>
                <w:rFonts w:ascii="Book Antiqua" w:eastAsia="Calibri" w:hAnsi="Book Antiqua"/>
                <w:i/>
                <w:color w:val="000000" w:themeColor="text1"/>
              </w:rPr>
              <w:t>e.g.,</w:t>
            </w:r>
            <w:r w:rsidRPr="00F17C5F">
              <w:rPr>
                <w:rFonts w:ascii="Book Antiqua" w:eastAsia="Calibri" w:hAnsi="Book Antiqua"/>
                <w:color w:val="000000" w:themeColor="text1"/>
              </w:rPr>
              <w:t xml:space="preserve"> automated infusion devices, dosing calculators) when available to reduce chance of medication errors</w:t>
            </w:r>
          </w:p>
        </w:tc>
      </w:tr>
      <w:tr w:rsidR="000D2EDE" w:rsidRPr="00F17C5F" w14:paraId="5EBBB018" w14:textId="77777777" w:rsidTr="000D2EDE">
        <w:tc>
          <w:tcPr>
            <w:tcW w:w="9576" w:type="dxa"/>
          </w:tcPr>
          <w:p w14:paraId="2A92D9D6" w14:textId="77777777" w:rsidR="000D2EDE" w:rsidRPr="00F17C5F" w:rsidRDefault="000D2EDE" w:rsidP="00F17C5F">
            <w:pPr>
              <w:spacing w:line="360" w:lineRule="auto"/>
              <w:jc w:val="both"/>
              <w:rPr>
                <w:rFonts w:ascii="Book Antiqua" w:eastAsia="Calibri" w:hAnsi="Book Antiqua"/>
                <w:color w:val="000000" w:themeColor="text1"/>
              </w:rPr>
            </w:pPr>
          </w:p>
        </w:tc>
      </w:tr>
    </w:tbl>
    <w:p w14:paraId="615F8240" w14:textId="77777777" w:rsidR="00321C2F" w:rsidRPr="00F17C5F" w:rsidRDefault="00321C2F" w:rsidP="00F17C5F">
      <w:pPr>
        <w:spacing w:after="0" w:line="360" w:lineRule="auto"/>
        <w:jc w:val="both"/>
        <w:rPr>
          <w:rFonts w:ascii="Book Antiqua" w:hAnsi="Book Antiqua"/>
          <w:color w:val="000000" w:themeColor="text1"/>
          <w:lang w:eastAsia="zh-CN"/>
        </w:rPr>
      </w:pPr>
    </w:p>
    <w:p w14:paraId="06919E2F" w14:textId="3C91336A" w:rsidR="00A57DA2" w:rsidRPr="00F17C5F" w:rsidRDefault="00321C2F" w:rsidP="00F17C5F">
      <w:pPr>
        <w:spacing w:after="0"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Reprinted with permission from </w:t>
      </w:r>
      <w:r w:rsidR="00A57DA2" w:rsidRPr="00F17C5F">
        <w:rPr>
          <w:rFonts w:ascii="Book Antiqua" w:eastAsia="Calibri" w:hAnsi="Book Antiqua"/>
          <w:color w:val="000000" w:themeColor="text1"/>
        </w:rPr>
        <w:t>Erstad BL</w:t>
      </w:r>
      <w:r w:rsidR="00A57DA2" w:rsidRPr="00F17C5F">
        <w:rPr>
          <w:rFonts w:ascii="Book Antiqua" w:hAnsi="Book Antiqua"/>
          <w:color w:val="000000" w:themeColor="text1"/>
          <w:vertAlign w:val="superscript"/>
          <w:lang w:eastAsia="zh-CN"/>
        </w:rPr>
        <w:t>[15]</w:t>
      </w:r>
      <w:r w:rsidR="00A57DA2" w:rsidRPr="00F17C5F">
        <w:rPr>
          <w:rFonts w:ascii="Book Antiqua" w:eastAsia="Calibri" w:hAnsi="Book Antiqua"/>
          <w:color w:val="000000" w:themeColor="text1"/>
        </w:rPr>
        <w:t>.</w:t>
      </w:r>
      <w:r w:rsidRPr="00F17C5F">
        <w:rPr>
          <w:rFonts w:ascii="Book Antiqua" w:eastAsia="Calibri" w:hAnsi="Book Antiqua"/>
          <w:color w:val="000000" w:themeColor="text1"/>
        </w:rPr>
        <w:t xml:space="preserve"> Copyright © by John Wiley Sons, Inc. Reprinted by permission of John Wiley &amp; Sons, Inc. </w:t>
      </w:r>
    </w:p>
    <w:p w14:paraId="2814C2EB" w14:textId="38FCDFB0"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br w:type="page"/>
      </w:r>
      <w:r w:rsidR="00F86664" w:rsidRPr="00F17C5F">
        <w:rPr>
          <w:rFonts w:ascii="Book Antiqua" w:eastAsia="Calibri" w:hAnsi="Book Antiqua"/>
          <w:b/>
          <w:color w:val="000000" w:themeColor="text1"/>
        </w:rPr>
        <w:t>Table</w:t>
      </w:r>
      <w:r w:rsidR="00772E20" w:rsidRPr="00F17C5F">
        <w:rPr>
          <w:rFonts w:ascii="Book Antiqua" w:eastAsia="Calibri" w:hAnsi="Book Antiqua"/>
          <w:b/>
          <w:color w:val="000000" w:themeColor="text1"/>
        </w:rPr>
        <w:t xml:space="preserve"> 5</w:t>
      </w:r>
      <w:r w:rsidRPr="00F17C5F">
        <w:rPr>
          <w:rFonts w:ascii="Book Antiqua" w:eastAsia="Calibri" w:hAnsi="Book Antiqua"/>
          <w:b/>
          <w:color w:val="000000" w:themeColor="text1"/>
        </w:rPr>
        <w:t xml:space="preserve"> Pharmacokinetic </w:t>
      </w:r>
      <w:r w:rsidR="00185DD2" w:rsidRPr="00F17C5F">
        <w:rPr>
          <w:rFonts w:ascii="Book Antiqua" w:eastAsia="Calibri" w:hAnsi="Book Antiqua"/>
          <w:b/>
          <w:color w:val="000000" w:themeColor="text1"/>
        </w:rPr>
        <w:t>considerations in the critically ill</w:t>
      </w:r>
      <w:r w:rsidRPr="00F17C5F">
        <w:rPr>
          <w:rFonts w:ascii="Book Antiqua" w:eastAsia="Calibri" w:hAnsi="Book Antiqua"/>
          <w:b/>
          <w:color w:val="000000" w:themeColor="text1"/>
        </w:rPr>
        <w:t xml:space="preserve"> </w:t>
      </w:r>
      <w:r w:rsidR="00185DD2" w:rsidRPr="00F17C5F">
        <w:rPr>
          <w:rFonts w:ascii="Book Antiqua" w:eastAsia="Calibri" w:hAnsi="Book Antiqua"/>
          <w:b/>
          <w:color w:val="000000" w:themeColor="text1"/>
        </w:rPr>
        <w:t>patient</w:t>
      </w:r>
    </w:p>
    <w:tbl>
      <w:tblPr>
        <w:tblStyle w:val="TableGrid"/>
        <w:tblW w:w="0" w:type="auto"/>
        <w:tblLook w:val="04A0" w:firstRow="1" w:lastRow="0" w:firstColumn="1" w:lastColumn="0" w:noHBand="0" w:noVBand="1"/>
      </w:tblPr>
      <w:tblGrid>
        <w:gridCol w:w="9576"/>
      </w:tblGrid>
      <w:tr w:rsidR="000D2EDE" w:rsidRPr="00F17C5F" w14:paraId="24FF662A" w14:textId="77777777" w:rsidTr="000D2EDE">
        <w:tc>
          <w:tcPr>
            <w:tcW w:w="9576" w:type="dxa"/>
          </w:tcPr>
          <w:p w14:paraId="3F8679E7"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Data from pharmacokinetic studies are no substitute for clinical monitoring of the individual patient’s response to therapy</w:t>
            </w:r>
          </w:p>
        </w:tc>
      </w:tr>
      <w:tr w:rsidR="000D2EDE" w:rsidRPr="00F17C5F" w14:paraId="7C35C4D0" w14:textId="77777777" w:rsidTr="000D2EDE">
        <w:tc>
          <w:tcPr>
            <w:tcW w:w="9576" w:type="dxa"/>
          </w:tcPr>
          <w:p w14:paraId="74FF2B87"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Pharmacokinetic parameters derived from studies involving normal volunteers or less severely ill patients are not directly applicable to the critically ill patient</w:t>
            </w:r>
          </w:p>
        </w:tc>
      </w:tr>
      <w:tr w:rsidR="000D2EDE" w:rsidRPr="00F17C5F" w14:paraId="7B96FE8D" w14:textId="77777777" w:rsidTr="000D2EDE">
        <w:tc>
          <w:tcPr>
            <w:tcW w:w="9576" w:type="dxa"/>
          </w:tcPr>
          <w:p w14:paraId="35CC599F"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Average parameters for volume of distribution and clearance are larger and have much greater variability in critically ill patients compared with less severely ill patients</w:t>
            </w:r>
          </w:p>
        </w:tc>
      </w:tr>
      <w:tr w:rsidR="000D2EDE" w:rsidRPr="00F17C5F" w14:paraId="0C5CF3B2" w14:textId="77777777" w:rsidTr="000D2EDE">
        <w:tc>
          <w:tcPr>
            <w:tcW w:w="9576" w:type="dxa"/>
          </w:tcPr>
          <w:p w14:paraId="6AB06699"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The duration of action of single or isolated IV doses of more lipophilic drugs used in the ICU is a function more of distribution than of clearance</w:t>
            </w:r>
          </w:p>
        </w:tc>
      </w:tr>
      <w:tr w:rsidR="000D2EDE" w:rsidRPr="00F17C5F" w14:paraId="72FBF67F" w14:textId="77777777" w:rsidTr="000D2EDE">
        <w:tc>
          <w:tcPr>
            <w:tcW w:w="9576" w:type="dxa"/>
          </w:tcPr>
          <w:p w14:paraId="64FDADA8"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The values for volume of distribution and clearance frequently change from baseline with prolonged drug administration because of factors such as accumulation or altered elimination</w:t>
            </w:r>
          </w:p>
        </w:tc>
      </w:tr>
      <w:tr w:rsidR="000D2EDE" w:rsidRPr="00F17C5F" w14:paraId="0B50E0F3" w14:textId="77777777" w:rsidTr="000D2EDE">
        <w:tc>
          <w:tcPr>
            <w:tcW w:w="9576" w:type="dxa"/>
          </w:tcPr>
          <w:p w14:paraId="472C58A1"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For drugs with active metabolites, the pharmacokinetics of the metabolites as well as the parent compound must be considered</w:t>
            </w:r>
          </w:p>
        </w:tc>
      </w:tr>
      <w:tr w:rsidR="000D2EDE" w:rsidRPr="00F17C5F" w14:paraId="7C26DE31" w14:textId="77777777" w:rsidTr="000D2EDE">
        <w:tc>
          <w:tcPr>
            <w:tcW w:w="9576" w:type="dxa"/>
          </w:tcPr>
          <w:p w14:paraId="38D27031"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Drug absorption is important not only with oral or enteral administration but also with intramuscular and subcutaneous injections</w:t>
            </w:r>
          </w:p>
        </w:tc>
      </w:tr>
    </w:tbl>
    <w:p w14:paraId="7A26E832" w14:textId="0C659EA9" w:rsidR="00321C2F" w:rsidRPr="00F17C5F" w:rsidRDefault="00321C2F" w:rsidP="00F17C5F">
      <w:pPr>
        <w:spacing w:after="0"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Reprinted with permission from Erstad BL</w:t>
      </w:r>
      <w:r w:rsidR="00F6162B" w:rsidRPr="00F17C5F">
        <w:rPr>
          <w:rFonts w:ascii="Book Antiqua" w:hAnsi="Book Antiqua"/>
          <w:color w:val="000000" w:themeColor="text1"/>
          <w:vertAlign w:val="superscript"/>
          <w:lang w:eastAsia="zh-CN"/>
        </w:rPr>
        <w:t>[56]</w:t>
      </w:r>
      <w:r w:rsidR="00F6162B" w:rsidRPr="00F17C5F">
        <w:rPr>
          <w:rFonts w:ascii="Book Antiqua" w:hAnsi="Book Antiqua"/>
          <w:color w:val="000000" w:themeColor="text1"/>
          <w:lang w:eastAsia="zh-CN"/>
        </w:rPr>
        <w:t>.</w:t>
      </w:r>
    </w:p>
    <w:p w14:paraId="7FDE33B9" w14:textId="77777777" w:rsidR="00185DD2" w:rsidRPr="00F17C5F" w:rsidRDefault="00185DD2" w:rsidP="00F17C5F">
      <w:pPr>
        <w:spacing w:after="0" w:line="360" w:lineRule="auto"/>
        <w:jc w:val="both"/>
        <w:rPr>
          <w:rFonts w:ascii="Book Antiqua" w:hAnsi="Book Antiqua"/>
          <w:color w:val="000000" w:themeColor="text1"/>
          <w:lang w:eastAsia="zh-CN"/>
        </w:rPr>
      </w:pPr>
    </w:p>
    <w:p w14:paraId="41A6C3AB" w14:textId="77777777"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br w:type="page"/>
      </w:r>
    </w:p>
    <w:p w14:paraId="35AD5A8D" w14:textId="76C115EE" w:rsidR="00321C2F" w:rsidRPr="00F17C5F" w:rsidRDefault="00F86664" w:rsidP="00F17C5F">
      <w:pPr>
        <w:spacing w:after="0"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Table</w:t>
      </w:r>
      <w:r w:rsidR="00772E20" w:rsidRPr="00F17C5F">
        <w:rPr>
          <w:rFonts w:ascii="Book Antiqua" w:eastAsia="Calibri" w:hAnsi="Book Antiqua"/>
          <w:b/>
          <w:color w:val="000000" w:themeColor="text1"/>
        </w:rPr>
        <w:t xml:space="preserve"> 6</w:t>
      </w:r>
      <w:r w:rsidR="000D2EDE" w:rsidRPr="00F17C5F">
        <w:rPr>
          <w:rFonts w:ascii="Book Antiqua" w:eastAsia="Calibri" w:hAnsi="Book Antiqua"/>
          <w:b/>
          <w:color w:val="000000" w:themeColor="text1"/>
        </w:rPr>
        <w:t xml:space="preserve"> </w:t>
      </w:r>
      <w:r w:rsidR="00321C2F" w:rsidRPr="00F17C5F">
        <w:rPr>
          <w:rFonts w:ascii="Book Antiqua" w:eastAsia="Calibri" w:hAnsi="Book Antiqua"/>
          <w:b/>
          <w:color w:val="000000" w:themeColor="text1"/>
        </w:rPr>
        <w:t xml:space="preserve">Assessment of </w:t>
      </w:r>
      <w:r w:rsidR="00185DD2" w:rsidRPr="00F17C5F">
        <w:rPr>
          <w:rFonts w:ascii="Book Antiqua" w:eastAsia="Calibri" w:hAnsi="Book Antiqua"/>
          <w:b/>
          <w:color w:val="000000" w:themeColor="text1"/>
        </w:rPr>
        <w:t>possible dose proportionality in studies with obese subject</w:t>
      </w:r>
      <w:r w:rsidR="00321C2F" w:rsidRPr="00F17C5F">
        <w:rPr>
          <w:rFonts w:ascii="Book Antiqua" w:eastAsia="Calibri" w:hAnsi="Book Antiqua"/>
          <w:b/>
          <w:color w:val="000000" w:themeColor="text1"/>
        </w:rPr>
        <w:t>s</w:t>
      </w:r>
      <w:r w:rsidR="000D2EDE" w:rsidRPr="00F17C5F">
        <w:rPr>
          <w:rFonts w:ascii="Book Antiqua" w:hAnsi="Book Antiqua"/>
          <w:b/>
          <w:color w:val="000000" w:themeColor="text1"/>
          <w:vertAlign w:val="superscript"/>
          <w:lang w:eastAsia="zh-CN"/>
        </w:rPr>
        <w:t>1</w:t>
      </w:r>
    </w:p>
    <w:tbl>
      <w:tblPr>
        <w:tblStyle w:val="TableGrid"/>
        <w:tblW w:w="0" w:type="auto"/>
        <w:tblLook w:val="04A0" w:firstRow="1" w:lastRow="0" w:firstColumn="1" w:lastColumn="0" w:noHBand="0" w:noVBand="1"/>
      </w:tblPr>
      <w:tblGrid>
        <w:gridCol w:w="9576"/>
      </w:tblGrid>
      <w:tr w:rsidR="000D2EDE" w:rsidRPr="00F17C5F" w14:paraId="486DAE07" w14:textId="77777777" w:rsidTr="000D2EDE">
        <w:tc>
          <w:tcPr>
            <w:tcW w:w="9576" w:type="dxa"/>
          </w:tcPr>
          <w:p w14:paraId="5677AE7C"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Did the study involve a comparator group of normal weight subjects of similar demographics (</w:t>
            </w:r>
            <w:r w:rsidRPr="00F17C5F">
              <w:rPr>
                <w:rFonts w:ascii="Book Antiqua" w:eastAsia="Calibri" w:hAnsi="Book Antiqua"/>
                <w:i/>
                <w:color w:val="000000" w:themeColor="text1"/>
              </w:rPr>
              <w:t>e.g.,</w:t>
            </w:r>
            <w:r w:rsidRPr="00F17C5F">
              <w:rPr>
                <w:rFonts w:ascii="Book Antiqua" w:eastAsia="Calibri" w:hAnsi="Book Antiqua"/>
                <w:color w:val="000000" w:themeColor="text1"/>
              </w:rPr>
              <w:t xml:space="preserve"> age, height, gender) and co-morbidities as the obese subjects?</w:t>
            </w:r>
          </w:p>
        </w:tc>
      </w:tr>
      <w:tr w:rsidR="000D2EDE" w:rsidRPr="00F17C5F" w14:paraId="289210C4" w14:textId="77777777" w:rsidTr="000D2EDE">
        <w:tc>
          <w:tcPr>
            <w:tcW w:w="9576" w:type="dxa"/>
          </w:tcPr>
          <w:p w14:paraId="32BA1A5C"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Did the values of pharmacokinetic parameters unadjusted for bodyweight (e</w:t>
            </w:r>
            <w:r w:rsidRPr="00F17C5F">
              <w:rPr>
                <w:rFonts w:ascii="Book Antiqua" w:eastAsia="Calibri" w:hAnsi="Book Antiqua"/>
                <w:i/>
                <w:color w:val="000000" w:themeColor="text1"/>
              </w:rPr>
              <w:t>.g.,</w:t>
            </w:r>
            <w:r w:rsidRPr="00F17C5F">
              <w:rPr>
                <w:rFonts w:ascii="Book Antiqua" w:eastAsia="Calibri" w:hAnsi="Book Antiqua"/>
                <w:color w:val="000000" w:themeColor="text1"/>
              </w:rPr>
              <w:t xml:space="preserve"> volume of distribution in mL and clearance in mL/min) increase proportionally to weight in the obese versus the normal-weight subjects?</w:t>
            </w:r>
          </w:p>
        </w:tc>
      </w:tr>
      <w:tr w:rsidR="000D2EDE" w:rsidRPr="00F17C5F" w14:paraId="5DB5E40A" w14:textId="77777777" w:rsidTr="000D2EDE">
        <w:tc>
          <w:tcPr>
            <w:tcW w:w="9576" w:type="dxa"/>
          </w:tcPr>
          <w:p w14:paraId="069A04C6"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Were the values of pharmacokinetic parameters adjusted for actual bodyweight (</w:t>
            </w:r>
            <w:r w:rsidRPr="00F17C5F">
              <w:rPr>
                <w:rFonts w:ascii="Book Antiqua" w:eastAsia="Calibri" w:hAnsi="Book Antiqua"/>
                <w:i/>
                <w:color w:val="000000" w:themeColor="text1"/>
              </w:rPr>
              <w:t>e.g.,</w:t>
            </w:r>
            <w:r w:rsidRPr="00F17C5F">
              <w:rPr>
                <w:rFonts w:ascii="Book Antiqua" w:eastAsia="Calibri" w:hAnsi="Book Antiqua"/>
                <w:color w:val="000000" w:themeColor="text1"/>
              </w:rPr>
              <w:t xml:space="preserve"> volume of distribution in mL/kg and clearance in mL/min/kg) similar in the obese and normal-weight subjects?</w:t>
            </w:r>
          </w:p>
        </w:tc>
      </w:tr>
      <w:tr w:rsidR="000D2EDE" w:rsidRPr="00F17C5F" w14:paraId="0A532543" w14:textId="77777777" w:rsidTr="000D2EDE">
        <w:tc>
          <w:tcPr>
            <w:tcW w:w="9576" w:type="dxa"/>
          </w:tcPr>
          <w:p w14:paraId="25FA31BF"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Did the values of pharmacokinetic parameters adjusted for ideal bodyweight (</w:t>
            </w:r>
            <w:r w:rsidRPr="00F17C5F">
              <w:rPr>
                <w:rFonts w:ascii="Book Antiqua" w:eastAsia="Calibri" w:hAnsi="Book Antiqua"/>
                <w:i/>
                <w:color w:val="000000" w:themeColor="text1"/>
              </w:rPr>
              <w:t xml:space="preserve">e.g., </w:t>
            </w:r>
            <w:r w:rsidRPr="00F17C5F">
              <w:rPr>
                <w:rFonts w:ascii="Book Antiqua" w:eastAsia="Calibri" w:hAnsi="Book Antiqua"/>
                <w:color w:val="000000" w:themeColor="text1"/>
              </w:rPr>
              <w:t>volume of distribution in mL/kg and clearance in mL/min/kg) increase proportionally to weight in the obese versus the normal-weight subjects?</w:t>
            </w:r>
          </w:p>
        </w:tc>
      </w:tr>
      <w:tr w:rsidR="000D2EDE" w:rsidRPr="00F17C5F" w14:paraId="6A4F8285" w14:textId="77777777" w:rsidTr="000D2EDE">
        <w:tc>
          <w:tcPr>
            <w:tcW w:w="9576" w:type="dxa"/>
          </w:tcPr>
          <w:p w14:paraId="32C929A6"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Was the calculated half-life based on the pharmacokinetic parameters similar in the obese and normal-weight subjects?</w:t>
            </w:r>
          </w:p>
        </w:tc>
      </w:tr>
      <w:tr w:rsidR="000D2EDE" w:rsidRPr="00F17C5F" w14:paraId="7F5FCFB0" w14:textId="77777777" w:rsidTr="000D2EDE">
        <w:tc>
          <w:tcPr>
            <w:tcW w:w="9576" w:type="dxa"/>
          </w:tcPr>
          <w:p w14:paraId="074F1185" w14:textId="77777777" w:rsidR="000D2EDE" w:rsidRPr="00F17C5F" w:rsidRDefault="000D2EDE"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When actual bodyweight was used in weight-based dosing protocols were the therapeutic effects and dose-related adverse drug events similar in the obese and normal-weight subjects?</w:t>
            </w:r>
          </w:p>
        </w:tc>
      </w:tr>
    </w:tbl>
    <w:p w14:paraId="7F7BC018" w14:textId="4F03E2D9" w:rsidR="00321C2F" w:rsidRPr="00F17C5F" w:rsidRDefault="000D2EDE" w:rsidP="00F17C5F">
      <w:pPr>
        <w:spacing w:after="0" w:line="360" w:lineRule="auto"/>
        <w:jc w:val="both"/>
        <w:rPr>
          <w:rFonts w:ascii="Book Antiqua" w:hAnsi="Book Antiqua"/>
          <w:color w:val="000000" w:themeColor="text1"/>
          <w:lang w:eastAsia="zh-CN"/>
        </w:rPr>
      </w:pPr>
      <w:r w:rsidRPr="00F17C5F">
        <w:rPr>
          <w:rFonts w:ascii="Book Antiqua" w:hAnsi="Book Antiqua"/>
          <w:color w:val="000000" w:themeColor="text1"/>
          <w:vertAlign w:val="superscript"/>
          <w:lang w:eastAsia="zh-CN"/>
        </w:rPr>
        <w:t>1</w:t>
      </w:r>
      <w:r w:rsidR="00321C2F" w:rsidRPr="00F17C5F">
        <w:rPr>
          <w:rFonts w:ascii="Book Antiqua" w:eastAsia="Calibri" w:hAnsi="Book Antiqua"/>
          <w:color w:val="000000" w:themeColor="text1"/>
        </w:rPr>
        <w:t>If the answers to all of these questions are yes, the data suggests that dose proportionality is present, although this does not necessarily mean that actual bodyweight should be used in weight-based dosing protocols</w:t>
      </w:r>
      <w:r w:rsidRPr="00F17C5F">
        <w:rPr>
          <w:rFonts w:ascii="Book Antiqua" w:hAnsi="Book Antiqua"/>
          <w:color w:val="000000" w:themeColor="text1"/>
          <w:lang w:eastAsia="zh-CN"/>
        </w:rPr>
        <w:t xml:space="preserve">. </w:t>
      </w:r>
      <w:r w:rsidR="00321C2F" w:rsidRPr="00F17C5F">
        <w:rPr>
          <w:rFonts w:ascii="Book Antiqua" w:eastAsia="Calibri" w:hAnsi="Book Antiqua"/>
          <w:color w:val="000000" w:themeColor="text1"/>
        </w:rPr>
        <w:t>Reprinted with permission from Erstad BL</w:t>
      </w:r>
      <w:r w:rsidR="00A57DA2" w:rsidRPr="00F17C5F">
        <w:rPr>
          <w:rFonts w:ascii="Book Antiqua" w:hAnsi="Book Antiqua"/>
          <w:color w:val="000000" w:themeColor="text1"/>
          <w:vertAlign w:val="superscript"/>
          <w:lang w:eastAsia="zh-CN"/>
        </w:rPr>
        <w:t>[15]</w:t>
      </w:r>
      <w:r w:rsidR="00321C2F" w:rsidRPr="00F17C5F">
        <w:rPr>
          <w:rFonts w:ascii="Book Antiqua" w:eastAsia="Calibri" w:hAnsi="Book Antiqua"/>
          <w:color w:val="000000" w:themeColor="text1"/>
        </w:rPr>
        <w:t xml:space="preserve">. Copyright © by John Wiley Sons, Inc. Reprinted by permission of John Wiley &amp; Sons, Inc. </w:t>
      </w:r>
    </w:p>
    <w:p w14:paraId="49855FBD" w14:textId="77777777"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br w:type="page"/>
      </w:r>
    </w:p>
    <w:p w14:paraId="1CB6BBCA" w14:textId="023566CE" w:rsidR="00321C2F" w:rsidRPr="00F17C5F" w:rsidRDefault="00F86664" w:rsidP="00F17C5F">
      <w:pPr>
        <w:spacing w:after="0"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Table</w:t>
      </w:r>
      <w:r w:rsidR="00772E20" w:rsidRPr="00F17C5F">
        <w:rPr>
          <w:rFonts w:ascii="Book Antiqua" w:eastAsia="Calibri" w:hAnsi="Book Antiqua"/>
          <w:b/>
          <w:color w:val="000000" w:themeColor="text1"/>
        </w:rPr>
        <w:t xml:space="preserve"> 7</w:t>
      </w:r>
      <w:r w:rsidR="00321C2F" w:rsidRPr="00F17C5F">
        <w:rPr>
          <w:rFonts w:ascii="Book Antiqua" w:eastAsia="Calibri" w:hAnsi="Book Antiqua"/>
          <w:b/>
          <w:color w:val="000000" w:themeColor="text1"/>
        </w:rPr>
        <w:t xml:space="preserve"> Considerations with </w:t>
      </w:r>
      <w:r w:rsidR="000E3095" w:rsidRPr="00F17C5F">
        <w:rPr>
          <w:rFonts w:ascii="Book Antiqua" w:eastAsia="Calibri" w:hAnsi="Book Antiqua"/>
          <w:b/>
          <w:color w:val="000000" w:themeColor="text1"/>
        </w:rPr>
        <w:t>therapeutic drug monitoring</w:t>
      </w:r>
    </w:p>
    <w:tbl>
      <w:tblPr>
        <w:tblStyle w:val="TableGrid"/>
        <w:tblW w:w="0" w:type="auto"/>
        <w:tblLook w:val="04A0" w:firstRow="1" w:lastRow="0" w:firstColumn="1" w:lastColumn="0" w:noHBand="0" w:noVBand="1"/>
      </w:tblPr>
      <w:tblGrid>
        <w:gridCol w:w="9576"/>
      </w:tblGrid>
      <w:tr w:rsidR="000D2EDE" w:rsidRPr="00F17C5F" w14:paraId="5671AE71" w14:textId="77777777" w:rsidTr="000D2EDE">
        <w:tc>
          <w:tcPr>
            <w:tcW w:w="9576" w:type="dxa"/>
          </w:tcPr>
          <w:p w14:paraId="294EFDF7" w14:textId="77777777" w:rsidR="000D2EDE" w:rsidRPr="00F17C5F" w:rsidRDefault="000D2EDE" w:rsidP="00F17C5F">
            <w:pPr>
              <w:spacing w:line="360" w:lineRule="auto"/>
              <w:jc w:val="both"/>
              <w:rPr>
                <w:rFonts w:ascii="Book Antiqua" w:hAnsi="Book Antiqua"/>
                <w:b/>
                <w:color w:val="000000" w:themeColor="text1"/>
                <w:lang w:eastAsia="zh-CN"/>
              </w:rPr>
            </w:pPr>
            <w:r w:rsidRPr="00F17C5F">
              <w:rPr>
                <w:rFonts w:ascii="Book Antiqua" w:eastAsia="Calibri" w:hAnsi="Book Antiqua"/>
                <w:color w:val="000000" w:themeColor="text1"/>
              </w:rPr>
              <w:t>Blood concentration measurements are not available for the majority of drugs used in critically ill patients</w:t>
            </w:r>
          </w:p>
        </w:tc>
      </w:tr>
      <w:tr w:rsidR="000D2EDE" w:rsidRPr="00F17C5F" w14:paraId="01200EB8" w14:textId="77777777" w:rsidTr="000D2EDE">
        <w:tc>
          <w:tcPr>
            <w:tcW w:w="9576" w:type="dxa"/>
          </w:tcPr>
          <w:p w14:paraId="623E0A5A" w14:textId="77777777" w:rsidR="000D2EDE" w:rsidRPr="00F17C5F" w:rsidRDefault="000D2EDE" w:rsidP="00F17C5F">
            <w:pPr>
              <w:spacing w:line="360" w:lineRule="auto"/>
              <w:jc w:val="both"/>
              <w:rPr>
                <w:rFonts w:ascii="Book Antiqua" w:hAnsi="Book Antiqua"/>
                <w:b/>
                <w:color w:val="000000" w:themeColor="text1"/>
                <w:lang w:eastAsia="zh-CN"/>
              </w:rPr>
            </w:pPr>
            <w:r w:rsidRPr="00F17C5F">
              <w:rPr>
                <w:rFonts w:ascii="Book Antiqua" w:eastAsia="Calibri" w:hAnsi="Book Antiqua"/>
                <w:color w:val="000000" w:themeColor="text1"/>
              </w:rPr>
              <w:t>So-called therapeutic ranges for therapeutic drug monitoring (TDM) are typically derived from studies involving small numbers of patients</w:t>
            </w:r>
          </w:p>
        </w:tc>
      </w:tr>
      <w:tr w:rsidR="000D2EDE" w:rsidRPr="00F17C5F" w14:paraId="6F0D4513" w14:textId="77777777" w:rsidTr="000D2EDE">
        <w:tc>
          <w:tcPr>
            <w:tcW w:w="9576" w:type="dxa"/>
          </w:tcPr>
          <w:p w14:paraId="45E14B29" w14:textId="77777777" w:rsidR="000D2EDE" w:rsidRPr="00F17C5F" w:rsidRDefault="000D2EDE" w:rsidP="00F17C5F">
            <w:pPr>
              <w:spacing w:line="360" w:lineRule="auto"/>
              <w:jc w:val="both"/>
              <w:rPr>
                <w:rFonts w:ascii="Book Antiqua" w:hAnsi="Book Antiqua"/>
                <w:b/>
                <w:color w:val="000000" w:themeColor="text1"/>
                <w:lang w:eastAsia="zh-CN"/>
              </w:rPr>
            </w:pPr>
            <w:r w:rsidRPr="00F17C5F">
              <w:rPr>
                <w:rFonts w:ascii="Book Antiqua" w:eastAsia="Calibri" w:hAnsi="Book Antiqua"/>
                <w:color w:val="000000" w:themeColor="text1"/>
              </w:rPr>
              <w:t>Most therapeutic ranges are based on steady-state drug concentrations, so non–steady-state concentrations can be very difficult to interpret (and often meaningless)</w:t>
            </w:r>
          </w:p>
        </w:tc>
      </w:tr>
      <w:tr w:rsidR="000D2EDE" w:rsidRPr="00F17C5F" w14:paraId="41BE270E" w14:textId="77777777" w:rsidTr="000D2EDE">
        <w:tc>
          <w:tcPr>
            <w:tcW w:w="9576" w:type="dxa"/>
          </w:tcPr>
          <w:p w14:paraId="6B1FE5C2" w14:textId="77777777" w:rsidR="000D2EDE" w:rsidRPr="00F17C5F" w:rsidRDefault="000D2EDE" w:rsidP="00F17C5F">
            <w:pPr>
              <w:spacing w:line="360" w:lineRule="auto"/>
              <w:jc w:val="both"/>
              <w:rPr>
                <w:rFonts w:ascii="Book Antiqua" w:hAnsi="Book Antiqua"/>
                <w:b/>
                <w:color w:val="000000" w:themeColor="text1"/>
                <w:lang w:eastAsia="zh-CN"/>
              </w:rPr>
            </w:pPr>
            <w:r w:rsidRPr="00F17C5F">
              <w:rPr>
                <w:rFonts w:ascii="Book Antiqua" w:eastAsia="Calibri" w:hAnsi="Book Antiqua"/>
                <w:color w:val="000000" w:themeColor="text1"/>
              </w:rPr>
              <w:t>Disease states that affect a drug’s volume of distribution or clearance often negate the presumption of steady-state conditions necessary for proper interpretation of concentrations</w:t>
            </w:r>
          </w:p>
        </w:tc>
      </w:tr>
      <w:tr w:rsidR="000D2EDE" w:rsidRPr="00F17C5F" w14:paraId="43F20421" w14:textId="77777777" w:rsidTr="000D2EDE">
        <w:tc>
          <w:tcPr>
            <w:tcW w:w="9576" w:type="dxa"/>
          </w:tcPr>
          <w:p w14:paraId="36ED2D5C" w14:textId="77777777" w:rsidR="000D2EDE" w:rsidRPr="00F17C5F" w:rsidRDefault="000D2EDE" w:rsidP="00F17C5F">
            <w:pPr>
              <w:spacing w:line="360" w:lineRule="auto"/>
              <w:jc w:val="both"/>
              <w:rPr>
                <w:rFonts w:ascii="Book Antiqua" w:hAnsi="Book Antiqua"/>
                <w:b/>
                <w:color w:val="000000" w:themeColor="text1"/>
                <w:lang w:eastAsia="zh-CN"/>
              </w:rPr>
            </w:pPr>
            <w:r w:rsidRPr="00F17C5F">
              <w:rPr>
                <w:rFonts w:ascii="Book Antiqua" w:eastAsia="Calibri" w:hAnsi="Book Antiqua"/>
                <w:color w:val="000000" w:themeColor="text1"/>
              </w:rPr>
              <w:t>The minimum and maximum concentrations used to define a therapeutic range are often quite arbitrary and not necessarily applicable to a specific patient</w:t>
            </w:r>
          </w:p>
        </w:tc>
      </w:tr>
      <w:tr w:rsidR="000D2EDE" w:rsidRPr="00F17C5F" w14:paraId="15EF8300" w14:textId="77777777" w:rsidTr="000D2EDE">
        <w:tc>
          <w:tcPr>
            <w:tcW w:w="9576" w:type="dxa"/>
          </w:tcPr>
          <w:p w14:paraId="36953A6F" w14:textId="77777777" w:rsidR="000D2EDE" w:rsidRPr="00F17C5F" w:rsidRDefault="000D2EDE" w:rsidP="00F17C5F">
            <w:pPr>
              <w:spacing w:line="360" w:lineRule="auto"/>
              <w:jc w:val="both"/>
              <w:rPr>
                <w:rFonts w:ascii="Book Antiqua" w:hAnsi="Book Antiqua"/>
                <w:b/>
                <w:color w:val="000000" w:themeColor="text1"/>
                <w:lang w:eastAsia="zh-CN"/>
              </w:rPr>
            </w:pPr>
            <w:r w:rsidRPr="00F17C5F">
              <w:rPr>
                <w:rFonts w:ascii="Book Antiqua" w:eastAsia="Calibri" w:hAnsi="Book Antiqua"/>
                <w:color w:val="000000" w:themeColor="text1"/>
              </w:rPr>
              <w:t>The free or unbound form of a drug is the active form, but the total drug concentration is most commonly measured by clinical laboratories</w:t>
            </w:r>
          </w:p>
        </w:tc>
      </w:tr>
      <w:tr w:rsidR="000D2EDE" w:rsidRPr="00F17C5F" w14:paraId="1F3A8C25" w14:textId="77777777" w:rsidTr="000D2EDE">
        <w:tc>
          <w:tcPr>
            <w:tcW w:w="9576" w:type="dxa"/>
          </w:tcPr>
          <w:p w14:paraId="20816634" w14:textId="39AAC057" w:rsidR="000D2EDE" w:rsidRPr="00F17C5F" w:rsidRDefault="000D2EDE" w:rsidP="00F17C5F">
            <w:pPr>
              <w:spacing w:line="360" w:lineRule="auto"/>
              <w:jc w:val="both"/>
              <w:rPr>
                <w:rFonts w:ascii="Book Antiqua" w:hAnsi="Book Antiqua"/>
                <w:b/>
                <w:color w:val="000000" w:themeColor="text1"/>
                <w:lang w:eastAsia="zh-CN"/>
              </w:rPr>
            </w:pPr>
            <w:r w:rsidRPr="00F17C5F">
              <w:rPr>
                <w:rFonts w:ascii="Book Antiqua" w:eastAsia="Calibri" w:hAnsi="Book Antiqua"/>
                <w:color w:val="000000" w:themeColor="text1"/>
              </w:rPr>
              <w:t>Total drug concentrations for a drug with high protein binding (</w:t>
            </w:r>
            <w:r w:rsidRPr="00F17C5F">
              <w:rPr>
                <w:rFonts w:ascii="Book Antiqua" w:eastAsia="Calibri" w:hAnsi="Book Antiqua"/>
                <w:i/>
                <w:color w:val="000000" w:themeColor="text1"/>
              </w:rPr>
              <w:t>e</w:t>
            </w:r>
            <w:r w:rsidR="001838CC" w:rsidRPr="00F17C5F">
              <w:rPr>
                <w:rFonts w:ascii="Book Antiqua" w:hAnsi="Book Antiqua"/>
                <w:i/>
                <w:color w:val="000000" w:themeColor="text1"/>
                <w:lang w:eastAsia="zh-CN"/>
              </w:rPr>
              <w:t>.</w:t>
            </w:r>
            <w:r w:rsidRPr="00F17C5F">
              <w:rPr>
                <w:rFonts w:ascii="Book Antiqua" w:eastAsia="Calibri" w:hAnsi="Book Antiqua"/>
                <w:i/>
                <w:color w:val="000000" w:themeColor="text1"/>
              </w:rPr>
              <w:t>g</w:t>
            </w:r>
            <w:r w:rsidR="001838CC" w:rsidRPr="00F17C5F">
              <w:rPr>
                <w:rFonts w:ascii="Book Antiqua" w:hAnsi="Book Antiqua"/>
                <w:i/>
                <w:color w:val="000000" w:themeColor="text1"/>
                <w:lang w:eastAsia="zh-CN"/>
              </w:rPr>
              <w:t>.</w:t>
            </w:r>
            <w:r w:rsidRPr="00F17C5F">
              <w:rPr>
                <w:rFonts w:ascii="Book Antiqua" w:eastAsia="Calibri" w:hAnsi="Book Antiqua"/>
                <w:i/>
                <w:color w:val="000000" w:themeColor="text1"/>
              </w:rPr>
              <w:t>,</w:t>
            </w:r>
            <w:r w:rsidRPr="00F17C5F">
              <w:rPr>
                <w:rFonts w:ascii="Book Antiqua" w:eastAsia="Calibri" w:hAnsi="Book Antiqua"/>
                <w:color w:val="000000" w:themeColor="text1"/>
              </w:rPr>
              <w:t xml:space="preserve"> &gt;90%) can be difficult to interpret when protein concentrations are decreased or when other drugs or diseases displace drug</w:t>
            </w:r>
          </w:p>
        </w:tc>
      </w:tr>
      <w:tr w:rsidR="000D2EDE" w:rsidRPr="00F17C5F" w14:paraId="59BCEB01" w14:textId="77777777" w:rsidTr="000D2EDE">
        <w:tc>
          <w:tcPr>
            <w:tcW w:w="9576" w:type="dxa"/>
          </w:tcPr>
          <w:p w14:paraId="241F2436" w14:textId="77777777" w:rsidR="000D2EDE" w:rsidRPr="00F17C5F" w:rsidRDefault="000D2EDE" w:rsidP="00F17C5F">
            <w:pPr>
              <w:spacing w:line="360" w:lineRule="auto"/>
              <w:jc w:val="both"/>
              <w:rPr>
                <w:rFonts w:ascii="Book Antiqua" w:hAnsi="Book Antiqua"/>
                <w:b/>
                <w:color w:val="000000" w:themeColor="text1"/>
                <w:lang w:eastAsia="zh-CN"/>
              </w:rPr>
            </w:pPr>
            <w:r w:rsidRPr="00F17C5F">
              <w:rPr>
                <w:rFonts w:ascii="Book Antiqua" w:eastAsia="Calibri" w:hAnsi="Book Antiqua"/>
                <w:color w:val="000000" w:themeColor="text1"/>
              </w:rPr>
              <w:t>Clinical response, not a TDM measurement, should be the primary driver of dosing decisions</w:t>
            </w:r>
          </w:p>
        </w:tc>
      </w:tr>
      <w:tr w:rsidR="000D2EDE" w:rsidRPr="00F17C5F" w14:paraId="24783356" w14:textId="77777777" w:rsidTr="000D2EDE">
        <w:tc>
          <w:tcPr>
            <w:tcW w:w="9576" w:type="dxa"/>
          </w:tcPr>
          <w:p w14:paraId="3F9078D4" w14:textId="77777777"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The administration and timing of drug doses prior to TDM measurement should be verified, not presumed, because these affect the proper interpretation of the measurement</w:t>
            </w:r>
          </w:p>
        </w:tc>
      </w:tr>
      <w:tr w:rsidR="000D2EDE" w:rsidRPr="00F17C5F" w14:paraId="2E2EDCF7" w14:textId="77777777" w:rsidTr="000D2EDE">
        <w:tc>
          <w:tcPr>
            <w:tcW w:w="9576" w:type="dxa"/>
          </w:tcPr>
          <w:p w14:paraId="3256274F" w14:textId="6B1AC732"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TDM is most useful when clinical indicators are misleading or not available or when the clinical indicator is a problem that the clinician is trying to prevent (</w:t>
            </w:r>
            <w:r w:rsidR="001838CC" w:rsidRPr="00F17C5F">
              <w:rPr>
                <w:rFonts w:ascii="Book Antiqua" w:eastAsia="Calibri" w:hAnsi="Book Antiqua"/>
                <w:i/>
                <w:color w:val="000000" w:themeColor="text1"/>
              </w:rPr>
              <w:t>e</w:t>
            </w:r>
            <w:r w:rsidR="001838CC" w:rsidRPr="00F17C5F">
              <w:rPr>
                <w:rFonts w:ascii="Book Antiqua" w:hAnsi="Book Antiqua"/>
                <w:i/>
                <w:color w:val="000000" w:themeColor="text1"/>
                <w:lang w:eastAsia="zh-CN"/>
              </w:rPr>
              <w:t>.</w:t>
            </w:r>
            <w:r w:rsidR="001838CC" w:rsidRPr="00F17C5F">
              <w:rPr>
                <w:rFonts w:ascii="Book Antiqua" w:eastAsia="Calibri" w:hAnsi="Book Antiqua"/>
                <w:i/>
                <w:color w:val="000000" w:themeColor="text1"/>
              </w:rPr>
              <w:t>g</w:t>
            </w:r>
            <w:r w:rsidR="001838CC" w:rsidRPr="00F17C5F">
              <w:rPr>
                <w:rFonts w:ascii="Book Antiqua" w:hAnsi="Book Antiqua"/>
                <w:i/>
                <w:color w:val="000000" w:themeColor="text1"/>
                <w:lang w:eastAsia="zh-CN"/>
              </w:rPr>
              <w:t>.</w:t>
            </w:r>
            <w:r w:rsidR="001838CC" w:rsidRPr="00F17C5F">
              <w:rPr>
                <w:rFonts w:ascii="Book Antiqua" w:eastAsia="Calibri" w:hAnsi="Book Antiqua"/>
                <w:i/>
                <w:color w:val="000000" w:themeColor="text1"/>
              </w:rPr>
              <w:t>,</w:t>
            </w:r>
            <w:r w:rsidRPr="00F17C5F">
              <w:rPr>
                <w:rFonts w:ascii="Book Antiqua" w:eastAsia="Calibri" w:hAnsi="Book Antiqua"/>
                <w:color w:val="000000" w:themeColor="text1"/>
              </w:rPr>
              <w:t xml:space="preserve"> aminoglycoside nephrotoxicity)</w:t>
            </w:r>
          </w:p>
        </w:tc>
      </w:tr>
      <w:tr w:rsidR="000D2EDE" w:rsidRPr="00F17C5F" w14:paraId="5DE3AA26" w14:textId="77777777" w:rsidTr="000D2EDE">
        <w:tc>
          <w:tcPr>
            <w:tcW w:w="9576" w:type="dxa"/>
          </w:tcPr>
          <w:p w14:paraId="56DFAC59" w14:textId="5E1CEB38" w:rsidR="000D2EDE" w:rsidRPr="00F17C5F" w:rsidRDefault="000D2EDE"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Unnecessary TDM should be avoided (</w:t>
            </w:r>
            <w:r w:rsidRPr="00F17C5F">
              <w:rPr>
                <w:rFonts w:ascii="Book Antiqua" w:eastAsia="Calibri" w:hAnsi="Book Antiqua"/>
                <w:i/>
                <w:color w:val="000000" w:themeColor="text1"/>
              </w:rPr>
              <w:t>e</w:t>
            </w:r>
            <w:r w:rsidR="001838CC" w:rsidRPr="00F17C5F">
              <w:rPr>
                <w:rFonts w:ascii="Book Antiqua" w:hAnsi="Book Antiqua"/>
                <w:i/>
                <w:color w:val="000000" w:themeColor="text1"/>
                <w:lang w:eastAsia="zh-CN"/>
              </w:rPr>
              <w:t>.</w:t>
            </w:r>
            <w:r w:rsidRPr="00F17C5F">
              <w:rPr>
                <w:rFonts w:ascii="Book Antiqua" w:eastAsia="Calibri" w:hAnsi="Book Antiqua"/>
                <w:i/>
                <w:color w:val="000000" w:themeColor="text1"/>
              </w:rPr>
              <w:t>g</w:t>
            </w:r>
            <w:r w:rsidR="001838CC" w:rsidRPr="00F17C5F">
              <w:rPr>
                <w:rFonts w:ascii="Book Antiqua" w:hAnsi="Book Antiqua"/>
                <w:i/>
                <w:color w:val="000000" w:themeColor="text1"/>
                <w:lang w:eastAsia="zh-CN"/>
              </w:rPr>
              <w:t>.</w:t>
            </w:r>
            <w:r w:rsidRPr="00F17C5F">
              <w:rPr>
                <w:rFonts w:ascii="Book Antiqua" w:eastAsia="Calibri" w:hAnsi="Book Antiqua"/>
                <w:i/>
                <w:color w:val="000000" w:themeColor="text1"/>
              </w:rPr>
              <w:t>,</w:t>
            </w:r>
            <w:r w:rsidRPr="00F17C5F">
              <w:rPr>
                <w:rFonts w:ascii="Book Antiqua" w:eastAsia="Calibri" w:hAnsi="Book Antiqua"/>
                <w:color w:val="000000" w:themeColor="text1"/>
              </w:rPr>
              <w:t xml:space="preserve"> ordering daily measurements of drug concentrations for a drug with a long half-life) because it may lead to inappropriate changes and unnecessary TDM costs</w:t>
            </w:r>
          </w:p>
        </w:tc>
      </w:tr>
    </w:tbl>
    <w:p w14:paraId="02034927" w14:textId="2AACB5EF" w:rsidR="00321C2F" w:rsidRPr="00F17C5F" w:rsidRDefault="00321C2F" w:rsidP="00F17C5F">
      <w:pPr>
        <w:spacing w:after="0"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Reprinted with permission from Erstad BL</w:t>
      </w:r>
      <w:r w:rsidR="00F6162B" w:rsidRPr="00F17C5F">
        <w:rPr>
          <w:rFonts w:ascii="Book Antiqua" w:hAnsi="Book Antiqua"/>
          <w:color w:val="000000" w:themeColor="text1"/>
          <w:vertAlign w:val="superscript"/>
          <w:lang w:eastAsia="zh-CN"/>
        </w:rPr>
        <w:t>[56]</w:t>
      </w:r>
      <w:r w:rsidR="00F6162B" w:rsidRPr="00F17C5F">
        <w:rPr>
          <w:rFonts w:ascii="Book Antiqua" w:hAnsi="Book Antiqua"/>
          <w:color w:val="000000" w:themeColor="text1"/>
          <w:lang w:eastAsia="zh-CN"/>
        </w:rPr>
        <w:t>.</w:t>
      </w:r>
    </w:p>
    <w:p w14:paraId="295982FD" w14:textId="3115B0BB" w:rsidR="00321C2F" w:rsidRPr="00F17C5F" w:rsidRDefault="00F86664" w:rsidP="00F17C5F">
      <w:pPr>
        <w:spacing w:after="0" w:line="360" w:lineRule="auto"/>
        <w:jc w:val="both"/>
        <w:rPr>
          <w:rFonts w:ascii="Book Antiqua" w:hAnsi="Book Antiqua"/>
          <w:b/>
          <w:color w:val="000000" w:themeColor="text1"/>
          <w:vertAlign w:val="superscript"/>
          <w:lang w:eastAsia="zh-CN"/>
        </w:rPr>
      </w:pPr>
      <w:r w:rsidRPr="00F17C5F">
        <w:rPr>
          <w:rFonts w:ascii="Book Antiqua" w:eastAsia="Calibri" w:hAnsi="Book Antiqua"/>
          <w:b/>
          <w:color w:val="000000" w:themeColor="text1"/>
        </w:rPr>
        <w:t>Table</w:t>
      </w:r>
      <w:r w:rsidR="00772E20" w:rsidRPr="00F17C5F">
        <w:rPr>
          <w:rFonts w:ascii="Book Antiqua" w:eastAsia="Calibri" w:hAnsi="Book Antiqua"/>
          <w:b/>
          <w:color w:val="000000" w:themeColor="text1"/>
        </w:rPr>
        <w:t xml:space="preserve"> 8</w:t>
      </w:r>
      <w:r w:rsidR="000D2EDE" w:rsidRPr="00F17C5F">
        <w:rPr>
          <w:rFonts w:ascii="Book Antiqua" w:eastAsia="Calibri" w:hAnsi="Book Antiqua"/>
          <w:b/>
          <w:color w:val="000000" w:themeColor="text1"/>
        </w:rPr>
        <w:t xml:space="preserve"> </w:t>
      </w:r>
      <w:r w:rsidR="00321C2F" w:rsidRPr="00F17C5F">
        <w:rPr>
          <w:rFonts w:ascii="Book Antiqua" w:eastAsia="Calibri" w:hAnsi="Book Antiqua"/>
          <w:b/>
          <w:color w:val="000000" w:themeColor="text1"/>
        </w:rPr>
        <w:t xml:space="preserve">Conceptual </w:t>
      </w:r>
      <w:r w:rsidR="00185DD2" w:rsidRPr="00F17C5F">
        <w:rPr>
          <w:rFonts w:ascii="Book Antiqua" w:eastAsia="Calibri" w:hAnsi="Book Antiqua"/>
          <w:b/>
          <w:color w:val="000000" w:themeColor="text1"/>
        </w:rPr>
        <w:t>framework for dosing medications in obese patients</w:t>
      </w:r>
      <w:r w:rsidR="000D2EDE" w:rsidRPr="00F17C5F">
        <w:rPr>
          <w:rFonts w:ascii="Book Antiqua" w:hAnsi="Book Antiqua"/>
          <w:b/>
          <w:color w:val="000000" w:themeColor="text1"/>
          <w:vertAlign w:val="superscript"/>
          <w:lang w:eastAsia="zh-CN"/>
        </w:rPr>
        <w:t>1</w:t>
      </w:r>
    </w:p>
    <w:p w14:paraId="6A02F2A8" w14:textId="77777777"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Step 1</w:t>
      </w:r>
    </w:p>
    <w:p w14:paraId="0E241391" w14:textId="110DADBF"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Evaluate the clinical investigations involving the medication to determine the degree of obesity in the patients under study and the weight descriptor used for dosing, which is usually actual body weight (ABW) in studies leading to medication approval.</w:t>
      </w:r>
      <w:r w:rsidR="000C28EB" w:rsidRPr="00F17C5F">
        <w:rPr>
          <w:rFonts w:ascii="Book Antiqua" w:eastAsia="Calibri" w:hAnsi="Book Antiqua"/>
          <w:color w:val="000000" w:themeColor="text1"/>
        </w:rPr>
        <w:t xml:space="preserve"> </w:t>
      </w:r>
      <w:r w:rsidRPr="00F17C5F">
        <w:rPr>
          <w:rFonts w:ascii="Book Antiqua" w:eastAsia="Calibri" w:hAnsi="Book Antiqua"/>
          <w:color w:val="000000" w:themeColor="text1"/>
        </w:rPr>
        <w:t>Determine if the patient under consideration appears to fit the profile of the patients in the study; be particularly cautious if the patient is extremely obese.</w:t>
      </w:r>
      <w:r w:rsidR="000C28EB" w:rsidRPr="00F17C5F">
        <w:rPr>
          <w:rFonts w:ascii="Book Antiqua" w:eastAsia="Calibri" w:hAnsi="Book Antiqua"/>
          <w:color w:val="000000" w:themeColor="text1"/>
        </w:rPr>
        <w:t xml:space="preserve"> </w:t>
      </w:r>
      <w:r w:rsidRPr="00F17C5F">
        <w:rPr>
          <w:rFonts w:ascii="Book Antiqua" w:eastAsia="Calibri" w:hAnsi="Book Antiqua"/>
          <w:color w:val="000000" w:themeColor="text1"/>
        </w:rPr>
        <w:t>If the patient appears to fit the profile of the patients in the studies, use the weight descriptor.</w:t>
      </w:r>
      <w:r w:rsidR="000C28EB" w:rsidRPr="00F17C5F">
        <w:rPr>
          <w:rFonts w:ascii="Book Antiqua" w:eastAsia="Calibri" w:hAnsi="Book Antiqua"/>
          <w:color w:val="000000" w:themeColor="text1"/>
        </w:rPr>
        <w:t xml:space="preserve"> </w:t>
      </w:r>
      <w:r w:rsidRPr="00F17C5F">
        <w:rPr>
          <w:rFonts w:ascii="Book Antiqua" w:eastAsia="Calibri" w:hAnsi="Book Antiqua"/>
          <w:color w:val="000000" w:themeColor="text1"/>
        </w:rPr>
        <w:t>If not, proceed to Step 2.</w:t>
      </w:r>
    </w:p>
    <w:p w14:paraId="190F50CF" w14:textId="77777777" w:rsidR="00321C2F" w:rsidRPr="00F17C5F" w:rsidRDefault="00321C2F" w:rsidP="00F17C5F">
      <w:pPr>
        <w:spacing w:after="0" w:line="360" w:lineRule="auto"/>
        <w:jc w:val="both"/>
        <w:rPr>
          <w:rFonts w:ascii="Book Antiqua" w:eastAsia="Calibri" w:hAnsi="Book Antiqua"/>
          <w:b/>
          <w:color w:val="000000" w:themeColor="text1"/>
        </w:rPr>
      </w:pPr>
      <w:r w:rsidRPr="00F17C5F">
        <w:rPr>
          <w:rFonts w:ascii="Book Antiqua" w:eastAsia="Calibri" w:hAnsi="Book Antiqua"/>
          <w:b/>
          <w:color w:val="000000" w:themeColor="text1"/>
        </w:rPr>
        <w:t>↓</w:t>
      </w:r>
    </w:p>
    <w:p w14:paraId="7B9BD256" w14:textId="77777777"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Step 2</w:t>
      </w:r>
    </w:p>
    <w:p w14:paraId="23E135D7" w14:textId="35C5F3EE"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If the patient does not fit the profile of the patients in the clinical investigations, search the literature for pharmacokinetic studies involving the medication in obese patients.</w:t>
      </w:r>
      <w:r w:rsidR="000C28EB" w:rsidRPr="00F17C5F">
        <w:rPr>
          <w:rFonts w:ascii="Book Antiqua" w:eastAsia="Calibri" w:hAnsi="Book Antiqua"/>
          <w:color w:val="000000" w:themeColor="text1"/>
        </w:rPr>
        <w:t xml:space="preserve"> </w:t>
      </w:r>
      <w:r w:rsidRPr="00F17C5F">
        <w:rPr>
          <w:rFonts w:ascii="Book Antiqua" w:eastAsia="Calibri" w:hAnsi="Book Antiqua"/>
          <w:color w:val="000000" w:themeColor="text1"/>
        </w:rPr>
        <w:t>Assess whether the pharmacokinetic parameters of the medication appear to increase proportionately with increasing weight suggesting that use of ABW may be appropriate.</w:t>
      </w:r>
      <w:r w:rsidR="000C28EB" w:rsidRPr="00F17C5F">
        <w:rPr>
          <w:rFonts w:ascii="Book Antiqua" w:eastAsia="Calibri" w:hAnsi="Book Antiqua"/>
          <w:color w:val="000000" w:themeColor="text1"/>
        </w:rPr>
        <w:t xml:space="preserve"> </w:t>
      </w:r>
      <w:r w:rsidRPr="00F17C5F">
        <w:rPr>
          <w:rFonts w:ascii="Book Antiqua" w:eastAsia="Calibri" w:hAnsi="Book Antiqua"/>
          <w:color w:val="000000" w:themeColor="text1"/>
        </w:rPr>
        <w:t xml:space="preserve"> If the patient appears to fit the profile of the patients in the studies, consider using the weight descriptor and proceed to Step 5.</w:t>
      </w:r>
      <w:r w:rsidR="000C28EB" w:rsidRPr="00F17C5F">
        <w:rPr>
          <w:rFonts w:ascii="Book Antiqua" w:eastAsia="Calibri" w:hAnsi="Book Antiqua"/>
          <w:color w:val="000000" w:themeColor="text1"/>
        </w:rPr>
        <w:t xml:space="preserve"> </w:t>
      </w:r>
      <w:r w:rsidRPr="00F17C5F">
        <w:rPr>
          <w:rFonts w:ascii="Book Antiqua" w:eastAsia="Calibri" w:hAnsi="Book Antiqua"/>
          <w:color w:val="000000" w:themeColor="text1"/>
        </w:rPr>
        <w:t>If not, proceed to Step 3.</w:t>
      </w:r>
    </w:p>
    <w:p w14:paraId="11DB31AE" w14:textId="77777777" w:rsidR="00321C2F" w:rsidRPr="00F17C5F" w:rsidRDefault="00321C2F" w:rsidP="00F17C5F">
      <w:pPr>
        <w:spacing w:after="0" w:line="360" w:lineRule="auto"/>
        <w:jc w:val="both"/>
        <w:rPr>
          <w:rFonts w:ascii="Book Antiqua" w:eastAsia="Calibri" w:hAnsi="Book Antiqua"/>
          <w:b/>
          <w:color w:val="000000" w:themeColor="text1"/>
        </w:rPr>
      </w:pPr>
      <w:r w:rsidRPr="00F17C5F">
        <w:rPr>
          <w:rFonts w:ascii="Book Antiqua" w:eastAsia="Calibri" w:hAnsi="Book Antiqua"/>
          <w:b/>
          <w:color w:val="000000" w:themeColor="text1"/>
        </w:rPr>
        <w:t>↓</w:t>
      </w:r>
    </w:p>
    <w:p w14:paraId="210D9902" w14:textId="77777777"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Step 3</w:t>
      </w:r>
    </w:p>
    <w:p w14:paraId="21B3AF6E" w14:textId="459777C1"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If the patient does not fit the profile of the patients in the clinical investigations and if no pharmacokinetic studies involving the specific medication in obese patients are available, evaluate the literature for dosing studies in obese patients with medications that have similar physicochemical and pharmacokinetic parameters (</w:t>
      </w:r>
      <w:r w:rsidR="001838CC" w:rsidRPr="00F17C5F">
        <w:rPr>
          <w:rFonts w:ascii="Book Antiqua" w:eastAsia="Calibri" w:hAnsi="Book Antiqua"/>
          <w:i/>
          <w:color w:val="000000" w:themeColor="text1"/>
        </w:rPr>
        <w:t>e</w:t>
      </w:r>
      <w:r w:rsidR="001838CC" w:rsidRPr="00F17C5F">
        <w:rPr>
          <w:rFonts w:ascii="Book Antiqua" w:hAnsi="Book Antiqua"/>
          <w:i/>
          <w:color w:val="000000" w:themeColor="text1"/>
          <w:lang w:eastAsia="zh-CN"/>
        </w:rPr>
        <w:t>.</w:t>
      </w:r>
      <w:r w:rsidR="001838CC" w:rsidRPr="00F17C5F">
        <w:rPr>
          <w:rFonts w:ascii="Book Antiqua" w:eastAsia="Calibri" w:hAnsi="Book Antiqua"/>
          <w:i/>
          <w:color w:val="000000" w:themeColor="text1"/>
        </w:rPr>
        <w:t>g</w:t>
      </w:r>
      <w:r w:rsidR="001838CC" w:rsidRPr="00F17C5F">
        <w:rPr>
          <w:rFonts w:ascii="Book Antiqua" w:hAnsi="Book Antiqua"/>
          <w:i/>
          <w:color w:val="000000" w:themeColor="text1"/>
          <w:lang w:eastAsia="zh-CN"/>
        </w:rPr>
        <w:t>.</w:t>
      </w:r>
      <w:r w:rsidRPr="00F17C5F">
        <w:rPr>
          <w:rFonts w:ascii="Book Antiqua" w:eastAsia="Calibri" w:hAnsi="Book Antiqua"/>
          <w:color w:val="000000" w:themeColor="text1"/>
        </w:rPr>
        <w:t>, medications in the same class).</w:t>
      </w:r>
      <w:r w:rsidR="000C28EB" w:rsidRPr="00F17C5F">
        <w:rPr>
          <w:rFonts w:ascii="Book Antiqua" w:eastAsia="Calibri" w:hAnsi="Book Antiqua"/>
          <w:color w:val="000000" w:themeColor="text1"/>
        </w:rPr>
        <w:t xml:space="preserve"> </w:t>
      </w:r>
      <w:r w:rsidRPr="00F17C5F">
        <w:rPr>
          <w:rFonts w:ascii="Book Antiqua" w:eastAsia="Calibri" w:hAnsi="Book Antiqua"/>
          <w:color w:val="000000" w:themeColor="text1"/>
        </w:rPr>
        <w:t>If the patient appears to fit the profile of the patients in the studies, consider using the weight descriptor and proceed to Step 5.</w:t>
      </w:r>
      <w:r w:rsidR="000C28EB" w:rsidRPr="00F17C5F">
        <w:rPr>
          <w:rFonts w:ascii="Book Antiqua" w:eastAsia="Calibri" w:hAnsi="Book Antiqua"/>
          <w:color w:val="000000" w:themeColor="text1"/>
        </w:rPr>
        <w:t xml:space="preserve"> </w:t>
      </w:r>
      <w:r w:rsidRPr="00F17C5F">
        <w:rPr>
          <w:rFonts w:ascii="Book Antiqua" w:eastAsia="Calibri" w:hAnsi="Book Antiqua"/>
          <w:color w:val="000000" w:themeColor="text1"/>
        </w:rPr>
        <w:t>If not, proceed to Step 4.</w:t>
      </w:r>
    </w:p>
    <w:p w14:paraId="055DD04D" w14:textId="77777777" w:rsidR="00321C2F" w:rsidRPr="00F17C5F" w:rsidRDefault="00321C2F" w:rsidP="00F17C5F">
      <w:pPr>
        <w:spacing w:after="0" w:line="360" w:lineRule="auto"/>
        <w:jc w:val="both"/>
        <w:rPr>
          <w:rFonts w:ascii="Book Antiqua" w:eastAsia="Calibri" w:hAnsi="Book Antiqua"/>
          <w:b/>
          <w:color w:val="000000" w:themeColor="text1"/>
        </w:rPr>
      </w:pPr>
      <w:r w:rsidRPr="00F17C5F">
        <w:rPr>
          <w:rFonts w:ascii="Book Antiqua" w:eastAsia="Calibri" w:hAnsi="Book Antiqua"/>
          <w:b/>
          <w:color w:val="000000" w:themeColor="text1"/>
        </w:rPr>
        <w:t>↓</w:t>
      </w:r>
    </w:p>
    <w:p w14:paraId="7B0CDC6E" w14:textId="77777777"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Step 4 </w:t>
      </w:r>
    </w:p>
    <w:p w14:paraId="37716C96" w14:textId="1E9B0BFD"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If no relevant studies can be found, and particularly if the patient is extremely obese, assess whether an alternative medication (where more is known about dosing in obese patients) might be appropriate.</w:t>
      </w:r>
      <w:r w:rsidR="000C28EB" w:rsidRPr="00F17C5F">
        <w:rPr>
          <w:rFonts w:ascii="Book Antiqua" w:eastAsia="Calibri" w:hAnsi="Book Antiqua"/>
          <w:color w:val="000000" w:themeColor="text1"/>
        </w:rPr>
        <w:t xml:space="preserve"> </w:t>
      </w:r>
      <w:r w:rsidRPr="00F17C5F">
        <w:rPr>
          <w:rFonts w:ascii="Book Antiqua" w:eastAsia="Calibri" w:hAnsi="Book Antiqua"/>
          <w:color w:val="000000" w:themeColor="text1"/>
        </w:rPr>
        <w:t>If there is no equivalent or better medication option available, proceed to Step 5.</w:t>
      </w:r>
    </w:p>
    <w:p w14:paraId="155F7D74" w14:textId="77777777"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b/>
          <w:color w:val="000000" w:themeColor="text1"/>
        </w:rPr>
        <w:t>↓</w:t>
      </w:r>
    </w:p>
    <w:p w14:paraId="0B5C7F25" w14:textId="77777777"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Step 5</w:t>
      </w:r>
    </w:p>
    <w:p w14:paraId="76866429" w14:textId="77777777"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Assess the benefits and risks of using ABW for dosing using step 5a for weight-based dosing or 5b for non-weight based dosing.</w:t>
      </w:r>
    </w:p>
    <w:p w14:paraId="1CBD822A" w14:textId="77777777" w:rsidR="00321C2F" w:rsidRPr="00F17C5F" w:rsidRDefault="00321C2F" w:rsidP="00F17C5F">
      <w:pPr>
        <w:spacing w:after="0" w:line="360" w:lineRule="auto"/>
        <w:jc w:val="both"/>
        <w:rPr>
          <w:rFonts w:ascii="Book Antiqua" w:eastAsia="Calibri" w:hAnsi="Book Antiqua"/>
          <w:color w:val="000000" w:themeColor="text1"/>
        </w:rPr>
      </w:pPr>
    </w:p>
    <w:p w14:paraId="2D37561B" w14:textId="341D2E56"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Step 5a</w:t>
      </w:r>
      <w:r w:rsidR="000C28EB" w:rsidRPr="00F17C5F">
        <w:rPr>
          <w:rFonts w:ascii="Book Antiqua" w:eastAsia="Calibri" w:hAnsi="Book Antiqua"/>
          <w:color w:val="000000" w:themeColor="text1"/>
        </w:rPr>
        <w:t xml:space="preserve"> </w:t>
      </w:r>
    </w:p>
    <w:p w14:paraId="3EEF2346" w14:textId="0DF044D4"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If </w:t>
      </w:r>
      <w:r w:rsidRPr="00F17C5F">
        <w:rPr>
          <w:rFonts w:ascii="Book Antiqua" w:eastAsia="Calibri" w:hAnsi="Book Antiqua"/>
          <w:i/>
          <w:color w:val="000000" w:themeColor="text1"/>
        </w:rPr>
        <w:t>weight-based</w:t>
      </w:r>
      <w:r w:rsidRPr="00F17C5F">
        <w:rPr>
          <w:rFonts w:ascii="Book Antiqua" w:eastAsia="Calibri" w:hAnsi="Book Antiqua"/>
          <w:color w:val="000000" w:themeColor="text1"/>
        </w:rPr>
        <w:t xml:space="preserve"> dosing (</w:t>
      </w:r>
      <w:r w:rsidRPr="00F17C5F">
        <w:rPr>
          <w:rFonts w:ascii="Book Antiqua" w:eastAsia="Calibri" w:hAnsi="Book Antiqua"/>
          <w:i/>
          <w:color w:val="000000" w:themeColor="text1"/>
        </w:rPr>
        <w:t>e.g.,</w:t>
      </w:r>
      <w:r w:rsidRPr="00F17C5F">
        <w:rPr>
          <w:rFonts w:ascii="Book Antiqua" w:eastAsia="Calibri" w:hAnsi="Book Antiqua"/>
          <w:color w:val="000000" w:themeColor="text1"/>
        </w:rPr>
        <w:t xml:space="preserve"> mg/kg) is being used, assess whether the potential benefits of using ABW (</w:t>
      </w:r>
      <w:r w:rsidR="00781764" w:rsidRPr="00F17C5F">
        <w:rPr>
          <w:rFonts w:ascii="Book Antiqua" w:eastAsia="Calibri" w:hAnsi="Book Antiqua"/>
          <w:i/>
          <w:color w:val="000000" w:themeColor="text1"/>
        </w:rPr>
        <w:t>e.g.,</w:t>
      </w:r>
      <w:r w:rsidRPr="00F17C5F">
        <w:rPr>
          <w:rFonts w:ascii="Book Antiqua" w:eastAsia="Calibri" w:hAnsi="Book Antiqua"/>
          <w:color w:val="000000" w:themeColor="text1"/>
        </w:rPr>
        <w:t xml:space="preserve"> need to reach therapeutic range quickly) are likely to exceed the potential risks of over-dosing.</w:t>
      </w:r>
      <w:r w:rsidR="000C28EB" w:rsidRPr="00F17C5F">
        <w:rPr>
          <w:rFonts w:ascii="Book Antiqua" w:eastAsia="Calibri" w:hAnsi="Book Antiqua"/>
          <w:color w:val="000000" w:themeColor="text1"/>
        </w:rPr>
        <w:t xml:space="preserve"> </w:t>
      </w:r>
      <w:r w:rsidRPr="00F17C5F">
        <w:rPr>
          <w:rFonts w:ascii="Book Antiqua" w:eastAsia="Calibri" w:hAnsi="Book Antiqua"/>
          <w:color w:val="000000" w:themeColor="text1"/>
        </w:rPr>
        <w:t>If the patient under consideration is substantially heavier than the patients in the investigations or if no studies are available, assess whether a lean body weight or adjusted body weight equation might be preferable, especially in medications with a narrow therapeutic range and small (</w:t>
      </w:r>
      <w:r w:rsidR="00781764" w:rsidRPr="00F17C5F">
        <w:rPr>
          <w:rFonts w:ascii="Book Antiqua" w:eastAsia="Calibri" w:hAnsi="Book Antiqua"/>
          <w:i/>
          <w:color w:val="000000" w:themeColor="text1"/>
        </w:rPr>
        <w:t>e.g.,</w:t>
      </w:r>
      <w:r w:rsidRPr="00F17C5F">
        <w:rPr>
          <w:rFonts w:ascii="Book Antiqua" w:eastAsia="Calibri" w:hAnsi="Book Antiqua"/>
          <w:color w:val="000000" w:themeColor="text1"/>
        </w:rPr>
        <w:t xml:space="preserve"> &lt; 0.2 L/kg) to moderate (</w:t>
      </w:r>
      <w:r w:rsidR="00781764" w:rsidRPr="00F17C5F">
        <w:rPr>
          <w:rFonts w:ascii="Book Antiqua" w:eastAsia="Calibri" w:hAnsi="Book Antiqua"/>
          <w:i/>
          <w:color w:val="000000" w:themeColor="text1"/>
        </w:rPr>
        <w:t>e.g.,</w:t>
      </w:r>
      <w:r w:rsidRPr="00F17C5F">
        <w:rPr>
          <w:rFonts w:ascii="Book Antiqua" w:eastAsia="Calibri" w:hAnsi="Book Antiqua"/>
          <w:color w:val="000000" w:themeColor="text1"/>
        </w:rPr>
        <w:t xml:space="preserve"> 0.2 to 1 L/kg) volumes of distribution that are cleared primarily by glomerular filtration.</w:t>
      </w:r>
      <w:r w:rsidR="000C28EB" w:rsidRPr="00F17C5F">
        <w:rPr>
          <w:rFonts w:ascii="Book Antiqua" w:eastAsia="Calibri" w:hAnsi="Book Antiqua"/>
          <w:color w:val="000000" w:themeColor="text1"/>
        </w:rPr>
        <w:t xml:space="preserve"> </w:t>
      </w:r>
    </w:p>
    <w:p w14:paraId="7729099F" w14:textId="77777777"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Step 5b</w:t>
      </w:r>
    </w:p>
    <w:p w14:paraId="7C6306C1" w14:textId="23723523"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If </w:t>
      </w:r>
      <w:r w:rsidRPr="00F17C5F">
        <w:rPr>
          <w:rFonts w:ascii="Book Antiqua" w:eastAsia="Calibri" w:hAnsi="Book Antiqua"/>
          <w:i/>
          <w:color w:val="000000" w:themeColor="text1"/>
        </w:rPr>
        <w:t>non-weight-based</w:t>
      </w:r>
      <w:r w:rsidRPr="00F17C5F">
        <w:rPr>
          <w:rFonts w:ascii="Book Antiqua" w:eastAsia="Calibri" w:hAnsi="Book Antiqua"/>
          <w:color w:val="000000" w:themeColor="text1"/>
        </w:rPr>
        <w:t xml:space="preserve"> dosing (</w:t>
      </w:r>
      <w:r w:rsidR="00781764" w:rsidRPr="00F17C5F">
        <w:rPr>
          <w:rFonts w:ascii="Book Antiqua" w:eastAsia="Calibri" w:hAnsi="Book Antiqua"/>
          <w:i/>
          <w:color w:val="000000" w:themeColor="text1"/>
        </w:rPr>
        <w:t>e.g.,</w:t>
      </w:r>
      <w:r w:rsidRPr="00F17C5F">
        <w:rPr>
          <w:rFonts w:ascii="Book Antiqua" w:eastAsia="Calibri" w:hAnsi="Book Antiqua"/>
          <w:color w:val="000000" w:themeColor="text1"/>
        </w:rPr>
        <w:t xml:space="preserve"> mg/dose) is being used, assess whether the potential benefits of using a larger dose are likely to exceed the potential risks of over-dosing if the patient under consideration is substantially heavier than the patients who were enrolled in the clinical investigations involving the medication, and if the medication has a narrow therapeutic range and a moderate (0.2 to 1 L/kg) to large (&gt; 1 L/kg) volume of distribution.</w:t>
      </w:r>
      <w:r w:rsidR="000C28EB" w:rsidRPr="00F17C5F">
        <w:rPr>
          <w:rFonts w:ascii="Book Antiqua" w:eastAsia="Calibri" w:hAnsi="Book Antiqua"/>
          <w:color w:val="000000" w:themeColor="text1"/>
        </w:rPr>
        <w:t xml:space="preserve"> </w:t>
      </w:r>
    </w:p>
    <w:p w14:paraId="7E070CD3" w14:textId="77777777" w:rsidR="00321C2F" w:rsidRPr="00F17C5F" w:rsidRDefault="00321C2F" w:rsidP="00F17C5F">
      <w:pPr>
        <w:spacing w:after="0" w:line="360" w:lineRule="auto"/>
        <w:jc w:val="both"/>
        <w:rPr>
          <w:rFonts w:ascii="Book Antiqua" w:eastAsia="Calibri" w:hAnsi="Book Antiqua"/>
          <w:color w:val="000000" w:themeColor="text1"/>
        </w:rPr>
      </w:pPr>
    </w:p>
    <w:p w14:paraId="6F83FE73" w14:textId="51ED7802" w:rsidR="00321C2F" w:rsidRPr="00F17C5F" w:rsidRDefault="000D2EDE" w:rsidP="00F17C5F">
      <w:pPr>
        <w:spacing w:after="0" w:line="360" w:lineRule="auto"/>
        <w:jc w:val="both"/>
        <w:rPr>
          <w:rFonts w:ascii="Book Antiqua" w:hAnsi="Book Antiqua"/>
          <w:color w:val="000000" w:themeColor="text1"/>
          <w:lang w:eastAsia="zh-CN"/>
        </w:rPr>
      </w:pPr>
      <w:r w:rsidRPr="00F17C5F">
        <w:rPr>
          <w:rFonts w:ascii="Book Antiqua" w:hAnsi="Book Antiqua"/>
          <w:color w:val="000000" w:themeColor="text1"/>
          <w:vertAlign w:val="superscript"/>
          <w:lang w:eastAsia="zh-CN"/>
        </w:rPr>
        <w:t>1</w:t>
      </w:r>
      <w:r w:rsidR="00321C2F" w:rsidRPr="00F17C5F">
        <w:rPr>
          <w:rFonts w:ascii="Book Antiqua" w:eastAsia="Calibri" w:hAnsi="Book Antiqua"/>
          <w:color w:val="000000" w:themeColor="text1"/>
        </w:rPr>
        <w:t>Should always take into account potential co-morbidity confounders such as renal or liver dysfunction when determining dosing regimens.</w:t>
      </w:r>
      <w:r w:rsidRPr="00F17C5F">
        <w:rPr>
          <w:rFonts w:ascii="Book Antiqua" w:hAnsi="Book Antiqua"/>
          <w:color w:val="000000" w:themeColor="text1"/>
          <w:lang w:eastAsia="zh-CN"/>
        </w:rPr>
        <w:t xml:space="preserve"> </w:t>
      </w:r>
      <w:r w:rsidR="00321C2F" w:rsidRPr="00F17C5F">
        <w:rPr>
          <w:rFonts w:ascii="Book Antiqua" w:eastAsia="Calibri" w:hAnsi="Book Antiqua"/>
          <w:color w:val="000000" w:themeColor="text1"/>
        </w:rPr>
        <w:t>Reprinted with permission from Erstad BL</w:t>
      </w:r>
      <w:r w:rsidR="00F6162B" w:rsidRPr="00F17C5F">
        <w:rPr>
          <w:rFonts w:ascii="Book Antiqua" w:hAnsi="Book Antiqua"/>
          <w:color w:val="000000" w:themeColor="text1"/>
          <w:vertAlign w:val="superscript"/>
          <w:lang w:eastAsia="zh-CN"/>
        </w:rPr>
        <w:t>[57]</w:t>
      </w:r>
      <w:r w:rsidR="00F6162B" w:rsidRPr="00F17C5F">
        <w:rPr>
          <w:rFonts w:ascii="Book Antiqua" w:hAnsi="Book Antiqua"/>
          <w:color w:val="000000" w:themeColor="text1"/>
          <w:lang w:eastAsia="zh-CN"/>
        </w:rPr>
        <w:t>.</w:t>
      </w:r>
    </w:p>
    <w:p w14:paraId="4F872985" w14:textId="77777777" w:rsidR="00185DD2" w:rsidRPr="00F17C5F" w:rsidRDefault="00185DD2" w:rsidP="00F17C5F">
      <w:pPr>
        <w:spacing w:after="0" w:line="360" w:lineRule="auto"/>
        <w:jc w:val="both"/>
        <w:rPr>
          <w:rFonts w:ascii="Book Antiqua" w:hAnsi="Book Antiqua"/>
          <w:color w:val="000000" w:themeColor="text1"/>
          <w:lang w:eastAsia="zh-CN"/>
        </w:rPr>
      </w:pPr>
    </w:p>
    <w:p w14:paraId="35C56F19" w14:textId="77777777" w:rsidR="00321C2F" w:rsidRPr="00F17C5F" w:rsidRDefault="00321C2F"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br w:type="page"/>
      </w:r>
    </w:p>
    <w:p w14:paraId="7243EC85" w14:textId="2D2B4C4D" w:rsidR="00321C2F" w:rsidRPr="00F17C5F" w:rsidRDefault="00F86664" w:rsidP="00F17C5F">
      <w:pPr>
        <w:spacing w:after="0" w:line="360" w:lineRule="auto"/>
        <w:jc w:val="both"/>
        <w:rPr>
          <w:rFonts w:ascii="Book Antiqua" w:eastAsia="Calibri" w:hAnsi="Book Antiqua"/>
          <w:b/>
          <w:color w:val="000000" w:themeColor="text1"/>
        </w:rPr>
      </w:pPr>
      <w:r w:rsidRPr="00F17C5F">
        <w:rPr>
          <w:rFonts w:ascii="Book Antiqua" w:eastAsia="Calibri" w:hAnsi="Book Antiqua"/>
          <w:b/>
          <w:color w:val="000000" w:themeColor="text1"/>
        </w:rPr>
        <w:t>Table</w:t>
      </w:r>
      <w:r w:rsidR="00772E20" w:rsidRPr="00F17C5F">
        <w:rPr>
          <w:rFonts w:ascii="Book Antiqua" w:eastAsia="Calibri" w:hAnsi="Book Antiqua"/>
          <w:b/>
          <w:color w:val="000000" w:themeColor="text1"/>
        </w:rPr>
        <w:t xml:space="preserve"> 9</w:t>
      </w:r>
      <w:r w:rsidR="00321C2F" w:rsidRPr="00F17C5F">
        <w:rPr>
          <w:rFonts w:ascii="Book Antiqua" w:eastAsia="Calibri" w:hAnsi="Book Antiqua"/>
          <w:b/>
          <w:color w:val="000000" w:themeColor="text1"/>
        </w:rPr>
        <w:t xml:space="preserve"> Implications of </w:t>
      </w:r>
      <w:r w:rsidR="00781764" w:rsidRPr="00F17C5F">
        <w:rPr>
          <w:rFonts w:ascii="Book Antiqua" w:eastAsia="Calibri" w:hAnsi="Book Antiqua"/>
          <w:b/>
          <w:color w:val="000000" w:themeColor="text1"/>
        </w:rPr>
        <w:t>medications for the pregnant critically</w:t>
      </w:r>
      <w:r w:rsidR="00321C2F" w:rsidRPr="00F17C5F">
        <w:rPr>
          <w:rFonts w:ascii="Book Antiqua" w:eastAsia="Calibri" w:hAnsi="Book Antiqua"/>
          <w:b/>
          <w:color w:val="000000" w:themeColor="text1"/>
        </w:rPr>
        <w:t xml:space="preserve"> </w:t>
      </w:r>
      <w:r w:rsidR="00E31743" w:rsidRPr="00F17C5F">
        <w:rPr>
          <w:rFonts w:ascii="Book Antiqua" w:eastAsia="Calibri" w:hAnsi="Book Antiqua"/>
          <w:b/>
          <w:color w:val="000000" w:themeColor="text1"/>
        </w:rPr>
        <w:t>i</w:t>
      </w:r>
      <w:r w:rsidR="00321C2F" w:rsidRPr="00F17C5F">
        <w:rPr>
          <w:rFonts w:ascii="Book Antiqua" w:eastAsia="Calibri" w:hAnsi="Book Antiqua"/>
          <w:b/>
          <w:color w:val="000000" w:themeColor="text1"/>
        </w:rPr>
        <w:t xml:space="preserve">ll </w:t>
      </w:r>
      <w:r w:rsidR="00781764" w:rsidRPr="00F17C5F">
        <w:rPr>
          <w:rFonts w:ascii="Book Antiqua" w:eastAsia="Calibri" w:hAnsi="Book Antiqua"/>
          <w:b/>
          <w:color w:val="000000" w:themeColor="text1"/>
        </w:rPr>
        <w:t>patient</w:t>
      </w:r>
    </w:p>
    <w:tbl>
      <w:tblPr>
        <w:tblStyle w:val="TableGrid"/>
        <w:tblW w:w="0" w:type="auto"/>
        <w:tblLook w:val="04A0" w:firstRow="1" w:lastRow="0" w:firstColumn="1" w:lastColumn="0" w:noHBand="0" w:noVBand="1"/>
      </w:tblPr>
      <w:tblGrid>
        <w:gridCol w:w="2489"/>
        <w:gridCol w:w="2795"/>
        <w:gridCol w:w="817"/>
        <w:gridCol w:w="3395"/>
      </w:tblGrid>
      <w:tr w:rsidR="007F72BC" w:rsidRPr="00F17C5F" w14:paraId="0BA88245" w14:textId="77777777" w:rsidTr="002635AC">
        <w:trPr>
          <w:trHeight w:val="716"/>
        </w:trPr>
        <w:tc>
          <w:tcPr>
            <w:tcW w:w="2110" w:type="dxa"/>
          </w:tcPr>
          <w:p w14:paraId="32D58D5F" w14:textId="77777777" w:rsidR="007F72BC" w:rsidRPr="00F17C5F" w:rsidRDefault="007F72BC" w:rsidP="00F17C5F">
            <w:pPr>
              <w:spacing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Indication/Class</w:t>
            </w:r>
          </w:p>
        </w:tc>
        <w:tc>
          <w:tcPr>
            <w:tcW w:w="2365" w:type="dxa"/>
          </w:tcPr>
          <w:p w14:paraId="459D5472" w14:textId="77777777" w:rsidR="007F72BC" w:rsidRPr="00F17C5F" w:rsidRDefault="007F72BC" w:rsidP="00F17C5F">
            <w:pPr>
              <w:spacing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Specific Drug</w:t>
            </w:r>
            <w:r w:rsidRPr="00F17C5F">
              <w:rPr>
                <w:rFonts w:ascii="Book Antiqua" w:eastAsia="Calibri" w:hAnsi="Book Antiqua"/>
                <w:b/>
                <w:color w:val="000000" w:themeColor="text1"/>
              </w:rPr>
              <w:tab/>
            </w:r>
          </w:p>
        </w:tc>
        <w:tc>
          <w:tcPr>
            <w:tcW w:w="659" w:type="dxa"/>
          </w:tcPr>
          <w:p w14:paraId="3FBD7893" w14:textId="34C5B81E" w:rsidR="007F72BC" w:rsidRPr="00F17C5F" w:rsidRDefault="007F72BC" w:rsidP="00F17C5F">
            <w:pPr>
              <w:spacing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FDA</w:t>
            </w:r>
            <w:r w:rsidR="00781764" w:rsidRPr="00F17C5F">
              <w:rPr>
                <w:rFonts w:ascii="Book Antiqua" w:hAnsi="Book Antiqua"/>
                <w:b/>
                <w:color w:val="000000" w:themeColor="text1"/>
                <w:vertAlign w:val="superscript"/>
                <w:lang w:eastAsia="zh-CN"/>
              </w:rPr>
              <w:t>3</w:t>
            </w:r>
          </w:p>
        </w:tc>
        <w:tc>
          <w:tcPr>
            <w:tcW w:w="3395" w:type="dxa"/>
          </w:tcPr>
          <w:p w14:paraId="62C76D1A" w14:textId="6A0A9D57" w:rsidR="007F72BC" w:rsidRPr="00F17C5F" w:rsidRDefault="007F72BC" w:rsidP="00F17C5F">
            <w:pPr>
              <w:spacing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Comments</w:t>
            </w:r>
            <w:r w:rsidR="001838CC" w:rsidRPr="00F17C5F">
              <w:rPr>
                <w:rFonts w:ascii="Book Antiqua" w:hAnsi="Book Antiqua"/>
                <w:b/>
                <w:color w:val="000000" w:themeColor="text1"/>
                <w:vertAlign w:val="superscript"/>
                <w:lang w:eastAsia="zh-CN"/>
              </w:rPr>
              <w:t>1</w:t>
            </w:r>
          </w:p>
          <w:p w14:paraId="17B16626" w14:textId="77777777" w:rsidR="007F72BC" w:rsidRPr="00F17C5F" w:rsidRDefault="007F72BC" w:rsidP="00F17C5F">
            <w:pPr>
              <w:spacing w:line="360" w:lineRule="auto"/>
              <w:jc w:val="both"/>
              <w:rPr>
                <w:rFonts w:ascii="Book Antiqua" w:hAnsi="Book Antiqua"/>
                <w:b/>
                <w:color w:val="000000" w:themeColor="text1"/>
                <w:lang w:eastAsia="zh-CN"/>
              </w:rPr>
            </w:pPr>
          </w:p>
        </w:tc>
      </w:tr>
      <w:tr w:rsidR="00A17599" w:rsidRPr="00F17C5F" w14:paraId="0FCBD3F4" w14:textId="77777777" w:rsidTr="002635AC">
        <w:trPr>
          <w:trHeight w:val="378"/>
        </w:trPr>
        <w:tc>
          <w:tcPr>
            <w:tcW w:w="2110" w:type="dxa"/>
          </w:tcPr>
          <w:p w14:paraId="5A9A48F6"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Sedative</w:t>
            </w:r>
          </w:p>
        </w:tc>
        <w:tc>
          <w:tcPr>
            <w:tcW w:w="2365" w:type="dxa"/>
          </w:tcPr>
          <w:p w14:paraId="6BEDF289" w14:textId="77777777" w:rsidR="00A17599" w:rsidRPr="00F17C5F" w:rsidRDefault="00A17599" w:rsidP="00F17C5F">
            <w:pPr>
              <w:spacing w:line="360" w:lineRule="auto"/>
              <w:jc w:val="both"/>
              <w:rPr>
                <w:rFonts w:ascii="Book Antiqua" w:eastAsia="Calibri" w:hAnsi="Book Antiqua"/>
                <w:color w:val="000000" w:themeColor="text1"/>
              </w:rPr>
            </w:pPr>
          </w:p>
        </w:tc>
        <w:tc>
          <w:tcPr>
            <w:tcW w:w="659" w:type="dxa"/>
          </w:tcPr>
          <w:p w14:paraId="227E6490" w14:textId="77777777" w:rsidR="00A17599" w:rsidRPr="00F17C5F" w:rsidRDefault="00A17599" w:rsidP="00F17C5F">
            <w:pPr>
              <w:spacing w:line="360" w:lineRule="auto"/>
              <w:jc w:val="both"/>
              <w:rPr>
                <w:rFonts w:ascii="Book Antiqua" w:eastAsia="Calibri" w:hAnsi="Book Antiqua"/>
                <w:color w:val="000000" w:themeColor="text1"/>
              </w:rPr>
            </w:pPr>
          </w:p>
        </w:tc>
        <w:tc>
          <w:tcPr>
            <w:tcW w:w="3395" w:type="dxa"/>
          </w:tcPr>
          <w:p w14:paraId="65E4A647" w14:textId="77777777" w:rsidR="00A17599" w:rsidRPr="00F17C5F" w:rsidRDefault="00A17599" w:rsidP="00F17C5F">
            <w:pPr>
              <w:spacing w:line="360" w:lineRule="auto"/>
              <w:jc w:val="both"/>
              <w:rPr>
                <w:rFonts w:ascii="Book Antiqua" w:eastAsia="Calibri" w:hAnsi="Book Antiqua"/>
                <w:color w:val="000000" w:themeColor="text1"/>
              </w:rPr>
            </w:pPr>
          </w:p>
        </w:tc>
      </w:tr>
      <w:tr w:rsidR="007F72BC" w:rsidRPr="00F17C5F" w14:paraId="15057499" w14:textId="77777777" w:rsidTr="002635AC">
        <w:trPr>
          <w:trHeight w:val="358"/>
        </w:trPr>
        <w:tc>
          <w:tcPr>
            <w:tcW w:w="2110" w:type="dxa"/>
          </w:tcPr>
          <w:p w14:paraId="198EE92C"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1A93F2EF"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propofol</w:t>
            </w:r>
          </w:p>
        </w:tc>
        <w:tc>
          <w:tcPr>
            <w:tcW w:w="659" w:type="dxa"/>
          </w:tcPr>
          <w:p w14:paraId="38DB8C46"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B</w:t>
            </w:r>
          </w:p>
        </w:tc>
        <w:tc>
          <w:tcPr>
            <w:tcW w:w="3395" w:type="dxa"/>
          </w:tcPr>
          <w:p w14:paraId="59A11DEA" w14:textId="77777777" w:rsidR="007F72BC" w:rsidRPr="00F17C5F" w:rsidRDefault="007F72BC" w:rsidP="00F17C5F">
            <w:pPr>
              <w:spacing w:line="360" w:lineRule="auto"/>
              <w:jc w:val="both"/>
              <w:rPr>
                <w:rFonts w:ascii="Book Antiqua" w:hAnsi="Book Antiqua"/>
                <w:color w:val="000000" w:themeColor="text1"/>
                <w:lang w:eastAsia="zh-CN"/>
              </w:rPr>
            </w:pPr>
          </w:p>
        </w:tc>
      </w:tr>
      <w:tr w:rsidR="007F72BC" w:rsidRPr="00F17C5F" w14:paraId="7EF82DF6" w14:textId="77777777" w:rsidTr="002635AC">
        <w:trPr>
          <w:trHeight w:val="358"/>
        </w:trPr>
        <w:tc>
          <w:tcPr>
            <w:tcW w:w="2110" w:type="dxa"/>
          </w:tcPr>
          <w:p w14:paraId="0D56DC37"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584ADA29"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midazolam</w:t>
            </w:r>
          </w:p>
        </w:tc>
        <w:tc>
          <w:tcPr>
            <w:tcW w:w="659" w:type="dxa"/>
          </w:tcPr>
          <w:p w14:paraId="4AA028DE"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D</w:t>
            </w:r>
          </w:p>
        </w:tc>
        <w:tc>
          <w:tcPr>
            <w:tcW w:w="3395" w:type="dxa"/>
          </w:tcPr>
          <w:p w14:paraId="7D4C9B8B" w14:textId="77777777" w:rsidR="007F72BC" w:rsidRPr="00F17C5F" w:rsidRDefault="007F72BC" w:rsidP="00F17C5F">
            <w:pPr>
              <w:spacing w:line="360" w:lineRule="auto"/>
              <w:jc w:val="both"/>
              <w:rPr>
                <w:rFonts w:ascii="Book Antiqua" w:hAnsi="Book Antiqua"/>
                <w:color w:val="000000" w:themeColor="text1"/>
                <w:lang w:eastAsia="zh-CN"/>
              </w:rPr>
            </w:pPr>
          </w:p>
        </w:tc>
      </w:tr>
      <w:tr w:rsidR="007F72BC" w:rsidRPr="00F17C5F" w14:paraId="1BFC941B" w14:textId="77777777" w:rsidTr="002635AC">
        <w:trPr>
          <w:trHeight w:val="358"/>
        </w:trPr>
        <w:tc>
          <w:tcPr>
            <w:tcW w:w="2110" w:type="dxa"/>
          </w:tcPr>
          <w:p w14:paraId="120829FC"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5E3F6683"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lorazepam</w:t>
            </w:r>
            <w:r w:rsidRPr="00F17C5F">
              <w:rPr>
                <w:rFonts w:ascii="Book Antiqua" w:eastAsia="Calibri" w:hAnsi="Book Antiqua"/>
                <w:color w:val="000000" w:themeColor="text1"/>
              </w:rPr>
              <w:tab/>
            </w:r>
          </w:p>
        </w:tc>
        <w:tc>
          <w:tcPr>
            <w:tcW w:w="659" w:type="dxa"/>
          </w:tcPr>
          <w:p w14:paraId="414C91BF"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D</w:t>
            </w:r>
          </w:p>
        </w:tc>
        <w:tc>
          <w:tcPr>
            <w:tcW w:w="3395" w:type="dxa"/>
          </w:tcPr>
          <w:p w14:paraId="31802447"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risk (1st and 3rd trimesters)</w:t>
            </w:r>
          </w:p>
        </w:tc>
      </w:tr>
      <w:tr w:rsidR="007F72BC" w:rsidRPr="00F17C5F" w14:paraId="346C5FE5" w14:textId="77777777" w:rsidTr="002635AC">
        <w:trPr>
          <w:trHeight w:val="358"/>
        </w:trPr>
        <w:tc>
          <w:tcPr>
            <w:tcW w:w="2110" w:type="dxa"/>
          </w:tcPr>
          <w:p w14:paraId="43CAA141"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4F992576"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dexmedetomidine</w:t>
            </w:r>
          </w:p>
        </w:tc>
        <w:tc>
          <w:tcPr>
            <w:tcW w:w="659" w:type="dxa"/>
          </w:tcPr>
          <w:p w14:paraId="413EFA75"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C</w:t>
            </w:r>
          </w:p>
        </w:tc>
        <w:tc>
          <w:tcPr>
            <w:tcW w:w="3395" w:type="dxa"/>
          </w:tcPr>
          <w:p w14:paraId="281B2522" w14:textId="77777777" w:rsidR="007F72BC" w:rsidRPr="00F17C5F" w:rsidRDefault="007F72BC" w:rsidP="00F17C5F">
            <w:pPr>
              <w:spacing w:line="360" w:lineRule="auto"/>
              <w:ind w:left="1440"/>
              <w:jc w:val="both"/>
              <w:rPr>
                <w:rFonts w:ascii="Book Antiqua" w:hAnsi="Book Antiqua"/>
                <w:color w:val="000000" w:themeColor="text1"/>
                <w:lang w:eastAsia="zh-CN"/>
              </w:rPr>
            </w:pPr>
          </w:p>
        </w:tc>
      </w:tr>
      <w:tr w:rsidR="00A17599" w:rsidRPr="00F17C5F" w14:paraId="6946457B" w14:textId="77777777" w:rsidTr="002635AC">
        <w:trPr>
          <w:trHeight w:val="716"/>
        </w:trPr>
        <w:tc>
          <w:tcPr>
            <w:tcW w:w="2110" w:type="dxa"/>
          </w:tcPr>
          <w:p w14:paraId="3CA7A62A"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Analgesic</w:t>
            </w:r>
          </w:p>
        </w:tc>
        <w:tc>
          <w:tcPr>
            <w:tcW w:w="2365" w:type="dxa"/>
          </w:tcPr>
          <w:p w14:paraId="069E6829" w14:textId="77777777" w:rsidR="00A17599" w:rsidRPr="00F17C5F" w:rsidRDefault="00A17599" w:rsidP="00F17C5F">
            <w:pPr>
              <w:spacing w:line="360" w:lineRule="auto"/>
              <w:jc w:val="both"/>
              <w:rPr>
                <w:rFonts w:ascii="Book Antiqua" w:eastAsia="Calibri" w:hAnsi="Book Antiqua"/>
                <w:color w:val="000000" w:themeColor="text1"/>
              </w:rPr>
            </w:pPr>
          </w:p>
        </w:tc>
        <w:tc>
          <w:tcPr>
            <w:tcW w:w="659" w:type="dxa"/>
          </w:tcPr>
          <w:p w14:paraId="060EAAA4" w14:textId="77777777" w:rsidR="00A17599" w:rsidRPr="00F17C5F" w:rsidRDefault="00A17599" w:rsidP="00F17C5F">
            <w:pPr>
              <w:spacing w:line="360" w:lineRule="auto"/>
              <w:jc w:val="both"/>
              <w:rPr>
                <w:rFonts w:ascii="Book Antiqua" w:hAnsi="Book Antiqua"/>
                <w:color w:val="000000" w:themeColor="text1"/>
                <w:lang w:eastAsia="zh-CN"/>
              </w:rPr>
            </w:pPr>
          </w:p>
        </w:tc>
        <w:tc>
          <w:tcPr>
            <w:tcW w:w="3395" w:type="dxa"/>
          </w:tcPr>
          <w:p w14:paraId="7BB4FC76" w14:textId="77777777" w:rsidR="00A17599" w:rsidRPr="00F17C5F" w:rsidRDefault="00A17599" w:rsidP="00F17C5F">
            <w:pPr>
              <w:spacing w:line="360" w:lineRule="auto"/>
              <w:jc w:val="both"/>
              <w:rPr>
                <w:rFonts w:ascii="Book Antiqua" w:eastAsia="Calibri" w:hAnsi="Book Antiqua"/>
                <w:color w:val="000000" w:themeColor="text1"/>
              </w:rPr>
            </w:pPr>
          </w:p>
        </w:tc>
      </w:tr>
      <w:tr w:rsidR="007F72BC" w:rsidRPr="00F17C5F" w14:paraId="71184848" w14:textId="77777777" w:rsidTr="002635AC">
        <w:trPr>
          <w:trHeight w:val="716"/>
        </w:trPr>
        <w:tc>
          <w:tcPr>
            <w:tcW w:w="2110" w:type="dxa"/>
          </w:tcPr>
          <w:p w14:paraId="47E48162"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2444768D"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morphine</w:t>
            </w:r>
          </w:p>
        </w:tc>
        <w:tc>
          <w:tcPr>
            <w:tcW w:w="659" w:type="dxa"/>
          </w:tcPr>
          <w:p w14:paraId="7184D2EA"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C</w:t>
            </w:r>
          </w:p>
        </w:tc>
        <w:tc>
          <w:tcPr>
            <w:tcW w:w="3395" w:type="dxa"/>
          </w:tcPr>
          <w:p w14:paraId="0F9C5718"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risk (3rd trimester)</w:t>
            </w:r>
          </w:p>
          <w:p w14:paraId="7BC5DF66" w14:textId="77777777" w:rsidR="007F72BC" w:rsidRPr="00F17C5F" w:rsidRDefault="007F72BC" w:rsidP="00F17C5F">
            <w:pPr>
              <w:spacing w:line="360" w:lineRule="auto"/>
              <w:jc w:val="both"/>
              <w:rPr>
                <w:rFonts w:ascii="Book Antiqua" w:hAnsi="Book Antiqua"/>
                <w:color w:val="000000" w:themeColor="text1"/>
                <w:lang w:eastAsia="zh-CN"/>
              </w:rPr>
            </w:pPr>
          </w:p>
        </w:tc>
      </w:tr>
      <w:tr w:rsidR="007F72BC" w:rsidRPr="00F17C5F" w14:paraId="24208378" w14:textId="77777777" w:rsidTr="002635AC">
        <w:trPr>
          <w:trHeight w:val="710"/>
        </w:trPr>
        <w:tc>
          <w:tcPr>
            <w:tcW w:w="2110" w:type="dxa"/>
          </w:tcPr>
          <w:p w14:paraId="4B99F8A7"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6CE4FA4E"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fentanyl</w:t>
            </w:r>
          </w:p>
        </w:tc>
        <w:tc>
          <w:tcPr>
            <w:tcW w:w="659" w:type="dxa"/>
          </w:tcPr>
          <w:p w14:paraId="276361CC"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C</w:t>
            </w:r>
          </w:p>
        </w:tc>
        <w:tc>
          <w:tcPr>
            <w:tcW w:w="3395" w:type="dxa"/>
          </w:tcPr>
          <w:p w14:paraId="2AAB9279"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risk (3rd trimester)</w:t>
            </w:r>
          </w:p>
          <w:p w14:paraId="131EEAC0" w14:textId="77777777" w:rsidR="007F72BC" w:rsidRPr="00F17C5F" w:rsidRDefault="007F72BC" w:rsidP="00F17C5F">
            <w:pPr>
              <w:spacing w:line="360" w:lineRule="auto"/>
              <w:jc w:val="both"/>
              <w:rPr>
                <w:rFonts w:ascii="Book Antiqua" w:hAnsi="Book Antiqua"/>
                <w:color w:val="000000" w:themeColor="text1"/>
                <w:lang w:eastAsia="zh-CN"/>
              </w:rPr>
            </w:pPr>
          </w:p>
        </w:tc>
      </w:tr>
      <w:tr w:rsidR="007F72BC" w:rsidRPr="00F17C5F" w14:paraId="41496169" w14:textId="77777777" w:rsidTr="002635AC">
        <w:trPr>
          <w:trHeight w:val="366"/>
        </w:trPr>
        <w:tc>
          <w:tcPr>
            <w:tcW w:w="2110" w:type="dxa"/>
          </w:tcPr>
          <w:p w14:paraId="0E606385"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22D69F63"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hydromorphone</w:t>
            </w:r>
          </w:p>
        </w:tc>
        <w:tc>
          <w:tcPr>
            <w:tcW w:w="659" w:type="dxa"/>
          </w:tcPr>
          <w:p w14:paraId="1EAD6A0A"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C</w:t>
            </w:r>
          </w:p>
        </w:tc>
        <w:tc>
          <w:tcPr>
            <w:tcW w:w="3395" w:type="dxa"/>
          </w:tcPr>
          <w:p w14:paraId="7DC9C9A3"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risk (3rd trimester)</w:t>
            </w:r>
          </w:p>
        </w:tc>
      </w:tr>
      <w:tr w:rsidR="00A17599" w:rsidRPr="00F17C5F" w14:paraId="7B71022B" w14:textId="77777777" w:rsidTr="002635AC">
        <w:trPr>
          <w:trHeight w:val="366"/>
        </w:trPr>
        <w:tc>
          <w:tcPr>
            <w:tcW w:w="2110" w:type="dxa"/>
          </w:tcPr>
          <w:p w14:paraId="372AC1E7"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Delirium</w:t>
            </w:r>
          </w:p>
        </w:tc>
        <w:tc>
          <w:tcPr>
            <w:tcW w:w="2365" w:type="dxa"/>
          </w:tcPr>
          <w:p w14:paraId="7E5D7CB4" w14:textId="77777777" w:rsidR="00A17599" w:rsidRPr="00F17C5F" w:rsidRDefault="00A17599" w:rsidP="00F17C5F">
            <w:pPr>
              <w:spacing w:line="360" w:lineRule="auto"/>
              <w:jc w:val="both"/>
              <w:rPr>
                <w:rFonts w:ascii="Book Antiqua" w:eastAsia="Calibri" w:hAnsi="Book Antiqua"/>
                <w:color w:val="000000" w:themeColor="text1"/>
              </w:rPr>
            </w:pPr>
          </w:p>
        </w:tc>
        <w:tc>
          <w:tcPr>
            <w:tcW w:w="659" w:type="dxa"/>
          </w:tcPr>
          <w:p w14:paraId="6385F1A9" w14:textId="77777777" w:rsidR="00A17599" w:rsidRPr="00F17C5F" w:rsidRDefault="00A17599" w:rsidP="00F17C5F">
            <w:pPr>
              <w:spacing w:line="360" w:lineRule="auto"/>
              <w:jc w:val="both"/>
              <w:rPr>
                <w:rFonts w:ascii="Book Antiqua" w:eastAsia="Calibri" w:hAnsi="Book Antiqua"/>
                <w:color w:val="000000" w:themeColor="text1"/>
              </w:rPr>
            </w:pPr>
          </w:p>
        </w:tc>
        <w:tc>
          <w:tcPr>
            <w:tcW w:w="3395" w:type="dxa"/>
          </w:tcPr>
          <w:p w14:paraId="2494CC5E" w14:textId="77777777" w:rsidR="00A17599" w:rsidRPr="00F17C5F" w:rsidRDefault="00A17599" w:rsidP="00F17C5F">
            <w:pPr>
              <w:spacing w:line="360" w:lineRule="auto"/>
              <w:jc w:val="both"/>
              <w:rPr>
                <w:rFonts w:ascii="Book Antiqua" w:eastAsia="Calibri" w:hAnsi="Book Antiqua"/>
                <w:color w:val="000000" w:themeColor="text1"/>
              </w:rPr>
            </w:pPr>
          </w:p>
        </w:tc>
      </w:tr>
      <w:tr w:rsidR="007F72BC" w:rsidRPr="00F17C5F" w14:paraId="03BFEDB1" w14:textId="77777777" w:rsidTr="002635AC">
        <w:trPr>
          <w:trHeight w:val="366"/>
        </w:trPr>
        <w:tc>
          <w:tcPr>
            <w:tcW w:w="2110" w:type="dxa"/>
          </w:tcPr>
          <w:p w14:paraId="396D2B86"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2C2B8FEB"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quetiapine</w:t>
            </w:r>
            <w:r w:rsidRPr="00F17C5F">
              <w:rPr>
                <w:rFonts w:ascii="Book Antiqua" w:eastAsia="Calibri" w:hAnsi="Book Antiqua"/>
                <w:color w:val="000000" w:themeColor="text1"/>
              </w:rPr>
              <w:tab/>
            </w:r>
          </w:p>
        </w:tc>
        <w:tc>
          <w:tcPr>
            <w:tcW w:w="659" w:type="dxa"/>
          </w:tcPr>
          <w:p w14:paraId="1E3CF4DA"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C</w:t>
            </w:r>
          </w:p>
        </w:tc>
        <w:tc>
          <w:tcPr>
            <w:tcW w:w="3395" w:type="dxa"/>
          </w:tcPr>
          <w:p w14:paraId="238A17CE"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risk (1st and 3rd trimesters)</w:t>
            </w:r>
          </w:p>
        </w:tc>
      </w:tr>
      <w:tr w:rsidR="007F72BC" w:rsidRPr="00F17C5F" w14:paraId="2B3D8A62" w14:textId="77777777" w:rsidTr="002635AC">
        <w:trPr>
          <w:trHeight w:val="366"/>
        </w:trPr>
        <w:tc>
          <w:tcPr>
            <w:tcW w:w="2110" w:type="dxa"/>
          </w:tcPr>
          <w:p w14:paraId="750E4716"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3FCA0224"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haloperidol</w:t>
            </w:r>
          </w:p>
        </w:tc>
        <w:tc>
          <w:tcPr>
            <w:tcW w:w="659" w:type="dxa"/>
          </w:tcPr>
          <w:p w14:paraId="43C0EF54"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C</w:t>
            </w:r>
          </w:p>
        </w:tc>
        <w:tc>
          <w:tcPr>
            <w:tcW w:w="3395" w:type="dxa"/>
          </w:tcPr>
          <w:p w14:paraId="5BAA3198" w14:textId="77777777" w:rsidR="007F72BC" w:rsidRPr="00F17C5F" w:rsidRDefault="007F72BC" w:rsidP="00F17C5F">
            <w:pPr>
              <w:spacing w:line="360" w:lineRule="auto"/>
              <w:jc w:val="both"/>
              <w:rPr>
                <w:rFonts w:ascii="Book Antiqua" w:eastAsia="Calibri" w:hAnsi="Book Antiqua"/>
                <w:color w:val="000000" w:themeColor="text1"/>
              </w:rPr>
            </w:pPr>
          </w:p>
        </w:tc>
      </w:tr>
      <w:tr w:rsidR="00A17599" w:rsidRPr="00F17C5F" w14:paraId="74851190" w14:textId="77777777" w:rsidTr="002635AC">
        <w:trPr>
          <w:trHeight w:val="366"/>
        </w:trPr>
        <w:tc>
          <w:tcPr>
            <w:tcW w:w="2110" w:type="dxa"/>
          </w:tcPr>
          <w:p w14:paraId="72F2963C"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Pulmonary Hypertension</w:t>
            </w:r>
          </w:p>
        </w:tc>
        <w:tc>
          <w:tcPr>
            <w:tcW w:w="2365" w:type="dxa"/>
          </w:tcPr>
          <w:p w14:paraId="5F7A6452" w14:textId="77777777" w:rsidR="00A17599" w:rsidRPr="00F17C5F" w:rsidRDefault="00A17599" w:rsidP="00F17C5F">
            <w:pPr>
              <w:spacing w:line="360" w:lineRule="auto"/>
              <w:jc w:val="both"/>
              <w:rPr>
                <w:rFonts w:ascii="Book Antiqua" w:eastAsia="Calibri" w:hAnsi="Book Antiqua"/>
                <w:color w:val="000000" w:themeColor="text1"/>
              </w:rPr>
            </w:pPr>
          </w:p>
        </w:tc>
        <w:tc>
          <w:tcPr>
            <w:tcW w:w="659" w:type="dxa"/>
          </w:tcPr>
          <w:p w14:paraId="7567869C" w14:textId="77777777" w:rsidR="00A17599" w:rsidRPr="00F17C5F" w:rsidRDefault="00A17599" w:rsidP="00F17C5F">
            <w:pPr>
              <w:spacing w:line="360" w:lineRule="auto"/>
              <w:jc w:val="both"/>
              <w:rPr>
                <w:rFonts w:ascii="Book Antiqua" w:hAnsi="Book Antiqua"/>
                <w:color w:val="000000" w:themeColor="text1"/>
                <w:lang w:eastAsia="zh-CN"/>
              </w:rPr>
            </w:pPr>
          </w:p>
        </w:tc>
        <w:tc>
          <w:tcPr>
            <w:tcW w:w="3395" w:type="dxa"/>
          </w:tcPr>
          <w:p w14:paraId="1FA4134C" w14:textId="77777777" w:rsidR="00A17599" w:rsidRPr="00F17C5F" w:rsidRDefault="00A17599" w:rsidP="00F17C5F">
            <w:pPr>
              <w:spacing w:line="360" w:lineRule="auto"/>
              <w:jc w:val="both"/>
              <w:rPr>
                <w:rFonts w:ascii="Book Antiqua" w:eastAsia="Calibri" w:hAnsi="Book Antiqua"/>
                <w:color w:val="000000" w:themeColor="text1"/>
              </w:rPr>
            </w:pPr>
          </w:p>
        </w:tc>
      </w:tr>
      <w:tr w:rsidR="007F72BC" w:rsidRPr="00F17C5F" w14:paraId="3E7C0275" w14:textId="77777777" w:rsidTr="002635AC">
        <w:trPr>
          <w:trHeight w:val="366"/>
        </w:trPr>
        <w:tc>
          <w:tcPr>
            <w:tcW w:w="2110" w:type="dxa"/>
          </w:tcPr>
          <w:p w14:paraId="2FFFC20A"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01C3D5E0"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epoprostenol</w:t>
            </w:r>
          </w:p>
        </w:tc>
        <w:tc>
          <w:tcPr>
            <w:tcW w:w="659" w:type="dxa"/>
          </w:tcPr>
          <w:p w14:paraId="50F0967D"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B</w:t>
            </w:r>
          </w:p>
        </w:tc>
        <w:tc>
          <w:tcPr>
            <w:tcW w:w="3395" w:type="dxa"/>
          </w:tcPr>
          <w:p w14:paraId="38CA2862" w14:textId="77777777" w:rsidR="007F72BC" w:rsidRPr="00F17C5F" w:rsidRDefault="007F72BC" w:rsidP="00F17C5F">
            <w:pPr>
              <w:spacing w:line="360" w:lineRule="auto"/>
              <w:jc w:val="both"/>
              <w:rPr>
                <w:rFonts w:ascii="Book Antiqua" w:eastAsia="Calibri" w:hAnsi="Book Antiqua"/>
                <w:color w:val="000000" w:themeColor="text1"/>
              </w:rPr>
            </w:pPr>
          </w:p>
        </w:tc>
      </w:tr>
      <w:tr w:rsidR="007F72BC" w:rsidRPr="00F17C5F" w14:paraId="4EF0D154" w14:textId="77777777" w:rsidTr="002635AC">
        <w:trPr>
          <w:trHeight w:val="366"/>
        </w:trPr>
        <w:tc>
          <w:tcPr>
            <w:tcW w:w="2110" w:type="dxa"/>
          </w:tcPr>
          <w:p w14:paraId="36770797"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0F6AF178"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treprostinil</w:t>
            </w:r>
            <w:r w:rsidRPr="00F17C5F">
              <w:rPr>
                <w:rFonts w:ascii="Book Antiqua" w:eastAsia="Calibri" w:hAnsi="Book Antiqua"/>
                <w:color w:val="000000" w:themeColor="text1"/>
              </w:rPr>
              <w:tab/>
            </w:r>
          </w:p>
        </w:tc>
        <w:tc>
          <w:tcPr>
            <w:tcW w:w="659" w:type="dxa"/>
          </w:tcPr>
          <w:p w14:paraId="14BE3242"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B</w:t>
            </w:r>
          </w:p>
        </w:tc>
        <w:tc>
          <w:tcPr>
            <w:tcW w:w="3395" w:type="dxa"/>
          </w:tcPr>
          <w:p w14:paraId="5F9AC127" w14:textId="77777777" w:rsidR="007F72BC" w:rsidRPr="00F17C5F" w:rsidRDefault="007F72BC" w:rsidP="00F17C5F">
            <w:pPr>
              <w:spacing w:line="360" w:lineRule="auto"/>
              <w:jc w:val="both"/>
              <w:rPr>
                <w:rFonts w:ascii="Book Antiqua" w:eastAsia="Calibri" w:hAnsi="Book Antiqua"/>
                <w:color w:val="000000" w:themeColor="text1"/>
              </w:rPr>
            </w:pPr>
          </w:p>
        </w:tc>
      </w:tr>
      <w:tr w:rsidR="007F72BC" w:rsidRPr="00F17C5F" w14:paraId="44120BD4" w14:textId="77777777" w:rsidTr="002635AC">
        <w:trPr>
          <w:trHeight w:val="366"/>
        </w:trPr>
        <w:tc>
          <w:tcPr>
            <w:tcW w:w="2110" w:type="dxa"/>
          </w:tcPr>
          <w:p w14:paraId="079B6D65"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70C0620D"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iloprost</w:t>
            </w:r>
            <w:r w:rsidRPr="00F17C5F">
              <w:rPr>
                <w:rFonts w:ascii="Book Antiqua" w:eastAsia="Calibri" w:hAnsi="Book Antiqua"/>
                <w:color w:val="000000" w:themeColor="text1"/>
              </w:rPr>
              <w:tab/>
            </w:r>
          </w:p>
        </w:tc>
        <w:tc>
          <w:tcPr>
            <w:tcW w:w="659" w:type="dxa"/>
          </w:tcPr>
          <w:p w14:paraId="1F7E8CED"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C</w:t>
            </w:r>
          </w:p>
        </w:tc>
        <w:tc>
          <w:tcPr>
            <w:tcW w:w="3395" w:type="dxa"/>
          </w:tcPr>
          <w:p w14:paraId="54F131D8" w14:textId="77777777" w:rsidR="007F72BC" w:rsidRPr="00F17C5F" w:rsidRDefault="007F72BC" w:rsidP="00F17C5F">
            <w:pPr>
              <w:spacing w:line="360" w:lineRule="auto"/>
              <w:jc w:val="both"/>
              <w:rPr>
                <w:rFonts w:ascii="Book Antiqua" w:eastAsia="Calibri" w:hAnsi="Book Antiqua"/>
                <w:color w:val="000000" w:themeColor="text1"/>
              </w:rPr>
            </w:pPr>
          </w:p>
        </w:tc>
      </w:tr>
      <w:tr w:rsidR="00A17599" w:rsidRPr="00F17C5F" w14:paraId="6363A026" w14:textId="77777777" w:rsidTr="002635AC">
        <w:trPr>
          <w:trHeight w:val="366"/>
        </w:trPr>
        <w:tc>
          <w:tcPr>
            <w:tcW w:w="2110" w:type="dxa"/>
          </w:tcPr>
          <w:p w14:paraId="035C8E20"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Bronchodilator</w:t>
            </w:r>
          </w:p>
        </w:tc>
        <w:tc>
          <w:tcPr>
            <w:tcW w:w="2365" w:type="dxa"/>
          </w:tcPr>
          <w:p w14:paraId="10C50764" w14:textId="77777777" w:rsidR="00A17599" w:rsidRPr="00F17C5F" w:rsidRDefault="00A17599" w:rsidP="00F17C5F">
            <w:pPr>
              <w:spacing w:line="360" w:lineRule="auto"/>
              <w:jc w:val="both"/>
              <w:rPr>
                <w:rFonts w:ascii="Book Antiqua" w:eastAsia="Calibri" w:hAnsi="Book Antiqua"/>
                <w:color w:val="000000" w:themeColor="text1"/>
              </w:rPr>
            </w:pPr>
          </w:p>
        </w:tc>
        <w:tc>
          <w:tcPr>
            <w:tcW w:w="659" w:type="dxa"/>
          </w:tcPr>
          <w:p w14:paraId="71B94FC8" w14:textId="77777777" w:rsidR="00A17599" w:rsidRPr="00F17C5F" w:rsidRDefault="00A17599" w:rsidP="00F17C5F">
            <w:pPr>
              <w:spacing w:line="360" w:lineRule="auto"/>
              <w:jc w:val="both"/>
              <w:rPr>
                <w:rFonts w:ascii="Book Antiqua" w:hAnsi="Book Antiqua"/>
                <w:color w:val="000000" w:themeColor="text1"/>
                <w:lang w:eastAsia="zh-CN"/>
              </w:rPr>
            </w:pPr>
          </w:p>
        </w:tc>
        <w:tc>
          <w:tcPr>
            <w:tcW w:w="3395" w:type="dxa"/>
          </w:tcPr>
          <w:p w14:paraId="6D369E4B" w14:textId="77777777" w:rsidR="00A17599" w:rsidRPr="00F17C5F" w:rsidRDefault="00A17599" w:rsidP="00F17C5F">
            <w:pPr>
              <w:spacing w:line="360" w:lineRule="auto"/>
              <w:jc w:val="both"/>
              <w:rPr>
                <w:rFonts w:ascii="Book Antiqua" w:eastAsia="Calibri" w:hAnsi="Book Antiqua"/>
                <w:color w:val="000000" w:themeColor="text1"/>
              </w:rPr>
            </w:pPr>
          </w:p>
        </w:tc>
      </w:tr>
      <w:tr w:rsidR="007F72BC" w:rsidRPr="00F17C5F" w14:paraId="6EEC6A18" w14:textId="77777777" w:rsidTr="002635AC">
        <w:trPr>
          <w:trHeight w:val="366"/>
        </w:trPr>
        <w:tc>
          <w:tcPr>
            <w:tcW w:w="2110" w:type="dxa"/>
          </w:tcPr>
          <w:p w14:paraId="0003CA38"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2C7175DA"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tiotropium</w:t>
            </w:r>
            <w:r w:rsidRPr="00F17C5F">
              <w:rPr>
                <w:rFonts w:ascii="Book Antiqua" w:eastAsia="Calibri" w:hAnsi="Book Antiqua"/>
                <w:color w:val="000000" w:themeColor="text1"/>
              </w:rPr>
              <w:tab/>
            </w:r>
            <w:r w:rsidRPr="00F17C5F">
              <w:rPr>
                <w:rFonts w:ascii="Book Antiqua" w:eastAsia="Calibri" w:hAnsi="Book Antiqua"/>
                <w:color w:val="000000" w:themeColor="text1"/>
              </w:rPr>
              <w:tab/>
            </w:r>
          </w:p>
        </w:tc>
        <w:tc>
          <w:tcPr>
            <w:tcW w:w="659" w:type="dxa"/>
          </w:tcPr>
          <w:p w14:paraId="17C2E5D2"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C</w:t>
            </w:r>
          </w:p>
        </w:tc>
        <w:tc>
          <w:tcPr>
            <w:tcW w:w="3395" w:type="dxa"/>
          </w:tcPr>
          <w:p w14:paraId="2AF75E61" w14:textId="77777777" w:rsidR="007F72BC" w:rsidRPr="00F17C5F" w:rsidRDefault="007F72BC" w:rsidP="00F17C5F">
            <w:pPr>
              <w:spacing w:line="360" w:lineRule="auto"/>
              <w:jc w:val="both"/>
              <w:rPr>
                <w:rFonts w:ascii="Book Antiqua" w:eastAsia="Calibri" w:hAnsi="Book Antiqua"/>
                <w:color w:val="000000" w:themeColor="text1"/>
              </w:rPr>
            </w:pPr>
          </w:p>
        </w:tc>
      </w:tr>
      <w:tr w:rsidR="007F72BC" w:rsidRPr="00F17C5F" w14:paraId="44A55CE7" w14:textId="77777777" w:rsidTr="002635AC">
        <w:trPr>
          <w:trHeight w:val="366"/>
        </w:trPr>
        <w:tc>
          <w:tcPr>
            <w:tcW w:w="2110" w:type="dxa"/>
          </w:tcPr>
          <w:p w14:paraId="7EAEFB69"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19EFE7E7"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ipratropium</w:t>
            </w:r>
          </w:p>
        </w:tc>
        <w:tc>
          <w:tcPr>
            <w:tcW w:w="659" w:type="dxa"/>
          </w:tcPr>
          <w:p w14:paraId="23A04D08"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B</w:t>
            </w:r>
          </w:p>
        </w:tc>
        <w:tc>
          <w:tcPr>
            <w:tcW w:w="3395" w:type="dxa"/>
          </w:tcPr>
          <w:p w14:paraId="57B7E3A7" w14:textId="77777777" w:rsidR="007F72BC" w:rsidRPr="00F17C5F" w:rsidRDefault="007F72BC" w:rsidP="00F17C5F">
            <w:pPr>
              <w:spacing w:line="360" w:lineRule="auto"/>
              <w:jc w:val="both"/>
              <w:rPr>
                <w:rFonts w:ascii="Book Antiqua" w:eastAsia="Calibri" w:hAnsi="Book Antiqua"/>
                <w:color w:val="000000" w:themeColor="text1"/>
              </w:rPr>
            </w:pPr>
          </w:p>
        </w:tc>
      </w:tr>
      <w:tr w:rsidR="007F72BC" w:rsidRPr="00F17C5F" w14:paraId="2FD041B2" w14:textId="77777777" w:rsidTr="002635AC">
        <w:trPr>
          <w:trHeight w:val="366"/>
        </w:trPr>
        <w:tc>
          <w:tcPr>
            <w:tcW w:w="2110" w:type="dxa"/>
          </w:tcPr>
          <w:p w14:paraId="16E9DE97"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250D0413"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albuterol</w:t>
            </w:r>
          </w:p>
        </w:tc>
        <w:tc>
          <w:tcPr>
            <w:tcW w:w="659" w:type="dxa"/>
          </w:tcPr>
          <w:p w14:paraId="7F620FBC"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B</w:t>
            </w:r>
          </w:p>
        </w:tc>
        <w:tc>
          <w:tcPr>
            <w:tcW w:w="3395" w:type="dxa"/>
          </w:tcPr>
          <w:p w14:paraId="7002A065" w14:textId="77777777" w:rsidR="007F72BC" w:rsidRPr="00F17C5F" w:rsidRDefault="007F72BC" w:rsidP="00F17C5F">
            <w:pPr>
              <w:spacing w:line="360" w:lineRule="auto"/>
              <w:jc w:val="both"/>
              <w:rPr>
                <w:rFonts w:ascii="Book Antiqua" w:eastAsia="Calibri" w:hAnsi="Book Antiqua"/>
                <w:color w:val="000000" w:themeColor="text1"/>
              </w:rPr>
            </w:pPr>
          </w:p>
        </w:tc>
      </w:tr>
      <w:tr w:rsidR="007F72BC" w:rsidRPr="00F17C5F" w14:paraId="2F2CB7E0" w14:textId="77777777" w:rsidTr="002635AC">
        <w:trPr>
          <w:trHeight w:val="366"/>
        </w:trPr>
        <w:tc>
          <w:tcPr>
            <w:tcW w:w="2110" w:type="dxa"/>
          </w:tcPr>
          <w:p w14:paraId="63751F01"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1F33654C"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levalbuterol</w:t>
            </w:r>
          </w:p>
        </w:tc>
        <w:tc>
          <w:tcPr>
            <w:tcW w:w="659" w:type="dxa"/>
          </w:tcPr>
          <w:p w14:paraId="11C1D8B9"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C</w:t>
            </w:r>
          </w:p>
        </w:tc>
        <w:tc>
          <w:tcPr>
            <w:tcW w:w="3395" w:type="dxa"/>
          </w:tcPr>
          <w:p w14:paraId="54A3E8F4" w14:textId="77777777" w:rsidR="007F72BC" w:rsidRPr="00F17C5F" w:rsidRDefault="007F72BC" w:rsidP="00F17C5F">
            <w:pPr>
              <w:spacing w:line="360" w:lineRule="auto"/>
              <w:jc w:val="both"/>
              <w:rPr>
                <w:rFonts w:ascii="Book Antiqua" w:eastAsia="Calibri" w:hAnsi="Book Antiqua"/>
                <w:color w:val="000000" w:themeColor="text1"/>
              </w:rPr>
            </w:pPr>
          </w:p>
        </w:tc>
      </w:tr>
      <w:tr w:rsidR="00A17599" w:rsidRPr="00F17C5F" w14:paraId="442C5637" w14:textId="77777777" w:rsidTr="002635AC">
        <w:trPr>
          <w:trHeight w:val="366"/>
        </w:trPr>
        <w:tc>
          <w:tcPr>
            <w:tcW w:w="2110" w:type="dxa"/>
          </w:tcPr>
          <w:p w14:paraId="6196E10B"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Vasoactive</w:t>
            </w:r>
          </w:p>
        </w:tc>
        <w:tc>
          <w:tcPr>
            <w:tcW w:w="2365" w:type="dxa"/>
          </w:tcPr>
          <w:p w14:paraId="74444693" w14:textId="77777777" w:rsidR="00A17599" w:rsidRPr="00F17C5F" w:rsidRDefault="00A17599" w:rsidP="00F17C5F">
            <w:pPr>
              <w:spacing w:line="360" w:lineRule="auto"/>
              <w:jc w:val="both"/>
              <w:rPr>
                <w:rFonts w:ascii="Book Antiqua" w:eastAsia="Calibri" w:hAnsi="Book Antiqua"/>
                <w:color w:val="000000" w:themeColor="text1"/>
              </w:rPr>
            </w:pPr>
          </w:p>
        </w:tc>
        <w:tc>
          <w:tcPr>
            <w:tcW w:w="659" w:type="dxa"/>
          </w:tcPr>
          <w:p w14:paraId="7A545E99" w14:textId="77777777" w:rsidR="00A17599" w:rsidRPr="00F17C5F" w:rsidRDefault="00A17599" w:rsidP="00F17C5F">
            <w:pPr>
              <w:spacing w:line="360" w:lineRule="auto"/>
              <w:jc w:val="both"/>
              <w:rPr>
                <w:rFonts w:ascii="Book Antiqua" w:eastAsia="Calibri" w:hAnsi="Book Antiqua"/>
                <w:color w:val="000000" w:themeColor="text1"/>
              </w:rPr>
            </w:pPr>
          </w:p>
        </w:tc>
        <w:tc>
          <w:tcPr>
            <w:tcW w:w="3395" w:type="dxa"/>
          </w:tcPr>
          <w:p w14:paraId="11BE14B0" w14:textId="77777777" w:rsidR="00A17599" w:rsidRPr="00F17C5F" w:rsidRDefault="00A17599" w:rsidP="00F17C5F">
            <w:pPr>
              <w:spacing w:line="360" w:lineRule="auto"/>
              <w:jc w:val="both"/>
              <w:rPr>
                <w:rFonts w:ascii="Book Antiqua" w:eastAsia="Calibri" w:hAnsi="Book Antiqua"/>
                <w:color w:val="000000" w:themeColor="text1"/>
              </w:rPr>
            </w:pPr>
          </w:p>
        </w:tc>
      </w:tr>
      <w:tr w:rsidR="007F72BC" w:rsidRPr="00F17C5F" w14:paraId="468BD565" w14:textId="77777777" w:rsidTr="002635AC">
        <w:trPr>
          <w:trHeight w:val="366"/>
        </w:trPr>
        <w:tc>
          <w:tcPr>
            <w:tcW w:w="2110" w:type="dxa"/>
          </w:tcPr>
          <w:p w14:paraId="73F4513F"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7EDDD2D9"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epinephrine</w:t>
            </w:r>
            <w:r w:rsidRPr="00F17C5F">
              <w:rPr>
                <w:rFonts w:ascii="Book Antiqua" w:eastAsia="Calibri" w:hAnsi="Book Antiqua"/>
                <w:color w:val="000000" w:themeColor="text1"/>
              </w:rPr>
              <w:tab/>
            </w:r>
          </w:p>
        </w:tc>
        <w:tc>
          <w:tcPr>
            <w:tcW w:w="659" w:type="dxa"/>
          </w:tcPr>
          <w:p w14:paraId="1EEEBD81"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C</w:t>
            </w:r>
          </w:p>
        </w:tc>
        <w:tc>
          <w:tcPr>
            <w:tcW w:w="3395" w:type="dxa"/>
          </w:tcPr>
          <w:p w14:paraId="47E8BC47"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risk</w:t>
            </w:r>
          </w:p>
        </w:tc>
      </w:tr>
      <w:tr w:rsidR="007F72BC" w:rsidRPr="00F17C5F" w14:paraId="46387413" w14:textId="77777777" w:rsidTr="002635AC">
        <w:trPr>
          <w:trHeight w:val="366"/>
        </w:trPr>
        <w:tc>
          <w:tcPr>
            <w:tcW w:w="2110" w:type="dxa"/>
          </w:tcPr>
          <w:p w14:paraId="7D866937"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287F67E8"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norepinephrine</w:t>
            </w:r>
          </w:p>
        </w:tc>
        <w:tc>
          <w:tcPr>
            <w:tcW w:w="659" w:type="dxa"/>
          </w:tcPr>
          <w:p w14:paraId="3AC1EBC0"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C</w:t>
            </w:r>
          </w:p>
        </w:tc>
        <w:tc>
          <w:tcPr>
            <w:tcW w:w="3395" w:type="dxa"/>
          </w:tcPr>
          <w:p w14:paraId="3C7DEEA1"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risk</w:t>
            </w:r>
          </w:p>
        </w:tc>
      </w:tr>
      <w:tr w:rsidR="007F72BC" w:rsidRPr="00F17C5F" w14:paraId="11711E23" w14:textId="77777777" w:rsidTr="002635AC">
        <w:trPr>
          <w:trHeight w:val="366"/>
        </w:trPr>
        <w:tc>
          <w:tcPr>
            <w:tcW w:w="2110" w:type="dxa"/>
          </w:tcPr>
          <w:p w14:paraId="7EC9D1B8"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1F7F715D" w14:textId="77777777" w:rsidR="007F72BC" w:rsidRPr="00F17C5F" w:rsidRDefault="007F72B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vasopressin</w:t>
            </w:r>
          </w:p>
        </w:tc>
        <w:tc>
          <w:tcPr>
            <w:tcW w:w="659" w:type="dxa"/>
          </w:tcPr>
          <w:p w14:paraId="772CB773" w14:textId="77777777" w:rsidR="007F72BC" w:rsidRPr="00F17C5F" w:rsidRDefault="007F72B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C</w:t>
            </w:r>
          </w:p>
        </w:tc>
        <w:tc>
          <w:tcPr>
            <w:tcW w:w="3395" w:type="dxa"/>
          </w:tcPr>
          <w:p w14:paraId="0986BF9A" w14:textId="77777777" w:rsidR="007F72BC" w:rsidRPr="00F17C5F" w:rsidRDefault="007F72BC" w:rsidP="00F17C5F">
            <w:pPr>
              <w:spacing w:line="360" w:lineRule="auto"/>
              <w:jc w:val="both"/>
              <w:rPr>
                <w:rFonts w:ascii="Book Antiqua" w:eastAsia="Calibri" w:hAnsi="Book Antiqua"/>
                <w:color w:val="000000" w:themeColor="text1"/>
              </w:rPr>
            </w:pPr>
          </w:p>
        </w:tc>
      </w:tr>
      <w:tr w:rsidR="007F72BC" w:rsidRPr="00F17C5F" w14:paraId="7E2CAE55" w14:textId="77777777" w:rsidTr="002635AC">
        <w:trPr>
          <w:trHeight w:val="366"/>
        </w:trPr>
        <w:tc>
          <w:tcPr>
            <w:tcW w:w="2110" w:type="dxa"/>
          </w:tcPr>
          <w:p w14:paraId="3B9DD81E"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3178C19A" w14:textId="77777777" w:rsidR="007F72BC"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phenylephrine</w:t>
            </w:r>
            <w:r w:rsidRPr="00F17C5F">
              <w:rPr>
                <w:rFonts w:ascii="Book Antiqua" w:eastAsia="Calibri" w:hAnsi="Book Antiqua"/>
                <w:color w:val="000000" w:themeColor="text1"/>
              </w:rPr>
              <w:tab/>
            </w:r>
          </w:p>
        </w:tc>
        <w:tc>
          <w:tcPr>
            <w:tcW w:w="659" w:type="dxa"/>
          </w:tcPr>
          <w:p w14:paraId="00A80E76" w14:textId="77777777" w:rsidR="007F72BC"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C</w:t>
            </w:r>
          </w:p>
        </w:tc>
        <w:tc>
          <w:tcPr>
            <w:tcW w:w="3395" w:type="dxa"/>
          </w:tcPr>
          <w:p w14:paraId="4A3F6C5B" w14:textId="77777777" w:rsidR="007F72BC"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risk</w:t>
            </w:r>
          </w:p>
        </w:tc>
      </w:tr>
      <w:tr w:rsidR="007F72BC" w:rsidRPr="00F17C5F" w14:paraId="334687FE" w14:textId="77777777" w:rsidTr="002635AC">
        <w:trPr>
          <w:trHeight w:val="366"/>
        </w:trPr>
        <w:tc>
          <w:tcPr>
            <w:tcW w:w="2110" w:type="dxa"/>
          </w:tcPr>
          <w:p w14:paraId="1328DEEE" w14:textId="77777777" w:rsidR="007F72BC" w:rsidRPr="00F17C5F" w:rsidRDefault="007F72BC" w:rsidP="00F17C5F">
            <w:pPr>
              <w:spacing w:line="360" w:lineRule="auto"/>
              <w:jc w:val="both"/>
              <w:rPr>
                <w:rFonts w:ascii="Book Antiqua" w:hAnsi="Book Antiqua"/>
                <w:color w:val="000000" w:themeColor="text1"/>
                <w:lang w:eastAsia="zh-CN"/>
              </w:rPr>
            </w:pPr>
          </w:p>
        </w:tc>
        <w:tc>
          <w:tcPr>
            <w:tcW w:w="2365" w:type="dxa"/>
          </w:tcPr>
          <w:p w14:paraId="21FD013E" w14:textId="77777777" w:rsidR="007F72BC"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dopamine</w:t>
            </w:r>
          </w:p>
        </w:tc>
        <w:tc>
          <w:tcPr>
            <w:tcW w:w="659" w:type="dxa"/>
          </w:tcPr>
          <w:p w14:paraId="02256485" w14:textId="77777777" w:rsidR="007F72BC"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C</w:t>
            </w:r>
          </w:p>
        </w:tc>
        <w:tc>
          <w:tcPr>
            <w:tcW w:w="3395" w:type="dxa"/>
          </w:tcPr>
          <w:p w14:paraId="6F8DF03F" w14:textId="77777777" w:rsidR="007F72BC" w:rsidRPr="00F17C5F" w:rsidRDefault="007F72BC" w:rsidP="00F17C5F">
            <w:pPr>
              <w:spacing w:line="360" w:lineRule="auto"/>
              <w:jc w:val="both"/>
              <w:rPr>
                <w:rFonts w:ascii="Book Antiqua" w:eastAsia="Calibri" w:hAnsi="Book Antiqua"/>
                <w:color w:val="000000" w:themeColor="text1"/>
              </w:rPr>
            </w:pPr>
          </w:p>
        </w:tc>
      </w:tr>
      <w:tr w:rsidR="00A17599" w:rsidRPr="00F17C5F" w14:paraId="445F8B4A" w14:textId="77777777" w:rsidTr="002635AC">
        <w:trPr>
          <w:trHeight w:val="366"/>
        </w:trPr>
        <w:tc>
          <w:tcPr>
            <w:tcW w:w="2110" w:type="dxa"/>
          </w:tcPr>
          <w:p w14:paraId="33DBE36E" w14:textId="77777777" w:rsidR="00A17599" w:rsidRPr="00F17C5F" w:rsidRDefault="00A17599" w:rsidP="00F17C5F">
            <w:pPr>
              <w:spacing w:line="360" w:lineRule="auto"/>
              <w:jc w:val="both"/>
              <w:rPr>
                <w:rFonts w:ascii="Book Antiqua" w:hAnsi="Book Antiqua"/>
                <w:color w:val="000000" w:themeColor="text1"/>
                <w:lang w:eastAsia="zh-CN"/>
              </w:rPr>
            </w:pPr>
          </w:p>
        </w:tc>
        <w:tc>
          <w:tcPr>
            <w:tcW w:w="2365" w:type="dxa"/>
          </w:tcPr>
          <w:p w14:paraId="15B0C9BB"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dobutamine</w:t>
            </w:r>
            <w:r w:rsidRPr="00F17C5F">
              <w:rPr>
                <w:rFonts w:ascii="Book Antiqua" w:eastAsia="Calibri" w:hAnsi="Book Antiqua"/>
                <w:color w:val="000000" w:themeColor="text1"/>
              </w:rPr>
              <w:tab/>
            </w:r>
          </w:p>
        </w:tc>
        <w:tc>
          <w:tcPr>
            <w:tcW w:w="659" w:type="dxa"/>
          </w:tcPr>
          <w:p w14:paraId="3A37CB73"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B</w:t>
            </w:r>
          </w:p>
        </w:tc>
        <w:tc>
          <w:tcPr>
            <w:tcW w:w="3395" w:type="dxa"/>
          </w:tcPr>
          <w:p w14:paraId="0984BD51"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5E6CBBB6" w14:textId="77777777" w:rsidTr="002635AC">
        <w:trPr>
          <w:trHeight w:val="366"/>
        </w:trPr>
        <w:tc>
          <w:tcPr>
            <w:tcW w:w="2110" w:type="dxa"/>
          </w:tcPr>
          <w:p w14:paraId="206F7EEF" w14:textId="77777777" w:rsidR="00A17599" w:rsidRPr="00F17C5F" w:rsidRDefault="00A17599" w:rsidP="00F17C5F">
            <w:pPr>
              <w:spacing w:line="360" w:lineRule="auto"/>
              <w:jc w:val="both"/>
              <w:rPr>
                <w:rFonts w:ascii="Book Antiqua" w:hAnsi="Book Antiqua"/>
                <w:color w:val="000000" w:themeColor="text1"/>
                <w:lang w:eastAsia="zh-CN"/>
              </w:rPr>
            </w:pPr>
          </w:p>
        </w:tc>
        <w:tc>
          <w:tcPr>
            <w:tcW w:w="2365" w:type="dxa"/>
          </w:tcPr>
          <w:p w14:paraId="706563A0"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milrinone</w:t>
            </w:r>
          </w:p>
        </w:tc>
        <w:tc>
          <w:tcPr>
            <w:tcW w:w="659" w:type="dxa"/>
          </w:tcPr>
          <w:p w14:paraId="7CABD1EE"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w:t>
            </w:r>
          </w:p>
        </w:tc>
        <w:tc>
          <w:tcPr>
            <w:tcW w:w="3395" w:type="dxa"/>
          </w:tcPr>
          <w:p w14:paraId="66A18B5F"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2F422180" w14:textId="77777777" w:rsidTr="002635AC">
        <w:trPr>
          <w:trHeight w:val="366"/>
        </w:trPr>
        <w:tc>
          <w:tcPr>
            <w:tcW w:w="2110" w:type="dxa"/>
          </w:tcPr>
          <w:p w14:paraId="0C6A2D28"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Antiarrhythmic</w:t>
            </w:r>
          </w:p>
        </w:tc>
        <w:tc>
          <w:tcPr>
            <w:tcW w:w="2365" w:type="dxa"/>
          </w:tcPr>
          <w:p w14:paraId="60530A8E" w14:textId="77777777" w:rsidR="00A17599" w:rsidRPr="00F17C5F" w:rsidRDefault="00A17599" w:rsidP="00F17C5F">
            <w:pPr>
              <w:spacing w:line="360" w:lineRule="auto"/>
              <w:jc w:val="both"/>
              <w:rPr>
                <w:rFonts w:ascii="Book Antiqua" w:eastAsia="Calibri" w:hAnsi="Book Antiqua"/>
                <w:color w:val="000000" w:themeColor="text1"/>
              </w:rPr>
            </w:pPr>
          </w:p>
        </w:tc>
        <w:tc>
          <w:tcPr>
            <w:tcW w:w="659" w:type="dxa"/>
          </w:tcPr>
          <w:p w14:paraId="6CC8DE2C" w14:textId="77777777" w:rsidR="00A17599" w:rsidRPr="00F17C5F" w:rsidRDefault="00A17599" w:rsidP="00F17C5F">
            <w:pPr>
              <w:spacing w:line="360" w:lineRule="auto"/>
              <w:jc w:val="both"/>
              <w:rPr>
                <w:rFonts w:ascii="Book Antiqua" w:eastAsia="Calibri" w:hAnsi="Book Antiqua"/>
                <w:color w:val="000000" w:themeColor="text1"/>
              </w:rPr>
            </w:pPr>
          </w:p>
        </w:tc>
        <w:tc>
          <w:tcPr>
            <w:tcW w:w="3395" w:type="dxa"/>
          </w:tcPr>
          <w:p w14:paraId="71003019"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621A182B" w14:textId="77777777" w:rsidTr="002635AC">
        <w:trPr>
          <w:trHeight w:val="366"/>
        </w:trPr>
        <w:tc>
          <w:tcPr>
            <w:tcW w:w="2110" w:type="dxa"/>
          </w:tcPr>
          <w:p w14:paraId="170BED11" w14:textId="77777777" w:rsidR="00A17599" w:rsidRPr="00F17C5F" w:rsidRDefault="00A17599" w:rsidP="00F17C5F">
            <w:pPr>
              <w:spacing w:line="360" w:lineRule="auto"/>
              <w:jc w:val="both"/>
              <w:rPr>
                <w:rFonts w:ascii="Book Antiqua" w:hAnsi="Book Antiqua"/>
                <w:color w:val="000000" w:themeColor="text1"/>
                <w:lang w:eastAsia="zh-CN"/>
              </w:rPr>
            </w:pPr>
          </w:p>
        </w:tc>
        <w:tc>
          <w:tcPr>
            <w:tcW w:w="2365" w:type="dxa"/>
          </w:tcPr>
          <w:p w14:paraId="3F92562E"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diltiazem</w:t>
            </w:r>
            <w:r w:rsidRPr="00F17C5F">
              <w:rPr>
                <w:rFonts w:ascii="Book Antiqua" w:eastAsia="Calibri" w:hAnsi="Book Antiqua"/>
                <w:color w:val="000000" w:themeColor="text1"/>
              </w:rPr>
              <w:tab/>
            </w:r>
          </w:p>
        </w:tc>
        <w:tc>
          <w:tcPr>
            <w:tcW w:w="659" w:type="dxa"/>
          </w:tcPr>
          <w:p w14:paraId="6C00F49B"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C</w:t>
            </w:r>
          </w:p>
        </w:tc>
        <w:tc>
          <w:tcPr>
            <w:tcW w:w="3395" w:type="dxa"/>
          </w:tcPr>
          <w:p w14:paraId="7BB4CC9A"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low risk</w:t>
            </w:r>
          </w:p>
        </w:tc>
      </w:tr>
      <w:tr w:rsidR="00A17599" w:rsidRPr="00F17C5F" w14:paraId="5197A57E" w14:textId="77777777" w:rsidTr="002635AC">
        <w:trPr>
          <w:trHeight w:val="366"/>
        </w:trPr>
        <w:tc>
          <w:tcPr>
            <w:tcW w:w="2110" w:type="dxa"/>
          </w:tcPr>
          <w:p w14:paraId="1E1E1CF0" w14:textId="77777777" w:rsidR="00A17599" w:rsidRPr="00F17C5F" w:rsidRDefault="00A17599" w:rsidP="00F17C5F">
            <w:pPr>
              <w:spacing w:line="360" w:lineRule="auto"/>
              <w:jc w:val="both"/>
              <w:rPr>
                <w:rFonts w:ascii="Book Antiqua" w:hAnsi="Book Antiqua"/>
                <w:color w:val="000000" w:themeColor="text1"/>
                <w:lang w:eastAsia="zh-CN"/>
              </w:rPr>
            </w:pPr>
          </w:p>
        </w:tc>
        <w:tc>
          <w:tcPr>
            <w:tcW w:w="2365" w:type="dxa"/>
          </w:tcPr>
          <w:p w14:paraId="0448EB92"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amiodarone</w:t>
            </w:r>
          </w:p>
        </w:tc>
        <w:tc>
          <w:tcPr>
            <w:tcW w:w="659" w:type="dxa"/>
          </w:tcPr>
          <w:p w14:paraId="7C820558"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D</w:t>
            </w:r>
          </w:p>
        </w:tc>
        <w:tc>
          <w:tcPr>
            <w:tcW w:w="3395" w:type="dxa"/>
          </w:tcPr>
          <w:p w14:paraId="231401D9"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risk</w:t>
            </w:r>
          </w:p>
        </w:tc>
      </w:tr>
      <w:tr w:rsidR="00A17599" w:rsidRPr="00F17C5F" w14:paraId="5951A6EE" w14:textId="77777777" w:rsidTr="002635AC">
        <w:trPr>
          <w:trHeight w:val="366"/>
        </w:trPr>
        <w:tc>
          <w:tcPr>
            <w:tcW w:w="2110" w:type="dxa"/>
          </w:tcPr>
          <w:p w14:paraId="41B4AD70" w14:textId="77777777" w:rsidR="00A17599" w:rsidRPr="00F17C5F" w:rsidRDefault="00A17599" w:rsidP="00F17C5F">
            <w:pPr>
              <w:spacing w:line="360" w:lineRule="auto"/>
              <w:jc w:val="both"/>
              <w:rPr>
                <w:rFonts w:ascii="Book Antiqua" w:hAnsi="Book Antiqua"/>
                <w:color w:val="000000" w:themeColor="text1"/>
                <w:lang w:eastAsia="zh-CN"/>
              </w:rPr>
            </w:pPr>
          </w:p>
        </w:tc>
        <w:tc>
          <w:tcPr>
            <w:tcW w:w="2365" w:type="dxa"/>
          </w:tcPr>
          <w:p w14:paraId="4B6E7349"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digoxin</w:t>
            </w:r>
            <w:r w:rsidRPr="00F17C5F">
              <w:rPr>
                <w:rFonts w:ascii="Book Antiqua" w:eastAsia="Calibri" w:hAnsi="Book Antiqua"/>
                <w:color w:val="000000" w:themeColor="text1"/>
              </w:rPr>
              <w:tab/>
            </w:r>
          </w:p>
        </w:tc>
        <w:tc>
          <w:tcPr>
            <w:tcW w:w="659" w:type="dxa"/>
          </w:tcPr>
          <w:p w14:paraId="674989F0"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C</w:t>
            </w:r>
          </w:p>
        </w:tc>
        <w:tc>
          <w:tcPr>
            <w:tcW w:w="3395" w:type="dxa"/>
          </w:tcPr>
          <w:p w14:paraId="0B3DB4E7"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69C77E6F" w14:textId="77777777" w:rsidTr="002635AC">
        <w:trPr>
          <w:trHeight w:val="366"/>
        </w:trPr>
        <w:tc>
          <w:tcPr>
            <w:tcW w:w="2110" w:type="dxa"/>
          </w:tcPr>
          <w:p w14:paraId="2C7DEE53"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Antihypertensive</w:t>
            </w:r>
          </w:p>
        </w:tc>
        <w:tc>
          <w:tcPr>
            <w:tcW w:w="2365" w:type="dxa"/>
          </w:tcPr>
          <w:p w14:paraId="762CB546" w14:textId="77777777" w:rsidR="00A17599" w:rsidRPr="00F17C5F" w:rsidRDefault="00A17599" w:rsidP="00F17C5F">
            <w:pPr>
              <w:spacing w:line="360" w:lineRule="auto"/>
              <w:jc w:val="both"/>
              <w:rPr>
                <w:rFonts w:ascii="Book Antiqua" w:eastAsia="Calibri" w:hAnsi="Book Antiqua"/>
                <w:color w:val="000000" w:themeColor="text1"/>
              </w:rPr>
            </w:pPr>
          </w:p>
        </w:tc>
        <w:tc>
          <w:tcPr>
            <w:tcW w:w="659" w:type="dxa"/>
          </w:tcPr>
          <w:p w14:paraId="2C333771" w14:textId="77777777" w:rsidR="00A17599" w:rsidRPr="00F17C5F" w:rsidRDefault="00A17599" w:rsidP="00F17C5F">
            <w:pPr>
              <w:spacing w:line="360" w:lineRule="auto"/>
              <w:jc w:val="both"/>
              <w:rPr>
                <w:rFonts w:ascii="Book Antiqua" w:eastAsia="Calibri" w:hAnsi="Book Antiqua"/>
                <w:color w:val="000000" w:themeColor="text1"/>
              </w:rPr>
            </w:pPr>
          </w:p>
        </w:tc>
        <w:tc>
          <w:tcPr>
            <w:tcW w:w="3395" w:type="dxa"/>
          </w:tcPr>
          <w:p w14:paraId="43E2AB04"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62AC3661" w14:textId="77777777" w:rsidTr="002635AC">
        <w:trPr>
          <w:trHeight w:val="366"/>
        </w:trPr>
        <w:tc>
          <w:tcPr>
            <w:tcW w:w="2110" w:type="dxa"/>
          </w:tcPr>
          <w:p w14:paraId="254A5B31"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30992BBC"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labetolol</w:t>
            </w:r>
          </w:p>
        </w:tc>
        <w:tc>
          <w:tcPr>
            <w:tcW w:w="659" w:type="dxa"/>
          </w:tcPr>
          <w:p w14:paraId="7F2FA954"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C</w:t>
            </w:r>
          </w:p>
        </w:tc>
        <w:tc>
          <w:tcPr>
            <w:tcW w:w="3395" w:type="dxa"/>
          </w:tcPr>
          <w:p w14:paraId="627FFA25"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low risk</w:t>
            </w:r>
          </w:p>
        </w:tc>
      </w:tr>
      <w:tr w:rsidR="00A17599" w:rsidRPr="00F17C5F" w14:paraId="2588DFC9" w14:textId="77777777" w:rsidTr="002635AC">
        <w:trPr>
          <w:trHeight w:val="366"/>
        </w:trPr>
        <w:tc>
          <w:tcPr>
            <w:tcW w:w="2110" w:type="dxa"/>
          </w:tcPr>
          <w:p w14:paraId="03AF1862"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6F4725B7"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esmolol</w:t>
            </w:r>
            <w:r w:rsidRPr="00F17C5F">
              <w:rPr>
                <w:rFonts w:ascii="Book Antiqua" w:eastAsia="Calibri" w:hAnsi="Book Antiqua"/>
                <w:color w:val="000000" w:themeColor="text1"/>
              </w:rPr>
              <w:tab/>
            </w:r>
          </w:p>
        </w:tc>
        <w:tc>
          <w:tcPr>
            <w:tcW w:w="659" w:type="dxa"/>
          </w:tcPr>
          <w:p w14:paraId="177ECD93"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C</w:t>
            </w:r>
          </w:p>
        </w:tc>
        <w:tc>
          <w:tcPr>
            <w:tcW w:w="3395" w:type="dxa"/>
          </w:tcPr>
          <w:p w14:paraId="76A1500C"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4F58D208" w14:textId="77777777" w:rsidTr="002635AC">
        <w:trPr>
          <w:trHeight w:val="366"/>
        </w:trPr>
        <w:tc>
          <w:tcPr>
            <w:tcW w:w="2110" w:type="dxa"/>
          </w:tcPr>
          <w:p w14:paraId="0EFDEC94"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3E6992FA"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hydralazine</w:t>
            </w:r>
          </w:p>
        </w:tc>
        <w:tc>
          <w:tcPr>
            <w:tcW w:w="659" w:type="dxa"/>
          </w:tcPr>
          <w:p w14:paraId="733856E9"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C</w:t>
            </w:r>
          </w:p>
        </w:tc>
        <w:tc>
          <w:tcPr>
            <w:tcW w:w="3395" w:type="dxa"/>
          </w:tcPr>
          <w:p w14:paraId="536B1D88"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risk (3rd trimester)</w:t>
            </w:r>
          </w:p>
        </w:tc>
      </w:tr>
      <w:tr w:rsidR="00A17599" w:rsidRPr="00F17C5F" w14:paraId="6DF9FE1D" w14:textId="77777777" w:rsidTr="002635AC">
        <w:trPr>
          <w:trHeight w:val="366"/>
        </w:trPr>
        <w:tc>
          <w:tcPr>
            <w:tcW w:w="2110" w:type="dxa"/>
          </w:tcPr>
          <w:p w14:paraId="1D7E5EC4"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14064139"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magnesium sulfate</w:t>
            </w:r>
          </w:p>
        </w:tc>
        <w:tc>
          <w:tcPr>
            <w:tcW w:w="659" w:type="dxa"/>
          </w:tcPr>
          <w:p w14:paraId="4F00EE24"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w:t>
            </w:r>
          </w:p>
        </w:tc>
        <w:tc>
          <w:tcPr>
            <w:tcW w:w="3395" w:type="dxa"/>
          </w:tcPr>
          <w:p w14:paraId="71BCAB06"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76318DD2" w14:textId="77777777" w:rsidTr="002635AC">
        <w:trPr>
          <w:trHeight w:val="366"/>
        </w:trPr>
        <w:tc>
          <w:tcPr>
            <w:tcW w:w="2110" w:type="dxa"/>
          </w:tcPr>
          <w:p w14:paraId="2A967EF8"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6A91C13D"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nitroglycerin</w:t>
            </w:r>
            <w:r w:rsidRPr="00F17C5F">
              <w:rPr>
                <w:rFonts w:ascii="Book Antiqua" w:eastAsia="Calibri" w:hAnsi="Book Antiqua"/>
                <w:color w:val="000000" w:themeColor="text1"/>
              </w:rPr>
              <w:tab/>
            </w:r>
          </w:p>
        </w:tc>
        <w:tc>
          <w:tcPr>
            <w:tcW w:w="659" w:type="dxa"/>
          </w:tcPr>
          <w:p w14:paraId="74AF367F"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C</w:t>
            </w:r>
          </w:p>
        </w:tc>
        <w:tc>
          <w:tcPr>
            <w:tcW w:w="3395" w:type="dxa"/>
          </w:tcPr>
          <w:p w14:paraId="00CA9137"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low risk</w:t>
            </w:r>
          </w:p>
        </w:tc>
      </w:tr>
      <w:tr w:rsidR="00A17599" w:rsidRPr="00F17C5F" w14:paraId="5569CD51" w14:textId="77777777" w:rsidTr="002635AC">
        <w:trPr>
          <w:trHeight w:val="366"/>
        </w:trPr>
        <w:tc>
          <w:tcPr>
            <w:tcW w:w="2110" w:type="dxa"/>
          </w:tcPr>
          <w:p w14:paraId="661A9CE3"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26018F8D"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sodium nitroprusside</w:t>
            </w:r>
          </w:p>
        </w:tc>
        <w:tc>
          <w:tcPr>
            <w:tcW w:w="659" w:type="dxa"/>
          </w:tcPr>
          <w:p w14:paraId="24ECDAF5"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C</w:t>
            </w:r>
          </w:p>
        </w:tc>
        <w:tc>
          <w:tcPr>
            <w:tcW w:w="3395" w:type="dxa"/>
          </w:tcPr>
          <w:p w14:paraId="2D98AE77"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risk</w:t>
            </w:r>
          </w:p>
        </w:tc>
      </w:tr>
      <w:tr w:rsidR="00A17599" w:rsidRPr="00F17C5F" w14:paraId="52396554" w14:textId="77777777" w:rsidTr="002635AC">
        <w:trPr>
          <w:trHeight w:val="366"/>
        </w:trPr>
        <w:tc>
          <w:tcPr>
            <w:tcW w:w="2110" w:type="dxa"/>
          </w:tcPr>
          <w:p w14:paraId="56F67E35"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495492AB"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ACE-Inhibitors</w:t>
            </w:r>
            <w:r w:rsidRPr="00F17C5F">
              <w:rPr>
                <w:rFonts w:ascii="Book Antiqua" w:eastAsia="Calibri" w:hAnsi="Book Antiqua"/>
                <w:color w:val="000000" w:themeColor="text1"/>
              </w:rPr>
              <w:tab/>
            </w:r>
          </w:p>
        </w:tc>
        <w:tc>
          <w:tcPr>
            <w:tcW w:w="659" w:type="dxa"/>
          </w:tcPr>
          <w:p w14:paraId="4C8B74AD"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D</w:t>
            </w:r>
          </w:p>
        </w:tc>
        <w:tc>
          <w:tcPr>
            <w:tcW w:w="3395" w:type="dxa"/>
          </w:tcPr>
          <w:p w14:paraId="1D07E06D"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risk (2</w:t>
            </w:r>
            <w:r w:rsidRPr="00F17C5F">
              <w:rPr>
                <w:rFonts w:ascii="Book Antiqua" w:eastAsia="Calibri" w:hAnsi="Book Antiqua"/>
                <w:color w:val="000000" w:themeColor="text1"/>
                <w:vertAlign w:val="superscript"/>
              </w:rPr>
              <w:t>nd</w:t>
            </w:r>
            <w:r w:rsidRPr="00F17C5F">
              <w:rPr>
                <w:rFonts w:ascii="Book Antiqua" w:eastAsia="Calibri" w:hAnsi="Book Antiqua"/>
                <w:color w:val="000000" w:themeColor="text1"/>
              </w:rPr>
              <w:t xml:space="preserve"> and 3</w:t>
            </w:r>
            <w:r w:rsidRPr="00F17C5F">
              <w:rPr>
                <w:rFonts w:ascii="Book Antiqua" w:eastAsia="Calibri" w:hAnsi="Book Antiqua"/>
                <w:color w:val="000000" w:themeColor="text1"/>
                <w:vertAlign w:val="superscript"/>
              </w:rPr>
              <w:t>rd</w:t>
            </w:r>
            <w:r w:rsidRPr="00F17C5F">
              <w:rPr>
                <w:rFonts w:ascii="Book Antiqua" w:eastAsia="Calibri" w:hAnsi="Book Antiqua"/>
                <w:color w:val="000000" w:themeColor="text1"/>
              </w:rPr>
              <w:t xml:space="preserve"> trimesters)</w:t>
            </w:r>
          </w:p>
        </w:tc>
      </w:tr>
      <w:tr w:rsidR="00A17599" w:rsidRPr="00F17C5F" w14:paraId="2DE39F2B" w14:textId="77777777" w:rsidTr="002635AC">
        <w:trPr>
          <w:trHeight w:val="366"/>
        </w:trPr>
        <w:tc>
          <w:tcPr>
            <w:tcW w:w="2110" w:type="dxa"/>
          </w:tcPr>
          <w:p w14:paraId="7EF11609"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Diuretic</w:t>
            </w:r>
          </w:p>
        </w:tc>
        <w:tc>
          <w:tcPr>
            <w:tcW w:w="2365" w:type="dxa"/>
          </w:tcPr>
          <w:p w14:paraId="01E76543" w14:textId="77777777" w:rsidR="00A17599" w:rsidRPr="00F17C5F" w:rsidRDefault="00A17599" w:rsidP="00F17C5F">
            <w:pPr>
              <w:spacing w:line="360" w:lineRule="auto"/>
              <w:jc w:val="both"/>
              <w:rPr>
                <w:rFonts w:ascii="Book Antiqua" w:eastAsia="Calibri" w:hAnsi="Book Antiqua"/>
                <w:color w:val="000000" w:themeColor="text1"/>
              </w:rPr>
            </w:pPr>
          </w:p>
        </w:tc>
        <w:tc>
          <w:tcPr>
            <w:tcW w:w="659" w:type="dxa"/>
          </w:tcPr>
          <w:p w14:paraId="252476E9" w14:textId="77777777" w:rsidR="00A17599" w:rsidRPr="00F17C5F" w:rsidRDefault="00A17599" w:rsidP="00F17C5F">
            <w:pPr>
              <w:spacing w:line="360" w:lineRule="auto"/>
              <w:jc w:val="both"/>
              <w:rPr>
                <w:rFonts w:ascii="Book Antiqua" w:eastAsia="Calibri" w:hAnsi="Book Antiqua"/>
                <w:color w:val="000000" w:themeColor="text1"/>
              </w:rPr>
            </w:pPr>
          </w:p>
        </w:tc>
        <w:tc>
          <w:tcPr>
            <w:tcW w:w="3395" w:type="dxa"/>
          </w:tcPr>
          <w:p w14:paraId="02F28BA3"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77632D3C" w14:textId="77777777" w:rsidTr="002635AC">
        <w:trPr>
          <w:trHeight w:val="366"/>
        </w:trPr>
        <w:tc>
          <w:tcPr>
            <w:tcW w:w="2110" w:type="dxa"/>
          </w:tcPr>
          <w:p w14:paraId="105DFBE2"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0094CD9E"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furosemide</w:t>
            </w:r>
            <w:r w:rsidRPr="00F17C5F">
              <w:rPr>
                <w:rFonts w:ascii="Book Antiqua" w:eastAsia="Calibri" w:hAnsi="Book Antiqua"/>
                <w:color w:val="000000" w:themeColor="text1"/>
              </w:rPr>
              <w:tab/>
            </w:r>
          </w:p>
        </w:tc>
        <w:tc>
          <w:tcPr>
            <w:tcW w:w="659" w:type="dxa"/>
          </w:tcPr>
          <w:p w14:paraId="67A0E8EF"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w:t>
            </w:r>
          </w:p>
        </w:tc>
        <w:tc>
          <w:tcPr>
            <w:tcW w:w="3395" w:type="dxa"/>
          </w:tcPr>
          <w:p w14:paraId="2314FE0E"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low risk</w:t>
            </w:r>
          </w:p>
        </w:tc>
      </w:tr>
      <w:tr w:rsidR="00A17599" w:rsidRPr="00F17C5F" w14:paraId="08638F6B" w14:textId="77777777" w:rsidTr="002635AC">
        <w:trPr>
          <w:trHeight w:val="366"/>
        </w:trPr>
        <w:tc>
          <w:tcPr>
            <w:tcW w:w="2110" w:type="dxa"/>
          </w:tcPr>
          <w:p w14:paraId="32CB41F2"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3AADB12A"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mannitol</w:t>
            </w:r>
          </w:p>
        </w:tc>
        <w:tc>
          <w:tcPr>
            <w:tcW w:w="659" w:type="dxa"/>
          </w:tcPr>
          <w:p w14:paraId="34726057"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w:t>
            </w:r>
          </w:p>
        </w:tc>
        <w:tc>
          <w:tcPr>
            <w:tcW w:w="3395" w:type="dxa"/>
          </w:tcPr>
          <w:p w14:paraId="22E6B968"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65131477" w14:textId="77777777" w:rsidTr="002635AC">
        <w:trPr>
          <w:trHeight w:val="366"/>
        </w:trPr>
        <w:tc>
          <w:tcPr>
            <w:tcW w:w="2110" w:type="dxa"/>
          </w:tcPr>
          <w:p w14:paraId="6E81BE08"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GI/Antiemetic</w:t>
            </w:r>
          </w:p>
        </w:tc>
        <w:tc>
          <w:tcPr>
            <w:tcW w:w="2365" w:type="dxa"/>
          </w:tcPr>
          <w:p w14:paraId="026421A9" w14:textId="77777777" w:rsidR="00A17599" w:rsidRPr="00F17C5F" w:rsidRDefault="00A17599" w:rsidP="00F17C5F">
            <w:pPr>
              <w:spacing w:line="360" w:lineRule="auto"/>
              <w:jc w:val="both"/>
              <w:rPr>
                <w:rFonts w:ascii="Book Antiqua" w:eastAsia="Calibri" w:hAnsi="Book Antiqua"/>
                <w:color w:val="000000" w:themeColor="text1"/>
              </w:rPr>
            </w:pPr>
          </w:p>
        </w:tc>
        <w:tc>
          <w:tcPr>
            <w:tcW w:w="659" w:type="dxa"/>
          </w:tcPr>
          <w:p w14:paraId="566C0179" w14:textId="77777777" w:rsidR="00A17599" w:rsidRPr="00F17C5F" w:rsidRDefault="00A17599" w:rsidP="00F17C5F">
            <w:pPr>
              <w:spacing w:line="360" w:lineRule="auto"/>
              <w:jc w:val="both"/>
              <w:rPr>
                <w:rFonts w:ascii="Book Antiqua" w:eastAsia="Calibri" w:hAnsi="Book Antiqua"/>
                <w:color w:val="000000" w:themeColor="text1"/>
              </w:rPr>
            </w:pPr>
          </w:p>
        </w:tc>
        <w:tc>
          <w:tcPr>
            <w:tcW w:w="3395" w:type="dxa"/>
          </w:tcPr>
          <w:p w14:paraId="088157D4"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5D2AEE6F" w14:textId="77777777" w:rsidTr="002635AC">
        <w:trPr>
          <w:trHeight w:val="366"/>
        </w:trPr>
        <w:tc>
          <w:tcPr>
            <w:tcW w:w="2110" w:type="dxa"/>
          </w:tcPr>
          <w:p w14:paraId="2804F8C4"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61C84161"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pantoprazole</w:t>
            </w:r>
            <w:r w:rsidRPr="00F17C5F">
              <w:rPr>
                <w:rFonts w:ascii="Book Antiqua" w:eastAsia="Calibri" w:hAnsi="Book Antiqua"/>
                <w:color w:val="000000" w:themeColor="text1"/>
              </w:rPr>
              <w:tab/>
            </w:r>
          </w:p>
        </w:tc>
        <w:tc>
          <w:tcPr>
            <w:tcW w:w="659" w:type="dxa"/>
          </w:tcPr>
          <w:p w14:paraId="5A811FB2"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B</w:t>
            </w:r>
          </w:p>
        </w:tc>
        <w:tc>
          <w:tcPr>
            <w:tcW w:w="3395" w:type="dxa"/>
          </w:tcPr>
          <w:p w14:paraId="26A9DA5D"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low risk</w:t>
            </w:r>
          </w:p>
        </w:tc>
      </w:tr>
      <w:tr w:rsidR="00A17599" w:rsidRPr="00F17C5F" w14:paraId="0F626899" w14:textId="77777777" w:rsidTr="002635AC">
        <w:trPr>
          <w:trHeight w:val="366"/>
        </w:trPr>
        <w:tc>
          <w:tcPr>
            <w:tcW w:w="2110" w:type="dxa"/>
          </w:tcPr>
          <w:p w14:paraId="530A118F"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445070BE"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famotidine</w:t>
            </w:r>
          </w:p>
        </w:tc>
        <w:tc>
          <w:tcPr>
            <w:tcW w:w="659" w:type="dxa"/>
          </w:tcPr>
          <w:p w14:paraId="5D020209"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B</w:t>
            </w:r>
          </w:p>
        </w:tc>
        <w:tc>
          <w:tcPr>
            <w:tcW w:w="3395" w:type="dxa"/>
          </w:tcPr>
          <w:p w14:paraId="31150B61"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33D02E62" w14:textId="77777777" w:rsidTr="002635AC">
        <w:trPr>
          <w:trHeight w:val="366"/>
        </w:trPr>
        <w:tc>
          <w:tcPr>
            <w:tcW w:w="2110" w:type="dxa"/>
          </w:tcPr>
          <w:p w14:paraId="4D537FB0"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17564F11"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ondansetron</w:t>
            </w:r>
            <w:r w:rsidRPr="00F17C5F">
              <w:rPr>
                <w:rFonts w:ascii="Book Antiqua" w:eastAsia="Calibri" w:hAnsi="Book Antiqua"/>
                <w:color w:val="000000" w:themeColor="text1"/>
              </w:rPr>
              <w:tab/>
            </w:r>
          </w:p>
        </w:tc>
        <w:tc>
          <w:tcPr>
            <w:tcW w:w="659" w:type="dxa"/>
          </w:tcPr>
          <w:p w14:paraId="652407A1"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B</w:t>
            </w:r>
          </w:p>
        </w:tc>
        <w:tc>
          <w:tcPr>
            <w:tcW w:w="3395" w:type="dxa"/>
          </w:tcPr>
          <w:p w14:paraId="32459E21"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6969C092" w14:textId="77777777" w:rsidTr="002635AC">
        <w:trPr>
          <w:trHeight w:val="366"/>
        </w:trPr>
        <w:tc>
          <w:tcPr>
            <w:tcW w:w="2110" w:type="dxa"/>
          </w:tcPr>
          <w:p w14:paraId="549029A3"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399A295B"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metoclopramide</w:t>
            </w:r>
          </w:p>
        </w:tc>
        <w:tc>
          <w:tcPr>
            <w:tcW w:w="659" w:type="dxa"/>
          </w:tcPr>
          <w:p w14:paraId="6A316B69"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B</w:t>
            </w:r>
          </w:p>
        </w:tc>
        <w:tc>
          <w:tcPr>
            <w:tcW w:w="3395" w:type="dxa"/>
          </w:tcPr>
          <w:p w14:paraId="04F295CE"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52F9F882" w14:textId="77777777" w:rsidTr="002635AC">
        <w:trPr>
          <w:trHeight w:val="366"/>
        </w:trPr>
        <w:tc>
          <w:tcPr>
            <w:tcW w:w="2110" w:type="dxa"/>
          </w:tcPr>
          <w:p w14:paraId="190D9ED9"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3A939D56"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erythromycin (non-estolate)</w:t>
            </w:r>
          </w:p>
        </w:tc>
        <w:tc>
          <w:tcPr>
            <w:tcW w:w="659" w:type="dxa"/>
          </w:tcPr>
          <w:p w14:paraId="4C07B00D"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B</w:t>
            </w:r>
          </w:p>
        </w:tc>
        <w:tc>
          <w:tcPr>
            <w:tcW w:w="3395" w:type="dxa"/>
          </w:tcPr>
          <w:p w14:paraId="5DF9CB52"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303350BD" w14:textId="77777777" w:rsidTr="002635AC">
        <w:trPr>
          <w:trHeight w:val="366"/>
        </w:trPr>
        <w:tc>
          <w:tcPr>
            <w:tcW w:w="2110" w:type="dxa"/>
          </w:tcPr>
          <w:p w14:paraId="5ABF6665" w14:textId="77777777" w:rsidR="00A17599" w:rsidRPr="00F17C5F" w:rsidRDefault="00A17599"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Anticoagulant</w:t>
            </w:r>
          </w:p>
        </w:tc>
        <w:tc>
          <w:tcPr>
            <w:tcW w:w="2365" w:type="dxa"/>
          </w:tcPr>
          <w:p w14:paraId="7BC8225B" w14:textId="77777777" w:rsidR="00A17599" w:rsidRPr="00F17C5F" w:rsidRDefault="00A17599" w:rsidP="00F17C5F">
            <w:pPr>
              <w:spacing w:line="360" w:lineRule="auto"/>
              <w:jc w:val="both"/>
              <w:rPr>
                <w:rFonts w:ascii="Book Antiqua" w:eastAsia="Calibri" w:hAnsi="Book Antiqua"/>
                <w:color w:val="000000" w:themeColor="text1"/>
              </w:rPr>
            </w:pPr>
          </w:p>
        </w:tc>
        <w:tc>
          <w:tcPr>
            <w:tcW w:w="659" w:type="dxa"/>
          </w:tcPr>
          <w:p w14:paraId="47DAEBF4" w14:textId="77777777" w:rsidR="00A17599" w:rsidRPr="00F17C5F" w:rsidRDefault="00A17599" w:rsidP="00F17C5F">
            <w:pPr>
              <w:spacing w:line="360" w:lineRule="auto"/>
              <w:jc w:val="both"/>
              <w:rPr>
                <w:rFonts w:ascii="Book Antiqua" w:eastAsia="Calibri" w:hAnsi="Book Antiqua"/>
                <w:color w:val="000000" w:themeColor="text1"/>
              </w:rPr>
            </w:pPr>
          </w:p>
        </w:tc>
        <w:tc>
          <w:tcPr>
            <w:tcW w:w="3395" w:type="dxa"/>
          </w:tcPr>
          <w:p w14:paraId="349AC2E3"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746C7788" w14:textId="77777777" w:rsidTr="002635AC">
        <w:trPr>
          <w:trHeight w:val="366"/>
        </w:trPr>
        <w:tc>
          <w:tcPr>
            <w:tcW w:w="2110" w:type="dxa"/>
          </w:tcPr>
          <w:p w14:paraId="3BAD2712"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7CC0B128"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enoxaparin</w:t>
            </w:r>
          </w:p>
        </w:tc>
        <w:tc>
          <w:tcPr>
            <w:tcW w:w="659" w:type="dxa"/>
          </w:tcPr>
          <w:p w14:paraId="075940A6"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B</w:t>
            </w:r>
          </w:p>
        </w:tc>
        <w:tc>
          <w:tcPr>
            <w:tcW w:w="3395" w:type="dxa"/>
          </w:tcPr>
          <w:p w14:paraId="0611D030"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181B66BD" w14:textId="77777777" w:rsidTr="002635AC">
        <w:trPr>
          <w:trHeight w:val="366"/>
        </w:trPr>
        <w:tc>
          <w:tcPr>
            <w:tcW w:w="2110" w:type="dxa"/>
          </w:tcPr>
          <w:p w14:paraId="0032A228"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318394DA"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heparin</w:t>
            </w:r>
            <w:r w:rsidRPr="00F17C5F">
              <w:rPr>
                <w:rFonts w:ascii="Book Antiqua" w:eastAsia="Calibri" w:hAnsi="Book Antiqua"/>
                <w:color w:val="000000" w:themeColor="text1"/>
              </w:rPr>
              <w:tab/>
            </w:r>
          </w:p>
        </w:tc>
        <w:tc>
          <w:tcPr>
            <w:tcW w:w="659" w:type="dxa"/>
          </w:tcPr>
          <w:p w14:paraId="1FF22B24"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w:t>
            </w:r>
          </w:p>
        </w:tc>
        <w:tc>
          <w:tcPr>
            <w:tcW w:w="3395" w:type="dxa"/>
          </w:tcPr>
          <w:p w14:paraId="286DD1EE"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04FB8BA3" w14:textId="77777777" w:rsidTr="002635AC">
        <w:trPr>
          <w:trHeight w:val="366"/>
        </w:trPr>
        <w:tc>
          <w:tcPr>
            <w:tcW w:w="2110" w:type="dxa"/>
          </w:tcPr>
          <w:p w14:paraId="6E411AE0"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52B108BF"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fondaparinux</w:t>
            </w:r>
            <w:r w:rsidRPr="00F17C5F">
              <w:rPr>
                <w:rFonts w:ascii="Book Antiqua" w:eastAsia="Calibri" w:hAnsi="Book Antiqua"/>
                <w:color w:val="000000" w:themeColor="text1"/>
              </w:rPr>
              <w:tab/>
            </w:r>
          </w:p>
        </w:tc>
        <w:tc>
          <w:tcPr>
            <w:tcW w:w="659" w:type="dxa"/>
          </w:tcPr>
          <w:p w14:paraId="6CA96D83"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B</w:t>
            </w:r>
          </w:p>
        </w:tc>
        <w:tc>
          <w:tcPr>
            <w:tcW w:w="3395" w:type="dxa"/>
          </w:tcPr>
          <w:p w14:paraId="3ADB2A89"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16AD5A5E" w14:textId="77777777" w:rsidTr="002635AC">
        <w:trPr>
          <w:trHeight w:val="366"/>
        </w:trPr>
        <w:tc>
          <w:tcPr>
            <w:tcW w:w="2110" w:type="dxa"/>
          </w:tcPr>
          <w:p w14:paraId="412892BA"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4C91D158"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argatroban</w:t>
            </w:r>
          </w:p>
        </w:tc>
        <w:tc>
          <w:tcPr>
            <w:tcW w:w="659" w:type="dxa"/>
          </w:tcPr>
          <w:p w14:paraId="11190CC4"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B</w:t>
            </w:r>
          </w:p>
        </w:tc>
        <w:tc>
          <w:tcPr>
            <w:tcW w:w="3395" w:type="dxa"/>
          </w:tcPr>
          <w:p w14:paraId="090B6EFB"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0046A760" w14:textId="77777777" w:rsidTr="002635AC">
        <w:trPr>
          <w:trHeight w:val="366"/>
        </w:trPr>
        <w:tc>
          <w:tcPr>
            <w:tcW w:w="2110" w:type="dxa"/>
          </w:tcPr>
          <w:p w14:paraId="1370910F" w14:textId="77777777" w:rsidR="00A17599" w:rsidRPr="00F17C5F" w:rsidRDefault="00A17599"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Corticosteroid</w:t>
            </w:r>
          </w:p>
          <w:p w14:paraId="607995CF"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33750A3B" w14:textId="77777777" w:rsidR="00A17599" w:rsidRPr="00F17C5F" w:rsidRDefault="00A17599" w:rsidP="00F17C5F">
            <w:pPr>
              <w:spacing w:line="360" w:lineRule="auto"/>
              <w:jc w:val="both"/>
              <w:rPr>
                <w:rFonts w:ascii="Book Antiqua" w:eastAsia="Calibri" w:hAnsi="Book Antiqua"/>
                <w:color w:val="000000" w:themeColor="text1"/>
              </w:rPr>
            </w:pPr>
          </w:p>
        </w:tc>
        <w:tc>
          <w:tcPr>
            <w:tcW w:w="659" w:type="dxa"/>
          </w:tcPr>
          <w:p w14:paraId="2C163FB8" w14:textId="77777777" w:rsidR="00A17599" w:rsidRPr="00F17C5F" w:rsidRDefault="00A17599" w:rsidP="00F17C5F">
            <w:pPr>
              <w:spacing w:line="360" w:lineRule="auto"/>
              <w:jc w:val="both"/>
              <w:rPr>
                <w:rFonts w:ascii="Book Antiqua" w:eastAsia="Calibri" w:hAnsi="Book Antiqua"/>
                <w:color w:val="000000" w:themeColor="text1"/>
              </w:rPr>
            </w:pPr>
          </w:p>
        </w:tc>
        <w:tc>
          <w:tcPr>
            <w:tcW w:w="3395" w:type="dxa"/>
          </w:tcPr>
          <w:p w14:paraId="6C9737DA"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624E9A18" w14:textId="77777777" w:rsidTr="002635AC">
        <w:trPr>
          <w:trHeight w:val="366"/>
        </w:trPr>
        <w:tc>
          <w:tcPr>
            <w:tcW w:w="2110" w:type="dxa"/>
          </w:tcPr>
          <w:p w14:paraId="318FC70C"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73D3E189" w14:textId="77777777" w:rsidR="00A17599" w:rsidRPr="00F17C5F" w:rsidRDefault="002A7898"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methylprednisolone</w:t>
            </w:r>
          </w:p>
        </w:tc>
        <w:tc>
          <w:tcPr>
            <w:tcW w:w="659" w:type="dxa"/>
          </w:tcPr>
          <w:p w14:paraId="22804C9E" w14:textId="77777777" w:rsidR="00A17599" w:rsidRPr="00F17C5F" w:rsidRDefault="002A7898"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w:t>
            </w:r>
          </w:p>
        </w:tc>
        <w:tc>
          <w:tcPr>
            <w:tcW w:w="3395" w:type="dxa"/>
          </w:tcPr>
          <w:p w14:paraId="2F080904" w14:textId="77777777" w:rsidR="00A17599" w:rsidRPr="00F17C5F" w:rsidRDefault="00A17599" w:rsidP="00F17C5F">
            <w:pPr>
              <w:spacing w:line="360" w:lineRule="auto"/>
              <w:jc w:val="both"/>
              <w:rPr>
                <w:rFonts w:ascii="Book Antiqua" w:eastAsia="Calibri" w:hAnsi="Book Antiqua"/>
                <w:color w:val="000000" w:themeColor="text1"/>
              </w:rPr>
            </w:pPr>
          </w:p>
        </w:tc>
      </w:tr>
      <w:tr w:rsidR="00A17599" w:rsidRPr="00F17C5F" w14:paraId="611F3E00" w14:textId="77777777" w:rsidTr="002635AC">
        <w:trPr>
          <w:trHeight w:val="366"/>
        </w:trPr>
        <w:tc>
          <w:tcPr>
            <w:tcW w:w="2110" w:type="dxa"/>
          </w:tcPr>
          <w:p w14:paraId="7C7A7B08" w14:textId="77777777" w:rsidR="00A17599" w:rsidRPr="00F17C5F" w:rsidRDefault="00A17599" w:rsidP="00F17C5F">
            <w:pPr>
              <w:spacing w:line="360" w:lineRule="auto"/>
              <w:jc w:val="both"/>
              <w:rPr>
                <w:rFonts w:ascii="Book Antiqua" w:eastAsia="Calibri" w:hAnsi="Book Antiqua"/>
                <w:color w:val="000000" w:themeColor="text1"/>
              </w:rPr>
            </w:pPr>
          </w:p>
        </w:tc>
        <w:tc>
          <w:tcPr>
            <w:tcW w:w="2365" w:type="dxa"/>
          </w:tcPr>
          <w:p w14:paraId="01CEECD4" w14:textId="77777777" w:rsidR="00A17599" w:rsidRPr="00F17C5F" w:rsidRDefault="002A7898"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hydrocortisone</w:t>
            </w:r>
            <w:r w:rsidRPr="00F17C5F">
              <w:rPr>
                <w:rFonts w:ascii="Book Antiqua" w:eastAsia="Calibri" w:hAnsi="Book Antiqua"/>
                <w:color w:val="000000" w:themeColor="text1"/>
              </w:rPr>
              <w:tab/>
            </w:r>
          </w:p>
        </w:tc>
        <w:tc>
          <w:tcPr>
            <w:tcW w:w="659" w:type="dxa"/>
          </w:tcPr>
          <w:p w14:paraId="7A602B7F" w14:textId="77777777" w:rsidR="00A17599" w:rsidRPr="00F17C5F" w:rsidRDefault="002A7898"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w:t>
            </w:r>
          </w:p>
        </w:tc>
        <w:tc>
          <w:tcPr>
            <w:tcW w:w="3395" w:type="dxa"/>
          </w:tcPr>
          <w:p w14:paraId="5671A6F7" w14:textId="77777777" w:rsidR="00A17599" w:rsidRPr="00F17C5F" w:rsidRDefault="002A7898"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risk</w:t>
            </w:r>
          </w:p>
        </w:tc>
      </w:tr>
      <w:tr w:rsidR="002A7898" w:rsidRPr="00F17C5F" w14:paraId="6CBC8DE5" w14:textId="77777777" w:rsidTr="002635AC">
        <w:trPr>
          <w:trHeight w:val="366"/>
        </w:trPr>
        <w:tc>
          <w:tcPr>
            <w:tcW w:w="2110" w:type="dxa"/>
          </w:tcPr>
          <w:p w14:paraId="069A71E7" w14:textId="77777777" w:rsidR="002A7898" w:rsidRPr="00F17C5F" w:rsidRDefault="002A7898"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Antifungal/Antiviral</w:t>
            </w:r>
          </w:p>
        </w:tc>
        <w:tc>
          <w:tcPr>
            <w:tcW w:w="2365" w:type="dxa"/>
          </w:tcPr>
          <w:p w14:paraId="6E104D9B" w14:textId="77777777" w:rsidR="002A7898" w:rsidRPr="00F17C5F" w:rsidRDefault="002A7898" w:rsidP="00F17C5F">
            <w:pPr>
              <w:spacing w:line="360" w:lineRule="auto"/>
              <w:jc w:val="both"/>
              <w:rPr>
                <w:rFonts w:ascii="Book Antiqua" w:eastAsia="Calibri" w:hAnsi="Book Antiqua"/>
                <w:color w:val="000000" w:themeColor="text1"/>
              </w:rPr>
            </w:pPr>
          </w:p>
        </w:tc>
        <w:tc>
          <w:tcPr>
            <w:tcW w:w="659" w:type="dxa"/>
          </w:tcPr>
          <w:p w14:paraId="027E3756" w14:textId="77777777" w:rsidR="002A7898" w:rsidRPr="00F17C5F" w:rsidRDefault="002A7898" w:rsidP="00F17C5F">
            <w:pPr>
              <w:spacing w:line="360" w:lineRule="auto"/>
              <w:jc w:val="both"/>
              <w:rPr>
                <w:rFonts w:ascii="Book Antiqua" w:eastAsia="Calibri" w:hAnsi="Book Antiqua"/>
                <w:color w:val="000000" w:themeColor="text1"/>
              </w:rPr>
            </w:pPr>
          </w:p>
        </w:tc>
        <w:tc>
          <w:tcPr>
            <w:tcW w:w="3395" w:type="dxa"/>
          </w:tcPr>
          <w:p w14:paraId="3F1D93D1" w14:textId="77777777" w:rsidR="002A7898" w:rsidRPr="00F17C5F" w:rsidRDefault="002A7898" w:rsidP="00F17C5F">
            <w:pPr>
              <w:spacing w:line="360" w:lineRule="auto"/>
              <w:jc w:val="both"/>
              <w:rPr>
                <w:rFonts w:ascii="Book Antiqua" w:eastAsia="Calibri" w:hAnsi="Book Antiqua"/>
                <w:color w:val="000000" w:themeColor="text1"/>
              </w:rPr>
            </w:pPr>
          </w:p>
        </w:tc>
      </w:tr>
      <w:tr w:rsidR="002A7898" w:rsidRPr="00F17C5F" w14:paraId="19DB0DD3" w14:textId="77777777" w:rsidTr="002635AC">
        <w:trPr>
          <w:trHeight w:val="366"/>
        </w:trPr>
        <w:tc>
          <w:tcPr>
            <w:tcW w:w="2110" w:type="dxa"/>
          </w:tcPr>
          <w:p w14:paraId="189C7A49" w14:textId="77777777" w:rsidR="002A7898" w:rsidRPr="00F17C5F" w:rsidRDefault="002A7898" w:rsidP="00F17C5F">
            <w:pPr>
              <w:spacing w:line="360" w:lineRule="auto"/>
              <w:jc w:val="both"/>
              <w:rPr>
                <w:rFonts w:ascii="Book Antiqua" w:eastAsia="Calibri" w:hAnsi="Book Antiqua"/>
                <w:color w:val="000000" w:themeColor="text1"/>
              </w:rPr>
            </w:pPr>
          </w:p>
        </w:tc>
        <w:tc>
          <w:tcPr>
            <w:tcW w:w="2365" w:type="dxa"/>
          </w:tcPr>
          <w:p w14:paraId="460C122B" w14:textId="77777777" w:rsidR="002A7898" w:rsidRPr="00F17C5F" w:rsidRDefault="002A7898"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voriconazole</w:t>
            </w:r>
          </w:p>
        </w:tc>
        <w:tc>
          <w:tcPr>
            <w:tcW w:w="659" w:type="dxa"/>
          </w:tcPr>
          <w:p w14:paraId="5821D8AE" w14:textId="77777777" w:rsidR="002A7898" w:rsidRPr="00F17C5F" w:rsidRDefault="002A7898"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w:t>
            </w:r>
          </w:p>
        </w:tc>
        <w:tc>
          <w:tcPr>
            <w:tcW w:w="3395" w:type="dxa"/>
          </w:tcPr>
          <w:p w14:paraId="25827BFB" w14:textId="77777777" w:rsidR="002A7898" w:rsidRPr="00F17C5F" w:rsidRDefault="002A7898" w:rsidP="00F17C5F">
            <w:pPr>
              <w:spacing w:line="360" w:lineRule="auto"/>
              <w:jc w:val="both"/>
              <w:rPr>
                <w:rFonts w:ascii="Book Antiqua" w:eastAsia="Calibri" w:hAnsi="Book Antiqua"/>
                <w:color w:val="000000" w:themeColor="text1"/>
              </w:rPr>
            </w:pPr>
          </w:p>
        </w:tc>
      </w:tr>
      <w:tr w:rsidR="002A7898" w:rsidRPr="00F17C5F" w14:paraId="423825C8" w14:textId="77777777" w:rsidTr="002635AC">
        <w:trPr>
          <w:trHeight w:val="366"/>
        </w:trPr>
        <w:tc>
          <w:tcPr>
            <w:tcW w:w="2110" w:type="dxa"/>
          </w:tcPr>
          <w:p w14:paraId="03AE0FA1" w14:textId="77777777" w:rsidR="002A7898" w:rsidRPr="00F17C5F" w:rsidRDefault="002A7898" w:rsidP="00F17C5F">
            <w:pPr>
              <w:spacing w:line="360" w:lineRule="auto"/>
              <w:jc w:val="both"/>
              <w:rPr>
                <w:rFonts w:ascii="Book Antiqua" w:eastAsia="Calibri" w:hAnsi="Book Antiqua"/>
                <w:color w:val="000000" w:themeColor="text1"/>
              </w:rPr>
            </w:pPr>
          </w:p>
        </w:tc>
        <w:tc>
          <w:tcPr>
            <w:tcW w:w="2365" w:type="dxa"/>
          </w:tcPr>
          <w:p w14:paraId="479A3AE7" w14:textId="77777777" w:rsidR="002A7898" w:rsidRPr="00F17C5F" w:rsidRDefault="002A7898"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fluconazole</w:t>
            </w:r>
            <w:r w:rsidRPr="00F17C5F">
              <w:rPr>
                <w:rFonts w:ascii="Book Antiqua" w:eastAsia="Calibri" w:hAnsi="Book Antiqua"/>
                <w:color w:val="000000" w:themeColor="text1"/>
              </w:rPr>
              <w:tab/>
            </w:r>
          </w:p>
        </w:tc>
        <w:tc>
          <w:tcPr>
            <w:tcW w:w="659" w:type="dxa"/>
          </w:tcPr>
          <w:p w14:paraId="02D2783A" w14:textId="77777777" w:rsidR="002A7898"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D</w:t>
            </w:r>
          </w:p>
        </w:tc>
        <w:tc>
          <w:tcPr>
            <w:tcW w:w="3395" w:type="dxa"/>
          </w:tcPr>
          <w:p w14:paraId="5F5B0769" w14:textId="77777777" w:rsidR="002A7898"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risk if &gt; 400 mg/d</w:t>
            </w:r>
          </w:p>
        </w:tc>
      </w:tr>
      <w:tr w:rsidR="002635AC" w:rsidRPr="00F17C5F" w14:paraId="57468E98" w14:textId="77777777" w:rsidTr="002635AC">
        <w:trPr>
          <w:trHeight w:val="366"/>
        </w:trPr>
        <w:tc>
          <w:tcPr>
            <w:tcW w:w="2110" w:type="dxa"/>
          </w:tcPr>
          <w:p w14:paraId="7F0E43F1"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61517008"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micafungin</w:t>
            </w:r>
          </w:p>
        </w:tc>
        <w:tc>
          <w:tcPr>
            <w:tcW w:w="659" w:type="dxa"/>
          </w:tcPr>
          <w:p w14:paraId="0C43C9F0"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w:t>
            </w:r>
          </w:p>
        </w:tc>
        <w:tc>
          <w:tcPr>
            <w:tcW w:w="3395" w:type="dxa"/>
          </w:tcPr>
          <w:p w14:paraId="1FA6A64D"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54047C8A" w14:textId="77777777" w:rsidTr="002635AC">
        <w:trPr>
          <w:trHeight w:val="366"/>
        </w:trPr>
        <w:tc>
          <w:tcPr>
            <w:tcW w:w="2110" w:type="dxa"/>
          </w:tcPr>
          <w:p w14:paraId="48D94704"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52865093"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amphotericin </w:t>
            </w:r>
            <w:r w:rsidRPr="00F17C5F">
              <w:rPr>
                <w:rFonts w:ascii="Book Antiqua" w:eastAsia="Calibri" w:hAnsi="Book Antiqua"/>
                <w:color w:val="000000" w:themeColor="text1"/>
              </w:rPr>
              <w:tab/>
            </w:r>
          </w:p>
        </w:tc>
        <w:tc>
          <w:tcPr>
            <w:tcW w:w="659" w:type="dxa"/>
          </w:tcPr>
          <w:p w14:paraId="05CDF55E"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B</w:t>
            </w:r>
          </w:p>
        </w:tc>
        <w:tc>
          <w:tcPr>
            <w:tcW w:w="3395" w:type="dxa"/>
          </w:tcPr>
          <w:p w14:paraId="494AC215"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0EA54044" w14:textId="77777777" w:rsidTr="002635AC">
        <w:trPr>
          <w:trHeight w:val="366"/>
        </w:trPr>
        <w:tc>
          <w:tcPr>
            <w:tcW w:w="2110" w:type="dxa"/>
          </w:tcPr>
          <w:p w14:paraId="4B2A9CF6"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3CD4799C"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acyclovir</w:t>
            </w:r>
          </w:p>
        </w:tc>
        <w:tc>
          <w:tcPr>
            <w:tcW w:w="659" w:type="dxa"/>
          </w:tcPr>
          <w:p w14:paraId="3E4A3342"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B</w:t>
            </w:r>
          </w:p>
        </w:tc>
        <w:tc>
          <w:tcPr>
            <w:tcW w:w="3395" w:type="dxa"/>
          </w:tcPr>
          <w:p w14:paraId="3F9D3FCC"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2E85B033" w14:textId="77777777" w:rsidTr="002635AC">
        <w:trPr>
          <w:trHeight w:val="366"/>
        </w:trPr>
        <w:tc>
          <w:tcPr>
            <w:tcW w:w="2110" w:type="dxa"/>
          </w:tcPr>
          <w:p w14:paraId="749F2B4B"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Antibiotic</w:t>
            </w:r>
          </w:p>
        </w:tc>
        <w:tc>
          <w:tcPr>
            <w:tcW w:w="2365" w:type="dxa"/>
          </w:tcPr>
          <w:p w14:paraId="194CDE19"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azithromycin</w:t>
            </w:r>
            <w:r w:rsidRPr="00F17C5F">
              <w:rPr>
                <w:rFonts w:ascii="Book Antiqua" w:eastAsia="Calibri" w:hAnsi="Book Antiqua"/>
                <w:color w:val="000000" w:themeColor="text1"/>
              </w:rPr>
              <w:tab/>
            </w:r>
          </w:p>
        </w:tc>
        <w:tc>
          <w:tcPr>
            <w:tcW w:w="659" w:type="dxa"/>
          </w:tcPr>
          <w:p w14:paraId="34F136AE"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B</w:t>
            </w:r>
          </w:p>
        </w:tc>
        <w:tc>
          <w:tcPr>
            <w:tcW w:w="3395" w:type="dxa"/>
          </w:tcPr>
          <w:p w14:paraId="24CB83A2"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2568DD3A" w14:textId="77777777" w:rsidTr="002635AC">
        <w:trPr>
          <w:trHeight w:val="366"/>
        </w:trPr>
        <w:tc>
          <w:tcPr>
            <w:tcW w:w="2110" w:type="dxa"/>
          </w:tcPr>
          <w:p w14:paraId="59C55FE7"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03FD16C9"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aztreonam</w:t>
            </w:r>
          </w:p>
        </w:tc>
        <w:tc>
          <w:tcPr>
            <w:tcW w:w="659" w:type="dxa"/>
          </w:tcPr>
          <w:p w14:paraId="1F5FC5C8"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B</w:t>
            </w:r>
          </w:p>
        </w:tc>
        <w:tc>
          <w:tcPr>
            <w:tcW w:w="3395" w:type="dxa"/>
          </w:tcPr>
          <w:p w14:paraId="38335C4E"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26E1E0D2" w14:textId="77777777" w:rsidTr="002635AC">
        <w:trPr>
          <w:trHeight w:val="366"/>
        </w:trPr>
        <w:tc>
          <w:tcPr>
            <w:tcW w:w="2110" w:type="dxa"/>
          </w:tcPr>
          <w:p w14:paraId="42FBB916"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4DF8519D"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cefazolin</w:t>
            </w:r>
            <w:r w:rsidRPr="00F17C5F">
              <w:rPr>
                <w:rFonts w:ascii="Book Antiqua" w:eastAsia="Calibri" w:hAnsi="Book Antiqua"/>
                <w:color w:val="000000" w:themeColor="text1"/>
              </w:rPr>
              <w:tab/>
            </w:r>
          </w:p>
        </w:tc>
        <w:tc>
          <w:tcPr>
            <w:tcW w:w="659" w:type="dxa"/>
          </w:tcPr>
          <w:p w14:paraId="4A5FDEF5"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B</w:t>
            </w:r>
          </w:p>
        </w:tc>
        <w:tc>
          <w:tcPr>
            <w:tcW w:w="3395" w:type="dxa"/>
          </w:tcPr>
          <w:p w14:paraId="5AF93E8F"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2E4FF2FE" w14:textId="77777777" w:rsidTr="002635AC">
        <w:trPr>
          <w:trHeight w:val="366"/>
        </w:trPr>
        <w:tc>
          <w:tcPr>
            <w:tcW w:w="2110" w:type="dxa"/>
          </w:tcPr>
          <w:p w14:paraId="427AAF35"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77A052B3"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cefepime</w:t>
            </w:r>
          </w:p>
        </w:tc>
        <w:tc>
          <w:tcPr>
            <w:tcW w:w="659" w:type="dxa"/>
          </w:tcPr>
          <w:p w14:paraId="5C91A40C"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B</w:t>
            </w:r>
          </w:p>
        </w:tc>
        <w:tc>
          <w:tcPr>
            <w:tcW w:w="3395" w:type="dxa"/>
          </w:tcPr>
          <w:p w14:paraId="5A4F467C"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16A6206E" w14:textId="77777777" w:rsidTr="002635AC">
        <w:trPr>
          <w:trHeight w:val="366"/>
        </w:trPr>
        <w:tc>
          <w:tcPr>
            <w:tcW w:w="2110" w:type="dxa"/>
          </w:tcPr>
          <w:p w14:paraId="4C29BBFC"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781D97D9"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cefoxitin</w:t>
            </w:r>
          </w:p>
        </w:tc>
        <w:tc>
          <w:tcPr>
            <w:tcW w:w="659" w:type="dxa"/>
          </w:tcPr>
          <w:p w14:paraId="22574FDA"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B</w:t>
            </w:r>
          </w:p>
        </w:tc>
        <w:tc>
          <w:tcPr>
            <w:tcW w:w="3395" w:type="dxa"/>
          </w:tcPr>
          <w:p w14:paraId="0A9F26F4"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3D18ADE9" w14:textId="77777777" w:rsidTr="002635AC">
        <w:trPr>
          <w:trHeight w:val="366"/>
        </w:trPr>
        <w:tc>
          <w:tcPr>
            <w:tcW w:w="2110" w:type="dxa"/>
          </w:tcPr>
          <w:p w14:paraId="7E36E1DE"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1A83ED8C"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ceftriaxone</w:t>
            </w:r>
            <w:r w:rsidRPr="00F17C5F">
              <w:rPr>
                <w:rFonts w:ascii="Book Antiqua" w:eastAsia="Calibri" w:hAnsi="Book Antiqua"/>
                <w:color w:val="000000" w:themeColor="text1"/>
              </w:rPr>
              <w:tab/>
            </w:r>
          </w:p>
        </w:tc>
        <w:tc>
          <w:tcPr>
            <w:tcW w:w="659" w:type="dxa"/>
          </w:tcPr>
          <w:p w14:paraId="523CDCEA"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B</w:t>
            </w:r>
          </w:p>
        </w:tc>
        <w:tc>
          <w:tcPr>
            <w:tcW w:w="3395" w:type="dxa"/>
          </w:tcPr>
          <w:p w14:paraId="03F3DAAC"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2B590535" w14:textId="77777777" w:rsidTr="002635AC">
        <w:trPr>
          <w:trHeight w:val="366"/>
        </w:trPr>
        <w:tc>
          <w:tcPr>
            <w:tcW w:w="2110" w:type="dxa"/>
          </w:tcPr>
          <w:p w14:paraId="76D48AAC"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52D8F02E"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ciprofloxacin</w:t>
            </w:r>
            <w:r w:rsidRPr="00F17C5F">
              <w:rPr>
                <w:rFonts w:ascii="Book Antiqua" w:eastAsia="Calibri" w:hAnsi="Book Antiqua"/>
                <w:color w:val="000000" w:themeColor="text1"/>
              </w:rPr>
              <w:tab/>
            </w:r>
          </w:p>
        </w:tc>
        <w:tc>
          <w:tcPr>
            <w:tcW w:w="659" w:type="dxa"/>
          </w:tcPr>
          <w:p w14:paraId="6782ECC0"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C</w:t>
            </w:r>
          </w:p>
        </w:tc>
        <w:tc>
          <w:tcPr>
            <w:tcW w:w="3395" w:type="dxa"/>
          </w:tcPr>
          <w:p w14:paraId="24C16C00"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low risk</w:t>
            </w:r>
          </w:p>
        </w:tc>
      </w:tr>
      <w:tr w:rsidR="002635AC" w:rsidRPr="00F17C5F" w14:paraId="11531752" w14:textId="77777777" w:rsidTr="002635AC">
        <w:trPr>
          <w:trHeight w:val="366"/>
        </w:trPr>
        <w:tc>
          <w:tcPr>
            <w:tcW w:w="2110" w:type="dxa"/>
          </w:tcPr>
          <w:p w14:paraId="1129877E"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013F99F6"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clindamycin</w:t>
            </w:r>
            <w:r w:rsidRPr="00F17C5F">
              <w:rPr>
                <w:rFonts w:ascii="Book Antiqua" w:eastAsia="Calibri" w:hAnsi="Book Antiqua"/>
                <w:color w:val="000000" w:themeColor="text1"/>
              </w:rPr>
              <w:tab/>
            </w:r>
          </w:p>
        </w:tc>
        <w:tc>
          <w:tcPr>
            <w:tcW w:w="659" w:type="dxa"/>
          </w:tcPr>
          <w:p w14:paraId="000213CA"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 xml:space="preserve"> B</w:t>
            </w:r>
          </w:p>
        </w:tc>
        <w:tc>
          <w:tcPr>
            <w:tcW w:w="3395" w:type="dxa"/>
          </w:tcPr>
          <w:p w14:paraId="6ABDE04F"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25427DA4" w14:textId="77777777" w:rsidTr="002635AC">
        <w:trPr>
          <w:trHeight w:val="366"/>
        </w:trPr>
        <w:tc>
          <w:tcPr>
            <w:tcW w:w="2110" w:type="dxa"/>
          </w:tcPr>
          <w:p w14:paraId="3BB25F75"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4504EDF6"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linezolid</w:t>
            </w:r>
            <w:r w:rsidRPr="00F17C5F">
              <w:rPr>
                <w:rFonts w:ascii="Book Antiqua" w:eastAsia="Calibri" w:hAnsi="Book Antiqua"/>
                <w:color w:val="000000" w:themeColor="text1"/>
              </w:rPr>
              <w:tab/>
            </w:r>
          </w:p>
        </w:tc>
        <w:tc>
          <w:tcPr>
            <w:tcW w:w="659" w:type="dxa"/>
          </w:tcPr>
          <w:p w14:paraId="6929C3C4"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C</w:t>
            </w:r>
          </w:p>
        </w:tc>
        <w:tc>
          <w:tcPr>
            <w:tcW w:w="3395" w:type="dxa"/>
          </w:tcPr>
          <w:p w14:paraId="02482866"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44EB2224" w14:textId="77777777" w:rsidTr="002635AC">
        <w:trPr>
          <w:trHeight w:val="366"/>
        </w:trPr>
        <w:tc>
          <w:tcPr>
            <w:tcW w:w="2110" w:type="dxa"/>
          </w:tcPr>
          <w:p w14:paraId="02DAB2FC"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1B110CB8"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meropenem</w:t>
            </w:r>
          </w:p>
        </w:tc>
        <w:tc>
          <w:tcPr>
            <w:tcW w:w="659" w:type="dxa"/>
          </w:tcPr>
          <w:p w14:paraId="7821B7E6"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B</w:t>
            </w:r>
          </w:p>
        </w:tc>
        <w:tc>
          <w:tcPr>
            <w:tcW w:w="3395" w:type="dxa"/>
          </w:tcPr>
          <w:p w14:paraId="4098E738"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34B50850" w14:textId="77777777" w:rsidTr="002635AC">
        <w:trPr>
          <w:trHeight w:val="366"/>
        </w:trPr>
        <w:tc>
          <w:tcPr>
            <w:tcW w:w="2110" w:type="dxa"/>
          </w:tcPr>
          <w:p w14:paraId="0B898DE8"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3715B40E"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metronidazole</w:t>
            </w:r>
            <w:r w:rsidRPr="00F17C5F">
              <w:rPr>
                <w:rFonts w:ascii="Book Antiqua" w:eastAsia="Calibri" w:hAnsi="Book Antiqua"/>
                <w:color w:val="000000" w:themeColor="text1"/>
              </w:rPr>
              <w:tab/>
            </w:r>
          </w:p>
        </w:tc>
        <w:tc>
          <w:tcPr>
            <w:tcW w:w="659" w:type="dxa"/>
          </w:tcPr>
          <w:p w14:paraId="56A94E75"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B</w:t>
            </w:r>
          </w:p>
        </w:tc>
        <w:tc>
          <w:tcPr>
            <w:tcW w:w="3395" w:type="dxa"/>
          </w:tcPr>
          <w:p w14:paraId="3833C262"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low risk</w:t>
            </w:r>
          </w:p>
        </w:tc>
      </w:tr>
      <w:tr w:rsidR="002635AC" w:rsidRPr="00F17C5F" w14:paraId="013C1D8A" w14:textId="77777777" w:rsidTr="002635AC">
        <w:trPr>
          <w:trHeight w:val="366"/>
        </w:trPr>
        <w:tc>
          <w:tcPr>
            <w:tcW w:w="2110" w:type="dxa"/>
          </w:tcPr>
          <w:p w14:paraId="200CAF52"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21AE907E"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moxifloxacin</w:t>
            </w:r>
            <w:r w:rsidRPr="00F17C5F">
              <w:rPr>
                <w:rFonts w:ascii="Book Antiqua" w:eastAsia="Calibri" w:hAnsi="Book Antiqua"/>
                <w:color w:val="000000" w:themeColor="text1"/>
              </w:rPr>
              <w:tab/>
            </w:r>
          </w:p>
        </w:tc>
        <w:tc>
          <w:tcPr>
            <w:tcW w:w="659" w:type="dxa"/>
          </w:tcPr>
          <w:p w14:paraId="40E9F1FD"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C</w:t>
            </w:r>
          </w:p>
        </w:tc>
        <w:tc>
          <w:tcPr>
            <w:tcW w:w="3395" w:type="dxa"/>
          </w:tcPr>
          <w:p w14:paraId="69F543EF"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suggest low risk</w:t>
            </w:r>
          </w:p>
        </w:tc>
      </w:tr>
      <w:tr w:rsidR="002635AC" w:rsidRPr="00F17C5F" w14:paraId="57E9ADA3" w14:textId="77777777" w:rsidTr="002635AC">
        <w:trPr>
          <w:trHeight w:val="366"/>
        </w:trPr>
        <w:tc>
          <w:tcPr>
            <w:tcW w:w="2110" w:type="dxa"/>
          </w:tcPr>
          <w:p w14:paraId="7A45F851"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69543CAD"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Piperacillin/tazobactam</w:t>
            </w:r>
          </w:p>
        </w:tc>
        <w:tc>
          <w:tcPr>
            <w:tcW w:w="659" w:type="dxa"/>
          </w:tcPr>
          <w:p w14:paraId="5FA8AAF6"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B</w:t>
            </w:r>
          </w:p>
        </w:tc>
        <w:tc>
          <w:tcPr>
            <w:tcW w:w="3395" w:type="dxa"/>
          </w:tcPr>
          <w:p w14:paraId="64B391B5"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3FDF60EE" w14:textId="77777777" w:rsidTr="002635AC">
        <w:trPr>
          <w:trHeight w:val="366"/>
        </w:trPr>
        <w:tc>
          <w:tcPr>
            <w:tcW w:w="2110" w:type="dxa"/>
          </w:tcPr>
          <w:p w14:paraId="3AB71ABC"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1D8973F1"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vancomycin</w:t>
            </w:r>
          </w:p>
        </w:tc>
        <w:tc>
          <w:tcPr>
            <w:tcW w:w="659" w:type="dxa"/>
          </w:tcPr>
          <w:p w14:paraId="3D31AFA1"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C</w:t>
            </w:r>
          </w:p>
        </w:tc>
        <w:tc>
          <w:tcPr>
            <w:tcW w:w="3395" w:type="dxa"/>
          </w:tcPr>
          <w:p w14:paraId="362B8D7A"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0842698B" w14:textId="77777777" w:rsidTr="002635AC">
        <w:trPr>
          <w:trHeight w:val="366"/>
        </w:trPr>
        <w:tc>
          <w:tcPr>
            <w:tcW w:w="2110" w:type="dxa"/>
          </w:tcPr>
          <w:p w14:paraId="77965B9B" w14:textId="443D6773"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Anti-seizure</w:t>
            </w:r>
            <w:r w:rsidR="001838CC" w:rsidRPr="00F17C5F">
              <w:rPr>
                <w:rFonts w:ascii="Book Antiqua" w:hAnsi="Book Antiqua"/>
                <w:color w:val="000000" w:themeColor="text1"/>
                <w:vertAlign w:val="superscript"/>
                <w:lang w:eastAsia="zh-CN"/>
              </w:rPr>
              <w:t>2</w:t>
            </w:r>
          </w:p>
        </w:tc>
        <w:tc>
          <w:tcPr>
            <w:tcW w:w="2365" w:type="dxa"/>
          </w:tcPr>
          <w:p w14:paraId="5E453EA5" w14:textId="77777777" w:rsidR="002635AC" w:rsidRPr="00F17C5F" w:rsidRDefault="002635AC" w:rsidP="00F17C5F">
            <w:pPr>
              <w:spacing w:line="360" w:lineRule="auto"/>
              <w:jc w:val="both"/>
              <w:rPr>
                <w:rFonts w:ascii="Book Antiqua" w:eastAsia="Calibri" w:hAnsi="Book Antiqua"/>
                <w:color w:val="000000" w:themeColor="text1"/>
              </w:rPr>
            </w:pPr>
          </w:p>
        </w:tc>
        <w:tc>
          <w:tcPr>
            <w:tcW w:w="659" w:type="dxa"/>
          </w:tcPr>
          <w:p w14:paraId="21812B2A" w14:textId="77777777" w:rsidR="002635AC" w:rsidRPr="00F17C5F" w:rsidRDefault="002635AC" w:rsidP="00F17C5F">
            <w:pPr>
              <w:spacing w:line="360" w:lineRule="auto"/>
              <w:jc w:val="both"/>
              <w:rPr>
                <w:rFonts w:ascii="Book Antiqua" w:eastAsia="Calibri" w:hAnsi="Book Antiqua"/>
                <w:color w:val="000000" w:themeColor="text1"/>
              </w:rPr>
            </w:pPr>
          </w:p>
        </w:tc>
        <w:tc>
          <w:tcPr>
            <w:tcW w:w="3395" w:type="dxa"/>
          </w:tcPr>
          <w:p w14:paraId="7361C152"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69519057" w14:textId="77777777" w:rsidTr="002635AC">
        <w:trPr>
          <w:trHeight w:val="366"/>
        </w:trPr>
        <w:tc>
          <w:tcPr>
            <w:tcW w:w="2110" w:type="dxa"/>
          </w:tcPr>
          <w:p w14:paraId="76D7AB9F"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4ADFE075"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levetiracetam</w:t>
            </w:r>
            <w:r w:rsidRPr="00F17C5F">
              <w:rPr>
                <w:rFonts w:ascii="Book Antiqua" w:eastAsia="Calibri" w:hAnsi="Book Antiqua"/>
                <w:color w:val="000000" w:themeColor="text1"/>
              </w:rPr>
              <w:tab/>
            </w:r>
          </w:p>
        </w:tc>
        <w:tc>
          <w:tcPr>
            <w:tcW w:w="659" w:type="dxa"/>
          </w:tcPr>
          <w:p w14:paraId="09B2BF59"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w:t>
            </w:r>
          </w:p>
        </w:tc>
        <w:tc>
          <w:tcPr>
            <w:tcW w:w="3395" w:type="dxa"/>
          </w:tcPr>
          <w:p w14:paraId="296380D1"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4766AB97" w14:textId="77777777" w:rsidTr="002635AC">
        <w:trPr>
          <w:trHeight w:val="366"/>
        </w:trPr>
        <w:tc>
          <w:tcPr>
            <w:tcW w:w="2110" w:type="dxa"/>
          </w:tcPr>
          <w:p w14:paraId="791B3F34"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2554B9C9"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phenytoin</w:t>
            </w:r>
            <w:r w:rsidRPr="00F17C5F">
              <w:rPr>
                <w:rFonts w:ascii="Book Antiqua" w:eastAsia="Calibri" w:hAnsi="Book Antiqua"/>
                <w:color w:val="000000" w:themeColor="text1"/>
              </w:rPr>
              <w:tab/>
            </w:r>
          </w:p>
        </w:tc>
        <w:tc>
          <w:tcPr>
            <w:tcW w:w="659" w:type="dxa"/>
          </w:tcPr>
          <w:p w14:paraId="3E680C4B"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D</w:t>
            </w:r>
          </w:p>
        </w:tc>
        <w:tc>
          <w:tcPr>
            <w:tcW w:w="3395" w:type="dxa"/>
          </w:tcPr>
          <w:p w14:paraId="38AC5C88"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6D3436FA" w14:textId="77777777" w:rsidTr="002635AC">
        <w:trPr>
          <w:trHeight w:val="366"/>
        </w:trPr>
        <w:tc>
          <w:tcPr>
            <w:tcW w:w="2110" w:type="dxa"/>
          </w:tcPr>
          <w:p w14:paraId="48D1A60F"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Paralytic</w:t>
            </w:r>
          </w:p>
        </w:tc>
        <w:tc>
          <w:tcPr>
            <w:tcW w:w="2365" w:type="dxa"/>
          </w:tcPr>
          <w:p w14:paraId="2DDC5E00" w14:textId="77777777" w:rsidR="002635AC" w:rsidRPr="00F17C5F" w:rsidRDefault="002635AC" w:rsidP="00F17C5F">
            <w:pPr>
              <w:spacing w:line="360" w:lineRule="auto"/>
              <w:jc w:val="both"/>
              <w:rPr>
                <w:rFonts w:ascii="Book Antiqua" w:eastAsia="Calibri" w:hAnsi="Book Antiqua"/>
                <w:color w:val="000000" w:themeColor="text1"/>
              </w:rPr>
            </w:pPr>
          </w:p>
        </w:tc>
        <w:tc>
          <w:tcPr>
            <w:tcW w:w="659" w:type="dxa"/>
          </w:tcPr>
          <w:p w14:paraId="7A0EE396" w14:textId="77777777" w:rsidR="002635AC" w:rsidRPr="00F17C5F" w:rsidRDefault="002635AC" w:rsidP="00F17C5F">
            <w:pPr>
              <w:spacing w:line="360" w:lineRule="auto"/>
              <w:jc w:val="both"/>
              <w:rPr>
                <w:rFonts w:ascii="Book Antiqua" w:eastAsia="Calibri" w:hAnsi="Book Antiqua"/>
                <w:color w:val="000000" w:themeColor="text1"/>
              </w:rPr>
            </w:pPr>
          </w:p>
        </w:tc>
        <w:tc>
          <w:tcPr>
            <w:tcW w:w="3395" w:type="dxa"/>
          </w:tcPr>
          <w:p w14:paraId="283DFD89"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16EF1DF1" w14:textId="77777777" w:rsidTr="002635AC">
        <w:trPr>
          <w:trHeight w:val="366"/>
        </w:trPr>
        <w:tc>
          <w:tcPr>
            <w:tcW w:w="2110" w:type="dxa"/>
          </w:tcPr>
          <w:p w14:paraId="072DF63B"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094BEE02"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rocuronium</w:t>
            </w:r>
          </w:p>
        </w:tc>
        <w:tc>
          <w:tcPr>
            <w:tcW w:w="659" w:type="dxa"/>
          </w:tcPr>
          <w:p w14:paraId="40F67B86"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w:t>
            </w:r>
          </w:p>
        </w:tc>
        <w:tc>
          <w:tcPr>
            <w:tcW w:w="3395" w:type="dxa"/>
          </w:tcPr>
          <w:p w14:paraId="4AED9161"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5887B4FE" w14:textId="77777777" w:rsidTr="002635AC">
        <w:trPr>
          <w:trHeight w:val="366"/>
        </w:trPr>
        <w:tc>
          <w:tcPr>
            <w:tcW w:w="2110" w:type="dxa"/>
          </w:tcPr>
          <w:p w14:paraId="6E5C6902"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6A357659"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cisatracurium</w:t>
            </w:r>
            <w:r w:rsidRPr="00F17C5F">
              <w:rPr>
                <w:rFonts w:ascii="Book Antiqua" w:eastAsia="Calibri" w:hAnsi="Book Antiqua"/>
                <w:color w:val="000000" w:themeColor="text1"/>
              </w:rPr>
              <w:tab/>
            </w:r>
          </w:p>
        </w:tc>
        <w:tc>
          <w:tcPr>
            <w:tcW w:w="659" w:type="dxa"/>
          </w:tcPr>
          <w:p w14:paraId="200A21A8"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B</w:t>
            </w:r>
          </w:p>
        </w:tc>
        <w:tc>
          <w:tcPr>
            <w:tcW w:w="3395" w:type="dxa"/>
          </w:tcPr>
          <w:p w14:paraId="3FB9DE08"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730E8B05" w14:textId="77777777" w:rsidTr="002635AC">
        <w:trPr>
          <w:trHeight w:val="366"/>
        </w:trPr>
        <w:tc>
          <w:tcPr>
            <w:tcW w:w="2110" w:type="dxa"/>
          </w:tcPr>
          <w:p w14:paraId="6937572D"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0B185090"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vecuronium</w:t>
            </w:r>
            <w:r w:rsidRPr="00F17C5F">
              <w:rPr>
                <w:rFonts w:ascii="Book Antiqua" w:eastAsia="Calibri" w:hAnsi="Book Antiqua"/>
                <w:color w:val="000000" w:themeColor="text1"/>
              </w:rPr>
              <w:tab/>
            </w:r>
          </w:p>
        </w:tc>
        <w:tc>
          <w:tcPr>
            <w:tcW w:w="659" w:type="dxa"/>
          </w:tcPr>
          <w:p w14:paraId="3ED7576A" w14:textId="77777777" w:rsidR="002635AC" w:rsidRPr="00F17C5F" w:rsidRDefault="002635AC"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w:t>
            </w:r>
          </w:p>
        </w:tc>
        <w:tc>
          <w:tcPr>
            <w:tcW w:w="3395" w:type="dxa"/>
          </w:tcPr>
          <w:p w14:paraId="664152B3" w14:textId="77777777" w:rsidR="002635AC" w:rsidRPr="00F17C5F" w:rsidRDefault="002635AC" w:rsidP="00F17C5F">
            <w:pPr>
              <w:spacing w:line="360" w:lineRule="auto"/>
              <w:jc w:val="both"/>
              <w:rPr>
                <w:rFonts w:ascii="Book Antiqua" w:eastAsia="Calibri" w:hAnsi="Book Antiqua"/>
                <w:color w:val="000000" w:themeColor="text1"/>
              </w:rPr>
            </w:pPr>
          </w:p>
        </w:tc>
      </w:tr>
      <w:tr w:rsidR="002635AC" w:rsidRPr="00F17C5F" w14:paraId="40AFA690" w14:textId="77777777" w:rsidTr="002635AC">
        <w:trPr>
          <w:trHeight w:val="366"/>
        </w:trPr>
        <w:tc>
          <w:tcPr>
            <w:tcW w:w="2110" w:type="dxa"/>
          </w:tcPr>
          <w:p w14:paraId="0FF83189" w14:textId="77777777" w:rsidR="002635AC" w:rsidRPr="00F17C5F" w:rsidRDefault="002635AC" w:rsidP="00F17C5F">
            <w:pPr>
              <w:spacing w:line="360" w:lineRule="auto"/>
              <w:jc w:val="both"/>
              <w:rPr>
                <w:rFonts w:ascii="Book Antiqua" w:eastAsia="Calibri" w:hAnsi="Book Antiqua"/>
                <w:color w:val="000000" w:themeColor="text1"/>
              </w:rPr>
            </w:pPr>
          </w:p>
        </w:tc>
        <w:tc>
          <w:tcPr>
            <w:tcW w:w="2365" w:type="dxa"/>
          </w:tcPr>
          <w:p w14:paraId="3F910BD8"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succinylcholine</w:t>
            </w:r>
            <w:r w:rsidRPr="00F17C5F">
              <w:rPr>
                <w:rFonts w:ascii="Book Antiqua" w:eastAsia="Calibri" w:hAnsi="Book Antiqua"/>
                <w:color w:val="000000" w:themeColor="text1"/>
              </w:rPr>
              <w:tab/>
            </w:r>
          </w:p>
        </w:tc>
        <w:tc>
          <w:tcPr>
            <w:tcW w:w="659" w:type="dxa"/>
          </w:tcPr>
          <w:p w14:paraId="3A80245A"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 xml:space="preserve"> C</w:t>
            </w:r>
          </w:p>
        </w:tc>
        <w:tc>
          <w:tcPr>
            <w:tcW w:w="3395" w:type="dxa"/>
          </w:tcPr>
          <w:p w14:paraId="60FF6417" w14:textId="77777777" w:rsidR="002635AC" w:rsidRPr="00F17C5F" w:rsidRDefault="002635AC" w:rsidP="00F17C5F">
            <w:pPr>
              <w:spacing w:line="360" w:lineRule="auto"/>
              <w:jc w:val="both"/>
              <w:rPr>
                <w:rFonts w:ascii="Book Antiqua" w:eastAsia="Calibri" w:hAnsi="Book Antiqua"/>
                <w:color w:val="000000" w:themeColor="text1"/>
              </w:rPr>
            </w:pPr>
          </w:p>
        </w:tc>
      </w:tr>
    </w:tbl>
    <w:p w14:paraId="2D95C4D8" w14:textId="2C9DCE3F" w:rsidR="00321C2F" w:rsidRPr="00F17C5F" w:rsidRDefault="00321C2F" w:rsidP="00F17C5F">
      <w:pPr>
        <w:spacing w:after="0"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b/>
      </w:r>
      <w:r w:rsidR="002635AC" w:rsidRPr="00F17C5F">
        <w:rPr>
          <w:rFonts w:ascii="Book Antiqua" w:eastAsia="Calibri" w:hAnsi="Book Antiqua"/>
          <w:color w:val="000000" w:themeColor="text1"/>
        </w:rPr>
        <w:tab/>
      </w:r>
      <w:r w:rsidRPr="00F17C5F">
        <w:rPr>
          <w:rFonts w:ascii="Book Antiqua" w:eastAsia="Calibri" w:hAnsi="Book Antiqua"/>
          <w:color w:val="000000" w:themeColor="text1"/>
        </w:rPr>
        <w:t xml:space="preserve"> </w:t>
      </w:r>
    </w:p>
    <w:p w14:paraId="484F0DD0" w14:textId="4CA3357A" w:rsidR="00321C2F" w:rsidRPr="00F17C5F" w:rsidRDefault="001838CC" w:rsidP="00F17C5F">
      <w:pPr>
        <w:spacing w:after="0" w:line="360" w:lineRule="auto"/>
        <w:jc w:val="both"/>
        <w:rPr>
          <w:rFonts w:ascii="Book Antiqua" w:hAnsi="Book Antiqua"/>
          <w:color w:val="000000" w:themeColor="text1"/>
          <w:lang w:eastAsia="zh-CN"/>
        </w:rPr>
      </w:pPr>
      <w:r w:rsidRPr="00F17C5F">
        <w:rPr>
          <w:rFonts w:ascii="Book Antiqua" w:hAnsi="Book Antiqua"/>
          <w:color w:val="000000" w:themeColor="text1"/>
          <w:vertAlign w:val="superscript"/>
          <w:lang w:eastAsia="zh-CN"/>
        </w:rPr>
        <w:t>1</w:t>
      </w:r>
      <w:r w:rsidR="00321C2F" w:rsidRPr="00F17C5F">
        <w:rPr>
          <w:rFonts w:ascii="Book Antiqua" w:eastAsia="Calibri" w:hAnsi="Book Antiqua"/>
          <w:color w:val="000000" w:themeColor="text1"/>
        </w:rPr>
        <w:t xml:space="preserve">Human data to suggest risk based on data from Briggs </w:t>
      </w:r>
      <w:r w:rsidR="00F6162B" w:rsidRPr="00F17C5F">
        <w:rPr>
          <w:rFonts w:ascii="Book Antiqua" w:hAnsi="Book Antiqua"/>
          <w:i/>
          <w:color w:val="000000" w:themeColor="text1"/>
          <w:lang w:eastAsia="zh-CN"/>
        </w:rPr>
        <w:t>et al</w:t>
      </w:r>
      <w:r w:rsidR="00F6162B" w:rsidRPr="00F17C5F">
        <w:rPr>
          <w:rFonts w:ascii="Book Antiqua" w:hAnsi="Book Antiqua"/>
          <w:color w:val="000000" w:themeColor="text1"/>
          <w:vertAlign w:val="superscript"/>
          <w:lang w:eastAsia="zh-CN"/>
        </w:rPr>
        <w:t>[23]</w:t>
      </w:r>
      <w:r w:rsidRPr="00F17C5F">
        <w:rPr>
          <w:rFonts w:ascii="Book Antiqua" w:hAnsi="Book Antiqua"/>
          <w:color w:val="000000" w:themeColor="text1"/>
          <w:lang w:eastAsia="zh-CN"/>
        </w:rPr>
        <w:t xml:space="preserve">; </w:t>
      </w:r>
      <w:r w:rsidRPr="00F17C5F">
        <w:rPr>
          <w:rFonts w:ascii="Book Antiqua" w:hAnsi="Book Antiqua"/>
          <w:color w:val="000000" w:themeColor="text1"/>
          <w:vertAlign w:val="superscript"/>
          <w:lang w:eastAsia="zh-CN"/>
        </w:rPr>
        <w:t>2</w:t>
      </w:r>
      <w:r w:rsidR="00321C2F" w:rsidRPr="00F17C5F">
        <w:rPr>
          <w:rFonts w:ascii="Book Antiqua" w:eastAsia="Calibri" w:hAnsi="Book Antiqua"/>
          <w:color w:val="000000" w:themeColor="text1"/>
        </w:rPr>
        <w:t>Pregnant women exposed to AEDs should register with the North American Antiepileptic Drug Pregnancy Registry (888-233-2334)</w:t>
      </w:r>
      <w:r w:rsidR="00781764" w:rsidRPr="00F17C5F">
        <w:rPr>
          <w:rFonts w:ascii="Book Antiqua" w:hAnsi="Book Antiqua"/>
          <w:color w:val="000000" w:themeColor="text1"/>
          <w:lang w:eastAsia="zh-CN"/>
        </w:rPr>
        <w:t>;</w:t>
      </w:r>
      <w:r w:rsidRPr="00F17C5F">
        <w:rPr>
          <w:rFonts w:ascii="Book Antiqua" w:eastAsia="Calibri" w:hAnsi="Book Antiqua"/>
          <w:color w:val="000000" w:themeColor="text1"/>
        </w:rPr>
        <w:t xml:space="preserve"> </w:t>
      </w:r>
      <w:r w:rsidR="00781764" w:rsidRPr="00F17C5F">
        <w:rPr>
          <w:rFonts w:ascii="Book Antiqua" w:hAnsi="Book Antiqua"/>
          <w:color w:val="000000" w:themeColor="text1"/>
          <w:vertAlign w:val="superscript"/>
          <w:lang w:eastAsia="zh-CN"/>
        </w:rPr>
        <w:t>3</w:t>
      </w:r>
      <w:r w:rsidR="00781764" w:rsidRPr="00F17C5F">
        <w:rPr>
          <w:rFonts w:ascii="Book Antiqua" w:eastAsia="Calibri" w:hAnsi="Book Antiqua"/>
          <w:color w:val="000000" w:themeColor="text1"/>
        </w:rPr>
        <w:t xml:space="preserve">Refers </w:t>
      </w:r>
      <w:r w:rsidRPr="00F17C5F">
        <w:rPr>
          <w:rFonts w:ascii="Book Antiqua" w:eastAsia="Calibri" w:hAnsi="Book Antiqua"/>
          <w:color w:val="000000" w:themeColor="text1"/>
        </w:rPr>
        <w:t>t</w:t>
      </w:r>
      <w:r w:rsidR="00781764" w:rsidRPr="00F17C5F">
        <w:rPr>
          <w:rFonts w:ascii="Book Antiqua" w:eastAsia="Calibri" w:hAnsi="Book Antiqua"/>
          <w:color w:val="000000" w:themeColor="text1"/>
        </w:rPr>
        <w:t>o FDA pregnancy rating category</w:t>
      </w:r>
      <w:r w:rsidR="00781764" w:rsidRPr="00F17C5F">
        <w:rPr>
          <w:rFonts w:ascii="Book Antiqua" w:hAnsi="Book Antiqua"/>
          <w:color w:val="000000" w:themeColor="text1"/>
          <w:lang w:eastAsia="zh-CN"/>
        </w:rPr>
        <w:t>.</w:t>
      </w:r>
    </w:p>
    <w:p w14:paraId="1BD1B7E3" w14:textId="77777777" w:rsidR="003E15F5" w:rsidRPr="00F17C5F" w:rsidRDefault="003E15F5"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br w:type="page"/>
      </w:r>
    </w:p>
    <w:p w14:paraId="57883257" w14:textId="0C05DCAE" w:rsidR="003E15F5" w:rsidRPr="00F17C5F" w:rsidRDefault="00F86664" w:rsidP="00F17C5F">
      <w:pPr>
        <w:spacing w:after="0" w:line="360" w:lineRule="auto"/>
        <w:jc w:val="both"/>
        <w:rPr>
          <w:rFonts w:ascii="Book Antiqua" w:eastAsia="Calibri" w:hAnsi="Book Antiqua"/>
          <w:b/>
          <w:color w:val="000000" w:themeColor="text1"/>
        </w:rPr>
      </w:pPr>
      <w:r w:rsidRPr="00F17C5F">
        <w:rPr>
          <w:rFonts w:ascii="Book Antiqua" w:eastAsia="Calibri" w:hAnsi="Book Antiqua"/>
          <w:b/>
          <w:color w:val="000000" w:themeColor="text1"/>
        </w:rPr>
        <w:t>Table</w:t>
      </w:r>
      <w:r w:rsidR="000D2EDE" w:rsidRPr="00F17C5F">
        <w:rPr>
          <w:rFonts w:ascii="Book Antiqua" w:eastAsia="Calibri" w:hAnsi="Book Antiqua"/>
          <w:b/>
          <w:color w:val="000000" w:themeColor="text1"/>
        </w:rPr>
        <w:t xml:space="preserve"> </w:t>
      </w:r>
      <w:r w:rsidR="000D2EDE" w:rsidRPr="00F17C5F">
        <w:rPr>
          <w:rFonts w:ascii="Book Antiqua" w:hAnsi="Book Antiqua"/>
          <w:b/>
          <w:color w:val="000000" w:themeColor="text1"/>
          <w:lang w:eastAsia="zh-CN"/>
        </w:rPr>
        <w:t>10</w:t>
      </w:r>
      <w:r w:rsidR="003E15F5" w:rsidRPr="00F17C5F">
        <w:rPr>
          <w:rFonts w:ascii="Book Antiqua" w:eastAsia="Calibri" w:hAnsi="Book Antiqua"/>
          <w:b/>
          <w:color w:val="000000" w:themeColor="text1"/>
        </w:rPr>
        <w:t xml:space="preserve"> Drug</w:t>
      </w:r>
      <w:r w:rsidR="00F6162B" w:rsidRPr="00F17C5F">
        <w:rPr>
          <w:rFonts w:ascii="Book Antiqua" w:eastAsia="Calibri" w:hAnsi="Book Antiqua"/>
          <w:b/>
          <w:color w:val="000000" w:themeColor="text1"/>
        </w:rPr>
        <w:t xml:space="preserve"> dosing considerations in adult patients receiving</w:t>
      </w:r>
      <w:r w:rsidR="003E15F5" w:rsidRPr="00F17C5F">
        <w:rPr>
          <w:rFonts w:ascii="Book Antiqua" w:eastAsia="Calibri" w:hAnsi="Book Antiqua"/>
          <w:b/>
          <w:color w:val="000000" w:themeColor="text1"/>
        </w:rPr>
        <w:t xml:space="preserve"> Extracorporeal Membrane Oxygenation (ECMO)</w:t>
      </w:r>
    </w:p>
    <w:tbl>
      <w:tblPr>
        <w:tblStyle w:val="TableGrid"/>
        <w:tblW w:w="0" w:type="auto"/>
        <w:tblLook w:val="04A0" w:firstRow="1" w:lastRow="0" w:firstColumn="1" w:lastColumn="0" w:noHBand="0" w:noVBand="1"/>
      </w:tblPr>
      <w:tblGrid>
        <w:gridCol w:w="9576"/>
      </w:tblGrid>
      <w:tr w:rsidR="002635AC" w:rsidRPr="00F17C5F" w14:paraId="61FC29F8" w14:textId="77777777" w:rsidTr="002635AC">
        <w:tc>
          <w:tcPr>
            <w:tcW w:w="9576" w:type="dxa"/>
          </w:tcPr>
          <w:p w14:paraId="1F001A42"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Drug dosing recommendations for an adult on ECMO are unlikely to be evidenced-based</w:t>
            </w:r>
          </w:p>
        </w:tc>
      </w:tr>
      <w:tr w:rsidR="002635AC" w:rsidRPr="00F17C5F" w14:paraId="1C9E2181" w14:textId="77777777" w:rsidTr="002635AC">
        <w:tc>
          <w:tcPr>
            <w:tcW w:w="9576" w:type="dxa"/>
          </w:tcPr>
          <w:p w14:paraId="21E300B0"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from neonatal case reports, case series or studies may not apply to adults</w:t>
            </w:r>
          </w:p>
        </w:tc>
      </w:tr>
      <w:tr w:rsidR="002635AC" w:rsidRPr="00F17C5F" w14:paraId="0C12D08C" w14:textId="77777777" w:rsidTr="002635AC">
        <w:tc>
          <w:tcPr>
            <w:tcW w:w="9576" w:type="dxa"/>
          </w:tcPr>
          <w:p w14:paraId="797802DD"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Data from one drug may not be applicable to another even from the same class</w:t>
            </w:r>
          </w:p>
        </w:tc>
      </w:tr>
      <w:tr w:rsidR="002635AC" w:rsidRPr="00F17C5F" w14:paraId="0792D77C" w14:textId="77777777" w:rsidTr="002635AC">
        <w:tc>
          <w:tcPr>
            <w:tcW w:w="9576" w:type="dxa"/>
          </w:tcPr>
          <w:p w14:paraId="48D752DE"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Drug regimen recommendations in critical care guidelines may not apply to patients on ECMO</w:t>
            </w:r>
          </w:p>
        </w:tc>
      </w:tr>
      <w:tr w:rsidR="002635AC" w:rsidRPr="00F17C5F" w14:paraId="5BA47AD6" w14:textId="77777777" w:rsidTr="002635AC">
        <w:tc>
          <w:tcPr>
            <w:tcW w:w="9576" w:type="dxa"/>
          </w:tcPr>
          <w:p w14:paraId="27615271"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Organ dysfunction apart from the lung and heart complicate interpretation of literature</w:t>
            </w:r>
          </w:p>
        </w:tc>
      </w:tr>
      <w:tr w:rsidR="002635AC" w:rsidRPr="00F17C5F" w14:paraId="104F6EFD" w14:textId="77777777" w:rsidTr="002635AC">
        <w:tc>
          <w:tcPr>
            <w:tcW w:w="9576" w:type="dxa"/>
          </w:tcPr>
          <w:p w14:paraId="50095003"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The contribution of distinct physicochemical properties of drugs to sequestration is unclear</w:t>
            </w:r>
          </w:p>
        </w:tc>
      </w:tr>
      <w:tr w:rsidR="002635AC" w:rsidRPr="00F17C5F" w14:paraId="079BE965" w14:textId="77777777" w:rsidTr="002635AC">
        <w:tc>
          <w:tcPr>
            <w:tcW w:w="9576" w:type="dxa"/>
          </w:tcPr>
          <w:p w14:paraId="5261A8F7"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Hydrophilicity or lipophilicity appear to be important factors affecting pharmacokinetics</w:t>
            </w:r>
          </w:p>
        </w:tc>
      </w:tr>
      <w:tr w:rsidR="002635AC" w:rsidRPr="00F17C5F" w14:paraId="01ADAEEF" w14:textId="77777777" w:rsidTr="002635AC">
        <w:tc>
          <w:tcPr>
            <w:tcW w:w="9576" w:type="dxa"/>
          </w:tcPr>
          <w:p w14:paraId="03557D1F"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The therapeutic actions of drugs are not consistently predictable by pharmacokinetics</w:t>
            </w:r>
          </w:p>
        </w:tc>
      </w:tr>
      <w:tr w:rsidR="002635AC" w:rsidRPr="00F17C5F" w14:paraId="0D4360B8" w14:textId="77777777" w:rsidTr="002635AC">
        <w:tc>
          <w:tcPr>
            <w:tcW w:w="9576" w:type="dxa"/>
          </w:tcPr>
          <w:p w14:paraId="7F1CC1CA"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The design and properties of the equipment change over time with implications for dosing</w:t>
            </w:r>
          </w:p>
        </w:tc>
      </w:tr>
      <w:tr w:rsidR="002635AC" w:rsidRPr="00F17C5F" w14:paraId="3A04B38D" w14:textId="77777777" w:rsidTr="002635AC">
        <w:tc>
          <w:tcPr>
            <w:tcW w:w="9576" w:type="dxa"/>
          </w:tcPr>
          <w:p w14:paraId="6CE22079"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The priming solution such as blood or blood-derived products may affect dosing</w:t>
            </w:r>
          </w:p>
        </w:tc>
      </w:tr>
    </w:tbl>
    <w:p w14:paraId="6168E9C8" w14:textId="77777777" w:rsidR="003E15F5" w:rsidRPr="00F17C5F" w:rsidRDefault="003E15F5" w:rsidP="00F17C5F">
      <w:pPr>
        <w:spacing w:after="0" w:line="360" w:lineRule="auto"/>
        <w:jc w:val="both"/>
        <w:rPr>
          <w:rFonts w:ascii="Book Antiqua" w:eastAsia="Calibri" w:hAnsi="Book Antiqua"/>
          <w:color w:val="000000" w:themeColor="text1"/>
        </w:rPr>
      </w:pPr>
    </w:p>
    <w:p w14:paraId="10DD9B64" w14:textId="77777777" w:rsidR="003E15F5" w:rsidRPr="00F17C5F" w:rsidRDefault="003E15F5" w:rsidP="00F17C5F">
      <w:pPr>
        <w:spacing w:after="0" w:line="360" w:lineRule="auto"/>
        <w:jc w:val="both"/>
        <w:rPr>
          <w:rFonts w:ascii="Book Antiqua" w:eastAsia="Calibri" w:hAnsi="Book Antiqua"/>
          <w:color w:val="000000" w:themeColor="text1"/>
        </w:rPr>
      </w:pPr>
      <w:r w:rsidRPr="00F17C5F">
        <w:rPr>
          <w:rFonts w:ascii="Book Antiqua" w:eastAsia="Calibri" w:hAnsi="Book Antiqua"/>
          <w:color w:val="000000" w:themeColor="text1"/>
        </w:rPr>
        <w:br w:type="page"/>
      </w:r>
    </w:p>
    <w:p w14:paraId="209EF6DD" w14:textId="2A2BF14E" w:rsidR="003E15F5" w:rsidRPr="00F17C5F" w:rsidRDefault="00772E20" w:rsidP="00F17C5F">
      <w:pPr>
        <w:spacing w:after="0"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Table 11</w:t>
      </w:r>
      <w:r w:rsidR="000C28EB" w:rsidRPr="00F17C5F">
        <w:rPr>
          <w:rFonts w:ascii="Book Antiqua" w:eastAsia="Calibri" w:hAnsi="Book Antiqua"/>
          <w:b/>
          <w:color w:val="000000" w:themeColor="text1"/>
        </w:rPr>
        <w:t xml:space="preserve"> </w:t>
      </w:r>
      <w:r w:rsidR="003E15F5" w:rsidRPr="00F17C5F">
        <w:rPr>
          <w:rFonts w:ascii="Book Antiqua" w:eastAsia="Calibri" w:hAnsi="Book Antiqua"/>
          <w:b/>
          <w:color w:val="000000" w:themeColor="text1"/>
        </w:rPr>
        <w:t xml:space="preserve">Pharmacokinetic and </w:t>
      </w:r>
      <w:r w:rsidR="00F540CC" w:rsidRPr="00F17C5F">
        <w:rPr>
          <w:rFonts w:ascii="Book Antiqua" w:eastAsia="Calibri" w:hAnsi="Book Antiqua"/>
          <w:b/>
          <w:color w:val="000000" w:themeColor="text1"/>
        </w:rPr>
        <w:t>physicochemical properties of drugs commonly use</w:t>
      </w:r>
      <w:r w:rsidR="003E15F5" w:rsidRPr="00F17C5F">
        <w:rPr>
          <w:rFonts w:ascii="Book Antiqua" w:eastAsia="Calibri" w:hAnsi="Book Antiqua"/>
          <w:b/>
          <w:color w:val="000000" w:themeColor="text1"/>
        </w:rPr>
        <w:t>d in the ICU</w:t>
      </w:r>
      <w:r w:rsidR="001838CC" w:rsidRPr="00F17C5F">
        <w:rPr>
          <w:rFonts w:ascii="Book Antiqua" w:hAnsi="Book Antiqua"/>
          <w:b/>
          <w:color w:val="000000" w:themeColor="text1"/>
          <w:vertAlign w:val="superscript"/>
          <w:lang w:eastAsia="zh-CN"/>
        </w:rPr>
        <w:t>1</w:t>
      </w:r>
    </w:p>
    <w:tbl>
      <w:tblPr>
        <w:tblStyle w:val="TableGrid"/>
        <w:tblW w:w="0" w:type="auto"/>
        <w:tblLook w:val="04A0" w:firstRow="1" w:lastRow="0" w:firstColumn="1" w:lastColumn="0" w:noHBand="0" w:noVBand="1"/>
      </w:tblPr>
      <w:tblGrid>
        <w:gridCol w:w="2489"/>
        <w:gridCol w:w="2795"/>
        <w:gridCol w:w="1468"/>
        <w:gridCol w:w="1401"/>
        <w:gridCol w:w="1423"/>
      </w:tblGrid>
      <w:tr w:rsidR="00D17094" w:rsidRPr="00F17C5F" w14:paraId="56657658" w14:textId="77777777" w:rsidTr="002635AC">
        <w:tc>
          <w:tcPr>
            <w:tcW w:w="2195" w:type="dxa"/>
          </w:tcPr>
          <w:p w14:paraId="0D714438" w14:textId="4B5C4E50" w:rsidR="002635AC" w:rsidRPr="00F17C5F" w:rsidRDefault="002635AC" w:rsidP="00F17C5F">
            <w:pPr>
              <w:spacing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Indication/</w:t>
            </w:r>
            <w:r w:rsidR="00F17C5F" w:rsidRPr="00F17C5F">
              <w:rPr>
                <w:rFonts w:ascii="Book Antiqua" w:eastAsia="Calibri" w:hAnsi="Book Antiqua"/>
                <w:b/>
                <w:color w:val="000000" w:themeColor="text1"/>
              </w:rPr>
              <w:t>class</w:t>
            </w:r>
          </w:p>
        </w:tc>
        <w:tc>
          <w:tcPr>
            <w:tcW w:w="1959" w:type="dxa"/>
          </w:tcPr>
          <w:p w14:paraId="4D52DA35" w14:textId="04992C21" w:rsidR="002635AC" w:rsidRPr="00F17C5F" w:rsidRDefault="002635AC" w:rsidP="00F17C5F">
            <w:pPr>
              <w:spacing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 xml:space="preserve">Specific </w:t>
            </w:r>
            <w:r w:rsidR="00F17C5F" w:rsidRPr="00F17C5F">
              <w:rPr>
                <w:rFonts w:ascii="Book Antiqua" w:eastAsia="Calibri" w:hAnsi="Book Antiqua"/>
                <w:b/>
                <w:color w:val="000000" w:themeColor="text1"/>
              </w:rPr>
              <w:t>drug</w:t>
            </w:r>
            <w:r w:rsidRPr="00F17C5F">
              <w:rPr>
                <w:rFonts w:ascii="Book Antiqua" w:eastAsia="Calibri" w:hAnsi="Book Antiqua"/>
                <w:b/>
                <w:color w:val="000000" w:themeColor="text1"/>
              </w:rPr>
              <w:tab/>
            </w:r>
          </w:p>
        </w:tc>
        <w:tc>
          <w:tcPr>
            <w:tcW w:w="1896" w:type="dxa"/>
          </w:tcPr>
          <w:p w14:paraId="7E89F020" w14:textId="77777777" w:rsidR="002635AC" w:rsidRPr="00F17C5F" w:rsidRDefault="002635AC" w:rsidP="00F17C5F">
            <w:pPr>
              <w:spacing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LogP</w:t>
            </w:r>
          </w:p>
        </w:tc>
        <w:tc>
          <w:tcPr>
            <w:tcW w:w="1763" w:type="dxa"/>
          </w:tcPr>
          <w:p w14:paraId="0CCE09C4" w14:textId="0537DAB5" w:rsidR="002635AC" w:rsidRPr="00F17C5F" w:rsidRDefault="002635AC" w:rsidP="00F17C5F">
            <w:pPr>
              <w:spacing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Pb</w:t>
            </w:r>
            <w:r w:rsidR="00E3239F" w:rsidRPr="00F17C5F">
              <w:rPr>
                <w:rFonts w:ascii="Book Antiqua" w:hAnsi="Book Antiqua"/>
                <w:b/>
                <w:color w:val="000000" w:themeColor="text1"/>
                <w:lang w:eastAsia="zh-CN"/>
              </w:rPr>
              <w:t xml:space="preserve"> </w:t>
            </w:r>
            <w:r w:rsidR="00F17C5F">
              <w:rPr>
                <w:rFonts w:ascii="Book Antiqua" w:hAnsi="Book Antiqua" w:hint="eastAsia"/>
                <w:b/>
                <w:color w:val="000000" w:themeColor="text1"/>
                <w:lang w:eastAsia="zh-CN"/>
              </w:rPr>
              <w:t xml:space="preserve"> (</w:t>
            </w:r>
            <w:r w:rsidR="00F17C5F" w:rsidRPr="00F17C5F">
              <w:rPr>
                <w:rFonts w:ascii="Book Antiqua" w:eastAsia="Calibri" w:hAnsi="Book Antiqua"/>
                <w:color w:val="000000" w:themeColor="text1"/>
              </w:rPr>
              <w:t>%</w:t>
            </w:r>
            <w:r w:rsidR="00F17C5F">
              <w:rPr>
                <w:rFonts w:ascii="Book Antiqua" w:hAnsi="Book Antiqua" w:hint="eastAsia"/>
                <w:b/>
                <w:color w:val="000000" w:themeColor="text1"/>
                <w:lang w:eastAsia="zh-CN"/>
              </w:rPr>
              <w:t>)</w:t>
            </w:r>
          </w:p>
        </w:tc>
        <w:tc>
          <w:tcPr>
            <w:tcW w:w="1763" w:type="dxa"/>
          </w:tcPr>
          <w:p w14:paraId="57596DB5" w14:textId="3FA979E6" w:rsidR="002635AC" w:rsidRPr="00F17C5F" w:rsidRDefault="002635AC" w:rsidP="00F17C5F">
            <w:pPr>
              <w:spacing w:line="360" w:lineRule="auto"/>
              <w:jc w:val="both"/>
              <w:rPr>
                <w:rFonts w:ascii="Book Antiqua" w:hAnsi="Book Antiqua"/>
                <w:b/>
                <w:color w:val="000000" w:themeColor="text1"/>
                <w:lang w:eastAsia="zh-CN"/>
              </w:rPr>
            </w:pPr>
            <w:r w:rsidRPr="00F17C5F">
              <w:rPr>
                <w:rFonts w:ascii="Book Antiqua" w:eastAsia="Calibri" w:hAnsi="Book Antiqua"/>
                <w:b/>
                <w:color w:val="000000" w:themeColor="text1"/>
              </w:rPr>
              <w:t>Vd</w:t>
            </w:r>
            <w:r w:rsidR="00F17C5F">
              <w:rPr>
                <w:rFonts w:ascii="Book Antiqua" w:hAnsi="Book Antiqua" w:hint="eastAsia"/>
                <w:b/>
                <w:color w:val="000000" w:themeColor="text1"/>
                <w:lang w:eastAsia="zh-CN"/>
              </w:rPr>
              <w:t xml:space="preserve"> (</w:t>
            </w:r>
            <w:r w:rsidR="00F17C5F" w:rsidRPr="00F17C5F">
              <w:rPr>
                <w:rFonts w:ascii="Book Antiqua" w:eastAsia="Calibri" w:hAnsi="Book Antiqua"/>
                <w:b/>
                <w:color w:val="000000" w:themeColor="text1"/>
              </w:rPr>
              <w:t>L/kg</w:t>
            </w:r>
            <w:r w:rsidR="00F17C5F">
              <w:rPr>
                <w:rFonts w:ascii="Book Antiqua" w:hAnsi="Book Antiqua" w:hint="eastAsia"/>
                <w:b/>
                <w:color w:val="000000" w:themeColor="text1"/>
                <w:lang w:eastAsia="zh-CN"/>
              </w:rPr>
              <w:t>)</w:t>
            </w:r>
          </w:p>
          <w:p w14:paraId="1CD299DD" w14:textId="77777777" w:rsidR="002635AC" w:rsidRPr="00F17C5F" w:rsidRDefault="002635AC" w:rsidP="00F17C5F">
            <w:pPr>
              <w:spacing w:line="360" w:lineRule="auto"/>
              <w:jc w:val="both"/>
              <w:rPr>
                <w:rFonts w:ascii="Book Antiqua" w:hAnsi="Book Antiqua"/>
                <w:b/>
                <w:color w:val="000000" w:themeColor="text1"/>
                <w:lang w:eastAsia="zh-CN"/>
              </w:rPr>
            </w:pPr>
          </w:p>
        </w:tc>
      </w:tr>
      <w:tr w:rsidR="00D17094" w:rsidRPr="00F17C5F" w14:paraId="4763A16A" w14:textId="77777777" w:rsidTr="002635AC">
        <w:tc>
          <w:tcPr>
            <w:tcW w:w="2195" w:type="dxa"/>
          </w:tcPr>
          <w:p w14:paraId="0D79FD9E"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Sedative</w:t>
            </w:r>
          </w:p>
        </w:tc>
        <w:tc>
          <w:tcPr>
            <w:tcW w:w="1959" w:type="dxa"/>
          </w:tcPr>
          <w:p w14:paraId="1C033C3D" w14:textId="77777777" w:rsidR="002635AC" w:rsidRPr="00F17C5F" w:rsidRDefault="002635AC" w:rsidP="00F17C5F">
            <w:pPr>
              <w:spacing w:line="360" w:lineRule="auto"/>
              <w:jc w:val="both"/>
              <w:rPr>
                <w:rFonts w:ascii="Book Antiqua" w:hAnsi="Book Antiqua"/>
                <w:color w:val="000000" w:themeColor="text1"/>
                <w:lang w:eastAsia="zh-CN"/>
              </w:rPr>
            </w:pPr>
          </w:p>
        </w:tc>
        <w:tc>
          <w:tcPr>
            <w:tcW w:w="1896" w:type="dxa"/>
          </w:tcPr>
          <w:p w14:paraId="432ABF96" w14:textId="77777777" w:rsidR="002635AC" w:rsidRPr="00F17C5F" w:rsidRDefault="002635AC" w:rsidP="00F17C5F">
            <w:pPr>
              <w:spacing w:line="360" w:lineRule="auto"/>
              <w:jc w:val="both"/>
              <w:rPr>
                <w:rFonts w:ascii="Book Antiqua" w:hAnsi="Book Antiqua"/>
                <w:color w:val="000000" w:themeColor="text1"/>
                <w:lang w:eastAsia="zh-CN"/>
              </w:rPr>
            </w:pPr>
          </w:p>
        </w:tc>
        <w:tc>
          <w:tcPr>
            <w:tcW w:w="1763" w:type="dxa"/>
          </w:tcPr>
          <w:p w14:paraId="5A04A5A6" w14:textId="77777777" w:rsidR="002635AC" w:rsidRPr="00F17C5F" w:rsidRDefault="002635AC" w:rsidP="00F17C5F">
            <w:pPr>
              <w:spacing w:line="360" w:lineRule="auto"/>
              <w:jc w:val="both"/>
              <w:rPr>
                <w:rFonts w:ascii="Book Antiqua" w:hAnsi="Book Antiqua"/>
                <w:color w:val="000000" w:themeColor="text1"/>
                <w:lang w:eastAsia="zh-CN"/>
              </w:rPr>
            </w:pPr>
          </w:p>
        </w:tc>
        <w:tc>
          <w:tcPr>
            <w:tcW w:w="1763" w:type="dxa"/>
          </w:tcPr>
          <w:p w14:paraId="7F53A811" w14:textId="77777777" w:rsidR="002635AC" w:rsidRPr="00F17C5F" w:rsidRDefault="002635AC" w:rsidP="00F17C5F">
            <w:pPr>
              <w:spacing w:line="360" w:lineRule="auto"/>
              <w:jc w:val="both"/>
              <w:rPr>
                <w:rFonts w:ascii="Book Antiqua" w:hAnsi="Book Antiqua"/>
                <w:color w:val="000000" w:themeColor="text1"/>
                <w:lang w:eastAsia="zh-CN"/>
              </w:rPr>
            </w:pPr>
          </w:p>
        </w:tc>
      </w:tr>
      <w:tr w:rsidR="00D17094" w:rsidRPr="00F17C5F" w14:paraId="4E479D64" w14:textId="77777777" w:rsidTr="002635AC">
        <w:tc>
          <w:tcPr>
            <w:tcW w:w="2195" w:type="dxa"/>
          </w:tcPr>
          <w:p w14:paraId="5434487B" w14:textId="77777777" w:rsidR="002635AC" w:rsidRPr="00F17C5F" w:rsidRDefault="002635AC" w:rsidP="00F17C5F">
            <w:pPr>
              <w:spacing w:line="360" w:lineRule="auto"/>
              <w:jc w:val="both"/>
              <w:rPr>
                <w:rFonts w:ascii="Book Antiqua" w:hAnsi="Book Antiqua"/>
                <w:color w:val="000000" w:themeColor="text1"/>
                <w:lang w:eastAsia="zh-CN"/>
              </w:rPr>
            </w:pPr>
          </w:p>
        </w:tc>
        <w:tc>
          <w:tcPr>
            <w:tcW w:w="1959" w:type="dxa"/>
          </w:tcPr>
          <w:p w14:paraId="74CD82E1"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propofol</w:t>
            </w:r>
            <w:r w:rsidRPr="00F17C5F">
              <w:rPr>
                <w:rFonts w:ascii="Book Antiqua" w:eastAsia="Calibri" w:hAnsi="Book Antiqua"/>
                <w:color w:val="000000" w:themeColor="text1"/>
              </w:rPr>
              <w:tab/>
            </w:r>
          </w:p>
        </w:tc>
        <w:tc>
          <w:tcPr>
            <w:tcW w:w="1896" w:type="dxa"/>
          </w:tcPr>
          <w:p w14:paraId="0B22D6AC"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4.16</w:t>
            </w:r>
          </w:p>
        </w:tc>
        <w:tc>
          <w:tcPr>
            <w:tcW w:w="1763" w:type="dxa"/>
          </w:tcPr>
          <w:p w14:paraId="52922B5F" w14:textId="7AFE2B10"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98</w:t>
            </w:r>
          </w:p>
        </w:tc>
        <w:tc>
          <w:tcPr>
            <w:tcW w:w="1763" w:type="dxa"/>
          </w:tcPr>
          <w:p w14:paraId="4C96BFC4" w14:textId="5ECEBACB" w:rsidR="002635AC" w:rsidRPr="00F17C5F" w:rsidRDefault="004A2554" w:rsidP="00F17C5F">
            <w:pPr>
              <w:spacing w:line="360" w:lineRule="auto"/>
              <w:jc w:val="both"/>
              <w:rPr>
                <w:rFonts w:ascii="Book Antiqua" w:hAnsi="Book Antiqua"/>
                <w:color w:val="000000" w:themeColor="text1"/>
                <w:lang w:eastAsia="zh-CN"/>
              </w:rPr>
            </w:pPr>
            <w:r w:rsidRPr="00F17C5F">
              <w:rPr>
                <w:rFonts w:ascii="Book Antiqua" w:hAnsi="Book Antiqua"/>
                <w:color w:val="000000" w:themeColor="text1"/>
                <w:lang w:eastAsia="zh-CN"/>
              </w:rPr>
              <w:t>6</w:t>
            </w:r>
            <w:r w:rsidRPr="00F17C5F">
              <w:rPr>
                <w:rFonts w:ascii="Book Antiqua" w:eastAsia="Calibri" w:hAnsi="Book Antiqua"/>
                <w:color w:val="000000" w:themeColor="text1"/>
              </w:rPr>
              <w:t xml:space="preserve">0 </w:t>
            </w:r>
          </w:p>
        </w:tc>
      </w:tr>
      <w:tr w:rsidR="00D17094" w:rsidRPr="00F17C5F" w14:paraId="7CC6B819" w14:textId="77777777" w:rsidTr="002635AC">
        <w:tc>
          <w:tcPr>
            <w:tcW w:w="2195" w:type="dxa"/>
          </w:tcPr>
          <w:p w14:paraId="2C6DE157" w14:textId="77777777" w:rsidR="002635AC" w:rsidRPr="00F17C5F" w:rsidRDefault="002635AC" w:rsidP="00F17C5F">
            <w:pPr>
              <w:spacing w:line="360" w:lineRule="auto"/>
              <w:jc w:val="both"/>
              <w:rPr>
                <w:rFonts w:ascii="Book Antiqua" w:hAnsi="Book Antiqua"/>
                <w:color w:val="000000" w:themeColor="text1"/>
                <w:lang w:eastAsia="zh-CN"/>
              </w:rPr>
            </w:pPr>
          </w:p>
        </w:tc>
        <w:tc>
          <w:tcPr>
            <w:tcW w:w="1959" w:type="dxa"/>
          </w:tcPr>
          <w:p w14:paraId="0E6AA28C"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midazolam</w:t>
            </w:r>
          </w:p>
        </w:tc>
        <w:tc>
          <w:tcPr>
            <w:tcW w:w="1896" w:type="dxa"/>
          </w:tcPr>
          <w:p w14:paraId="2BEA8377"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3.33</w:t>
            </w:r>
          </w:p>
        </w:tc>
        <w:tc>
          <w:tcPr>
            <w:tcW w:w="1763" w:type="dxa"/>
          </w:tcPr>
          <w:p w14:paraId="5EC24552" w14:textId="5B8EE6E8" w:rsidR="002635AC"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97</w:t>
            </w:r>
          </w:p>
        </w:tc>
        <w:tc>
          <w:tcPr>
            <w:tcW w:w="1763" w:type="dxa"/>
          </w:tcPr>
          <w:p w14:paraId="5DEA3381" w14:textId="796C8918" w:rsidR="002635AC"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2 </w:t>
            </w:r>
          </w:p>
        </w:tc>
      </w:tr>
      <w:tr w:rsidR="00D17094" w:rsidRPr="00F17C5F" w14:paraId="18870AB6" w14:textId="77777777" w:rsidTr="002635AC">
        <w:tc>
          <w:tcPr>
            <w:tcW w:w="2195" w:type="dxa"/>
          </w:tcPr>
          <w:p w14:paraId="6E9187EC" w14:textId="77777777" w:rsidR="002635AC" w:rsidRPr="00F17C5F" w:rsidRDefault="002635AC" w:rsidP="00F17C5F">
            <w:pPr>
              <w:spacing w:line="360" w:lineRule="auto"/>
              <w:jc w:val="both"/>
              <w:rPr>
                <w:rFonts w:ascii="Book Antiqua" w:hAnsi="Book Antiqua"/>
                <w:color w:val="000000" w:themeColor="text1"/>
                <w:lang w:eastAsia="zh-CN"/>
              </w:rPr>
            </w:pPr>
          </w:p>
        </w:tc>
        <w:tc>
          <w:tcPr>
            <w:tcW w:w="1959" w:type="dxa"/>
          </w:tcPr>
          <w:p w14:paraId="601857DA"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lorazepam</w:t>
            </w:r>
          </w:p>
        </w:tc>
        <w:tc>
          <w:tcPr>
            <w:tcW w:w="1896" w:type="dxa"/>
          </w:tcPr>
          <w:p w14:paraId="20EF2E6C"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3.53</w:t>
            </w:r>
          </w:p>
        </w:tc>
        <w:tc>
          <w:tcPr>
            <w:tcW w:w="1763" w:type="dxa"/>
          </w:tcPr>
          <w:p w14:paraId="12D4B21D" w14:textId="0D6769AF" w:rsidR="002635AC"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91</w:t>
            </w:r>
          </w:p>
        </w:tc>
        <w:tc>
          <w:tcPr>
            <w:tcW w:w="1763" w:type="dxa"/>
          </w:tcPr>
          <w:p w14:paraId="04C1C3F4" w14:textId="3615B278" w:rsidR="002635AC"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1.3</w:t>
            </w:r>
          </w:p>
        </w:tc>
      </w:tr>
      <w:tr w:rsidR="00D17094" w:rsidRPr="00F17C5F" w14:paraId="0AE2AC5A" w14:textId="77777777" w:rsidTr="002635AC">
        <w:tc>
          <w:tcPr>
            <w:tcW w:w="2195" w:type="dxa"/>
          </w:tcPr>
          <w:p w14:paraId="0FB29BE5" w14:textId="77777777" w:rsidR="002635AC" w:rsidRPr="00F17C5F" w:rsidRDefault="002635AC" w:rsidP="00F17C5F">
            <w:pPr>
              <w:spacing w:line="360" w:lineRule="auto"/>
              <w:jc w:val="both"/>
              <w:rPr>
                <w:rFonts w:ascii="Book Antiqua" w:hAnsi="Book Antiqua"/>
                <w:color w:val="000000" w:themeColor="text1"/>
                <w:lang w:eastAsia="zh-CN"/>
              </w:rPr>
            </w:pPr>
          </w:p>
        </w:tc>
        <w:tc>
          <w:tcPr>
            <w:tcW w:w="1959" w:type="dxa"/>
          </w:tcPr>
          <w:p w14:paraId="5213675F"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dexmedetomidine</w:t>
            </w:r>
          </w:p>
        </w:tc>
        <w:tc>
          <w:tcPr>
            <w:tcW w:w="1896" w:type="dxa"/>
          </w:tcPr>
          <w:p w14:paraId="4D7196C8" w14:textId="77777777" w:rsidR="002635AC" w:rsidRPr="00F17C5F" w:rsidRDefault="002635AC"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3.39</w:t>
            </w:r>
          </w:p>
        </w:tc>
        <w:tc>
          <w:tcPr>
            <w:tcW w:w="1763" w:type="dxa"/>
          </w:tcPr>
          <w:p w14:paraId="19B24662" w14:textId="737C40E3" w:rsidR="002635AC"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94</w:t>
            </w:r>
          </w:p>
        </w:tc>
        <w:tc>
          <w:tcPr>
            <w:tcW w:w="1763" w:type="dxa"/>
          </w:tcPr>
          <w:p w14:paraId="6742DB44" w14:textId="4BF94D42" w:rsidR="002635AC"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1.3 </w:t>
            </w:r>
          </w:p>
        </w:tc>
      </w:tr>
      <w:tr w:rsidR="00D17094" w:rsidRPr="00F17C5F" w14:paraId="0F445D98" w14:textId="77777777" w:rsidTr="002635AC">
        <w:tc>
          <w:tcPr>
            <w:tcW w:w="2195" w:type="dxa"/>
          </w:tcPr>
          <w:p w14:paraId="34FABAB5" w14:textId="77777777" w:rsidR="002635AC"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Analgesic</w:t>
            </w:r>
          </w:p>
        </w:tc>
        <w:tc>
          <w:tcPr>
            <w:tcW w:w="1959" w:type="dxa"/>
          </w:tcPr>
          <w:p w14:paraId="11D98C92" w14:textId="77777777" w:rsidR="002635AC" w:rsidRPr="00F17C5F" w:rsidRDefault="002635AC" w:rsidP="00F17C5F">
            <w:pPr>
              <w:spacing w:line="360" w:lineRule="auto"/>
              <w:jc w:val="both"/>
              <w:rPr>
                <w:rFonts w:ascii="Book Antiqua" w:hAnsi="Book Antiqua"/>
                <w:color w:val="000000" w:themeColor="text1"/>
                <w:lang w:eastAsia="zh-CN"/>
              </w:rPr>
            </w:pPr>
          </w:p>
        </w:tc>
        <w:tc>
          <w:tcPr>
            <w:tcW w:w="1896" w:type="dxa"/>
          </w:tcPr>
          <w:p w14:paraId="61F27635" w14:textId="77777777" w:rsidR="002635AC" w:rsidRPr="00F17C5F" w:rsidRDefault="002635AC" w:rsidP="00F17C5F">
            <w:pPr>
              <w:spacing w:line="360" w:lineRule="auto"/>
              <w:jc w:val="both"/>
              <w:rPr>
                <w:rFonts w:ascii="Book Antiqua" w:hAnsi="Book Antiqua"/>
                <w:color w:val="000000" w:themeColor="text1"/>
                <w:lang w:eastAsia="zh-CN"/>
              </w:rPr>
            </w:pPr>
          </w:p>
        </w:tc>
        <w:tc>
          <w:tcPr>
            <w:tcW w:w="1763" w:type="dxa"/>
          </w:tcPr>
          <w:p w14:paraId="2DADBFCC" w14:textId="77777777" w:rsidR="002635AC" w:rsidRPr="00F17C5F" w:rsidRDefault="002635AC" w:rsidP="00F17C5F">
            <w:pPr>
              <w:spacing w:line="360" w:lineRule="auto"/>
              <w:jc w:val="both"/>
              <w:rPr>
                <w:rFonts w:ascii="Book Antiqua" w:hAnsi="Book Antiqua"/>
                <w:color w:val="000000" w:themeColor="text1"/>
                <w:lang w:eastAsia="zh-CN"/>
              </w:rPr>
            </w:pPr>
          </w:p>
        </w:tc>
        <w:tc>
          <w:tcPr>
            <w:tcW w:w="1763" w:type="dxa"/>
          </w:tcPr>
          <w:p w14:paraId="7DA3C834" w14:textId="77777777" w:rsidR="002635AC" w:rsidRPr="00F17C5F" w:rsidRDefault="002635AC" w:rsidP="00F17C5F">
            <w:pPr>
              <w:spacing w:line="360" w:lineRule="auto"/>
              <w:jc w:val="both"/>
              <w:rPr>
                <w:rFonts w:ascii="Book Antiqua" w:hAnsi="Book Antiqua"/>
                <w:color w:val="000000" w:themeColor="text1"/>
                <w:lang w:eastAsia="zh-CN"/>
              </w:rPr>
            </w:pPr>
          </w:p>
        </w:tc>
      </w:tr>
      <w:tr w:rsidR="00D17094" w:rsidRPr="00F17C5F" w14:paraId="363A5943" w14:textId="77777777" w:rsidTr="002635AC">
        <w:tc>
          <w:tcPr>
            <w:tcW w:w="2195" w:type="dxa"/>
          </w:tcPr>
          <w:p w14:paraId="4CC73682" w14:textId="77777777" w:rsidR="002635AC" w:rsidRPr="00F17C5F" w:rsidRDefault="002635AC" w:rsidP="00F17C5F">
            <w:pPr>
              <w:spacing w:line="360" w:lineRule="auto"/>
              <w:jc w:val="both"/>
              <w:rPr>
                <w:rFonts w:ascii="Book Antiqua" w:hAnsi="Book Antiqua"/>
                <w:color w:val="000000" w:themeColor="text1"/>
                <w:lang w:eastAsia="zh-CN"/>
              </w:rPr>
            </w:pPr>
          </w:p>
        </w:tc>
        <w:tc>
          <w:tcPr>
            <w:tcW w:w="1959" w:type="dxa"/>
          </w:tcPr>
          <w:p w14:paraId="1182EC1A" w14:textId="77777777" w:rsidR="002635AC"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morphine</w:t>
            </w:r>
            <w:r w:rsidRPr="00F17C5F">
              <w:rPr>
                <w:rFonts w:ascii="Book Antiqua" w:eastAsia="Calibri" w:hAnsi="Book Antiqua"/>
                <w:color w:val="000000" w:themeColor="text1"/>
              </w:rPr>
              <w:tab/>
            </w:r>
          </w:p>
        </w:tc>
        <w:tc>
          <w:tcPr>
            <w:tcW w:w="1896" w:type="dxa"/>
          </w:tcPr>
          <w:p w14:paraId="66A850DF" w14:textId="77777777" w:rsidR="002635AC"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0.9</w:t>
            </w:r>
          </w:p>
        </w:tc>
        <w:tc>
          <w:tcPr>
            <w:tcW w:w="1763" w:type="dxa"/>
          </w:tcPr>
          <w:p w14:paraId="62337A63" w14:textId="19E3F0DC" w:rsidR="002635AC"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35</w:t>
            </w:r>
          </w:p>
        </w:tc>
        <w:tc>
          <w:tcPr>
            <w:tcW w:w="1763" w:type="dxa"/>
          </w:tcPr>
          <w:p w14:paraId="6BEB2013" w14:textId="7229E313" w:rsidR="002635AC"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3 </w:t>
            </w:r>
          </w:p>
        </w:tc>
      </w:tr>
      <w:tr w:rsidR="00D17094" w:rsidRPr="00F17C5F" w14:paraId="2AE7F075" w14:textId="77777777" w:rsidTr="002635AC">
        <w:tc>
          <w:tcPr>
            <w:tcW w:w="2195" w:type="dxa"/>
          </w:tcPr>
          <w:p w14:paraId="777F2997" w14:textId="77777777" w:rsidR="004A2554" w:rsidRPr="00F17C5F" w:rsidRDefault="004A2554" w:rsidP="00F17C5F">
            <w:pPr>
              <w:spacing w:line="360" w:lineRule="auto"/>
              <w:jc w:val="both"/>
              <w:rPr>
                <w:rFonts w:ascii="Book Antiqua" w:hAnsi="Book Antiqua"/>
                <w:color w:val="000000" w:themeColor="text1"/>
                <w:lang w:eastAsia="zh-CN"/>
              </w:rPr>
            </w:pPr>
          </w:p>
        </w:tc>
        <w:tc>
          <w:tcPr>
            <w:tcW w:w="1959" w:type="dxa"/>
          </w:tcPr>
          <w:p w14:paraId="646B8648"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fentanyl</w:t>
            </w:r>
          </w:p>
        </w:tc>
        <w:tc>
          <w:tcPr>
            <w:tcW w:w="1896" w:type="dxa"/>
          </w:tcPr>
          <w:p w14:paraId="0C0B5EE3"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3.82</w:t>
            </w:r>
          </w:p>
        </w:tc>
        <w:tc>
          <w:tcPr>
            <w:tcW w:w="1763" w:type="dxa"/>
          </w:tcPr>
          <w:p w14:paraId="2B43DF11" w14:textId="729AE2EB"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83</w:t>
            </w:r>
          </w:p>
        </w:tc>
        <w:tc>
          <w:tcPr>
            <w:tcW w:w="1763" w:type="dxa"/>
          </w:tcPr>
          <w:p w14:paraId="65D15648" w14:textId="160252A9"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5 </w:t>
            </w:r>
          </w:p>
        </w:tc>
      </w:tr>
      <w:tr w:rsidR="00D17094" w:rsidRPr="00F17C5F" w14:paraId="1A7D91DA" w14:textId="77777777" w:rsidTr="002635AC">
        <w:tc>
          <w:tcPr>
            <w:tcW w:w="2195" w:type="dxa"/>
          </w:tcPr>
          <w:p w14:paraId="1F008C5A" w14:textId="77777777" w:rsidR="004A2554" w:rsidRPr="00F17C5F" w:rsidRDefault="004A2554" w:rsidP="00F17C5F">
            <w:pPr>
              <w:spacing w:line="360" w:lineRule="auto"/>
              <w:jc w:val="both"/>
              <w:rPr>
                <w:rFonts w:ascii="Book Antiqua" w:hAnsi="Book Antiqua"/>
                <w:color w:val="000000" w:themeColor="text1"/>
                <w:lang w:eastAsia="zh-CN"/>
              </w:rPr>
            </w:pPr>
          </w:p>
        </w:tc>
        <w:tc>
          <w:tcPr>
            <w:tcW w:w="1959" w:type="dxa"/>
          </w:tcPr>
          <w:p w14:paraId="731515FC" w14:textId="77777777" w:rsidR="004A2554"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hydromorphone</w:t>
            </w:r>
          </w:p>
        </w:tc>
        <w:tc>
          <w:tcPr>
            <w:tcW w:w="1896" w:type="dxa"/>
          </w:tcPr>
          <w:p w14:paraId="0AF954B8"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1.62</w:t>
            </w:r>
            <w:r w:rsidRPr="00F17C5F">
              <w:rPr>
                <w:rFonts w:ascii="Book Antiqua" w:eastAsia="Calibri" w:hAnsi="Book Antiqua"/>
                <w:color w:val="000000" w:themeColor="text1"/>
              </w:rPr>
              <w:tab/>
            </w:r>
          </w:p>
        </w:tc>
        <w:tc>
          <w:tcPr>
            <w:tcW w:w="1763" w:type="dxa"/>
          </w:tcPr>
          <w:p w14:paraId="1A33C72D" w14:textId="13E201A0"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20</w:t>
            </w:r>
          </w:p>
        </w:tc>
        <w:tc>
          <w:tcPr>
            <w:tcW w:w="1763" w:type="dxa"/>
          </w:tcPr>
          <w:p w14:paraId="4F6CC2E4" w14:textId="6295559D"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1.2 </w:t>
            </w:r>
          </w:p>
        </w:tc>
      </w:tr>
      <w:tr w:rsidR="00D17094" w:rsidRPr="00F17C5F" w14:paraId="60967E7C" w14:textId="77777777" w:rsidTr="002635AC">
        <w:tc>
          <w:tcPr>
            <w:tcW w:w="2195" w:type="dxa"/>
          </w:tcPr>
          <w:p w14:paraId="5E5116AF" w14:textId="77777777" w:rsidR="004A2554"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Delirium</w:t>
            </w:r>
          </w:p>
        </w:tc>
        <w:tc>
          <w:tcPr>
            <w:tcW w:w="1959" w:type="dxa"/>
          </w:tcPr>
          <w:p w14:paraId="67E02425" w14:textId="77777777" w:rsidR="004A2554" w:rsidRPr="00F17C5F" w:rsidRDefault="004A2554" w:rsidP="00F17C5F">
            <w:pPr>
              <w:spacing w:line="360" w:lineRule="auto"/>
              <w:jc w:val="both"/>
              <w:rPr>
                <w:rFonts w:ascii="Book Antiqua" w:eastAsia="Calibri" w:hAnsi="Book Antiqua"/>
                <w:color w:val="000000" w:themeColor="text1"/>
              </w:rPr>
            </w:pPr>
          </w:p>
        </w:tc>
        <w:tc>
          <w:tcPr>
            <w:tcW w:w="1896" w:type="dxa"/>
          </w:tcPr>
          <w:p w14:paraId="1CD780DA" w14:textId="77777777" w:rsidR="004A2554" w:rsidRPr="00F17C5F" w:rsidRDefault="004A2554" w:rsidP="00F17C5F">
            <w:pPr>
              <w:spacing w:line="360" w:lineRule="auto"/>
              <w:jc w:val="both"/>
              <w:rPr>
                <w:rFonts w:ascii="Book Antiqua" w:eastAsia="Calibri" w:hAnsi="Book Antiqua"/>
                <w:color w:val="000000" w:themeColor="text1"/>
              </w:rPr>
            </w:pPr>
          </w:p>
        </w:tc>
        <w:tc>
          <w:tcPr>
            <w:tcW w:w="1763" w:type="dxa"/>
          </w:tcPr>
          <w:p w14:paraId="1276E3C5" w14:textId="77777777" w:rsidR="004A2554" w:rsidRPr="00F17C5F" w:rsidRDefault="004A2554" w:rsidP="00F17C5F">
            <w:pPr>
              <w:spacing w:line="360" w:lineRule="auto"/>
              <w:jc w:val="both"/>
              <w:rPr>
                <w:rFonts w:ascii="Book Antiqua" w:eastAsia="Calibri" w:hAnsi="Book Antiqua"/>
                <w:color w:val="000000" w:themeColor="text1"/>
              </w:rPr>
            </w:pPr>
          </w:p>
        </w:tc>
        <w:tc>
          <w:tcPr>
            <w:tcW w:w="1763" w:type="dxa"/>
          </w:tcPr>
          <w:p w14:paraId="760CB55C" w14:textId="77777777" w:rsidR="004A2554" w:rsidRPr="00F17C5F" w:rsidRDefault="004A2554" w:rsidP="00F17C5F">
            <w:pPr>
              <w:spacing w:line="360" w:lineRule="auto"/>
              <w:jc w:val="both"/>
              <w:rPr>
                <w:rFonts w:ascii="Book Antiqua" w:eastAsia="Calibri" w:hAnsi="Book Antiqua"/>
                <w:color w:val="000000" w:themeColor="text1"/>
              </w:rPr>
            </w:pPr>
          </w:p>
        </w:tc>
      </w:tr>
      <w:tr w:rsidR="00D17094" w:rsidRPr="00F17C5F" w14:paraId="5592FB7F" w14:textId="77777777" w:rsidTr="002635AC">
        <w:tc>
          <w:tcPr>
            <w:tcW w:w="2195" w:type="dxa"/>
          </w:tcPr>
          <w:p w14:paraId="087F42D4"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15336216"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quetiapine</w:t>
            </w:r>
          </w:p>
        </w:tc>
        <w:tc>
          <w:tcPr>
            <w:tcW w:w="1896" w:type="dxa"/>
          </w:tcPr>
          <w:p w14:paraId="6F4699C4"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2.81</w:t>
            </w:r>
          </w:p>
        </w:tc>
        <w:tc>
          <w:tcPr>
            <w:tcW w:w="1763" w:type="dxa"/>
          </w:tcPr>
          <w:p w14:paraId="0285E1C1" w14:textId="1E93F049" w:rsidR="004A2554" w:rsidRPr="00F17C5F" w:rsidRDefault="00F17C5F" w:rsidP="00F17C5F">
            <w:pPr>
              <w:spacing w:line="360" w:lineRule="auto"/>
              <w:jc w:val="both"/>
              <w:rPr>
                <w:rFonts w:ascii="Book Antiqua" w:eastAsia="Calibri" w:hAnsi="Book Antiqua"/>
                <w:color w:val="000000" w:themeColor="text1"/>
              </w:rPr>
            </w:pPr>
            <w:r>
              <w:rPr>
                <w:rFonts w:ascii="Book Antiqua" w:eastAsia="Calibri" w:hAnsi="Book Antiqua"/>
                <w:color w:val="000000" w:themeColor="text1"/>
              </w:rPr>
              <w:t>83</w:t>
            </w:r>
            <w:r w:rsidR="004A2554" w:rsidRPr="00F17C5F">
              <w:rPr>
                <w:rFonts w:ascii="Book Antiqua" w:eastAsia="Calibri" w:hAnsi="Book Antiqua"/>
                <w:color w:val="000000" w:themeColor="text1"/>
              </w:rPr>
              <w:tab/>
            </w:r>
          </w:p>
        </w:tc>
        <w:tc>
          <w:tcPr>
            <w:tcW w:w="1763" w:type="dxa"/>
          </w:tcPr>
          <w:p w14:paraId="65324BCE" w14:textId="78EACBB2"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10 </w:t>
            </w:r>
          </w:p>
        </w:tc>
      </w:tr>
      <w:tr w:rsidR="00D17094" w:rsidRPr="00F17C5F" w14:paraId="0F8048BB" w14:textId="77777777" w:rsidTr="002635AC">
        <w:tc>
          <w:tcPr>
            <w:tcW w:w="2195" w:type="dxa"/>
          </w:tcPr>
          <w:p w14:paraId="02C729EE"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2DA04D6E"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haloperidol</w:t>
            </w:r>
          </w:p>
        </w:tc>
        <w:tc>
          <w:tcPr>
            <w:tcW w:w="1896" w:type="dxa"/>
          </w:tcPr>
          <w:p w14:paraId="79C730C1"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3.66</w:t>
            </w:r>
          </w:p>
        </w:tc>
        <w:tc>
          <w:tcPr>
            <w:tcW w:w="1763" w:type="dxa"/>
          </w:tcPr>
          <w:p w14:paraId="69A64B01" w14:textId="4063C306" w:rsidR="004A2554" w:rsidRPr="00F17C5F" w:rsidRDefault="00F17C5F" w:rsidP="00F17C5F">
            <w:pPr>
              <w:spacing w:line="360" w:lineRule="auto"/>
              <w:jc w:val="both"/>
              <w:rPr>
                <w:rFonts w:ascii="Book Antiqua" w:eastAsia="Calibri" w:hAnsi="Book Antiqua"/>
                <w:color w:val="000000" w:themeColor="text1"/>
              </w:rPr>
            </w:pPr>
            <w:r>
              <w:rPr>
                <w:rFonts w:ascii="Book Antiqua" w:eastAsia="Calibri" w:hAnsi="Book Antiqua"/>
                <w:color w:val="000000" w:themeColor="text1"/>
              </w:rPr>
              <w:t>92</w:t>
            </w:r>
            <w:r w:rsidR="004A2554" w:rsidRPr="00F17C5F">
              <w:rPr>
                <w:rFonts w:ascii="Book Antiqua" w:eastAsia="Calibri" w:hAnsi="Book Antiqua"/>
                <w:color w:val="000000" w:themeColor="text1"/>
              </w:rPr>
              <w:tab/>
            </w:r>
          </w:p>
        </w:tc>
        <w:tc>
          <w:tcPr>
            <w:tcW w:w="1763" w:type="dxa"/>
          </w:tcPr>
          <w:p w14:paraId="2B985EF9" w14:textId="02C2740D"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18 </w:t>
            </w:r>
          </w:p>
        </w:tc>
      </w:tr>
      <w:tr w:rsidR="00D17094" w:rsidRPr="00F17C5F" w14:paraId="28E4D012" w14:textId="77777777" w:rsidTr="002635AC">
        <w:tc>
          <w:tcPr>
            <w:tcW w:w="2195" w:type="dxa"/>
          </w:tcPr>
          <w:p w14:paraId="4772F258" w14:textId="77777777" w:rsidR="004A2554"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Antiarrhythmic</w:t>
            </w:r>
          </w:p>
        </w:tc>
        <w:tc>
          <w:tcPr>
            <w:tcW w:w="1959" w:type="dxa"/>
          </w:tcPr>
          <w:p w14:paraId="1FC7ED97" w14:textId="77777777" w:rsidR="004A2554" w:rsidRPr="00F17C5F" w:rsidRDefault="004A2554" w:rsidP="00F17C5F">
            <w:pPr>
              <w:spacing w:line="360" w:lineRule="auto"/>
              <w:jc w:val="both"/>
              <w:rPr>
                <w:rFonts w:ascii="Book Antiqua" w:eastAsia="Calibri" w:hAnsi="Book Antiqua"/>
                <w:color w:val="000000" w:themeColor="text1"/>
              </w:rPr>
            </w:pPr>
          </w:p>
        </w:tc>
        <w:tc>
          <w:tcPr>
            <w:tcW w:w="1896" w:type="dxa"/>
          </w:tcPr>
          <w:p w14:paraId="53F2889B" w14:textId="77777777" w:rsidR="004A2554" w:rsidRPr="00F17C5F" w:rsidRDefault="004A2554" w:rsidP="00F17C5F">
            <w:pPr>
              <w:spacing w:line="360" w:lineRule="auto"/>
              <w:jc w:val="both"/>
              <w:rPr>
                <w:rFonts w:ascii="Book Antiqua" w:eastAsia="Calibri" w:hAnsi="Book Antiqua"/>
                <w:color w:val="000000" w:themeColor="text1"/>
              </w:rPr>
            </w:pPr>
          </w:p>
        </w:tc>
        <w:tc>
          <w:tcPr>
            <w:tcW w:w="1763" w:type="dxa"/>
          </w:tcPr>
          <w:p w14:paraId="1A6F787B" w14:textId="77777777" w:rsidR="004A2554" w:rsidRPr="00F17C5F" w:rsidRDefault="004A2554" w:rsidP="00F17C5F">
            <w:pPr>
              <w:spacing w:line="360" w:lineRule="auto"/>
              <w:jc w:val="both"/>
              <w:rPr>
                <w:rFonts w:ascii="Book Antiqua" w:eastAsia="Calibri" w:hAnsi="Book Antiqua"/>
                <w:color w:val="000000" w:themeColor="text1"/>
              </w:rPr>
            </w:pPr>
          </w:p>
        </w:tc>
        <w:tc>
          <w:tcPr>
            <w:tcW w:w="1763" w:type="dxa"/>
          </w:tcPr>
          <w:p w14:paraId="416DB5D0" w14:textId="77777777" w:rsidR="004A2554" w:rsidRPr="00F17C5F" w:rsidRDefault="004A2554" w:rsidP="00F17C5F">
            <w:pPr>
              <w:spacing w:line="360" w:lineRule="auto"/>
              <w:jc w:val="both"/>
              <w:rPr>
                <w:rFonts w:ascii="Book Antiqua" w:eastAsia="Calibri" w:hAnsi="Book Antiqua"/>
                <w:color w:val="000000" w:themeColor="text1"/>
              </w:rPr>
            </w:pPr>
          </w:p>
        </w:tc>
      </w:tr>
      <w:tr w:rsidR="00D17094" w:rsidRPr="00F17C5F" w14:paraId="2D34F687" w14:textId="77777777" w:rsidTr="002635AC">
        <w:tc>
          <w:tcPr>
            <w:tcW w:w="2195" w:type="dxa"/>
          </w:tcPr>
          <w:p w14:paraId="6D0EFE68"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7342BAA3"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diltiazem</w:t>
            </w:r>
          </w:p>
        </w:tc>
        <w:tc>
          <w:tcPr>
            <w:tcW w:w="1896" w:type="dxa"/>
          </w:tcPr>
          <w:p w14:paraId="61FEFDEB"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2.37</w:t>
            </w:r>
          </w:p>
        </w:tc>
        <w:tc>
          <w:tcPr>
            <w:tcW w:w="1763" w:type="dxa"/>
          </w:tcPr>
          <w:p w14:paraId="0E600035" w14:textId="2A985AD8"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80</w:t>
            </w:r>
          </w:p>
        </w:tc>
        <w:tc>
          <w:tcPr>
            <w:tcW w:w="1763" w:type="dxa"/>
          </w:tcPr>
          <w:p w14:paraId="13F4B0F2" w14:textId="76A3BE24"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5 </w:t>
            </w:r>
          </w:p>
        </w:tc>
      </w:tr>
      <w:tr w:rsidR="00D17094" w:rsidRPr="00F17C5F" w14:paraId="73DF53FD" w14:textId="77777777" w:rsidTr="002635AC">
        <w:tc>
          <w:tcPr>
            <w:tcW w:w="2195" w:type="dxa"/>
          </w:tcPr>
          <w:p w14:paraId="63E25EE0"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7E5E9C4D"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amiodarone</w:t>
            </w:r>
          </w:p>
        </w:tc>
        <w:tc>
          <w:tcPr>
            <w:tcW w:w="1896" w:type="dxa"/>
          </w:tcPr>
          <w:p w14:paraId="0E9F2984"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7.64</w:t>
            </w:r>
          </w:p>
        </w:tc>
        <w:tc>
          <w:tcPr>
            <w:tcW w:w="1763" w:type="dxa"/>
          </w:tcPr>
          <w:p w14:paraId="0B086407" w14:textId="42655031"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98</w:t>
            </w:r>
          </w:p>
        </w:tc>
        <w:tc>
          <w:tcPr>
            <w:tcW w:w="1763" w:type="dxa"/>
          </w:tcPr>
          <w:p w14:paraId="5BF2276C" w14:textId="6814879F"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70 </w:t>
            </w:r>
          </w:p>
        </w:tc>
      </w:tr>
      <w:tr w:rsidR="00D17094" w:rsidRPr="00F17C5F" w14:paraId="59554FE6" w14:textId="77777777" w:rsidTr="002635AC">
        <w:tc>
          <w:tcPr>
            <w:tcW w:w="2195" w:type="dxa"/>
          </w:tcPr>
          <w:p w14:paraId="59A6177B"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53DFAC37"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digoxin</w:t>
            </w:r>
            <w:r w:rsidRPr="00F17C5F">
              <w:rPr>
                <w:rFonts w:ascii="Book Antiqua" w:eastAsia="Calibri" w:hAnsi="Book Antiqua"/>
                <w:color w:val="000000" w:themeColor="text1"/>
              </w:rPr>
              <w:tab/>
            </w:r>
          </w:p>
        </w:tc>
        <w:tc>
          <w:tcPr>
            <w:tcW w:w="1896" w:type="dxa"/>
          </w:tcPr>
          <w:p w14:paraId="46DE8E5A"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2.37</w:t>
            </w:r>
          </w:p>
        </w:tc>
        <w:tc>
          <w:tcPr>
            <w:tcW w:w="1763" w:type="dxa"/>
          </w:tcPr>
          <w:p w14:paraId="6307DA66" w14:textId="0D576E06" w:rsidR="004A2554" w:rsidRPr="00F17C5F" w:rsidRDefault="00F17C5F" w:rsidP="00F17C5F">
            <w:pPr>
              <w:spacing w:line="360" w:lineRule="auto"/>
              <w:jc w:val="both"/>
              <w:rPr>
                <w:rFonts w:ascii="Book Antiqua" w:eastAsia="Calibri" w:hAnsi="Book Antiqua"/>
                <w:color w:val="000000" w:themeColor="text1"/>
              </w:rPr>
            </w:pPr>
            <w:r>
              <w:rPr>
                <w:rFonts w:ascii="Book Antiqua" w:eastAsia="Calibri" w:hAnsi="Book Antiqua"/>
                <w:color w:val="000000" w:themeColor="text1"/>
              </w:rPr>
              <w:t>25</w:t>
            </w:r>
            <w:r w:rsidR="004A2554" w:rsidRPr="00F17C5F">
              <w:rPr>
                <w:rFonts w:ascii="Book Antiqua" w:eastAsia="Calibri" w:hAnsi="Book Antiqua"/>
                <w:color w:val="000000" w:themeColor="text1"/>
              </w:rPr>
              <w:tab/>
            </w:r>
          </w:p>
        </w:tc>
        <w:tc>
          <w:tcPr>
            <w:tcW w:w="1763" w:type="dxa"/>
          </w:tcPr>
          <w:p w14:paraId="3F5274BD" w14:textId="6DF8424D"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6 </w:t>
            </w:r>
          </w:p>
        </w:tc>
      </w:tr>
      <w:tr w:rsidR="00D17094" w:rsidRPr="00F17C5F" w14:paraId="306CC375" w14:textId="77777777" w:rsidTr="002635AC">
        <w:tc>
          <w:tcPr>
            <w:tcW w:w="2195" w:type="dxa"/>
          </w:tcPr>
          <w:p w14:paraId="38E71135" w14:textId="77777777" w:rsidR="004A2554"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Antihypertensive</w:t>
            </w:r>
          </w:p>
        </w:tc>
        <w:tc>
          <w:tcPr>
            <w:tcW w:w="1959" w:type="dxa"/>
          </w:tcPr>
          <w:p w14:paraId="138BF240" w14:textId="77777777" w:rsidR="004A2554" w:rsidRPr="00F17C5F" w:rsidRDefault="004A2554" w:rsidP="00F17C5F">
            <w:pPr>
              <w:spacing w:line="360" w:lineRule="auto"/>
              <w:jc w:val="both"/>
              <w:rPr>
                <w:rFonts w:ascii="Book Antiqua" w:eastAsia="Calibri" w:hAnsi="Book Antiqua"/>
                <w:color w:val="000000" w:themeColor="text1"/>
              </w:rPr>
            </w:pPr>
          </w:p>
        </w:tc>
        <w:tc>
          <w:tcPr>
            <w:tcW w:w="1896" w:type="dxa"/>
          </w:tcPr>
          <w:p w14:paraId="7AD94C7A" w14:textId="77777777" w:rsidR="004A2554" w:rsidRPr="00F17C5F" w:rsidRDefault="004A2554" w:rsidP="00F17C5F">
            <w:pPr>
              <w:spacing w:line="360" w:lineRule="auto"/>
              <w:jc w:val="both"/>
              <w:rPr>
                <w:rFonts w:ascii="Book Antiqua" w:eastAsia="Calibri" w:hAnsi="Book Antiqua"/>
                <w:color w:val="000000" w:themeColor="text1"/>
              </w:rPr>
            </w:pPr>
          </w:p>
        </w:tc>
        <w:tc>
          <w:tcPr>
            <w:tcW w:w="1763" w:type="dxa"/>
          </w:tcPr>
          <w:p w14:paraId="7D57CC3E" w14:textId="77777777" w:rsidR="004A2554" w:rsidRPr="00F17C5F" w:rsidRDefault="004A2554" w:rsidP="00F17C5F">
            <w:pPr>
              <w:spacing w:line="360" w:lineRule="auto"/>
              <w:jc w:val="both"/>
              <w:rPr>
                <w:rFonts w:ascii="Book Antiqua" w:eastAsia="Calibri" w:hAnsi="Book Antiqua"/>
                <w:color w:val="000000" w:themeColor="text1"/>
              </w:rPr>
            </w:pPr>
          </w:p>
        </w:tc>
        <w:tc>
          <w:tcPr>
            <w:tcW w:w="1763" w:type="dxa"/>
          </w:tcPr>
          <w:p w14:paraId="2C436454" w14:textId="77777777" w:rsidR="004A2554" w:rsidRPr="00F17C5F" w:rsidRDefault="004A2554" w:rsidP="00F17C5F">
            <w:pPr>
              <w:spacing w:line="360" w:lineRule="auto"/>
              <w:jc w:val="both"/>
              <w:rPr>
                <w:rFonts w:ascii="Book Antiqua" w:eastAsia="Calibri" w:hAnsi="Book Antiqua"/>
                <w:color w:val="000000" w:themeColor="text1"/>
              </w:rPr>
            </w:pPr>
          </w:p>
        </w:tc>
      </w:tr>
      <w:tr w:rsidR="00D17094" w:rsidRPr="00F17C5F" w14:paraId="084A2348" w14:textId="77777777" w:rsidTr="002635AC">
        <w:tc>
          <w:tcPr>
            <w:tcW w:w="2195" w:type="dxa"/>
          </w:tcPr>
          <w:p w14:paraId="57932A48"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43C9F0A3"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labetolol</w:t>
            </w:r>
          </w:p>
        </w:tc>
        <w:tc>
          <w:tcPr>
            <w:tcW w:w="1896" w:type="dxa"/>
          </w:tcPr>
          <w:p w14:paraId="352166F2"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1.89</w:t>
            </w:r>
          </w:p>
        </w:tc>
        <w:tc>
          <w:tcPr>
            <w:tcW w:w="1763" w:type="dxa"/>
          </w:tcPr>
          <w:p w14:paraId="5D772190" w14:textId="0A4C215B"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50</w:t>
            </w:r>
          </w:p>
        </w:tc>
        <w:tc>
          <w:tcPr>
            <w:tcW w:w="1763" w:type="dxa"/>
          </w:tcPr>
          <w:p w14:paraId="3E4F6E60" w14:textId="44759595"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5</w:t>
            </w:r>
            <w:r>
              <w:rPr>
                <w:rFonts w:ascii="Book Antiqua" w:hAnsi="Book Antiqua" w:hint="eastAsia"/>
                <w:color w:val="000000" w:themeColor="text1"/>
                <w:lang w:eastAsia="zh-CN"/>
              </w:rPr>
              <w:t xml:space="preserve"> </w:t>
            </w:r>
          </w:p>
        </w:tc>
      </w:tr>
      <w:tr w:rsidR="00D17094" w:rsidRPr="00F17C5F" w14:paraId="66A70C4C" w14:textId="77777777" w:rsidTr="002635AC">
        <w:tc>
          <w:tcPr>
            <w:tcW w:w="2195" w:type="dxa"/>
          </w:tcPr>
          <w:p w14:paraId="1F3842CC"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4C674415"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esmolol</w:t>
            </w:r>
            <w:r w:rsidRPr="00F17C5F">
              <w:rPr>
                <w:rFonts w:ascii="Book Antiqua" w:eastAsia="Calibri" w:hAnsi="Book Antiqua"/>
                <w:color w:val="000000" w:themeColor="text1"/>
              </w:rPr>
              <w:tab/>
            </w:r>
          </w:p>
        </w:tc>
        <w:tc>
          <w:tcPr>
            <w:tcW w:w="1896" w:type="dxa"/>
          </w:tcPr>
          <w:p w14:paraId="30ABA768"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1.82</w:t>
            </w:r>
          </w:p>
        </w:tc>
        <w:tc>
          <w:tcPr>
            <w:tcW w:w="1763" w:type="dxa"/>
          </w:tcPr>
          <w:p w14:paraId="44420916" w14:textId="45DB040F"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55</w:t>
            </w:r>
          </w:p>
        </w:tc>
        <w:tc>
          <w:tcPr>
            <w:tcW w:w="1763" w:type="dxa"/>
          </w:tcPr>
          <w:p w14:paraId="346375B2" w14:textId="69783AD3"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3 </w:t>
            </w:r>
          </w:p>
        </w:tc>
      </w:tr>
      <w:tr w:rsidR="00D17094" w:rsidRPr="00F17C5F" w14:paraId="5F709DBA" w14:textId="77777777" w:rsidTr="002635AC">
        <w:tc>
          <w:tcPr>
            <w:tcW w:w="2195" w:type="dxa"/>
          </w:tcPr>
          <w:p w14:paraId="318FA942"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6F5D2729"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hydralazine</w:t>
            </w:r>
          </w:p>
        </w:tc>
        <w:tc>
          <w:tcPr>
            <w:tcW w:w="1896" w:type="dxa"/>
          </w:tcPr>
          <w:p w14:paraId="63B43618"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0.75</w:t>
            </w:r>
          </w:p>
        </w:tc>
        <w:tc>
          <w:tcPr>
            <w:tcW w:w="1763" w:type="dxa"/>
          </w:tcPr>
          <w:p w14:paraId="138C2DA2" w14:textId="55A8411B"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87</w:t>
            </w:r>
          </w:p>
        </w:tc>
        <w:tc>
          <w:tcPr>
            <w:tcW w:w="1763" w:type="dxa"/>
          </w:tcPr>
          <w:p w14:paraId="03BF5D72" w14:textId="7E143D15"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 xml:space="preserve">4 </w:t>
            </w:r>
          </w:p>
        </w:tc>
      </w:tr>
      <w:tr w:rsidR="00D17094" w:rsidRPr="00F17C5F" w14:paraId="69E97031" w14:textId="77777777" w:rsidTr="002635AC">
        <w:tc>
          <w:tcPr>
            <w:tcW w:w="2195" w:type="dxa"/>
          </w:tcPr>
          <w:p w14:paraId="7E5FD510" w14:textId="77777777" w:rsidR="004A2554"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GI/Antiemetic</w:t>
            </w:r>
          </w:p>
        </w:tc>
        <w:tc>
          <w:tcPr>
            <w:tcW w:w="1959" w:type="dxa"/>
          </w:tcPr>
          <w:p w14:paraId="3D7DC79D" w14:textId="77777777" w:rsidR="004A2554" w:rsidRPr="00F17C5F" w:rsidRDefault="004A2554" w:rsidP="00F17C5F">
            <w:pPr>
              <w:spacing w:line="360" w:lineRule="auto"/>
              <w:jc w:val="both"/>
              <w:rPr>
                <w:rFonts w:ascii="Book Antiqua" w:eastAsia="Calibri" w:hAnsi="Book Antiqua"/>
                <w:color w:val="000000" w:themeColor="text1"/>
              </w:rPr>
            </w:pPr>
          </w:p>
        </w:tc>
        <w:tc>
          <w:tcPr>
            <w:tcW w:w="1896" w:type="dxa"/>
          </w:tcPr>
          <w:p w14:paraId="1D5FB52B" w14:textId="77777777" w:rsidR="004A2554" w:rsidRPr="00F17C5F" w:rsidRDefault="004A2554" w:rsidP="00F17C5F">
            <w:pPr>
              <w:spacing w:line="360" w:lineRule="auto"/>
              <w:jc w:val="both"/>
              <w:rPr>
                <w:rFonts w:ascii="Book Antiqua" w:eastAsia="Calibri" w:hAnsi="Book Antiqua"/>
                <w:color w:val="000000" w:themeColor="text1"/>
              </w:rPr>
            </w:pPr>
          </w:p>
        </w:tc>
        <w:tc>
          <w:tcPr>
            <w:tcW w:w="1763" w:type="dxa"/>
          </w:tcPr>
          <w:p w14:paraId="7BB5F202" w14:textId="77777777" w:rsidR="004A2554" w:rsidRPr="00F17C5F" w:rsidRDefault="004A2554" w:rsidP="00F17C5F">
            <w:pPr>
              <w:spacing w:line="360" w:lineRule="auto"/>
              <w:jc w:val="both"/>
              <w:rPr>
                <w:rFonts w:ascii="Book Antiqua" w:eastAsia="Calibri" w:hAnsi="Book Antiqua"/>
                <w:color w:val="000000" w:themeColor="text1"/>
              </w:rPr>
            </w:pPr>
          </w:p>
        </w:tc>
        <w:tc>
          <w:tcPr>
            <w:tcW w:w="1763" w:type="dxa"/>
          </w:tcPr>
          <w:p w14:paraId="0E122A32" w14:textId="77777777" w:rsidR="004A2554" w:rsidRPr="00F17C5F" w:rsidRDefault="004A2554" w:rsidP="00F17C5F">
            <w:pPr>
              <w:spacing w:line="360" w:lineRule="auto"/>
              <w:jc w:val="both"/>
              <w:rPr>
                <w:rFonts w:ascii="Book Antiqua" w:eastAsia="Calibri" w:hAnsi="Book Antiqua"/>
                <w:color w:val="000000" w:themeColor="text1"/>
              </w:rPr>
            </w:pPr>
          </w:p>
        </w:tc>
      </w:tr>
      <w:tr w:rsidR="00D17094" w:rsidRPr="00F17C5F" w14:paraId="5B808487" w14:textId="77777777" w:rsidTr="002635AC">
        <w:tc>
          <w:tcPr>
            <w:tcW w:w="2195" w:type="dxa"/>
          </w:tcPr>
          <w:p w14:paraId="3B81F233"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033565AC"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pantoprazole</w:t>
            </w:r>
          </w:p>
        </w:tc>
        <w:tc>
          <w:tcPr>
            <w:tcW w:w="1896" w:type="dxa"/>
          </w:tcPr>
          <w:p w14:paraId="328A347A"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2.18</w:t>
            </w:r>
          </w:p>
        </w:tc>
        <w:tc>
          <w:tcPr>
            <w:tcW w:w="1763" w:type="dxa"/>
          </w:tcPr>
          <w:p w14:paraId="7B0C009D" w14:textId="6A64ABB7"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98</w:t>
            </w:r>
          </w:p>
        </w:tc>
        <w:tc>
          <w:tcPr>
            <w:tcW w:w="1763" w:type="dxa"/>
          </w:tcPr>
          <w:p w14:paraId="16808524" w14:textId="1A3BAACD"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0.15</w:t>
            </w:r>
          </w:p>
        </w:tc>
      </w:tr>
      <w:tr w:rsidR="00D17094" w:rsidRPr="00F17C5F" w14:paraId="08613EEC" w14:textId="77777777" w:rsidTr="002635AC">
        <w:tc>
          <w:tcPr>
            <w:tcW w:w="2195" w:type="dxa"/>
          </w:tcPr>
          <w:p w14:paraId="6C690FB3"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158C2C02"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famotidine</w:t>
            </w:r>
            <w:r w:rsidRPr="00F17C5F">
              <w:rPr>
                <w:rFonts w:ascii="Book Antiqua" w:eastAsia="Calibri" w:hAnsi="Book Antiqua"/>
                <w:color w:val="000000" w:themeColor="text1"/>
              </w:rPr>
              <w:tab/>
            </w:r>
          </w:p>
        </w:tc>
        <w:tc>
          <w:tcPr>
            <w:tcW w:w="1896" w:type="dxa"/>
          </w:tcPr>
          <w:p w14:paraId="3D810472"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-2</w:t>
            </w:r>
          </w:p>
        </w:tc>
        <w:tc>
          <w:tcPr>
            <w:tcW w:w="1763" w:type="dxa"/>
          </w:tcPr>
          <w:p w14:paraId="19945A57" w14:textId="67DA193F"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18</w:t>
            </w:r>
          </w:p>
        </w:tc>
        <w:tc>
          <w:tcPr>
            <w:tcW w:w="1763" w:type="dxa"/>
          </w:tcPr>
          <w:p w14:paraId="6B5A75AC" w14:textId="707A2DCB"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1.2</w:t>
            </w:r>
          </w:p>
        </w:tc>
      </w:tr>
      <w:tr w:rsidR="00D17094" w:rsidRPr="00F17C5F" w14:paraId="5652BC2C" w14:textId="77777777" w:rsidTr="002635AC">
        <w:tc>
          <w:tcPr>
            <w:tcW w:w="2195" w:type="dxa"/>
          </w:tcPr>
          <w:p w14:paraId="15B7ABE5"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424A2098"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ondansetron</w:t>
            </w:r>
          </w:p>
        </w:tc>
        <w:tc>
          <w:tcPr>
            <w:tcW w:w="1896" w:type="dxa"/>
          </w:tcPr>
          <w:p w14:paraId="30D14E19"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2.35</w:t>
            </w:r>
          </w:p>
        </w:tc>
        <w:tc>
          <w:tcPr>
            <w:tcW w:w="1763" w:type="dxa"/>
          </w:tcPr>
          <w:p w14:paraId="68ADD79E" w14:textId="7985567E"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73</w:t>
            </w:r>
          </w:p>
        </w:tc>
        <w:tc>
          <w:tcPr>
            <w:tcW w:w="1763" w:type="dxa"/>
          </w:tcPr>
          <w:p w14:paraId="7035ADA0" w14:textId="651EFA6E" w:rsidR="004A2554"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2 </w:t>
            </w:r>
          </w:p>
        </w:tc>
      </w:tr>
      <w:tr w:rsidR="00D17094" w:rsidRPr="00F17C5F" w14:paraId="0F48EB6E" w14:textId="77777777" w:rsidTr="002635AC">
        <w:tc>
          <w:tcPr>
            <w:tcW w:w="2195" w:type="dxa"/>
          </w:tcPr>
          <w:p w14:paraId="3F09D74D"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77956D5A" w14:textId="77777777" w:rsidR="004A2554"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metoclopramide</w:t>
            </w:r>
          </w:p>
        </w:tc>
        <w:tc>
          <w:tcPr>
            <w:tcW w:w="1896" w:type="dxa"/>
          </w:tcPr>
          <w:p w14:paraId="3A91015E"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1.4</w:t>
            </w:r>
            <w:r w:rsidRPr="00F17C5F">
              <w:rPr>
                <w:rFonts w:ascii="Book Antiqua" w:eastAsia="Calibri" w:hAnsi="Book Antiqua"/>
                <w:color w:val="000000" w:themeColor="text1"/>
              </w:rPr>
              <w:tab/>
            </w:r>
          </w:p>
        </w:tc>
        <w:tc>
          <w:tcPr>
            <w:tcW w:w="1763" w:type="dxa"/>
          </w:tcPr>
          <w:p w14:paraId="67EE4DBC" w14:textId="0B542AC5"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30</w:t>
            </w:r>
          </w:p>
        </w:tc>
        <w:tc>
          <w:tcPr>
            <w:tcW w:w="1763" w:type="dxa"/>
          </w:tcPr>
          <w:p w14:paraId="3C29164A" w14:textId="75FF7B02"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4.4 </w:t>
            </w:r>
          </w:p>
        </w:tc>
      </w:tr>
      <w:tr w:rsidR="00D17094" w:rsidRPr="00F17C5F" w14:paraId="280A3B7B" w14:textId="77777777" w:rsidTr="002635AC">
        <w:tc>
          <w:tcPr>
            <w:tcW w:w="2195" w:type="dxa"/>
          </w:tcPr>
          <w:p w14:paraId="7B7C8691"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73435DF0"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erythromycin</w:t>
            </w:r>
            <w:r w:rsidRPr="00F17C5F">
              <w:rPr>
                <w:rFonts w:ascii="Book Antiqua" w:eastAsia="Calibri" w:hAnsi="Book Antiqua"/>
                <w:color w:val="000000" w:themeColor="text1"/>
              </w:rPr>
              <w:tab/>
            </w:r>
          </w:p>
        </w:tc>
        <w:tc>
          <w:tcPr>
            <w:tcW w:w="1896" w:type="dxa"/>
          </w:tcPr>
          <w:p w14:paraId="7A77A45D"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2.6</w:t>
            </w:r>
          </w:p>
        </w:tc>
        <w:tc>
          <w:tcPr>
            <w:tcW w:w="1763" w:type="dxa"/>
          </w:tcPr>
          <w:p w14:paraId="5AE97E71" w14:textId="1BA1AA4B"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85</w:t>
            </w:r>
          </w:p>
        </w:tc>
        <w:tc>
          <w:tcPr>
            <w:tcW w:w="1763" w:type="dxa"/>
          </w:tcPr>
          <w:p w14:paraId="4AA49C3A" w14:textId="2497FE32"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0.6 </w:t>
            </w:r>
          </w:p>
        </w:tc>
      </w:tr>
      <w:tr w:rsidR="00D17094" w:rsidRPr="00F17C5F" w14:paraId="686E7E6B" w14:textId="77777777" w:rsidTr="002635AC">
        <w:tc>
          <w:tcPr>
            <w:tcW w:w="2195" w:type="dxa"/>
          </w:tcPr>
          <w:p w14:paraId="2B98B26E" w14:textId="77777777" w:rsidR="004A2554"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Anticoagulant</w:t>
            </w:r>
          </w:p>
        </w:tc>
        <w:tc>
          <w:tcPr>
            <w:tcW w:w="1959" w:type="dxa"/>
          </w:tcPr>
          <w:p w14:paraId="1C01EA26" w14:textId="77777777" w:rsidR="004A2554" w:rsidRPr="00F17C5F" w:rsidRDefault="004A2554" w:rsidP="00F17C5F">
            <w:pPr>
              <w:spacing w:line="360" w:lineRule="auto"/>
              <w:jc w:val="both"/>
              <w:rPr>
                <w:rFonts w:ascii="Book Antiqua" w:eastAsia="Calibri" w:hAnsi="Book Antiqua"/>
                <w:color w:val="000000" w:themeColor="text1"/>
              </w:rPr>
            </w:pPr>
          </w:p>
        </w:tc>
        <w:tc>
          <w:tcPr>
            <w:tcW w:w="1896" w:type="dxa"/>
          </w:tcPr>
          <w:p w14:paraId="10807286" w14:textId="77777777" w:rsidR="004A2554" w:rsidRPr="00F17C5F" w:rsidRDefault="004A2554" w:rsidP="00F17C5F">
            <w:pPr>
              <w:spacing w:line="360" w:lineRule="auto"/>
              <w:jc w:val="both"/>
              <w:rPr>
                <w:rFonts w:ascii="Book Antiqua" w:eastAsia="Calibri" w:hAnsi="Book Antiqua"/>
                <w:color w:val="000000" w:themeColor="text1"/>
              </w:rPr>
            </w:pPr>
          </w:p>
        </w:tc>
        <w:tc>
          <w:tcPr>
            <w:tcW w:w="1763" w:type="dxa"/>
          </w:tcPr>
          <w:p w14:paraId="2AB6336E" w14:textId="77777777" w:rsidR="004A2554" w:rsidRPr="00F17C5F" w:rsidRDefault="004A2554" w:rsidP="00F17C5F">
            <w:pPr>
              <w:spacing w:line="360" w:lineRule="auto"/>
              <w:jc w:val="both"/>
              <w:rPr>
                <w:rFonts w:ascii="Book Antiqua" w:eastAsia="Calibri" w:hAnsi="Book Antiqua"/>
                <w:color w:val="000000" w:themeColor="text1"/>
              </w:rPr>
            </w:pPr>
          </w:p>
        </w:tc>
        <w:tc>
          <w:tcPr>
            <w:tcW w:w="1763" w:type="dxa"/>
          </w:tcPr>
          <w:p w14:paraId="2ADFD802" w14:textId="77777777" w:rsidR="004A2554" w:rsidRPr="00F17C5F" w:rsidRDefault="004A2554" w:rsidP="00F17C5F">
            <w:pPr>
              <w:spacing w:line="360" w:lineRule="auto"/>
              <w:jc w:val="both"/>
              <w:rPr>
                <w:rFonts w:ascii="Book Antiqua" w:eastAsia="Calibri" w:hAnsi="Book Antiqua"/>
                <w:color w:val="000000" w:themeColor="text1"/>
              </w:rPr>
            </w:pPr>
          </w:p>
        </w:tc>
      </w:tr>
      <w:tr w:rsidR="00D17094" w:rsidRPr="00F17C5F" w14:paraId="6B055237" w14:textId="77777777" w:rsidTr="002635AC">
        <w:tc>
          <w:tcPr>
            <w:tcW w:w="2195" w:type="dxa"/>
          </w:tcPr>
          <w:p w14:paraId="71F4C9D3"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56EFA6A0"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enoxaparin</w:t>
            </w:r>
            <w:r w:rsidRPr="00F17C5F">
              <w:rPr>
                <w:rFonts w:ascii="Book Antiqua" w:eastAsia="Calibri" w:hAnsi="Book Antiqua"/>
                <w:color w:val="000000" w:themeColor="text1"/>
              </w:rPr>
              <w:tab/>
            </w:r>
          </w:p>
        </w:tc>
        <w:tc>
          <w:tcPr>
            <w:tcW w:w="1896" w:type="dxa"/>
          </w:tcPr>
          <w:p w14:paraId="42D83572"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-8.3</w:t>
            </w:r>
          </w:p>
        </w:tc>
        <w:tc>
          <w:tcPr>
            <w:tcW w:w="1763" w:type="dxa"/>
          </w:tcPr>
          <w:p w14:paraId="7B8730C6" w14:textId="62E57523"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80</w:t>
            </w:r>
          </w:p>
        </w:tc>
        <w:tc>
          <w:tcPr>
            <w:tcW w:w="1763" w:type="dxa"/>
          </w:tcPr>
          <w:p w14:paraId="0C671E62" w14:textId="08E06BE6"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0.07 </w:t>
            </w:r>
          </w:p>
        </w:tc>
      </w:tr>
      <w:tr w:rsidR="00D17094" w:rsidRPr="00F17C5F" w14:paraId="79FEFE0A" w14:textId="77777777" w:rsidTr="002635AC">
        <w:tc>
          <w:tcPr>
            <w:tcW w:w="2195" w:type="dxa"/>
          </w:tcPr>
          <w:p w14:paraId="46300629"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3B69283D"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heparin</w:t>
            </w:r>
            <w:r w:rsidRPr="00F17C5F">
              <w:rPr>
                <w:rFonts w:ascii="Book Antiqua" w:eastAsia="Calibri" w:hAnsi="Book Antiqua"/>
                <w:color w:val="000000" w:themeColor="text1"/>
              </w:rPr>
              <w:tab/>
            </w:r>
            <w:r w:rsidRPr="00F17C5F">
              <w:rPr>
                <w:rFonts w:ascii="Book Antiqua" w:eastAsia="Calibri" w:hAnsi="Book Antiqua"/>
                <w:color w:val="000000" w:themeColor="text1"/>
              </w:rPr>
              <w:tab/>
            </w:r>
          </w:p>
        </w:tc>
        <w:tc>
          <w:tcPr>
            <w:tcW w:w="1896" w:type="dxa"/>
          </w:tcPr>
          <w:p w14:paraId="4C3981BA" w14:textId="5864F638"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NA</w:t>
            </w:r>
          </w:p>
        </w:tc>
        <w:tc>
          <w:tcPr>
            <w:tcW w:w="1763" w:type="dxa"/>
          </w:tcPr>
          <w:p w14:paraId="5532A70B"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NA</w:t>
            </w:r>
            <w:r w:rsidRPr="00F17C5F">
              <w:rPr>
                <w:rFonts w:ascii="Book Antiqua" w:eastAsia="Calibri" w:hAnsi="Book Antiqua"/>
                <w:color w:val="000000" w:themeColor="text1"/>
              </w:rPr>
              <w:tab/>
            </w:r>
          </w:p>
        </w:tc>
        <w:tc>
          <w:tcPr>
            <w:tcW w:w="1763" w:type="dxa"/>
          </w:tcPr>
          <w:p w14:paraId="133F2F1C" w14:textId="6DD7BFA7" w:rsidR="004A2554"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0.05 </w:t>
            </w:r>
          </w:p>
        </w:tc>
      </w:tr>
      <w:tr w:rsidR="00D17094" w:rsidRPr="00F17C5F" w14:paraId="6115EA51" w14:textId="77777777" w:rsidTr="002635AC">
        <w:tc>
          <w:tcPr>
            <w:tcW w:w="2195" w:type="dxa"/>
          </w:tcPr>
          <w:p w14:paraId="4664C0AA"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22401D7D"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fondaparinux</w:t>
            </w:r>
            <w:r w:rsidRPr="00F17C5F">
              <w:rPr>
                <w:rFonts w:ascii="Book Antiqua" w:eastAsia="Calibri" w:hAnsi="Book Antiqua"/>
                <w:color w:val="000000" w:themeColor="text1"/>
              </w:rPr>
              <w:tab/>
            </w:r>
          </w:p>
        </w:tc>
        <w:tc>
          <w:tcPr>
            <w:tcW w:w="1896" w:type="dxa"/>
          </w:tcPr>
          <w:p w14:paraId="10B81530"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-10</w:t>
            </w:r>
          </w:p>
        </w:tc>
        <w:tc>
          <w:tcPr>
            <w:tcW w:w="1763" w:type="dxa"/>
          </w:tcPr>
          <w:p w14:paraId="01117E93" w14:textId="79F9A0CE" w:rsidR="004A2554" w:rsidRPr="00F17C5F" w:rsidRDefault="00F17C5F" w:rsidP="00F17C5F">
            <w:pPr>
              <w:spacing w:line="360" w:lineRule="auto"/>
              <w:jc w:val="both"/>
              <w:rPr>
                <w:rFonts w:ascii="Book Antiqua" w:eastAsia="Calibri" w:hAnsi="Book Antiqua"/>
                <w:color w:val="000000" w:themeColor="text1"/>
              </w:rPr>
            </w:pPr>
            <w:r>
              <w:rPr>
                <w:rFonts w:ascii="Book Antiqua" w:eastAsia="Calibri" w:hAnsi="Book Antiqua"/>
                <w:color w:val="000000" w:themeColor="text1"/>
              </w:rPr>
              <w:t>94</w:t>
            </w:r>
            <w:r w:rsidR="004A2554" w:rsidRPr="00F17C5F">
              <w:rPr>
                <w:rFonts w:ascii="Book Antiqua" w:eastAsia="Calibri" w:hAnsi="Book Antiqua"/>
                <w:color w:val="000000" w:themeColor="text1"/>
              </w:rPr>
              <w:tab/>
            </w:r>
          </w:p>
        </w:tc>
        <w:tc>
          <w:tcPr>
            <w:tcW w:w="1763" w:type="dxa"/>
          </w:tcPr>
          <w:p w14:paraId="1731805B" w14:textId="528C5CFA" w:rsidR="004A2554"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0.1 </w:t>
            </w:r>
          </w:p>
        </w:tc>
      </w:tr>
      <w:tr w:rsidR="00D17094" w:rsidRPr="00F17C5F" w14:paraId="59D826EE" w14:textId="77777777" w:rsidTr="002635AC">
        <w:tc>
          <w:tcPr>
            <w:tcW w:w="2195" w:type="dxa"/>
          </w:tcPr>
          <w:p w14:paraId="20CB00CE"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26EA92B0"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argatroban</w:t>
            </w:r>
            <w:r w:rsidRPr="00F17C5F">
              <w:rPr>
                <w:rFonts w:ascii="Book Antiqua" w:eastAsia="Calibri" w:hAnsi="Book Antiqua"/>
                <w:color w:val="000000" w:themeColor="text1"/>
              </w:rPr>
              <w:tab/>
            </w:r>
          </w:p>
        </w:tc>
        <w:tc>
          <w:tcPr>
            <w:tcW w:w="1896" w:type="dxa"/>
          </w:tcPr>
          <w:p w14:paraId="100A3817"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-0.97</w:t>
            </w:r>
          </w:p>
        </w:tc>
        <w:tc>
          <w:tcPr>
            <w:tcW w:w="1763" w:type="dxa"/>
          </w:tcPr>
          <w:p w14:paraId="73168F23" w14:textId="6C28C089"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54</w:t>
            </w:r>
          </w:p>
        </w:tc>
        <w:tc>
          <w:tcPr>
            <w:tcW w:w="1763" w:type="dxa"/>
          </w:tcPr>
          <w:p w14:paraId="437E282D" w14:textId="4369F29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0.17 </w:t>
            </w:r>
          </w:p>
        </w:tc>
      </w:tr>
      <w:tr w:rsidR="00D17094" w:rsidRPr="00F17C5F" w14:paraId="4A50BAD5" w14:textId="77777777" w:rsidTr="002635AC">
        <w:tc>
          <w:tcPr>
            <w:tcW w:w="2195" w:type="dxa"/>
          </w:tcPr>
          <w:p w14:paraId="545A5778" w14:textId="77777777" w:rsidR="004A2554"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Corticosteroid</w:t>
            </w:r>
          </w:p>
        </w:tc>
        <w:tc>
          <w:tcPr>
            <w:tcW w:w="1959" w:type="dxa"/>
          </w:tcPr>
          <w:p w14:paraId="28DA7CB9" w14:textId="77777777" w:rsidR="004A2554" w:rsidRPr="00F17C5F" w:rsidRDefault="004A2554" w:rsidP="00F17C5F">
            <w:pPr>
              <w:spacing w:line="360" w:lineRule="auto"/>
              <w:jc w:val="both"/>
              <w:rPr>
                <w:rFonts w:ascii="Book Antiqua" w:eastAsia="Calibri" w:hAnsi="Book Antiqua"/>
                <w:color w:val="000000" w:themeColor="text1"/>
              </w:rPr>
            </w:pPr>
          </w:p>
        </w:tc>
        <w:tc>
          <w:tcPr>
            <w:tcW w:w="1896" w:type="dxa"/>
          </w:tcPr>
          <w:p w14:paraId="60EF8EC9" w14:textId="77777777" w:rsidR="004A2554" w:rsidRPr="00F17C5F" w:rsidRDefault="004A2554" w:rsidP="00F17C5F">
            <w:pPr>
              <w:spacing w:line="360" w:lineRule="auto"/>
              <w:jc w:val="both"/>
              <w:rPr>
                <w:rFonts w:ascii="Book Antiqua" w:eastAsia="Calibri" w:hAnsi="Book Antiqua"/>
                <w:color w:val="000000" w:themeColor="text1"/>
              </w:rPr>
            </w:pPr>
          </w:p>
        </w:tc>
        <w:tc>
          <w:tcPr>
            <w:tcW w:w="1763" w:type="dxa"/>
          </w:tcPr>
          <w:p w14:paraId="61459D18" w14:textId="77777777" w:rsidR="004A2554" w:rsidRPr="00F17C5F" w:rsidRDefault="004A2554" w:rsidP="00F17C5F">
            <w:pPr>
              <w:spacing w:line="360" w:lineRule="auto"/>
              <w:jc w:val="both"/>
              <w:rPr>
                <w:rFonts w:ascii="Book Antiqua" w:eastAsia="Calibri" w:hAnsi="Book Antiqua"/>
                <w:color w:val="000000" w:themeColor="text1"/>
              </w:rPr>
            </w:pPr>
          </w:p>
        </w:tc>
        <w:tc>
          <w:tcPr>
            <w:tcW w:w="1763" w:type="dxa"/>
          </w:tcPr>
          <w:p w14:paraId="46A88706" w14:textId="77777777" w:rsidR="004A2554" w:rsidRPr="00F17C5F" w:rsidRDefault="004A2554" w:rsidP="00F17C5F">
            <w:pPr>
              <w:spacing w:line="360" w:lineRule="auto"/>
              <w:jc w:val="both"/>
              <w:rPr>
                <w:rFonts w:ascii="Book Antiqua" w:eastAsia="Calibri" w:hAnsi="Book Antiqua"/>
                <w:color w:val="000000" w:themeColor="text1"/>
              </w:rPr>
            </w:pPr>
          </w:p>
        </w:tc>
      </w:tr>
      <w:tr w:rsidR="00D17094" w:rsidRPr="00F17C5F" w14:paraId="2EC1CA5F" w14:textId="77777777" w:rsidTr="002635AC">
        <w:tc>
          <w:tcPr>
            <w:tcW w:w="2195" w:type="dxa"/>
          </w:tcPr>
          <w:p w14:paraId="161C6C6D"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5B784C6A" w14:textId="77777777" w:rsidR="004A2554"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methylprednisolone</w:t>
            </w:r>
          </w:p>
        </w:tc>
        <w:tc>
          <w:tcPr>
            <w:tcW w:w="1896" w:type="dxa"/>
          </w:tcPr>
          <w:p w14:paraId="31186EE7"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1.56</w:t>
            </w:r>
          </w:p>
        </w:tc>
        <w:tc>
          <w:tcPr>
            <w:tcW w:w="1763" w:type="dxa"/>
          </w:tcPr>
          <w:p w14:paraId="11635914" w14:textId="2DF5DD93"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78</w:t>
            </w:r>
          </w:p>
        </w:tc>
        <w:tc>
          <w:tcPr>
            <w:tcW w:w="1763" w:type="dxa"/>
          </w:tcPr>
          <w:p w14:paraId="2B5D20D8" w14:textId="5332155A" w:rsidR="004A2554" w:rsidRPr="00F17C5F" w:rsidRDefault="004A2554"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1.1 </w:t>
            </w:r>
          </w:p>
        </w:tc>
      </w:tr>
      <w:tr w:rsidR="00D17094" w:rsidRPr="00F17C5F" w14:paraId="01058F04" w14:textId="77777777" w:rsidTr="002635AC">
        <w:tc>
          <w:tcPr>
            <w:tcW w:w="2195" w:type="dxa"/>
          </w:tcPr>
          <w:p w14:paraId="5B7D786D" w14:textId="77777777" w:rsidR="004A2554" w:rsidRPr="00F17C5F" w:rsidRDefault="004A2554" w:rsidP="00F17C5F">
            <w:pPr>
              <w:spacing w:line="360" w:lineRule="auto"/>
              <w:jc w:val="both"/>
              <w:rPr>
                <w:rFonts w:ascii="Book Antiqua" w:eastAsia="Calibri" w:hAnsi="Book Antiqua"/>
                <w:color w:val="000000" w:themeColor="text1"/>
              </w:rPr>
            </w:pPr>
          </w:p>
        </w:tc>
        <w:tc>
          <w:tcPr>
            <w:tcW w:w="1959" w:type="dxa"/>
          </w:tcPr>
          <w:p w14:paraId="7781C63C"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hydrocortisone</w:t>
            </w:r>
            <w:r w:rsidRPr="00F17C5F">
              <w:rPr>
                <w:rFonts w:ascii="Book Antiqua" w:eastAsia="Calibri" w:hAnsi="Book Antiqua"/>
                <w:color w:val="000000" w:themeColor="text1"/>
              </w:rPr>
              <w:tab/>
            </w:r>
          </w:p>
        </w:tc>
        <w:tc>
          <w:tcPr>
            <w:tcW w:w="1896" w:type="dxa"/>
          </w:tcPr>
          <w:p w14:paraId="489EE76E" w14:textId="77777777" w:rsidR="004A2554" w:rsidRPr="00F17C5F" w:rsidRDefault="004A2554"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1.28</w:t>
            </w:r>
            <w:r w:rsidRPr="00F17C5F">
              <w:rPr>
                <w:rFonts w:ascii="Book Antiqua" w:eastAsia="Calibri" w:hAnsi="Book Antiqua"/>
                <w:color w:val="000000" w:themeColor="text1"/>
              </w:rPr>
              <w:tab/>
            </w:r>
          </w:p>
        </w:tc>
        <w:tc>
          <w:tcPr>
            <w:tcW w:w="1763" w:type="dxa"/>
          </w:tcPr>
          <w:p w14:paraId="132135B7" w14:textId="1D9B4964" w:rsidR="004A2554"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95</w:t>
            </w:r>
          </w:p>
        </w:tc>
        <w:tc>
          <w:tcPr>
            <w:tcW w:w="1763" w:type="dxa"/>
          </w:tcPr>
          <w:p w14:paraId="7C165D48" w14:textId="0F308384" w:rsidR="004A2554" w:rsidRPr="00F17C5F" w:rsidRDefault="00423DAD"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0.5</w:t>
            </w:r>
          </w:p>
        </w:tc>
      </w:tr>
      <w:tr w:rsidR="00D17094" w:rsidRPr="00F17C5F" w14:paraId="0DA64D94" w14:textId="77777777" w:rsidTr="002635AC">
        <w:tc>
          <w:tcPr>
            <w:tcW w:w="2195" w:type="dxa"/>
          </w:tcPr>
          <w:p w14:paraId="4D4C49AB" w14:textId="77777777" w:rsidR="00423DAD" w:rsidRPr="00F17C5F" w:rsidRDefault="00423DAD"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Antifungal/Antiviral</w:t>
            </w:r>
          </w:p>
        </w:tc>
        <w:tc>
          <w:tcPr>
            <w:tcW w:w="1959" w:type="dxa"/>
          </w:tcPr>
          <w:p w14:paraId="02B30E53" w14:textId="77777777" w:rsidR="00423DAD" w:rsidRPr="00F17C5F" w:rsidRDefault="00423DAD" w:rsidP="00F17C5F">
            <w:pPr>
              <w:spacing w:line="360" w:lineRule="auto"/>
              <w:jc w:val="both"/>
              <w:rPr>
                <w:rFonts w:ascii="Book Antiqua" w:eastAsia="Calibri" w:hAnsi="Book Antiqua"/>
                <w:color w:val="000000" w:themeColor="text1"/>
              </w:rPr>
            </w:pPr>
          </w:p>
        </w:tc>
        <w:tc>
          <w:tcPr>
            <w:tcW w:w="1896" w:type="dxa"/>
          </w:tcPr>
          <w:p w14:paraId="2A3945FE" w14:textId="77777777" w:rsidR="00423DAD" w:rsidRPr="00F17C5F" w:rsidRDefault="00423DAD" w:rsidP="00F17C5F">
            <w:pPr>
              <w:spacing w:line="360" w:lineRule="auto"/>
              <w:jc w:val="both"/>
              <w:rPr>
                <w:rFonts w:ascii="Book Antiqua" w:eastAsia="Calibri" w:hAnsi="Book Antiqua"/>
                <w:color w:val="000000" w:themeColor="text1"/>
              </w:rPr>
            </w:pPr>
          </w:p>
        </w:tc>
        <w:tc>
          <w:tcPr>
            <w:tcW w:w="1763" w:type="dxa"/>
          </w:tcPr>
          <w:p w14:paraId="723EF1D2" w14:textId="77777777" w:rsidR="00423DAD" w:rsidRPr="00F17C5F" w:rsidRDefault="00423DAD" w:rsidP="00F17C5F">
            <w:pPr>
              <w:spacing w:line="360" w:lineRule="auto"/>
              <w:jc w:val="both"/>
              <w:rPr>
                <w:rFonts w:ascii="Book Antiqua" w:eastAsia="Calibri" w:hAnsi="Book Antiqua"/>
                <w:color w:val="000000" w:themeColor="text1"/>
              </w:rPr>
            </w:pPr>
          </w:p>
        </w:tc>
        <w:tc>
          <w:tcPr>
            <w:tcW w:w="1763" w:type="dxa"/>
          </w:tcPr>
          <w:p w14:paraId="73D0003E" w14:textId="77777777" w:rsidR="00423DAD" w:rsidRPr="00F17C5F" w:rsidRDefault="00423DAD" w:rsidP="00F17C5F">
            <w:pPr>
              <w:spacing w:line="360" w:lineRule="auto"/>
              <w:jc w:val="both"/>
              <w:rPr>
                <w:rFonts w:ascii="Book Antiqua" w:eastAsia="Calibri" w:hAnsi="Book Antiqua"/>
                <w:color w:val="000000" w:themeColor="text1"/>
              </w:rPr>
            </w:pPr>
          </w:p>
        </w:tc>
      </w:tr>
      <w:tr w:rsidR="00D17094" w:rsidRPr="00F17C5F" w14:paraId="35E43D30" w14:textId="77777777" w:rsidTr="002635AC">
        <w:tc>
          <w:tcPr>
            <w:tcW w:w="2195" w:type="dxa"/>
          </w:tcPr>
          <w:p w14:paraId="3FFACE67"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13CD22A2"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voriconazole</w:t>
            </w:r>
            <w:r w:rsidRPr="00F17C5F">
              <w:rPr>
                <w:rFonts w:ascii="Book Antiqua" w:eastAsia="Calibri" w:hAnsi="Book Antiqua"/>
                <w:color w:val="000000" w:themeColor="text1"/>
              </w:rPr>
              <w:tab/>
            </w:r>
          </w:p>
        </w:tc>
        <w:tc>
          <w:tcPr>
            <w:tcW w:w="1896" w:type="dxa"/>
          </w:tcPr>
          <w:p w14:paraId="3FB652D4"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1.82</w:t>
            </w:r>
          </w:p>
        </w:tc>
        <w:tc>
          <w:tcPr>
            <w:tcW w:w="1763" w:type="dxa"/>
          </w:tcPr>
          <w:p w14:paraId="50946EC6" w14:textId="7001DB16" w:rsidR="00423DAD"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58</w:t>
            </w:r>
          </w:p>
        </w:tc>
        <w:tc>
          <w:tcPr>
            <w:tcW w:w="1763" w:type="dxa"/>
          </w:tcPr>
          <w:p w14:paraId="696A8103" w14:textId="5A1DD708"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3 </w:t>
            </w:r>
          </w:p>
        </w:tc>
      </w:tr>
      <w:tr w:rsidR="00D17094" w:rsidRPr="00F17C5F" w14:paraId="51A7682F" w14:textId="77777777" w:rsidTr="002635AC">
        <w:tc>
          <w:tcPr>
            <w:tcW w:w="2195" w:type="dxa"/>
          </w:tcPr>
          <w:p w14:paraId="100C1FE6"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3C307CA4"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fluconazole</w:t>
            </w:r>
          </w:p>
        </w:tc>
        <w:tc>
          <w:tcPr>
            <w:tcW w:w="1896" w:type="dxa"/>
          </w:tcPr>
          <w:p w14:paraId="2B2A815C"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0.56</w:t>
            </w:r>
          </w:p>
        </w:tc>
        <w:tc>
          <w:tcPr>
            <w:tcW w:w="1763" w:type="dxa"/>
          </w:tcPr>
          <w:p w14:paraId="18B181D6" w14:textId="13399412" w:rsidR="00423DAD"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11</w:t>
            </w:r>
          </w:p>
        </w:tc>
        <w:tc>
          <w:tcPr>
            <w:tcW w:w="1763" w:type="dxa"/>
          </w:tcPr>
          <w:p w14:paraId="6CCEB94B" w14:textId="08665D81" w:rsidR="00423DAD" w:rsidRPr="00F17C5F" w:rsidRDefault="00423DAD"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0.8 </w:t>
            </w:r>
          </w:p>
        </w:tc>
      </w:tr>
      <w:tr w:rsidR="00D17094" w:rsidRPr="00F17C5F" w14:paraId="7E9B5633" w14:textId="77777777" w:rsidTr="002635AC">
        <w:tc>
          <w:tcPr>
            <w:tcW w:w="2195" w:type="dxa"/>
          </w:tcPr>
          <w:p w14:paraId="1E54A952"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30F064E3"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micafungin</w:t>
            </w:r>
            <w:r w:rsidRPr="00F17C5F">
              <w:rPr>
                <w:rFonts w:ascii="Book Antiqua" w:eastAsia="Calibri" w:hAnsi="Book Antiqua"/>
                <w:color w:val="000000" w:themeColor="text1"/>
              </w:rPr>
              <w:tab/>
            </w:r>
          </w:p>
        </w:tc>
        <w:tc>
          <w:tcPr>
            <w:tcW w:w="1896" w:type="dxa"/>
          </w:tcPr>
          <w:p w14:paraId="115B37DA"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-6.3</w:t>
            </w:r>
          </w:p>
        </w:tc>
        <w:tc>
          <w:tcPr>
            <w:tcW w:w="1763" w:type="dxa"/>
          </w:tcPr>
          <w:p w14:paraId="737A626F" w14:textId="22F22526"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99</w:t>
            </w:r>
            <w:r w:rsidRPr="00F17C5F">
              <w:rPr>
                <w:rFonts w:ascii="Book Antiqua" w:eastAsia="Calibri" w:hAnsi="Book Antiqua"/>
                <w:color w:val="000000" w:themeColor="text1"/>
              </w:rPr>
              <w:tab/>
            </w:r>
          </w:p>
        </w:tc>
        <w:tc>
          <w:tcPr>
            <w:tcW w:w="1763" w:type="dxa"/>
          </w:tcPr>
          <w:p w14:paraId="391F3E07" w14:textId="592C0270" w:rsidR="00423DAD" w:rsidRPr="00F17C5F" w:rsidRDefault="00423DAD"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0.39 </w:t>
            </w:r>
          </w:p>
        </w:tc>
      </w:tr>
      <w:tr w:rsidR="00D17094" w:rsidRPr="00F17C5F" w14:paraId="753DBED5" w14:textId="77777777" w:rsidTr="002635AC">
        <w:tc>
          <w:tcPr>
            <w:tcW w:w="2195" w:type="dxa"/>
          </w:tcPr>
          <w:p w14:paraId="2846E38E"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42949055"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amphotericin </w:t>
            </w:r>
            <w:r w:rsidRPr="00F17C5F">
              <w:rPr>
                <w:rFonts w:ascii="Book Antiqua" w:eastAsia="Calibri" w:hAnsi="Book Antiqua"/>
                <w:color w:val="000000" w:themeColor="text1"/>
              </w:rPr>
              <w:tab/>
            </w:r>
          </w:p>
        </w:tc>
        <w:tc>
          <w:tcPr>
            <w:tcW w:w="1896" w:type="dxa"/>
          </w:tcPr>
          <w:p w14:paraId="5871ED3C"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-2.3</w:t>
            </w:r>
          </w:p>
        </w:tc>
        <w:tc>
          <w:tcPr>
            <w:tcW w:w="1763" w:type="dxa"/>
          </w:tcPr>
          <w:p w14:paraId="25A70744" w14:textId="3E87D588"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95</w:t>
            </w:r>
          </w:p>
        </w:tc>
        <w:tc>
          <w:tcPr>
            <w:tcW w:w="1763" w:type="dxa"/>
          </w:tcPr>
          <w:p w14:paraId="13CE87D5" w14:textId="6553C150"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1.8 </w:t>
            </w:r>
          </w:p>
        </w:tc>
      </w:tr>
      <w:tr w:rsidR="00D17094" w:rsidRPr="00F17C5F" w14:paraId="2795689F" w14:textId="77777777" w:rsidTr="002635AC">
        <w:tc>
          <w:tcPr>
            <w:tcW w:w="2195" w:type="dxa"/>
          </w:tcPr>
          <w:p w14:paraId="5CCEE405"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080E6A5D"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acyclovir</w:t>
            </w:r>
            <w:r w:rsidRPr="00F17C5F">
              <w:rPr>
                <w:rFonts w:ascii="Book Antiqua" w:eastAsia="Calibri" w:hAnsi="Book Antiqua"/>
                <w:color w:val="000000" w:themeColor="text1"/>
              </w:rPr>
              <w:tab/>
            </w:r>
          </w:p>
        </w:tc>
        <w:tc>
          <w:tcPr>
            <w:tcW w:w="1896" w:type="dxa"/>
          </w:tcPr>
          <w:p w14:paraId="2C131D65"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w:t>
            </w:r>
          </w:p>
        </w:tc>
        <w:tc>
          <w:tcPr>
            <w:tcW w:w="1763" w:type="dxa"/>
          </w:tcPr>
          <w:p w14:paraId="745B7A97" w14:textId="7C179B1E"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9-33</w:t>
            </w:r>
          </w:p>
        </w:tc>
        <w:tc>
          <w:tcPr>
            <w:tcW w:w="1763" w:type="dxa"/>
          </w:tcPr>
          <w:p w14:paraId="747AD6F5" w14:textId="16AC26A8"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0.6 </w:t>
            </w:r>
          </w:p>
        </w:tc>
      </w:tr>
      <w:tr w:rsidR="00D17094" w:rsidRPr="00F17C5F" w14:paraId="1BF7B375" w14:textId="77777777" w:rsidTr="002635AC">
        <w:tc>
          <w:tcPr>
            <w:tcW w:w="2195" w:type="dxa"/>
          </w:tcPr>
          <w:p w14:paraId="29DB59BB" w14:textId="77777777" w:rsidR="00423DAD" w:rsidRPr="00F17C5F" w:rsidRDefault="00423DAD"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Antibiotic</w:t>
            </w:r>
          </w:p>
        </w:tc>
        <w:tc>
          <w:tcPr>
            <w:tcW w:w="1959" w:type="dxa"/>
          </w:tcPr>
          <w:p w14:paraId="5F0E16BA" w14:textId="77777777" w:rsidR="00423DAD" w:rsidRPr="00F17C5F" w:rsidRDefault="00423DAD" w:rsidP="00F17C5F">
            <w:pPr>
              <w:spacing w:line="360" w:lineRule="auto"/>
              <w:jc w:val="both"/>
              <w:rPr>
                <w:rFonts w:ascii="Book Antiqua" w:eastAsia="Calibri" w:hAnsi="Book Antiqua"/>
                <w:color w:val="000000" w:themeColor="text1"/>
              </w:rPr>
            </w:pPr>
          </w:p>
        </w:tc>
        <w:tc>
          <w:tcPr>
            <w:tcW w:w="1896" w:type="dxa"/>
          </w:tcPr>
          <w:p w14:paraId="3A8AB576" w14:textId="77777777" w:rsidR="00423DAD" w:rsidRPr="00F17C5F" w:rsidRDefault="00423DAD" w:rsidP="00F17C5F">
            <w:pPr>
              <w:spacing w:line="360" w:lineRule="auto"/>
              <w:jc w:val="both"/>
              <w:rPr>
                <w:rFonts w:ascii="Book Antiqua" w:eastAsia="Calibri" w:hAnsi="Book Antiqua"/>
                <w:color w:val="000000" w:themeColor="text1"/>
              </w:rPr>
            </w:pPr>
          </w:p>
        </w:tc>
        <w:tc>
          <w:tcPr>
            <w:tcW w:w="1763" w:type="dxa"/>
          </w:tcPr>
          <w:p w14:paraId="76604C2D" w14:textId="77777777" w:rsidR="00423DAD" w:rsidRPr="00F17C5F" w:rsidRDefault="00423DAD" w:rsidP="00F17C5F">
            <w:pPr>
              <w:spacing w:line="360" w:lineRule="auto"/>
              <w:jc w:val="both"/>
              <w:rPr>
                <w:rFonts w:ascii="Book Antiqua" w:eastAsia="Calibri" w:hAnsi="Book Antiqua"/>
                <w:color w:val="000000" w:themeColor="text1"/>
              </w:rPr>
            </w:pPr>
          </w:p>
        </w:tc>
        <w:tc>
          <w:tcPr>
            <w:tcW w:w="1763" w:type="dxa"/>
          </w:tcPr>
          <w:p w14:paraId="67575228" w14:textId="77777777" w:rsidR="00423DAD" w:rsidRPr="00F17C5F" w:rsidRDefault="00423DAD" w:rsidP="00F17C5F">
            <w:pPr>
              <w:spacing w:line="360" w:lineRule="auto"/>
              <w:jc w:val="both"/>
              <w:rPr>
                <w:rFonts w:ascii="Book Antiqua" w:eastAsia="Calibri" w:hAnsi="Book Antiqua"/>
                <w:color w:val="000000" w:themeColor="text1"/>
              </w:rPr>
            </w:pPr>
          </w:p>
        </w:tc>
      </w:tr>
      <w:tr w:rsidR="00D17094" w:rsidRPr="00F17C5F" w14:paraId="48C536BD" w14:textId="77777777" w:rsidTr="002635AC">
        <w:tc>
          <w:tcPr>
            <w:tcW w:w="2195" w:type="dxa"/>
          </w:tcPr>
          <w:p w14:paraId="08AC4AB3"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54BA7B89"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azithromycin</w:t>
            </w:r>
            <w:r w:rsidRPr="00F17C5F">
              <w:rPr>
                <w:rFonts w:ascii="Book Antiqua" w:eastAsia="Calibri" w:hAnsi="Book Antiqua"/>
                <w:color w:val="000000" w:themeColor="text1"/>
              </w:rPr>
              <w:tab/>
            </w:r>
          </w:p>
        </w:tc>
        <w:tc>
          <w:tcPr>
            <w:tcW w:w="1896" w:type="dxa"/>
          </w:tcPr>
          <w:p w14:paraId="11220DB1"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2.44</w:t>
            </w:r>
          </w:p>
        </w:tc>
        <w:tc>
          <w:tcPr>
            <w:tcW w:w="1763" w:type="dxa"/>
          </w:tcPr>
          <w:p w14:paraId="6273E763" w14:textId="0A99890F" w:rsidR="00423DAD" w:rsidRPr="00F17C5F" w:rsidRDefault="00F17C5F" w:rsidP="00F17C5F">
            <w:pPr>
              <w:spacing w:line="360" w:lineRule="auto"/>
              <w:jc w:val="both"/>
              <w:rPr>
                <w:rFonts w:ascii="Book Antiqua" w:eastAsia="Calibri" w:hAnsi="Book Antiqua"/>
                <w:color w:val="000000" w:themeColor="text1"/>
              </w:rPr>
            </w:pPr>
            <w:r>
              <w:rPr>
                <w:rFonts w:ascii="Book Antiqua" w:eastAsia="Calibri" w:hAnsi="Book Antiqua"/>
                <w:color w:val="000000" w:themeColor="text1"/>
              </w:rPr>
              <w:t>51</w:t>
            </w:r>
            <w:r w:rsidR="00423DAD" w:rsidRPr="00F17C5F">
              <w:rPr>
                <w:rFonts w:ascii="Book Antiqua" w:eastAsia="Calibri" w:hAnsi="Book Antiqua"/>
                <w:color w:val="000000" w:themeColor="text1"/>
              </w:rPr>
              <w:tab/>
            </w:r>
          </w:p>
        </w:tc>
        <w:tc>
          <w:tcPr>
            <w:tcW w:w="1763" w:type="dxa"/>
          </w:tcPr>
          <w:p w14:paraId="1380A1A0" w14:textId="3A8EE320"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0.44 </w:t>
            </w:r>
          </w:p>
        </w:tc>
      </w:tr>
      <w:tr w:rsidR="00D17094" w:rsidRPr="00F17C5F" w14:paraId="36D4EA4F" w14:textId="77777777" w:rsidTr="002635AC">
        <w:tc>
          <w:tcPr>
            <w:tcW w:w="2195" w:type="dxa"/>
          </w:tcPr>
          <w:p w14:paraId="50D1D2AA"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1C8BB414"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aztreonam</w:t>
            </w:r>
          </w:p>
        </w:tc>
        <w:tc>
          <w:tcPr>
            <w:tcW w:w="1896" w:type="dxa"/>
          </w:tcPr>
          <w:p w14:paraId="36882175"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-3.1</w:t>
            </w:r>
          </w:p>
        </w:tc>
        <w:tc>
          <w:tcPr>
            <w:tcW w:w="1763" w:type="dxa"/>
          </w:tcPr>
          <w:p w14:paraId="1F785634" w14:textId="09B2027E" w:rsidR="00423DAD"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56</w:t>
            </w:r>
          </w:p>
        </w:tc>
        <w:tc>
          <w:tcPr>
            <w:tcW w:w="1763" w:type="dxa"/>
          </w:tcPr>
          <w:p w14:paraId="668FD46B" w14:textId="64C37C92" w:rsidR="00423DAD" w:rsidRPr="00F17C5F" w:rsidRDefault="00423DAD"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0.17 </w:t>
            </w:r>
          </w:p>
        </w:tc>
      </w:tr>
      <w:tr w:rsidR="00D17094" w:rsidRPr="00F17C5F" w14:paraId="7A83776E" w14:textId="77777777" w:rsidTr="002635AC">
        <w:tc>
          <w:tcPr>
            <w:tcW w:w="2195" w:type="dxa"/>
          </w:tcPr>
          <w:p w14:paraId="212D9F95"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6E4FEA86"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cefazolin</w:t>
            </w:r>
            <w:r w:rsidRPr="00F17C5F">
              <w:rPr>
                <w:rFonts w:ascii="Book Antiqua" w:eastAsia="Calibri" w:hAnsi="Book Antiqua"/>
                <w:color w:val="000000" w:themeColor="text1"/>
              </w:rPr>
              <w:tab/>
            </w:r>
          </w:p>
        </w:tc>
        <w:tc>
          <w:tcPr>
            <w:tcW w:w="1896" w:type="dxa"/>
          </w:tcPr>
          <w:p w14:paraId="0AE4F6E4"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-1.5</w:t>
            </w:r>
          </w:p>
        </w:tc>
        <w:tc>
          <w:tcPr>
            <w:tcW w:w="1763" w:type="dxa"/>
          </w:tcPr>
          <w:p w14:paraId="0CE04500" w14:textId="16BA0C29" w:rsidR="00423DAD"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80</w:t>
            </w:r>
          </w:p>
        </w:tc>
        <w:tc>
          <w:tcPr>
            <w:tcW w:w="1763" w:type="dxa"/>
          </w:tcPr>
          <w:p w14:paraId="12C3BF02" w14:textId="1F3F91A7" w:rsidR="00423DAD" w:rsidRPr="00F17C5F" w:rsidRDefault="00423DAD"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0.14 </w:t>
            </w:r>
          </w:p>
        </w:tc>
      </w:tr>
      <w:tr w:rsidR="00D17094" w:rsidRPr="00F17C5F" w14:paraId="2D28A207" w14:textId="77777777" w:rsidTr="002635AC">
        <w:tc>
          <w:tcPr>
            <w:tcW w:w="2195" w:type="dxa"/>
          </w:tcPr>
          <w:p w14:paraId="2089B0A6"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5D4A832E"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cefepime</w:t>
            </w:r>
          </w:p>
        </w:tc>
        <w:tc>
          <w:tcPr>
            <w:tcW w:w="1896" w:type="dxa"/>
          </w:tcPr>
          <w:p w14:paraId="0E97625E"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-4.3</w:t>
            </w:r>
          </w:p>
        </w:tc>
        <w:tc>
          <w:tcPr>
            <w:tcW w:w="1763" w:type="dxa"/>
          </w:tcPr>
          <w:p w14:paraId="60A55DC7" w14:textId="6831814C" w:rsidR="00423DAD"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20</w:t>
            </w:r>
          </w:p>
        </w:tc>
        <w:tc>
          <w:tcPr>
            <w:tcW w:w="1763" w:type="dxa"/>
          </w:tcPr>
          <w:p w14:paraId="430B8CE2" w14:textId="38DD5CD8" w:rsidR="00423DAD" w:rsidRPr="00F17C5F" w:rsidRDefault="00423DAD"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0.23</w:t>
            </w:r>
          </w:p>
        </w:tc>
      </w:tr>
      <w:tr w:rsidR="00D17094" w:rsidRPr="00F17C5F" w14:paraId="586F67D1" w14:textId="77777777" w:rsidTr="002635AC">
        <w:tc>
          <w:tcPr>
            <w:tcW w:w="2195" w:type="dxa"/>
          </w:tcPr>
          <w:p w14:paraId="0ADCBDEA"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516E658A"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cefoxitin</w:t>
            </w:r>
            <w:r w:rsidRPr="00F17C5F">
              <w:rPr>
                <w:rFonts w:ascii="Book Antiqua" w:eastAsia="Calibri" w:hAnsi="Book Antiqua"/>
                <w:color w:val="000000" w:themeColor="text1"/>
              </w:rPr>
              <w:tab/>
            </w:r>
          </w:p>
        </w:tc>
        <w:tc>
          <w:tcPr>
            <w:tcW w:w="1896" w:type="dxa"/>
          </w:tcPr>
          <w:p w14:paraId="133A4D6E"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0.29</w:t>
            </w:r>
          </w:p>
        </w:tc>
        <w:tc>
          <w:tcPr>
            <w:tcW w:w="1763" w:type="dxa"/>
          </w:tcPr>
          <w:p w14:paraId="3EB936D3" w14:textId="2848E61A" w:rsidR="00423DAD"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75</w:t>
            </w:r>
          </w:p>
        </w:tc>
        <w:tc>
          <w:tcPr>
            <w:tcW w:w="1763" w:type="dxa"/>
          </w:tcPr>
          <w:p w14:paraId="62790987" w14:textId="45967A44" w:rsidR="00423DAD" w:rsidRPr="00F17C5F" w:rsidRDefault="00423DAD"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0.26 </w:t>
            </w:r>
          </w:p>
        </w:tc>
      </w:tr>
      <w:tr w:rsidR="00D17094" w:rsidRPr="00F17C5F" w14:paraId="7F380C0B" w14:textId="77777777" w:rsidTr="002635AC">
        <w:tc>
          <w:tcPr>
            <w:tcW w:w="2195" w:type="dxa"/>
          </w:tcPr>
          <w:p w14:paraId="44EEACB8"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1364E8FC"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ceftriaxone</w:t>
            </w:r>
          </w:p>
        </w:tc>
        <w:tc>
          <w:tcPr>
            <w:tcW w:w="1896" w:type="dxa"/>
          </w:tcPr>
          <w:p w14:paraId="214AD2BB" w14:textId="3EE40E36"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-1.8</w:t>
            </w:r>
          </w:p>
        </w:tc>
        <w:tc>
          <w:tcPr>
            <w:tcW w:w="1763" w:type="dxa"/>
          </w:tcPr>
          <w:p w14:paraId="4E8318D7" w14:textId="792FFF96" w:rsidR="00423DAD"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95</w:t>
            </w:r>
          </w:p>
        </w:tc>
        <w:tc>
          <w:tcPr>
            <w:tcW w:w="1763" w:type="dxa"/>
          </w:tcPr>
          <w:p w14:paraId="165CBFD5" w14:textId="6184FACD" w:rsidR="00423DAD" w:rsidRPr="00F17C5F" w:rsidRDefault="00423DAD"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0.14 </w:t>
            </w:r>
          </w:p>
        </w:tc>
      </w:tr>
      <w:tr w:rsidR="00D17094" w:rsidRPr="00F17C5F" w14:paraId="04DBEA61" w14:textId="77777777" w:rsidTr="002635AC">
        <w:tc>
          <w:tcPr>
            <w:tcW w:w="2195" w:type="dxa"/>
          </w:tcPr>
          <w:p w14:paraId="2432EEA5"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50F9F21A"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ciprofloxacin</w:t>
            </w:r>
          </w:p>
        </w:tc>
        <w:tc>
          <w:tcPr>
            <w:tcW w:w="1896" w:type="dxa"/>
          </w:tcPr>
          <w:p w14:paraId="1FC9B833"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-0.81</w:t>
            </w:r>
          </w:p>
        </w:tc>
        <w:tc>
          <w:tcPr>
            <w:tcW w:w="1763" w:type="dxa"/>
          </w:tcPr>
          <w:p w14:paraId="18AC2D75" w14:textId="10081F36" w:rsidR="00423DAD"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35</w:t>
            </w:r>
          </w:p>
        </w:tc>
        <w:tc>
          <w:tcPr>
            <w:tcW w:w="1763" w:type="dxa"/>
          </w:tcPr>
          <w:p w14:paraId="2058AC6F" w14:textId="177E40B4"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2.5 </w:t>
            </w:r>
          </w:p>
        </w:tc>
      </w:tr>
      <w:tr w:rsidR="00D17094" w:rsidRPr="00F17C5F" w14:paraId="4DDB27CC" w14:textId="77777777" w:rsidTr="002635AC">
        <w:tc>
          <w:tcPr>
            <w:tcW w:w="2195" w:type="dxa"/>
          </w:tcPr>
          <w:p w14:paraId="03BB4CBB"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437B4BF8"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clindamycin</w:t>
            </w:r>
            <w:r w:rsidRPr="00F17C5F">
              <w:rPr>
                <w:rFonts w:ascii="Book Antiqua" w:eastAsia="Calibri" w:hAnsi="Book Antiqua"/>
                <w:color w:val="000000" w:themeColor="text1"/>
              </w:rPr>
              <w:tab/>
            </w:r>
          </w:p>
        </w:tc>
        <w:tc>
          <w:tcPr>
            <w:tcW w:w="1896" w:type="dxa"/>
          </w:tcPr>
          <w:p w14:paraId="6C1E3F1C"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1.04</w:t>
            </w:r>
          </w:p>
        </w:tc>
        <w:tc>
          <w:tcPr>
            <w:tcW w:w="1763" w:type="dxa"/>
          </w:tcPr>
          <w:p w14:paraId="5F680317" w14:textId="3DA4A4A9" w:rsidR="00423DAD" w:rsidRPr="00F17C5F" w:rsidRDefault="00F17C5F" w:rsidP="00F17C5F">
            <w:pPr>
              <w:spacing w:line="360" w:lineRule="auto"/>
              <w:jc w:val="both"/>
              <w:rPr>
                <w:rFonts w:ascii="Book Antiqua" w:eastAsia="Calibri" w:hAnsi="Book Antiqua"/>
                <w:color w:val="000000" w:themeColor="text1"/>
              </w:rPr>
            </w:pPr>
            <w:r>
              <w:rPr>
                <w:rFonts w:ascii="Book Antiqua" w:eastAsia="Calibri" w:hAnsi="Book Antiqua"/>
                <w:color w:val="000000" w:themeColor="text1"/>
              </w:rPr>
              <w:t>93</w:t>
            </w:r>
            <w:r w:rsidR="00423DAD" w:rsidRPr="00F17C5F">
              <w:rPr>
                <w:rFonts w:ascii="Book Antiqua" w:eastAsia="Calibri" w:hAnsi="Book Antiqua"/>
                <w:color w:val="000000" w:themeColor="text1"/>
              </w:rPr>
              <w:tab/>
            </w:r>
          </w:p>
        </w:tc>
        <w:tc>
          <w:tcPr>
            <w:tcW w:w="1763" w:type="dxa"/>
          </w:tcPr>
          <w:p w14:paraId="344B752E" w14:textId="3F03FFEF"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2.5 </w:t>
            </w:r>
          </w:p>
        </w:tc>
      </w:tr>
      <w:tr w:rsidR="00D17094" w:rsidRPr="00F17C5F" w14:paraId="4FB445F1" w14:textId="77777777" w:rsidTr="002635AC">
        <w:tc>
          <w:tcPr>
            <w:tcW w:w="2195" w:type="dxa"/>
          </w:tcPr>
          <w:p w14:paraId="6B929EE3"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72E66C3D"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linezolid</w:t>
            </w:r>
          </w:p>
        </w:tc>
        <w:tc>
          <w:tcPr>
            <w:tcW w:w="1896" w:type="dxa"/>
          </w:tcPr>
          <w:p w14:paraId="0CD35115"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0.64</w:t>
            </w:r>
          </w:p>
        </w:tc>
        <w:tc>
          <w:tcPr>
            <w:tcW w:w="1763" w:type="dxa"/>
          </w:tcPr>
          <w:p w14:paraId="21DA3BEB" w14:textId="6F4BEB60" w:rsidR="00423DAD"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31</w:t>
            </w:r>
          </w:p>
        </w:tc>
        <w:tc>
          <w:tcPr>
            <w:tcW w:w="1763" w:type="dxa"/>
          </w:tcPr>
          <w:p w14:paraId="4C395D11" w14:textId="4005F139"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0.64 </w:t>
            </w:r>
          </w:p>
        </w:tc>
      </w:tr>
      <w:tr w:rsidR="00D17094" w:rsidRPr="00F17C5F" w14:paraId="16808EE7" w14:textId="77777777" w:rsidTr="002635AC">
        <w:tc>
          <w:tcPr>
            <w:tcW w:w="2195" w:type="dxa"/>
          </w:tcPr>
          <w:p w14:paraId="51EC168D"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6929FD8E"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meropenem</w:t>
            </w:r>
            <w:r w:rsidRPr="00F17C5F">
              <w:rPr>
                <w:rFonts w:ascii="Book Antiqua" w:eastAsia="Calibri" w:hAnsi="Book Antiqua"/>
                <w:color w:val="000000" w:themeColor="text1"/>
              </w:rPr>
              <w:tab/>
            </w:r>
          </w:p>
        </w:tc>
        <w:tc>
          <w:tcPr>
            <w:tcW w:w="1896" w:type="dxa"/>
          </w:tcPr>
          <w:p w14:paraId="0AF124BA"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-4.4</w:t>
            </w:r>
          </w:p>
        </w:tc>
        <w:tc>
          <w:tcPr>
            <w:tcW w:w="1763" w:type="dxa"/>
          </w:tcPr>
          <w:p w14:paraId="601ABBE0" w14:textId="46E0E142" w:rsidR="00423DAD" w:rsidRPr="00F17C5F" w:rsidRDefault="00F17C5F" w:rsidP="00F17C5F">
            <w:pPr>
              <w:spacing w:line="360" w:lineRule="auto"/>
              <w:jc w:val="both"/>
              <w:rPr>
                <w:rFonts w:ascii="Book Antiqua" w:eastAsia="Calibri" w:hAnsi="Book Antiqua"/>
                <w:color w:val="000000" w:themeColor="text1"/>
              </w:rPr>
            </w:pPr>
            <w:r>
              <w:rPr>
                <w:rFonts w:ascii="Book Antiqua" w:eastAsia="Calibri" w:hAnsi="Book Antiqua"/>
                <w:color w:val="000000" w:themeColor="text1"/>
              </w:rPr>
              <w:t>2</w:t>
            </w:r>
            <w:r w:rsidR="00423DAD" w:rsidRPr="00F17C5F">
              <w:rPr>
                <w:rFonts w:ascii="Book Antiqua" w:eastAsia="Calibri" w:hAnsi="Book Antiqua"/>
                <w:color w:val="000000" w:themeColor="text1"/>
              </w:rPr>
              <w:tab/>
            </w:r>
          </w:p>
        </w:tc>
        <w:tc>
          <w:tcPr>
            <w:tcW w:w="1763" w:type="dxa"/>
          </w:tcPr>
          <w:p w14:paraId="7CA66513" w14:textId="73DB52D7" w:rsidR="00423DAD" w:rsidRPr="00F17C5F" w:rsidRDefault="00423DAD"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 xml:space="preserve">0.36 </w:t>
            </w:r>
          </w:p>
        </w:tc>
      </w:tr>
      <w:tr w:rsidR="00D17094" w:rsidRPr="00F17C5F" w14:paraId="2033C1AD" w14:textId="77777777" w:rsidTr="002635AC">
        <w:tc>
          <w:tcPr>
            <w:tcW w:w="2195" w:type="dxa"/>
          </w:tcPr>
          <w:p w14:paraId="5CF6F747"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097943F3"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metronidazole</w:t>
            </w:r>
          </w:p>
        </w:tc>
        <w:tc>
          <w:tcPr>
            <w:tcW w:w="1896" w:type="dxa"/>
          </w:tcPr>
          <w:p w14:paraId="0C307D00"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-0.46</w:t>
            </w:r>
          </w:p>
        </w:tc>
        <w:tc>
          <w:tcPr>
            <w:tcW w:w="1763" w:type="dxa"/>
          </w:tcPr>
          <w:p w14:paraId="3B38138F" w14:textId="5C222D01" w:rsidR="00423DAD"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25</w:t>
            </w:r>
          </w:p>
        </w:tc>
        <w:tc>
          <w:tcPr>
            <w:tcW w:w="1763" w:type="dxa"/>
          </w:tcPr>
          <w:p w14:paraId="71533561" w14:textId="6D47BAEF"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1 </w:t>
            </w:r>
          </w:p>
        </w:tc>
      </w:tr>
      <w:tr w:rsidR="00D17094" w:rsidRPr="00F17C5F" w14:paraId="7501B12B" w14:textId="77777777" w:rsidTr="002635AC">
        <w:tc>
          <w:tcPr>
            <w:tcW w:w="2195" w:type="dxa"/>
          </w:tcPr>
          <w:p w14:paraId="7C99D200"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341A4722"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moxifloxacin</w:t>
            </w:r>
            <w:r w:rsidRPr="00F17C5F">
              <w:rPr>
                <w:rFonts w:ascii="Book Antiqua" w:eastAsia="Calibri" w:hAnsi="Book Antiqua"/>
                <w:color w:val="000000" w:themeColor="text1"/>
              </w:rPr>
              <w:tab/>
            </w:r>
          </w:p>
        </w:tc>
        <w:tc>
          <w:tcPr>
            <w:tcW w:w="1896" w:type="dxa"/>
          </w:tcPr>
          <w:p w14:paraId="6F27A403"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-0.5</w:t>
            </w:r>
          </w:p>
        </w:tc>
        <w:tc>
          <w:tcPr>
            <w:tcW w:w="1763" w:type="dxa"/>
          </w:tcPr>
          <w:p w14:paraId="5ECBFDED" w14:textId="045734FC" w:rsidR="00423DAD" w:rsidRPr="00F17C5F" w:rsidRDefault="00F17C5F" w:rsidP="00F17C5F">
            <w:pPr>
              <w:spacing w:line="360" w:lineRule="auto"/>
              <w:jc w:val="both"/>
              <w:rPr>
                <w:rFonts w:ascii="Book Antiqua" w:eastAsia="Calibri" w:hAnsi="Book Antiqua"/>
                <w:color w:val="000000" w:themeColor="text1"/>
              </w:rPr>
            </w:pPr>
            <w:r>
              <w:rPr>
                <w:rFonts w:ascii="Book Antiqua" w:eastAsia="Calibri" w:hAnsi="Book Antiqua"/>
                <w:color w:val="000000" w:themeColor="text1"/>
              </w:rPr>
              <w:t>50</w:t>
            </w:r>
            <w:r w:rsidR="00423DAD" w:rsidRPr="00F17C5F">
              <w:rPr>
                <w:rFonts w:ascii="Book Antiqua" w:eastAsia="Calibri" w:hAnsi="Book Antiqua"/>
                <w:color w:val="000000" w:themeColor="text1"/>
              </w:rPr>
              <w:tab/>
            </w:r>
          </w:p>
        </w:tc>
        <w:tc>
          <w:tcPr>
            <w:tcW w:w="1763" w:type="dxa"/>
          </w:tcPr>
          <w:p w14:paraId="52D94A3C" w14:textId="4080371B"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2 </w:t>
            </w:r>
          </w:p>
        </w:tc>
      </w:tr>
      <w:tr w:rsidR="00D17094" w:rsidRPr="00F17C5F" w14:paraId="07F99F15" w14:textId="77777777" w:rsidTr="002635AC">
        <w:tc>
          <w:tcPr>
            <w:tcW w:w="2195" w:type="dxa"/>
          </w:tcPr>
          <w:p w14:paraId="5CF6A280"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7CC4E748" w14:textId="77777777" w:rsidR="00423DAD" w:rsidRPr="00F17C5F" w:rsidRDefault="00423DAD"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Piperacillin/tazobactam</w:t>
            </w:r>
          </w:p>
        </w:tc>
        <w:tc>
          <w:tcPr>
            <w:tcW w:w="1896" w:type="dxa"/>
          </w:tcPr>
          <w:p w14:paraId="28E9ACBE"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-0.26</w:t>
            </w:r>
          </w:p>
        </w:tc>
        <w:tc>
          <w:tcPr>
            <w:tcW w:w="1763" w:type="dxa"/>
          </w:tcPr>
          <w:p w14:paraId="2794CAF8" w14:textId="77777777" w:rsidR="00423DAD" w:rsidRPr="00F17C5F" w:rsidRDefault="00423DAD" w:rsidP="00F17C5F">
            <w:pPr>
              <w:spacing w:line="360" w:lineRule="auto"/>
              <w:jc w:val="both"/>
              <w:rPr>
                <w:rFonts w:ascii="Book Antiqua" w:eastAsia="Calibri" w:hAnsi="Book Antiqua"/>
                <w:color w:val="000000" w:themeColor="text1"/>
              </w:rPr>
            </w:pPr>
          </w:p>
        </w:tc>
        <w:tc>
          <w:tcPr>
            <w:tcW w:w="1763" w:type="dxa"/>
          </w:tcPr>
          <w:p w14:paraId="123B4CAF" w14:textId="1DFE5143"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0.1 </w:t>
            </w:r>
          </w:p>
        </w:tc>
      </w:tr>
      <w:tr w:rsidR="00D17094" w:rsidRPr="00F17C5F" w14:paraId="78AE7BB4" w14:textId="77777777" w:rsidTr="002635AC">
        <w:tc>
          <w:tcPr>
            <w:tcW w:w="2195" w:type="dxa"/>
          </w:tcPr>
          <w:p w14:paraId="0E58A360"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79805CEF"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vancomycin</w:t>
            </w:r>
            <w:r w:rsidRPr="00F17C5F">
              <w:rPr>
                <w:rFonts w:ascii="Book Antiqua" w:eastAsia="Calibri" w:hAnsi="Book Antiqua"/>
                <w:color w:val="000000" w:themeColor="text1"/>
              </w:rPr>
              <w:tab/>
            </w:r>
          </w:p>
        </w:tc>
        <w:tc>
          <w:tcPr>
            <w:tcW w:w="1896" w:type="dxa"/>
          </w:tcPr>
          <w:p w14:paraId="4C7A2C78"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-3.1</w:t>
            </w:r>
          </w:p>
        </w:tc>
        <w:tc>
          <w:tcPr>
            <w:tcW w:w="1763" w:type="dxa"/>
          </w:tcPr>
          <w:p w14:paraId="0608C3F3" w14:textId="1155D66E" w:rsidR="00423DAD" w:rsidRPr="00F17C5F" w:rsidRDefault="00F17C5F" w:rsidP="00F17C5F">
            <w:pPr>
              <w:spacing w:line="360" w:lineRule="auto"/>
              <w:jc w:val="both"/>
              <w:rPr>
                <w:rFonts w:ascii="Book Antiqua" w:eastAsia="Calibri" w:hAnsi="Book Antiqua"/>
                <w:color w:val="000000" w:themeColor="text1"/>
              </w:rPr>
            </w:pPr>
            <w:r>
              <w:rPr>
                <w:rFonts w:ascii="Book Antiqua" w:eastAsia="Calibri" w:hAnsi="Book Antiqua"/>
                <w:color w:val="000000" w:themeColor="text1"/>
              </w:rPr>
              <w:t>55</w:t>
            </w:r>
            <w:r w:rsidR="00423DAD" w:rsidRPr="00F17C5F">
              <w:rPr>
                <w:rFonts w:ascii="Book Antiqua" w:eastAsia="Calibri" w:hAnsi="Book Antiqua"/>
                <w:color w:val="000000" w:themeColor="text1"/>
              </w:rPr>
              <w:tab/>
            </w:r>
          </w:p>
        </w:tc>
        <w:tc>
          <w:tcPr>
            <w:tcW w:w="1763" w:type="dxa"/>
          </w:tcPr>
          <w:p w14:paraId="1951F847" w14:textId="6AF39740"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0.7 </w:t>
            </w:r>
          </w:p>
        </w:tc>
      </w:tr>
      <w:tr w:rsidR="00D17094" w:rsidRPr="00F17C5F" w14:paraId="49918FA0" w14:textId="77777777" w:rsidTr="002635AC">
        <w:tc>
          <w:tcPr>
            <w:tcW w:w="2195" w:type="dxa"/>
          </w:tcPr>
          <w:p w14:paraId="58CCA645" w14:textId="77777777" w:rsidR="00423DAD" w:rsidRPr="00F17C5F" w:rsidRDefault="00423DAD" w:rsidP="00F17C5F">
            <w:pPr>
              <w:spacing w:line="360" w:lineRule="auto"/>
              <w:jc w:val="both"/>
              <w:rPr>
                <w:rFonts w:ascii="Book Antiqua" w:hAnsi="Book Antiqua"/>
                <w:color w:val="000000" w:themeColor="text1"/>
                <w:lang w:eastAsia="zh-CN"/>
              </w:rPr>
            </w:pPr>
            <w:r w:rsidRPr="00F17C5F">
              <w:rPr>
                <w:rFonts w:ascii="Book Antiqua" w:eastAsia="Calibri" w:hAnsi="Book Antiqua"/>
                <w:color w:val="000000" w:themeColor="text1"/>
              </w:rPr>
              <w:t>Anti-seizure</w:t>
            </w:r>
          </w:p>
        </w:tc>
        <w:tc>
          <w:tcPr>
            <w:tcW w:w="1959" w:type="dxa"/>
          </w:tcPr>
          <w:p w14:paraId="3E1384E6" w14:textId="77777777" w:rsidR="00423DAD" w:rsidRPr="00F17C5F" w:rsidRDefault="00423DAD" w:rsidP="00F17C5F">
            <w:pPr>
              <w:spacing w:line="360" w:lineRule="auto"/>
              <w:jc w:val="both"/>
              <w:rPr>
                <w:rFonts w:ascii="Book Antiqua" w:eastAsia="Calibri" w:hAnsi="Book Antiqua"/>
                <w:color w:val="000000" w:themeColor="text1"/>
              </w:rPr>
            </w:pPr>
          </w:p>
        </w:tc>
        <w:tc>
          <w:tcPr>
            <w:tcW w:w="1896" w:type="dxa"/>
          </w:tcPr>
          <w:p w14:paraId="0DDE519C" w14:textId="77777777" w:rsidR="00423DAD" w:rsidRPr="00F17C5F" w:rsidRDefault="00423DAD" w:rsidP="00F17C5F">
            <w:pPr>
              <w:spacing w:line="360" w:lineRule="auto"/>
              <w:jc w:val="both"/>
              <w:rPr>
                <w:rFonts w:ascii="Book Antiqua" w:eastAsia="Calibri" w:hAnsi="Book Antiqua"/>
                <w:color w:val="000000" w:themeColor="text1"/>
              </w:rPr>
            </w:pPr>
          </w:p>
        </w:tc>
        <w:tc>
          <w:tcPr>
            <w:tcW w:w="1763" w:type="dxa"/>
          </w:tcPr>
          <w:p w14:paraId="24ED9049" w14:textId="77777777" w:rsidR="00423DAD" w:rsidRPr="00F17C5F" w:rsidRDefault="00423DAD" w:rsidP="00F17C5F">
            <w:pPr>
              <w:spacing w:line="360" w:lineRule="auto"/>
              <w:jc w:val="both"/>
              <w:rPr>
                <w:rFonts w:ascii="Book Antiqua" w:eastAsia="Calibri" w:hAnsi="Book Antiqua"/>
                <w:color w:val="000000" w:themeColor="text1"/>
              </w:rPr>
            </w:pPr>
          </w:p>
        </w:tc>
        <w:tc>
          <w:tcPr>
            <w:tcW w:w="1763" w:type="dxa"/>
          </w:tcPr>
          <w:p w14:paraId="48C5065A" w14:textId="77777777" w:rsidR="00423DAD" w:rsidRPr="00F17C5F" w:rsidRDefault="00423DAD" w:rsidP="00F17C5F">
            <w:pPr>
              <w:spacing w:line="360" w:lineRule="auto"/>
              <w:jc w:val="both"/>
              <w:rPr>
                <w:rFonts w:ascii="Book Antiqua" w:eastAsia="Calibri" w:hAnsi="Book Antiqua"/>
                <w:color w:val="000000" w:themeColor="text1"/>
              </w:rPr>
            </w:pPr>
          </w:p>
        </w:tc>
      </w:tr>
      <w:tr w:rsidR="00D17094" w:rsidRPr="00F17C5F" w14:paraId="4930B0B0" w14:textId="77777777" w:rsidTr="002635AC">
        <w:tc>
          <w:tcPr>
            <w:tcW w:w="2195" w:type="dxa"/>
          </w:tcPr>
          <w:p w14:paraId="703FBA4C"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57DAF942"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levetiracetam</w:t>
            </w:r>
            <w:r w:rsidRPr="00F17C5F">
              <w:rPr>
                <w:rFonts w:ascii="Book Antiqua" w:eastAsia="Calibri" w:hAnsi="Book Antiqua"/>
                <w:color w:val="000000" w:themeColor="text1"/>
              </w:rPr>
              <w:tab/>
            </w:r>
          </w:p>
        </w:tc>
        <w:tc>
          <w:tcPr>
            <w:tcW w:w="1896" w:type="dxa"/>
          </w:tcPr>
          <w:p w14:paraId="0699385D"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-0.59</w:t>
            </w:r>
          </w:p>
        </w:tc>
        <w:tc>
          <w:tcPr>
            <w:tcW w:w="1763" w:type="dxa"/>
          </w:tcPr>
          <w:p w14:paraId="3F140407" w14:textId="71117C77" w:rsidR="00423DAD" w:rsidRPr="00F17C5F" w:rsidRDefault="00F17C5F" w:rsidP="00F17C5F">
            <w:pPr>
              <w:spacing w:line="360" w:lineRule="auto"/>
              <w:jc w:val="both"/>
              <w:rPr>
                <w:rFonts w:ascii="Book Antiqua" w:eastAsia="Calibri" w:hAnsi="Book Antiqua"/>
                <w:color w:val="000000" w:themeColor="text1"/>
              </w:rPr>
            </w:pPr>
            <w:r>
              <w:rPr>
                <w:rFonts w:ascii="Book Antiqua" w:eastAsia="Calibri" w:hAnsi="Book Antiqua"/>
                <w:color w:val="000000" w:themeColor="text1"/>
              </w:rPr>
              <w:t>8</w:t>
            </w:r>
            <w:r w:rsidR="00423DAD" w:rsidRPr="00F17C5F">
              <w:rPr>
                <w:rFonts w:ascii="Book Antiqua" w:eastAsia="Calibri" w:hAnsi="Book Antiqua"/>
                <w:color w:val="000000" w:themeColor="text1"/>
              </w:rPr>
              <w:tab/>
            </w:r>
          </w:p>
        </w:tc>
        <w:tc>
          <w:tcPr>
            <w:tcW w:w="1763" w:type="dxa"/>
          </w:tcPr>
          <w:p w14:paraId="7DEB5BE1" w14:textId="20C970A8"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 xml:space="preserve">0.6 </w:t>
            </w:r>
          </w:p>
        </w:tc>
      </w:tr>
      <w:tr w:rsidR="00D17094" w:rsidRPr="00F17C5F" w14:paraId="2A33F66D" w14:textId="77777777" w:rsidTr="002635AC">
        <w:tc>
          <w:tcPr>
            <w:tcW w:w="2195" w:type="dxa"/>
          </w:tcPr>
          <w:p w14:paraId="6BF723C8" w14:textId="77777777" w:rsidR="00423DAD" w:rsidRPr="00F17C5F" w:rsidRDefault="00423DAD" w:rsidP="00F17C5F">
            <w:pPr>
              <w:spacing w:line="360" w:lineRule="auto"/>
              <w:jc w:val="both"/>
              <w:rPr>
                <w:rFonts w:ascii="Book Antiqua" w:eastAsia="Calibri" w:hAnsi="Book Antiqua"/>
                <w:color w:val="000000" w:themeColor="text1"/>
              </w:rPr>
            </w:pPr>
          </w:p>
        </w:tc>
        <w:tc>
          <w:tcPr>
            <w:tcW w:w="1959" w:type="dxa"/>
          </w:tcPr>
          <w:p w14:paraId="03249351"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phenytoin</w:t>
            </w:r>
          </w:p>
        </w:tc>
        <w:tc>
          <w:tcPr>
            <w:tcW w:w="1896" w:type="dxa"/>
          </w:tcPr>
          <w:p w14:paraId="2D342E05" w14:textId="77777777" w:rsidR="00423DAD" w:rsidRPr="00F17C5F" w:rsidRDefault="00423DAD" w:rsidP="00F17C5F">
            <w:pPr>
              <w:spacing w:line="360" w:lineRule="auto"/>
              <w:jc w:val="both"/>
              <w:rPr>
                <w:rFonts w:ascii="Book Antiqua" w:eastAsia="Calibri" w:hAnsi="Book Antiqua"/>
                <w:color w:val="000000" w:themeColor="text1"/>
              </w:rPr>
            </w:pPr>
            <w:r w:rsidRPr="00F17C5F">
              <w:rPr>
                <w:rFonts w:ascii="Book Antiqua" w:eastAsia="Calibri" w:hAnsi="Book Antiqua"/>
                <w:color w:val="000000" w:themeColor="text1"/>
              </w:rPr>
              <w:t>2.15</w:t>
            </w:r>
          </w:p>
        </w:tc>
        <w:tc>
          <w:tcPr>
            <w:tcW w:w="1763" w:type="dxa"/>
          </w:tcPr>
          <w:p w14:paraId="45D63402" w14:textId="3C0FD2AE" w:rsidR="00423DAD"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90</w:t>
            </w:r>
          </w:p>
        </w:tc>
        <w:tc>
          <w:tcPr>
            <w:tcW w:w="1763" w:type="dxa"/>
          </w:tcPr>
          <w:p w14:paraId="4596186D" w14:textId="7AEE3DE5" w:rsidR="00423DAD" w:rsidRPr="00F17C5F" w:rsidRDefault="00F17C5F" w:rsidP="00F17C5F">
            <w:pPr>
              <w:spacing w:line="360" w:lineRule="auto"/>
              <w:jc w:val="both"/>
              <w:rPr>
                <w:rFonts w:ascii="Book Antiqua" w:hAnsi="Book Antiqua"/>
                <w:color w:val="000000" w:themeColor="text1"/>
                <w:lang w:eastAsia="zh-CN"/>
              </w:rPr>
            </w:pPr>
            <w:r>
              <w:rPr>
                <w:rFonts w:ascii="Book Antiqua" w:eastAsia="Calibri" w:hAnsi="Book Antiqua"/>
                <w:color w:val="000000" w:themeColor="text1"/>
              </w:rPr>
              <w:t xml:space="preserve">0.7 </w:t>
            </w:r>
          </w:p>
        </w:tc>
      </w:tr>
    </w:tbl>
    <w:p w14:paraId="4E05ADF2" w14:textId="1172DD03" w:rsidR="003E15F5" w:rsidRPr="00F17C5F" w:rsidRDefault="001838CC" w:rsidP="00F17C5F">
      <w:pPr>
        <w:spacing w:after="0" w:line="360" w:lineRule="auto"/>
        <w:jc w:val="both"/>
        <w:rPr>
          <w:rFonts w:ascii="Book Antiqua" w:hAnsi="Book Antiqua"/>
          <w:color w:val="000000" w:themeColor="text1"/>
          <w:lang w:eastAsia="zh-CN"/>
        </w:rPr>
      </w:pPr>
      <w:r w:rsidRPr="00F17C5F">
        <w:rPr>
          <w:rFonts w:ascii="Book Antiqua" w:hAnsi="Book Antiqua"/>
          <w:color w:val="000000" w:themeColor="text1"/>
          <w:vertAlign w:val="superscript"/>
          <w:lang w:eastAsia="zh-CN"/>
        </w:rPr>
        <w:t>1</w:t>
      </w:r>
      <w:r w:rsidR="00F6162B" w:rsidRPr="00F17C5F">
        <w:rPr>
          <w:rFonts w:ascii="Book Antiqua" w:eastAsia="Calibri" w:hAnsi="Book Antiqua"/>
          <w:color w:val="000000" w:themeColor="text1"/>
        </w:rPr>
        <w:t>L</w:t>
      </w:r>
      <w:r w:rsidR="00C96843" w:rsidRPr="00F17C5F">
        <w:rPr>
          <w:rFonts w:ascii="Book Antiqua" w:eastAsia="Calibri" w:hAnsi="Book Antiqua"/>
          <w:color w:val="000000" w:themeColor="text1"/>
        </w:rPr>
        <w:t xml:space="preserve">ogP </w:t>
      </w:r>
      <w:r w:rsidR="00AA04FF" w:rsidRPr="00F17C5F">
        <w:rPr>
          <w:rFonts w:ascii="Book Antiqua" w:eastAsia="Calibri" w:hAnsi="Book Antiqua"/>
          <w:color w:val="000000" w:themeColor="text1"/>
        </w:rPr>
        <w:t>is the</w:t>
      </w:r>
      <w:r w:rsidR="00C96843" w:rsidRPr="00F17C5F">
        <w:rPr>
          <w:rFonts w:ascii="Book Antiqua" w:eastAsia="Calibri" w:hAnsi="Book Antiqua"/>
          <w:color w:val="000000" w:themeColor="text1"/>
        </w:rPr>
        <w:t xml:space="preserve"> octanol-water partition coefficient </w:t>
      </w:r>
      <w:r w:rsidR="00AA04FF" w:rsidRPr="00F17C5F">
        <w:rPr>
          <w:rFonts w:ascii="Book Antiqua" w:eastAsia="Calibri" w:hAnsi="Book Antiqua"/>
          <w:color w:val="000000" w:themeColor="text1"/>
        </w:rPr>
        <w:t>and is expressed as the</w:t>
      </w:r>
      <w:r w:rsidR="00C96843" w:rsidRPr="00F17C5F">
        <w:rPr>
          <w:rFonts w:ascii="Book Antiqua" w:eastAsia="Calibri" w:hAnsi="Book Antiqua"/>
          <w:color w:val="000000" w:themeColor="text1"/>
        </w:rPr>
        <w:t xml:space="preserve"> ratio of the solubility of a compound in</w:t>
      </w:r>
      <w:r w:rsidR="00AA04FF" w:rsidRPr="00F17C5F">
        <w:rPr>
          <w:rFonts w:ascii="Book Antiqua" w:eastAsia="Calibri" w:hAnsi="Book Antiqua"/>
          <w:color w:val="000000" w:themeColor="text1"/>
        </w:rPr>
        <w:t xml:space="preserve"> octanol (</w:t>
      </w:r>
      <w:r w:rsidR="00C96843" w:rsidRPr="00F17C5F">
        <w:rPr>
          <w:rFonts w:ascii="Book Antiqua" w:eastAsia="Calibri" w:hAnsi="Book Antiqua"/>
          <w:color w:val="000000" w:themeColor="text1"/>
        </w:rPr>
        <w:t>non-polar solvent</w:t>
      </w:r>
      <w:r w:rsidR="00AA04FF" w:rsidRPr="00F17C5F">
        <w:rPr>
          <w:rFonts w:ascii="Book Antiqua" w:eastAsia="Calibri" w:hAnsi="Book Antiqua"/>
          <w:color w:val="000000" w:themeColor="text1"/>
        </w:rPr>
        <w:t>) to its solubility in water (</w:t>
      </w:r>
      <w:r w:rsidR="00C96843" w:rsidRPr="00F17C5F">
        <w:rPr>
          <w:rFonts w:ascii="Book Antiqua" w:eastAsia="Calibri" w:hAnsi="Book Antiqua"/>
          <w:color w:val="000000" w:themeColor="text1"/>
        </w:rPr>
        <w:t>polar solvent)</w:t>
      </w:r>
      <w:r w:rsidRPr="00F17C5F">
        <w:rPr>
          <w:rFonts w:ascii="Book Antiqua" w:hAnsi="Book Antiqua"/>
          <w:color w:val="000000" w:themeColor="text1"/>
          <w:lang w:eastAsia="zh-CN"/>
        </w:rPr>
        <w:t xml:space="preserve">. </w:t>
      </w:r>
      <w:r w:rsidR="003E15F5" w:rsidRPr="00F17C5F">
        <w:rPr>
          <w:rFonts w:ascii="Book Antiqua" w:eastAsia="Calibri" w:hAnsi="Book Antiqua"/>
          <w:color w:val="000000" w:themeColor="text1"/>
        </w:rPr>
        <w:t>Some of the data from this table (particularly the log P values) were obtained from www.drugbank.ca</w:t>
      </w:r>
      <w:r w:rsidRPr="00F17C5F">
        <w:rPr>
          <w:rFonts w:ascii="Book Antiqua" w:hAnsi="Book Antiqua"/>
          <w:color w:val="000000" w:themeColor="text1"/>
          <w:lang w:eastAsia="zh-CN"/>
        </w:rPr>
        <w:t>.</w:t>
      </w:r>
    </w:p>
    <w:p w14:paraId="4AEEE957" w14:textId="77777777" w:rsidR="00621D32" w:rsidRPr="00F17C5F" w:rsidRDefault="00621D32" w:rsidP="00F17C5F">
      <w:pPr>
        <w:spacing w:after="0" w:line="360" w:lineRule="auto"/>
        <w:jc w:val="both"/>
        <w:rPr>
          <w:rFonts w:ascii="Book Antiqua" w:eastAsia="Calibri" w:hAnsi="Book Antiqua"/>
          <w:color w:val="000000" w:themeColor="text1"/>
        </w:rPr>
      </w:pPr>
    </w:p>
    <w:sectPr w:rsidR="00621D32" w:rsidRPr="00F17C5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FF063" w14:textId="77777777" w:rsidR="00F7317B" w:rsidRDefault="00F7317B" w:rsidP="00BC4CCC">
      <w:pPr>
        <w:spacing w:after="0" w:line="240" w:lineRule="auto"/>
      </w:pPr>
      <w:r>
        <w:separator/>
      </w:r>
    </w:p>
  </w:endnote>
  <w:endnote w:type="continuationSeparator" w:id="0">
    <w:p w14:paraId="39B05946" w14:textId="77777777" w:rsidR="00F7317B" w:rsidRDefault="00F7317B" w:rsidP="00BC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EF8F" w14:textId="77777777" w:rsidR="00F7317B" w:rsidRDefault="00F7317B" w:rsidP="00BC4CCC">
      <w:pPr>
        <w:spacing w:after="0" w:line="240" w:lineRule="auto"/>
      </w:pPr>
      <w:r>
        <w:separator/>
      </w:r>
    </w:p>
  </w:footnote>
  <w:footnote w:type="continuationSeparator" w:id="0">
    <w:p w14:paraId="1F828B2F" w14:textId="77777777" w:rsidR="00F7317B" w:rsidRDefault="00F7317B" w:rsidP="00BC4C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330319"/>
      <w:docPartObj>
        <w:docPartGallery w:val="Page Numbers (Top of Page)"/>
        <w:docPartUnique/>
      </w:docPartObj>
    </w:sdtPr>
    <w:sdtEndPr>
      <w:rPr>
        <w:noProof/>
      </w:rPr>
    </w:sdtEndPr>
    <w:sdtContent>
      <w:p w14:paraId="1F506D18" w14:textId="77777777" w:rsidR="003155A9" w:rsidRDefault="003155A9">
        <w:pPr>
          <w:pStyle w:val="Header"/>
          <w:jc w:val="right"/>
        </w:pPr>
        <w:r>
          <w:fldChar w:fldCharType="begin"/>
        </w:r>
        <w:r>
          <w:instrText xml:space="preserve"> PAGE   \* MERGEFORMAT </w:instrText>
        </w:r>
        <w:r>
          <w:fldChar w:fldCharType="separate"/>
        </w:r>
        <w:r w:rsidR="00777ECB">
          <w:rPr>
            <w:noProof/>
          </w:rPr>
          <w:t>1</w:t>
        </w:r>
        <w:r>
          <w:rPr>
            <w:noProof/>
          </w:rPr>
          <w:fldChar w:fldCharType="end"/>
        </w:r>
      </w:p>
    </w:sdtContent>
  </w:sdt>
  <w:p w14:paraId="6B75F47A" w14:textId="77777777" w:rsidR="003155A9" w:rsidRDefault="003155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EFC"/>
    <w:multiLevelType w:val="hybridMultilevel"/>
    <w:tmpl w:val="75E095AA"/>
    <w:lvl w:ilvl="0" w:tplc="4C2C93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12637"/>
    <w:multiLevelType w:val="singleLevel"/>
    <w:tmpl w:val="8D64DC4C"/>
    <w:lvl w:ilvl="0">
      <w:start w:val="1"/>
      <w:numFmt w:val="decimal"/>
      <w:lvlText w:val="%1."/>
      <w:lvlJc w:val="left"/>
      <w:pPr>
        <w:tabs>
          <w:tab w:val="num" w:pos="720"/>
        </w:tabs>
        <w:ind w:left="720" w:hanging="720"/>
      </w:pPr>
      <w:rPr>
        <w:rFonts w:hint="default"/>
        <w:b w:val="0"/>
        <w:i w:val="0"/>
      </w:rPr>
    </w:lvl>
  </w:abstractNum>
  <w:abstractNum w:abstractNumId="2">
    <w:nsid w:val="62F92B7B"/>
    <w:multiLevelType w:val="hybridMultilevel"/>
    <w:tmpl w:val="CF38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F0"/>
    <w:rsid w:val="0000039E"/>
    <w:rsid w:val="00015ADC"/>
    <w:rsid w:val="000200EA"/>
    <w:rsid w:val="00020EAE"/>
    <w:rsid w:val="0002663A"/>
    <w:rsid w:val="000278BB"/>
    <w:rsid w:val="00040379"/>
    <w:rsid w:val="00042572"/>
    <w:rsid w:val="00054119"/>
    <w:rsid w:val="00056395"/>
    <w:rsid w:val="00062B4A"/>
    <w:rsid w:val="00064AA9"/>
    <w:rsid w:val="00067AAB"/>
    <w:rsid w:val="000729B6"/>
    <w:rsid w:val="00077046"/>
    <w:rsid w:val="00085AF4"/>
    <w:rsid w:val="000874CB"/>
    <w:rsid w:val="00092964"/>
    <w:rsid w:val="00095144"/>
    <w:rsid w:val="000A2247"/>
    <w:rsid w:val="000A32BE"/>
    <w:rsid w:val="000A4705"/>
    <w:rsid w:val="000A7DA0"/>
    <w:rsid w:val="000B1D03"/>
    <w:rsid w:val="000B550D"/>
    <w:rsid w:val="000C28EB"/>
    <w:rsid w:val="000D1F1F"/>
    <w:rsid w:val="000D2EDE"/>
    <w:rsid w:val="000D6098"/>
    <w:rsid w:val="000D6435"/>
    <w:rsid w:val="000E1B17"/>
    <w:rsid w:val="000E3095"/>
    <w:rsid w:val="00101583"/>
    <w:rsid w:val="00110DC6"/>
    <w:rsid w:val="001127E5"/>
    <w:rsid w:val="00117E83"/>
    <w:rsid w:val="00121EF4"/>
    <w:rsid w:val="0014151A"/>
    <w:rsid w:val="00146CC8"/>
    <w:rsid w:val="001521BC"/>
    <w:rsid w:val="00152BA2"/>
    <w:rsid w:val="0015601A"/>
    <w:rsid w:val="00163F6B"/>
    <w:rsid w:val="001709E9"/>
    <w:rsid w:val="001838CC"/>
    <w:rsid w:val="00185DD2"/>
    <w:rsid w:val="001869BB"/>
    <w:rsid w:val="001A0A99"/>
    <w:rsid w:val="001A16A0"/>
    <w:rsid w:val="001A58ED"/>
    <w:rsid w:val="001B0762"/>
    <w:rsid w:val="001B6300"/>
    <w:rsid w:val="001B690C"/>
    <w:rsid w:val="001C0603"/>
    <w:rsid w:val="001C1134"/>
    <w:rsid w:val="001D7617"/>
    <w:rsid w:val="001E1B6F"/>
    <w:rsid w:val="001E7167"/>
    <w:rsid w:val="001F6175"/>
    <w:rsid w:val="00204D89"/>
    <w:rsid w:val="00232CD9"/>
    <w:rsid w:val="00234F3F"/>
    <w:rsid w:val="002373BE"/>
    <w:rsid w:val="00241D28"/>
    <w:rsid w:val="00241FD1"/>
    <w:rsid w:val="0025093D"/>
    <w:rsid w:val="002512A2"/>
    <w:rsid w:val="00261459"/>
    <w:rsid w:val="002624C3"/>
    <w:rsid w:val="002635AC"/>
    <w:rsid w:val="00265126"/>
    <w:rsid w:val="0027008F"/>
    <w:rsid w:val="002727BC"/>
    <w:rsid w:val="002876A4"/>
    <w:rsid w:val="00287BA4"/>
    <w:rsid w:val="00296EA8"/>
    <w:rsid w:val="002976D3"/>
    <w:rsid w:val="002A0620"/>
    <w:rsid w:val="002A7898"/>
    <w:rsid w:val="002B284C"/>
    <w:rsid w:val="002B3593"/>
    <w:rsid w:val="002B72F1"/>
    <w:rsid w:val="002D6F7D"/>
    <w:rsid w:val="002E1F54"/>
    <w:rsid w:val="002F3D25"/>
    <w:rsid w:val="002F6F5B"/>
    <w:rsid w:val="00304BC3"/>
    <w:rsid w:val="00307048"/>
    <w:rsid w:val="003130A0"/>
    <w:rsid w:val="003155A9"/>
    <w:rsid w:val="00317F26"/>
    <w:rsid w:val="00321A2C"/>
    <w:rsid w:val="00321C2F"/>
    <w:rsid w:val="0032434C"/>
    <w:rsid w:val="003272AA"/>
    <w:rsid w:val="00331730"/>
    <w:rsid w:val="00332D63"/>
    <w:rsid w:val="00343215"/>
    <w:rsid w:val="00346C80"/>
    <w:rsid w:val="0035043C"/>
    <w:rsid w:val="00357895"/>
    <w:rsid w:val="00357E84"/>
    <w:rsid w:val="00372971"/>
    <w:rsid w:val="00377B1B"/>
    <w:rsid w:val="00380814"/>
    <w:rsid w:val="00382470"/>
    <w:rsid w:val="003837C8"/>
    <w:rsid w:val="003A32DA"/>
    <w:rsid w:val="003A7A4E"/>
    <w:rsid w:val="003C548D"/>
    <w:rsid w:val="003D0346"/>
    <w:rsid w:val="003D0ADB"/>
    <w:rsid w:val="003D1656"/>
    <w:rsid w:val="003D25EB"/>
    <w:rsid w:val="003D7F3D"/>
    <w:rsid w:val="003E02AE"/>
    <w:rsid w:val="003E15F5"/>
    <w:rsid w:val="003E3EFA"/>
    <w:rsid w:val="003E456E"/>
    <w:rsid w:val="003E4CCF"/>
    <w:rsid w:val="003F1BA5"/>
    <w:rsid w:val="003F1E69"/>
    <w:rsid w:val="003F3ACC"/>
    <w:rsid w:val="004116E2"/>
    <w:rsid w:val="00413880"/>
    <w:rsid w:val="004159B2"/>
    <w:rsid w:val="004174BD"/>
    <w:rsid w:val="00417B92"/>
    <w:rsid w:val="00421833"/>
    <w:rsid w:val="00423DAD"/>
    <w:rsid w:val="0042752D"/>
    <w:rsid w:val="00435CA7"/>
    <w:rsid w:val="00436DF2"/>
    <w:rsid w:val="004435D3"/>
    <w:rsid w:val="00444E2F"/>
    <w:rsid w:val="00447DFC"/>
    <w:rsid w:val="00454A86"/>
    <w:rsid w:val="00465317"/>
    <w:rsid w:val="0046607B"/>
    <w:rsid w:val="00474829"/>
    <w:rsid w:val="004A2554"/>
    <w:rsid w:val="004A4432"/>
    <w:rsid w:val="004A49F3"/>
    <w:rsid w:val="004B6B2B"/>
    <w:rsid w:val="0050308C"/>
    <w:rsid w:val="005040E2"/>
    <w:rsid w:val="005158E4"/>
    <w:rsid w:val="00515F2B"/>
    <w:rsid w:val="00542E35"/>
    <w:rsid w:val="00553050"/>
    <w:rsid w:val="005545B4"/>
    <w:rsid w:val="0055658D"/>
    <w:rsid w:val="00564115"/>
    <w:rsid w:val="00567D3E"/>
    <w:rsid w:val="00580AFB"/>
    <w:rsid w:val="00582046"/>
    <w:rsid w:val="0058346B"/>
    <w:rsid w:val="00584E9A"/>
    <w:rsid w:val="0058549A"/>
    <w:rsid w:val="005A759B"/>
    <w:rsid w:val="005B121B"/>
    <w:rsid w:val="005C4E50"/>
    <w:rsid w:val="005C53E9"/>
    <w:rsid w:val="005D35CA"/>
    <w:rsid w:val="005D4A78"/>
    <w:rsid w:val="005D54DB"/>
    <w:rsid w:val="005E1E6B"/>
    <w:rsid w:val="005E23C4"/>
    <w:rsid w:val="005F42AF"/>
    <w:rsid w:val="00621A64"/>
    <w:rsid w:val="00621D32"/>
    <w:rsid w:val="00650387"/>
    <w:rsid w:val="00650ABC"/>
    <w:rsid w:val="00652CC5"/>
    <w:rsid w:val="006722C8"/>
    <w:rsid w:val="00675110"/>
    <w:rsid w:val="00693E31"/>
    <w:rsid w:val="006958A9"/>
    <w:rsid w:val="00696BC2"/>
    <w:rsid w:val="006B5AE1"/>
    <w:rsid w:val="006C06CA"/>
    <w:rsid w:val="006C1E1E"/>
    <w:rsid w:val="006C7F5F"/>
    <w:rsid w:val="006D55EE"/>
    <w:rsid w:val="006E2FAA"/>
    <w:rsid w:val="006F2A5A"/>
    <w:rsid w:val="006F3D46"/>
    <w:rsid w:val="006F6B25"/>
    <w:rsid w:val="00703751"/>
    <w:rsid w:val="00715BE6"/>
    <w:rsid w:val="00717E4E"/>
    <w:rsid w:val="00722023"/>
    <w:rsid w:val="0072588A"/>
    <w:rsid w:val="00734BE4"/>
    <w:rsid w:val="007351F2"/>
    <w:rsid w:val="007401A6"/>
    <w:rsid w:val="007417DE"/>
    <w:rsid w:val="007441B6"/>
    <w:rsid w:val="00744957"/>
    <w:rsid w:val="007542B3"/>
    <w:rsid w:val="00757543"/>
    <w:rsid w:val="00772E20"/>
    <w:rsid w:val="007736A8"/>
    <w:rsid w:val="00775B2C"/>
    <w:rsid w:val="00777ECB"/>
    <w:rsid w:val="00781764"/>
    <w:rsid w:val="00782B55"/>
    <w:rsid w:val="007859C0"/>
    <w:rsid w:val="007876A5"/>
    <w:rsid w:val="00793152"/>
    <w:rsid w:val="00793204"/>
    <w:rsid w:val="00797780"/>
    <w:rsid w:val="007A18F2"/>
    <w:rsid w:val="007D2B03"/>
    <w:rsid w:val="007D6B9C"/>
    <w:rsid w:val="007E1278"/>
    <w:rsid w:val="007F6C59"/>
    <w:rsid w:val="007F72BC"/>
    <w:rsid w:val="007F795E"/>
    <w:rsid w:val="00803B3B"/>
    <w:rsid w:val="008103C3"/>
    <w:rsid w:val="0081053B"/>
    <w:rsid w:val="00815603"/>
    <w:rsid w:val="00821F14"/>
    <w:rsid w:val="00825605"/>
    <w:rsid w:val="00834D55"/>
    <w:rsid w:val="008501FC"/>
    <w:rsid w:val="00850D84"/>
    <w:rsid w:val="00864E88"/>
    <w:rsid w:val="00864EF7"/>
    <w:rsid w:val="00865F0C"/>
    <w:rsid w:val="00873A1D"/>
    <w:rsid w:val="00876D4B"/>
    <w:rsid w:val="00884A64"/>
    <w:rsid w:val="008862FE"/>
    <w:rsid w:val="00887247"/>
    <w:rsid w:val="008B1A23"/>
    <w:rsid w:val="008B426E"/>
    <w:rsid w:val="008B49F0"/>
    <w:rsid w:val="008C08CC"/>
    <w:rsid w:val="008C1B3A"/>
    <w:rsid w:val="008C712D"/>
    <w:rsid w:val="008D4D0A"/>
    <w:rsid w:val="008D5A98"/>
    <w:rsid w:val="008F2465"/>
    <w:rsid w:val="0090024A"/>
    <w:rsid w:val="0091045D"/>
    <w:rsid w:val="0092184C"/>
    <w:rsid w:val="00922536"/>
    <w:rsid w:val="00926704"/>
    <w:rsid w:val="0093152A"/>
    <w:rsid w:val="00937A12"/>
    <w:rsid w:val="00941817"/>
    <w:rsid w:val="00942863"/>
    <w:rsid w:val="00943ABF"/>
    <w:rsid w:val="009646A8"/>
    <w:rsid w:val="00972794"/>
    <w:rsid w:val="00973253"/>
    <w:rsid w:val="00974771"/>
    <w:rsid w:val="00974C81"/>
    <w:rsid w:val="00981955"/>
    <w:rsid w:val="00995879"/>
    <w:rsid w:val="009B0C6A"/>
    <w:rsid w:val="009B4C1A"/>
    <w:rsid w:val="009B628B"/>
    <w:rsid w:val="009B7AEF"/>
    <w:rsid w:val="009C4821"/>
    <w:rsid w:val="009D3601"/>
    <w:rsid w:val="009D41B1"/>
    <w:rsid w:val="009E2630"/>
    <w:rsid w:val="009E2ECF"/>
    <w:rsid w:val="009E3A46"/>
    <w:rsid w:val="009E4AF2"/>
    <w:rsid w:val="009E6B6F"/>
    <w:rsid w:val="009F4D01"/>
    <w:rsid w:val="009F4DC6"/>
    <w:rsid w:val="00A00A4B"/>
    <w:rsid w:val="00A04DFE"/>
    <w:rsid w:val="00A07F80"/>
    <w:rsid w:val="00A13644"/>
    <w:rsid w:val="00A13EB1"/>
    <w:rsid w:val="00A14A9A"/>
    <w:rsid w:val="00A17599"/>
    <w:rsid w:val="00A20B49"/>
    <w:rsid w:val="00A2311E"/>
    <w:rsid w:val="00A24BE9"/>
    <w:rsid w:val="00A32C8F"/>
    <w:rsid w:val="00A379F4"/>
    <w:rsid w:val="00A46220"/>
    <w:rsid w:val="00A52E25"/>
    <w:rsid w:val="00A57DA2"/>
    <w:rsid w:val="00A60349"/>
    <w:rsid w:val="00A65086"/>
    <w:rsid w:val="00A663B5"/>
    <w:rsid w:val="00A66C7D"/>
    <w:rsid w:val="00A71566"/>
    <w:rsid w:val="00A73A3A"/>
    <w:rsid w:val="00A745E2"/>
    <w:rsid w:val="00A87D46"/>
    <w:rsid w:val="00A92F23"/>
    <w:rsid w:val="00AA04FF"/>
    <w:rsid w:val="00AA2C7A"/>
    <w:rsid w:val="00AB2A39"/>
    <w:rsid w:val="00AB7DA2"/>
    <w:rsid w:val="00AD1633"/>
    <w:rsid w:val="00AD4687"/>
    <w:rsid w:val="00AD7268"/>
    <w:rsid w:val="00AE016F"/>
    <w:rsid w:val="00AE32E3"/>
    <w:rsid w:val="00AF525C"/>
    <w:rsid w:val="00B0114E"/>
    <w:rsid w:val="00B041CF"/>
    <w:rsid w:val="00B156F0"/>
    <w:rsid w:val="00B16425"/>
    <w:rsid w:val="00B34EAF"/>
    <w:rsid w:val="00B42C6C"/>
    <w:rsid w:val="00B616AF"/>
    <w:rsid w:val="00B67904"/>
    <w:rsid w:val="00B71ACF"/>
    <w:rsid w:val="00B74E79"/>
    <w:rsid w:val="00B77802"/>
    <w:rsid w:val="00B8013C"/>
    <w:rsid w:val="00B81499"/>
    <w:rsid w:val="00B85016"/>
    <w:rsid w:val="00B87D45"/>
    <w:rsid w:val="00B936A8"/>
    <w:rsid w:val="00B944E1"/>
    <w:rsid w:val="00B97D94"/>
    <w:rsid w:val="00BA6891"/>
    <w:rsid w:val="00BC2E74"/>
    <w:rsid w:val="00BC312A"/>
    <w:rsid w:val="00BC4CCC"/>
    <w:rsid w:val="00BC7C00"/>
    <w:rsid w:val="00BF0EFE"/>
    <w:rsid w:val="00BF4B68"/>
    <w:rsid w:val="00BF7BE5"/>
    <w:rsid w:val="00C00D46"/>
    <w:rsid w:val="00C10223"/>
    <w:rsid w:val="00C11A44"/>
    <w:rsid w:val="00C226A3"/>
    <w:rsid w:val="00C31DBB"/>
    <w:rsid w:val="00C33411"/>
    <w:rsid w:val="00C42A03"/>
    <w:rsid w:val="00C43756"/>
    <w:rsid w:val="00C51B60"/>
    <w:rsid w:val="00C53463"/>
    <w:rsid w:val="00C57DD2"/>
    <w:rsid w:val="00C62172"/>
    <w:rsid w:val="00C627DB"/>
    <w:rsid w:val="00C639E8"/>
    <w:rsid w:val="00C728D2"/>
    <w:rsid w:val="00C73405"/>
    <w:rsid w:val="00C84290"/>
    <w:rsid w:val="00C8485D"/>
    <w:rsid w:val="00C96843"/>
    <w:rsid w:val="00CA2558"/>
    <w:rsid w:val="00CB2384"/>
    <w:rsid w:val="00CB27D5"/>
    <w:rsid w:val="00CB7E20"/>
    <w:rsid w:val="00CC0632"/>
    <w:rsid w:val="00CC3502"/>
    <w:rsid w:val="00CE3042"/>
    <w:rsid w:val="00CE31E9"/>
    <w:rsid w:val="00CE3F17"/>
    <w:rsid w:val="00CF2878"/>
    <w:rsid w:val="00CF538C"/>
    <w:rsid w:val="00D10CF0"/>
    <w:rsid w:val="00D17094"/>
    <w:rsid w:val="00D213F2"/>
    <w:rsid w:val="00D25426"/>
    <w:rsid w:val="00D26A31"/>
    <w:rsid w:val="00D36BE3"/>
    <w:rsid w:val="00D37457"/>
    <w:rsid w:val="00D379A5"/>
    <w:rsid w:val="00D41CFA"/>
    <w:rsid w:val="00D44D61"/>
    <w:rsid w:val="00D45DE5"/>
    <w:rsid w:val="00D5495F"/>
    <w:rsid w:val="00D774FB"/>
    <w:rsid w:val="00D7757E"/>
    <w:rsid w:val="00D94AD9"/>
    <w:rsid w:val="00DB56B5"/>
    <w:rsid w:val="00DB6604"/>
    <w:rsid w:val="00DD4909"/>
    <w:rsid w:val="00DD7EB8"/>
    <w:rsid w:val="00DF1D72"/>
    <w:rsid w:val="00DF2420"/>
    <w:rsid w:val="00DF50E5"/>
    <w:rsid w:val="00E00A31"/>
    <w:rsid w:val="00E21F9D"/>
    <w:rsid w:val="00E237BD"/>
    <w:rsid w:val="00E31743"/>
    <w:rsid w:val="00E31D65"/>
    <w:rsid w:val="00E3239F"/>
    <w:rsid w:val="00E3301E"/>
    <w:rsid w:val="00E33EDE"/>
    <w:rsid w:val="00E427CC"/>
    <w:rsid w:val="00E50DBD"/>
    <w:rsid w:val="00E540E8"/>
    <w:rsid w:val="00E54B63"/>
    <w:rsid w:val="00E5567E"/>
    <w:rsid w:val="00E57094"/>
    <w:rsid w:val="00E63F5C"/>
    <w:rsid w:val="00E7043D"/>
    <w:rsid w:val="00E713E9"/>
    <w:rsid w:val="00E721B3"/>
    <w:rsid w:val="00E73A62"/>
    <w:rsid w:val="00E76671"/>
    <w:rsid w:val="00E82F89"/>
    <w:rsid w:val="00E84A04"/>
    <w:rsid w:val="00E87962"/>
    <w:rsid w:val="00EB0C44"/>
    <w:rsid w:val="00EB1849"/>
    <w:rsid w:val="00EC0AE4"/>
    <w:rsid w:val="00EC0B24"/>
    <w:rsid w:val="00EC1981"/>
    <w:rsid w:val="00EC651D"/>
    <w:rsid w:val="00ED3787"/>
    <w:rsid w:val="00EE242A"/>
    <w:rsid w:val="00F02106"/>
    <w:rsid w:val="00F066F6"/>
    <w:rsid w:val="00F16C2A"/>
    <w:rsid w:val="00F17C5F"/>
    <w:rsid w:val="00F22BA7"/>
    <w:rsid w:val="00F262CA"/>
    <w:rsid w:val="00F4464F"/>
    <w:rsid w:val="00F44CCB"/>
    <w:rsid w:val="00F47B09"/>
    <w:rsid w:val="00F47CB9"/>
    <w:rsid w:val="00F53E6B"/>
    <w:rsid w:val="00F540CC"/>
    <w:rsid w:val="00F6162B"/>
    <w:rsid w:val="00F71C73"/>
    <w:rsid w:val="00F7317B"/>
    <w:rsid w:val="00F73DDC"/>
    <w:rsid w:val="00F80FA0"/>
    <w:rsid w:val="00F81BC7"/>
    <w:rsid w:val="00F84AD9"/>
    <w:rsid w:val="00F86664"/>
    <w:rsid w:val="00F87DB5"/>
    <w:rsid w:val="00F9384C"/>
    <w:rsid w:val="00F96825"/>
    <w:rsid w:val="00FA6E0E"/>
    <w:rsid w:val="00FB1EE4"/>
    <w:rsid w:val="00FB5E53"/>
    <w:rsid w:val="00FC10D6"/>
    <w:rsid w:val="00FC30BF"/>
    <w:rsid w:val="00FC3CAC"/>
    <w:rsid w:val="00FC4E20"/>
    <w:rsid w:val="00FC7D52"/>
    <w:rsid w:val="00FD3ED3"/>
    <w:rsid w:val="00FD4898"/>
    <w:rsid w:val="00FD6FF0"/>
    <w:rsid w:val="00FE599E"/>
    <w:rsid w:val="00FF042D"/>
    <w:rsid w:val="00FF1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3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A12"/>
    <w:rPr>
      <w:color w:val="0000FF" w:themeColor="hyperlink"/>
      <w:u w:val="single"/>
    </w:rPr>
  </w:style>
  <w:style w:type="paragraph" w:styleId="Header">
    <w:name w:val="header"/>
    <w:basedOn w:val="Normal"/>
    <w:link w:val="HeaderChar"/>
    <w:uiPriority w:val="99"/>
    <w:unhideWhenUsed/>
    <w:rsid w:val="00BC4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CC"/>
  </w:style>
  <w:style w:type="paragraph" w:styleId="Footer">
    <w:name w:val="footer"/>
    <w:basedOn w:val="Normal"/>
    <w:link w:val="FooterChar"/>
    <w:uiPriority w:val="99"/>
    <w:unhideWhenUsed/>
    <w:rsid w:val="00BC4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CC"/>
  </w:style>
  <w:style w:type="paragraph" w:styleId="ListParagraph">
    <w:name w:val="List Paragraph"/>
    <w:basedOn w:val="Normal"/>
    <w:uiPriority w:val="34"/>
    <w:qFormat/>
    <w:rsid w:val="00EC0B24"/>
    <w:pPr>
      <w:ind w:left="720"/>
      <w:contextualSpacing/>
    </w:pPr>
    <w:rPr>
      <w:rFonts w:ascii="Calibri" w:eastAsia="Calibri" w:hAnsi="Calibri"/>
      <w:sz w:val="22"/>
      <w:szCs w:val="22"/>
    </w:rPr>
  </w:style>
  <w:style w:type="paragraph" w:styleId="NormalWeb">
    <w:name w:val="Normal (Web)"/>
    <w:basedOn w:val="Normal"/>
    <w:uiPriority w:val="99"/>
    <w:unhideWhenUsed/>
    <w:rsid w:val="00EC0B24"/>
    <w:pPr>
      <w:spacing w:before="180" w:after="180" w:line="240" w:lineRule="auto"/>
    </w:pPr>
    <w:rPr>
      <w:rFonts w:eastAsia="Times New Roman"/>
    </w:rPr>
  </w:style>
  <w:style w:type="character" w:customStyle="1" w:styleId="highlight">
    <w:name w:val="highlight"/>
    <w:basedOn w:val="DefaultParagraphFont"/>
    <w:rsid w:val="003E3EFA"/>
  </w:style>
  <w:style w:type="character" w:customStyle="1" w:styleId="doi">
    <w:name w:val="doi"/>
    <w:basedOn w:val="DefaultParagraphFont"/>
    <w:rsid w:val="003E3EFA"/>
  </w:style>
  <w:style w:type="character" w:customStyle="1" w:styleId="cit-doi">
    <w:name w:val="cit-doi"/>
    <w:basedOn w:val="DefaultParagraphFont"/>
    <w:rsid w:val="003E3EFA"/>
  </w:style>
  <w:style w:type="character" w:customStyle="1" w:styleId="slug-doi">
    <w:name w:val="slug-doi"/>
    <w:basedOn w:val="DefaultParagraphFont"/>
    <w:rsid w:val="003E3EFA"/>
  </w:style>
  <w:style w:type="character" w:customStyle="1" w:styleId="highwire-cite-doi">
    <w:name w:val="highwire-cite-doi"/>
    <w:basedOn w:val="DefaultParagraphFont"/>
    <w:rsid w:val="003E3EFA"/>
  </w:style>
  <w:style w:type="table" w:styleId="TableGrid">
    <w:name w:val="Table Grid"/>
    <w:basedOn w:val="TableNormal"/>
    <w:uiPriority w:val="59"/>
    <w:rsid w:val="000D2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42AF"/>
    <w:rPr>
      <w:sz w:val="21"/>
      <w:szCs w:val="21"/>
    </w:rPr>
  </w:style>
  <w:style w:type="paragraph" w:styleId="CommentText">
    <w:name w:val="annotation text"/>
    <w:basedOn w:val="Normal"/>
    <w:link w:val="CommentTextChar"/>
    <w:unhideWhenUsed/>
    <w:rsid w:val="005F42AF"/>
  </w:style>
  <w:style w:type="character" w:customStyle="1" w:styleId="CommentTextChar">
    <w:name w:val="Comment Text Char"/>
    <w:basedOn w:val="DefaultParagraphFont"/>
    <w:link w:val="CommentText"/>
    <w:rsid w:val="005F42AF"/>
  </w:style>
  <w:style w:type="paragraph" w:styleId="CommentSubject">
    <w:name w:val="annotation subject"/>
    <w:basedOn w:val="CommentText"/>
    <w:next w:val="CommentText"/>
    <w:link w:val="CommentSubjectChar"/>
    <w:uiPriority w:val="99"/>
    <w:semiHidden/>
    <w:unhideWhenUsed/>
    <w:rsid w:val="005F42AF"/>
    <w:rPr>
      <w:b/>
      <w:bCs/>
    </w:rPr>
  </w:style>
  <w:style w:type="character" w:customStyle="1" w:styleId="CommentSubjectChar">
    <w:name w:val="Comment Subject Char"/>
    <w:basedOn w:val="CommentTextChar"/>
    <w:link w:val="CommentSubject"/>
    <w:uiPriority w:val="99"/>
    <w:semiHidden/>
    <w:rsid w:val="005F42AF"/>
    <w:rPr>
      <w:b/>
      <w:bCs/>
    </w:rPr>
  </w:style>
  <w:style w:type="paragraph" w:styleId="BalloonText">
    <w:name w:val="Balloon Text"/>
    <w:basedOn w:val="Normal"/>
    <w:link w:val="BalloonTextChar"/>
    <w:uiPriority w:val="99"/>
    <w:semiHidden/>
    <w:unhideWhenUsed/>
    <w:rsid w:val="005F42A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F42AF"/>
    <w:rPr>
      <w:sz w:val="18"/>
      <w:szCs w:val="18"/>
    </w:rPr>
  </w:style>
  <w:style w:type="paragraph" w:styleId="BodyTextIndent">
    <w:name w:val="Body Text Indent"/>
    <w:basedOn w:val="Normal"/>
    <w:link w:val="BodyTextIndentChar"/>
    <w:uiPriority w:val="99"/>
    <w:unhideWhenUsed/>
    <w:rsid w:val="001F6175"/>
    <w:pPr>
      <w:widowControl w:val="0"/>
      <w:spacing w:after="120" w:line="240" w:lineRule="auto"/>
      <w:ind w:leftChars="200" w:left="420"/>
      <w:jc w:val="both"/>
    </w:pPr>
    <w:rPr>
      <w:rFonts w:ascii="Book Antiqua" w:hAnsi="Book Antiqua"/>
      <w:sz w:val="20"/>
      <w:szCs w:val="20"/>
      <w:lang w:eastAsia="ja-JP"/>
    </w:rPr>
  </w:style>
  <w:style w:type="character" w:customStyle="1" w:styleId="BodyTextIndentChar">
    <w:name w:val="Body Text Indent Char"/>
    <w:basedOn w:val="DefaultParagraphFont"/>
    <w:link w:val="BodyTextIndent"/>
    <w:uiPriority w:val="99"/>
    <w:rsid w:val="001F6175"/>
    <w:rPr>
      <w:rFonts w:ascii="Book Antiqua" w:hAnsi="Book Antiqua"/>
      <w:sz w:val="20"/>
      <w:szCs w:val="20"/>
      <w:lang w:eastAsia="ja-JP"/>
    </w:rPr>
  </w:style>
  <w:style w:type="paragraph" w:customStyle="1" w:styleId="Default">
    <w:name w:val="Default"/>
    <w:rsid w:val="00185DD2"/>
    <w:pPr>
      <w:widowControl w:val="0"/>
      <w:autoSpaceDE w:val="0"/>
      <w:autoSpaceDN w:val="0"/>
      <w:adjustRightInd w:val="0"/>
      <w:spacing w:after="0" w:line="240" w:lineRule="auto"/>
    </w:pPr>
    <w:rPr>
      <w:color w:val="000000"/>
    </w:rPr>
  </w:style>
  <w:style w:type="character" w:styleId="Strong">
    <w:name w:val="Strong"/>
    <w:qFormat/>
    <w:rsid w:val="00F616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A12"/>
    <w:rPr>
      <w:color w:val="0000FF" w:themeColor="hyperlink"/>
      <w:u w:val="single"/>
    </w:rPr>
  </w:style>
  <w:style w:type="paragraph" w:styleId="Header">
    <w:name w:val="header"/>
    <w:basedOn w:val="Normal"/>
    <w:link w:val="HeaderChar"/>
    <w:uiPriority w:val="99"/>
    <w:unhideWhenUsed/>
    <w:rsid w:val="00BC4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CC"/>
  </w:style>
  <w:style w:type="paragraph" w:styleId="Footer">
    <w:name w:val="footer"/>
    <w:basedOn w:val="Normal"/>
    <w:link w:val="FooterChar"/>
    <w:uiPriority w:val="99"/>
    <w:unhideWhenUsed/>
    <w:rsid w:val="00BC4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CC"/>
  </w:style>
  <w:style w:type="paragraph" w:styleId="ListParagraph">
    <w:name w:val="List Paragraph"/>
    <w:basedOn w:val="Normal"/>
    <w:uiPriority w:val="34"/>
    <w:qFormat/>
    <w:rsid w:val="00EC0B24"/>
    <w:pPr>
      <w:ind w:left="720"/>
      <w:contextualSpacing/>
    </w:pPr>
    <w:rPr>
      <w:rFonts w:ascii="Calibri" w:eastAsia="Calibri" w:hAnsi="Calibri"/>
      <w:sz w:val="22"/>
      <w:szCs w:val="22"/>
    </w:rPr>
  </w:style>
  <w:style w:type="paragraph" w:styleId="NormalWeb">
    <w:name w:val="Normal (Web)"/>
    <w:basedOn w:val="Normal"/>
    <w:uiPriority w:val="99"/>
    <w:unhideWhenUsed/>
    <w:rsid w:val="00EC0B24"/>
    <w:pPr>
      <w:spacing w:before="180" w:after="180" w:line="240" w:lineRule="auto"/>
    </w:pPr>
    <w:rPr>
      <w:rFonts w:eastAsia="Times New Roman"/>
    </w:rPr>
  </w:style>
  <w:style w:type="character" w:customStyle="1" w:styleId="highlight">
    <w:name w:val="highlight"/>
    <w:basedOn w:val="DefaultParagraphFont"/>
    <w:rsid w:val="003E3EFA"/>
  </w:style>
  <w:style w:type="character" w:customStyle="1" w:styleId="doi">
    <w:name w:val="doi"/>
    <w:basedOn w:val="DefaultParagraphFont"/>
    <w:rsid w:val="003E3EFA"/>
  </w:style>
  <w:style w:type="character" w:customStyle="1" w:styleId="cit-doi">
    <w:name w:val="cit-doi"/>
    <w:basedOn w:val="DefaultParagraphFont"/>
    <w:rsid w:val="003E3EFA"/>
  </w:style>
  <w:style w:type="character" w:customStyle="1" w:styleId="slug-doi">
    <w:name w:val="slug-doi"/>
    <w:basedOn w:val="DefaultParagraphFont"/>
    <w:rsid w:val="003E3EFA"/>
  </w:style>
  <w:style w:type="character" w:customStyle="1" w:styleId="highwire-cite-doi">
    <w:name w:val="highwire-cite-doi"/>
    <w:basedOn w:val="DefaultParagraphFont"/>
    <w:rsid w:val="003E3EFA"/>
  </w:style>
  <w:style w:type="table" w:styleId="TableGrid">
    <w:name w:val="Table Grid"/>
    <w:basedOn w:val="TableNormal"/>
    <w:uiPriority w:val="59"/>
    <w:rsid w:val="000D2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42AF"/>
    <w:rPr>
      <w:sz w:val="21"/>
      <w:szCs w:val="21"/>
    </w:rPr>
  </w:style>
  <w:style w:type="paragraph" w:styleId="CommentText">
    <w:name w:val="annotation text"/>
    <w:basedOn w:val="Normal"/>
    <w:link w:val="CommentTextChar"/>
    <w:unhideWhenUsed/>
    <w:rsid w:val="005F42AF"/>
  </w:style>
  <w:style w:type="character" w:customStyle="1" w:styleId="CommentTextChar">
    <w:name w:val="Comment Text Char"/>
    <w:basedOn w:val="DefaultParagraphFont"/>
    <w:link w:val="CommentText"/>
    <w:rsid w:val="005F42AF"/>
  </w:style>
  <w:style w:type="paragraph" w:styleId="CommentSubject">
    <w:name w:val="annotation subject"/>
    <w:basedOn w:val="CommentText"/>
    <w:next w:val="CommentText"/>
    <w:link w:val="CommentSubjectChar"/>
    <w:uiPriority w:val="99"/>
    <w:semiHidden/>
    <w:unhideWhenUsed/>
    <w:rsid w:val="005F42AF"/>
    <w:rPr>
      <w:b/>
      <w:bCs/>
    </w:rPr>
  </w:style>
  <w:style w:type="character" w:customStyle="1" w:styleId="CommentSubjectChar">
    <w:name w:val="Comment Subject Char"/>
    <w:basedOn w:val="CommentTextChar"/>
    <w:link w:val="CommentSubject"/>
    <w:uiPriority w:val="99"/>
    <w:semiHidden/>
    <w:rsid w:val="005F42AF"/>
    <w:rPr>
      <w:b/>
      <w:bCs/>
    </w:rPr>
  </w:style>
  <w:style w:type="paragraph" w:styleId="BalloonText">
    <w:name w:val="Balloon Text"/>
    <w:basedOn w:val="Normal"/>
    <w:link w:val="BalloonTextChar"/>
    <w:uiPriority w:val="99"/>
    <w:semiHidden/>
    <w:unhideWhenUsed/>
    <w:rsid w:val="005F42A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F42AF"/>
    <w:rPr>
      <w:sz w:val="18"/>
      <w:szCs w:val="18"/>
    </w:rPr>
  </w:style>
  <w:style w:type="paragraph" w:styleId="BodyTextIndent">
    <w:name w:val="Body Text Indent"/>
    <w:basedOn w:val="Normal"/>
    <w:link w:val="BodyTextIndentChar"/>
    <w:uiPriority w:val="99"/>
    <w:unhideWhenUsed/>
    <w:rsid w:val="001F6175"/>
    <w:pPr>
      <w:widowControl w:val="0"/>
      <w:spacing w:after="120" w:line="240" w:lineRule="auto"/>
      <w:ind w:leftChars="200" w:left="420"/>
      <w:jc w:val="both"/>
    </w:pPr>
    <w:rPr>
      <w:rFonts w:ascii="Book Antiqua" w:hAnsi="Book Antiqua"/>
      <w:sz w:val="20"/>
      <w:szCs w:val="20"/>
      <w:lang w:eastAsia="ja-JP"/>
    </w:rPr>
  </w:style>
  <w:style w:type="character" w:customStyle="1" w:styleId="BodyTextIndentChar">
    <w:name w:val="Body Text Indent Char"/>
    <w:basedOn w:val="DefaultParagraphFont"/>
    <w:link w:val="BodyTextIndent"/>
    <w:uiPriority w:val="99"/>
    <w:rsid w:val="001F6175"/>
    <w:rPr>
      <w:rFonts w:ascii="Book Antiqua" w:hAnsi="Book Antiqua"/>
      <w:sz w:val="20"/>
      <w:szCs w:val="20"/>
      <w:lang w:eastAsia="ja-JP"/>
    </w:rPr>
  </w:style>
  <w:style w:type="paragraph" w:customStyle="1" w:styleId="Default">
    <w:name w:val="Default"/>
    <w:rsid w:val="00185DD2"/>
    <w:pPr>
      <w:widowControl w:val="0"/>
      <w:autoSpaceDE w:val="0"/>
      <w:autoSpaceDN w:val="0"/>
      <w:adjustRightInd w:val="0"/>
      <w:spacing w:after="0" w:line="240" w:lineRule="auto"/>
    </w:pPr>
    <w:rPr>
      <w:color w:val="000000"/>
    </w:rPr>
  </w:style>
  <w:style w:type="character" w:styleId="Strong">
    <w:name w:val="Strong"/>
    <w:qFormat/>
    <w:rsid w:val="00F61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1610">
      <w:bodyDiv w:val="1"/>
      <w:marLeft w:val="0"/>
      <w:marRight w:val="0"/>
      <w:marTop w:val="0"/>
      <w:marBottom w:val="0"/>
      <w:divBdr>
        <w:top w:val="none" w:sz="0" w:space="0" w:color="auto"/>
        <w:left w:val="none" w:sz="0" w:space="0" w:color="auto"/>
        <w:bottom w:val="none" w:sz="0" w:space="0" w:color="auto"/>
        <w:right w:val="none" w:sz="0" w:space="0" w:color="auto"/>
      </w:divBdr>
      <w:divsChild>
        <w:div w:id="872578112">
          <w:marLeft w:val="0"/>
          <w:marRight w:val="0"/>
          <w:marTop w:val="0"/>
          <w:marBottom w:val="0"/>
          <w:divBdr>
            <w:top w:val="none" w:sz="0" w:space="0" w:color="auto"/>
            <w:left w:val="none" w:sz="0" w:space="0" w:color="auto"/>
            <w:bottom w:val="none" w:sz="0" w:space="0" w:color="auto"/>
            <w:right w:val="none" w:sz="0" w:space="0" w:color="auto"/>
          </w:divBdr>
        </w:div>
        <w:div w:id="1469589357">
          <w:marLeft w:val="0"/>
          <w:marRight w:val="0"/>
          <w:marTop w:val="0"/>
          <w:marBottom w:val="0"/>
          <w:divBdr>
            <w:top w:val="none" w:sz="0" w:space="0" w:color="auto"/>
            <w:left w:val="none" w:sz="0" w:space="0" w:color="auto"/>
            <w:bottom w:val="none" w:sz="0" w:space="0" w:color="auto"/>
            <w:right w:val="none" w:sz="0" w:space="0" w:color="auto"/>
          </w:divBdr>
        </w:div>
      </w:divsChild>
    </w:div>
    <w:div w:id="13718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blersta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5389-ACFD-0547-AB86-0910DBE2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10387</Words>
  <Characters>59212</Characters>
  <Application>Microsoft Macintosh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69461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Erstad Pharm.D.</dc:creator>
  <cp:lastModifiedBy>NA MA</cp:lastModifiedBy>
  <cp:revision>2</cp:revision>
  <cp:lastPrinted>2014-11-10T20:09:00Z</cp:lastPrinted>
  <dcterms:created xsi:type="dcterms:W3CDTF">2015-02-05T16:17:00Z</dcterms:created>
  <dcterms:modified xsi:type="dcterms:W3CDTF">2015-02-05T16:17:00Z</dcterms:modified>
</cp:coreProperties>
</file>