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F8" w:rsidRPr="00A06BF8" w:rsidRDefault="00A06BF8" w:rsidP="00093495">
      <w:pPr>
        <w:widowControl w:val="0"/>
        <w:suppressAutoHyphens w:val="0"/>
        <w:adjustRightInd w:val="0"/>
        <w:snapToGrid w:val="0"/>
        <w:spacing w:line="360" w:lineRule="auto"/>
        <w:jc w:val="both"/>
        <w:rPr>
          <w:rFonts w:ascii="Book Antiqua" w:hAnsi="Book Antiqua"/>
          <w:sz w:val="21"/>
          <w:szCs w:val="21"/>
        </w:rPr>
      </w:pPr>
      <w:r w:rsidRPr="00A06BF8">
        <w:rPr>
          <w:rFonts w:ascii="Book Antiqua" w:hAnsi="Book Antiqua" w:cs="宋体"/>
          <w:b/>
          <w:sz w:val="21"/>
          <w:szCs w:val="21"/>
        </w:rPr>
        <w:t xml:space="preserve">Name of journal: </w:t>
      </w:r>
      <w:bookmarkStart w:id="0" w:name="OLE_LINK718"/>
      <w:bookmarkStart w:id="1" w:name="OLE_LINK719"/>
      <w:r w:rsidRPr="00A06BF8">
        <w:rPr>
          <w:rFonts w:ascii="Book Antiqua" w:hAnsi="Book Antiqua" w:cs="宋体"/>
          <w:b/>
          <w:sz w:val="21"/>
          <w:szCs w:val="21"/>
        </w:rPr>
        <w:t xml:space="preserve">World Journal of </w:t>
      </w:r>
      <w:bookmarkEnd w:id="0"/>
      <w:bookmarkEnd w:id="1"/>
      <w:r w:rsidRPr="00A06BF8">
        <w:rPr>
          <w:rFonts w:ascii="Book Antiqua" w:hAnsi="Book Antiqua"/>
          <w:b/>
          <w:sz w:val="21"/>
          <w:szCs w:val="21"/>
        </w:rPr>
        <w:t xml:space="preserve">Gastroenterology </w:t>
      </w:r>
    </w:p>
    <w:p w:rsidR="00A06BF8" w:rsidRPr="00A06BF8" w:rsidRDefault="00A06BF8" w:rsidP="00093495">
      <w:pPr>
        <w:widowControl w:val="0"/>
        <w:suppressAutoHyphens w:val="0"/>
        <w:adjustRightInd w:val="0"/>
        <w:snapToGrid w:val="0"/>
        <w:spacing w:line="360" w:lineRule="auto"/>
        <w:jc w:val="both"/>
        <w:rPr>
          <w:rFonts w:ascii="Book Antiqua" w:eastAsiaTheme="minorEastAsia" w:hAnsi="Book Antiqua" w:cs="宋体"/>
          <w:b/>
          <w:sz w:val="21"/>
          <w:szCs w:val="21"/>
        </w:rPr>
      </w:pPr>
      <w:r w:rsidRPr="00A06BF8">
        <w:rPr>
          <w:rFonts w:ascii="Book Antiqua" w:hAnsi="Book Antiqua" w:cs="Arial"/>
          <w:b/>
          <w:sz w:val="21"/>
          <w:szCs w:val="21"/>
          <w:lang w:val="en"/>
        </w:rPr>
        <w:t>ESPS Manuscript NO:</w:t>
      </w:r>
      <w:r w:rsidRPr="00A06BF8">
        <w:rPr>
          <w:rFonts w:ascii="Book Antiqua" w:eastAsiaTheme="minorEastAsia" w:hAnsi="Book Antiqua" w:cs="Arial" w:hint="eastAsia"/>
          <w:b/>
          <w:sz w:val="21"/>
          <w:szCs w:val="21"/>
          <w:lang w:val="en"/>
        </w:rPr>
        <w:t xml:space="preserve"> 13115</w:t>
      </w:r>
    </w:p>
    <w:p w:rsidR="009064E0" w:rsidRPr="00A06BF8" w:rsidRDefault="00A06BF8" w:rsidP="00093495">
      <w:pPr>
        <w:widowControl w:val="0"/>
        <w:suppressAutoHyphens w:val="0"/>
        <w:autoSpaceDE w:val="0"/>
        <w:autoSpaceDN w:val="0"/>
        <w:adjustRightInd w:val="0"/>
        <w:snapToGrid w:val="0"/>
        <w:spacing w:line="360" w:lineRule="auto"/>
        <w:jc w:val="both"/>
        <w:rPr>
          <w:rFonts w:ascii="Book Antiqua" w:hAnsi="Book Antiqua"/>
          <w:b/>
          <w:caps/>
          <w:sz w:val="21"/>
          <w:szCs w:val="21"/>
        </w:rPr>
      </w:pPr>
      <w:r w:rsidRPr="00A06BF8">
        <w:rPr>
          <w:rFonts w:ascii="Book Antiqua" w:hAnsi="Book Antiqua"/>
          <w:b/>
          <w:sz w:val="21"/>
          <w:szCs w:val="21"/>
        </w:rPr>
        <w:t xml:space="preserve">Columns: </w:t>
      </w:r>
      <w:r w:rsidR="00434580">
        <w:rPr>
          <w:rFonts w:ascii="Book Antiqua" w:eastAsiaTheme="minorEastAsia" w:hAnsi="Book Antiqua" w:cs="Arial"/>
          <w:b/>
          <w:caps/>
          <w:sz w:val="21"/>
          <w:szCs w:val="21"/>
          <w:lang w:val="en-US"/>
        </w:rPr>
        <w:t>Original Article</w:t>
      </w:r>
    </w:p>
    <w:p w:rsidR="00A06BF8" w:rsidRPr="003F24CF" w:rsidRDefault="003F24CF" w:rsidP="00093495">
      <w:pPr>
        <w:widowControl w:val="0"/>
        <w:tabs>
          <w:tab w:val="left" w:pos="1613"/>
        </w:tabs>
        <w:suppressAutoHyphens w:val="0"/>
        <w:adjustRightInd w:val="0"/>
        <w:snapToGrid w:val="0"/>
        <w:spacing w:line="360" w:lineRule="auto"/>
        <w:jc w:val="both"/>
        <w:rPr>
          <w:rFonts w:ascii="Book Antiqua" w:eastAsiaTheme="minorEastAsia" w:hAnsi="Book Antiqua" w:cs="Arial"/>
          <w:b/>
          <w:i/>
          <w:sz w:val="24"/>
          <w:szCs w:val="24"/>
        </w:rPr>
      </w:pPr>
      <w:r w:rsidRPr="003F24CF">
        <w:rPr>
          <w:rFonts w:ascii="Book Antiqua" w:eastAsiaTheme="minorEastAsia" w:hAnsi="Book Antiqua" w:cs="Arial"/>
          <w:b/>
          <w:i/>
          <w:sz w:val="24"/>
          <w:szCs w:val="24"/>
        </w:rPr>
        <w:t>Prospective Study</w:t>
      </w:r>
    </w:p>
    <w:p w:rsidR="009064E0" w:rsidRPr="00A06BF8" w:rsidRDefault="00565C39" w:rsidP="00093495">
      <w:pPr>
        <w:widowControl w:val="0"/>
        <w:suppressAutoHyphens w:val="0"/>
        <w:adjustRightInd w:val="0"/>
        <w:snapToGrid w:val="0"/>
        <w:spacing w:line="360" w:lineRule="auto"/>
        <w:jc w:val="both"/>
        <w:rPr>
          <w:rFonts w:ascii="Book Antiqua" w:hAnsi="Book Antiqua" w:cs="Arial"/>
          <w:b/>
          <w:sz w:val="24"/>
          <w:szCs w:val="24"/>
          <w:lang w:val="en-US"/>
        </w:rPr>
      </w:pPr>
      <w:r w:rsidRPr="00A06BF8">
        <w:rPr>
          <w:rFonts w:ascii="Book Antiqua" w:hAnsi="Book Antiqua" w:cs="Arial"/>
          <w:b/>
          <w:caps/>
          <w:sz w:val="24"/>
          <w:szCs w:val="24"/>
          <w:lang w:val="en-US"/>
        </w:rPr>
        <w:t>h</w:t>
      </w:r>
      <w:r w:rsidRPr="00A06BF8">
        <w:rPr>
          <w:rFonts w:ascii="Book Antiqua" w:hAnsi="Book Antiqua" w:cs="Arial"/>
          <w:b/>
          <w:sz w:val="24"/>
          <w:szCs w:val="24"/>
          <w:lang w:val="en-US"/>
        </w:rPr>
        <w:t xml:space="preserve">uman cytomegalovirus and </w:t>
      </w:r>
      <w:r w:rsidRPr="00A06BF8">
        <w:rPr>
          <w:rFonts w:ascii="Book Antiqua" w:hAnsi="Book Antiqua" w:cs="Arial"/>
          <w:b/>
          <w:caps/>
          <w:sz w:val="24"/>
          <w:szCs w:val="24"/>
          <w:lang w:val="en-US"/>
        </w:rPr>
        <w:t>e</w:t>
      </w:r>
      <w:r w:rsidRPr="00A06BF8">
        <w:rPr>
          <w:rFonts w:ascii="Book Antiqua" w:hAnsi="Book Antiqua" w:cs="Arial"/>
          <w:b/>
          <w:sz w:val="24"/>
          <w:szCs w:val="24"/>
          <w:lang w:val="en-US"/>
        </w:rPr>
        <w:t>pstein-</w:t>
      </w:r>
      <w:r w:rsidRPr="00A06BF8">
        <w:rPr>
          <w:rFonts w:ascii="Book Antiqua" w:hAnsi="Book Antiqua" w:cs="Arial"/>
          <w:b/>
          <w:caps/>
          <w:sz w:val="24"/>
          <w:szCs w:val="24"/>
          <w:lang w:val="en-US"/>
        </w:rPr>
        <w:t>b</w:t>
      </w:r>
      <w:r w:rsidRPr="00A06BF8">
        <w:rPr>
          <w:rFonts w:ascii="Book Antiqua" w:hAnsi="Book Antiqua" w:cs="Arial"/>
          <w:b/>
          <w:sz w:val="24"/>
          <w:szCs w:val="24"/>
          <w:lang w:val="en-US"/>
        </w:rPr>
        <w:t xml:space="preserve">arr virus infection in inflammatory bowel disease: </w:t>
      </w:r>
      <w:r w:rsidRPr="00A06BF8">
        <w:rPr>
          <w:rFonts w:ascii="Book Antiqua" w:hAnsi="Book Antiqua" w:cs="Arial"/>
          <w:b/>
          <w:caps/>
          <w:sz w:val="24"/>
          <w:szCs w:val="24"/>
          <w:lang w:val="en-US"/>
        </w:rPr>
        <w:t>n</w:t>
      </w:r>
      <w:r w:rsidRPr="00A06BF8">
        <w:rPr>
          <w:rFonts w:ascii="Book Antiqua" w:hAnsi="Book Antiqua" w:cs="Arial"/>
          <w:b/>
          <w:sz w:val="24"/>
          <w:szCs w:val="24"/>
          <w:lang w:val="en-US"/>
        </w:rPr>
        <w:t>eed for mucosal viral load measurement</w:t>
      </w: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p>
    <w:p w:rsidR="009064E0" w:rsidRPr="00A06BF8" w:rsidRDefault="00A06BF8" w:rsidP="00093495">
      <w:pPr>
        <w:widowControl w:val="0"/>
        <w:suppressAutoHyphens w:val="0"/>
        <w:autoSpaceDE w:val="0"/>
        <w:adjustRightInd w:val="0"/>
        <w:snapToGrid w:val="0"/>
        <w:spacing w:line="360" w:lineRule="auto"/>
        <w:jc w:val="both"/>
        <w:rPr>
          <w:rFonts w:ascii="Book Antiqua" w:hAnsi="Book Antiqua" w:cs="Arial"/>
          <w:caps/>
          <w:sz w:val="24"/>
          <w:szCs w:val="24"/>
          <w:lang w:val="en-US"/>
        </w:rPr>
      </w:pPr>
      <w:r w:rsidRPr="00A06BF8">
        <w:rPr>
          <w:rFonts w:ascii="Book Antiqua" w:hAnsi="Book Antiqua" w:cs="Arial"/>
          <w:sz w:val="24"/>
          <w:szCs w:val="24"/>
        </w:rPr>
        <w:t>Ciccocioppo</w:t>
      </w:r>
      <w:r w:rsidRPr="00A06BF8">
        <w:rPr>
          <w:rFonts w:ascii="Book Antiqua" w:hAnsi="Book Antiqua" w:cs="Arial"/>
          <w:bCs/>
          <w:sz w:val="24"/>
          <w:szCs w:val="24"/>
          <w:lang w:val="en-US"/>
        </w:rPr>
        <w:t xml:space="preserve"> </w:t>
      </w:r>
      <w:r w:rsidRPr="00A06BF8">
        <w:rPr>
          <w:rFonts w:ascii="Book Antiqua" w:eastAsiaTheme="minorEastAsia" w:hAnsi="Book Antiqua" w:cs="Arial" w:hint="eastAsia"/>
          <w:bCs/>
          <w:sz w:val="24"/>
          <w:szCs w:val="24"/>
          <w:lang w:val="en-US"/>
        </w:rPr>
        <w:t xml:space="preserve">R </w:t>
      </w:r>
      <w:r w:rsidRPr="00A06BF8">
        <w:rPr>
          <w:rFonts w:ascii="Book Antiqua" w:eastAsiaTheme="minorEastAsia" w:hAnsi="Book Antiqua" w:cs="Arial" w:hint="eastAsia"/>
          <w:bCs/>
          <w:i/>
          <w:sz w:val="24"/>
          <w:szCs w:val="24"/>
          <w:lang w:val="en-US"/>
        </w:rPr>
        <w:t>et al</w:t>
      </w:r>
      <w:r w:rsidRPr="00A06BF8">
        <w:rPr>
          <w:rFonts w:ascii="Book Antiqua" w:eastAsiaTheme="minorEastAsia" w:hAnsi="Book Antiqua" w:cs="Arial" w:hint="eastAsia"/>
          <w:bCs/>
          <w:sz w:val="24"/>
          <w:szCs w:val="24"/>
          <w:lang w:val="en-US"/>
        </w:rPr>
        <w:t xml:space="preserve">. </w:t>
      </w:r>
      <w:r w:rsidR="009064E0" w:rsidRPr="00A06BF8">
        <w:rPr>
          <w:rFonts w:ascii="Book Antiqua" w:hAnsi="Book Antiqua" w:cs="Arial"/>
          <w:bCs/>
          <w:sz w:val="24"/>
          <w:szCs w:val="24"/>
          <w:lang w:val="en-US"/>
        </w:rPr>
        <w:t>HCMV and EBV infection in IBD</w:t>
      </w:r>
    </w:p>
    <w:p w:rsidR="009064E0" w:rsidRPr="00A06BF8" w:rsidRDefault="009064E0" w:rsidP="00093495">
      <w:pPr>
        <w:widowControl w:val="0"/>
        <w:suppressAutoHyphens w:val="0"/>
        <w:adjustRightInd w:val="0"/>
        <w:snapToGrid w:val="0"/>
        <w:spacing w:line="360" w:lineRule="auto"/>
        <w:jc w:val="both"/>
        <w:rPr>
          <w:rFonts w:ascii="Book Antiqua" w:hAnsi="Book Antiqua" w:cs="Arial"/>
          <w:caps/>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Arial"/>
          <w:caps/>
          <w:sz w:val="24"/>
          <w:szCs w:val="24"/>
        </w:rPr>
      </w:pPr>
      <w:r w:rsidRPr="00A06BF8">
        <w:rPr>
          <w:rFonts w:ascii="Book Antiqua" w:hAnsi="Book Antiqua" w:cs="Arial"/>
          <w:sz w:val="24"/>
          <w:szCs w:val="24"/>
        </w:rPr>
        <w:t xml:space="preserve">Rachele Ciccocioppo, Francesca Racca, Stefania Paolucci, Giulia Campanini, Lodovica Pozzi, Elena Betti, Roberta Riboni, Alessandro Vanoli, Fausto Baldanti, Gino Roberto Corazza </w:t>
      </w:r>
    </w:p>
    <w:p w:rsidR="00251CD0" w:rsidRPr="00251CD0" w:rsidRDefault="00251CD0" w:rsidP="00093495">
      <w:pPr>
        <w:widowControl w:val="0"/>
        <w:suppressAutoHyphens w:val="0"/>
        <w:adjustRightInd w:val="0"/>
        <w:snapToGrid w:val="0"/>
        <w:spacing w:line="360" w:lineRule="auto"/>
        <w:jc w:val="both"/>
        <w:rPr>
          <w:rFonts w:ascii="Book Antiqua" w:eastAsiaTheme="minorEastAsia" w:hAnsi="Book Antiqua" w:cs="Arial"/>
          <w:caps/>
          <w:sz w:val="24"/>
          <w:szCs w:val="24"/>
        </w:rPr>
      </w:pPr>
    </w:p>
    <w:p w:rsidR="00251CD0" w:rsidRPr="00251CD0" w:rsidRDefault="00A06BF8" w:rsidP="00093495">
      <w:pPr>
        <w:widowControl w:val="0"/>
        <w:suppressAutoHyphens w:val="0"/>
        <w:adjustRightInd w:val="0"/>
        <w:snapToGrid w:val="0"/>
        <w:spacing w:line="360" w:lineRule="auto"/>
        <w:jc w:val="both"/>
        <w:rPr>
          <w:rFonts w:ascii="Book Antiqua" w:hAnsi="Book Antiqua" w:cs="Arial"/>
          <w:sz w:val="24"/>
          <w:szCs w:val="24"/>
        </w:rPr>
      </w:pPr>
      <w:r w:rsidRPr="00A06BF8">
        <w:rPr>
          <w:rFonts w:ascii="Book Antiqua" w:hAnsi="Book Antiqua" w:cs="Arial"/>
          <w:b/>
          <w:sz w:val="24"/>
          <w:szCs w:val="24"/>
        </w:rPr>
        <w:t>Rachele Ciccocioppo, Francesca Racca, Elena Betti,</w:t>
      </w:r>
      <w:r w:rsidRPr="00A06BF8">
        <w:rPr>
          <w:rFonts w:ascii="Book Antiqua" w:eastAsiaTheme="minorEastAsia" w:hAnsi="Book Antiqua" w:cs="Arial" w:hint="eastAsia"/>
          <w:b/>
          <w:sz w:val="24"/>
          <w:szCs w:val="24"/>
        </w:rPr>
        <w:t xml:space="preserve"> </w:t>
      </w:r>
      <w:r w:rsidRPr="00A06BF8">
        <w:rPr>
          <w:rFonts w:ascii="Book Antiqua" w:hAnsi="Book Antiqua" w:cs="Arial"/>
          <w:b/>
          <w:sz w:val="24"/>
          <w:szCs w:val="24"/>
        </w:rPr>
        <w:t>Gino Roberto Corazza</w:t>
      </w:r>
      <w:r w:rsidRPr="00A06BF8">
        <w:rPr>
          <w:rFonts w:ascii="Book Antiqua" w:eastAsiaTheme="minorEastAsia" w:hAnsi="Book Antiqua" w:cs="Arial" w:hint="eastAsia"/>
          <w:b/>
          <w:sz w:val="24"/>
          <w:szCs w:val="24"/>
        </w:rPr>
        <w:t xml:space="preserve">, </w:t>
      </w:r>
      <w:r w:rsidR="00251CD0" w:rsidRPr="00251CD0">
        <w:rPr>
          <w:rFonts w:ascii="Book Antiqua" w:hAnsi="Book Antiqua" w:cs="Arial"/>
          <w:sz w:val="24"/>
          <w:szCs w:val="24"/>
          <w:lang w:val="en-US"/>
        </w:rPr>
        <w:t xml:space="preserve">Centre for the Study and Cure of Inflammatory Bowel Disease, </w:t>
      </w:r>
      <w:proofErr w:type="spellStart"/>
      <w:r w:rsidR="00251CD0" w:rsidRPr="00251CD0">
        <w:rPr>
          <w:rFonts w:ascii="Book Antiqua" w:hAnsi="Book Antiqua" w:cs="Arial"/>
          <w:sz w:val="24"/>
          <w:szCs w:val="24"/>
          <w:lang w:val="en-US"/>
        </w:rPr>
        <w:t>Clinica</w:t>
      </w:r>
      <w:proofErr w:type="spellEnd"/>
      <w:r w:rsidR="00251CD0" w:rsidRPr="00251CD0">
        <w:rPr>
          <w:rFonts w:ascii="Book Antiqua" w:hAnsi="Book Antiqua" w:cs="Arial"/>
          <w:sz w:val="24"/>
          <w:szCs w:val="24"/>
          <w:lang w:val="en-US"/>
        </w:rPr>
        <w:t xml:space="preserve"> </w:t>
      </w:r>
      <w:proofErr w:type="spellStart"/>
      <w:r w:rsidR="00251CD0" w:rsidRPr="00251CD0">
        <w:rPr>
          <w:rFonts w:ascii="Book Antiqua" w:hAnsi="Book Antiqua" w:cs="Arial"/>
          <w:sz w:val="24"/>
          <w:szCs w:val="24"/>
          <w:lang w:val="en-US"/>
        </w:rPr>
        <w:t>Medica</w:t>
      </w:r>
      <w:proofErr w:type="spellEnd"/>
      <w:r w:rsidR="00251CD0" w:rsidRPr="00251CD0">
        <w:rPr>
          <w:rFonts w:ascii="Book Antiqua" w:hAnsi="Book Antiqua" w:cs="Arial"/>
          <w:sz w:val="24"/>
          <w:szCs w:val="24"/>
          <w:lang w:val="en-US"/>
        </w:rPr>
        <w:t xml:space="preserve"> I, IRCCS San Matteo Hospital Foundation, University of Pavia</w:t>
      </w:r>
      <w:r w:rsidR="00251CD0" w:rsidRPr="00251CD0">
        <w:rPr>
          <w:rFonts w:ascii="Book Antiqua" w:hAnsi="Book Antiqua" w:cs="Arial" w:hint="eastAsia"/>
          <w:sz w:val="24"/>
          <w:szCs w:val="24"/>
          <w:lang w:val="en-US"/>
        </w:rPr>
        <w:t>,</w:t>
      </w:r>
      <w:r w:rsidR="00251CD0" w:rsidRPr="00251CD0">
        <w:rPr>
          <w:rFonts w:ascii="Book Antiqua" w:hAnsi="Book Antiqua" w:cs="Arial"/>
          <w:sz w:val="24"/>
          <w:szCs w:val="24"/>
          <w:lang w:val="en-US"/>
        </w:rPr>
        <w:t xml:space="preserve"> 27100 Pavia, Italy</w:t>
      </w:r>
    </w:p>
    <w:p w:rsidR="00A06BF8" w:rsidRPr="00A06BF8" w:rsidRDefault="00A06BF8" w:rsidP="00093495">
      <w:pPr>
        <w:widowControl w:val="0"/>
        <w:suppressAutoHyphens w:val="0"/>
        <w:adjustRightInd w:val="0"/>
        <w:snapToGrid w:val="0"/>
        <w:spacing w:line="360" w:lineRule="auto"/>
        <w:jc w:val="both"/>
        <w:rPr>
          <w:rFonts w:eastAsiaTheme="minorEastAsia"/>
          <w:b/>
        </w:rPr>
      </w:pPr>
    </w:p>
    <w:p w:rsidR="009064E0" w:rsidRPr="00A06BF8" w:rsidRDefault="00A06BF8" w:rsidP="00093495">
      <w:pPr>
        <w:widowControl w:val="0"/>
        <w:suppressAutoHyphens w:val="0"/>
        <w:adjustRightInd w:val="0"/>
        <w:snapToGrid w:val="0"/>
        <w:spacing w:line="360" w:lineRule="auto"/>
        <w:jc w:val="both"/>
        <w:rPr>
          <w:rFonts w:ascii="Book Antiqua" w:eastAsiaTheme="minorEastAsia" w:hAnsi="Book Antiqua" w:cs="Arial"/>
          <w:sz w:val="24"/>
          <w:szCs w:val="24"/>
        </w:rPr>
      </w:pPr>
      <w:r w:rsidRPr="00A06BF8">
        <w:rPr>
          <w:rFonts w:ascii="Book Antiqua" w:hAnsi="Book Antiqua" w:cs="Arial"/>
          <w:b/>
          <w:sz w:val="24"/>
          <w:szCs w:val="24"/>
        </w:rPr>
        <w:t>Stefania Paolucci, Giulia Campanini,</w:t>
      </w:r>
      <w:r w:rsidRPr="00A06BF8">
        <w:rPr>
          <w:rFonts w:eastAsiaTheme="minorEastAsia" w:hint="eastAsia"/>
          <w:b/>
        </w:rPr>
        <w:t xml:space="preserve"> </w:t>
      </w:r>
      <w:r w:rsidRPr="00A06BF8">
        <w:rPr>
          <w:rFonts w:ascii="Book Antiqua" w:hAnsi="Book Antiqua" w:cs="Arial"/>
          <w:b/>
          <w:sz w:val="24"/>
          <w:szCs w:val="24"/>
        </w:rPr>
        <w:t xml:space="preserve">Fausto Baldanti, </w:t>
      </w:r>
      <w:r w:rsidRPr="00A06BF8">
        <w:rPr>
          <w:rFonts w:eastAsiaTheme="minorEastAsia" w:hint="eastAsia"/>
        </w:rPr>
        <w:t xml:space="preserve"> </w:t>
      </w:r>
      <w:r w:rsidR="009064E0" w:rsidRPr="00A06BF8">
        <w:rPr>
          <w:rFonts w:ascii="Book Antiqua" w:hAnsi="Book Antiqua" w:cs="Arial"/>
          <w:sz w:val="24"/>
          <w:szCs w:val="24"/>
        </w:rPr>
        <w:t>SS Virologia Molecolare - SC Virologia e Microbiologia, Fondazione IRCCS Policlinico San Matteo, 27100 Pavia, Italy</w:t>
      </w:r>
    </w:p>
    <w:p w:rsidR="00A06BF8" w:rsidRPr="00A06BF8" w:rsidRDefault="00A06BF8" w:rsidP="00093495">
      <w:pPr>
        <w:widowControl w:val="0"/>
        <w:suppressAutoHyphens w:val="0"/>
        <w:adjustRightInd w:val="0"/>
        <w:snapToGrid w:val="0"/>
        <w:spacing w:line="360" w:lineRule="auto"/>
        <w:jc w:val="both"/>
        <w:rPr>
          <w:rFonts w:eastAsiaTheme="minorEastAsia"/>
        </w:rPr>
      </w:pPr>
    </w:p>
    <w:p w:rsidR="009064E0" w:rsidRPr="00D126BB" w:rsidRDefault="00A06BF8" w:rsidP="00093495">
      <w:pPr>
        <w:widowControl w:val="0"/>
        <w:suppressAutoHyphens w:val="0"/>
        <w:adjustRightInd w:val="0"/>
        <w:snapToGrid w:val="0"/>
        <w:spacing w:line="360" w:lineRule="auto"/>
        <w:jc w:val="both"/>
        <w:rPr>
          <w:rFonts w:ascii="Book Antiqua" w:eastAsiaTheme="minorEastAsia" w:hAnsi="Book Antiqua" w:cs="Arial"/>
          <w:sz w:val="24"/>
          <w:szCs w:val="24"/>
        </w:rPr>
      </w:pPr>
      <w:r w:rsidRPr="00A06BF8">
        <w:rPr>
          <w:rFonts w:ascii="Book Antiqua" w:hAnsi="Book Antiqua" w:cs="Arial"/>
          <w:b/>
          <w:sz w:val="24"/>
          <w:szCs w:val="24"/>
        </w:rPr>
        <w:t>Lodovica Pozzi,</w:t>
      </w:r>
      <w:r w:rsidRPr="00A06BF8">
        <w:rPr>
          <w:rFonts w:ascii="Book Antiqua" w:eastAsiaTheme="minorEastAsia" w:hAnsi="Book Antiqua" w:cs="Arial" w:hint="eastAsia"/>
          <w:b/>
          <w:sz w:val="24"/>
          <w:szCs w:val="24"/>
        </w:rPr>
        <w:t xml:space="preserve"> </w:t>
      </w:r>
      <w:r w:rsidR="009064E0" w:rsidRPr="00A06BF8">
        <w:rPr>
          <w:rFonts w:ascii="Book Antiqua" w:hAnsi="Book Antiqua" w:cs="Arial"/>
          <w:sz w:val="24"/>
          <w:szCs w:val="24"/>
        </w:rPr>
        <w:t xml:space="preserve">Servizio di Endoscopia Digestiva, Fondazione IRCCS Policlinico San Matteo, </w:t>
      </w:r>
      <w:r w:rsidR="00D126BB">
        <w:rPr>
          <w:rFonts w:ascii="Book Antiqua" w:hAnsi="Book Antiqua" w:cs="Arial"/>
          <w:sz w:val="24"/>
          <w:szCs w:val="24"/>
        </w:rPr>
        <w:t>27100 Pavia, Italy</w:t>
      </w:r>
    </w:p>
    <w:p w:rsidR="00A06BF8" w:rsidRPr="00A06BF8" w:rsidRDefault="00A06BF8" w:rsidP="00093495">
      <w:pPr>
        <w:widowControl w:val="0"/>
        <w:suppressAutoHyphens w:val="0"/>
        <w:adjustRightInd w:val="0"/>
        <w:snapToGrid w:val="0"/>
        <w:spacing w:line="360" w:lineRule="auto"/>
        <w:jc w:val="both"/>
        <w:rPr>
          <w:rFonts w:ascii="Book Antiqua" w:eastAsiaTheme="minorEastAsia" w:hAnsi="Book Antiqua" w:cs="Arial"/>
          <w:sz w:val="24"/>
          <w:szCs w:val="24"/>
          <w:vertAlign w:val="superscript"/>
        </w:rPr>
      </w:pPr>
    </w:p>
    <w:p w:rsidR="009064E0" w:rsidRPr="00A06BF8" w:rsidRDefault="00A06BF8" w:rsidP="00093495">
      <w:pPr>
        <w:widowControl w:val="0"/>
        <w:suppressAutoHyphens w:val="0"/>
        <w:adjustRightInd w:val="0"/>
        <w:snapToGrid w:val="0"/>
        <w:spacing w:line="360" w:lineRule="auto"/>
        <w:jc w:val="both"/>
        <w:rPr>
          <w:rFonts w:ascii="Book Antiqua" w:eastAsiaTheme="minorEastAsia" w:hAnsi="Book Antiqua" w:cs="Arial"/>
          <w:caps/>
          <w:sz w:val="24"/>
          <w:szCs w:val="24"/>
        </w:rPr>
      </w:pPr>
      <w:r w:rsidRPr="00A06BF8">
        <w:rPr>
          <w:rFonts w:ascii="Book Antiqua" w:hAnsi="Book Antiqua" w:cs="Arial"/>
          <w:b/>
          <w:sz w:val="24"/>
          <w:szCs w:val="24"/>
        </w:rPr>
        <w:t>Roberta Riboni,</w:t>
      </w:r>
      <w:r w:rsidRPr="00A06BF8">
        <w:rPr>
          <w:rFonts w:ascii="Book Antiqua" w:eastAsiaTheme="minorEastAsia" w:hAnsi="Book Antiqua" w:cs="Arial" w:hint="eastAsia"/>
          <w:b/>
          <w:sz w:val="24"/>
          <w:szCs w:val="24"/>
        </w:rPr>
        <w:t xml:space="preserve"> </w:t>
      </w:r>
      <w:r w:rsidRPr="00A06BF8">
        <w:rPr>
          <w:rFonts w:ascii="Book Antiqua" w:hAnsi="Book Antiqua" w:cs="Arial"/>
          <w:b/>
          <w:sz w:val="24"/>
          <w:szCs w:val="24"/>
        </w:rPr>
        <w:t>Alessandro Vanoli,</w:t>
      </w:r>
      <w:r w:rsidRPr="00A06BF8">
        <w:rPr>
          <w:rFonts w:ascii="Book Antiqua" w:eastAsiaTheme="minorEastAsia" w:hAnsi="Book Antiqua" w:cs="Arial" w:hint="eastAsia"/>
          <w:sz w:val="24"/>
          <w:szCs w:val="24"/>
        </w:rPr>
        <w:t xml:space="preserve"> </w:t>
      </w:r>
      <w:r w:rsidR="009064E0" w:rsidRPr="00A06BF8">
        <w:rPr>
          <w:rFonts w:ascii="Book Antiqua" w:hAnsi="Book Antiqua" w:cs="Arial"/>
          <w:sz w:val="24"/>
          <w:szCs w:val="24"/>
        </w:rPr>
        <w:t xml:space="preserve">Servizio di Anatomia Patologica; Fondazione IRCCS Policlinico San Matteo, </w:t>
      </w:r>
      <w:r w:rsidRPr="00A06BF8">
        <w:rPr>
          <w:rFonts w:ascii="Book Antiqua" w:hAnsi="Book Antiqua" w:cs="Arial"/>
          <w:sz w:val="24"/>
          <w:szCs w:val="24"/>
        </w:rPr>
        <w:t>27100 Pavia, Italy</w:t>
      </w:r>
    </w:p>
    <w:p w:rsidR="00A06BF8" w:rsidRPr="00A06BF8" w:rsidRDefault="00A06BF8" w:rsidP="00093495">
      <w:pPr>
        <w:widowControl w:val="0"/>
        <w:suppressAutoHyphens w:val="0"/>
        <w:adjustRightInd w:val="0"/>
        <w:snapToGrid w:val="0"/>
        <w:spacing w:line="360" w:lineRule="auto"/>
        <w:jc w:val="both"/>
        <w:rPr>
          <w:rFonts w:ascii="Book Antiqua" w:eastAsiaTheme="minorEastAsia" w:hAnsi="Book Antiqua" w:cs="Arial"/>
          <w:b/>
          <w:bCs/>
          <w:sz w:val="24"/>
          <w:szCs w:val="24"/>
        </w:rPr>
      </w:pPr>
    </w:p>
    <w:p w:rsidR="009064E0" w:rsidRPr="00C81DC2" w:rsidRDefault="00A06BF8" w:rsidP="00093495">
      <w:pPr>
        <w:widowControl w:val="0"/>
        <w:suppressAutoHyphens w:val="0"/>
        <w:adjustRightInd w:val="0"/>
        <w:snapToGrid w:val="0"/>
        <w:spacing w:line="360" w:lineRule="auto"/>
        <w:jc w:val="both"/>
        <w:rPr>
          <w:rFonts w:ascii="Book Antiqua" w:eastAsiaTheme="minorEastAsia" w:hAnsi="Book Antiqua" w:cs="Arial"/>
          <w:sz w:val="24"/>
          <w:szCs w:val="24"/>
          <w:lang w:val="en-US"/>
        </w:rPr>
      </w:pPr>
      <w:r w:rsidRPr="00A06BF8">
        <w:rPr>
          <w:rFonts w:ascii="Book Antiqua" w:hAnsi="Book Antiqua" w:cs="Arial"/>
          <w:b/>
          <w:bCs/>
          <w:sz w:val="24"/>
          <w:szCs w:val="24"/>
        </w:rPr>
        <w:t>Author contributions</w:t>
      </w:r>
      <w:r w:rsidR="009064E0" w:rsidRPr="00A06BF8">
        <w:rPr>
          <w:rFonts w:ascii="Book Antiqua" w:hAnsi="Book Antiqua" w:cs="Arial"/>
          <w:b/>
          <w:bCs/>
          <w:caps/>
          <w:sz w:val="24"/>
          <w:szCs w:val="24"/>
        </w:rPr>
        <w:t>:</w:t>
      </w:r>
      <w:r w:rsidRPr="00A06BF8">
        <w:rPr>
          <w:rFonts w:ascii="Book Antiqua" w:eastAsiaTheme="minorEastAsia" w:hAnsi="Book Antiqua" w:cs="Arial" w:hint="eastAsia"/>
          <w:b/>
          <w:bCs/>
          <w:caps/>
          <w:sz w:val="24"/>
          <w:szCs w:val="24"/>
        </w:rPr>
        <w:t xml:space="preserve"> </w:t>
      </w:r>
      <w:proofErr w:type="spellStart"/>
      <w:r w:rsidR="009064E0" w:rsidRPr="00A06BF8">
        <w:rPr>
          <w:rFonts w:ascii="Book Antiqua" w:hAnsi="Book Antiqua" w:cs="Arial"/>
          <w:sz w:val="24"/>
          <w:szCs w:val="24"/>
          <w:lang w:val="en-US"/>
        </w:rPr>
        <w:t>Ciccocioppo</w:t>
      </w:r>
      <w:proofErr w:type="spellEnd"/>
      <w:r w:rsidR="009064E0" w:rsidRPr="00A06BF8">
        <w:rPr>
          <w:rFonts w:ascii="Book Antiqua" w:hAnsi="Book Antiqua" w:cs="Arial"/>
          <w:sz w:val="24"/>
          <w:szCs w:val="24"/>
          <w:lang w:val="en-US"/>
        </w:rPr>
        <w:t xml:space="preserve"> </w:t>
      </w:r>
      <w:r w:rsidR="00C81DC2">
        <w:rPr>
          <w:rFonts w:ascii="Book Antiqua" w:eastAsiaTheme="minorEastAsia" w:hAnsi="Book Antiqua" w:cs="Arial" w:hint="eastAsia"/>
          <w:sz w:val="24"/>
          <w:szCs w:val="24"/>
          <w:lang w:val="en-US"/>
        </w:rPr>
        <w:t xml:space="preserve">R </w:t>
      </w:r>
      <w:r w:rsidR="009064E0" w:rsidRPr="00A06BF8">
        <w:rPr>
          <w:rFonts w:ascii="Book Antiqua" w:hAnsi="Book Antiqua" w:cs="Arial"/>
          <w:sz w:val="24"/>
          <w:szCs w:val="24"/>
          <w:lang w:val="en-US"/>
        </w:rPr>
        <w:t>designed the study, was in charge of the diagnostic and therapeutic management of the patients, analyzed and interpreted the data, wrote the manuscript, and obtained funding. She has app</w:t>
      </w:r>
      <w:r w:rsidR="00C81DC2">
        <w:rPr>
          <w:rFonts w:ascii="Book Antiqua" w:hAnsi="Book Antiqua" w:cs="Arial"/>
          <w:sz w:val="24"/>
          <w:szCs w:val="24"/>
          <w:lang w:val="en-US"/>
        </w:rPr>
        <w:t>roved the final draft submitted</w:t>
      </w:r>
      <w:r w:rsidR="00C81DC2">
        <w:rPr>
          <w:rFonts w:ascii="Book Antiqua" w:eastAsiaTheme="minorEastAsia" w:hAnsi="Book Antiqua" w:cs="Arial" w:hint="eastAsia"/>
          <w:sz w:val="24"/>
          <w:szCs w:val="24"/>
          <w:lang w:val="en-US"/>
        </w:rPr>
        <w:t xml:space="preserve">; </w:t>
      </w:r>
      <w:proofErr w:type="spellStart"/>
      <w:r w:rsidR="009064E0" w:rsidRPr="00A06BF8">
        <w:rPr>
          <w:rFonts w:ascii="Book Antiqua" w:hAnsi="Book Antiqua" w:cs="Arial"/>
          <w:sz w:val="24"/>
          <w:szCs w:val="24"/>
          <w:lang w:val="en-US"/>
        </w:rPr>
        <w:t>Racca</w:t>
      </w:r>
      <w:proofErr w:type="spellEnd"/>
      <w:r w:rsidR="009064E0" w:rsidRPr="00A06BF8">
        <w:rPr>
          <w:rFonts w:ascii="Book Antiqua" w:hAnsi="Book Antiqua" w:cs="Arial"/>
          <w:sz w:val="24"/>
          <w:szCs w:val="24"/>
          <w:lang w:val="en-US"/>
        </w:rPr>
        <w:t xml:space="preserve"> </w:t>
      </w:r>
      <w:r w:rsidR="00C81DC2">
        <w:rPr>
          <w:rFonts w:ascii="Book Antiqua" w:eastAsiaTheme="minorEastAsia" w:hAnsi="Book Antiqua" w:cs="Arial" w:hint="eastAsia"/>
          <w:sz w:val="24"/>
          <w:szCs w:val="24"/>
          <w:lang w:val="en-US"/>
        </w:rPr>
        <w:t xml:space="preserve">F </w:t>
      </w:r>
      <w:r w:rsidR="009064E0" w:rsidRPr="00A06BF8">
        <w:rPr>
          <w:rFonts w:ascii="Book Antiqua" w:hAnsi="Book Antiqua" w:cs="Arial"/>
          <w:sz w:val="24"/>
          <w:szCs w:val="24"/>
          <w:lang w:val="en-US"/>
        </w:rPr>
        <w:t>collected and analyzed the data. She has app</w:t>
      </w:r>
      <w:r w:rsidR="00C81DC2">
        <w:rPr>
          <w:rFonts w:ascii="Book Antiqua" w:hAnsi="Book Antiqua" w:cs="Arial"/>
          <w:sz w:val="24"/>
          <w:szCs w:val="24"/>
          <w:lang w:val="en-US"/>
        </w:rPr>
        <w:t>roved the final draft submitted</w:t>
      </w:r>
      <w:r w:rsidR="00C81DC2">
        <w:rPr>
          <w:rFonts w:ascii="Book Antiqua" w:eastAsiaTheme="minorEastAsia" w:hAnsi="Book Antiqua" w:cs="Arial" w:hint="eastAsia"/>
          <w:sz w:val="24"/>
          <w:szCs w:val="24"/>
          <w:lang w:val="en-US"/>
        </w:rPr>
        <w:t xml:space="preserve">; </w:t>
      </w:r>
      <w:proofErr w:type="spellStart"/>
      <w:r w:rsidR="009064E0" w:rsidRPr="00A06BF8">
        <w:rPr>
          <w:rFonts w:ascii="Book Antiqua" w:hAnsi="Book Antiqua" w:cs="Arial"/>
          <w:sz w:val="24"/>
          <w:szCs w:val="24"/>
          <w:lang w:val="en-US"/>
        </w:rPr>
        <w:t>Paolucci</w:t>
      </w:r>
      <w:proofErr w:type="spellEnd"/>
      <w:r w:rsidR="009064E0" w:rsidRPr="00A06BF8">
        <w:rPr>
          <w:rFonts w:ascii="Book Antiqua" w:hAnsi="Book Antiqua" w:cs="Arial"/>
          <w:sz w:val="24"/>
          <w:szCs w:val="24"/>
          <w:lang w:val="en-US"/>
        </w:rPr>
        <w:t xml:space="preserve"> </w:t>
      </w:r>
      <w:r w:rsidR="00C81DC2">
        <w:rPr>
          <w:rFonts w:ascii="Book Antiqua" w:eastAsiaTheme="minorEastAsia" w:hAnsi="Book Antiqua" w:cs="Arial" w:hint="eastAsia"/>
          <w:sz w:val="24"/>
          <w:szCs w:val="24"/>
          <w:lang w:val="en-US"/>
        </w:rPr>
        <w:t xml:space="preserve">S </w:t>
      </w:r>
      <w:r w:rsidR="009064E0" w:rsidRPr="00A06BF8">
        <w:rPr>
          <w:rFonts w:ascii="Book Antiqua" w:hAnsi="Book Antiqua" w:cs="Arial"/>
          <w:sz w:val="24"/>
          <w:szCs w:val="24"/>
          <w:lang w:val="en-US"/>
        </w:rPr>
        <w:t xml:space="preserve">and </w:t>
      </w:r>
      <w:proofErr w:type="spellStart"/>
      <w:r w:rsidR="009064E0" w:rsidRPr="00A06BF8">
        <w:rPr>
          <w:rFonts w:ascii="Book Antiqua" w:hAnsi="Book Antiqua" w:cs="Arial"/>
          <w:sz w:val="24"/>
          <w:szCs w:val="24"/>
          <w:lang w:val="en-US"/>
        </w:rPr>
        <w:t>Campanini</w:t>
      </w:r>
      <w:proofErr w:type="spellEnd"/>
      <w:r w:rsidR="009064E0" w:rsidRPr="00A06BF8">
        <w:rPr>
          <w:rFonts w:ascii="Book Antiqua" w:hAnsi="Book Antiqua" w:cs="Arial"/>
          <w:sz w:val="24"/>
          <w:szCs w:val="24"/>
          <w:lang w:val="en-US"/>
        </w:rPr>
        <w:t xml:space="preserve"> </w:t>
      </w:r>
      <w:r w:rsidR="00C81DC2">
        <w:rPr>
          <w:rFonts w:ascii="Book Antiqua" w:eastAsiaTheme="minorEastAsia" w:hAnsi="Book Antiqua" w:cs="Arial" w:hint="eastAsia"/>
          <w:sz w:val="24"/>
          <w:szCs w:val="24"/>
          <w:lang w:val="en-US"/>
        </w:rPr>
        <w:t xml:space="preserve">G </w:t>
      </w:r>
      <w:r w:rsidR="009064E0" w:rsidRPr="00A06BF8">
        <w:rPr>
          <w:rFonts w:ascii="Book Antiqua" w:hAnsi="Book Antiqua" w:cs="Arial"/>
          <w:sz w:val="24"/>
          <w:szCs w:val="24"/>
          <w:lang w:val="en-US"/>
        </w:rPr>
        <w:t>performed the quantitative real-time PCR analysis</w:t>
      </w:r>
      <w:r w:rsidR="00C81DC2">
        <w:rPr>
          <w:rFonts w:ascii="Book Antiqua" w:eastAsiaTheme="minorEastAsia" w:hAnsi="Book Antiqua" w:cs="Arial" w:hint="eastAsia"/>
          <w:sz w:val="24"/>
          <w:szCs w:val="24"/>
          <w:lang w:val="en-US"/>
        </w:rPr>
        <w:t>;</w:t>
      </w:r>
      <w:r w:rsidR="009064E0" w:rsidRPr="00A06BF8">
        <w:rPr>
          <w:rFonts w:ascii="Book Antiqua" w:hAnsi="Book Antiqua" w:cs="Arial"/>
          <w:sz w:val="24"/>
          <w:szCs w:val="24"/>
          <w:lang w:val="en-US"/>
        </w:rPr>
        <w:t xml:space="preserve"> </w:t>
      </w:r>
      <w:proofErr w:type="gramStart"/>
      <w:r w:rsidR="009064E0" w:rsidRPr="00A06BF8">
        <w:rPr>
          <w:rFonts w:ascii="Book Antiqua" w:hAnsi="Book Antiqua" w:cs="Arial"/>
          <w:sz w:val="24"/>
          <w:szCs w:val="24"/>
          <w:lang w:val="en-US"/>
        </w:rPr>
        <w:t>They</w:t>
      </w:r>
      <w:proofErr w:type="gramEnd"/>
      <w:r w:rsidR="009064E0" w:rsidRPr="00A06BF8">
        <w:rPr>
          <w:rFonts w:ascii="Book Antiqua" w:hAnsi="Book Antiqua" w:cs="Arial"/>
          <w:sz w:val="24"/>
          <w:szCs w:val="24"/>
          <w:lang w:val="en-US"/>
        </w:rPr>
        <w:t xml:space="preserve"> have app</w:t>
      </w:r>
      <w:r w:rsidR="00C81DC2">
        <w:rPr>
          <w:rFonts w:ascii="Book Antiqua" w:hAnsi="Book Antiqua" w:cs="Arial"/>
          <w:sz w:val="24"/>
          <w:szCs w:val="24"/>
          <w:lang w:val="en-US"/>
        </w:rPr>
        <w:t>roved the final draft submitted</w:t>
      </w:r>
      <w:r w:rsidR="00C81DC2">
        <w:rPr>
          <w:rFonts w:ascii="Book Antiqua" w:eastAsiaTheme="minorEastAsia" w:hAnsi="Book Antiqua" w:cs="Arial" w:hint="eastAsia"/>
          <w:sz w:val="24"/>
          <w:szCs w:val="24"/>
          <w:lang w:val="en-US"/>
        </w:rPr>
        <w:t xml:space="preserve">; </w:t>
      </w:r>
      <w:proofErr w:type="spellStart"/>
      <w:r w:rsidR="009064E0" w:rsidRPr="00A06BF8">
        <w:rPr>
          <w:rFonts w:ascii="Book Antiqua" w:hAnsi="Book Antiqua" w:cs="Arial"/>
          <w:sz w:val="24"/>
          <w:szCs w:val="24"/>
          <w:lang w:val="en-US"/>
        </w:rPr>
        <w:t>Pozzi</w:t>
      </w:r>
      <w:proofErr w:type="spellEnd"/>
      <w:r w:rsidR="009064E0" w:rsidRPr="00A06BF8">
        <w:rPr>
          <w:rFonts w:ascii="Book Antiqua" w:hAnsi="Book Antiqua" w:cs="Arial"/>
          <w:sz w:val="24"/>
          <w:szCs w:val="24"/>
          <w:lang w:val="en-US"/>
        </w:rPr>
        <w:t xml:space="preserve"> </w:t>
      </w:r>
      <w:r w:rsidR="00C81DC2">
        <w:rPr>
          <w:rFonts w:ascii="Book Antiqua" w:eastAsiaTheme="minorEastAsia" w:hAnsi="Book Antiqua" w:cs="Arial" w:hint="eastAsia"/>
          <w:sz w:val="24"/>
          <w:szCs w:val="24"/>
          <w:lang w:val="en-US"/>
        </w:rPr>
        <w:t xml:space="preserve">L </w:t>
      </w:r>
      <w:r w:rsidR="009064E0" w:rsidRPr="00A06BF8">
        <w:rPr>
          <w:rFonts w:ascii="Book Antiqua" w:hAnsi="Book Antiqua" w:cs="Arial"/>
          <w:sz w:val="24"/>
          <w:szCs w:val="24"/>
          <w:lang w:val="en-US"/>
        </w:rPr>
        <w:t>carried out the endoscopic examinations with appropriate biopsy sampling. She has app</w:t>
      </w:r>
      <w:r w:rsidR="00C81DC2">
        <w:rPr>
          <w:rFonts w:ascii="Book Antiqua" w:hAnsi="Book Antiqua" w:cs="Arial"/>
          <w:sz w:val="24"/>
          <w:szCs w:val="24"/>
          <w:lang w:val="en-US"/>
        </w:rPr>
        <w:t>roved the final draft submitted</w:t>
      </w:r>
      <w:r w:rsidR="00C81DC2">
        <w:rPr>
          <w:rFonts w:ascii="Book Antiqua" w:eastAsiaTheme="minorEastAsia" w:hAnsi="Book Antiqua" w:cs="Arial" w:hint="eastAsia"/>
          <w:sz w:val="24"/>
          <w:szCs w:val="24"/>
          <w:lang w:val="en-US"/>
        </w:rPr>
        <w:t xml:space="preserve">; </w:t>
      </w:r>
      <w:proofErr w:type="spellStart"/>
      <w:r w:rsidR="009064E0" w:rsidRPr="00A06BF8">
        <w:rPr>
          <w:rFonts w:ascii="Book Antiqua" w:hAnsi="Book Antiqua" w:cs="Arial"/>
          <w:sz w:val="24"/>
          <w:szCs w:val="24"/>
          <w:lang w:val="en-US"/>
        </w:rPr>
        <w:t>Betti</w:t>
      </w:r>
      <w:proofErr w:type="spellEnd"/>
      <w:r w:rsidR="009064E0" w:rsidRPr="00A06BF8">
        <w:rPr>
          <w:rFonts w:ascii="Book Antiqua" w:hAnsi="Book Antiqua" w:cs="Arial"/>
          <w:sz w:val="24"/>
          <w:szCs w:val="24"/>
          <w:lang w:val="en-US"/>
        </w:rPr>
        <w:t xml:space="preserve"> </w:t>
      </w:r>
      <w:r w:rsidR="00C81DC2">
        <w:rPr>
          <w:rFonts w:ascii="Book Antiqua" w:eastAsiaTheme="minorEastAsia" w:hAnsi="Book Antiqua" w:cs="Arial" w:hint="eastAsia"/>
          <w:sz w:val="24"/>
          <w:szCs w:val="24"/>
          <w:lang w:val="en-US"/>
        </w:rPr>
        <w:t xml:space="preserve">E </w:t>
      </w:r>
      <w:r w:rsidR="009064E0" w:rsidRPr="00A06BF8">
        <w:rPr>
          <w:rFonts w:ascii="Book Antiqua" w:hAnsi="Book Antiqua" w:cs="Arial"/>
          <w:sz w:val="24"/>
          <w:szCs w:val="24"/>
          <w:lang w:val="en-US"/>
        </w:rPr>
        <w:t xml:space="preserve">was </w:t>
      </w:r>
      <w:r w:rsidR="009064E0" w:rsidRPr="00A06BF8">
        <w:rPr>
          <w:rFonts w:ascii="Book Antiqua" w:hAnsi="Book Antiqua" w:cs="Arial"/>
          <w:sz w:val="24"/>
          <w:szCs w:val="24"/>
          <w:lang w:val="en-US"/>
        </w:rPr>
        <w:lastRenderedPageBreak/>
        <w:t>involved in collecting patients’ clinical data and technical support. She has app</w:t>
      </w:r>
      <w:r w:rsidR="00C81DC2">
        <w:rPr>
          <w:rFonts w:ascii="Book Antiqua" w:hAnsi="Book Antiqua" w:cs="Arial"/>
          <w:sz w:val="24"/>
          <w:szCs w:val="24"/>
          <w:lang w:val="en-US"/>
        </w:rPr>
        <w:t>roved the final draft submitted</w:t>
      </w:r>
      <w:r w:rsidR="00C81DC2">
        <w:rPr>
          <w:rFonts w:ascii="Book Antiqua" w:eastAsiaTheme="minorEastAsia" w:hAnsi="Book Antiqua" w:cs="Arial" w:hint="eastAsia"/>
          <w:sz w:val="24"/>
          <w:szCs w:val="24"/>
          <w:lang w:val="en-US"/>
        </w:rPr>
        <w:t xml:space="preserve">; </w:t>
      </w:r>
      <w:proofErr w:type="spellStart"/>
      <w:r w:rsidR="009064E0" w:rsidRPr="00A06BF8">
        <w:rPr>
          <w:rFonts w:ascii="Book Antiqua" w:hAnsi="Book Antiqua" w:cs="Arial"/>
          <w:sz w:val="24"/>
          <w:szCs w:val="24"/>
          <w:lang w:val="en-US"/>
        </w:rPr>
        <w:t>Riboni</w:t>
      </w:r>
      <w:proofErr w:type="spellEnd"/>
      <w:r w:rsidR="009064E0" w:rsidRPr="00A06BF8">
        <w:rPr>
          <w:rFonts w:ascii="Book Antiqua" w:hAnsi="Book Antiqua" w:cs="Arial"/>
          <w:sz w:val="24"/>
          <w:szCs w:val="24"/>
          <w:lang w:val="en-US"/>
        </w:rPr>
        <w:t xml:space="preserve"> </w:t>
      </w:r>
      <w:r w:rsidR="00C81DC2">
        <w:rPr>
          <w:rFonts w:ascii="Book Antiqua" w:eastAsiaTheme="minorEastAsia" w:hAnsi="Book Antiqua" w:cs="Arial" w:hint="eastAsia"/>
          <w:sz w:val="24"/>
          <w:szCs w:val="24"/>
          <w:lang w:val="en-US"/>
        </w:rPr>
        <w:t xml:space="preserve">R </w:t>
      </w:r>
      <w:r w:rsidR="009064E0" w:rsidRPr="00A06BF8">
        <w:rPr>
          <w:rFonts w:ascii="Book Antiqua" w:hAnsi="Book Antiqua" w:cs="Arial"/>
          <w:sz w:val="24"/>
          <w:szCs w:val="24"/>
          <w:lang w:val="en-US"/>
        </w:rPr>
        <w:t>performed the immunohistochemistry analysis. She has app</w:t>
      </w:r>
      <w:r w:rsidR="00C81DC2">
        <w:rPr>
          <w:rFonts w:ascii="Book Antiqua" w:hAnsi="Book Antiqua" w:cs="Arial"/>
          <w:sz w:val="24"/>
          <w:szCs w:val="24"/>
          <w:lang w:val="en-US"/>
        </w:rPr>
        <w:t>roved the final draft submitted</w:t>
      </w:r>
      <w:r w:rsidR="00C81DC2">
        <w:rPr>
          <w:rFonts w:ascii="Book Antiqua" w:eastAsiaTheme="minorEastAsia" w:hAnsi="Book Antiqua" w:cs="Arial" w:hint="eastAsia"/>
          <w:sz w:val="24"/>
          <w:szCs w:val="24"/>
          <w:lang w:val="en-US"/>
        </w:rPr>
        <w:t xml:space="preserve">; </w:t>
      </w:r>
      <w:proofErr w:type="spellStart"/>
      <w:r w:rsidR="009064E0" w:rsidRPr="00A06BF8">
        <w:rPr>
          <w:rFonts w:ascii="Book Antiqua" w:hAnsi="Book Antiqua" w:cs="Arial"/>
          <w:sz w:val="24"/>
          <w:szCs w:val="24"/>
          <w:lang w:val="en-US"/>
        </w:rPr>
        <w:t>Vanoli</w:t>
      </w:r>
      <w:proofErr w:type="spellEnd"/>
      <w:r w:rsidR="009064E0" w:rsidRPr="00A06BF8">
        <w:rPr>
          <w:rFonts w:ascii="Book Antiqua" w:hAnsi="Book Antiqua" w:cs="Arial"/>
          <w:sz w:val="24"/>
          <w:szCs w:val="24"/>
          <w:lang w:val="en-US"/>
        </w:rPr>
        <w:t xml:space="preserve"> </w:t>
      </w:r>
      <w:r w:rsidR="00C81DC2">
        <w:rPr>
          <w:rFonts w:ascii="Book Antiqua" w:eastAsiaTheme="minorEastAsia" w:hAnsi="Book Antiqua" w:cs="Arial" w:hint="eastAsia"/>
          <w:sz w:val="24"/>
          <w:szCs w:val="24"/>
          <w:lang w:val="en-US"/>
        </w:rPr>
        <w:t xml:space="preserve">A </w:t>
      </w:r>
      <w:r w:rsidR="009064E0" w:rsidRPr="00A06BF8">
        <w:rPr>
          <w:rFonts w:ascii="Book Antiqua" w:hAnsi="Book Antiqua" w:cs="Arial"/>
          <w:sz w:val="24"/>
          <w:szCs w:val="24"/>
          <w:lang w:val="en-US"/>
        </w:rPr>
        <w:t>analyzed the immunohistochemistry results. He has app</w:t>
      </w:r>
      <w:r w:rsidR="00C81DC2">
        <w:rPr>
          <w:rFonts w:ascii="Book Antiqua" w:hAnsi="Book Antiqua" w:cs="Arial"/>
          <w:sz w:val="24"/>
          <w:szCs w:val="24"/>
          <w:lang w:val="en-US"/>
        </w:rPr>
        <w:t>roved the final draft submitted</w:t>
      </w:r>
      <w:r w:rsidR="00C81DC2">
        <w:rPr>
          <w:rFonts w:ascii="Book Antiqua" w:eastAsiaTheme="minorEastAsia" w:hAnsi="Book Antiqua" w:cs="Arial" w:hint="eastAsia"/>
          <w:sz w:val="24"/>
          <w:szCs w:val="24"/>
          <w:lang w:val="en-US"/>
        </w:rPr>
        <w:t xml:space="preserve">; </w:t>
      </w:r>
      <w:proofErr w:type="spellStart"/>
      <w:r w:rsidR="009064E0" w:rsidRPr="00A06BF8">
        <w:rPr>
          <w:rFonts w:ascii="Book Antiqua" w:hAnsi="Book Antiqua" w:cs="Arial"/>
          <w:sz w:val="24"/>
          <w:szCs w:val="24"/>
          <w:lang w:val="en-US"/>
        </w:rPr>
        <w:t>Baldanti</w:t>
      </w:r>
      <w:proofErr w:type="spellEnd"/>
      <w:r w:rsidR="009064E0" w:rsidRPr="00A06BF8">
        <w:rPr>
          <w:rFonts w:ascii="Book Antiqua" w:hAnsi="Book Antiqua" w:cs="Arial"/>
          <w:sz w:val="24"/>
          <w:szCs w:val="24"/>
          <w:lang w:val="en-US"/>
        </w:rPr>
        <w:t xml:space="preserve"> </w:t>
      </w:r>
      <w:r w:rsidR="00C81DC2">
        <w:rPr>
          <w:rFonts w:ascii="Book Antiqua" w:eastAsiaTheme="minorEastAsia" w:hAnsi="Book Antiqua" w:cs="Arial" w:hint="eastAsia"/>
          <w:sz w:val="24"/>
          <w:szCs w:val="24"/>
          <w:lang w:val="en-US"/>
        </w:rPr>
        <w:t xml:space="preserve">F </w:t>
      </w:r>
      <w:r w:rsidR="009064E0" w:rsidRPr="00A06BF8">
        <w:rPr>
          <w:rFonts w:ascii="Book Antiqua" w:hAnsi="Book Antiqua" w:cs="Arial"/>
          <w:sz w:val="24"/>
          <w:szCs w:val="24"/>
          <w:lang w:val="en-US"/>
        </w:rPr>
        <w:t>participated in the management of patients and in drafting the manuscript. He has app</w:t>
      </w:r>
      <w:r w:rsidR="00C81DC2">
        <w:rPr>
          <w:rFonts w:ascii="Book Antiqua" w:hAnsi="Book Antiqua" w:cs="Arial"/>
          <w:sz w:val="24"/>
          <w:szCs w:val="24"/>
          <w:lang w:val="en-US"/>
        </w:rPr>
        <w:t>roved the final draft submitted</w:t>
      </w:r>
      <w:r w:rsidR="00C81DC2">
        <w:rPr>
          <w:rFonts w:ascii="Book Antiqua" w:eastAsiaTheme="minorEastAsia" w:hAnsi="Book Antiqua" w:cs="Arial" w:hint="eastAsia"/>
          <w:sz w:val="24"/>
          <w:szCs w:val="24"/>
          <w:lang w:val="en-US"/>
        </w:rPr>
        <w:t xml:space="preserve">; </w:t>
      </w:r>
      <w:proofErr w:type="spellStart"/>
      <w:r w:rsidR="009064E0" w:rsidRPr="00A06BF8">
        <w:rPr>
          <w:rFonts w:ascii="Book Antiqua" w:hAnsi="Book Antiqua" w:cs="Arial"/>
          <w:sz w:val="24"/>
          <w:szCs w:val="24"/>
          <w:lang w:val="en-US"/>
        </w:rPr>
        <w:t>Corazza</w:t>
      </w:r>
      <w:proofErr w:type="spellEnd"/>
      <w:r w:rsidR="009064E0" w:rsidRPr="00A06BF8">
        <w:rPr>
          <w:rFonts w:ascii="Book Antiqua" w:hAnsi="Book Antiqua" w:cs="Arial"/>
          <w:sz w:val="24"/>
          <w:szCs w:val="24"/>
          <w:lang w:val="en-US"/>
        </w:rPr>
        <w:t xml:space="preserve"> </w:t>
      </w:r>
      <w:r w:rsidR="00C81DC2">
        <w:rPr>
          <w:rFonts w:ascii="Book Antiqua" w:eastAsiaTheme="minorEastAsia" w:hAnsi="Book Antiqua" w:cs="Arial" w:hint="eastAsia"/>
          <w:sz w:val="24"/>
          <w:szCs w:val="24"/>
          <w:lang w:val="en-US"/>
        </w:rPr>
        <w:t xml:space="preserve">GR </w:t>
      </w:r>
      <w:r w:rsidR="009064E0" w:rsidRPr="00A06BF8">
        <w:rPr>
          <w:rFonts w:ascii="Book Antiqua" w:hAnsi="Book Antiqua" w:cs="Arial"/>
          <w:sz w:val="24"/>
          <w:szCs w:val="24"/>
          <w:lang w:val="en-US"/>
        </w:rPr>
        <w:t>was in charge of the management of the patients and critically revised the article for important intellectual content</w:t>
      </w:r>
      <w:r w:rsidR="00C81DC2">
        <w:rPr>
          <w:rFonts w:ascii="Book Antiqua" w:eastAsiaTheme="minorEastAsia" w:hAnsi="Book Antiqua" w:cs="Arial" w:hint="eastAsia"/>
          <w:sz w:val="24"/>
          <w:szCs w:val="24"/>
          <w:lang w:val="en-US"/>
        </w:rPr>
        <w:t>, he</w:t>
      </w:r>
      <w:r w:rsidR="009064E0" w:rsidRPr="00A06BF8">
        <w:rPr>
          <w:rFonts w:ascii="Book Antiqua" w:hAnsi="Book Antiqua" w:cs="Arial"/>
          <w:sz w:val="24"/>
          <w:szCs w:val="24"/>
          <w:lang w:val="en-US"/>
        </w:rPr>
        <w:t xml:space="preserve"> has approved the final draft submitted.</w:t>
      </w: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p>
    <w:p w:rsidR="00A06BF8" w:rsidRPr="00A06BF8" w:rsidRDefault="00A06BF8" w:rsidP="00093495">
      <w:pPr>
        <w:widowControl w:val="0"/>
        <w:suppressAutoHyphens w:val="0"/>
        <w:autoSpaceDE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b/>
          <w:sz w:val="24"/>
          <w:szCs w:val="24"/>
        </w:rPr>
        <w:t>Support</w:t>
      </w:r>
      <w:r w:rsidRPr="00A06BF8">
        <w:rPr>
          <w:rFonts w:ascii="Book Antiqua" w:eastAsiaTheme="minorEastAsia" w:hAnsi="Book Antiqua" w:cs="Arial"/>
          <w:b/>
          <w:sz w:val="24"/>
          <w:szCs w:val="24"/>
        </w:rPr>
        <w:t>ed</w:t>
      </w:r>
      <w:r w:rsidRPr="00A06BF8">
        <w:rPr>
          <w:rFonts w:asciiTheme="minorEastAsia" w:eastAsiaTheme="minorEastAsia" w:hAnsiTheme="minorEastAsia" w:cs="Arial" w:hint="eastAsia"/>
          <w:b/>
          <w:caps/>
          <w:sz w:val="24"/>
          <w:szCs w:val="24"/>
        </w:rPr>
        <w:t xml:space="preserve"> </w:t>
      </w:r>
      <w:r w:rsidRPr="00A06BF8">
        <w:rPr>
          <w:rFonts w:ascii="Book Antiqua" w:hAnsi="Book Antiqua" w:cs="Arial"/>
          <w:b/>
          <w:sz w:val="24"/>
          <w:szCs w:val="24"/>
        </w:rPr>
        <w:t>by</w:t>
      </w:r>
      <w:r w:rsidRPr="00A06BF8">
        <w:rPr>
          <w:rFonts w:ascii="Book Antiqua" w:hAnsi="Book Antiqua" w:cs="Arial"/>
          <w:sz w:val="24"/>
          <w:szCs w:val="24"/>
        </w:rPr>
        <w:t xml:space="preserve"> </w:t>
      </w:r>
      <w:r w:rsidRPr="00A06BF8">
        <w:rPr>
          <w:rFonts w:ascii="Book Antiqua" w:eastAsiaTheme="minorEastAsia" w:hAnsi="Book Antiqua" w:cs="Arial" w:hint="eastAsia"/>
          <w:sz w:val="24"/>
          <w:szCs w:val="24"/>
        </w:rPr>
        <w:t>(</w:t>
      </w:r>
      <w:r w:rsidRPr="00A06BF8">
        <w:rPr>
          <w:rFonts w:ascii="Book Antiqua" w:hAnsi="Book Antiqua" w:cs="Arial"/>
          <w:sz w:val="24"/>
          <w:szCs w:val="24"/>
        </w:rPr>
        <w:t>in part</w:t>
      </w:r>
      <w:r w:rsidRPr="00A06BF8">
        <w:rPr>
          <w:rFonts w:ascii="Book Antiqua" w:eastAsiaTheme="minorEastAsia" w:hAnsi="Book Antiqua" w:cs="Arial" w:hint="eastAsia"/>
          <w:sz w:val="24"/>
          <w:szCs w:val="24"/>
        </w:rPr>
        <w:t>)</w:t>
      </w:r>
      <w:r w:rsidRPr="00A06BF8">
        <w:rPr>
          <w:rFonts w:ascii="Book Antiqua" w:hAnsi="Book Antiqua" w:cs="Arial"/>
          <w:sz w:val="24"/>
          <w:szCs w:val="24"/>
        </w:rPr>
        <w:t xml:space="preserve"> Fondazione IRCCS Policlinico San Matteo (Progetto di Ricerca Corrente) entitled: “Studio della espressione del recettore per i prodotti finali della glicosilazione avanzata (RAGE) nelle Malattie Infiammatorie Croniche Intestinali”</w:t>
      </w:r>
      <w:r w:rsidR="00C81DC2">
        <w:rPr>
          <w:rFonts w:ascii="Book Antiqua" w:eastAsiaTheme="minorEastAsia" w:hAnsi="Book Antiqua" w:cs="Arial" w:hint="eastAsia"/>
          <w:sz w:val="24"/>
          <w:szCs w:val="24"/>
        </w:rPr>
        <w:t>,</w:t>
      </w:r>
      <w:r w:rsidRPr="00A06BF8">
        <w:rPr>
          <w:rFonts w:ascii="Book Antiqua" w:hAnsi="Book Antiqua" w:cs="Arial"/>
          <w:sz w:val="24"/>
          <w:szCs w:val="24"/>
        </w:rPr>
        <w:t xml:space="preserve"> </w:t>
      </w:r>
      <w:r w:rsidR="00C81DC2">
        <w:rPr>
          <w:rFonts w:ascii="Book Antiqua" w:eastAsiaTheme="minorEastAsia" w:hAnsi="Book Antiqua" w:cs="Arial" w:hint="eastAsia"/>
          <w:sz w:val="24"/>
          <w:szCs w:val="24"/>
        </w:rPr>
        <w:t>No.</w:t>
      </w:r>
      <w:r w:rsidRPr="00A06BF8">
        <w:rPr>
          <w:rFonts w:ascii="Book Antiqua" w:hAnsi="Book Antiqua" w:cs="Arial"/>
          <w:sz w:val="24"/>
          <w:szCs w:val="24"/>
        </w:rPr>
        <w:t xml:space="preserve"> 08064409</w:t>
      </w:r>
    </w:p>
    <w:p w:rsidR="009064E0" w:rsidRPr="00A06BF8" w:rsidRDefault="009064E0" w:rsidP="00093495">
      <w:pPr>
        <w:widowControl w:val="0"/>
        <w:suppressAutoHyphens w:val="0"/>
        <w:adjustRightInd w:val="0"/>
        <w:snapToGrid w:val="0"/>
        <w:spacing w:line="360" w:lineRule="auto"/>
        <w:jc w:val="both"/>
        <w:rPr>
          <w:rFonts w:ascii="Book Antiqua" w:eastAsiaTheme="minorEastAsia" w:hAnsi="Book Antiqua" w:cs="Arial"/>
          <w:caps/>
          <w:sz w:val="24"/>
          <w:szCs w:val="24"/>
          <w:lang w:val="en-US"/>
        </w:rPr>
      </w:pPr>
    </w:p>
    <w:p w:rsidR="009064E0" w:rsidRPr="00C81DC2" w:rsidRDefault="009064E0" w:rsidP="00093495">
      <w:pPr>
        <w:widowControl w:val="0"/>
        <w:suppressAutoHyphens w:val="0"/>
        <w:autoSpaceDE w:val="0"/>
        <w:adjustRightInd w:val="0"/>
        <w:snapToGrid w:val="0"/>
        <w:spacing w:line="360" w:lineRule="auto"/>
        <w:jc w:val="both"/>
        <w:rPr>
          <w:rFonts w:ascii="Book Antiqua" w:eastAsiaTheme="minorEastAsia" w:hAnsi="Book Antiqua" w:cs="Arial"/>
          <w:sz w:val="24"/>
          <w:szCs w:val="24"/>
          <w:lang w:val="en-US"/>
        </w:rPr>
      </w:pPr>
      <w:r w:rsidRPr="00A06BF8">
        <w:rPr>
          <w:rFonts w:ascii="Book Antiqua" w:hAnsi="Book Antiqua" w:cs="Arial"/>
          <w:b/>
          <w:bCs/>
          <w:sz w:val="24"/>
          <w:szCs w:val="24"/>
          <w:lang w:val="en-US"/>
        </w:rPr>
        <w:t>Correspondence</w:t>
      </w:r>
      <w:r w:rsidR="00C81DC2">
        <w:rPr>
          <w:rFonts w:ascii="Book Antiqua" w:eastAsiaTheme="minorEastAsia" w:hAnsi="Book Antiqua" w:cs="Arial" w:hint="eastAsia"/>
          <w:b/>
          <w:bCs/>
          <w:sz w:val="24"/>
          <w:szCs w:val="24"/>
          <w:lang w:val="en-US"/>
        </w:rPr>
        <w:t xml:space="preserve"> to</w:t>
      </w:r>
      <w:r w:rsidRPr="00A06BF8">
        <w:rPr>
          <w:rFonts w:ascii="Book Antiqua" w:hAnsi="Book Antiqua" w:cs="Arial"/>
          <w:b/>
          <w:bCs/>
          <w:sz w:val="24"/>
          <w:szCs w:val="24"/>
          <w:lang w:val="en-US"/>
        </w:rPr>
        <w:t>:</w:t>
      </w:r>
      <w:r w:rsidRPr="00A06BF8">
        <w:rPr>
          <w:rFonts w:ascii="Book Antiqua" w:hAnsi="Book Antiqua" w:cs="Arial"/>
          <w:sz w:val="24"/>
          <w:szCs w:val="24"/>
          <w:lang w:val="en-US"/>
        </w:rPr>
        <w:t xml:space="preserve"> </w:t>
      </w:r>
      <w:proofErr w:type="spellStart"/>
      <w:r w:rsidRPr="00C81DC2">
        <w:rPr>
          <w:rFonts w:ascii="Book Antiqua" w:hAnsi="Book Antiqua" w:cs="Arial"/>
          <w:b/>
          <w:sz w:val="24"/>
          <w:szCs w:val="24"/>
          <w:lang w:val="en-US"/>
        </w:rPr>
        <w:t>Rachele</w:t>
      </w:r>
      <w:proofErr w:type="spellEnd"/>
      <w:r w:rsidRPr="00C81DC2">
        <w:rPr>
          <w:rFonts w:ascii="Book Antiqua" w:hAnsi="Book Antiqua" w:cs="Arial"/>
          <w:b/>
          <w:sz w:val="24"/>
          <w:szCs w:val="24"/>
          <w:lang w:val="en-US"/>
        </w:rPr>
        <w:t xml:space="preserve"> </w:t>
      </w:r>
      <w:proofErr w:type="spellStart"/>
      <w:r w:rsidRPr="00C81DC2">
        <w:rPr>
          <w:rFonts w:ascii="Book Antiqua" w:hAnsi="Book Antiqua" w:cs="Arial"/>
          <w:b/>
          <w:sz w:val="24"/>
          <w:szCs w:val="24"/>
          <w:lang w:val="en-US"/>
        </w:rPr>
        <w:t>Ciccocioppo</w:t>
      </w:r>
      <w:proofErr w:type="spellEnd"/>
      <w:r w:rsidRPr="00C81DC2">
        <w:rPr>
          <w:rFonts w:ascii="Book Antiqua" w:hAnsi="Book Antiqua" w:cs="Arial"/>
          <w:b/>
          <w:sz w:val="24"/>
          <w:szCs w:val="24"/>
          <w:lang w:val="en-US"/>
        </w:rPr>
        <w:t xml:space="preserve">, </w:t>
      </w:r>
      <w:r w:rsidR="00C81DC2" w:rsidRPr="00C81DC2">
        <w:rPr>
          <w:rFonts w:ascii="Book Antiqua" w:eastAsiaTheme="minorEastAsia" w:hAnsi="Book Antiqua" w:cs="Arial" w:hint="eastAsia"/>
          <w:b/>
          <w:sz w:val="24"/>
          <w:szCs w:val="24"/>
          <w:lang w:val="en-US"/>
        </w:rPr>
        <w:t>MD,</w:t>
      </w:r>
      <w:r w:rsidR="00C81DC2">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 xml:space="preserve">Centre for the Study and Cure of Inflammatory Bowel Disease, </w:t>
      </w:r>
      <w:proofErr w:type="spellStart"/>
      <w:r w:rsidRPr="00A06BF8">
        <w:rPr>
          <w:rFonts w:ascii="Book Antiqua" w:hAnsi="Book Antiqua" w:cs="Arial"/>
          <w:sz w:val="24"/>
          <w:szCs w:val="24"/>
          <w:lang w:val="en-US"/>
        </w:rPr>
        <w:t>Clinica</w:t>
      </w:r>
      <w:proofErr w:type="spellEnd"/>
      <w:r w:rsidRPr="00A06BF8">
        <w:rPr>
          <w:rFonts w:ascii="Book Antiqua" w:hAnsi="Book Antiqua" w:cs="Arial"/>
          <w:sz w:val="24"/>
          <w:szCs w:val="24"/>
          <w:lang w:val="en-US"/>
        </w:rPr>
        <w:t xml:space="preserve"> </w:t>
      </w:r>
      <w:proofErr w:type="spellStart"/>
      <w:r w:rsidRPr="00A06BF8">
        <w:rPr>
          <w:rFonts w:ascii="Book Antiqua" w:hAnsi="Book Antiqua" w:cs="Arial"/>
          <w:sz w:val="24"/>
          <w:szCs w:val="24"/>
          <w:lang w:val="en-US"/>
        </w:rPr>
        <w:t>Medica</w:t>
      </w:r>
      <w:proofErr w:type="spellEnd"/>
      <w:r w:rsidRPr="00A06BF8">
        <w:rPr>
          <w:rFonts w:ascii="Book Antiqua" w:hAnsi="Book Antiqua" w:cs="Arial"/>
          <w:sz w:val="24"/>
          <w:szCs w:val="24"/>
          <w:lang w:val="en-US"/>
        </w:rPr>
        <w:t xml:space="preserve"> I, IRCCS San Matteo Hospital Foundation, Unive</w:t>
      </w:r>
      <w:r w:rsidR="00D126BB">
        <w:rPr>
          <w:rFonts w:ascii="Book Antiqua" w:hAnsi="Book Antiqua" w:cs="Arial"/>
          <w:sz w:val="24"/>
          <w:szCs w:val="24"/>
          <w:lang w:val="en-US"/>
        </w:rPr>
        <w:t>rsity of Pavia</w:t>
      </w:r>
      <w:r w:rsidR="00D126BB">
        <w:rPr>
          <w:rFonts w:ascii="Book Antiqua" w:eastAsiaTheme="minorEastAsia" w:hAnsi="Book Antiqua" w:cs="Arial" w:hint="eastAsia"/>
          <w:sz w:val="24"/>
          <w:szCs w:val="24"/>
          <w:lang w:val="en-US"/>
        </w:rPr>
        <w:t>,</w:t>
      </w:r>
      <w:r w:rsidR="00D126BB">
        <w:rPr>
          <w:rFonts w:ascii="Book Antiqua" w:hAnsi="Book Antiqua" w:cs="Arial"/>
          <w:sz w:val="24"/>
          <w:szCs w:val="24"/>
          <w:lang w:val="en-US"/>
        </w:rPr>
        <w:t xml:space="preserve"> </w:t>
      </w:r>
      <w:proofErr w:type="spellStart"/>
      <w:r w:rsidR="00D126BB">
        <w:rPr>
          <w:rFonts w:ascii="Book Antiqua" w:hAnsi="Book Antiqua" w:cs="Arial"/>
          <w:sz w:val="24"/>
          <w:szCs w:val="24"/>
          <w:lang w:val="en-US"/>
        </w:rPr>
        <w:t>Piazzale</w:t>
      </w:r>
      <w:proofErr w:type="spellEnd"/>
      <w:r w:rsidR="00D126BB">
        <w:rPr>
          <w:rFonts w:ascii="Book Antiqua" w:hAnsi="Book Antiqua" w:cs="Arial"/>
          <w:sz w:val="24"/>
          <w:szCs w:val="24"/>
          <w:lang w:val="en-US"/>
        </w:rPr>
        <w:t xml:space="preserve"> Golgi</w:t>
      </w:r>
      <w:r w:rsidRPr="00A06BF8">
        <w:rPr>
          <w:rFonts w:ascii="Book Antiqua" w:hAnsi="Book Antiqua" w:cs="Arial"/>
          <w:sz w:val="24"/>
          <w:szCs w:val="24"/>
          <w:lang w:val="en-US"/>
        </w:rPr>
        <w:t xml:space="preserve"> 19</w:t>
      </w:r>
      <w:r w:rsidR="00D126BB">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 xml:space="preserve"> 27100 Pavia, Italy.</w:t>
      </w:r>
      <w:r w:rsidR="00C81DC2">
        <w:rPr>
          <w:rFonts w:ascii="Book Antiqua" w:eastAsiaTheme="minorEastAsia" w:hAnsi="Book Antiqua" w:cs="Arial" w:hint="eastAsia"/>
          <w:sz w:val="24"/>
          <w:szCs w:val="24"/>
          <w:lang w:val="en-US"/>
        </w:rPr>
        <w:t xml:space="preserve"> </w:t>
      </w:r>
      <w:r w:rsidR="00C81DC2" w:rsidRPr="00C81DC2">
        <w:rPr>
          <w:rFonts w:ascii="Book Antiqua" w:eastAsiaTheme="minorEastAsia" w:hAnsi="Book Antiqua" w:cs="Arial"/>
          <w:sz w:val="24"/>
          <w:szCs w:val="24"/>
          <w:lang w:val="en-US"/>
        </w:rPr>
        <w:t>rachele.ciccocioppo@unipv.it</w:t>
      </w:r>
    </w:p>
    <w:p w:rsidR="00C81DC2" w:rsidRDefault="00C81DC2" w:rsidP="00093495">
      <w:pPr>
        <w:widowControl w:val="0"/>
        <w:suppressAutoHyphens w:val="0"/>
        <w:autoSpaceDE w:val="0"/>
        <w:adjustRightInd w:val="0"/>
        <w:snapToGrid w:val="0"/>
        <w:spacing w:line="360" w:lineRule="auto"/>
        <w:jc w:val="both"/>
        <w:rPr>
          <w:rFonts w:ascii="Book Antiqua" w:eastAsiaTheme="minorEastAsia" w:hAnsi="Book Antiqua" w:cs="Arial"/>
          <w:sz w:val="24"/>
          <w:szCs w:val="24"/>
          <w:lang w:val="en-US"/>
        </w:rPr>
      </w:pPr>
    </w:p>
    <w:p w:rsidR="009500B5" w:rsidRPr="008E267B" w:rsidRDefault="009500B5" w:rsidP="00093495">
      <w:pPr>
        <w:adjustRightInd w:val="0"/>
        <w:snapToGrid w:val="0"/>
        <w:spacing w:line="360" w:lineRule="auto"/>
        <w:jc w:val="both"/>
        <w:rPr>
          <w:rFonts w:ascii="Book Antiqua" w:hAnsi="Book Antiqua"/>
          <w:sz w:val="24"/>
        </w:rPr>
      </w:pPr>
      <w:r w:rsidRPr="008E267B">
        <w:rPr>
          <w:rFonts w:ascii="Book Antiqua" w:hAnsi="Book Antiqua"/>
          <w:b/>
          <w:sz w:val="24"/>
        </w:rPr>
        <w:t xml:space="preserve">Telephone: </w:t>
      </w:r>
      <w:r w:rsidRPr="00A06BF8">
        <w:rPr>
          <w:rFonts w:ascii="Book Antiqua" w:hAnsi="Book Antiqua" w:cs="Arial"/>
          <w:sz w:val="24"/>
          <w:szCs w:val="24"/>
          <w:lang w:val="en-US"/>
        </w:rPr>
        <w:t>+39</w:t>
      </w:r>
      <w:r>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382</w:t>
      </w:r>
      <w:r>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502786</w:t>
      </w:r>
      <w:r w:rsidRPr="008E267B">
        <w:rPr>
          <w:rFonts w:ascii="Book Antiqua" w:hAnsi="Book Antiqua"/>
          <w:sz w:val="24"/>
        </w:rPr>
        <w:t xml:space="preserve"> </w:t>
      </w:r>
      <w:r w:rsidRPr="008E267B">
        <w:rPr>
          <w:rFonts w:ascii="Book Antiqua" w:hAnsi="Book Antiqua"/>
          <w:b/>
          <w:sz w:val="24"/>
        </w:rPr>
        <w:t xml:space="preserve"> Fax: </w:t>
      </w:r>
      <w:r w:rsidRPr="00A06BF8">
        <w:rPr>
          <w:rFonts w:ascii="Book Antiqua" w:hAnsi="Book Antiqua" w:cs="Arial"/>
          <w:sz w:val="24"/>
          <w:szCs w:val="24"/>
          <w:lang w:val="en-US"/>
        </w:rPr>
        <w:t>+39</w:t>
      </w:r>
      <w:r>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382</w:t>
      </w:r>
      <w:r>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502618</w:t>
      </w:r>
    </w:p>
    <w:p w:rsidR="009500B5" w:rsidRDefault="009500B5" w:rsidP="00093495">
      <w:pPr>
        <w:adjustRightInd w:val="0"/>
        <w:snapToGrid w:val="0"/>
        <w:spacing w:line="360" w:lineRule="auto"/>
        <w:jc w:val="both"/>
        <w:rPr>
          <w:rFonts w:ascii="Book Antiqua" w:eastAsiaTheme="minorEastAsia" w:hAnsi="Book Antiqua"/>
          <w:b/>
          <w:sz w:val="24"/>
        </w:rPr>
      </w:pPr>
      <w:bookmarkStart w:id="2" w:name="OLE_LINK29"/>
      <w:bookmarkStart w:id="3" w:name="OLE_LINK30"/>
      <w:r w:rsidRPr="008E267B">
        <w:rPr>
          <w:rFonts w:ascii="Book Antiqua" w:hAnsi="Book Antiqua"/>
          <w:b/>
          <w:sz w:val="24"/>
        </w:rPr>
        <w:t xml:space="preserve">Received: </w:t>
      </w:r>
      <w:bookmarkStart w:id="4" w:name="OLE_LINK12"/>
      <w:bookmarkStart w:id="5" w:name="OLE_LINK13"/>
      <w:r w:rsidR="00F22AF9" w:rsidRPr="00A11C75">
        <w:rPr>
          <w:rFonts w:ascii="Book Antiqua" w:hAnsi="Book Antiqua"/>
          <w:sz w:val="24"/>
        </w:rPr>
        <w:t>August</w:t>
      </w:r>
      <w:bookmarkEnd w:id="4"/>
      <w:bookmarkEnd w:id="5"/>
      <w:r w:rsidR="00F22AF9">
        <w:rPr>
          <w:rFonts w:ascii="Book Antiqua" w:eastAsiaTheme="minorEastAsia" w:hAnsi="Book Antiqua" w:hint="eastAsia"/>
          <w:sz w:val="24"/>
        </w:rPr>
        <w:t xml:space="preserve"> 6, 2014</w:t>
      </w:r>
      <w:r w:rsidRPr="008E267B">
        <w:rPr>
          <w:rFonts w:ascii="Book Antiqua" w:hAnsi="Book Antiqua"/>
          <w:b/>
          <w:sz w:val="24"/>
        </w:rPr>
        <w:t xml:space="preserve"> </w:t>
      </w:r>
      <w:r w:rsidR="002305E8">
        <w:rPr>
          <w:rFonts w:ascii="Book Antiqua" w:eastAsiaTheme="minorEastAsia" w:hAnsi="Book Antiqua" w:hint="eastAsia"/>
          <w:b/>
          <w:sz w:val="24"/>
        </w:rPr>
        <w:t xml:space="preserve">  </w:t>
      </w:r>
      <w:r w:rsidRPr="008E267B">
        <w:rPr>
          <w:rFonts w:ascii="Book Antiqua" w:hAnsi="Book Antiqua"/>
          <w:b/>
          <w:sz w:val="24"/>
        </w:rPr>
        <w:t xml:space="preserve"> Revised: </w:t>
      </w:r>
      <w:bookmarkStart w:id="6" w:name="OLE_LINK14"/>
      <w:bookmarkStart w:id="7" w:name="OLE_LINK15"/>
      <w:r w:rsidR="002305E8" w:rsidRPr="00A11C75">
        <w:rPr>
          <w:rFonts w:ascii="Book Antiqua" w:hAnsi="Book Antiqua"/>
          <w:sz w:val="24"/>
        </w:rPr>
        <w:t>October</w:t>
      </w:r>
      <w:bookmarkEnd w:id="6"/>
      <w:bookmarkEnd w:id="7"/>
      <w:r w:rsidR="002305E8">
        <w:rPr>
          <w:rFonts w:ascii="Book Antiqua" w:eastAsiaTheme="minorEastAsia" w:hAnsi="Book Antiqua" w:hint="eastAsia"/>
          <w:sz w:val="24"/>
        </w:rPr>
        <w:t xml:space="preserve"> 3, 2014</w:t>
      </w:r>
      <w:r w:rsidRPr="008E267B">
        <w:rPr>
          <w:rFonts w:ascii="Book Antiqua" w:hAnsi="Book Antiqua"/>
          <w:b/>
          <w:sz w:val="24"/>
        </w:rPr>
        <w:t xml:space="preserve"> </w:t>
      </w:r>
    </w:p>
    <w:p w:rsidR="00F71239" w:rsidRDefault="002305E8" w:rsidP="00F71239">
      <w:pPr>
        <w:rPr>
          <w:rFonts w:ascii="Book Antiqua" w:hAnsi="Book Antiqua"/>
          <w:color w:val="000000"/>
          <w:sz w:val="24"/>
        </w:rPr>
      </w:pPr>
      <w:r>
        <w:rPr>
          <w:rFonts w:ascii="Book Antiqua" w:hAnsi="Book Antiqua"/>
          <w:b/>
          <w:sz w:val="24"/>
        </w:rPr>
        <w:t>Accepted:</w:t>
      </w:r>
      <w:bookmarkStart w:id="8" w:name="OLE_LINK2"/>
      <w:bookmarkStart w:id="9" w:name="OLE_LINK3"/>
      <w:bookmarkStart w:id="10" w:name="OLE_LINK4"/>
      <w:bookmarkStart w:id="11" w:name="OLE_LINK5"/>
      <w:bookmarkStart w:id="12" w:name="OLE_LINK8"/>
      <w:bookmarkStart w:id="13" w:name="OLE_LINK6"/>
      <w:bookmarkStart w:id="14" w:name="OLE_LINK7"/>
      <w:bookmarkStart w:id="15" w:name="OLE_LINK18"/>
      <w:bookmarkStart w:id="16" w:name="OLE_LINK19"/>
      <w:bookmarkStart w:id="17" w:name="OLE_LINK22"/>
      <w:bookmarkStart w:id="18" w:name="OLE_LINK24"/>
      <w:bookmarkStart w:id="19" w:name="OLE_LINK25"/>
      <w:bookmarkStart w:id="20" w:name="OLE_LINK28"/>
      <w:bookmarkStart w:id="21" w:name="OLE_LINK31"/>
      <w:r w:rsidR="00F71239" w:rsidRPr="00F71239">
        <w:rPr>
          <w:rFonts w:ascii="Book Antiqua" w:hAnsi="Book Antiqua"/>
          <w:color w:val="000000"/>
          <w:sz w:val="24"/>
        </w:rPr>
        <w:t xml:space="preserve"> </w:t>
      </w:r>
      <w:r w:rsidR="00F71239">
        <w:rPr>
          <w:rFonts w:ascii="Book Antiqua" w:hAnsi="Book Antiqua"/>
          <w:color w:val="000000"/>
          <w:sz w:val="24"/>
        </w:rPr>
        <w:t>November 18, 2014</w:t>
      </w:r>
    </w:p>
    <w:p w:rsidR="009500B5" w:rsidRPr="002305E8" w:rsidRDefault="009500B5" w:rsidP="00093495">
      <w:pPr>
        <w:adjustRightInd w:val="0"/>
        <w:snapToGrid w:val="0"/>
        <w:spacing w:line="360" w:lineRule="auto"/>
        <w:jc w:val="both"/>
        <w:rPr>
          <w:rFonts w:ascii="Book Antiqua" w:eastAsiaTheme="minorEastAsia" w:hAnsi="Book Antiqua"/>
          <w:b/>
          <w:sz w:val="24"/>
        </w:rPr>
      </w:pPr>
      <w:bookmarkStart w:id="22"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9500B5" w:rsidRPr="008E267B" w:rsidRDefault="009500B5" w:rsidP="00093495">
      <w:pPr>
        <w:adjustRightInd w:val="0"/>
        <w:snapToGrid w:val="0"/>
        <w:spacing w:line="360" w:lineRule="auto"/>
        <w:jc w:val="both"/>
        <w:rPr>
          <w:rFonts w:ascii="Book Antiqua" w:hAnsi="Book Antiqua"/>
          <w:b/>
          <w:sz w:val="24"/>
        </w:rPr>
      </w:pPr>
      <w:r w:rsidRPr="008E267B">
        <w:rPr>
          <w:rFonts w:ascii="Book Antiqua" w:hAnsi="Book Antiqua"/>
          <w:b/>
          <w:sz w:val="24"/>
        </w:rPr>
        <w:t xml:space="preserve">Published online: </w:t>
      </w:r>
    </w:p>
    <w:bookmarkEnd w:id="2"/>
    <w:bookmarkEnd w:id="3"/>
    <w:p w:rsidR="00A06BF8" w:rsidRPr="00A06BF8" w:rsidRDefault="00A06BF8"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p>
    <w:p w:rsidR="009064E0" w:rsidRPr="00A06BF8" w:rsidRDefault="00A06BF8" w:rsidP="00093495">
      <w:pPr>
        <w:widowControl w:val="0"/>
        <w:suppressAutoHyphens w:val="0"/>
        <w:adjustRightInd w:val="0"/>
        <w:snapToGrid w:val="0"/>
        <w:spacing w:line="360" w:lineRule="auto"/>
        <w:jc w:val="both"/>
        <w:rPr>
          <w:rFonts w:ascii="Book Antiqua" w:hAnsi="Book Antiqua" w:cs="Arial"/>
          <w:b/>
          <w:sz w:val="24"/>
          <w:szCs w:val="24"/>
          <w:lang w:val="en-US"/>
        </w:rPr>
      </w:pPr>
      <w:r w:rsidRPr="00A06BF8">
        <w:rPr>
          <w:rFonts w:ascii="Book Antiqua" w:hAnsi="Book Antiqua" w:cs="Arial"/>
          <w:b/>
          <w:sz w:val="24"/>
          <w:szCs w:val="24"/>
          <w:lang w:val="en-US"/>
        </w:rPr>
        <w:t>Abstract</w:t>
      </w:r>
    </w:p>
    <w:p w:rsidR="009064E0" w:rsidRPr="00A06BF8" w:rsidRDefault="009064E0" w:rsidP="00093495">
      <w:pPr>
        <w:widowControl w:val="0"/>
        <w:suppressAutoHyphens w:val="0"/>
        <w:adjustRightInd w:val="0"/>
        <w:snapToGrid w:val="0"/>
        <w:spacing w:line="360" w:lineRule="auto"/>
        <w:jc w:val="both"/>
        <w:rPr>
          <w:rFonts w:ascii="Book Antiqua" w:eastAsiaTheme="minorEastAsia" w:hAnsi="Book Antiqua" w:cs="Arial"/>
          <w:sz w:val="24"/>
          <w:szCs w:val="24"/>
          <w:lang w:val="en-US"/>
        </w:rPr>
      </w:pPr>
      <w:r w:rsidRPr="00A06BF8">
        <w:rPr>
          <w:rFonts w:ascii="Book Antiqua" w:hAnsi="Book Antiqua" w:cs="Arial"/>
          <w:b/>
          <w:sz w:val="24"/>
          <w:szCs w:val="24"/>
          <w:lang w:val="en-US"/>
        </w:rPr>
        <w:t>AIM:</w:t>
      </w:r>
      <w:r w:rsidRPr="00A06BF8">
        <w:rPr>
          <w:rFonts w:ascii="Book Antiqua" w:hAnsi="Book Antiqua" w:cs="Arial"/>
          <w:sz w:val="24"/>
          <w:szCs w:val="24"/>
          <w:lang w:val="en-US"/>
        </w:rPr>
        <w:t xml:space="preserve"> </w:t>
      </w:r>
      <w:r w:rsidR="00A06BF8" w:rsidRPr="00A06BF8">
        <w:rPr>
          <w:rFonts w:ascii="Book Antiqua" w:eastAsiaTheme="minorEastAsia" w:hAnsi="Book Antiqua" w:cs="Arial" w:hint="eastAsia"/>
          <w:sz w:val="24"/>
          <w:szCs w:val="24"/>
          <w:lang w:val="en-US"/>
        </w:rPr>
        <w:t xml:space="preserve">To </w:t>
      </w:r>
      <w:r w:rsidRPr="00A06BF8">
        <w:rPr>
          <w:rFonts w:ascii="Book Antiqua" w:hAnsi="Book Antiqua" w:cs="Arial"/>
          <w:sz w:val="24"/>
          <w:szCs w:val="24"/>
          <w:lang w:val="en-US"/>
        </w:rPr>
        <w:t>evaluat</w:t>
      </w:r>
      <w:r w:rsidR="00A06BF8" w:rsidRPr="00A06BF8">
        <w:rPr>
          <w:rFonts w:ascii="Book Antiqua" w:eastAsiaTheme="minorEastAsia" w:hAnsi="Book Antiqua" w:cs="Arial" w:hint="eastAsia"/>
          <w:sz w:val="24"/>
          <w:szCs w:val="24"/>
          <w:lang w:val="en-US"/>
        </w:rPr>
        <w:t>e</w:t>
      </w:r>
      <w:r w:rsidRPr="00A06BF8">
        <w:rPr>
          <w:rFonts w:ascii="Book Antiqua" w:hAnsi="Book Antiqua" w:cs="Arial"/>
          <w:sz w:val="24"/>
          <w:szCs w:val="24"/>
          <w:lang w:val="en-US"/>
        </w:rPr>
        <w:t xml:space="preserve"> the best technique to identify this condition and its risk factors. </w:t>
      </w:r>
    </w:p>
    <w:p w:rsidR="00A06BF8" w:rsidRPr="00A06BF8" w:rsidRDefault="00A06BF8" w:rsidP="00093495">
      <w:pPr>
        <w:widowControl w:val="0"/>
        <w:suppressAutoHyphens w:val="0"/>
        <w:adjustRightInd w:val="0"/>
        <w:snapToGrid w:val="0"/>
        <w:spacing w:line="360" w:lineRule="auto"/>
        <w:jc w:val="both"/>
        <w:rPr>
          <w:rFonts w:ascii="Book Antiqua" w:eastAsiaTheme="minorEastAsia" w:hAnsi="Book Antiqua" w:cs="Arial"/>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b/>
          <w:caps/>
          <w:sz w:val="24"/>
          <w:szCs w:val="24"/>
          <w:lang w:val="en-US"/>
        </w:rPr>
        <w:t>Methods</w:t>
      </w:r>
      <w:r w:rsidRPr="00A06BF8">
        <w:rPr>
          <w:rFonts w:ascii="Book Antiqua" w:hAnsi="Book Antiqua" w:cs="Arial"/>
          <w:b/>
          <w:sz w:val="24"/>
          <w:szCs w:val="24"/>
          <w:lang w:val="en-US"/>
        </w:rPr>
        <w:t>:</w:t>
      </w:r>
      <w:r w:rsidRPr="00A06BF8">
        <w:rPr>
          <w:rFonts w:ascii="Book Antiqua" w:hAnsi="Book Antiqua" w:cs="Arial"/>
          <w:b/>
          <w:i/>
          <w:sz w:val="24"/>
          <w:szCs w:val="24"/>
          <w:lang w:val="en-US"/>
        </w:rPr>
        <w:t xml:space="preserve"> </w:t>
      </w:r>
      <w:r w:rsidRPr="00A06BF8">
        <w:rPr>
          <w:rFonts w:ascii="Book Antiqua" w:hAnsi="Book Antiqua" w:cs="Arial"/>
          <w:sz w:val="24"/>
          <w:szCs w:val="24"/>
          <w:lang w:val="en-US"/>
        </w:rPr>
        <w:t xml:space="preserve">A cohort of 40 </w:t>
      </w:r>
      <w:r w:rsidR="00A06BF8" w:rsidRPr="00A06BF8">
        <w:rPr>
          <w:rFonts w:ascii="Book Antiqua" w:hAnsi="Book Antiqua" w:cs="Arial"/>
          <w:sz w:val="24"/>
          <w:szCs w:val="24"/>
          <w:lang w:val="en-US"/>
        </w:rPr>
        <w:t xml:space="preserve">inflammatory bowel disease </w:t>
      </w:r>
      <w:r w:rsidR="00A06BF8" w:rsidRPr="00A06BF8">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IBD</w:t>
      </w:r>
      <w:r w:rsidR="00A06BF8" w:rsidRPr="00A06BF8">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 xml:space="preserve"> patients (17 refractory) and 40 controls underwent peripheral blood and endoscopic colonic mucosal sample harvest. Viral infection was assessed by quantitative real-time </w:t>
      </w:r>
      <w:r w:rsidR="00A06BF8" w:rsidRPr="00A06BF8">
        <w:rPr>
          <w:rFonts w:ascii="Book Antiqua" w:hAnsi="Book Antiqua" w:cs="Arial"/>
          <w:sz w:val="24"/>
          <w:szCs w:val="24"/>
          <w:lang w:val="en-US"/>
        </w:rPr>
        <w:t xml:space="preserve">polymerase chain reaction </w:t>
      </w:r>
      <w:r w:rsidRPr="00A06BF8">
        <w:rPr>
          <w:rFonts w:ascii="Book Antiqua" w:hAnsi="Book Antiqua" w:cs="Arial"/>
          <w:sz w:val="24"/>
          <w:szCs w:val="24"/>
          <w:lang w:val="en-US"/>
        </w:rPr>
        <w:t xml:space="preserve">and immunohistochemistry, and correlations with clinical and endoscopic indexes of activity, and risk factors were investigated. </w:t>
      </w:r>
    </w:p>
    <w:p w:rsidR="00A06BF8" w:rsidRPr="00A06BF8" w:rsidRDefault="00A06BF8" w:rsidP="00093495">
      <w:pPr>
        <w:widowControl w:val="0"/>
        <w:suppressAutoHyphens w:val="0"/>
        <w:adjustRightInd w:val="0"/>
        <w:snapToGrid w:val="0"/>
        <w:spacing w:line="360" w:lineRule="auto"/>
        <w:jc w:val="both"/>
        <w:rPr>
          <w:rFonts w:ascii="Book Antiqua" w:eastAsiaTheme="minorEastAsia" w:hAnsi="Book Antiqua" w:cs="Arial"/>
          <w:b/>
          <w:caps/>
          <w:sz w:val="24"/>
          <w:szCs w:val="24"/>
          <w:lang w:val="en-US"/>
        </w:rPr>
      </w:pPr>
    </w:p>
    <w:p w:rsidR="009064E0" w:rsidRPr="00A06BF8" w:rsidRDefault="009064E0" w:rsidP="00093495">
      <w:pPr>
        <w:widowControl w:val="0"/>
        <w:suppressAutoHyphens w:val="0"/>
        <w:adjustRightInd w:val="0"/>
        <w:snapToGrid w:val="0"/>
        <w:spacing w:line="360" w:lineRule="auto"/>
        <w:jc w:val="both"/>
        <w:rPr>
          <w:rStyle w:val="longtext"/>
          <w:rFonts w:ascii="Book Antiqua" w:hAnsi="Book Antiqua" w:cs="Arial"/>
          <w:sz w:val="24"/>
          <w:szCs w:val="24"/>
          <w:lang w:val="en-US"/>
        </w:rPr>
      </w:pPr>
      <w:r w:rsidRPr="00A06BF8">
        <w:rPr>
          <w:rFonts w:ascii="Book Antiqua" w:hAnsi="Book Antiqua" w:cs="Arial"/>
          <w:b/>
          <w:caps/>
          <w:sz w:val="24"/>
          <w:szCs w:val="24"/>
          <w:lang w:val="en-US"/>
        </w:rPr>
        <w:lastRenderedPageBreak/>
        <w:t>Results</w:t>
      </w:r>
      <w:r w:rsidRPr="00A06BF8">
        <w:rPr>
          <w:rFonts w:ascii="Book Antiqua" w:hAnsi="Book Antiqua" w:cs="Arial"/>
          <w:b/>
          <w:sz w:val="24"/>
          <w:szCs w:val="24"/>
          <w:lang w:val="en-US"/>
        </w:rPr>
        <w:t>:</w:t>
      </w:r>
      <w:r w:rsidRPr="00A06BF8">
        <w:rPr>
          <w:rFonts w:ascii="Book Antiqua" w:hAnsi="Book Antiqua" w:cs="Arial"/>
          <w:sz w:val="24"/>
          <w:szCs w:val="24"/>
          <w:lang w:val="en-US"/>
        </w:rPr>
        <w:t xml:space="preserve"> All refractory patients carried detectable levels of </w:t>
      </w:r>
      <w:r w:rsidR="006A2B56" w:rsidRPr="00A06BF8">
        <w:rPr>
          <w:rFonts w:ascii="Book Antiqua" w:hAnsi="Book Antiqua" w:cs="Arial"/>
          <w:sz w:val="24"/>
          <w:szCs w:val="24"/>
          <w:lang w:val="en-GB"/>
        </w:rPr>
        <w:t>human Cytomegalovirus (HCMV)</w:t>
      </w:r>
      <w:r w:rsidR="006A2B56">
        <w:rPr>
          <w:rFonts w:ascii="Book Antiqua" w:eastAsiaTheme="minorEastAsia" w:hAnsi="Book Antiqua" w:cs="Arial" w:hint="eastAsia"/>
          <w:sz w:val="24"/>
          <w:szCs w:val="24"/>
          <w:lang w:val="en-GB"/>
        </w:rPr>
        <w:t xml:space="preserve"> </w:t>
      </w:r>
      <w:r w:rsidRPr="00A06BF8">
        <w:rPr>
          <w:rFonts w:ascii="Book Antiqua" w:hAnsi="Book Antiqua" w:cs="Arial"/>
          <w:sz w:val="24"/>
          <w:szCs w:val="24"/>
          <w:lang w:val="en-US"/>
        </w:rPr>
        <w:t xml:space="preserve">and/or </w:t>
      </w:r>
      <w:r w:rsidR="006A2B56" w:rsidRPr="00A06BF8">
        <w:rPr>
          <w:rFonts w:ascii="Book Antiqua" w:hAnsi="Book Antiqua" w:cs="Arial"/>
          <w:sz w:val="24"/>
          <w:szCs w:val="24"/>
          <w:lang w:val="en-GB"/>
        </w:rPr>
        <w:t>Epstein</w:t>
      </w:r>
      <w:r w:rsidR="006A2B56">
        <w:rPr>
          <w:rFonts w:ascii="Book Antiqua" w:eastAsiaTheme="minorEastAsia" w:hAnsi="Book Antiqua" w:cs="Arial" w:hint="eastAsia"/>
          <w:sz w:val="24"/>
          <w:szCs w:val="24"/>
          <w:lang w:val="en-GB"/>
        </w:rPr>
        <w:t>-</w:t>
      </w:r>
      <w:r w:rsidR="006A2B56" w:rsidRPr="00A06BF8">
        <w:rPr>
          <w:rFonts w:ascii="Book Antiqua" w:hAnsi="Book Antiqua" w:cs="Arial"/>
          <w:sz w:val="24"/>
          <w:szCs w:val="24"/>
          <w:lang w:val="en-GB"/>
        </w:rPr>
        <w:t>Barr virus (EBV)</w:t>
      </w:r>
      <w:r w:rsidR="006A2B56">
        <w:rPr>
          <w:rFonts w:ascii="Book Antiqua" w:eastAsiaTheme="minorEastAsia" w:hAnsi="Book Antiqua" w:cs="Arial" w:hint="eastAsia"/>
          <w:sz w:val="24"/>
          <w:szCs w:val="24"/>
          <w:lang w:val="en-GB"/>
        </w:rPr>
        <w:t xml:space="preserve"> </w:t>
      </w:r>
      <w:r w:rsidRPr="00A06BF8">
        <w:rPr>
          <w:rFonts w:ascii="Book Antiqua" w:hAnsi="Book Antiqua" w:cs="Arial"/>
          <w:sz w:val="24"/>
          <w:szCs w:val="24"/>
          <w:lang w:val="en-US"/>
        </w:rPr>
        <w:t>mucosal load as compared to 13/23 (56.5%) non-refractory and 13/40 (32.5%) controls. The median DNA value was significantly higher in refractory (HCMV 286 and EBV 5.440 copies/10</w:t>
      </w:r>
      <w:r w:rsidRPr="00A06BF8">
        <w:rPr>
          <w:rFonts w:ascii="Book Antiqua" w:hAnsi="Book Antiqua" w:cs="Arial"/>
          <w:sz w:val="24"/>
          <w:szCs w:val="24"/>
          <w:vertAlign w:val="superscript"/>
          <w:lang w:val="en-US"/>
        </w:rPr>
        <w:t>5</w:t>
      </w:r>
      <w:r w:rsidRPr="00A06BF8">
        <w:rPr>
          <w:rFonts w:ascii="Book Antiqua" w:hAnsi="Book Antiqua" w:cs="Arial"/>
          <w:sz w:val="24"/>
          <w:szCs w:val="24"/>
          <w:lang w:val="en-US"/>
        </w:rPr>
        <w:t xml:space="preserve"> cells)</w:t>
      </w:r>
      <w:r w:rsidRPr="00A06BF8">
        <w:rPr>
          <w:rFonts w:ascii="Book Antiqua" w:hAnsi="Book Antiqua" w:cs="Arial"/>
          <w:color w:val="FF0000"/>
          <w:sz w:val="24"/>
          <w:szCs w:val="24"/>
          <w:lang w:val="en-US"/>
        </w:rPr>
        <w:t xml:space="preserve"> </w:t>
      </w:r>
      <w:r w:rsidRPr="00A06BF8">
        <w:rPr>
          <w:rFonts w:ascii="Book Antiqua" w:hAnsi="Book Antiqua" w:cs="Arial"/>
          <w:sz w:val="24"/>
          <w:szCs w:val="24"/>
          <w:lang w:val="en-US"/>
        </w:rPr>
        <w:t>than in non-refractory (HCMV 0 and EBV 6 copies/10</w:t>
      </w:r>
      <w:r w:rsidRPr="00A06BF8">
        <w:rPr>
          <w:rFonts w:ascii="Book Antiqua" w:hAnsi="Book Antiqua" w:cs="Arial"/>
          <w:sz w:val="24"/>
          <w:szCs w:val="24"/>
          <w:vertAlign w:val="superscript"/>
          <w:lang w:val="en-US"/>
        </w:rPr>
        <w:t>5</w:t>
      </w:r>
      <w:r w:rsidRPr="00A06BF8">
        <w:rPr>
          <w:rFonts w:ascii="Book Antiqua" w:hAnsi="Book Antiqua" w:cs="Arial"/>
          <w:sz w:val="24"/>
          <w:szCs w:val="24"/>
          <w:lang w:val="en-US"/>
        </w:rPr>
        <w:t xml:space="preserve"> cells; </w:t>
      </w:r>
      <w:r w:rsidR="00A06BF8" w:rsidRPr="00A06BF8">
        <w:rPr>
          <w:rFonts w:ascii="Book Antiqua" w:hAnsi="Book Antiqua" w:cs="Arial"/>
          <w:i/>
          <w:sz w:val="24"/>
          <w:szCs w:val="24"/>
          <w:lang w:val="en-US"/>
        </w:rPr>
        <w:t xml:space="preserve">P &lt; </w:t>
      </w:r>
      <w:r w:rsidRPr="00A06BF8">
        <w:rPr>
          <w:rFonts w:ascii="Book Antiqua" w:hAnsi="Book Antiqua" w:cs="Arial"/>
          <w:sz w:val="24"/>
          <w:szCs w:val="24"/>
          <w:lang w:val="en-US"/>
        </w:rPr>
        <w:t>0.05 and &lt;</w:t>
      </w:r>
      <w:r w:rsidR="00A06BF8" w:rsidRPr="00A06BF8">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0.001) IBD patients and controls (HCMV and EBV 0 copies/10</w:t>
      </w:r>
      <w:r w:rsidRPr="00A06BF8">
        <w:rPr>
          <w:rFonts w:ascii="Book Antiqua" w:hAnsi="Book Antiqua" w:cs="Arial"/>
          <w:sz w:val="24"/>
          <w:szCs w:val="24"/>
          <w:vertAlign w:val="superscript"/>
          <w:lang w:val="en-US"/>
        </w:rPr>
        <w:t>5</w:t>
      </w:r>
      <w:r w:rsidRPr="00A06BF8">
        <w:rPr>
          <w:rFonts w:ascii="Book Antiqua" w:hAnsi="Book Antiqua" w:cs="Arial"/>
          <w:sz w:val="24"/>
          <w:szCs w:val="24"/>
          <w:lang w:val="en-US"/>
        </w:rPr>
        <w:t xml:space="preserve"> cells; </w:t>
      </w:r>
      <w:r w:rsidR="00A06BF8" w:rsidRPr="00A06BF8">
        <w:rPr>
          <w:rFonts w:ascii="Book Antiqua" w:hAnsi="Book Antiqua" w:cs="Arial"/>
          <w:i/>
          <w:sz w:val="24"/>
          <w:szCs w:val="24"/>
          <w:lang w:val="en-US"/>
        </w:rPr>
        <w:t xml:space="preserve">P &lt; </w:t>
      </w:r>
      <w:r w:rsidRPr="00A06BF8">
        <w:rPr>
          <w:rFonts w:ascii="Book Antiqua" w:hAnsi="Book Antiqua" w:cs="Arial"/>
          <w:sz w:val="24"/>
          <w:szCs w:val="24"/>
          <w:lang w:val="en-US"/>
        </w:rPr>
        <w:t xml:space="preserve">0.001 for both). Refractory patients showed DNA peak values </w:t>
      </w:r>
      <w:r w:rsidR="006A2B56" w:rsidRPr="00AA36EB">
        <w:rPr>
          <w:rFonts w:ascii="Book Antiqua" w:hAnsi="Book Antiqua"/>
          <w:sz w:val="24"/>
          <w:szCs w:val="24"/>
          <w:lang w:val="en-US"/>
        </w:rPr>
        <w:t>≥</w:t>
      </w:r>
      <w:r w:rsidR="006A2B56" w:rsidRPr="006A2B56">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10</w:t>
      </w:r>
      <w:r w:rsidRPr="00A06BF8">
        <w:rPr>
          <w:rFonts w:ascii="Book Antiqua" w:hAnsi="Book Antiqua" w:cs="Arial"/>
          <w:sz w:val="24"/>
          <w:szCs w:val="24"/>
          <w:vertAlign w:val="superscript"/>
          <w:lang w:val="en-US"/>
        </w:rPr>
        <w:t xml:space="preserve">3 </w:t>
      </w:r>
      <w:r w:rsidRPr="00A06BF8">
        <w:rPr>
          <w:rFonts w:ascii="Book Antiqua" w:hAnsi="Book Antiqua" w:cs="Arial"/>
          <w:sz w:val="24"/>
          <w:szCs w:val="24"/>
          <w:lang w:val="en-US"/>
        </w:rPr>
        <w:t>copies/10</w:t>
      </w:r>
      <w:r w:rsidRPr="00A06BF8">
        <w:rPr>
          <w:rFonts w:ascii="Book Antiqua" w:hAnsi="Book Antiqua" w:cs="Arial"/>
          <w:sz w:val="24"/>
          <w:szCs w:val="24"/>
          <w:vertAlign w:val="superscript"/>
          <w:lang w:val="en-US"/>
        </w:rPr>
        <w:t>5</w:t>
      </w:r>
      <w:r w:rsidRPr="00A06BF8">
        <w:rPr>
          <w:rFonts w:ascii="Book Antiqua" w:hAnsi="Book Antiqua" w:cs="Arial"/>
          <w:sz w:val="24"/>
          <w:szCs w:val="24"/>
          <w:lang w:val="en-US"/>
        </w:rPr>
        <w:t xml:space="preserve"> cells in diseased mucosa in comparison to non-diseased mucosa (</w:t>
      </w:r>
      <w:r w:rsidR="00A06BF8" w:rsidRPr="00A06BF8">
        <w:rPr>
          <w:rFonts w:ascii="Book Antiqua" w:hAnsi="Book Antiqua" w:cs="Arial"/>
          <w:i/>
          <w:sz w:val="24"/>
          <w:szCs w:val="24"/>
          <w:lang w:val="en-US"/>
        </w:rPr>
        <w:t xml:space="preserve">P &lt; </w:t>
      </w:r>
      <w:r w:rsidRPr="00A06BF8">
        <w:rPr>
          <w:rFonts w:ascii="Book Antiqua" w:hAnsi="Book Antiqua" w:cs="Arial"/>
          <w:sz w:val="24"/>
          <w:szCs w:val="24"/>
          <w:lang w:val="en-US"/>
        </w:rPr>
        <w:t>0.0121 for HCMV and &lt;</w:t>
      </w:r>
      <w:r w:rsidR="00A06BF8" w:rsidRPr="00A06BF8">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0.0004 for EBV), while non-refractory patients and controls invariably displayed levels below this threshold, thus allowing us to differentiate viral colitis from mucosal infection. Moreover, the mucosal load positively correlated with the values found in the peripheral blood, whilst no correlation with the number of positive cells at immunohistochemistry was found. Steroid use was identified as a significant risk factor for both HCMV (</w:t>
      </w:r>
      <w:r w:rsidRPr="00A06BF8">
        <w:rPr>
          <w:rFonts w:ascii="Book Antiqua" w:hAnsi="Book Antiqua" w:cs="Arial"/>
          <w:i/>
          <w:sz w:val="24"/>
          <w:szCs w:val="24"/>
          <w:lang w:val="en-US"/>
        </w:rPr>
        <w:t>P</w:t>
      </w:r>
      <w:r w:rsidR="00A06BF8" w:rsidRPr="00A06BF8">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w:t>
      </w:r>
      <w:r w:rsidR="00A06BF8" w:rsidRPr="00A06BF8">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0.018) and EBV (</w:t>
      </w:r>
      <w:r w:rsidRPr="00A06BF8">
        <w:rPr>
          <w:rFonts w:ascii="Book Antiqua" w:hAnsi="Book Antiqua" w:cs="Arial"/>
          <w:i/>
          <w:sz w:val="24"/>
          <w:szCs w:val="24"/>
          <w:lang w:val="en-US"/>
        </w:rPr>
        <w:t>P</w:t>
      </w:r>
      <w:r w:rsidR="00A06BF8" w:rsidRPr="00A06BF8">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w:t>
      </w:r>
      <w:r w:rsidR="00A06BF8" w:rsidRPr="00A06BF8">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0.002) colitis</w:t>
      </w:r>
      <w:r w:rsidRPr="00A06BF8">
        <w:rPr>
          <w:rStyle w:val="longtext"/>
          <w:rFonts w:ascii="Book Antiqua" w:hAnsi="Book Antiqua" w:cs="Arial"/>
          <w:sz w:val="24"/>
          <w:szCs w:val="24"/>
          <w:lang w:val="en-US"/>
        </w:rPr>
        <w:t xml:space="preserve">. Finally, a course of specific antiviral therapy with ganciclovir was successful in all refractory patients with HCMV colitis, whilst </w:t>
      </w:r>
      <w:r w:rsidRPr="00A06BF8">
        <w:rPr>
          <w:rFonts w:ascii="Book Antiqua" w:hAnsi="Book Antiqua" w:cs="Arial"/>
          <w:sz w:val="24"/>
          <w:szCs w:val="24"/>
          <w:lang w:val="en-US"/>
        </w:rPr>
        <w:t>refractory patients with EBV colitis did not show any improvement despite steroid tapering and discontinuation of the other medications.</w:t>
      </w:r>
    </w:p>
    <w:p w:rsidR="00A06BF8" w:rsidRPr="00A06BF8" w:rsidRDefault="00A06BF8" w:rsidP="00093495">
      <w:pPr>
        <w:widowControl w:val="0"/>
        <w:suppressAutoHyphens w:val="0"/>
        <w:adjustRightInd w:val="0"/>
        <w:snapToGrid w:val="0"/>
        <w:spacing w:line="360" w:lineRule="auto"/>
        <w:jc w:val="both"/>
        <w:rPr>
          <w:rFonts w:ascii="Book Antiqua" w:eastAsiaTheme="minorEastAsia" w:hAnsi="Book Antiqua" w:cs="Arial"/>
          <w:b/>
          <w:caps/>
          <w:sz w:val="24"/>
          <w:szCs w:val="24"/>
          <w:lang w:val="en-US"/>
        </w:rPr>
      </w:pPr>
    </w:p>
    <w:p w:rsidR="009064E0" w:rsidRPr="00A06BF8" w:rsidRDefault="00A06BF8"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b/>
          <w:caps/>
          <w:sz w:val="24"/>
          <w:szCs w:val="24"/>
          <w:lang w:val="en-US"/>
        </w:rPr>
        <w:t>Conclusion</w:t>
      </w:r>
      <w:r w:rsidR="009064E0" w:rsidRPr="00A06BF8">
        <w:rPr>
          <w:rFonts w:ascii="Book Antiqua" w:hAnsi="Book Antiqua" w:cs="Arial"/>
          <w:b/>
          <w:sz w:val="24"/>
          <w:szCs w:val="24"/>
          <w:lang w:val="en-US"/>
        </w:rPr>
        <w:t xml:space="preserve">: </w:t>
      </w:r>
      <w:r w:rsidR="009064E0" w:rsidRPr="00A06BF8">
        <w:rPr>
          <w:rFonts w:ascii="Book Antiqua" w:hAnsi="Book Antiqua" w:cs="Arial"/>
          <w:sz w:val="24"/>
          <w:szCs w:val="24"/>
          <w:lang w:val="en-US"/>
        </w:rPr>
        <w:t xml:space="preserve">Viral colitis appeared to contribute to mucosal lesions in refractory IBD, and its correct diagnosis and management require quantitative real-time </w:t>
      </w:r>
      <w:r w:rsidR="001F4B5B" w:rsidRPr="00A06BF8">
        <w:rPr>
          <w:rFonts w:ascii="Book Antiqua" w:hAnsi="Book Antiqua" w:cs="Arial"/>
          <w:sz w:val="24"/>
          <w:szCs w:val="24"/>
          <w:lang w:val="en-US"/>
        </w:rPr>
        <w:t xml:space="preserve">polymerase chain reaction </w:t>
      </w:r>
      <w:r w:rsidR="009064E0" w:rsidRPr="00A06BF8">
        <w:rPr>
          <w:rFonts w:ascii="Book Antiqua" w:hAnsi="Book Antiqua" w:cs="Arial"/>
          <w:sz w:val="24"/>
          <w:szCs w:val="24"/>
          <w:lang w:val="en-US"/>
        </w:rPr>
        <w:t>assay of mucosal specimens</w:t>
      </w:r>
      <w:r w:rsidR="009064E0" w:rsidRPr="00A06BF8">
        <w:rPr>
          <w:rStyle w:val="longtext"/>
          <w:rFonts w:ascii="Book Antiqua" w:hAnsi="Book Antiqua" w:cs="Arial"/>
          <w:sz w:val="24"/>
          <w:szCs w:val="24"/>
          <w:lang w:val="en-US"/>
        </w:rPr>
        <w:t>.</w:t>
      </w:r>
    </w:p>
    <w:p w:rsidR="009064E0" w:rsidRPr="00A06BF8" w:rsidRDefault="009064E0" w:rsidP="00093495">
      <w:pPr>
        <w:widowControl w:val="0"/>
        <w:suppressAutoHyphens w:val="0"/>
        <w:autoSpaceDE w:val="0"/>
        <w:autoSpaceDN w:val="0"/>
        <w:adjustRightInd w:val="0"/>
        <w:snapToGrid w:val="0"/>
        <w:spacing w:line="360" w:lineRule="auto"/>
        <w:jc w:val="both"/>
        <w:rPr>
          <w:rFonts w:ascii="Book Antiqua" w:hAnsi="Book Antiqua" w:cs="Arial"/>
          <w:b/>
          <w:bCs/>
          <w:sz w:val="24"/>
          <w:szCs w:val="24"/>
          <w:lang w:val="en-US"/>
        </w:rPr>
      </w:pPr>
    </w:p>
    <w:p w:rsidR="006A2B56" w:rsidRDefault="006A2B56" w:rsidP="00093495">
      <w:pPr>
        <w:adjustRightInd w:val="0"/>
        <w:snapToGrid w:val="0"/>
        <w:spacing w:line="360" w:lineRule="auto"/>
        <w:jc w:val="both"/>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rsidR="006A2B56" w:rsidRPr="008E267B" w:rsidRDefault="006A2B56" w:rsidP="00093495">
      <w:pPr>
        <w:adjustRightInd w:val="0"/>
        <w:snapToGrid w:val="0"/>
        <w:spacing w:line="360" w:lineRule="auto"/>
        <w:jc w:val="both"/>
        <w:rPr>
          <w:rFonts w:ascii="Book Antiqua" w:hAnsi="Book Antiqua"/>
          <w:color w:val="000000"/>
          <w:sz w:val="24"/>
          <w:lang w:val="en"/>
        </w:rPr>
      </w:pPr>
    </w:p>
    <w:p w:rsidR="009064E0" w:rsidRPr="006A2B56" w:rsidRDefault="006A2B56" w:rsidP="00093495">
      <w:pPr>
        <w:widowControl w:val="0"/>
        <w:suppressAutoHyphens w:val="0"/>
        <w:autoSpaceDE w:val="0"/>
        <w:adjustRightInd w:val="0"/>
        <w:snapToGrid w:val="0"/>
        <w:spacing w:line="360" w:lineRule="auto"/>
        <w:jc w:val="both"/>
        <w:rPr>
          <w:rFonts w:ascii="Book Antiqua" w:eastAsiaTheme="minorEastAsia" w:hAnsi="Book Antiqua" w:cs="Arial"/>
          <w:sz w:val="24"/>
          <w:szCs w:val="24"/>
          <w:lang w:val="en-US"/>
        </w:rPr>
      </w:pPr>
      <w:r w:rsidRPr="008E267B">
        <w:rPr>
          <w:rFonts w:ascii="Book Antiqua" w:hAnsi="Book Antiqua"/>
          <w:b/>
          <w:sz w:val="24"/>
        </w:rPr>
        <w:t>Key words:</w:t>
      </w:r>
      <w:r w:rsidR="009064E0" w:rsidRPr="00A06BF8">
        <w:rPr>
          <w:rFonts w:ascii="Book Antiqua" w:hAnsi="Book Antiqua" w:cs="Arial"/>
          <w:sz w:val="24"/>
          <w:szCs w:val="24"/>
          <w:lang w:val="en-US"/>
        </w:rPr>
        <w:t xml:space="preserve"> Inflammatory bowel disease; </w:t>
      </w:r>
      <w:r w:rsidR="009064E0" w:rsidRPr="006A2B56">
        <w:rPr>
          <w:rFonts w:ascii="Book Antiqua" w:hAnsi="Book Antiqua" w:cs="Arial"/>
          <w:caps/>
          <w:sz w:val="24"/>
          <w:szCs w:val="24"/>
          <w:lang w:val="en-US"/>
        </w:rPr>
        <w:t>q</w:t>
      </w:r>
      <w:r w:rsidR="009064E0" w:rsidRPr="00A06BF8">
        <w:rPr>
          <w:rFonts w:ascii="Book Antiqua" w:hAnsi="Book Antiqua" w:cs="Arial"/>
          <w:sz w:val="24"/>
          <w:szCs w:val="24"/>
          <w:lang w:val="en-US"/>
        </w:rPr>
        <w:t xml:space="preserve">uantitative real-time </w:t>
      </w:r>
      <w:r w:rsidR="001F4B5B" w:rsidRPr="00A06BF8">
        <w:rPr>
          <w:rFonts w:ascii="Book Antiqua" w:hAnsi="Book Antiqua" w:cs="Arial"/>
          <w:sz w:val="24"/>
          <w:szCs w:val="24"/>
          <w:lang w:val="en-US"/>
        </w:rPr>
        <w:t>polymerase chain reaction</w:t>
      </w:r>
      <w:r w:rsidR="009064E0" w:rsidRPr="00A06BF8">
        <w:rPr>
          <w:rFonts w:ascii="Book Antiqua" w:hAnsi="Book Antiqua" w:cs="Arial"/>
          <w:sz w:val="24"/>
          <w:szCs w:val="24"/>
          <w:lang w:val="en-US"/>
        </w:rPr>
        <w:t xml:space="preserve">; </w:t>
      </w:r>
      <w:r w:rsidR="009064E0" w:rsidRPr="006A2B56">
        <w:rPr>
          <w:rFonts w:ascii="Book Antiqua" w:hAnsi="Book Antiqua" w:cs="Arial"/>
          <w:caps/>
          <w:sz w:val="24"/>
          <w:szCs w:val="24"/>
          <w:lang w:val="en-US"/>
        </w:rPr>
        <w:t>s</w:t>
      </w:r>
      <w:r w:rsidR="009064E0" w:rsidRPr="00A06BF8">
        <w:rPr>
          <w:rFonts w:ascii="Book Antiqua" w:hAnsi="Book Antiqua" w:cs="Arial"/>
          <w:sz w:val="24"/>
          <w:szCs w:val="24"/>
          <w:lang w:val="en-US"/>
        </w:rPr>
        <w:t xml:space="preserve">teroid therapy; </w:t>
      </w:r>
      <w:r w:rsidR="009064E0" w:rsidRPr="006A2B56">
        <w:rPr>
          <w:rFonts w:ascii="Book Antiqua" w:hAnsi="Book Antiqua" w:cs="Arial"/>
          <w:caps/>
          <w:sz w:val="24"/>
          <w:szCs w:val="24"/>
          <w:lang w:val="en-US"/>
        </w:rPr>
        <w:t>r</w:t>
      </w:r>
      <w:r w:rsidR="009064E0" w:rsidRPr="00A06BF8">
        <w:rPr>
          <w:rFonts w:ascii="Book Antiqua" w:hAnsi="Book Antiqua" w:cs="Arial"/>
          <w:sz w:val="24"/>
          <w:szCs w:val="24"/>
          <w:lang w:val="en-US"/>
        </w:rPr>
        <w:t xml:space="preserve">efractory; </w:t>
      </w:r>
      <w:r w:rsidR="009064E0" w:rsidRPr="006A2B56">
        <w:rPr>
          <w:rFonts w:ascii="Book Antiqua" w:hAnsi="Book Antiqua" w:cs="Arial"/>
          <w:caps/>
          <w:sz w:val="24"/>
          <w:szCs w:val="24"/>
          <w:lang w:val="en-US"/>
        </w:rPr>
        <w:t>v</w:t>
      </w:r>
      <w:r>
        <w:rPr>
          <w:rFonts w:ascii="Book Antiqua" w:hAnsi="Book Antiqua" w:cs="Arial"/>
          <w:sz w:val="24"/>
          <w:szCs w:val="24"/>
          <w:lang w:val="en-US"/>
        </w:rPr>
        <w:t>iral infection</w:t>
      </w:r>
    </w:p>
    <w:p w:rsidR="009064E0" w:rsidRPr="00A06BF8" w:rsidRDefault="009064E0" w:rsidP="00093495">
      <w:pPr>
        <w:widowControl w:val="0"/>
        <w:suppressAutoHyphens w:val="0"/>
        <w:autoSpaceDE w:val="0"/>
        <w:adjustRightInd w:val="0"/>
        <w:snapToGrid w:val="0"/>
        <w:spacing w:line="360" w:lineRule="auto"/>
        <w:jc w:val="both"/>
        <w:rPr>
          <w:rFonts w:ascii="Book Antiqua" w:hAnsi="Book Antiqua" w:cs="Arial"/>
          <w:b/>
          <w:sz w:val="24"/>
          <w:szCs w:val="24"/>
          <w:lang w:val="en-US"/>
        </w:rPr>
      </w:pPr>
    </w:p>
    <w:p w:rsidR="009064E0" w:rsidRPr="006A2B56" w:rsidRDefault="006A2B56" w:rsidP="00093495">
      <w:pPr>
        <w:widowControl w:val="0"/>
        <w:suppressAutoHyphens w:val="0"/>
        <w:autoSpaceDE w:val="0"/>
        <w:adjustRightInd w:val="0"/>
        <w:snapToGrid w:val="0"/>
        <w:spacing w:line="360" w:lineRule="auto"/>
        <w:jc w:val="both"/>
        <w:rPr>
          <w:rFonts w:ascii="Book Antiqua" w:eastAsiaTheme="minorEastAsia" w:hAnsi="Book Antiqua" w:cs="Arial"/>
          <w:b/>
          <w:sz w:val="24"/>
          <w:szCs w:val="24"/>
          <w:lang w:val="en-US"/>
        </w:rPr>
      </w:pPr>
      <w:r w:rsidRPr="00A06BF8">
        <w:rPr>
          <w:rFonts w:ascii="Book Antiqua" w:hAnsi="Book Antiqua" w:cs="Arial"/>
          <w:b/>
          <w:sz w:val="24"/>
          <w:szCs w:val="24"/>
          <w:lang w:val="en-US"/>
        </w:rPr>
        <w:t>Core tip</w:t>
      </w:r>
      <w:r>
        <w:rPr>
          <w:rFonts w:ascii="Book Antiqua" w:eastAsiaTheme="minorEastAsia" w:hAnsi="Book Antiqua" w:cs="Arial" w:hint="eastAsia"/>
          <w:b/>
          <w:sz w:val="24"/>
          <w:szCs w:val="24"/>
          <w:lang w:val="en-US"/>
        </w:rPr>
        <w:t xml:space="preserve">: </w:t>
      </w:r>
      <w:r w:rsidR="009064E0" w:rsidRPr="00A06BF8">
        <w:rPr>
          <w:rFonts w:ascii="Book Antiqua" w:hAnsi="Book Antiqua" w:cs="Arial"/>
          <w:sz w:val="24"/>
          <w:szCs w:val="24"/>
          <w:lang w:val="en-GB"/>
        </w:rPr>
        <w:t>This study investigated the presence of human Cytomegalovirus and Epstein</w:t>
      </w:r>
      <w:r w:rsidR="001F4B5B">
        <w:rPr>
          <w:rFonts w:ascii="Book Antiqua" w:eastAsiaTheme="minorEastAsia" w:hAnsi="Book Antiqua" w:cs="Arial" w:hint="eastAsia"/>
          <w:sz w:val="24"/>
          <w:szCs w:val="24"/>
          <w:lang w:val="en-GB"/>
        </w:rPr>
        <w:t>-</w:t>
      </w:r>
      <w:r w:rsidR="009064E0" w:rsidRPr="00A06BF8">
        <w:rPr>
          <w:rFonts w:ascii="Book Antiqua" w:hAnsi="Book Antiqua" w:cs="Arial"/>
          <w:sz w:val="24"/>
          <w:szCs w:val="24"/>
          <w:lang w:val="en-GB"/>
        </w:rPr>
        <w:t>Barr virus (EBV) infection in patients with refractory and non-refractory inflammatory bowel disease (IBD). We identified q</w:t>
      </w:r>
      <w:proofErr w:type="spellStart"/>
      <w:r w:rsidR="009064E0" w:rsidRPr="00A06BF8">
        <w:rPr>
          <w:rFonts w:ascii="Book Antiqua" w:hAnsi="Book Antiqua" w:cs="Arial"/>
          <w:sz w:val="24"/>
          <w:szCs w:val="24"/>
          <w:lang w:val="en-US"/>
        </w:rPr>
        <w:t>uantitative</w:t>
      </w:r>
      <w:proofErr w:type="spellEnd"/>
      <w:r w:rsidR="009064E0" w:rsidRPr="00A06BF8">
        <w:rPr>
          <w:rFonts w:ascii="Book Antiqua" w:hAnsi="Book Antiqua" w:cs="Arial"/>
          <w:sz w:val="24"/>
          <w:szCs w:val="24"/>
          <w:lang w:val="en-US"/>
        </w:rPr>
        <w:t xml:space="preserve"> real-time </w:t>
      </w:r>
      <w:r w:rsidR="00921D84" w:rsidRPr="00A06BF8">
        <w:rPr>
          <w:rFonts w:ascii="Book Antiqua" w:hAnsi="Book Antiqua" w:cs="Arial"/>
          <w:sz w:val="24"/>
          <w:szCs w:val="24"/>
          <w:lang w:val="en-US"/>
        </w:rPr>
        <w:t xml:space="preserve">polymerase chain reaction </w:t>
      </w:r>
      <w:r w:rsidR="009064E0" w:rsidRPr="00A06BF8">
        <w:rPr>
          <w:rFonts w:ascii="Book Antiqua" w:hAnsi="Book Antiqua" w:cs="Arial"/>
          <w:sz w:val="24"/>
          <w:szCs w:val="24"/>
          <w:lang w:val="en-US"/>
        </w:rPr>
        <w:t xml:space="preserve">assay of mucosal specimens as the best diagnostic technique. This allowed us to distinguish between viral colitis and infection through the identification of a cutoff value. All refractory IBD patients carried the highest mucosal viral loads, which correlated with the </w:t>
      </w:r>
      <w:r w:rsidR="009064E0" w:rsidRPr="00A06BF8">
        <w:rPr>
          <w:rFonts w:ascii="Book Antiqua" w:hAnsi="Book Antiqua" w:cs="Arial"/>
          <w:sz w:val="24"/>
          <w:szCs w:val="24"/>
          <w:lang w:val="en-US"/>
        </w:rPr>
        <w:lastRenderedPageBreak/>
        <w:t xml:space="preserve">severity of mucosal damage and endoscopic activity. EBV infection was the most prevalent. Finally, steroid therapy was identified as a significant risk factor for viral colitis. </w:t>
      </w:r>
    </w:p>
    <w:p w:rsidR="001F4B5B" w:rsidRDefault="001F4B5B" w:rsidP="00093495">
      <w:pPr>
        <w:widowControl w:val="0"/>
        <w:suppressAutoHyphens w:val="0"/>
        <w:autoSpaceDE w:val="0"/>
        <w:adjustRightInd w:val="0"/>
        <w:snapToGrid w:val="0"/>
        <w:spacing w:line="360" w:lineRule="auto"/>
        <w:jc w:val="both"/>
        <w:rPr>
          <w:rFonts w:ascii="Book Antiqua" w:eastAsiaTheme="minorEastAsia" w:hAnsi="Book Antiqua" w:cs="Arial"/>
          <w:b/>
          <w:sz w:val="24"/>
          <w:szCs w:val="24"/>
          <w:lang w:val="en-US"/>
        </w:rPr>
      </w:pPr>
    </w:p>
    <w:p w:rsidR="00F31E96" w:rsidRPr="00F31E96" w:rsidRDefault="00F31E96" w:rsidP="00093495">
      <w:pPr>
        <w:widowControl w:val="0"/>
        <w:suppressAutoHyphens w:val="0"/>
        <w:adjustRightInd w:val="0"/>
        <w:snapToGrid w:val="0"/>
        <w:spacing w:line="360" w:lineRule="auto"/>
        <w:jc w:val="both"/>
        <w:rPr>
          <w:rFonts w:ascii="Book Antiqua" w:eastAsiaTheme="minorEastAsia" w:hAnsi="Book Antiqua" w:cs="Arial"/>
          <w:sz w:val="24"/>
          <w:szCs w:val="24"/>
          <w:lang w:val="en-US"/>
        </w:rPr>
      </w:pPr>
      <w:r w:rsidRPr="00A06BF8">
        <w:rPr>
          <w:rFonts w:ascii="Book Antiqua" w:hAnsi="Book Antiqua" w:cs="Arial"/>
          <w:sz w:val="24"/>
          <w:szCs w:val="24"/>
        </w:rPr>
        <w:t>Ciccocioppo</w:t>
      </w:r>
      <w:r>
        <w:rPr>
          <w:rFonts w:ascii="Book Antiqua" w:eastAsiaTheme="minorEastAsia" w:hAnsi="Book Antiqua" w:cs="Arial" w:hint="eastAsia"/>
          <w:sz w:val="24"/>
          <w:szCs w:val="24"/>
        </w:rPr>
        <w:t xml:space="preserve"> R</w:t>
      </w:r>
      <w:r w:rsidRPr="00A06BF8">
        <w:rPr>
          <w:rFonts w:ascii="Book Antiqua" w:hAnsi="Book Antiqua" w:cs="Arial"/>
          <w:sz w:val="24"/>
          <w:szCs w:val="24"/>
        </w:rPr>
        <w:t>, Racca</w:t>
      </w:r>
      <w:r>
        <w:rPr>
          <w:rFonts w:ascii="Book Antiqua" w:eastAsiaTheme="minorEastAsia" w:hAnsi="Book Antiqua" w:cs="Arial" w:hint="eastAsia"/>
          <w:sz w:val="24"/>
          <w:szCs w:val="24"/>
        </w:rPr>
        <w:t xml:space="preserve"> F</w:t>
      </w:r>
      <w:r w:rsidRPr="00A06BF8">
        <w:rPr>
          <w:rFonts w:ascii="Book Antiqua" w:hAnsi="Book Antiqua" w:cs="Arial"/>
          <w:sz w:val="24"/>
          <w:szCs w:val="24"/>
        </w:rPr>
        <w:t>, Paolucci</w:t>
      </w:r>
      <w:r>
        <w:rPr>
          <w:rFonts w:ascii="Book Antiqua" w:eastAsiaTheme="minorEastAsia" w:hAnsi="Book Antiqua" w:cs="Arial" w:hint="eastAsia"/>
          <w:sz w:val="24"/>
          <w:szCs w:val="24"/>
        </w:rPr>
        <w:t xml:space="preserve"> S</w:t>
      </w:r>
      <w:r w:rsidRPr="00A06BF8">
        <w:rPr>
          <w:rFonts w:ascii="Book Antiqua" w:hAnsi="Book Antiqua" w:cs="Arial"/>
          <w:sz w:val="24"/>
          <w:szCs w:val="24"/>
        </w:rPr>
        <w:t>, Campanini</w:t>
      </w:r>
      <w:r>
        <w:rPr>
          <w:rFonts w:ascii="Book Antiqua" w:eastAsiaTheme="minorEastAsia" w:hAnsi="Book Antiqua" w:cs="Arial" w:hint="eastAsia"/>
          <w:sz w:val="24"/>
          <w:szCs w:val="24"/>
        </w:rPr>
        <w:t xml:space="preserve"> G</w:t>
      </w:r>
      <w:r w:rsidRPr="00A06BF8">
        <w:rPr>
          <w:rFonts w:ascii="Book Antiqua" w:hAnsi="Book Antiqua" w:cs="Arial"/>
          <w:sz w:val="24"/>
          <w:szCs w:val="24"/>
        </w:rPr>
        <w:t>, Pozzi</w:t>
      </w:r>
      <w:r>
        <w:rPr>
          <w:rFonts w:ascii="Book Antiqua" w:eastAsiaTheme="minorEastAsia" w:hAnsi="Book Antiqua" w:cs="Arial" w:hint="eastAsia"/>
          <w:sz w:val="24"/>
          <w:szCs w:val="24"/>
        </w:rPr>
        <w:t xml:space="preserve"> L</w:t>
      </w:r>
      <w:r w:rsidRPr="00A06BF8">
        <w:rPr>
          <w:rFonts w:ascii="Book Antiqua" w:hAnsi="Book Antiqua" w:cs="Arial"/>
          <w:sz w:val="24"/>
          <w:szCs w:val="24"/>
        </w:rPr>
        <w:t>, Betti</w:t>
      </w:r>
      <w:r>
        <w:rPr>
          <w:rFonts w:ascii="Book Antiqua" w:eastAsiaTheme="minorEastAsia" w:hAnsi="Book Antiqua" w:cs="Arial" w:hint="eastAsia"/>
          <w:sz w:val="24"/>
          <w:szCs w:val="24"/>
        </w:rPr>
        <w:t xml:space="preserve"> E</w:t>
      </w:r>
      <w:r w:rsidRPr="00A06BF8">
        <w:rPr>
          <w:rFonts w:ascii="Book Antiqua" w:hAnsi="Book Antiqua" w:cs="Arial"/>
          <w:sz w:val="24"/>
          <w:szCs w:val="24"/>
        </w:rPr>
        <w:t>, Riboni</w:t>
      </w:r>
      <w:r>
        <w:rPr>
          <w:rFonts w:ascii="Book Antiqua" w:eastAsiaTheme="minorEastAsia" w:hAnsi="Book Antiqua" w:cs="Arial" w:hint="eastAsia"/>
          <w:sz w:val="24"/>
          <w:szCs w:val="24"/>
        </w:rPr>
        <w:t xml:space="preserve"> R</w:t>
      </w:r>
      <w:r w:rsidRPr="00A06BF8">
        <w:rPr>
          <w:rFonts w:ascii="Book Antiqua" w:hAnsi="Book Antiqua" w:cs="Arial"/>
          <w:sz w:val="24"/>
          <w:szCs w:val="24"/>
        </w:rPr>
        <w:t>, Vanoli</w:t>
      </w:r>
      <w:r>
        <w:rPr>
          <w:rFonts w:ascii="Book Antiqua" w:eastAsiaTheme="minorEastAsia" w:hAnsi="Book Antiqua" w:cs="Arial" w:hint="eastAsia"/>
          <w:sz w:val="24"/>
          <w:szCs w:val="24"/>
        </w:rPr>
        <w:t xml:space="preserve"> A</w:t>
      </w:r>
      <w:r w:rsidRPr="00A06BF8">
        <w:rPr>
          <w:rFonts w:ascii="Book Antiqua" w:hAnsi="Book Antiqua" w:cs="Arial"/>
          <w:sz w:val="24"/>
          <w:szCs w:val="24"/>
        </w:rPr>
        <w:t>, Baldanti</w:t>
      </w:r>
      <w:r>
        <w:rPr>
          <w:rFonts w:ascii="Book Antiqua" w:eastAsiaTheme="minorEastAsia" w:hAnsi="Book Antiqua" w:cs="Arial" w:hint="eastAsia"/>
          <w:sz w:val="24"/>
          <w:szCs w:val="24"/>
        </w:rPr>
        <w:t xml:space="preserve"> F</w:t>
      </w:r>
      <w:r w:rsidRPr="00A06BF8">
        <w:rPr>
          <w:rFonts w:ascii="Book Antiqua" w:hAnsi="Book Antiqua" w:cs="Arial"/>
          <w:sz w:val="24"/>
          <w:szCs w:val="24"/>
        </w:rPr>
        <w:t xml:space="preserve">, Corazza </w:t>
      </w:r>
      <w:r>
        <w:rPr>
          <w:rFonts w:ascii="Book Antiqua" w:eastAsiaTheme="minorEastAsia" w:hAnsi="Book Antiqua" w:cs="Arial" w:hint="eastAsia"/>
          <w:sz w:val="24"/>
          <w:szCs w:val="24"/>
        </w:rPr>
        <w:t xml:space="preserve">GR. </w:t>
      </w:r>
      <w:r w:rsidRPr="00F31E96">
        <w:rPr>
          <w:rFonts w:ascii="Book Antiqua" w:hAnsi="Book Antiqua" w:cs="Arial"/>
          <w:caps/>
          <w:sz w:val="24"/>
          <w:szCs w:val="24"/>
          <w:lang w:val="en-US"/>
        </w:rPr>
        <w:t>h</w:t>
      </w:r>
      <w:r w:rsidRPr="00F31E96">
        <w:rPr>
          <w:rFonts w:ascii="Book Antiqua" w:hAnsi="Book Antiqua" w:cs="Arial"/>
          <w:sz w:val="24"/>
          <w:szCs w:val="24"/>
          <w:lang w:val="en-US"/>
        </w:rPr>
        <w:t xml:space="preserve">uman cytomegalovirus and </w:t>
      </w:r>
      <w:r w:rsidRPr="00F31E96">
        <w:rPr>
          <w:rFonts w:ascii="Book Antiqua" w:hAnsi="Book Antiqua" w:cs="Arial"/>
          <w:caps/>
          <w:sz w:val="24"/>
          <w:szCs w:val="24"/>
          <w:lang w:val="en-US"/>
        </w:rPr>
        <w:t>e</w:t>
      </w:r>
      <w:r w:rsidRPr="00F31E96">
        <w:rPr>
          <w:rFonts w:ascii="Book Antiqua" w:hAnsi="Book Antiqua" w:cs="Arial"/>
          <w:sz w:val="24"/>
          <w:szCs w:val="24"/>
          <w:lang w:val="en-US"/>
        </w:rPr>
        <w:t>pstein-</w:t>
      </w:r>
      <w:r w:rsidRPr="00F31E96">
        <w:rPr>
          <w:rFonts w:ascii="Book Antiqua" w:hAnsi="Book Antiqua" w:cs="Arial"/>
          <w:caps/>
          <w:sz w:val="24"/>
          <w:szCs w:val="24"/>
          <w:lang w:val="en-US"/>
        </w:rPr>
        <w:t>b</w:t>
      </w:r>
      <w:r w:rsidRPr="00F31E96">
        <w:rPr>
          <w:rFonts w:ascii="Book Antiqua" w:hAnsi="Book Antiqua" w:cs="Arial"/>
          <w:sz w:val="24"/>
          <w:szCs w:val="24"/>
          <w:lang w:val="en-US"/>
        </w:rPr>
        <w:t xml:space="preserve">arr virus infection in inflammatory bowel disease: </w:t>
      </w:r>
      <w:r w:rsidRPr="00F31E96">
        <w:rPr>
          <w:rFonts w:ascii="Book Antiqua" w:hAnsi="Book Antiqua" w:cs="Arial"/>
          <w:caps/>
          <w:sz w:val="24"/>
          <w:szCs w:val="24"/>
          <w:lang w:val="en-US"/>
        </w:rPr>
        <w:t>n</w:t>
      </w:r>
      <w:r w:rsidRPr="00F31E96">
        <w:rPr>
          <w:rFonts w:ascii="Book Antiqua" w:hAnsi="Book Antiqua" w:cs="Arial"/>
          <w:sz w:val="24"/>
          <w:szCs w:val="24"/>
          <w:lang w:val="en-US"/>
        </w:rPr>
        <w:t>eed for mucosal viral load measurement</w:t>
      </w:r>
      <w:r>
        <w:rPr>
          <w:rFonts w:ascii="Book Antiqua" w:eastAsiaTheme="minorEastAsia" w:hAnsi="Book Antiqua" w:cs="Arial" w:hint="eastAsia"/>
          <w:sz w:val="24"/>
          <w:szCs w:val="24"/>
          <w:lang w:val="en-US"/>
        </w:rPr>
        <w:t xml:space="preserve">. </w:t>
      </w:r>
      <w:r w:rsidRPr="00F31E96">
        <w:rPr>
          <w:rFonts w:ascii="Book Antiqua" w:eastAsiaTheme="minorEastAsia" w:hAnsi="Book Antiqua" w:cs="Arial"/>
          <w:i/>
          <w:sz w:val="24"/>
          <w:szCs w:val="24"/>
          <w:lang w:val="en-US"/>
        </w:rPr>
        <w:t xml:space="preserve">World J </w:t>
      </w:r>
      <w:proofErr w:type="spellStart"/>
      <w:r w:rsidRPr="00F31E96">
        <w:rPr>
          <w:rFonts w:ascii="Book Antiqua" w:eastAsiaTheme="minorEastAsia" w:hAnsi="Book Antiqua" w:cs="Arial"/>
          <w:i/>
          <w:sz w:val="24"/>
          <w:szCs w:val="24"/>
          <w:lang w:val="en-US"/>
        </w:rPr>
        <w:t>Gastroenterol</w:t>
      </w:r>
      <w:proofErr w:type="spellEnd"/>
      <w:r w:rsidRPr="00F31E96">
        <w:rPr>
          <w:rFonts w:ascii="Book Antiqua" w:eastAsiaTheme="minorEastAsia" w:hAnsi="Book Antiqua" w:cs="Arial"/>
          <w:sz w:val="24"/>
          <w:szCs w:val="24"/>
          <w:lang w:val="en-US"/>
        </w:rPr>
        <w:t xml:space="preserve"> 201</w:t>
      </w:r>
      <w:r w:rsidRPr="00F31E96">
        <w:rPr>
          <w:rFonts w:ascii="Book Antiqua" w:eastAsiaTheme="minorEastAsia" w:hAnsi="Book Antiqua" w:cs="Arial" w:hint="eastAsia"/>
          <w:sz w:val="24"/>
          <w:szCs w:val="24"/>
          <w:lang w:val="en-US"/>
        </w:rPr>
        <w:t>4</w:t>
      </w:r>
      <w:r w:rsidRPr="00F31E96">
        <w:rPr>
          <w:rFonts w:ascii="Book Antiqua" w:eastAsiaTheme="minorEastAsia" w:hAnsi="Book Antiqua" w:cs="Arial"/>
          <w:sz w:val="24"/>
          <w:szCs w:val="24"/>
          <w:lang w:val="en-US"/>
        </w:rPr>
        <w:t xml:space="preserve">; </w:t>
      </w:r>
      <w:proofErr w:type="gramStart"/>
      <w:r w:rsidRPr="00F31E96">
        <w:rPr>
          <w:rFonts w:ascii="Book Antiqua" w:eastAsiaTheme="minorEastAsia" w:hAnsi="Book Antiqua" w:cs="Arial" w:hint="eastAsia"/>
          <w:sz w:val="24"/>
          <w:szCs w:val="24"/>
          <w:lang w:val="en-US"/>
        </w:rPr>
        <w:t>In</w:t>
      </w:r>
      <w:proofErr w:type="gramEnd"/>
      <w:r w:rsidRPr="00F31E96">
        <w:rPr>
          <w:rFonts w:ascii="Book Antiqua" w:eastAsiaTheme="minorEastAsia" w:hAnsi="Book Antiqua" w:cs="Arial" w:hint="eastAsia"/>
          <w:sz w:val="24"/>
          <w:szCs w:val="24"/>
          <w:lang w:val="en-US"/>
        </w:rPr>
        <w:t xml:space="preserve"> </w:t>
      </w:r>
      <w:r w:rsidRPr="00F31E96">
        <w:rPr>
          <w:rFonts w:ascii="Book Antiqua" w:eastAsiaTheme="minorEastAsia" w:hAnsi="Book Antiqua" w:cs="Arial"/>
          <w:sz w:val="24"/>
          <w:szCs w:val="24"/>
          <w:lang w:val="en-US"/>
        </w:rPr>
        <w:t>p</w:t>
      </w:r>
      <w:r w:rsidRPr="00F31E96">
        <w:rPr>
          <w:rFonts w:ascii="Book Antiqua" w:eastAsiaTheme="minorEastAsia" w:hAnsi="Book Antiqua" w:cs="Arial" w:hint="eastAsia"/>
          <w:sz w:val="24"/>
          <w:szCs w:val="24"/>
          <w:lang w:val="en-US"/>
        </w:rPr>
        <w:t>ress</w:t>
      </w:r>
    </w:p>
    <w:p w:rsidR="00921D84" w:rsidRPr="00F31E96" w:rsidRDefault="00921D84" w:rsidP="00093495">
      <w:pPr>
        <w:widowControl w:val="0"/>
        <w:suppressAutoHyphens w:val="0"/>
        <w:autoSpaceDE w:val="0"/>
        <w:adjustRightInd w:val="0"/>
        <w:snapToGrid w:val="0"/>
        <w:spacing w:line="360" w:lineRule="auto"/>
        <w:jc w:val="both"/>
        <w:rPr>
          <w:rFonts w:ascii="Book Antiqua" w:eastAsiaTheme="minorEastAsia" w:hAnsi="Book Antiqua" w:cs="Arial"/>
          <w:b/>
          <w:sz w:val="24"/>
          <w:szCs w:val="24"/>
          <w:lang w:val="en-US"/>
        </w:rPr>
      </w:pPr>
    </w:p>
    <w:p w:rsidR="009064E0" w:rsidRPr="00A06BF8" w:rsidRDefault="009064E0" w:rsidP="00093495">
      <w:pPr>
        <w:widowControl w:val="0"/>
        <w:suppressAutoHyphens w:val="0"/>
        <w:autoSpaceDE w:val="0"/>
        <w:adjustRightInd w:val="0"/>
        <w:snapToGrid w:val="0"/>
        <w:spacing w:line="360" w:lineRule="auto"/>
        <w:jc w:val="both"/>
        <w:rPr>
          <w:rFonts w:ascii="Book Antiqua" w:hAnsi="Book Antiqua" w:cs="Arial"/>
          <w:b/>
          <w:sz w:val="24"/>
          <w:szCs w:val="24"/>
          <w:lang w:val="en-US"/>
        </w:rPr>
      </w:pPr>
      <w:r w:rsidRPr="00A06BF8">
        <w:rPr>
          <w:rFonts w:ascii="Book Antiqua" w:hAnsi="Book Antiqua" w:cs="Arial"/>
          <w:b/>
          <w:sz w:val="24"/>
          <w:szCs w:val="24"/>
          <w:lang w:val="en-US"/>
        </w:rPr>
        <w:t>I</w:t>
      </w:r>
      <w:r w:rsidRPr="00A06BF8">
        <w:rPr>
          <w:rFonts w:ascii="Book Antiqua" w:hAnsi="Book Antiqua" w:cs="Arial"/>
          <w:b/>
          <w:iCs/>
          <w:caps/>
          <w:sz w:val="24"/>
          <w:szCs w:val="24"/>
          <w:lang w:val="en-US" w:eastAsia="it-IT"/>
        </w:rPr>
        <w:t>ntroduction</w:t>
      </w: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 xml:space="preserve">Growing evidence highlights </w:t>
      </w:r>
      <w:r w:rsidRPr="00A06BF8">
        <w:rPr>
          <w:rFonts w:ascii="Book Antiqua" w:hAnsi="Book Antiqua" w:cs="Arial"/>
          <w:color w:val="231F20"/>
          <w:sz w:val="24"/>
          <w:szCs w:val="24"/>
          <w:lang w:val="en-US"/>
        </w:rPr>
        <w:t xml:space="preserve">the role of early treatment of </w:t>
      </w:r>
      <w:r w:rsidRPr="00A06BF8">
        <w:rPr>
          <w:rFonts w:ascii="Book Antiqua" w:hAnsi="Book Antiqua" w:cs="Arial"/>
          <w:sz w:val="24"/>
          <w:szCs w:val="24"/>
          <w:lang w:val="en-US"/>
        </w:rPr>
        <w:t>inflammatory bowel disease (IBD) by means of</w:t>
      </w:r>
      <w:r w:rsidRPr="00A06BF8">
        <w:rPr>
          <w:rFonts w:ascii="Book Antiqua" w:hAnsi="Book Antiqua" w:cs="Arial"/>
          <w:color w:val="231F20"/>
          <w:sz w:val="24"/>
          <w:szCs w:val="24"/>
          <w:lang w:val="en-US"/>
        </w:rPr>
        <w:t xml:space="preserve"> a more aggressive therapy, in order to </w:t>
      </w:r>
      <w:r w:rsidRPr="00A06BF8">
        <w:rPr>
          <w:rFonts w:ascii="Book Antiqua" w:hAnsi="Book Antiqua" w:cs="Arial"/>
          <w:sz w:val="24"/>
          <w:szCs w:val="24"/>
          <w:lang w:val="en-US"/>
        </w:rPr>
        <w:t xml:space="preserve">achieve mucosal healing and </w:t>
      </w:r>
      <w:r w:rsidRPr="00A06BF8">
        <w:rPr>
          <w:rFonts w:ascii="Book Antiqua" w:hAnsi="Book Antiqua" w:cs="Arial"/>
          <w:color w:val="231F20"/>
          <w:sz w:val="24"/>
          <w:szCs w:val="24"/>
          <w:lang w:val="en-US"/>
        </w:rPr>
        <w:t>pre</w:t>
      </w:r>
      <w:r w:rsidR="00F31E96">
        <w:rPr>
          <w:rFonts w:ascii="Book Antiqua" w:hAnsi="Book Antiqua" w:cs="Arial"/>
          <w:color w:val="231F20"/>
          <w:sz w:val="24"/>
          <w:szCs w:val="24"/>
          <w:lang w:val="en-US"/>
        </w:rPr>
        <w:t xml:space="preserve">vent disease </w:t>
      </w:r>
      <w:proofErr w:type="gramStart"/>
      <w:r w:rsidR="00F31E96">
        <w:rPr>
          <w:rFonts w:ascii="Book Antiqua" w:hAnsi="Book Antiqua" w:cs="Arial"/>
          <w:color w:val="231F20"/>
          <w:sz w:val="24"/>
          <w:szCs w:val="24"/>
          <w:lang w:val="en-US"/>
        </w:rPr>
        <w:t>progression</w:t>
      </w:r>
      <w:r w:rsidRPr="00A06BF8">
        <w:rPr>
          <w:rFonts w:ascii="Book Antiqua" w:hAnsi="Book Antiqua" w:cs="Arial"/>
          <w:color w:val="231F20"/>
          <w:sz w:val="24"/>
          <w:szCs w:val="24"/>
          <w:vertAlign w:val="superscript"/>
          <w:lang w:val="en-US"/>
        </w:rPr>
        <w:t>[</w:t>
      </w:r>
      <w:proofErr w:type="gramEnd"/>
      <w:r w:rsidRPr="00A06BF8">
        <w:rPr>
          <w:rFonts w:ascii="Book Antiqua" w:hAnsi="Book Antiqua" w:cs="Arial"/>
          <w:color w:val="231F20"/>
          <w:sz w:val="24"/>
          <w:szCs w:val="24"/>
          <w:vertAlign w:val="superscript"/>
          <w:lang w:val="en-US"/>
        </w:rPr>
        <w:t>1]</w:t>
      </w:r>
      <w:r w:rsidR="00F31E96">
        <w:rPr>
          <w:rFonts w:ascii="Book Antiqua" w:eastAsiaTheme="minorEastAsia" w:hAnsi="Book Antiqua" w:cs="Arial" w:hint="eastAsia"/>
          <w:color w:val="231F20"/>
          <w:sz w:val="24"/>
          <w:szCs w:val="24"/>
          <w:lang w:val="en-US"/>
        </w:rPr>
        <w:t>.</w:t>
      </w:r>
      <w:r w:rsidRPr="00A06BF8">
        <w:rPr>
          <w:rFonts w:ascii="Book Antiqua" w:hAnsi="Book Antiqua" w:cs="Arial"/>
          <w:sz w:val="24"/>
          <w:szCs w:val="24"/>
          <w:lang w:val="en-US"/>
        </w:rPr>
        <w:t xml:space="preserve"> As a consequence, a sizeable number of patients are on immunosuppressive and/or biological drugs which, in turn, lead to an increased risk of opportunistic </w:t>
      </w:r>
      <w:proofErr w:type="gramStart"/>
      <w:r w:rsidRPr="00A06BF8">
        <w:rPr>
          <w:rFonts w:ascii="Book Antiqua" w:hAnsi="Book Antiqua" w:cs="Arial"/>
          <w:sz w:val="24"/>
          <w:szCs w:val="24"/>
          <w:lang w:val="en-US"/>
        </w:rPr>
        <w:t>infections</w:t>
      </w:r>
      <w:r w:rsidRPr="00A06BF8">
        <w:rPr>
          <w:rFonts w:ascii="Book Antiqua" w:hAnsi="Book Antiqua" w:cs="Arial"/>
          <w:sz w:val="24"/>
          <w:szCs w:val="24"/>
          <w:vertAlign w:val="superscript"/>
          <w:lang w:val="en-US"/>
        </w:rPr>
        <w:t>[</w:t>
      </w:r>
      <w:proofErr w:type="gramEnd"/>
      <w:r w:rsidRPr="00A06BF8">
        <w:rPr>
          <w:rFonts w:ascii="Book Antiqua" w:hAnsi="Book Antiqua" w:cs="Arial"/>
          <w:sz w:val="24"/>
          <w:szCs w:val="24"/>
          <w:vertAlign w:val="superscript"/>
          <w:lang w:val="en-US"/>
        </w:rPr>
        <w:t>2,3]</w:t>
      </w:r>
      <w:r w:rsidR="00F31E96" w:rsidRPr="00A06BF8">
        <w:rPr>
          <w:rFonts w:ascii="Book Antiqua" w:hAnsi="Book Antiqua" w:cs="Arial"/>
          <w:sz w:val="24"/>
          <w:szCs w:val="24"/>
          <w:lang w:val="en-US"/>
        </w:rPr>
        <w:t>.</w:t>
      </w:r>
      <w:r w:rsidRPr="00A06BF8">
        <w:rPr>
          <w:rFonts w:ascii="Book Antiqua" w:hAnsi="Book Antiqua" w:cs="Arial"/>
          <w:sz w:val="24"/>
          <w:szCs w:val="24"/>
          <w:lang w:val="en-US"/>
        </w:rPr>
        <w:t xml:space="preserve"> Among these, the widespread human cytomegalovirus (HCMV) and Epstein-Barr virus (EBV) are capable of establishing latency in target cells and reactivating in cases of reduced host immunity</w:t>
      </w:r>
      <w:r w:rsidRPr="00A06BF8">
        <w:rPr>
          <w:rFonts w:ascii="Book Antiqua" w:hAnsi="Book Antiqua" w:cs="Arial"/>
          <w:sz w:val="24"/>
          <w:szCs w:val="24"/>
          <w:vertAlign w:val="superscript"/>
          <w:lang w:val="en-US"/>
        </w:rPr>
        <w:t>[4]</w:t>
      </w:r>
      <w:r w:rsidR="00F31E96" w:rsidRPr="00A06BF8">
        <w:rPr>
          <w:rFonts w:ascii="Book Antiqua" w:hAnsi="Book Antiqua" w:cs="Arial"/>
          <w:sz w:val="24"/>
          <w:szCs w:val="24"/>
          <w:lang w:val="en-US"/>
        </w:rPr>
        <w:t>,</w:t>
      </w:r>
      <w:r w:rsidRPr="00A06BF8">
        <w:rPr>
          <w:rFonts w:ascii="Book Antiqua" w:hAnsi="Book Antiqua" w:cs="Arial"/>
          <w:sz w:val="24"/>
          <w:szCs w:val="24"/>
          <w:lang w:val="en-US"/>
        </w:rPr>
        <w:t xml:space="preserve"> giving rise to both systemic and end-organ disease, which can also be localized </w:t>
      </w:r>
      <w:proofErr w:type="spellStart"/>
      <w:r w:rsidRPr="00A06BF8">
        <w:rPr>
          <w:rFonts w:ascii="Book Antiqua" w:hAnsi="Book Antiqua" w:cs="Arial"/>
          <w:sz w:val="24"/>
          <w:szCs w:val="24"/>
          <w:lang w:val="en-US"/>
        </w:rPr>
        <w:t>localized</w:t>
      </w:r>
      <w:proofErr w:type="spellEnd"/>
      <w:r w:rsidRPr="00A06BF8">
        <w:rPr>
          <w:rFonts w:ascii="Book Antiqua" w:hAnsi="Book Antiqua" w:cs="Arial"/>
          <w:sz w:val="24"/>
          <w:szCs w:val="24"/>
          <w:lang w:val="en-US"/>
        </w:rPr>
        <w:t xml:space="preserve"> to the gastrointestinal tract</w:t>
      </w:r>
      <w:r w:rsidR="00F31E96" w:rsidRPr="00A06BF8">
        <w:rPr>
          <w:rFonts w:ascii="Book Antiqua" w:hAnsi="Book Antiqua" w:cs="Arial"/>
          <w:sz w:val="24"/>
          <w:szCs w:val="24"/>
          <w:vertAlign w:val="superscript"/>
          <w:lang w:val="en-US"/>
        </w:rPr>
        <w:t>[5,6]</w:t>
      </w:r>
      <w:r w:rsidRPr="00A06BF8">
        <w:rPr>
          <w:rFonts w:ascii="Book Antiqua" w:hAnsi="Book Antiqua" w:cs="Arial"/>
          <w:sz w:val="24"/>
          <w:szCs w:val="24"/>
          <w:lang w:val="en-US"/>
        </w:rPr>
        <w:t xml:space="preserve">. In addition, an increased risk of lymphoma has been recently found in IBD patients under immunosuppressive and/or </w:t>
      </w:r>
      <w:proofErr w:type="spellStart"/>
      <w:r w:rsidRPr="00A06BF8">
        <w:rPr>
          <w:rFonts w:ascii="Book Antiqua" w:hAnsi="Book Antiqua" w:cs="Arial"/>
          <w:sz w:val="24"/>
          <w:szCs w:val="24"/>
          <w:lang w:val="en-US"/>
        </w:rPr>
        <w:t>immunomodulator</w:t>
      </w:r>
      <w:proofErr w:type="spellEnd"/>
      <w:r w:rsidRPr="00A06BF8">
        <w:rPr>
          <w:rFonts w:ascii="Book Antiqua" w:hAnsi="Book Antiqua" w:cs="Arial"/>
          <w:sz w:val="24"/>
          <w:szCs w:val="24"/>
          <w:lang w:val="en-US"/>
        </w:rPr>
        <w:t xml:space="preserve"> therapies, especially among young males under </w:t>
      </w:r>
      <w:proofErr w:type="spellStart"/>
      <w:r w:rsidRPr="00A06BF8">
        <w:rPr>
          <w:rFonts w:ascii="Book Antiqua" w:hAnsi="Book Antiqua" w:cs="Arial"/>
          <w:sz w:val="24"/>
          <w:szCs w:val="24"/>
          <w:lang w:val="en-US"/>
        </w:rPr>
        <w:t>thiopurines</w:t>
      </w:r>
      <w:proofErr w:type="spellEnd"/>
      <w:r w:rsidRPr="00A06BF8">
        <w:rPr>
          <w:rFonts w:ascii="Book Antiqua" w:hAnsi="Book Antiqua" w:cs="Arial"/>
          <w:sz w:val="24"/>
          <w:szCs w:val="24"/>
          <w:lang w:val="en-US"/>
        </w:rPr>
        <w:t xml:space="preserve">, where a role for primary EBV infection has been </w:t>
      </w:r>
      <w:proofErr w:type="gramStart"/>
      <w:r w:rsidRPr="00A06BF8">
        <w:rPr>
          <w:rFonts w:ascii="Book Antiqua" w:hAnsi="Book Antiqua" w:cs="Arial"/>
          <w:sz w:val="24"/>
          <w:szCs w:val="24"/>
          <w:lang w:val="en-US"/>
        </w:rPr>
        <w:t>proposed</w:t>
      </w:r>
      <w:r w:rsidR="00F31E96" w:rsidRPr="00A06BF8">
        <w:rPr>
          <w:rFonts w:ascii="Book Antiqua" w:hAnsi="Book Antiqua" w:cs="Arial"/>
          <w:sz w:val="24"/>
          <w:szCs w:val="24"/>
          <w:vertAlign w:val="superscript"/>
          <w:lang w:val="en-US"/>
        </w:rPr>
        <w:t>[</w:t>
      </w:r>
      <w:proofErr w:type="gramEnd"/>
      <w:r w:rsidR="00F31E96" w:rsidRPr="00A06BF8">
        <w:rPr>
          <w:rFonts w:ascii="Book Antiqua" w:hAnsi="Book Antiqua" w:cs="Arial"/>
          <w:sz w:val="24"/>
          <w:szCs w:val="24"/>
          <w:vertAlign w:val="superscript"/>
          <w:lang w:val="en-US"/>
        </w:rPr>
        <w:t>7]</w:t>
      </w:r>
      <w:r w:rsidRPr="00A06BF8">
        <w:rPr>
          <w:rFonts w:ascii="Book Antiqua" w:hAnsi="Book Antiqua" w:cs="Arial"/>
          <w:sz w:val="24"/>
          <w:szCs w:val="24"/>
          <w:lang w:val="en-US"/>
        </w:rPr>
        <w:t xml:space="preserve">, as in the case of the post-transplant </w:t>
      </w:r>
      <w:proofErr w:type="spellStart"/>
      <w:r w:rsidRPr="00A06BF8">
        <w:rPr>
          <w:rFonts w:ascii="Book Antiqua" w:hAnsi="Book Antiqua" w:cs="Arial"/>
          <w:sz w:val="24"/>
          <w:szCs w:val="24"/>
          <w:lang w:val="en-US"/>
        </w:rPr>
        <w:t>lymphoproliferative</w:t>
      </w:r>
      <w:proofErr w:type="spellEnd"/>
      <w:r w:rsidRPr="00A06BF8">
        <w:rPr>
          <w:rFonts w:ascii="Book Antiqua" w:hAnsi="Book Antiqua" w:cs="Arial"/>
          <w:sz w:val="24"/>
          <w:szCs w:val="24"/>
          <w:lang w:val="en-US"/>
        </w:rPr>
        <w:t xml:space="preserve"> disease</w:t>
      </w:r>
      <w:r w:rsidR="00F31E96" w:rsidRPr="00A06BF8">
        <w:rPr>
          <w:rFonts w:ascii="Book Antiqua" w:hAnsi="Book Antiqua" w:cs="Arial"/>
          <w:sz w:val="24"/>
          <w:szCs w:val="24"/>
          <w:vertAlign w:val="superscript"/>
          <w:lang w:val="en-US"/>
        </w:rPr>
        <w:t>[8]</w:t>
      </w:r>
      <w:r w:rsidRPr="00A06BF8">
        <w:rPr>
          <w:rFonts w:ascii="Book Antiqua" w:hAnsi="Book Antiqua" w:cs="Arial"/>
          <w:sz w:val="24"/>
          <w:szCs w:val="24"/>
          <w:lang w:val="en-US"/>
        </w:rPr>
        <w:t xml:space="preserve">. A further condition now possibly associated with both HCMV and EBV infections is </w:t>
      </w:r>
      <w:proofErr w:type="spellStart"/>
      <w:r w:rsidRPr="00A06BF8">
        <w:rPr>
          <w:rFonts w:ascii="Book Antiqua" w:hAnsi="Book Antiqua" w:cs="Arial"/>
          <w:sz w:val="24"/>
          <w:szCs w:val="24"/>
          <w:lang w:val="en-US"/>
        </w:rPr>
        <w:t>hemophagocytic</w:t>
      </w:r>
      <w:proofErr w:type="spellEnd"/>
      <w:r w:rsidRPr="00A06BF8">
        <w:rPr>
          <w:rFonts w:ascii="Book Antiqua" w:hAnsi="Book Antiqua" w:cs="Arial"/>
          <w:sz w:val="24"/>
          <w:szCs w:val="24"/>
          <w:lang w:val="en-US"/>
        </w:rPr>
        <w:t xml:space="preserve"> </w:t>
      </w:r>
      <w:proofErr w:type="spellStart"/>
      <w:proofErr w:type="gramStart"/>
      <w:r w:rsidRPr="00A06BF8">
        <w:rPr>
          <w:rFonts w:ascii="Book Antiqua" w:hAnsi="Book Antiqua" w:cs="Arial"/>
          <w:sz w:val="24"/>
          <w:szCs w:val="24"/>
          <w:lang w:val="en-US"/>
        </w:rPr>
        <w:t>lymphohistiocytosis</w:t>
      </w:r>
      <w:proofErr w:type="spellEnd"/>
      <w:r w:rsidR="00F31E96" w:rsidRPr="00A06BF8">
        <w:rPr>
          <w:rFonts w:ascii="Book Antiqua" w:hAnsi="Book Antiqua" w:cs="Arial"/>
          <w:sz w:val="24"/>
          <w:szCs w:val="24"/>
          <w:vertAlign w:val="superscript"/>
          <w:lang w:val="en-US"/>
        </w:rPr>
        <w:t>[</w:t>
      </w:r>
      <w:proofErr w:type="gramEnd"/>
      <w:r w:rsidR="00F31E96" w:rsidRPr="00A06BF8">
        <w:rPr>
          <w:rFonts w:ascii="Book Antiqua" w:hAnsi="Book Antiqua" w:cs="Arial"/>
          <w:sz w:val="24"/>
          <w:szCs w:val="24"/>
          <w:vertAlign w:val="superscript"/>
          <w:lang w:val="en-US"/>
        </w:rPr>
        <w:t>9]</w:t>
      </w:r>
      <w:r w:rsidRPr="00A06BF8">
        <w:rPr>
          <w:rFonts w:ascii="Book Antiqua" w:hAnsi="Book Antiqua" w:cs="Arial"/>
          <w:sz w:val="24"/>
          <w:szCs w:val="24"/>
          <w:lang w:val="en-US"/>
        </w:rPr>
        <w:t>.</w:t>
      </w:r>
    </w:p>
    <w:p w:rsidR="009064E0" w:rsidRPr="00A06BF8" w:rsidRDefault="009064E0" w:rsidP="00093495">
      <w:pPr>
        <w:widowControl w:val="0"/>
        <w:suppressAutoHyphens w:val="0"/>
        <w:adjustRightInd w:val="0"/>
        <w:snapToGrid w:val="0"/>
        <w:spacing w:line="360" w:lineRule="auto"/>
        <w:ind w:firstLineChars="100" w:firstLine="240"/>
        <w:jc w:val="both"/>
        <w:rPr>
          <w:rFonts w:ascii="Book Antiqua" w:hAnsi="Book Antiqua" w:cs="Arial"/>
          <w:sz w:val="24"/>
          <w:szCs w:val="24"/>
          <w:lang w:val="en-US"/>
        </w:rPr>
      </w:pPr>
      <w:r w:rsidRPr="00A06BF8">
        <w:rPr>
          <w:rFonts w:ascii="Book Antiqua" w:hAnsi="Book Antiqua" w:cs="Arial"/>
          <w:sz w:val="24"/>
          <w:szCs w:val="24"/>
          <w:lang w:val="en-US"/>
        </w:rPr>
        <w:t>To date, the information available on the frequency, role and risk factors of HCMV and EBV in IBD exacerbation and their diagnostic and therapeutic approaches is conflicting</w:t>
      </w:r>
      <w:r w:rsidR="00344247" w:rsidRPr="00A06BF8">
        <w:rPr>
          <w:rFonts w:ascii="Book Antiqua" w:hAnsi="Book Antiqua" w:cs="Arial"/>
          <w:sz w:val="24"/>
          <w:szCs w:val="24"/>
          <w:vertAlign w:val="superscript"/>
          <w:lang w:val="en-US"/>
        </w:rPr>
        <w:t>[10,11]</w:t>
      </w:r>
      <w:r w:rsidRPr="00A06BF8">
        <w:rPr>
          <w:rFonts w:ascii="Book Antiqua" w:hAnsi="Book Antiqua" w:cs="Arial"/>
          <w:sz w:val="24"/>
          <w:szCs w:val="24"/>
          <w:lang w:val="en-US"/>
        </w:rPr>
        <w:t xml:space="preserve">. The causes for this discrepancy lie in the differences amongst the patients enrolled, the diagnostic methods applied, and the retrospective design of the majority of studies. Herein, we prospectively evaluated the presence of HCMV and EBV infections in a cohort of IBD patients in comparison to control subjects, through both immunohistochemistry and quantitative real-time polymerase chain reaction (PCR), in order to investigate the contribution of these opportunistic viral infections to disease activity and the risk factors for their reactivation. </w:t>
      </w:r>
    </w:p>
    <w:p w:rsidR="00F31E96" w:rsidRDefault="00F31E96" w:rsidP="00093495">
      <w:pPr>
        <w:widowControl w:val="0"/>
        <w:suppressAutoHyphens w:val="0"/>
        <w:adjustRightInd w:val="0"/>
        <w:snapToGrid w:val="0"/>
        <w:spacing w:line="360" w:lineRule="auto"/>
        <w:jc w:val="both"/>
        <w:rPr>
          <w:rFonts w:ascii="Book Antiqua" w:eastAsiaTheme="minorEastAsia" w:hAnsi="Book Antiqua" w:cs="Arial"/>
          <w:b/>
          <w:caps/>
          <w:sz w:val="24"/>
          <w:szCs w:val="24"/>
          <w:lang w:val="en-US"/>
        </w:rPr>
      </w:pPr>
    </w:p>
    <w:p w:rsidR="00EA2082" w:rsidRPr="008E267B" w:rsidRDefault="00EA2082" w:rsidP="00093495">
      <w:pPr>
        <w:adjustRightInd w:val="0"/>
        <w:snapToGrid w:val="0"/>
        <w:spacing w:line="360" w:lineRule="auto"/>
        <w:rPr>
          <w:rFonts w:ascii="Book Antiqua" w:hAnsi="Book Antiqua"/>
          <w:b/>
          <w:sz w:val="24"/>
        </w:rPr>
      </w:pPr>
      <w:bookmarkStart w:id="23" w:name="OLE_LINK9"/>
      <w:bookmarkStart w:id="24" w:name="OLE_LINK10"/>
      <w:bookmarkStart w:id="25" w:name="OLE_LINK26"/>
      <w:r w:rsidRPr="008E267B">
        <w:rPr>
          <w:rFonts w:ascii="Book Antiqua" w:hAnsi="Book Antiqua"/>
          <w:b/>
          <w:sz w:val="24"/>
        </w:rPr>
        <w:t>MATERIALS AND METHODS</w:t>
      </w:r>
    </w:p>
    <w:bookmarkEnd w:id="23"/>
    <w:bookmarkEnd w:id="24"/>
    <w:bookmarkEnd w:id="25"/>
    <w:p w:rsidR="00EA2082" w:rsidRPr="00EA2082" w:rsidRDefault="00EA2082" w:rsidP="00093495">
      <w:pPr>
        <w:widowControl w:val="0"/>
        <w:suppressAutoHyphens w:val="0"/>
        <w:adjustRightInd w:val="0"/>
        <w:snapToGrid w:val="0"/>
        <w:spacing w:line="360" w:lineRule="auto"/>
        <w:jc w:val="both"/>
        <w:rPr>
          <w:rFonts w:ascii="Book Antiqua" w:eastAsiaTheme="minorEastAsia" w:hAnsi="Book Antiqua" w:cs="Arial"/>
          <w:b/>
          <w:i/>
          <w:sz w:val="24"/>
          <w:szCs w:val="24"/>
          <w:lang w:val="en-US"/>
        </w:rPr>
      </w:pPr>
      <w:r w:rsidRPr="00EA2082">
        <w:rPr>
          <w:rFonts w:ascii="Book Antiqua" w:hAnsi="Book Antiqua" w:cs="Arial"/>
          <w:b/>
          <w:i/>
          <w:sz w:val="24"/>
          <w:szCs w:val="24"/>
          <w:lang w:val="en-US"/>
        </w:rPr>
        <w:t>Study population</w:t>
      </w:r>
    </w:p>
    <w:p w:rsidR="009064E0" w:rsidRPr="00A06BF8" w:rsidRDefault="009064E0" w:rsidP="00093495">
      <w:pPr>
        <w:widowControl w:val="0"/>
        <w:suppressAutoHyphens w:val="0"/>
        <w:adjustRightInd w:val="0"/>
        <w:snapToGrid w:val="0"/>
        <w:spacing w:line="360" w:lineRule="auto"/>
        <w:jc w:val="both"/>
        <w:rPr>
          <w:rFonts w:ascii="Book Antiqua" w:hAnsi="Book Antiqua" w:cs="Arial"/>
          <w:b/>
          <w:sz w:val="24"/>
          <w:szCs w:val="24"/>
          <w:lang w:val="en-US"/>
        </w:rPr>
      </w:pPr>
      <w:r w:rsidRPr="00A06BF8">
        <w:rPr>
          <w:rFonts w:ascii="Book Antiqua" w:hAnsi="Book Antiqua" w:cs="Arial"/>
          <w:color w:val="231F20"/>
          <w:sz w:val="24"/>
          <w:szCs w:val="24"/>
          <w:lang w:val="en-US"/>
        </w:rPr>
        <w:t>F</w:t>
      </w:r>
      <w:r w:rsidRPr="00A06BF8">
        <w:rPr>
          <w:rFonts w:ascii="Book Antiqua" w:hAnsi="Book Antiqua" w:cs="Arial"/>
          <w:sz w:val="24"/>
          <w:szCs w:val="24"/>
          <w:lang w:val="en-US"/>
        </w:rPr>
        <w:t>rom September 2011 to February</w:t>
      </w:r>
      <w:r w:rsidRPr="00A06BF8">
        <w:rPr>
          <w:rFonts w:ascii="Book Antiqua" w:hAnsi="Book Antiqua" w:cs="Arial"/>
          <w:color w:val="231F20"/>
          <w:sz w:val="24"/>
          <w:szCs w:val="24"/>
          <w:lang w:val="en-US"/>
        </w:rPr>
        <w:t xml:space="preserve"> 2013, patients suffering from Crohn’s disease (CD) and ulcerative colitis (UC), both responders and non-responders to conventional therapies, and diagnosed on the basis of widely accepted criteria</w:t>
      </w:r>
      <w:r w:rsidR="00EA2082" w:rsidRPr="00A06BF8">
        <w:rPr>
          <w:rFonts w:ascii="Book Antiqua" w:hAnsi="Book Antiqua" w:cs="Arial"/>
          <w:color w:val="231F20"/>
          <w:sz w:val="24"/>
          <w:szCs w:val="24"/>
          <w:vertAlign w:val="superscript"/>
          <w:lang w:val="en-US"/>
        </w:rPr>
        <w:t>[12,13]</w:t>
      </w:r>
      <w:r w:rsidRPr="00A06BF8">
        <w:rPr>
          <w:rFonts w:ascii="Book Antiqua" w:hAnsi="Book Antiqua" w:cs="Arial"/>
          <w:color w:val="231F20"/>
          <w:sz w:val="24"/>
          <w:szCs w:val="24"/>
          <w:lang w:val="en-US"/>
        </w:rPr>
        <w:t>, were prospectively enrolled.</w:t>
      </w:r>
      <w:r w:rsidRPr="00A06BF8">
        <w:rPr>
          <w:rFonts w:ascii="Book Antiqua" w:hAnsi="Book Antiqua" w:cs="Arial"/>
          <w:sz w:val="24"/>
          <w:szCs w:val="24"/>
          <w:lang w:val="en-US"/>
        </w:rPr>
        <w:t xml:space="preserve"> For the non-responder group, steroid-refractoriness was defined as the persistence of active disease despite prednisolone, or equivalent, of up to 0.75 mg/kg</w:t>
      </w:r>
      <w:r w:rsidR="00EA2082">
        <w:rPr>
          <w:rFonts w:ascii="Book Antiqua" w:eastAsiaTheme="minorEastAsia" w:hAnsi="Book Antiqua" w:cs="Arial" w:hint="eastAsia"/>
          <w:sz w:val="24"/>
          <w:szCs w:val="24"/>
          <w:lang w:val="en-US"/>
        </w:rPr>
        <w:t xml:space="preserve"> per </w:t>
      </w:r>
      <w:r w:rsidRPr="00A06BF8">
        <w:rPr>
          <w:rFonts w:ascii="Book Antiqua" w:hAnsi="Book Antiqua" w:cs="Arial"/>
          <w:sz w:val="24"/>
          <w:szCs w:val="24"/>
          <w:lang w:val="en-US"/>
        </w:rPr>
        <w:t>day over a period of four weeks</w:t>
      </w:r>
      <w:r w:rsidR="00EA2082" w:rsidRPr="00A06BF8">
        <w:rPr>
          <w:rFonts w:ascii="Book Antiqua" w:hAnsi="Book Antiqua" w:cs="Arial"/>
          <w:sz w:val="24"/>
          <w:szCs w:val="24"/>
          <w:vertAlign w:val="superscript"/>
          <w:lang w:val="en-US"/>
        </w:rPr>
        <w:t>[12,13]</w:t>
      </w:r>
      <w:r w:rsidRPr="00A06BF8">
        <w:rPr>
          <w:rFonts w:ascii="Book Antiqua" w:hAnsi="Book Antiqua" w:cs="Arial"/>
          <w:sz w:val="24"/>
          <w:szCs w:val="24"/>
          <w:lang w:val="en-US"/>
        </w:rPr>
        <w:t>; primary and secondary non-response to anti-tumor necrosis factor-</w:t>
      </w:r>
      <w:r w:rsidRPr="00A06BF8">
        <w:rPr>
          <w:rFonts w:ascii="Book Antiqua" w:hAnsi="Book Antiqua" w:cs="Arial"/>
          <w:sz w:val="24"/>
          <w:szCs w:val="24"/>
          <w:lang w:val="en-US"/>
        </w:rPr>
        <w:sym w:font="Symbol" w:char="F061"/>
      </w:r>
      <w:r w:rsidRPr="00A06BF8">
        <w:rPr>
          <w:rFonts w:ascii="Book Antiqua" w:hAnsi="Book Antiqua" w:cs="Arial"/>
          <w:sz w:val="24"/>
          <w:szCs w:val="24"/>
          <w:lang w:val="en-US"/>
        </w:rPr>
        <w:t xml:space="preserve"> agents, </w:t>
      </w:r>
      <w:r w:rsidRPr="00EA2082">
        <w:rPr>
          <w:rFonts w:ascii="Book Antiqua" w:hAnsi="Book Antiqua" w:cs="Arial"/>
          <w:i/>
          <w:sz w:val="24"/>
          <w:szCs w:val="24"/>
          <w:lang w:val="en-US"/>
        </w:rPr>
        <w:t>i.e.</w:t>
      </w:r>
      <w:r w:rsidR="00EA2082">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 xml:space="preserve"> infliximab and </w:t>
      </w:r>
      <w:proofErr w:type="spellStart"/>
      <w:r w:rsidRPr="00A06BF8">
        <w:rPr>
          <w:rFonts w:ascii="Book Antiqua" w:hAnsi="Book Antiqua" w:cs="Arial"/>
          <w:sz w:val="24"/>
          <w:szCs w:val="24"/>
          <w:lang w:val="en-US"/>
        </w:rPr>
        <w:t>adalimumab</w:t>
      </w:r>
      <w:proofErr w:type="spellEnd"/>
      <w:r w:rsidRPr="00A06BF8">
        <w:rPr>
          <w:rFonts w:ascii="Book Antiqua" w:hAnsi="Book Antiqua" w:cs="Arial"/>
          <w:sz w:val="24"/>
          <w:szCs w:val="24"/>
          <w:lang w:val="en-US"/>
        </w:rPr>
        <w:t>, was considered as the lack of clinical improvement with induction therapy or recurrence of disease activity during maintenance therapy despite an appropriate interval adjustment and dose escalation with exclusion of concomitant conditions, respectively</w:t>
      </w:r>
      <w:r w:rsidR="008F7E10" w:rsidRPr="00A06BF8">
        <w:rPr>
          <w:rFonts w:ascii="Book Antiqua" w:hAnsi="Book Antiqua" w:cs="Arial"/>
          <w:sz w:val="24"/>
          <w:szCs w:val="24"/>
          <w:vertAlign w:val="superscript"/>
          <w:lang w:val="en-US"/>
        </w:rPr>
        <w:t>[14]</w:t>
      </w:r>
      <w:r w:rsidRPr="00A06BF8">
        <w:rPr>
          <w:rFonts w:ascii="Book Antiqua" w:hAnsi="Book Antiqua" w:cs="Arial"/>
          <w:sz w:val="24"/>
          <w:szCs w:val="24"/>
          <w:lang w:val="en-US"/>
        </w:rPr>
        <w:t xml:space="preserve">; and resistance to immunosuppressive therapy, </w:t>
      </w:r>
      <w:r w:rsidRPr="008F7E10">
        <w:rPr>
          <w:rFonts w:ascii="Book Antiqua" w:hAnsi="Book Antiqua" w:cs="Arial"/>
          <w:i/>
          <w:sz w:val="24"/>
          <w:szCs w:val="24"/>
          <w:lang w:val="en-US"/>
        </w:rPr>
        <w:t>i.e.</w:t>
      </w:r>
      <w:r w:rsidR="008F7E10">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 xml:space="preserve"> Azathioprine, after the dosage adjustment was carried out on the basis of the erythrocyte levels of the active metabolite, 6-thioguanine nucleotide</w:t>
      </w:r>
      <w:r w:rsidR="008F7E10" w:rsidRPr="00A06BF8">
        <w:rPr>
          <w:rFonts w:ascii="Book Antiqua" w:hAnsi="Book Antiqua" w:cs="Arial"/>
          <w:sz w:val="24"/>
          <w:szCs w:val="24"/>
          <w:vertAlign w:val="superscript"/>
          <w:lang w:val="en-US"/>
        </w:rPr>
        <w:t>[15]</w:t>
      </w:r>
      <w:r w:rsidRPr="00A06BF8">
        <w:rPr>
          <w:rFonts w:ascii="Book Antiqua" w:hAnsi="Book Antiqua" w:cs="Arial"/>
          <w:sz w:val="24"/>
          <w:szCs w:val="24"/>
          <w:lang w:val="en-US"/>
        </w:rPr>
        <w:t xml:space="preserve">. Finally, for those patients under combination therapies, refractoriness was defined as the persistence of active disease despite a treatment duration of at least four weeks. All patients underwent lower endoscopy as part of their diagnostic workup for disease relapse or follow-up. Patient assessment was performed according to the Montreal </w:t>
      </w:r>
      <w:proofErr w:type="gramStart"/>
      <w:r w:rsidRPr="00A06BF8">
        <w:rPr>
          <w:rFonts w:ascii="Book Antiqua" w:hAnsi="Book Antiqua" w:cs="Arial"/>
          <w:sz w:val="24"/>
          <w:szCs w:val="24"/>
          <w:lang w:val="en-US"/>
        </w:rPr>
        <w:t>classification</w:t>
      </w:r>
      <w:r w:rsidR="008F7E10" w:rsidRPr="00A06BF8">
        <w:rPr>
          <w:rFonts w:ascii="Book Antiqua" w:hAnsi="Book Antiqua" w:cs="Arial"/>
          <w:sz w:val="24"/>
          <w:szCs w:val="24"/>
          <w:vertAlign w:val="superscript"/>
          <w:lang w:val="en-US"/>
        </w:rPr>
        <w:t>[</w:t>
      </w:r>
      <w:proofErr w:type="gramEnd"/>
      <w:r w:rsidR="008F7E10" w:rsidRPr="00A06BF8">
        <w:rPr>
          <w:rFonts w:ascii="Book Antiqua" w:hAnsi="Book Antiqua" w:cs="Arial"/>
          <w:sz w:val="24"/>
          <w:szCs w:val="24"/>
          <w:vertAlign w:val="superscript"/>
          <w:lang w:val="en-US"/>
        </w:rPr>
        <w:t>16]</w:t>
      </w:r>
      <w:r w:rsidRPr="00A06BF8">
        <w:rPr>
          <w:rFonts w:ascii="Book Antiqua" w:hAnsi="Book Antiqua" w:cs="Arial"/>
          <w:sz w:val="24"/>
          <w:szCs w:val="24"/>
          <w:lang w:val="en-US"/>
        </w:rPr>
        <w:t>, and also included: clinical examination, body mass index calculation, evaluation of smoking habits, routine laboratory tests, and assessment of both clinical (CD activity index: CDAI</w:t>
      </w:r>
      <w:r w:rsidRPr="00A06BF8">
        <w:rPr>
          <w:rFonts w:ascii="Book Antiqua" w:hAnsi="Book Antiqua" w:cs="Arial"/>
          <w:sz w:val="24"/>
          <w:szCs w:val="24"/>
          <w:vertAlign w:val="superscript"/>
          <w:lang w:val="en-US"/>
        </w:rPr>
        <w:t>[17]</w:t>
      </w:r>
      <w:r w:rsidRPr="00A06BF8">
        <w:rPr>
          <w:rFonts w:ascii="Book Antiqua" w:hAnsi="Book Antiqua" w:cs="Arial"/>
          <w:sz w:val="24"/>
          <w:szCs w:val="24"/>
          <w:lang w:val="en-US"/>
        </w:rPr>
        <w:t xml:space="preserve"> and colitis activity index: CAI</w:t>
      </w:r>
      <w:r w:rsidRPr="00A06BF8">
        <w:rPr>
          <w:rFonts w:ascii="Book Antiqua" w:hAnsi="Book Antiqua" w:cs="Arial"/>
          <w:sz w:val="24"/>
          <w:szCs w:val="24"/>
          <w:vertAlign w:val="superscript"/>
          <w:lang w:val="en-US"/>
        </w:rPr>
        <w:t>[18]</w:t>
      </w:r>
      <w:r w:rsidRPr="00A06BF8">
        <w:rPr>
          <w:rFonts w:ascii="Book Antiqua" w:hAnsi="Book Antiqua" w:cs="Arial"/>
          <w:sz w:val="24"/>
          <w:szCs w:val="24"/>
          <w:lang w:val="en-US"/>
        </w:rPr>
        <w:t>) and endoscopic (SES-CD</w:t>
      </w:r>
      <w:r w:rsidRPr="00A06BF8">
        <w:rPr>
          <w:rFonts w:ascii="Book Antiqua" w:hAnsi="Book Antiqua" w:cs="Arial"/>
          <w:sz w:val="24"/>
          <w:szCs w:val="24"/>
          <w:vertAlign w:val="superscript"/>
          <w:lang w:val="en-US"/>
        </w:rPr>
        <w:t>[19]</w:t>
      </w:r>
      <w:r w:rsidRPr="00A06BF8">
        <w:rPr>
          <w:rFonts w:ascii="Book Antiqua" w:hAnsi="Book Antiqua" w:cs="Arial"/>
          <w:sz w:val="24"/>
          <w:szCs w:val="24"/>
          <w:lang w:val="en-US"/>
        </w:rPr>
        <w:t xml:space="preserve"> and Baron</w:t>
      </w:r>
      <w:r w:rsidRPr="00A06BF8">
        <w:rPr>
          <w:rFonts w:ascii="Book Antiqua" w:hAnsi="Book Antiqua" w:cs="Arial"/>
          <w:sz w:val="24"/>
          <w:szCs w:val="24"/>
          <w:vertAlign w:val="superscript"/>
          <w:lang w:val="en-US"/>
        </w:rPr>
        <w:t>[20]</w:t>
      </w:r>
      <w:r w:rsidRPr="00A06BF8">
        <w:rPr>
          <w:rFonts w:ascii="Book Antiqua" w:hAnsi="Book Antiqua" w:cs="Arial"/>
          <w:sz w:val="24"/>
          <w:szCs w:val="24"/>
          <w:lang w:val="en-US"/>
        </w:rPr>
        <w:t xml:space="preserve">) indexes of activity. As a control group, sex- and age-matched subjects undergoing lower endoscopy for irritable bowel syndrome or screening for polyps, who were not taking any drugs, were recruited. The presence of concomitant autoimmune diseases, primary </w:t>
      </w:r>
      <w:proofErr w:type="spellStart"/>
      <w:r w:rsidRPr="00A06BF8">
        <w:rPr>
          <w:rFonts w:ascii="Book Antiqua" w:hAnsi="Book Antiqua" w:cs="Arial"/>
          <w:sz w:val="24"/>
          <w:szCs w:val="24"/>
          <w:lang w:val="en-US"/>
        </w:rPr>
        <w:t>immunodeficiencies</w:t>
      </w:r>
      <w:proofErr w:type="spellEnd"/>
      <w:r w:rsidRPr="00A06BF8">
        <w:rPr>
          <w:rFonts w:ascii="Book Antiqua" w:hAnsi="Book Antiqua" w:cs="Arial"/>
          <w:sz w:val="24"/>
          <w:szCs w:val="24"/>
          <w:lang w:val="en-US"/>
        </w:rPr>
        <w:t>, cancer or organ failure w</w:t>
      </w:r>
      <w:r w:rsidR="008F7E10">
        <w:rPr>
          <w:rFonts w:ascii="Book Antiqua" w:eastAsiaTheme="minorEastAsia" w:hAnsi="Book Antiqua" w:cs="Arial" w:hint="eastAsia"/>
          <w:sz w:val="24"/>
          <w:szCs w:val="24"/>
          <w:lang w:val="en-US"/>
        </w:rPr>
        <w:t>as</w:t>
      </w:r>
      <w:r w:rsidRPr="00A06BF8">
        <w:rPr>
          <w:rFonts w:ascii="Book Antiqua" w:hAnsi="Book Antiqua" w:cs="Arial"/>
          <w:sz w:val="24"/>
          <w:szCs w:val="24"/>
          <w:lang w:val="en-US"/>
        </w:rPr>
        <w:t xml:space="preserve"> considered exclusion criteria. </w:t>
      </w:r>
    </w:p>
    <w:p w:rsidR="008F7E10" w:rsidRDefault="008F7E10"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p>
    <w:p w:rsidR="008F7E10" w:rsidRPr="008F7E10" w:rsidRDefault="009064E0" w:rsidP="00093495">
      <w:pPr>
        <w:widowControl w:val="0"/>
        <w:suppressAutoHyphens w:val="0"/>
        <w:adjustRightInd w:val="0"/>
        <w:snapToGrid w:val="0"/>
        <w:spacing w:line="360" w:lineRule="auto"/>
        <w:jc w:val="both"/>
        <w:rPr>
          <w:rFonts w:ascii="Book Antiqua" w:eastAsiaTheme="minorEastAsia" w:hAnsi="Book Antiqua" w:cs="Arial"/>
          <w:b/>
          <w:i/>
          <w:sz w:val="24"/>
          <w:szCs w:val="24"/>
          <w:lang w:val="en-US"/>
        </w:rPr>
      </w:pPr>
      <w:r w:rsidRPr="008F7E10">
        <w:rPr>
          <w:rFonts w:ascii="Book Antiqua" w:hAnsi="Book Antiqua" w:cs="Arial"/>
          <w:b/>
          <w:i/>
          <w:sz w:val="24"/>
          <w:szCs w:val="24"/>
          <w:lang w:val="en-US"/>
        </w:rPr>
        <w:t>Quantitation of HCMV and EBV DNA</w:t>
      </w:r>
    </w:p>
    <w:p w:rsidR="009064E0" w:rsidRPr="00A06BF8" w:rsidRDefault="009064E0" w:rsidP="00093495">
      <w:pPr>
        <w:widowControl w:val="0"/>
        <w:suppressAutoHyphens w:val="0"/>
        <w:adjustRightInd w:val="0"/>
        <w:snapToGrid w:val="0"/>
        <w:spacing w:line="360" w:lineRule="auto"/>
        <w:jc w:val="both"/>
        <w:rPr>
          <w:rFonts w:ascii="Book Antiqua" w:eastAsia="Arial Unicode MS" w:hAnsi="Book Antiqua" w:cs="Arial"/>
          <w:sz w:val="24"/>
          <w:szCs w:val="24"/>
          <w:lang w:val="en-US"/>
        </w:rPr>
      </w:pPr>
      <w:r w:rsidRPr="00A06BF8">
        <w:rPr>
          <w:rFonts w:ascii="Book Antiqua" w:hAnsi="Book Antiqua" w:cs="Arial"/>
          <w:sz w:val="24"/>
          <w:szCs w:val="24"/>
          <w:lang w:val="en-US"/>
        </w:rPr>
        <w:t xml:space="preserve">For each patient and control, the HCMV and EBV load was assessed in terms of DNA copies on both freshly collected peripheral blood samples and endoscopic specimens harvested from all colonic segments (right, transverse, descending, and sigma-rectum), by quantitative real-time PCR technique as previously </w:t>
      </w:r>
      <w:proofErr w:type="gramStart"/>
      <w:r w:rsidRPr="00A06BF8">
        <w:rPr>
          <w:rFonts w:ascii="Book Antiqua" w:hAnsi="Book Antiqua" w:cs="Arial"/>
          <w:sz w:val="24"/>
          <w:szCs w:val="24"/>
          <w:lang w:val="en-US"/>
        </w:rPr>
        <w:t>reported</w:t>
      </w:r>
      <w:r w:rsidR="00D50E0E" w:rsidRPr="00A06BF8">
        <w:rPr>
          <w:rFonts w:ascii="Book Antiqua" w:hAnsi="Book Antiqua" w:cs="Arial"/>
          <w:sz w:val="24"/>
          <w:szCs w:val="24"/>
          <w:vertAlign w:val="superscript"/>
          <w:lang w:val="en-US"/>
        </w:rPr>
        <w:t>[</w:t>
      </w:r>
      <w:proofErr w:type="gramEnd"/>
      <w:r w:rsidR="00D50E0E" w:rsidRPr="00A06BF8">
        <w:rPr>
          <w:rFonts w:ascii="Book Antiqua" w:hAnsi="Book Antiqua" w:cs="Arial"/>
          <w:sz w:val="24"/>
          <w:szCs w:val="24"/>
          <w:vertAlign w:val="superscript"/>
          <w:lang w:val="en-US"/>
        </w:rPr>
        <w:t>21]</w:t>
      </w:r>
      <w:r w:rsidRPr="00A06BF8">
        <w:rPr>
          <w:rFonts w:ascii="Book Antiqua" w:hAnsi="Book Antiqua" w:cs="Arial"/>
          <w:sz w:val="24"/>
          <w:szCs w:val="24"/>
          <w:lang w:val="en-US"/>
        </w:rPr>
        <w:t xml:space="preserve">. Specifically, in the IBD </w:t>
      </w:r>
      <w:r w:rsidRPr="00A06BF8">
        <w:rPr>
          <w:rFonts w:ascii="Book Antiqua" w:hAnsi="Book Antiqua" w:cs="Arial"/>
          <w:sz w:val="24"/>
          <w:szCs w:val="24"/>
          <w:lang w:val="en-US"/>
        </w:rPr>
        <w:lastRenderedPageBreak/>
        <w:t xml:space="preserve">group, biopsies were taken from both inflamed and healthy mucosa as assessed during the endoscopic examination, that is from the edge of the ulcers and the nearby damaged zones for the former and at least 20 cm away from the affected areas for the latter. Viral </w:t>
      </w:r>
      <w:r w:rsidRPr="00A06BF8">
        <w:rPr>
          <w:rFonts w:ascii="Book Antiqua" w:eastAsia="Arial Unicode MS" w:hAnsi="Book Antiqua" w:cs="Arial"/>
          <w:sz w:val="24"/>
          <w:szCs w:val="24"/>
          <w:lang w:val="en-US"/>
        </w:rPr>
        <w:t xml:space="preserve">DNA extraction was performed by using the </w:t>
      </w:r>
      <w:proofErr w:type="spellStart"/>
      <w:r w:rsidRPr="00A06BF8">
        <w:rPr>
          <w:rFonts w:ascii="Book Antiqua" w:eastAsia="Arial Unicode MS" w:hAnsi="Book Antiqua" w:cs="Arial"/>
          <w:sz w:val="24"/>
          <w:szCs w:val="24"/>
          <w:lang w:val="en-US"/>
        </w:rPr>
        <w:t>NucliSENS®easyMAG</w:t>
      </w:r>
      <w:proofErr w:type="spellEnd"/>
      <w:r w:rsidRPr="00A06BF8">
        <w:rPr>
          <w:rFonts w:ascii="Book Antiqua" w:eastAsia="Arial Unicode MS" w:hAnsi="Book Antiqua" w:cs="Arial"/>
          <w:sz w:val="24"/>
          <w:szCs w:val="24"/>
          <w:lang w:val="en-US"/>
        </w:rPr>
        <w:t>® kit (</w:t>
      </w:r>
      <w:proofErr w:type="spellStart"/>
      <w:r w:rsidRPr="00A06BF8">
        <w:rPr>
          <w:rFonts w:ascii="Book Antiqua" w:eastAsia="Arial Unicode MS" w:hAnsi="Book Antiqua" w:cs="Arial"/>
          <w:sz w:val="24"/>
          <w:szCs w:val="24"/>
          <w:lang w:val="en-US"/>
        </w:rPr>
        <w:t>BioMérieux</w:t>
      </w:r>
      <w:proofErr w:type="spellEnd"/>
      <w:r w:rsidRPr="00A06BF8">
        <w:rPr>
          <w:rFonts w:ascii="Book Antiqua" w:eastAsia="Arial Unicode MS" w:hAnsi="Book Antiqua" w:cs="Arial"/>
          <w:sz w:val="24"/>
          <w:szCs w:val="24"/>
          <w:lang w:val="en-US"/>
        </w:rPr>
        <w:t>; Lyon, France).</w:t>
      </w:r>
      <w:r w:rsidRPr="00A06BF8">
        <w:rPr>
          <w:rFonts w:ascii="Book Antiqua" w:eastAsia="Arial Unicode MS" w:hAnsi="Book Antiqua" w:cs="Arial"/>
          <w:color w:val="FF0000"/>
          <w:sz w:val="24"/>
          <w:szCs w:val="24"/>
          <w:lang w:val="en-US"/>
        </w:rPr>
        <w:t xml:space="preserve"> </w:t>
      </w:r>
      <w:r w:rsidRPr="00A06BF8">
        <w:rPr>
          <w:rFonts w:ascii="Book Antiqua" w:eastAsia="Arial Unicode MS" w:hAnsi="Book Antiqua" w:cs="Arial"/>
          <w:sz w:val="24"/>
          <w:szCs w:val="24"/>
          <w:lang w:val="en-US"/>
        </w:rPr>
        <w:t>Results were expressed as viral DNA copies/ml blood and copies/10</w:t>
      </w:r>
      <w:r w:rsidRPr="00A06BF8">
        <w:rPr>
          <w:rFonts w:ascii="Book Antiqua" w:eastAsia="Arial Unicode MS" w:hAnsi="Book Antiqua" w:cs="Arial"/>
          <w:sz w:val="24"/>
          <w:szCs w:val="24"/>
          <w:vertAlign w:val="superscript"/>
          <w:lang w:val="en-US"/>
        </w:rPr>
        <w:t>5</w:t>
      </w:r>
      <w:r w:rsidRPr="00A06BF8">
        <w:rPr>
          <w:rFonts w:ascii="Book Antiqua" w:eastAsia="Arial Unicode MS" w:hAnsi="Book Antiqua" w:cs="Arial"/>
          <w:sz w:val="24"/>
          <w:szCs w:val="24"/>
          <w:lang w:val="en-US"/>
        </w:rPr>
        <w:t xml:space="preserve"> cells. Normalization of HCMV and EBV DNA load in tissue samples was obtained </w:t>
      </w:r>
      <w:r w:rsidRPr="00A06BF8">
        <w:rPr>
          <w:rFonts w:ascii="Book Antiqua" w:eastAsia="Calibri" w:hAnsi="Book Antiqua" w:cs="Arial"/>
          <w:sz w:val="24"/>
          <w:szCs w:val="24"/>
          <w:lang w:val="en-US"/>
        </w:rPr>
        <w:t xml:space="preserve">by quantitative determination of </w:t>
      </w:r>
      <w:r w:rsidRPr="00A06BF8">
        <w:rPr>
          <w:rFonts w:ascii="Book Antiqua" w:eastAsia="Calibri" w:hAnsi="Book Antiqua"/>
          <w:sz w:val="24"/>
          <w:szCs w:val="24"/>
          <w:lang w:val="en-US"/>
        </w:rPr>
        <w:t>β</w:t>
      </w:r>
      <w:r w:rsidRPr="00A06BF8">
        <w:rPr>
          <w:rFonts w:ascii="Book Antiqua" w:eastAsia="Calibri" w:hAnsi="Book Antiqua" w:cs="Arial"/>
          <w:sz w:val="24"/>
          <w:szCs w:val="24"/>
          <w:vertAlign w:val="subscript"/>
          <w:lang w:val="en-US"/>
        </w:rPr>
        <w:t>2-</w:t>
      </w:r>
      <w:r w:rsidRPr="00A06BF8">
        <w:rPr>
          <w:rFonts w:ascii="Book Antiqua" w:eastAsia="Calibri" w:hAnsi="Book Antiqua" w:cs="Arial"/>
          <w:sz w:val="24"/>
          <w:szCs w:val="24"/>
          <w:lang w:val="en-US"/>
        </w:rPr>
        <w:t>microglobulin</w:t>
      </w:r>
      <w:r w:rsidRPr="00A06BF8">
        <w:rPr>
          <w:rFonts w:ascii="Book Antiqua" w:hAnsi="Book Antiqua" w:cs="Arial"/>
          <w:b/>
          <w:sz w:val="24"/>
          <w:szCs w:val="24"/>
          <w:lang w:val="en-US"/>
        </w:rPr>
        <w:t xml:space="preserve"> </w:t>
      </w:r>
      <w:proofErr w:type="gramStart"/>
      <w:r w:rsidRPr="00A06BF8">
        <w:rPr>
          <w:rFonts w:ascii="Book Antiqua" w:eastAsia="Calibri" w:hAnsi="Book Antiqua" w:cs="Arial"/>
          <w:sz w:val="24"/>
          <w:szCs w:val="24"/>
          <w:lang w:val="en-US"/>
        </w:rPr>
        <w:t>gene</w:t>
      </w:r>
      <w:r w:rsidR="00D50E0E" w:rsidRPr="00A06BF8">
        <w:rPr>
          <w:rFonts w:ascii="Book Antiqua" w:eastAsia="Calibri" w:hAnsi="Book Antiqua" w:cs="Arial"/>
          <w:sz w:val="24"/>
          <w:szCs w:val="24"/>
          <w:vertAlign w:val="superscript"/>
          <w:lang w:val="en-US"/>
        </w:rPr>
        <w:t>[</w:t>
      </w:r>
      <w:proofErr w:type="gramEnd"/>
      <w:r w:rsidR="00D50E0E" w:rsidRPr="00A06BF8">
        <w:rPr>
          <w:rFonts w:ascii="Book Antiqua" w:eastAsia="Calibri" w:hAnsi="Book Antiqua" w:cs="Arial"/>
          <w:sz w:val="24"/>
          <w:szCs w:val="24"/>
          <w:vertAlign w:val="superscript"/>
          <w:lang w:val="en-US"/>
        </w:rPr>
        <w:t>22]</w:t>
      </w:r>
      <w:r w:rsidRPr="00A06BF8">
        <w:rPr>
          <w:rFonts w:ascii="Book Antiqua" w:eastAsia="Calibri" w:hAnsi="Book Antiqua" w:cs="Arial"/>
          <w:sz w:val="24"/>
          <w:szCs w:val="24"/>
          <w:lang w:val="en-US"/>
        </w:rPr>
        <w:t>.</w:t>
      </w:r>
      <w:r w:rsidRPr="00A06BF8">
        <w:rPr>
          <w:rFonts w:ascii="Book Antiqua" w:eastAsia="Arial Unicode MS" w:hAnsi="Book Antiqua" w:cs="Arial"/>
          <w:sz w:val="24"/>
          <w:szCs w:val="24"/>
          <w:lang w:val="en-US"/>
        </w:rPr>
        <w:t xml:space="preserve"> The lower detection limit was 10 DNA input target DNA copies</w:t>
      </w:r>
      <w:r w:rsidR="00D50E0E" w:rsidRPr="00A06BF8">
        <w:rPr>
          <w:rFonts w:ascii="Book Antiqua" w:eastAsia="Arial Unicode MS" w:hAnsi="Book Antiqua" w:cs="Arial"/>
          <w:sz w:val="24"/>
          <w:szCs w:val="24"/>
          <w:vertAlign w:val="superscript"/>
          <w:lang w:val="en-US"/>
        </w:rPr>
        <w:t>[21,22]</w:t>
      </w:r>
      <w:r w:rsidRPr="00A06BF8">
        <w:rPr>
          <w:rFonts w:ascii="Book Antiqua" w:eastAsia="Arial Unicode MS" w:hAnsi="Book Antiqua" w:cs="Arial"/>
          <w:sz w:val="24"/>
          <w:szCs w:val="24"/>
          <w:lang w:val="en-US"/>
        </w:rPr>
        <w:t>.</w:t>
      </w:r>
    </w:p>
    <w:p w:rsidR="00D50E0E" w:rsidRDefault="00D50E0E" w:rsidP="00093495">
      <w:pPr>
        <w:widowControl w:val="0"/>
        <w:tabs>
          <w:tab w:val="num" w:pos="720"/>
        </w:tabs>
        <w:suppressAutoHyphens w:val="0"/>
        <w:adjustRightInd w:val="0"/>
        <w:snapToGrid w:val="0"/>
        <w:spacing w:line="360" w:lineRule="auto"/>
        <w:jc w:val="both"/>
        <w:rPr>
          <w:rFonts w:ascii="Book Antiqua" w:eastAsiaTheme="minorEastAsia" w:hAnsi="Book Antiqua" w:cs="Arial"/>
          <w:b/>
          <w:sz w:val="24"/>
          <w:szCs w:val="24"/>
          <w:lang w:val="en-US"/>
        </w:rPr>
      </w:pPr>
    </w:p>
    <w:p w:rsidR="00D50E0E" w:rsidRPr="00D50E0E" w:rsidRDefault="009064E0" w:rsidP="00093495">
      <w:pPr>
        <w:widowControl w:val="0"/>
        <w:tabs>
          <w:tab w:val="num" w:pos="720"/>
        </w:tabs>
        <w:suppressAutoHyphens w:val="0"/>
        <w:adjustRightInd w:val="0"/>
        <w:snapToGrid w:val="0"/>
        <w:spacing w:line="360" w:lineRule="auto"/>
        <w:jc w:val="both"/>
        <w:rPr>
          <w:rFonts w:ascii="Book Antiqua" w:eastAsiaTheme="minorEastAsia" w:hAnsi="Book Antiqua" w:cs="Arial"/>
          <w:b/>
          <w:i/>
          <w:sz w:val="24"/>
          <w:szCs w:val="24"/>
          <w:lang w:val="en-US"/>
        </w:rPr>
      </w:pPr>
      <w:r w:rsidRPr="00D50E0E">
        <w:rPr>
          <w:rFonts w:ascii="Book Antiqua" w:hAnsi="Book Antiqua" w:cs="Arial"/>
          <w:b/>
          <w:i/>
          <w:sz w:val="24"/>
          <w:szCs w:val="24"/>
          <w:lang w:val="en-US"/>
        </w:rPr>
        <w:t>Immunohistochemistry</w:t>
      </w:r>
    </w:p>
    <w:p w:rsidR="009064E0" w:rsidRPr="00A06BF8" w:rsidRDefault="009064E0" w:rsidP="00093495">
      <w:pPr>
        <w:widowControl w:val="0"/>
        <w:tabs>
          <w:tab w:val="num" w:pos="720"/>
        </w:tabs>
        <w:suppressAutoHyphens w:val="0"/>
        <w:adjustRightInd w:val="0"/>
        <w:snapToGrid w:val="0"/>
        <w:spacing w:line="360" w:lineRule="auto"/>
        <w:jc w:val="both"/>
        <w:rPr>
          <w:rFonts w:ascii="Book Antiqua" w:hAnsi="Book Antiqua"/>
          <w:sz w:val="24"/>
          <w:szCs w:val="24"/>
          <w:lang w:val="en-US"/>
        </w:rPr>
      </w:pPr>
      <w:r w:rsidRPr="00A06BF8">
        <w:rPr>
          <w:rFonts w:ascii="Book Antiqua" w:hAnsi="Book Antiqua" w:cs="Arial"/>
          <w:sz w:val="24"/>
          <w:szCs w:val="24"/>
          <w:lang w:val="en-US"/>
        </w:rPr>
        <w:t xml:space="preserve">Mucosal specimens harvested in parallel from the same areas as those for the PCR assay, were fixed in 10% neutral buffered formalin and </w:t>
      </w:r>
      <w:proofErr w:type="spellStart"/>
      <w:r w:rsidRPr="00A06BF8">
        <w:rPr>
          <w:rFonts w:ascii="Book Antiqua" w:hAnsi="Book Antiqua" w:cs="Arial"/>
          <w:sz w:val="24"/>
          <w:szCs w:val="24"/>
          <w:lang w:val="en-US"/>
        </w:rPr>
        <w:t>paraffine</w:t>
      </w:r>
      <w:proofErr w:type="spellEnd"/>
      <w:r w:rsidRPr="00A06BF8">
        <w:rPr>
          <w:rFonts w:ascii="Book Antiqua" w:hAnsi="Book Antiqua" w:cs="Arial"/>
          <w:sz w:val="24"/>
          <w:szCs w:val="24"/>
          <w:lang w:val="en-US"/>
        </w:rPr>
        <w:t>-embedded. Sections (5</w:t>
      </w:r>
      <w:r w:rsidR="00D768A3">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µm) were transferred to pre-treated glass slides (DAKO, Denmark) and stored at 37</w:t>
      </w:r>
      <w:r w:rsidR="00D768A3">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 xml:space="preserve">°C overnight. The </w:t>
      </w:r>
      <w:proofErr w:type="spellStart"/>
      <w:r w:rsidRPr="00A06BF8">
        <w:rPr>
          <w:rFonts w:ascii="Book Antiqua" w:hAnsi="Book Antiqua" w:cs="Arial"/>
          <w:sz w:val="24"/>
          <w:szCs w:val="24"/>
          <w:lang w:val="en-US"/>
        </w:rPr>
        <w:t>hematoxylin</w:t>
      </w:r>
      <w:proofErr w:type="spellEnd"/>
      <w:r w:rsidRPr="00A06BF8">
        <w:rPr>
          <w:rFonts w:ascii="Book Antiqua" w:hAnsi="Book Antiqua" w:cs="Arial"/>
          <w:sz w:val="24"/>
          <w:szCs w:val="24"/>
          <w:lang w:val="en-US"/>
        </w:rPr>
        <w:t xml:space="preserve">-eosin staining was performed following standard protocol, while the specific </w:t>
      </w:r>
      <w:proofErr w:type="spellStart"/>
      <w:r w:rsidRPr="00A06BF8">
        <w:rPr>
          <w:rFonts w:ascii="Book Antiqua" w:hAnsi="Book Antiqua" w:cs="Arial"/>
          <w:sz w:val="24"/>
          <w:szCs w:val="24"/>
          <w:lang w:val="en-US"/>
        </w:rPr>
        <w:t>immunostaining</w:t>
      </w:r>
      <w:proofErr w:type="spellEnd"/>
      <w:r w:rsidRPr="00A06BF8">
        <w:rPr>
          <w:rFonts w:ascii="Book Antiqua" w:hAnsi="Book Antiqua" w:cs="Arial"/>
          <w:sz w:val="24"/>
          <w:szCs w:val="24"/>
          <w:lang w:val="en-US"/>
        </w:rPr>
        <w:t xml:space="preserve"> for HCMV and EBV was carried out on seriate sections after microwave </w:t>
      </w:r>
      <w:proofErr w:type="spellStart"/>
      <w:r w:rsidRPr="00A06BF8">
        <w:rPr>
          <w:rFonts w:ascii="Book Antiqua" w:hAnsi="Book Antiqua" w:cs="Arial"/>
          <w:sz w:val="24"/>
          <w:szCs w:val="24"/>
          <w:lang w:val="en-US"/>
        </w:rPr>
        <w:t>demasking</w:t>
      </w:r>
      <w:proofErr w:type="spellEnd"/>
      <w:r w:rsidRPr="00A06BF8">
        <w:rPr>
          <w:rFonts w:ascii="Book Antiqua" w:hAnsi="Book Antiqua" w:cs="Arial"/>
          <w:sz w:val="24"/>
          <w:szCs w:val="24"/>
          <w:lang w:val="en-US"/>
        </w:rPr>
        <w:t xml:space="preserve"> treatment. The slides were then washed and incubated for two hours with the following mouse monoclonal antibodies: anti-HCMV (clones CCH2 and DDG9 that recognize HCMV immediate-early and early antigens, respectively, at 1:300 dilution; DAKO), and anti-LMP1 (clone CS1-4 reactive to </w:t>
      </w:r>
      <w:r w:rsidRPr="00D768A3">
        <w:rPr>
          <w:rStyle w:val="a4"/>
          <w:rFonts w:ascii="Book Antiqua" w:hAnsi="Book Antiqua" w:cs="Arial"/>
          <w:b w:val="0"/>
          <w:sz w:val="24"/>
          <w:szCs w:val="24"/>
          <w:lang w:val="en-US"/>
        </w:rPr>
        <w:t>EBV</w:t>
      </w:r>
      <w:r w:rsidRPr="00A06BF8">
        <w:rPr>
          <w:rFonts w:ascii="Book Antiqua" w:hAnsi="Book Antiqua" w:cs="Arial"/>
          <w:sz w:val="24"/>
          <w:szCs w:val="24"/>
          <w:lang w:val="en-US"/>
        </w:rPr>
        <w:t xml:space="preserve"> latent membrane protein-1, at 1:100 dilution; DAKO). Finally, a universal </w:t>
      </w:r>
      <w:proofErr w:type="spellStart"/>
      <w:r w:rsidRPr="00A06BF8">
        <w:rPr>
          <w:rFonts w:ascii="Book Antiqua" w:hAnsi="Book Antiqua" w:cs="Arial"/>
          <w:sz w:val="24"/>
          <w:szCs w:val="24"/>
          <w:lang w:val="en-US"/>
        </w:rPr>
        <w:t>biotinylated</w:t>
      </w:r>
      <w:proofErr w:type="spellEnd"/>
      <w:r w:rsidRPr="00A06BF8">
        <w:rPr>
          <w:rFonts w:ascii="Book Antiqua" w:hAnsi="Book Antiqua" w:cs="Arial"/>
          <w:sz w:val="24"/>
          <w:szCs w:val="24"/>
          <w:lang w:val="en-US"/>
        </w:rPr>
        <w:t xml:space="preserve"> secondary antibody (DAKO) was applied, followed by the usual reactions to allow color development (liquid DAB + Substrate </w:t>
      </w:r>
      <w:proofErr w:type="spellStart"/>
      <w:r w:rsidRPr="00A06BF8">
        <w:rPr>
          <w:rFonts w:ascii="Book Antiqua" w:hAnsi="Book Antiqua" w:cs="Arial"/>
          <w:sz w:val="24"/>
          <w:szCs w:val="24"/>
          <w:lang w:val="en-US"/>
        </w:rPr>
        <w:t>Chromogen</w:t>
      </w:r>
      <w:proofErr w:type="spellEnd"/>
      <w:r w:rsidRPr="00A06BF8">
        <w:rPr>
          <w:rFonts w:ascii="Book Antiqua" w:hAnsi="Book Antiqua" w:cs="Arial"/>
          <w:sz w:val="24"/>
          <w:szCs w:val="24"/>
          <w:lang w:val="en-US"/>
        </w:rPr>
        <w:t xml:space="preserve"> System; DAKO) and counterstaining with Harris’ </w:t>
      </w:r>
      <w:proofErr w:type="spellStart"/>
      <w:r w:rsidRPr="00A06BF8">
        <w:rPr>
          <w:rFonts w:ascii="Book Antiqua" w:hAnsi="Book Antiqua" w:cs="Arial"/>
          <w:sz w:val="24"/>
          <w:szCs w:val="24"/>
          <w:lang w:val="en-US"/>
        </w:rPr>
        <w:t>hematoxylin</w:t>
      </w:r>
      <w:proofErr w:type="spellEnd"/>
      <w:r w:rsidRPr="00A06BF8">
        <w:rPr>
          <w:rFonts w:ascii="Book Antiqua" w:hAnsi="Book Antiqua" w:cs="Arial"/>
          <w:sz w:val="24"/>
          <w:szCs w:val="24"/>
          <w:lang w:val="en-US"/>
        </w:rPr>
        <w:t>. Appropriate positive controls and non-immune protein-negative controls were used, and positive cells were evaluated by a pathologist blinded to patient diagnosis and clinical disease status</w:t>
      </w:r>
      <w:r w:rsidRPr="00A06BF8">
        <w:rPr>
          <w:rFonts w:ascii="Book Antiqua" w:hAnsi="Book Antiqua"/>
          <w:sz w:val="24"/>
          <w:szCs w:val="24"/>
          <w:lang w:val="en-US"/>
        </w:rPr>
        <w:t>.</w:t>
      </w:r>
    </w:p>
    <w:p w:rsidR="005F5182" w:rsidRDefault="005F5182" w:rsidP="00093495">
      <w:pPr>
        <w:widowControl w:val="0"/>
        <w:suppressAutoHyphens w:val="0"/>
        <w:adjustRightInd w:val="0"/>
        <w:snapToGrid w:val="0"/>
        <w:spacing w:line="360" w:lineRule="auto"/>
        <w:jc w:val="both"/>
        <w:rPr>
          <w:rFonts w:ascii="Book Antiqua" w:eastAsiaTheme="minorEastAsia" w:hAnsi="Book Antiqua" w:cs="Arial"/>
          <w:b/>
          <w:bCs/>
          <w:sz w:val="24"/>
          <w:szCs w:val="24"/>
          <w:lang w:val="en-US"/>
        </w:rPr>
      </w:pPr>
    </w:p>
    <w:p w:rsidR="005F5182" w:rsidRPr="005F5182" w:rsidRDefault="009064E0" w:rsidP="00093495">
      <w:pPr>
        <w:widowControl w:val="0"/>
        <w:suppressAutoHyphens w:val="0"/>
        <w:adjustRightInd w:val="0"/>
        <w:snapToGrid w:val="0"/>
        <w:spacing w:line="360" w:lineRule="auto"/>
        <w:jc w:val="both"/>
        <w:rPr>
          <w:rFonts w:ascii="Book Antiqua" w:eastAsiaTheme="minorEastAsia" w:hAnsi="Book Antiqua" w:cs="Arial"/>
          <w:b/>
          <w:bCs/>
          <w:i/>
          <w:sz w:val="24"/>
          <w:szCs w:val="24"/>
          <w:lang w:val="en-US"/>
        </w:rPr>
      </w:pPr>
      <w:r w:rsidRPr="005F5182">
        <w:rPr>
          <w:rFonts w:ascii="Book Antiqua" w:hAnsi="Book Antiqua" w:cs="Arial"/>
          <w:b/>
          <w:bCs/>
          <w:i/>
          <w:sz w:val="24"/>
          <w:szCs w:val="24"/>
          <w:lang w:val="en-US"/>
        </w:rPr>
        <w:t>Statistical analysis</w:t>
      </w:r>
    </w:p>
    <w:p w:rsidR="009064E0" w:rsidRDefault="009064E0" w:rsidP="00093495">
      <w:pPr>
        <w:widowControl w:val="0"/>
        <w:suppressAutoHyphens w:val="0"/>
        <w:adjustRightInd w:val="0"/>
        <w:snapToGrid w:val="0"/>
        <w:spacing w:line="360" w:lineRule="auto"/>
        <w:jc w:val="both"/>
        <w:rPr>
          <w:rFonts w:ascii="Book Antiqua" w:eastAsiaTheme="minorEastAsia" w:hAnsi="Book Antiqua" w:cs="Arial"/>
          <w:sz w:val="24"/>
          <w:szCs w:val="24"/>
          <w:lang w:val="en-US"/>
        </w:rPr>
      </w:pPr>
      <w:r w:rsidRPr="00A06BF8">
        <w:rPr>
          <w:rFonts w:ascii="Book Antiqua" w:hAnsi="Book Antiqua" w:cs="Arial"/>
          <w:bCs/>
          <w:sz w:val="24"/>
          <w:szCs w:val="24"/>
          <w:lang w:val="en-US"/>
        </w:rPr>
        <w:t>Baseline demographic and disease features are presented by using descriptive statistics. As such, continuous variables were described as median, while categorical variables were expressed as counts and percentages, all with range</w:t>
      </w:r>
      <w:r w:rsidRPr="00A06BF8">
        <w:rPr>
          <w:rFonts w:ascii="Book Antiqua" w:hAnsi="Book Antiqua" w:cs="Arial"/>
          <w:sz w:val="24"/>
          <w:szCs w:val="24"/>
          <w:lang w:val="en-US"/>
        </w:rPr>
        <w:t xml:space="preserve">. The </w:t>
      </w:r>
      <w:proofErr w:type="spellStart"/>
      <w:r w:rsidRPr="00A06BF8">
        <w:rPr>
          <w:rFonts w:ascii="Book Antiqua" w:hAnsi="Book Antiqua" w:cs="Arial"/>
          <w:sz w:val="24"/>
          <w:szCs w:val="24"/>
          <w:lang w:val="en-US"/>
        </w:rPr>
        <w:t>univariate</w:t>
      </w:r>
      <w:proofErr w:type="spellEnd"/>
      <w:r w:rsidRPr="00A06BF8">
        <w:rPr>
          <w:rFonts w:ascii="Book Antiqua" w:hAnsi="Book Antiqua" w:cs="Arial"/>
          <w:sz w:val="24"/>
          <w:szCs w:val="24"/>
          <w:lang w:val="en-US"/>
        </w:rPr>
        <w:t xml:space="preserve"> analysis was carried out to compare data between groups by applying the following tests: Fisher’s exact test or Wilcoxon matched </w:t>
      </w:r>
      <w:proofErr w:type="gramStart"/>
      <w:r w:rsidRPr="00A06BF8">
        <w:rPr>
          <w:rFonts w:ascii="Book Antiqua" w:hAnsi="Book Antiqua" w:cs="Arial"/>
          <w:sz w:val="24"/>
          <w:szCs w:val="24"/>
          <w:lang w:val="en-US"/>
        </w:rPr>
        <w:t>pairs</w:t>
      </w:r>
      <w:proofErr w:type="gramEnd"/>
      <w:r w:rsidRPr="00A06BF8">
        <w:rPr>
          <w:rFonts w:ascii="Book Antiqua" w:hAnsi="Book Antiqua" w:cs="Arial"/>
          <w:sz w:val="24"/>
          <w:szCs w:val="24"/>
          <w:lang w:val="en-US"/>
        </w:rPr>
        <w:t xml:space="preserve"> signed-ranks, and Mann-Whitney or </w:t>
      </w:r>
      <w:proofErr w:type="spellStart"/>
      <w:r w:rsidRPr="00A06BF8">
        <w:rPr>
          <w:rFonts w:ascii="Book Antiqua" w:hAnsi="Book Antiqua" w:cs="Arial"/>
          <w:sz w:val="24"/>
          <w:szCs w:val="24"/>
          <w:lang w:val="en-US"/>
        </w:rPr>
        <w:t>Kruskal</w:t>
      </w:r>
      <w:proofErr w:type="spellEnd"/>
      <w:r w:rsidRPr="00A06BF8">
        <w:rPr>
          <w:rFonts w:ascii="Book Antiqua" w:hAnsi="Book Antiqua" w:cs="Arial"/>
          <w:sz w:val="24"/>
          <w:szCs w:val="24"/>
          <w:lang w:val="en-US"/>
        </w:rPr>
        <w:t xml:space="preserve">-Wallis, for </w:t>
      </w:r>
      <w:r w:rsidRPr="00A06BF8">
        <w:rPr>
          <w:rFonts w:ascii="Book Antiqua" w:hAnsi="Book Antiqua" w:cs="Arial"/>
          <w:sz w:val="24"/>
          <w:szCs w:val="24"/>
          <w:lang w:val="en-US"/>
        </w:rPr>
        <w:lastRenderedPageBreak/>
        <w:t xml:space="preserve">categorical and continuous variables, respectively, as appropriate. The multiple regression analysis was performed to assess the association between possible risk factors and the occurrence of viral infections. The individual demographic and clinical variables (including gender, age, body mass index, smoking habits, duration of </w:t>
      </w:r>
      <w:proofErr w:type="gramStart"/>
      <w:r w:rsidRPr="00A06BF8">
        <w:rPr>
          <w:rFonts w:ascii="Book Antiqua" w:hAnsi="Book Antiqua" w:cs="Arial"/>
          <w:sz w:val="24"/>
          <w:szCs w:val="24"/>
          <w:lang w:val="en-US"/>
        </w:rPr>
        <w:t>both therapies</w:t>
      </w:r>
      <w:proofErr w:type="gramEnd"/>
      <w:r w:rsidRPr="00A06BF8">
        <w:rPr>
          <w:rFonts w:ascii="Book Antiqua" w:hAnsi="Book Antiqua" w:cs="Arial"/>
          <w:sz w:val="24"/>
          <w:szCs w:val="24"/>
          <w:lang w:val="en-US"/>
        </w:rPr>
        <w:t xml:space="preserve"> and disease, concomitant immunosuppressive therapy, clinical and endoscopic indexes of activity) were considered as risk factors. The Spearman rank correlation test was applied to measure the association between continuous variables, and the calculation of the odds ratios (OR) at 95% confidence intervals was assessed. </w:t>
      </w:r>
      <w:proofErr w:type="spellStart"/>
      <w:r w:rsidRPr="00A06BF8">
        <w:rPr>
          <w:rFonts w:ascii="Book Antiqua" w:hAnsi="Book Antiqua" w:cs="Arial"/>
          <w:sz w:val="24"/>
          <w:szCs w:val="24"/>
          <w:lang w:val="en-US"/>
        </w:rPr>
        <w:t>GraphPad</w:t>
      </w:r>
      <w:proofErr w:type="spellEnd"/>
      <w:r w:rsidRPr="00A06BF8">
        <w:rPr>
          <w:rFonts w:ascii="Book Antiqua" w:hAnsi="Book Antiqua" w:cs="Arial"/>
          <w:sz w:val="24"/>
          <w:szCs w:val="24"/>
          <w:lang w:val="en-US"/>
        </w:rPr>
        <w:t xml:space="preserve"> </w:t>
      </w:r>
      <w:proofErr w:type="spellStart"/>
      <w:r w:rsidRPr="00A06BF8">
        <w:rPr>
          <w:rFonts w:ascii="Book Antiqua" w:hAnsi="Book Antiqua" w:cs="Arial"/>
          <w:sz w:val="24"/>
          <w:szCs w:val="24"/>
          <w:lang w:val="en-US"/>
        </w:rPr>
        <w:t>InStat</w:t>
      </w:r>
      <w:proofErr w:type="spellEnd"/>
      <w:r w:rsidRPr="00A06BF8">
        <w:rPr>
          <w:rFonts w:ascii="Book Antiqua" w:hAnsi="Book Antiqua" w:cs="Arial"/>
          <w:sz w:val="24"/>
          <w:szCs w:val="24"/>
          <w:lang w:val="en-US"/>
        </w:rPr>
        <w:t xml:space="preserve"> 3.0 was used for computation. A 2-sided </w:t>
      </w:r>
      <w:r w:rsidRPr="005F5182">
        <w:rPr>
          <w:rFonts w:ascii="Book Antiqua" w:hAnsi="Book Antiqua" w:cs="Arial"/>
          <w:i/>
          <w:sz w:val="24"/>
          <w:szCs w:val="24"/>
          <w:lang w:val="en-US"/>
        </w:rPr>
        <w:t>P</w:t>
      </w:r>
      <w:r w:rsidRPr="00A06BF8">
        <w:rPr>
          <w:rFonts w:ascii="Book Antiqua" w:hAnsi="Book Antiqua" w:cs="Arial"/>
          <w:sz w:val="24"/>
          <w:szCs w:val="24"/>
          <w:lang w:val="en-US"/>
        </w:rPr>
        <w:t xml:space="preserve">-value </w:t>
      </w:r>
      <w:r w:rsidRPr="00A06BF8">
        <w:rPr>
          <w:rFonts w:ascii="Book Antiqua" w:hAnsi="Book Antiqua"/>
          <w:sz w:val="24"/>
          <w:szCs w:val="24"/>
          <w:lang w:val="en-US"/>
        </w:rPr>
        <w:t xml:space="preserve">≤ </w:t>
      </w:r>
      <w:r w:rsidRPr="00A06BF8">
        <w:rPr>
          <w:rFonts w:ascii="Book Antiqua" w:hAnsi="Book Antiqua" w:cs="Arial"/>
          <w:sz w:val="24"/>
          <w:szCs w:val="24"/>
          <w:lang w:val="en-US"/>
        </w:rPr>
        <w:t>0.05 was considered statistically significant.</w:t>
      </w:r>
    </w:p>
    <w:p w:rsidR="005F5182" w:rsidRPr="005F5182" w:rsidRDefault="005F5182"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p>
    <w:p w:rsidR="005F5182" w:rsidRPr="005F5182" w:rsidRDefault="009064E0" w:rsidP="00093495">
      <w:pPr>
        <w:widowControl w:val="0"/>
        <w:suppressAutoHyphens w:val="0"/>
        <w:adjustRightInd w:val="0"/>
        <w:snapToGrid w:val="0"/>
        <w:spacing w:line="360" w:lineRule="auto"/>
        <w:jc w:val="both"/>
        <w:rPr>
          <w:rFonts w:ascii="Book Antiqua" w:eastAsiaTheme="minorEastAsia" w:hAnsi="Book Antiqua" w:cs="Arial"/>
          <w:b/>
          <w:bCs/>
          <w:i/>
          <w:sz w:val="24"/>
          <w:szCs w:val="24"/>
          <w:lang w:val="en-US"/>
        </w:rPr>
      </w:pPr>
      <w:r w:rsidRPr="005F5182">
        <w:rPr>
          <w:rFonts w:ascii="Book Antiqua" w:hAnsi="Book Antiqua" w:cs="Arial"/>
          <w:b/>
          <w:bCs/>
          <w:i/>
          <w:sz w:val="24"/>
          <w:szCs w:val="24"/>
          <w:lang w:val="en-US"/>
        </w:rPr>
        <w:t>Ethical considerations</w:t>
      </w:r>
    </w:p>
    <w:p w:rsidR="009064E0" w:rsidRPr="00A06BF8" w:rsidRDefault="009064E0" w:rsidP="00093495">
      <w:pPr>
        <w:widowControl w:val="0"/>
        <w:suppressAutoHyphens w:val="0"/>
        <w:adjustRightInd w:val="0"/>
        <w:snapToGrid w:val="0"/>
        <w:spacing w:line="360" w:lineRule="auto"/>
        <w:jc w:val="both"/>
        <w:rPr>
          <w:rFonts w:ascii="Book Antiqua" w:hAnsi="Book Antiqua" w:cs="Arial"/>
          <w:b/>
          <w:sz w:val="24"/>
          <w:szCs w:val="24"/>
          <w:lang w:val="en-US"/>
        </w:rPr>
      </w:pPr>
      <w:r w:rsidRPr="00A06BF8">
        <w:rPr>
          <w:rFonts w:ascii="Book Antiqua" w:hAnsi="Book Antiqua" w:cs="Arial"/>
          <w:sz w:val="24"/>
          <w:szCs w:val="24"/>
          <w:lang w:val="en-US"/>
        </w:rPr>
        <w:t xml:space="preserve">All samples were collected for diagnostic purposes and only </w:t>
      </w:r>
      <w:r w:rsidRPr="00A06BF8">
        <w:rPr>
          <w:rFonts w:ascii="Book Antiqua" w:hAnsi="Book Antiqua" w:cs="Arial"/>
          <w:color w:val="231F20"/>
          <w:sz w:val="24"/>
          <w:szCs w:val="24"/>
          <w:lang w:val="en-US"/>
        </w:rPr>
        <w:t xml:space="preserve">residual aliquots of both peripheral </w:t>
      </w:r>
      <w:r w:rsidRPr="00A06BF8">
        <w:rPr>
          <w:rFonts w:ascii="Book Antiqua" w:hAnsi="Book Antiqua" w:cs="Arial"/>
          <w:sz w:val="24"/>
          <w:szCs w:val="24"/>
          <w:lang w:val="en-US"/>
        </w:rPr>
        <w:t>blood and mucosal specimens from control subjects were used, after the subjects had signed the informed consent, and in accordance with the recommendations of the local Bio-Ethics Committee.</w:t>
      </w:r>
    </w:p>
    <w:p w:rsidR="005F5182" w:rsidRDefault="005F5182" w:rsidP="00093495">
      <w:pPr>
        <w:widowControl w:val="0"/>
        <w:suppressAutoHyphens w:val="0"/>
        <w:adjustRightInd w:val="0"/>
        <w:snapToGrid w:val="0"/>
        <w:spacing w:line="360" w:lineRule="auto"/>
        <w:jc w:val="both"/>
        <w:rPr>
          <w:rFonts w:ascii="Book Antiqua" w:eastAsiaTheme="minorEastAsia" w:hAnsi="Book Antiqua" w:cs="Arial"/>
          <w:b/>
          <w:caps/>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Arial"/>
          <w:bCs/>
          <w:sz w:val="24"/>
          <w:szCs w:val="24"/>
          <w:lang w:val="en-US"/>
        </w:rPr>
      </w:pPr>
      <w:r w:rsidRPr="00A06BF8">
        <w:rPr>
          <w:rFonts w:ascii="Book Antiqua" w:hAnsi="Book Antiqua" w:cs="Arial"/>
          <w:b/>
          <w:caps/>
          <w:sz w:val="24"/>
          <w:szCs w:val="24"/>
          <w:lang w:val="en-US"/>
        </w:rPr>
        <w:t>Results</w:t>
      </w:r>
    </w:p>
    <w:p w:rsidR="005F5182" w:rsidRPr="005F5182" w:rsidRDefault="009064E0" w:rsidP="00093495">
      <w:pPr>
        <w:widowControl w:val="0"/>
        <w:suppressAutoHyphens w:val="0"/>
        <w:adjustRightInd w:val="0"/>
        <w:snapToGrid w:val="0"/>
        <w:spacing w:line="360" w:lineRule="auto"/>
        <w:jc w:val="both"/>
        <w:rPr>
          <w:rFonts w:ascii="Book Antiqua" w:eastAsiaTheme="minorEastAsia" w:hAnsi="Book Antiqua" w:cs="Arial"/>
          <w:b/>
          <w:i/>
          <w:sz w:val="24"/>
          <w:szCs w:val="24"/>
          <w:lang w:val="en-US"/>
        </w:rPr>
      </w:pPr>
      <w:r w:rsidRPr="005F5182">
        <w:rPr>
          <w:rFonts w:ascii="Book Antiqua" w:hAnsi="Book Antiqua" w:cs="Arial"/>
          <w:b/>
          <w:i/>
          <w:sz w:val="24"/>
          <w:szCs w:val="24"/>
          <w:lang w:val="en-US"/>
        </w:rPr>
        <w:t>Study population</w:t>
      </w: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 xml:space="preserve">A total of 17 refractory and 23 non-refractory IBD patients, and 40 control subjects whose clinical features are presented in Table 1 were consecutively recruited at the Department of Internal Medicine, IRCCS </w:t>
      </w:r>
      <w:proofErr w:type="spellStart"/>
      <w:r w:rsidRPr="00A06BF8">
        <w:rPr>
          <w:rFonts w:ascii="Book Antiqua" w:hAnsi="Book Antiqua" w:cs="Arial"/>
          <w:sz w:val="24"/>
          <w:szCs w:val="24"/>
          <w:lang w:val="en-US"/>
        </w:rPr>
        <w:t>Policlinico</w:t>
      </w:r>
      <w:proofErr w:type="spellEnd"/>
      <w:r w:rsidRPr="00A06BF8">
        <w:rPr>
          <w:rFonts w:ascii="Book Antiqua" w:hAnsi="Book Antiqua" w:cs="Arial"/>
          <w:sz w:val="24"/>
          <w:szCs w:val="24"/>
          <w:lang w:val="en-US"/>
        </w:rPr>
        <w:t xml:space="preserve"> San Matteo Foundation (Pavia, Italy). Specifically, all refractory patients were admitted to the hospital for severe active disease, while in the non-refractory group, the hospitalization rate was 39%.</w:t>
      </w:r>
    </w:p>
    <w:p w:rsidR="005F5182" w:rsidRDefault="005F5182" w:rsidP="00093495">
      <w:pPr>
        <w:widowControl w:val="0"/>
        <w:suppressAutoHyphens w:val="0"/>
        <w:autoSpaceDE w:val="0"/>
        <w:adjustRightInd w:val="0"/>
        <w:snapToGrid w:val="0"/>
        <w:spacing w:line="360" w:lineRule="auto"/>
        <w:jc w:val="both"/>
        <w:rPr>
          <w:rFonts w:ascii="Book Antiqua" w:eastAsiaTheme="minorEastAsia" w:hAnsi="Book Antiqua" w:cs="Arial"/>
          <w:b/>
          <w:sz w:val="24"/>
          <w:szCs w:val="24"/>
          <w:lang w:val="en-US"/>
        </w:rPr>
      </w:pPr>
    </w:p>
    <w:p w:rsidR="005F5182" w:rsidRPr="005F5182" w:rsidRDefault="009064E0" w:rsidP="00093495">
      <w:pPr>
        <w:widowControl w:val="0"/>
        <w:suppressAutoHyphens w:val="0"/>
        <w:autoSpaceDE w:val="0"/>
        <w:adjustRightInd w:val="0"/>
        <w:snapToGrid w:val="0"/>
        <w:spacing w:line="360" w:lineRule="auto"/>
        <w:jc w:val="both"/>
        <w:rPr>
          <w:rFonts w:ascii="Book Antiqua" w:eastAsiaTheme="minorEastAsia" w:hAnsi="Book Antiqua" w:cs="Arial"/>
          <w:b/>
          <w:i/>
          <w:sz w:val="24"/>
          <w:szCs w:val="24"/>
          <w:lang w:val="en-US"/>
        </w:rPr>
      </w:pPr>
      <w:r w:rsidRPr="005F5182">
        <w:rPr>
          <w:rFonts w:ascii="Book Antiqua" w:hAnsi="Book Antiqua" w:cs="Arial"/>
          <w:b/>
          <w:i/>
          <w:sz w:val="24"/>
          <w:szCs w:val="24"/>
          <w:lang w:val="en-US"/>
        </w:rPr>
        <w:t>Mucosal viral load</w:t>
      </w:r>
    </w:p>
    <w:p w:rsidR="009064E0" w:rsidRPr="00A06BF8" w:rsidRDefault="009064E0" w:rsidP="00093495">
      <w:pPr>
        <w:widowControl w:val="0"/>
        <w:suppressAutoHyphens w:val="0"/>
        <w:autoSpaceDE w:val="0"/>
        <w:adjustRightInd w:val="0"/>
        <w:snapToGrid w:val="0"/>
        <w:spacing w:line="360" w:lineRule="auto"/>
        <w:jc w:val="both"/>
        <w:rPr>
          <w:rFonts w:ascii="Book Antiqua" w:hAnsi="Book Antiqua" w:cs="Arial"/>
          <w:b/>
          <w:sz w:val="24"/>
          <w:szCs w:val="24"/>
          <w:lang w:val="en-US"/>
        </w:rPr>
      </w:pPr>
      <w:r w:rsidRPr="00A06BF8">
        <w:rPr>
          <w:rFonts w:ascii="Book Antiqua" w:hAnsi="Book Antiqua" w:cs="Arial"/>
          <w:sz w:val="24"/>
          <w:szCs w:val="24"/>
          <w:lang w:val="en-US"/>
        </w:rPr>
        <w:t>Detectable copies of viral DNA</w:t>
      </w:r>
      <w:r w:rsidRPr="00A06BF8">
        <w:rPr>
          <w:rFonts w:ascii="Book Antiqua" w:hAnsi="Book Antiqua" w:cs="Arial"/>
          <w:b/>
          <w:sz w:val="24"/>
          <w:szCs w:val="24"/>
          <w:lang w:val="en-US"/>
        </w:rPr>
        <w:t xml:space="preserve"> </w:t>
      </w:r>
      <w:r w:rsidRPr="00A06BF8">
        <w:rPr>
          <w:rFonts w:ascii="Book Antiqua" w:hAnsi="Book Antiqua" w:cs="Arial"/>
          <w:sz w:val="24"/>
          <w:szCs w:val="24"/>
          <w:lang w:val="en-US"/>
        </w:rPr>
        <w:t xml:space="preserve">were found in all (17/17, 100%) refractory, 13 out of 23 (56.5%) non-refractory IBD patients, and 13 out of 40 (32.5%) controls, with </w:t>
      </w:r>
      <w:r w:rsidRPr="00A06BF8">
        <w:rPr>
          <w:rFonts w:ascii="Book Antiqua" w:hAnsi="Book Antiqua" w:cs="Arial"/>
          <w:color w:val="000000"/>
          <w:sz w:val="24"/>
          <w:szCs w:val="24"/>
          <w:lang w:val="en-US"/>
        </w:rPr>
        <w:t>HCMV DNA evident in four refractory and five non-refractory IBD patients, and two controls, EBV DNA found in nine refractory and eight non-refractory IBD patients, and 11 controls, and double positivity found only in four refractory patients. T</w:t>
      </w:r>
      <w:r w:rsidRPr="00A06BF8">
        <w:rPr>
          <w:rFonts w:ascii="Book Antiqua" w:hAnsi="Book Antiqua" w:cs="Arial"/>
          <w:sz w:val="24"/>
          <w:szCs w:val="24"/>
          <w:lang w:val="en-US"/>
        </w:rPr>
        <w:t>he median values with ranges of DNA copies of both viruses, as obtained by pooling together the data from all colonic segments of each patient and then, in the IBD groups, from both inflamed and non-</w:t>
      </w:r>
      <w:r w:rsidRPr="00A06BF8">
        <w:rPr>
          <w:rFonts w:ascii="Book Antiqua" w:hAnsi="Book Antiqua" w:cs="Arial"/>
          <w:sz w:val="24"/>
          <w:szCs w:val="24"/>
          <w:lang w:val="en-US"/>
        </w:rPr>
        <w:lastRenderedPageBreak/>
        <w:t xml:space="preserve">inflamed mucosa, are shown in Table 2. It is worth of noting that </w:t>
      </w:r>
      <w:r w:rsidRPr="00A06BF8">
        <w:rPr>
          <w:rFonts w:ascii="Book Antiqua" w:hAnsi="Book Antiqua" w:cs="Arial"/>
          <w:color w:val="000000"/>
          <w:sz w:val="24"/>
          <w:szCs w:val="24"/>
          <w:lang w:val="en-US"/>
        </w:rPr>
        <w:t>t</w:t>
      </w:r>
      <w:r w:rsidRPr="00A06BF8">
        <w:rPr>
          <w:rFonts w:ascii="Book Antiqua" w:hAnsi="Book Antiqua" w:cs="Arial"/>
          <w:sz w:val="24"/>
          <w:szCs w:val="24"/>
          <w:lang w:val="en-US"/>
        </w:rPr>
        <w:t xml:space="preserve">he median values for both HCMV (Figure 1, panel A) and EBV (Figure 1, panel B) were significantly higher in refractory IBD compared to non-refractory IBD patients and controls, while non-refractory IBD patients did not show significantly different values compared to controls (Figure 1, panels A and B). Moreover, refractory IBD patients invariably showed DNA peak values </w:t>
      </w:r>
      <w:r w:rsidR="005F5182" w:rsidRPr="005F5182">
        <w:rPr>
          <w:rFonts w:ascii="Book Antiqua" w:hAnsi="Book Antiqua"/>
          <w:sz w:val="24"/>
          <w:szCs w:val="24"/>
          <w:lang w:val="en-US"/>
        </w:rPr>
        <w:t>≥</w:t>
      </w:r>
      <w:r w:rsidR="005F5182" w:rsidRPr="005F5182">
        <w:rPr>
          <w:rFonts w:ascii="Book Antiqua" w:eastAsiaTheme="minorEastAsia" w:hAnsi="Book Antiqua" w:cs="Arial"/>
          <w:sz w:val="24"/>
          <w:szCs w:val="24"/>
          <w:u w:val="single"/>
          <w:lang w:val="en-US"/>
        </w:rPr>
        <w:t xml:space="preserve"> </w:t>
      </w:r>
      <w:r w:rsidRPr="00A06BF8">
        <w:rPr>
          <w:rFonts w:ascii="Book Antiqua" w:hAnsi="Book Antiqua" w:cs="Arial"/>
          <w:sz w:val="24"/>
          <w:szCs w:val="24"/>
          <w:lang w:val="en-US"/>
        </w:rPr>
        <w:t>10</w:t>
      </w:r>
      <w:r w:rsidRPr="00A06BF8">
        <w:rPr>
          <w:rFonts w:ascii="Book Antiqua" w:hAnsi="Book Antiqua" w:cs="Arial"/>
          <w:sz w:val="24"/>
          <w:szCs w:val="24"/>
          <w:vertAlign w:val="superscript"/>
          <w:lang w:val="en-US"/>
        </w:rPr>
        <w:t xml:space="preserve">3 </w:t>
      </w:r>
      <w:r w:rsidRPr="00A06BF8">
        <w:rPr>
          <w:rFonts w:ascii="Book Antiqua" w:hAnsi="Book Antiqua" w:cs="Arial"/>
          <w:sz w:val="24"/>
          <w:szCs w:val="24"/>
          <w:lang w:val="en-US"/>
        </w:rPr>
        <w:t>copies/10</w:t>
      </w:r>
      <w:r w:rsidRPr="00A06BF8">
        <w:rPr>
          <w:rFonts w:ascii="Book Antiqua" w:hAnsi="Book Antiqua" w:cs="Arial"/>
          <w:sz w:val="24"/>
          <w:szCs w:val="24"/>
          <w:vertAlign w:val="superscript"/>
          <w:lang w:val="en-US"/>
        </w:rPr>
        <w:t>5</w:t>
      </w:r>
      <w:r w:rsidRPr="00A06BF8">
        <w:rPr>
          <w:rFonts w:ascii="Book Antiqua" w:hAnsi="Book Antiqua" w:cs="Arial"/>
          <w:sz w:val="24"/>
          <w:szCs w:val="24"/>
          <w:lang w:val="en-US"/>
        </w:rPr>
        <w:t xml:space="preserve"> cells in at least one colonic segment, while patients with non-refractory IBD and controls displayed viral DNA peak levels below 10</w:t>
      </w:r>
      <w:r w:rsidRPr="00A06BF8">
        <w:rPr>
          <w:rFonts w:ascii="Book Antiqua" w:hAnsi="Book Antiqua" w:cs="Arial"/>
          <w:sz w:val="24"/>
          <w:szCs w:val="24"/>
          <w:vertAlign w:val="superscript"/>
          <w:lang w:val="en-US"/>
        </w:rPr>
        <w:t xml:space="preserve">3 </w:t>
      </w:r>
      <w:r w:rsidRPr="00A06BF8">
        <w:rPr>
          <w:rFonts w:ascii="Book Antiqua" w:hAnsi="Book Antiqua" w:cs="Arial"/>
          <w:sz w:val="24"/>
          <w:szCs w:val="24"/>
          <w:lang w:val="en-US"/>
        </w:rPr>
        <w:t>and 10</w:t>
      </w:r>
      <w:r w:rsidRPr="00A06BF8">
        <w:rPr>
          <w:rFonts w:ascii="Book Antiqua" w:hAnsi="Book Antiqua" w:cs="Arial"/>
          <w:sz w:val="24"/>
          <w:szCs w:val="24"/>
          <w:vertAlign w:val="superscript"/>
          <w:lang w:val="en-US"/>
        </w:rPr>
        <w:t xml:space="preserve">2 </w:t>
      </w:r>
      <w:r w:rsidRPr="00A06BF8">
        <w:rPr>
          <w:rFonts w:ascii="Book Antiqua" w:hAnsi="Book Antiqua" w:cs="Arial"/>
          <w:sz w:val="24"/>
          <w:szCs w:val="24"/>
          <w:lang w:val="en-US"/>
        </w:rPr>
        <w:t>copies/10</w:t>
      </w:r>
      <w:r w:rsidRPr="00A06BF8">
        <w:rPr>
          <w:rFonts w:ascii="Book Antiqua" w:hAnsi="Book Antiqua" w:cs="Arial"/>
          <w:sz w:val="24"/>
          <w:szCs w:val="24"/>
          <w:vertAlign w:val="superscript"/>
          <w:lang w:val="en-US"/>
        </w:rPr>
        <w:t>5</w:t>
      </w:r>
      <w:r w:rsidRPr="00A06BF8">
        <w:rPr>
          <w:rFonts w:ascii="Book Antiqua" w:hAnsi="Book Antiqua" w:cs="Arial"/>
          <w:sz w:val="24"/>
          <w:szCs w:val="24"/>
          <w:lang w:val="en-US"/>
        </w:rPr>
        <w:t xml:space="preserve"> cells, respectively (Figure 1, panels A and B). Finally, upon analyzing the viral DNA loads within the refractory IBD group, the median values were found to be significantly higher in diseased </w:t>
      </w:r>
      <w:r w:rsidRPr="00A06BF8">
        <w:rPr>
          <w:rFonts w:ascii="Book Antiqua" w:hAnsi="Book Antiqua" w:cs="Arial"/>
          <w:i/>
          <w:sz w:val="24"/>
          <w:szCs w:val="24"/>
          <w:lang w:val="en-US"/>
        </w:rPr>
        <w:t>vs</w:t>
      </w:r>
      <w:r w:rsidRPr="00A06BF8">
        <w:rPr>
          <w:rFonts w:ascii="Book Antiqua" w:hAnsi="Book Antiqua" w:cs="Arial"/>
          <w:sz w:val="24"/>
          <w:szCs w:val="24"/>
          <w:lang w:val="en-US"/>
        </w:rPr>
        <w:t xml:space="preserve"> non-diseased mucosa (Figure 1, panels C and D), whilst no difference was found when the median viral DNA levels of non-diseased mucosa were compared with those found in both non-refractory IBD patients and controls. It is worth noting that there was a positive correlation (</w:t>
      </w:r>
      <w:r w:rsidRPr="00A06BF8">
        <w:rPr>
          <w:rFonts w:ascii="Book Antiqua" w:hAnsi="Book Antiqua" w:cs="Arial"/>
          <w:i/>
          <w:sz w:val="24"/>
          <w:szCs w:val="24"/>
          <w:lang w:val="en-US"/>
        </w:rPr>
        <w:t>r</w:t>
      </w:r>
      <w:r w:rsidR="005F5182">
        <w:rPr>
          <w:rFonts w:ascii="Book Antiqua" w:eastAsiaTheme="minorEastAsia" w:hAnsi="Book Antiqua" w:cs="Arial" w:hint="eastAsia"/>
          <w:i/>
          <w:sz w:val="24"/>
          <w:szCs w:val="24"/>
          <w:lang w:val="en-US"/>
        </w:rPr>
        <w:t xml:space="preserve"> </w:t>
      </w:r>
      <w:r w:rsidRPr="00A06BF8">
        <w:rPr>
          <w:rFonts w:ascii="Book Antiqua" w:hAnsi="Book Antiqua" w:cs="Arial"/>
          <w:sz w:val="24"/>
          <w:szCs w:val="24"/>
          <w:lang w:val="en-US"/>
        </w:rPr>
        <w:t>=</w:t>
      </w:r>
      <w:r w:rsidR="005F5182">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 xml:space="preserve">0.71 and 0.79 for HCMV and EBV, respectively) between the mucosal viral load in the refractory IBD and the degree of endoscopic activity (Table 1). In this regard, a narrow overlap between the extension and severity of mucosal lesions with the viral load distribution was invariably found (representative cases are shown in Figure 2). By contrast, no correlation between viral load and clinical indexes of disease activity and no preferential association between HCMV </w:t>
      </w:r>
      <w:proofErr w:type="gramStart"/>
      <w:r w:rsidRPr="00A06BF8">
        <w:rPr>
          <w:rFonts w:ascii="Book Antiqua" w:hAnsi="Book Antiqua" w:cs="Arial"/>
          <w:sz w:val="24"/>
          <w:szCs w:val="24"/>
          <w:lang w:val="en-US"/>
        </w:rPr>
        <w:t>or</w:t>
      </w:r>
      <w:proofErr w:type="gramEnd"/>
      <w:r w:rsidRPr="00A06BF8">
        <w:rPr>
          <w:rFonts w:ascii="Book Antiqua" w:hAnsi="Book Antiqua" w:cs="Arial"/>
          <w:sz w:val="24"/>
          <w:szCs w:val="24"/>
          <w:lang w:val="en-US"/>
        </w:rPr>
        <w:t xml:space="preserve"> EBV with UC or CD were observed. </w:t>
      </w:r>
    </w:p>
    <w:p w:rsidR="005F5182" w:rsidRDefault="005F5182" w:rsidP="00093495">
      <w:pPr>
        <w:widowControl w:val="0"/>
        <w:suppressAutoHyphens w:val="0"/>
        <w:autoSpaceDE w:val="0"/>
        <w:adjustRightInd w:val="0"/>
        <w:snapToGrid w:val="0"/>
        <w:spacing w:line="360" w:lineRule="auto"/>
        <w:jc w:val="both"/>
        <w:rPr>
          <w:rFonts w:ascii="Book Antiqua" w:eastAsiaTheme="minorEastAsia" w:hAnsi="Book Antiqua" w:cs="Arial"/>
          <w:b/>
          <w:sz w:val="24"/>
          <w:szCs w:val="24"/>
          <w:lang w:val="en-US"/>
        </w:rPr>
      </w:pPr>
    </w:p>
    <w:p w:rsidR="005F5182" w:rsidRPr="005F5182" w:rsidRDefault="009064E0" w:rsidP="00093495">
      <w:pPr>
        <w:widowControl w:val="0"/>
        <w:suppressAutoHyphens w:val="0"/>
        <w:autoSpaceDE w:val="0"/>
        <w:adjustRightInd w:val="0"/>
        <w:snapToGrid w:val="0"/>
        <w:spacing w:line="360" w:lineRule="auto"/>
        <w:jc w:val="both"/>
        <w:rPr>
          <w:rFonts w:ascii="Book Antiqua" w:eastAsiaTheme="minorEastAsia" w:hAnsi="Book Antiqua" w:cs="Arial"/>
          <w:b/>
          <w:i/>
          <w:sz w:val="24"/>
          <w:szCs w:val="24"/>
          <w:lang w:val="en-US"/>
        </w:rPr>
      </w:pPr>
      <w:r w:rsidRPr="005F5182">
        <w:rPr>
          <w:rFonts w:ascii="Book Antiqua" w:hAnsi="Book Antiqua" w:cs="Arial"/>
          <w:b/>
          <w:i/>
          <w:sz w:val="24"/>
          <w:szCs w:val="24"/>
          <w:lang w:val="en-US"/>
        </w:rPr>
        <w:t>Blood viral load</w:t>
      </w:r>
    </w:p>
    <w:p w:rsidR="009064E0" w:rsidRPr="00A06BF8" w:rsidRDefault="009064E0" w:rsidP="00093495">
      <w:pPr>
        <w:widowControl w:val="0"/>
        <w:suppressAutoHyphens w:val="0"/>
        <w:autoSpaceDE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Viral DNA</w:t>
      </w:r>
      <w:r w:rsidRPr="00A06BF8">
        <w:rPr>
          <w:rFonts w:ascii="Book Antiqua" w:hAnsi="Book Antiqua" w:cs="Arial"/>
          <w:b/>
          <w:sz w:val="24"/>
          <w:szCs w:val="24"/>
          <w:lang w:val="en-US"/>
        </w:rPr>
        <w:t xml:space="preserve"> </w:t>
      </w:r>
      <w:r w:rsidRPr="00A06BF8">
        <w:rPr>
          <w:rFonts w:ascii="Book Antiqua" w:hAnsi="Book Antiqua" w:cs="Arial"/>
          <w:sz w:val="24"/>
          <w:szCs w:val="24"/>
          <w:lang w:val="en-US"/>
        </w:rPr>
        <w:t xml:space="preserve">was detected in 11/17 patients with refractory IBD (median values for HCMV </w:t>
      </w:r>
      <w:r w:rsidR="005F5182">
        <w:rPr>
          <w:rFonts w:ascii="Book Antiqua" w:hAnsi="Book Antiqua" w:cs="Arial"/>
          <w:sz w:val="24"/>
          <w:szCs w:val="24"/>
          <w:lang w:val="en-US"/>
        </w:rPr>
        <w:t>and EBV: 0 copies/m</w:t>
      </w:r>
      <w:r w:rsidR="005F5182" w:rsidRPr="005F5182">
        <w:rPr>
          <w:rFonts w:ascii="Book Antiqua" w:hAnsi="Book Antiqua" w:cs="Arial"/>
          <w:caps/>
          <w:sz w:val="24"/>
          <w:szCs w:val="24"/>
          <w:lang w:val="en-US"/>
        </w:rPr>
        <w:t>l</w:t>
      </w:r>
      <w:r w:rsidR="005F5182">
        <w:rPr>
          <w:rFonts w:ascii="Book Antiqua" w:hAnsi="Book Antiqua" w:cs="Arial"/>
          <w:sz w:val="24"/>
          <w:szCs w:val="24"/>
          <w:lang w:val="en-US"/>
        </w:rPr>
        <w:t>, range</w:t>
      </w:r>
      <w:r w:rsidR="005F5182">
        <w:rPr>
          <w:rFonts w:ascii="Book Antiqua" w:eastAsiaTheme="minorEastAsia" w:hAnsi="Book Antiqua" w:cs="Arial" w:hint="eastAsia"/>
          <w:sz w:val="24"/>
          <w:szCs w:val="24"/>
          <w:lang w:val="en-US"/>
        </w:rPr>
        <w:t>:</w:t>
      </w:r>
      <w:r w:rsidR="005F5182">
        <w:rPr>
          <w:rFonts w:ascii="Book Antiqua" w:hAnsi="Book Antiqua" w:cs="Arial"/>
          <w:sz w:val="24"/>
          <w:szCs w:val="24"/>
          <w:lang w:val="en-US"/>
        </w:rPr>
        <w:t xml:space="preserve"> 300–</w:t>
      </w:r>
      <w:r w:rsidRPr="00A06BF8">
        <w:rPr>
          <w:rFonts w:ascii="Book Antiqua" w:hAnsi="Book Antiqua" w:cs="Arial"/>
          <w:sz w:val="24"/>
          <w:szCs w:val="24"/>
          <w:lang w:val="en-US"/>
        </w:rPr>
        <w:t>26.000, and 100-7.900, respectively), 1/23 of non-refractory IBD (450 copies/m</w:t>
      </w:r>
      <w:r w:rsidRPr="00F26D69">
        <w:rPr>
          <w:rFonts w:ascii="Book Antiqua" w:hAnsi="Book Antiqua" w:cs="Arial"/>
          <w:caps/>
          <w:sz w:val="24"/>
          <w:szCs w:val="24"/>
          <w:lang w:val="en-US"/>
        </w:rPr>
        <w:t>l</w:t>
      </w:r>
      <w:r w:rsidRPr="00A06BF8">
        <w:rPr>
          <w:rFonts w:ascii="Book Antiqua" w:hAnsi="Book Antiqua" w:cs="Arial"/>
          <w:sz w:val="24"/>
          <w:szCs w:val="24"/>
          <w:lang w:val="en-US"/>
        </w:rPr>
        <w:t xml:space="preserve">), and none of the controls. Specifically, two refractory patients showed HCMV DNA, five refractory patients and one non-refractory patient had EBV DNA, and four refractory patients carried both DNAs. All these patients carried the same </w:t>
      </w:r>
      <w:proofErr w:type="gramStart"/>
      <w:r w:rsidRPr="00A06BF8">
        <w:rPr>
          <w:rFonts w:ascii="Book Antiqua" w:hAnsi="Book Antiqua" w:cs="Arial"/>
          <w:sz w:val="24"/>
          <w:szCs w:val="24"/>
          <w:lang w:val="en-US"/>
        </w:rPr>
        <w:t>virus(</w:t>
      </w:r>
      <w:proofErr w:type="spellStart"/>
      <w:proofErr w:type="gramEnd"/>
      <w:r w:rsidRPr="00A06BF8">
        <w:rPr>
          <w:rFonts w:ascii="Book Antiqua" w:hAnsi="Book Antiqua" w:cs="Arial"/>
          <w:sz w:val="24"/>
          <w:szCs w:val="24"/>
          <w:lang w:val="en-US"/>
        </w:rPr>
        <w:t>es</w:t>
      </w:r>
      <w:proofErr w:type="spellEnd"/>
      <w:r w:rsidRPr="00A06BF8">
        <w:rPr>
          <w:rFonts w:ascii="Book Antiqua" w:hAnsi="Book Antiqua" w:cs="Arial"/>
          <w:sz w:val="24"/>
          <w:szCs w:val="24"/>
          <w:lang w:val="en-US"/>
        </w:rPr>
        <w:t>) at mucosal level, and a significant positive correlation between the values in the two compartments (</w:t>
      </w:r>
      <w:r w:rsidRPr="00A06BF8">
        <w:rPr>
          <w:rFonts w:ascii="Book Antiqua" w:hAnsi="Book Antiqua" w:cs="Arial"/>
          <w:i/>
          <w:sz w:val="24"/>
          <w:szCs w:val="24"/>
          <w:lang w:val="en-US"/>
        </w:rPr>
        <w:t>r</w:t>
      </w:r>
      <w:r w:rsidR="005F5182">
        <w:rPr>
          <w:rFonts w:ascii="Book Antiqua" w:eastAsiaTheme="minorEastAsia" w:hAnsi="Book Antiqua" w:cs="Arial" w:hint="eastAsia"/>
          <w:i/>
          <w:sz w:val="24"/>
          <w:szCs w:val="24"/>
          <w:lang w:val="en-US"/>
        </w:rPr>
        <w:t xml:space="preserve"> </w:t>
      </w:r>
      <w:r w:rsidRPr="00A06BF8">
        <w:rPr>
          <w:rFonts w:ascii="Book Antiqua" w:hAnsi="Book Antiqua" w:cs="Arial"/>
          <w:sz w:val="24"/>
          <w:szCs w:val="24"/>
          <w:lang w:val="en-US"/>
        </w:rPr>
        <w:t>=</w:t>
      </w:r>
      <w:r w:rsidR="005F5182">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 xml:space="preserve">0.67 for HCMV and 0.61 for EBV) was observed. The sensitivity of the PCR assay performed on peripheral blood samples as compared to that on tissue samples, therefore, was 23% for HCMV and 45% for EBV, with a specificity of 100% for both, while the positive predictive value was 76.4% and 17.6%, and the negative predictive value was 65.0% and 80.9% for HCMV and EBV, respectively. </w:t>
      </w:r>
    </w:p>
    <w:p w:rsidR="005F5182" w:rsidRDefault="005F5182" w:rsidP="00093495">
      <w:pPr>
        <w:widowControl w:val="0"/>
        <w:suppressAutoHyphens w:val="0"/>
        <w:autoSpaceDE w:val="0"/>
        <w:adjustRightInd w:val="0"/>
        <w:snapToGrid w:val="0"/>
        <w:spacing w:line="360" w:lineRule="auto"/>
        <w:jc w:val="both"/>
        <w:rPr>
          <w:rFonts w:ascii="Book Antiqua" w:eastAsiaTheme="minorEastAsia" w:hAnsi="Book Antiqua" w:cs="Arial"/>
          <w:b/>
          <w:sz w:val="24"/>
          <w:szCs w:val="24"/>
          <w:lang w:val="en-US"/>
        </w:rPr>
      </w:pPr>
    </w:p>
    <w:p w:rsidR="005F5182" w:rsidRPr="005F5182" w:rsidRDefault="009064E0" w:rsidP="00093495">
      <w:pPr>
        <w:widowControl w:val="0"/>
        <w:suppressAutoHyphens w:val="0"/>
        <w:autoSpaceDE w:val="0"/>
        <w:adjustRightInd w:val="0"/>
        <w:snapToGrid w:val="0"/>
        <w:spacing w:line="360" w:lineRule="auto"/>
        <w:jc w:val="both"/>
        <w:rPr>
          <w:rFonts w:ascii="Book Antiqua" w:eastAsiaTheme="minorEastAsia" w:hAnsi="Book Antiqua" w:cs="Arial"/>
          <w:b/>
          <w:i/>
          <w:sz w:val="24"/>
          <w:szCs w:val="24"/>
          <w:lang w:val="en-US"/>
        </w:rPr>
      </w:pPr>
      <w:r w:rsidRPr="005F5182">
        <w:rPr>
          <w:rFonts w:ascii="Book Antiqua" w:hAnsi="Book Antiqua" w:cs="Arial"/>
          <w:b/>
          <w:i/>
          <w:sz w:val="24"/>
          <w:szCs w:val="24"/>
          <w:lang w:val="en-US"/>
        </w:rPr>
        <w:lastRenderedPageBreak/>
        <w:t>Histological and endoscopic features</w:t>
      </w:r>
    </w:p>
    <w:p w:rsidR="009064E0" w:rsidRPr="00A06BF8" w:rsidRDefault="009064E0" w:rsidP="00093495">
      <w:pPr>
        <w:widowControl w:val="0"/>
        <w:suppressAutoHyphens w:val="0"/>
        <w:autoSpaceDE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As far as immunohistochemistry is concerned (representative cases shown in Figure 3), although the specimens were harvested from the same mucosal areas as those taken for the PCR assay, HCMV positive cells were found in only 11 cases (five had a DNA load &gt;</w:t>
      </w:r>
      <w:r w:rsidR="005F5182">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10</w:t>
      </w:r>
      <w:r w:rsidRPr="00A06BF8">
        <w:rPr>
          <w:rFonts w:ascii="Book Antiqua" w:hAnsi="Book Antiqua" w:cs="Arial"/>
          <w:sz w:val="24"/>
          <w:szCs w:val="24"/>
          <w:vertAlign w:val="superscript"/>
          <w:lang w:val="en-US"/>
        </w:rPr>
        <w:t xml:space="preserve">3 </w:t>
      </w:r>
      <w:r w:rsidRPr="00A06BF8">
        <w:rPr>
          <w:rFonts w:ascii="Book Antiqua" w:hAnsi="Book Antiqua" w:cs="Arial"/>
          <w:sz w:val="24"/>
          <w:szCs w:val="24"/>
          <w:lang w:val="en-US"/>
        </w:rPr>
        <w:t>copies/10</w:t>
      </w:r>
      <w:r w:rsidRPr="00A06BF8">
        <w:rPr>
          <w:rFonts w:ascii="Book Antiqua" w:hAnsi="Book Antiqua" w:cs="Arial"/>
          <w:sz w:val="24"/>
          <w:szCs w:val="24"/>
          <w:vertAlign w:val="superscript"/>
          <w:lang w:val="en-US"/>
        </w:rPr>
        <w:t>5</w:t>
      </w:r>
      <w:r w:rsidRPr="00A06BF8">
        <w:rPr>
          <w:rFonts w:ascii="Book Antiqua" w:hAnsi="Book Antiqua" w:cs="Arial"/>
          <w:sz w:val="24"/>
          <w:szCs w:val="24"/>
          <w:lang w:val="en-US"/>
        </w:rPr>
        <w:t xml:space="preserve"> cells, and six were negative), while EBV positive cells were detected in 17 cases (five had a viral DNA load &gt;</w:t>
      </w:r>
      <w:r w:rsidR="005F5182">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10</w:t>
      </w:r>
      <w:r w:rsidRPr="00A06BF8">
        <w:rPr>
          <w:rFonts w:ascii="Book Antiqua" w:hAnsi="Book Antiqua" w:cs="Arial"/>
          <w:sz w:val="24"/>
          <w:szCs w:val="24"/>
          <w:vertAlign w:val="superscript"/>
          <w:lang w:val="en-US"/>
        </w:rPr>
        <w:t xml:space="preserve">3 </w:t>
      </w:r>
      <w:r w:rsidRPr="00A06BF8">
        <w:rPr>
          <w:rFonts w:ascii="Book Antiqua" w:hAnsi="Book Antiqua" w:cs="Arial"/>
          <w:sz w:val="24"/>
          <w:szCs w:val="24"/>
          <w:lang w:val="en-US"/>
        </w:rPr>
        <w:t>copies, eight &lt;</w:t>
      </w:r>
      <w:r w:rsidR="005F5182">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10</w:t>
      </w:r>
      <w:r w:rsidRPr="00A06BF8">
        <w:rPr>
          <w:rFonts w:ascii="Book Antiqua" w:hAnsi="Book Antiqua" w:cs="Arial"/>
          <w:sz w:val="24"/>
          <w:szCs w:val="24"/>
          <w:vertAlign w:val="superscript"/>
          <w:lang w:val="en-US"/>
        </w:rPr>
        <w:t xml:space="preserve">3 </w:t>
      </w:r>
      <w:r w:rsidRPr="00A06BF8">
        <w:rPr>
          <w:rFonts w:ascii="Book Antiqua" w:hAnsi="Book Antiqua" w:cs="Arial"/>
          <w:sz w:val="24"/>
          <w:szCs w:val="24"/>
          <w:lang w:val="en-US"/>
        </w:rPr>
        <w:t>copies/10</w:t>
      </w:r>
      <w:r w:rsidRPr="00A06BF8">
        <w:rPr>
          <w:rFonts w:ascii="Book Antiqua" w:hAnsi="Book Antiqua" w:cs="Arial"/>
          <w:sz w:val="24"/>
          <w:szCs w:val="24"/>
          <w:vertAlign w:val="superscript"/>
          <w:lang w:val="en-US"/>
        </w:rPr>
        <w:t>5</w:t>
      </w:r>
      <w:r w:rsidRPr="00A06BF8">
        <w:rPr>
          <w:rFonts w:ascii="Book Antiqua" w:hAnsi="Book Antiqua" w:cs="Arial"/>
          <w:sz w:val="24"/>
          <w:szCs w:val="24"/>
          <w:lang w:val="en-US"/>
        </w:rPr>
        <w:t xml:space="preserve"> cells, and four negative), thus showing a sensitivity of 33% for both viruses, a specificity of 90% for HCMV and 0% for EBV, with positive predictive values of 66% and 80%, and negative predictive values of 71% and 0% for HCMV and EBV, respectively. No correlations between the mean number of positive cells and the level of mucosal viral load for either virus or the degree of endoscopic activity were found. </w:t>
      </w:r>
    </w:p>
    <w:p w:rsidR="009064E0" w:rsidRPr="00A06BF8" w:rsidRDefault="009064E0" w:rsidP="00093495">
      <w:pPr>
        <w:widowControl w:val="0"/>
        <w:suppressAutoHyphens w:val="0"/>
        <w:autoSpaceDE w:val="0"/>
        <w:adjustRightInd w:val="0"/>
        <w:snapToGrid w:val="0"/>
        <w:spacing w:line="360" w:lineRule="auto"/>
        <w:ind w:firstLineChars="100" w:firstLine="240"/>
        <w:jc w:val="both"/>
        <w:rPr>
          <w:rFonts w:ascii="Book Antiqua" w:hAnsi="Book Antiqua" w:cs="Arial"/>
          <w:sz w:val="24"/>
          <w:szCs w:val="24"/>
          <w:lang w:val="en-US"/>
        </w:rPr>
      </w:pPr>
      <w:r w:rsidRPr="00A06BF8">
        <w:rPr>
          <w:rFonts w:ascii="Book Antiqua" w:hAnsi="Book Antiqua" w:cs="Arial"/>
          <w:sz w:val="24"/>
          <w:szCs w:val="24"/>
          <w:lang w:val="en-US"/>
        </w:rPr>
        <w:t>As regards the endoscopic features of refractory IBD patients, the mucosal lesions appeared indistinguishable from those of the underlying disease, despite the invariable presence of the superimposed viral end-organ disease, as evident in Figures 4, 5, and 6 showing representative cases. It is worth noting that mucosal healing was observed in all cases with isolated HCMV colitis (Figure 4, panel C and F) following specific antiviral therapy (see below). Conversely, no amelioration was evident in any of the cases carrying both viruses (Figure 6, panels C and F), nor in most of those with EBV (Figure 5, panels E and F), except the patient (Figure 5, panel D) who underwent a course of treatment with rituximab (see below).</w:t>
      </w:r>
    </w:p>
    <w:p w:rsidR="005F5182" w:rsidRDefault="005F5182"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p>
    <w:p w:rsidR="005F5182" w:rsidRPr="005F5182" w:rsidRDefault="009064E0" w:rsidP="00093495">
      <w:pPr>
        <w:widowControl w:val="0"/>
        <w:suppressAutoHyphens w:val="0"/>
        <w:adjustRightInd w:val="0"/>
        <w:snapToGrid w:val="0"/>
        <w:spacing w:line="360" w:lineRule="auto"/>
        <w:jc w:val="both"/>
        <w:rPr>
          <w:rFonts w:ascii="Book Antiqua" w:eastAsiaTheme="minorEastAsia" w:hAnsi="Book Antiqua" w:cs="Arial"/>
          <w:b/>
          <w:i/>
          <w:sz w:val="24"/>
          <w:szCs w:val="24"/>
          <w:lang w:val="en-US"/>
        </w:rPr>
      </w:pPr>
      <w:r w:rsidRPr="005F5182">
        <w:rPr>
          <w:rFonts w:ascii="Book Antiqua" w:hAnsi="Book Antiqua" w:cs="Arial"/>
          <w:b/>
          <w:i/>
          <w:sz w:val="24"/>
          <w:szCs w:val="24"/>
          <w:lang w:val="en-US"/>
        </w:rPr>
        <w:t>Impact of current therapies</w:t>
      </w:r>
    </w:p>
    <w:p w:rsidR="009064E0" w:rsidRPr="00A06BF8" w:rsidRDefault="009064E0" w:rsidP="00093495">
      <w:pPr>
        <w:widowControl w:val="0"/>
        <w:suppressAutoHyphens w:val="0"/>
        <w:adjustRightInd w:val="0"/>
        <w:snapToGrid w:val="0"/>
        <w:spacing w:line="360" w:lineRule="auto"/>
        <w:jc w:val="both"/>
        <w:rPr>
          <w:rFonts w:ascii="Book Antiqua" w:hAnsi="Book Antiqua" w:cs="Arial"/>
          <w:b/>
          <w:sz w:val="24"/>
          <w:szCs w:val="24"/>
          <w:lang w:val="en-US"/>
        </w:rPr>
      </w:pPr>
      <w:r w:rsidRPr="00A06BF8">
        <w:rPr>
          <w:rFonts w:ascii="Book Antiqua" w:hAnsi="Book Antiqua" w:cs="Arial"/>
          <w:sz w:val="24"/>
          <w:szCs w:val="24"/>
          <w:lang w:val="en-US"/>
        </w:rPr>
        <w:t>Systemic steroid use was identified as a significant risk factor for both HCMV and EBV colitis (</w:t>
      </w:r>
      <w:r w:rsidRPr="005F5182">
        <w:rPr>
          <w:rFonts w:ascii="Book Antiqua" w:hAnsi="Book Antiqua" w:cs="Arial"/>
          <w:i/>
          <w:sz w:val="24"/>
          <w:szCs w:val="24"/>
          <w:lang w:val="en-US"/>
        </w:rPr>
        <w:t>P</w:t>
      </w:r>
      <w:r w:rsidR="005F5182">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w:t>
      </w:r>
      <w:r w:rsidR="005F5182">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0.018 and 0.0020, OR</w:t>
      </w:r>
      <w:r w:rsidR="005F5182">
        <w:rPr>
          <w:rFonts w:ascii="Book Antiqua" w:eastAsiaTheme="minorEastAsia" w:hAnsi="Book Antiqua" w:cs="Arial" w:hint="eastAsia"/>
          <w:sz w:val="24"/>
          <w:szCs w:val="24"/>
          <w:lang w:val="en-US"/>
        </w:rPr>
        <w:t xml:space="preserve"> = </w:t>
      </w:r>
      <w:r w:rsidRPr="00A06BF8">
        <w:rPr>
          <w:rFonts w:ascii="Book Antiqua" w:hAnsi="Book Antiqua" w:cs="Arial"/>
          <w:sz w:val="24"/>
          <w:szCs w:val="24"/>
          <w:lang w:val="en-US"/>
        </w:rPr>
        <w:t>11.4 and 12, 95%</w:t>
      </w:r>
      <w:r w:rsidR="005F5182">
        <w:rPr>
          <w:rFonts w:ascii="Book Antiqua" w:eastAsiaTheme="minorEastAsia" w:hAnsi="Book Antiqua" w:cs="Arial" w:hint="eastAsia"/>
          <w:sz w:val="24"/>
          <w:szCs w:val="24"/>
          <w:lang w:val="en-US"/>
        </w:rPr>
        <w:t>CI</w:t>
      </w:r>
      <w:r w:rsidRPr="00A06BF8">
        <w:rPr>
          <w:rFonts w:ascii="Book Antiqua" w:hAnsi="Book Antiqua" w:cs="Arial"/>
          <w:sz w:val="24"/>
          <w:szCs w:val="24"/>
          <w:lang w:val="en-US"/>
        </w:rPr>
        <w:t>: 1.23</w:t>
      </w:r>
      <w:r w:rsidR="005F5182">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106.11 and 2.37</w:t>
      </w:r>
      <w:r w:rsidR="005F5182">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60.67, respectively), while the use of biologic agents and topical steroids was closely related to EBV colitis (</w:t>
      </w:r>
      <w:r w:rsidRPr="005F5182">
        <w:rPr>
          <w:rFonts w:ascii="Book Antiqua" w:hAnsi="Book Antiqua" w:cs="Arial"/>
          <w:i/>
          <w:sz w:val="24"/>
          <w:szCs w:val="24"/>
          <w:lang w:val="en-US"/>
        </w:rPr>
        <w:t>P</w:t>
      </w:r>
      <w:r w:rsidR="005F5182">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w:t>
      </w:r>
      <w:r w:rsidR="005F5182">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0.021 and 0.008, OR</w:t>
      </w:r>
      <w:r w:rsidR="005F5182">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 xml:space="preserve"> 7.8 and 10.2, </w:t>
      </w:r>
      <w:r w:rsidR="005F5182" w:rsidRPr="00A06BF8">
        <w:rPr>
          <w:rFonts w:ascii="Book Antiqua" w:hAnsi="Book Antiqua" w:cs="Arial"/>
          <w:sz w:val="24"/>
          <w:szCs w:val="24"/>
          <w:lang w:val="en-US"/>
        </w:rPr>
        <w:t>95%</w:t>
      </w:r>
      <w:r w:rsidR="005F5182">
        <w:rPr>
          <w:rFonts w:ascii="Book Antiqua" w:eastAsiaTheme="minorEastAsia" w:hAnsi="Book Antiqua" w:cs="Arial" w:hint="eastAsia"/>
          <w:sz w:val="24"/>
          <w:szCs w:val="24"/>
          <w:lang w:val="en-US"/>
        </w:rPr>
        <w:t>CI</w:t>
      </w:r>
      <w:r w:rsidRPr="00A06BF8">
        <w:rPr>
          <w:rFonts w:ascii="Book Antiqua" w:hAnsi="Book Antiqua" w:cs="Arial"/>
          <w:sz w:val="24"/>
          <w:szCs w:val="24"/>
          <w:lang w:val="en-US"/>
        </w:rPr>
        <w:t>: 1.32</w:t>
      </w:r>
      <w:r w:rsidR="005F5182">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46.64 and 1.73</w:t>
      </w:r>
      <w:r w:rsidR="005F5182">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 xml:space="preserve">60.92, respectively). No significant correlation was found between an increased risk of development of viral end-organ disease and the use of </w:t>
      </w:r>
      <w:proofErr w:type="spellStart"/>
      <w:r w:rsidRPr="00A06BF8">
        <w:rPr>
          <w:rFonts w:ascii="Book Antiqua" w:hAnsi="Book Antiqua" w:cs="Arial"/>
          <w:sz w:val="24"/>
          <w:szCs w:val="24"/>
          <w:lang w:val="en-US"/>
        </w:rPr>
        <w:t>immunosuppressants</w:t>
      </w:r>
      <w:proofErr w:type="spellEnd"/>
      <w:r w:rsidRPr="00A06BF8">
        <w:rPr>
          <w:rFonts w:ascii="Book Antiqua" w:hAnsi="Book Antiqua" w:cs="Arial"/>
          <w:sz w:val="24"/>
          <w:szCs w:val="24"/>
          <w:lang w:val="en-US"/>
        </w:rPr>
        <w:t xml:space="preserve">, the duration of </w:t>
      </w:r>
      <w:proofErr w:type="gramStart"/>
      <w:r w:rsidRPr="00A06BF8">
        <w:rPr>
          <w:rFonts w:ascii="Book Antiqua" w:hAnsi="Book Antiqua" w:cs="Arial"/>
          <w:sz w:val="24"/>
          <w:szCs w:val="24"/>
          <w:lang w:val="en-US"/>
        </w:rPr>
        <w:t>both therapies</w:t>
      </w:r>
      <w:proofErr w:type="gramEnd"/>
      <w:r w:rsidRPr="00A06BF8">
        <w:rPr>
          <w:rFonts w:ascii="Book Antiqua" w:hAnsi="Book Antiqua" w:cs="Arial"/>
          <w:sz w:val="24"/>
          <w:szCs w:val="24"/>
          <w:lang w:val="en-US"/>
        </w:rPr>
        <w:t xml:space="preserve"> and underlying disease, age, gender, smoking habits, or body mass index.</w:t>
      </w:r>
    </w:p>
    <w:p w:rsidR="005F5182" w:rsidRDefault="005F5182"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p>
    <w:p w:rsidR="005F5182" w:rsidRPr="005F5182" w:rsidRDefault="009064E0" w:rsidP="00093495">
      <w:pPr>
        <w:widowControl w:val="0"/>
        <w:suppressAutoHyphens w:val="0"/>
        <w:adjustRightInd w:val="0"/>
        <w:snapToGrid w:val="0"/>
        <w:spacing w:line="360" w:lineRule="auto"/>
        <w:jc w:val="both"/>
        <w:rPr>
          <w:rFonts w:ascii="Book Antiqua" w:eastAsiaTheme="minorEastAsia" w:hAnsi="Book Antiqua" w:cs="Arial"/>
          <w:b/>
          <w:i/>
          <w:sz w:val="24"/>
          <w:szCs w:val="24"/>
          <w:lang w:val="en-US"/>
        </w:rPr>
      </w:pPr>
      <w:r w:rsidRPr="005F5182">
        <w:rPr>
          <w:rFonts w:ascii="Book Antiqua" w:hAnsi="Book Antiqua" w:cs="Arial"/>
          <w:b/>
          <w:i/>
          <w:sz w:val="24"/>
          <w:szCs w:val="24"/>
          <w:lang w:val="en-US"/>
        </w:rPr>
        <w:t>Patients’ outcome</w:t>
      </w:r>
    </w:p>
    <w:p w:rsidR="009064E0" w:rsidRPr="00A06BF8" w:rsidRDefault="009064E0" w:rsidP="00093495">
      <w:pPr>
        <w:widowControl w:val="0"/>
        <w:suppressAutoHyphens w:val="0"/>
        <w:adjustRightInd w:val="0"/>
        <w:snapToGrid w:val="0"/>
        <w:spacing w:line="360" w:lineRule="auto"/>
        <w:jc w:val="both"/>
        <w:rPr>
          <w:rFonts w:ascii="Book Antiqua" w:hAnsi="Book Antiqua" w:cs="Arial"/>
          <w:b/>
          <w:sz w:val="24"/>
          <w:szCs w:val="24"/>
          <w:lang w:val="en-US"/>
        </w:rPr>
      </w:pPr>
      <w:r w:rsidRPr="00A06BF8">
        <w:rPr>
          <w:rFonts w:ascii="Book Antiqua" w:hAnsi="Book Antiqua" w:cs="Arial"/>
          <w:sz w:val="24"/>
          <w:szCs w:val="24"/>
          <w:lang w:val="en-US"/>
        </w:rPr>
        <w:t xml:space="preserve">All refractory patients with HCMV colitis underwent a course of specific antiviral therapy </w:t>
      </w:r>
      <w:r w:rsidRPr="00A06BF8">
        <w:rPr>
          <w:rFonts w:ascii="Book Antiqua" w:hAnsi="Book Antiqua" w:cs="Arial"/>
          <w:sz w:val="24"/>
          <w:szCs w:val="24"/>
          <w:lang w:val="en-US"/>
        </w:rPr>
        <w:lastRenderedPageBreak/>
        <w:t xml:space="preserve">with ganciclovir (5 mg/kg bid </w:t>
      </w:r>
      <w:r w:rsidRPr="00A06BF8">
        <w:rPr>
          <w:rFonts w:ascii="Book Antiqua" w:hAnsi="Book Antiqua" w:cs="Arial"/>
          <w:i/>
          <w:sz w:val="24"/>
          <w:szCs w:val="24"/>
          <w:lang w:val="en-US"/>
        </w:rPr>
        <w:t>iv</w:t>
      </w:r>
      <w:r w:rsidRPr="00A06BF8">
        <w:rPr>
          <w:rFonts w:ascii="Book Antiqua" w:hAnsi="Book Antiqua" w:cs="Arial"/>
          <w:sz w:val="24"/>
          <w:szCs w:val="24"/>
          <w:lang w:val="en-US"/>
        </w:rPr>
        <w:t xml:space="preserve">) for three </w:t>
      </w:r>
      <w:proofErr w:type="gramStart"/>
      <w:r w:rsidRPr="00A06BF8">
        <w:rPr>
          <w:rFonts w:ascii="Book Antiqua" w:hAnsi="Book Antiqua" w:cs="Arial"/>
          <w:sz w:val="24"/>
          <w:szCs w:val="24"/>
          <w:lang w:val="en-US"/>
        </w:rPr>
        <w:t>weeks</w:t>
      </w:r>
      <w:r w:rsidR="00F26D69" w:rsidRPr="00A06BF8">
        <w:rPr>
          <w:rFonts w:ascii="Book Antiqua" w:hAnsi="Book Antiqua" w:cs="Arial"/>
          <w:sz w:val="24"/>
          <w:szCs w:val="24"/>
          <w:vertAlign w:val="superscript"/>
          <w:lang w:val="en-US"/>
        </w:rPr>
        <w:t>[</w:t>
      </w:r>
      <w:proofErr w:type="gramEnd"/>
      <w:r w:rsidR="00F26D69" w:rsidRPr="00A06BF8">
        <w:rPr>
          <w:rFonts w:ascii="Book Antiqua" w:hAnsi="Book Antiqua" w:cs="Arial"/>
          <w:sz w:val="24"/>
          <w:szCs w:val="24"/>
          <w:vertAlign w:val="superscript"/>
          <w:lang w:val="en-US"/>
        </w:rPr>
        <w:t>11]</w:t>
      </w:r>
      <w:r w:rsidRPr="00A06BF8">
        <w:rPr>
          <w:rFonts w:ascii="Book Antiqua" w:hAnsi="Book Antiqua" w:cs="Arial"/>
          <w:sz w:val="24"/>
          <w:szCs w:val="24"/>
          <w:lang w:val="en-US"/>
        </w:rPr>
        <w:t xml:space="preserve">, with monitoring of mucosal and blood viral load at the end of therapy and, following discharge, after four and 12 </w:t>
      </w:r>
      <w:proofErr w:type="spellStart"/>
      <w:r w:rsidRPr="00A06BF8">
        <w:rPr>
          <w:rFonts w:ascii="Book Antiqua" w:hAnsi="Book Antiqua" w:cs="Arial"/>
          <w:sz w:val="24"/>
          <w:szCs w:val="24"/>
          <w:lang w:val="en-US"/>
        </w:rPr>
        <w:t>w</w:t>
      </w:r>
      <w:r w:rsidR="005F5182">
        <w:rPr>
          <w:rFonts w:ascii="Book Antiqua" w:hAnsi="Book Antiqua" w:cs="Arial"/>
          <w:sz w:val="24"/>
          <w:szCs w:val="24"/>
          <w:lang w:val="en-US"/>
        </w:rPr>
        <w:t>k</w:t>
      </w:r>
      <w:proofErr w:type="spellEnd"/>
      <w:r w:rsidRPr="00A06BF8">
        <w:rPr>
          <w:rFonts w:ascii="Book Antiqua" w:hAnsi="Book Antiqua" w:cs="Arial"/>
          <w:sz w:val="24"/>
          <w:szCs w:val="24"/>
          <w:lang w:val="en-US"/>
        </w:rPr>
        <w:t>, as arbitrarily scheduled. All patients reached a satisfactory general condition with a sharp decrease in both clinical and endoscopic indexes of activity [median values: 249 (range</w:t>
      </w:r>
      <w:r w:rsidR="005F5182">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 xml:space="preserve"> 166-302) and 10.37 (8.7-12.2) after four weeks, and 173 (132-209) and 7.2 (5.9-9.3) after 12 </w:t>
      </w:r>
      <w:proofErr w:type="spellStart"/>
      <w:r w:rsidRPr="00A06BF8">
        <w:rPr>
          <w:rFonts w:ascii="Book Antiqua" w:hAnsi="Book Antiqua" w:cs="Arial"/>
          <w:sz w:val="24"/>
          <w:szCs w:val="24"/>
          <w:lang w:val="en-US"/>
        </w:rPr>
        <w:t>w</w:t>
      </w:r>
      <w:r w:rsidR="005F5182">
        <w:rPr>
          <w:rFonts w:ascii="Book Antiqua" w:hAnsi="Book Antiqua" w:cs="Arial"/>
          <w:sz w:val="24"/>
          <w:szCs w:val="24"/>
          <w:lang w:val="en-US"/>
        </w:rPr>
        <w:t>k</w:t>
      </w:r>
      <w:proofErr w:type="spellEnd"/>
      <w:r w:rsidRPr="00A06BF8">
        <w:rPr>
          <w:rFonts w:ascii="Book Antiqua" w:hAnsi="Book Antiqua" w:cs="Arial"/>
          <w:sz w:val="24"/>
          <w:szCs w:val="24"/>
          <w:lang w:val="en-US"/>
        </w:rPr>
        <w:t xml:space="preserve"> for CD patients, and 7 (range</w:t>
      </w:r>
      <w:r w:rsidR="005F5182">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 xml:space="preserve"> 4-9) and 1 (2-1) after four weeks, and</w:t>
      </w:r>
      <w:r w:rsidR="005F5182">
        <w:rPr>
          <w:rFonts w:ascii="Book Antiqua" w:hAnsi="Book Antiqua" w:cs="Arial"/>
          <w:sz w:val="24"/>
          <w:szCs w:val="24"/>
          <w:lang w:val="en-US"/>
        </w:rPr>
        <w:t xml:space="preserve"> 5 (4-7) and 1 (1-2) after 12 </w:t>
      </w:r>
      <w:proofErr w:type="spellStart"/>
      <w:r w:rsidR="005F5182">
        <w:rPr>
          <w:rFonts w:ascii="Book Antiqua" w:hAnsi="Book Antiqua" w:cs="Arial"/>
          <w:sz w:val="24"/>
          <w:szCs w:val="24"/>
          <w:lang w:val="en-US"/>
        </w:rPr>
        <w:t>wk</w:t>
      </w:r>
      <w:proofErr w:type="spellEnd"/>
      <w:r w:rsidRPr="00A06BF8">
        <w:rPr>
          <w:rFonts w:ascii="Book Antiqua" w:hAnsi="Book Antiqua" w:cs="Arial"/>
          <w:sz w:val="24"/>
          <w:szCs w:val="24"/>
          <w:lang w:val="en-US"/>
        </w:rPr>
        <w:t xml:space="preserve"> for UC patients]. The viral mucosal DNA levels also decreased significantly (</w:t>
      </w:r>
      <w:r w:rsidRPr="005F5182">
        <w:rPr>
          <w:rFonts w:ascii="Book Antiqua" w:hAnsi="Book Antiqua" w:cs="Arial"/>
          <w:i/>
          <w:sz w:val="24"/>
          <w:szCs w:val="24"/>
          <w:lang w:val="en-US"/>
        </w:rPr>
        <w:t>P</w:t>
      </w:r>
      <w:r w:rsidR="005F5182">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w:t>
      </w:r>
      <w:r w:rsidR="005F5182">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 xml:space="preserve">0.031) by the end of therapy (Figure 7A), and remained stable afterwards (data not shown), with patients experiencing a good quality of life </w:t>
      </w:r>
      <w:r w:rsidRPr="00A06BF8">
        <w:rPr>
          <w:rStyle w:val="longtext"/>
          <w:rFonts w:ascii="Book Antiqua" w:hAnsi="Book Antiqua" w:cs="Arial"/>
          <w:color w:val="000000"/>
          <w:sz w:val="24"/>
          <w:szCs w:val="24"/>
          <w:lang w:val="en-US"/>
        </w:rPr>
        <w:t xml:space="preserve">during a median follow-up period of 11 </w:t>
      </w:r>
      <w:proofErr w:type="spellStart"/>
      <w:proofErr w:type="gramStart"/>
      <w:r w:rsidRPr="00A06BF8">
        <w:rPr>
          <w:rStyle w:val="longtext"/>
          <w:rFonts w:ascii="Book Antiqua" w:hAnsi="Book Antiqua" w:cs="Arial"/>
          <w:color w:val="000000"/>
          <w:sz w:val="24"/>
          <w:szCs w:val="24"/>
          <w:lang w:val="en-US"/>
        </w:rPr>
        <w:t>mo</w:t>
      </w:r>
      <w:proofErr w:type="spellEnd"/>
      <w:proofErr w:type="gramEnd"/>
      <w:r w:rsidRPr="00A06BF8">
        <w:rPr>
          <w:rStyle w:val="longtext"/>
          <w:rFonts w:ascii="Book Antiqua" w:hAnsi="Book Antiqua" w:cs="Arial"/>
          <w:color w:val="000000"/>
          <w:sz w:val="24"/>
          <w:szCs w:val="24"/>
          <w:lang w:val="en-US"/>
        </w:rPr>
        <w:t xml:space="preserve"> (range</w:t>
      </w:r>
      <w:r w:rsidR="005F5182">
        <w:rPr>
          <w:rStyle w:val="longtext"/>
          <w:rFonts w:ascii="Book Antiqua" w:eastAsiaTheme="minorEastAsia" w:hAnsi="Book Antiqua" w:cs="Arial" w:hint="eastAsia"/>
          <w:color w:val="000000"/>
          <w:sz w:val="24"/>
          <w:szCs w:val="24"/>
          <w:lang w:val="en-US"/>
        </w:rPr>
        <w:t>:</w:t>
      </w:r>
      <w:r w:rsidRPr="00A06BF8">
        <w:rPr>
          <w:rStyle w:val="longtext"/>
          <w:rFonts w:ascii="Book Antiqua" w:hAnsi="Book Antiqua" w:cs="Arial"/>
          <w:color w:val="000000"/>
          <w:sz w:val="24"/>
          <w:szCs w:val="24"/>
          <w:lang w:val="en-US"/>
        </w:rPr>
        <w:t xml:space="preserve"> 6-22)</w:t>
      </w:r>
      <w:r w:rsidRPr="00A06BF8">
        <w:rPr>
          <w:rFonts w:ascii="Book Antiqua" w:hAnsi="Book Antiqua" w:cs="Arial"/>
          <w:sz w:val="24"/>
          <w:szCs w:val="24"/>
          <w:lang w:val="en-US"/>
        </w:rPr>
        <w:t xml:space="preserve">. In contrast, refractory patients with EBV colitis did not show any improvement in either clinical or endoscopic activity indexes [median values: 396 (range: 281-595) and 11.49 (range: 8.9-12.4) after four weeks, and 295 (range: 351-244), and 10.44 (range: 9.0-11.7) after 12 </w:t>
      </w:r>
      <w:proofErr w:type="spellStart"/>
      <w:r w:rsidRPr="00A06BF8">
        <w:rPr>
          <w:rFonts w:ascii="Book Antiqua" w:hAnsi="Book Antiqua" w:cs="Arial"/>
          <w:sz w:val="24"/>
          <w:szCs w:val="24"/>
          <w:lang w:val="en-US"/>
        </w:rPr>
        <w:t>w</w:t>
      </w:r>
      <w:r w:rsidR="005F5182">
        <w:rPr>
          <w:rFonts w:ascii="Book Antiqua" w:hAnsi="Book Antiqua" w:cs="Arial"/>
          <w:sz w:val="24"/>
          <w:szCs w:val="24"/>
          <w:lang w:val="en-US"/>
        </w:rPr>
        <w:t>k</w:t>
      </w:r>
      <w:proofErr w:type="spellEnd"/>
      <w:r w:rsidRPr="00A06BF8">
        <w:rPr>
          <w:rFonts w:ascii="Book Antiqua" w:hAnsi="Book Antiqua" w:cs="Arial"/>
          <w:sz w:val="24"/>
          <w:szCs w:val="24"/>
          <w:lang w:val="en-US"/>
        </w:rPr>
        <w:t xml:space="preserve"> for CD patients, and 11 (range</w:t>
      </w:r>
      <w:r w:rsidR="005F5182">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 xml:space="preserve"> 8-13) and 2 (range: 2-3) after four weeks, and 11 (range: 8-12) and 2 (range: 2-3) after 12 </w:t>
      </w:r>
      <w:proofErr w:type="spellStart"/>
      <w:r w:rsidRPr="00A06BF8">
        <w:rPr>
          <w:rFonts w:ascii="Book Antiqua" w:hAnsi="Book Antiqua" w:cs="Arial"/>
          <w:sz w:val="24"/>
          <w:szCs w:val="24"/>
          <w:lang w:val="en-US"/>
        </w:rPr>
        <w:t>w</w:t>
      </w:r>
      <w:r w:rsidR="005F5182">
        <w:rPr>
          <w:rFonts w:ascii="Book Antiqua" w:hAnsi="Book Antiqua" w:cs="Arial"/>
          <w:sz w:val="24"/>
          <w:szCs w:val="24"/>
          <w:lang w:val="en-US"/>
        </w:rPr>
        <w:t>k</w:t>
      </w:r>
      <w:proofErr w:type="spellEnd"/>
      <w:r w:rsidRPr="00A06BF8">
        <w:rPr>
          <w:rFonts w:ascii="Book Antiqua" w:hAnsi="Book Antiqua" w:cs="Arial"/>
          <w:sz w:val="24"/>
          <w:szCs w:val="24"/>
          <w:lang w:val="en-US"/>
        </w:rPr>
        <w:t xml:space="preserve"> for UC patients]. Likewise, no significant decrease of mucosal (or blood when positive) EBV DNA levels was observed, despite steroid tapering and discontinuation of the other medications in 9/15 patients (Figure 7B). Remarkably, in the only case where the patient underwent treatment with the anti-CD20 monoclonal antibody rituximab (375 mg/m</w:t>
      </w:r>
      <w:r w:rsidRPr="00A06BF8">
        <w:rPr>
          <w:rFonts w:ascii="Book Antiqua" w:hAnsi="Book Antiqua" w:cs="Arial"/>
          <w:sz w:val="24"/>
          <w:szCs w:val="24"/>
          <w:vertAlign w:val="superscript"/>
          <w:lang w:val="en-US"/>
        </w:rPr>
        <w:t>2</w:t>
      </w:r>
      <w:r w:rsidRPr="00A06BF8">
        <w:rPr>
          <w:rFonts w:ascii="Book Antiqua" w:hAnsi="Book Antiqua" w:cs="Arial"/>
          <w:sz w:val="24"/>
          <w:szCs w:val="24"/>
          <w:lang w:val="en-US"/>
        </w:rPr>
        <w:t xml:space="preserve"> body surface </w:t>
      </w:r>
      <w:r w:rsidRPr="00A06BF8">
        <w:rPr>
          <w:rFonts w:ascii="Book Antiqua" w:hAnsi="Book Antiqua" w:cs="Arial"/>
          <w:i/>
          <w:sz w:val="24"/>
          <w:szCs w:val="24"/>
          <w:lang w:val="en-US"/>
        </w:rPr>
        <w:t xml:space="preserve">iv </w:t>
      </w:r>
      <w:r w:rsidRPr="00A06BF8">
        <w:rPr>
          <w:rFonts w:ascii="Book Antiqua" w:hAnsi="Book Antiqua" w:cs="Arial"/>
          <w:sz w:val="24"/>
          <w:szCs w:val="24"/>
          <w:lang w:val="en-US"/>
        </w:rPr>
        <w:t xml:space="preserve">weekly for 4 </w:t>
      </w:r>
      <w:proofErr w:type="spellStart"/>
      <w:r w:rsidRPr="00A06BF8">
        <w:rPr>
          <w:rFonts w:ascii="Book Antiqua" w:hAnsi="Book Antiqua" w:cs="Arial"/>
          <w:sz w:val="24"/>
          <w:szCs w:val="24"/>
          <w:lang w:val="en-US"/>
        </w:rPr>
        <w:t>w</w:t>
      </w:r>
      <w:r w:rsidR="005F5182">
        <w:rPr>
          <w:rFonts w:ascii="Book Antiqua" w:hAnsi="Book Antiqua" w:cs="Arial"/>
          <w:sz w:val="24"/>
          <w:szCs w:val="24"/>
          <w:lang w:val="en-US"/>
        </w:rPr>
        <w:t>k</w:t>
      </w:r>
      <w:proofErr w:type="spellEnd"/>
      <w:r w:rsidRPr="00A06BF8">
        <w:rPr>
          <w:rFonts w:ascii="Book Antiqua" w:hAnsi="Book Antiqua" w:cs="Arial"/>
          <w:sz w:val="24"/>
          <w:szCs w:val="24"/>
          <w:vertAlign w:val="superscript"/>
          <w:lang w:val="en-US"/>
        </w:rPr>
        <w:t>[8]</w:t>
      </w:r>
      <w:r w:rsidRPr="00A06BF8">
        <w:rPr>
          <w:rFonts w:ascii="Book Antiqua" w:hAnsi="Book Antiqua" w:cs="Arial"/>
          <w:sz w:val="24"/>
          <w:szCs w:val="24"/>
          <w:lang w:val="en-US"/>
        </w:rPr>
        <w:t>), EBV DNA was cleared from both blood and colonic mucosa. However, after six months, a worsening of the patient’s clinical condition characterized by fever and intestinal bleeding was observed, with mucosal EBV load &gt;</w:t>
      </w:r>
      <w:r w:rsidR="005F5182">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10</w:t>
      </w:r>
      <w:r w:rsidRPr="00A06BF8">
        <w:rPr>
          <w:rFonts w:ascii="Book Antiqua" w:hAnsi="Book Antiqua" w:cs="Arial"/>
          <w:sz w:val="24"/>
          <w:szCs w:val="24"/>
          <w:vertAlign w:val="superscript"/>
          <w:lang w:val="en-US"/>
        </w:rPr>
        <w:t>3</w:t>
      </w:r>
      <w:r w:rsidRPr="00A06BF8">
        <w:rPr>
          <w:rFonts w:ascii="Book Antiqua" w:hAnsi="Book Antiqua" w:cs="Arial"/>
          <w:sz w:val="24"/>
          <w:szCs w:val="24"/>
          <w:lang w:val="en-US"/>
        </w:rPr>
        <w:t>copies/10</w:t>
      </w:r>
      <w:r w:rsidRPr="00A06BF8">
        <w:rPr>
          <w:rFonts w:ascii="Book Antiqua" w:hAnsi="Book Antiqua" w:cs="Arial"/>
          <w:sz w:val="24"/>
          <w:szCs w:val="24"/>
          <w:vertAlign w:val="superscript"/>
          <w:lang w:val="en-US"/>
        </w:rPr>
        <w:t>5</w:t>
      </w:r>
      <w:r w:rsidRPr="00A06BF8">
        <w:rPr>
          <w:rFonts w:ascii="Book Antiqua" w:hAnsi="Book Antiqua" w:cs="Arial"/>
          <w:sz w:val="24"/>
          <w:szCs w:val="24"/>
          <w:lang w:val="en-US"/>
        </w:rPr>
        <w:t xml:space="preserve"> cells, resulting in a colectomy. In this regard, 7/9 refractory patients with EBV colitis underwent colectomy within a median period of 5 </w:t>
      </w:r>
      <w:proofErr w:type="spellStart"/>
      <w:r w:rsidRPr="00A06BF8">
        <w:rPr>
          <w:rFonts w:ascii="Book Antiqua" w:hAnsi="Book Antiqua" w:cs="Arial"/>
          <w:sz w:val="24"/>
          <w:szCs w:val="24"/>
          <w:lang w:val="en-US"/>
        </w:rPr>
        <w:t>mo</w:t>
      </w:r>
      <w:proofErr w:type="spellEnd"/>
      <w:r w:rsidRPr="00A06BF8">
        <w:rPr>
          <w:rFonts w:ascii="Book Antiqua" w:hAnsi="Book Antiqua" w:cs="Arial"/>
          <w:sz w:val="24"/>
          <w:szCs w:val="24"/>
          <w:lang w:val="en-US"/>
        </w:rPr>
        <w:t xml:space="preserve"> (range</w:t>
      </w:r>
      <w:r w:rsidR="005F5182">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 xml:space="preserve"> 2-9), as well as 3/4 patients carrying both virus DNAs within a median period of 8 </w:t>
      </w:r>
      <w:proofErr w:type="spellStart"/>
      <w:r w:rsidRPr="00A06BF8">
        <w:rPr>
          <w:rFonts w:ascii="Book Antiqua" w:hAnsi="Book Antiqua" w:cs="Arial"/>
          <w:sz w:val="24"/>
          <w:szCs w:val="24"/>
          <w:lang w:val="en-US"/>
        </w:rPr>
        <w:t>mo</w:t>
      </w:r>
      <w:proofErr w:type="spellEnd"/>
      <w:r w:rsidRPr="00A06BF8">
        <w:rPr>
          <w:rFonts w:ascii="Book Antiqua" w:hAnsi="Book Antiqua" w:cs="Arial"/>
          <w:sz w:val="24"/>
          <w:szCs w:val="24"/>
          <w:lang w:val="en-US"/>
        </w:rPr>
        <w:t xml:space="preserve"> (range</w:t>
      </w:r>
      <w:r w:rsidR="005F5182">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 xml:space="preserve"> 5-14), despite the fact that HCMV had been cleared by antiviral therapy. The remaining patients developed chronically active colitis, thus adversely affecting their quality of life. During the same follow-up period, only two non-refractory CD patients underwent intestinal resection due to strictures.</w:t>
      </w:r>
    </w:p>
    <w:p w:rsidR="005F5182" w:rsidRDefault="005F5182"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Arial"/>
          <w:b/>
          <w:sz w:val="24"/>
          <w:szCs w:val="24"/>
          <w:lang w:val="en-US"/>
        </w:rPr>
      </w:pPr>
      <w:r w:rsidRPr="00A06BF8">
        <w:rPr>
          <w:rFonts w:ascii="Book Antiqua" w:hAnsi="Book Antiqua" w:cs="Arial"/>
          <w:b/>
          <w:sz w:val="24"/>
          <w:szCs w:val="24"/>
          <w:lang w:val="en-US"/>
        </w:rPr>
        <w:t>DISCUSSION</w:t>
      </w:r>
    </w:p>
    <w:p w:rsidR="009064E0" w:rsidRPr="00A06BF8" w:rsidRDefault="009064E0" w:rsidP="00093495">
      <w:pPr>
        <w:widowControl w:val="0"/>
        <w:suppressAutoHyphens w:val="0"/>
        <w:adjustRightInd w:val="0"/>
        <w:snapToGrid w:val="0"/>
        <w:spacing w:line="360" w:lineRule="auto"/>
        <w:jc w:val="both"/>
        <w:rPr>
          <w:rFonts w:ascii="Book Antiqua" w:hAnsi="Book Antiqua" w:cs="Arial"/>
          <w:b/>
          <w:sz w:val="24"/>
          <w:szCs w:val="24"/>
          <w:lang w:val="en-US"/>
        </w:rPr>
      </w:pPr>
      <w:r w:rsidRPr="00A06BF8">
        <w:rPr>
          <w:rFonts w:ascii="Book Antiqua" w:hAnsi="Book Antiqua" w:cs="Arial"/>
          <w:sz w:val="24"/>
          <w:szCs w:val="24"/>
          <w:lang w:val="en-US"/>
        </w:rPr>
        <w:t xml:space="preserve">Despite a growing interest in opportunistic viral infections in IBD, several crucial points still remain unsolved, such as their prevalence and role in tissue damage during </w:t>
      </w:r>
      <w:r w:rsidRPr="00A06BF8">
        <w:rPr>
          <w:rFonts w:ascii="Book Antiqua" w:hAnsi="Book Antiqua" w:cs="Arial"/>
          <w:sz w:val="24"/>
          <w:szCs w:val="24"/>
          <w:lang w:val="en-US"/>
        </w:rPr>
        <w:lastRenderedPageBreak/>
        <w:t xml:space="preserve">exacerbation, the best diagnostic and therapeutic approaches, as well as the risk </w:t>
      </w:r>
      <w:proofErr w:type="gramStart"/>
      <w:r w:rsidRPr="00A06BF8">
        <w:rPr>
          <w:rFonts w:ascii="Book Antiqua" w:hAnsi="Book Antiqua" w:cs="Arial"/>
          <w:sz w:val="24"/>
          <w:szCs w:val="24"/>
          <w:lang w:val="en-US"/>
        </w:rPr>
        <w:t>factors</w:t>
      </w:r>
      <w:r w:rsidR="00F97A55" w:rsidRPr="00A06BF8">
        <w:rPr>
          <w:rFonts w:ascii="Book Antiqua" w:hAnsi="Book Antiqua" w:cs="Arial"/>
          <w:sz w:val="24"/>
          <w:szCs w:val="24"/>
          <w:vertAlign w:val="superscript"/>
          <w:lang w:val="en-US"/>
        </w:rPr>
        <w:t>[</w:t>
      </w:r>
      <w:proofErr w:type="gramEnd"/>
      <w:r w:rsidR="00F97A55" w:rsidRPr="00A06BF8">
        <w:rPr>
          <w:rFonts w:ascii="Book Antiqua" w:hAnsi="Book Antiqua" w:cs="Arial"/>
          <w:sz w:val="24"/>
          <w:szCs w:val="24"/>
          <w:vertAlign w:val="superscript"/>
          <w:lang w:val="en-US"/>
        </w:rPr>
        <w:t>2,3,10,11]</w:t>
      </w:r>
      <w:r w:rsidRPr="00A06BF8">
        <w:rPr>
          <w:rFonts w:ascii="Book Antiqua" w:hAnsi="Book Antiqua" w:cs="Arial"/>
          <w:sz w:val="24"/>
          <w:szCs w:val="24"/>
          <w:lang w:val="en-US"/>
        </w:rPr>
        <w:t>. The reported frequency of HCMV infection, for instance, ranged from 10</w:t>
      </w:r>
      <w:proofErr w:type="gramStart"/>
      <w:r w:rsidR="00344247">
        <w:rPr>
          <w:rFonts w:ascii="Book Antiqua" w:eastAsiaTheme="minorEastAsia" w:hAnsi="Book Antiqua" w:cs="Arial" w:hint="eastAsia"/>
          <w:sz w:val="24"/>
          <w:szCs w:val="24"/>
          <w:lang w:val="en-US"/>
        </w:rPr>
        <w:t>%</w:t>
      </w:r>
      <w:r w:rsidRPr="00A06BF8">
        <w:rPr>
          <w:rFonts w:ascii="Book Antiqua" w:hAnsi="Book Antiqua" w:cs="Arial"/>
          <w:sz w:val="24"/>
          <w:szCs w:val="24"/>
          <w:vertAlign w:val="superscript"/>
          <w:lang w:val="en-US"/>
        </w:rPr>
        <w:t>[</w:t>
      </w:r>
      <w:proofErr w:type="gramEnd"/>
      <w:r w:rsidRPr="00A06BF8">
        <w:rPr>
          <w:rFonts w:ascii="Book Antiqua" w:hAnsi="Book Antiqua" w:cs="Arial"/>
          <w:sz w:val="24"/>
          <w:szCs w:val="24"/>
          <w:vertAlign w:val="superscript"/>
          <w:lang w:val="en-US"/>
        </w:rPr>
        <w:t>23,24]</w:t>
      </w:r>
      <w:r w:rsidRPr="00A06BF8">
        <w:rPr>
          <w:rFonts w:ascii="Book Antiqua" w:hAnsi="Book Antiqua" w:cs="Arial"/>
          <w:sz w:val="24"/>
          <w:szCs w:val="24"/>
          <w:lang w:val="en-US"/>
        </w:rPr>
        <w:t xml:space="preserve"> to 36%</w:t>
      </w:r>
      <w:r w:rsidR="00344247" w:rsidRPr="00A06BF8">
        <w:rPr>
          <w:rFonts w:ascii="Book Antiqua" w:hAnsi="Book Antiqua" w:cs="Arial"/>
          <w:sz w:val="24"/>
          <w:szCs w:val="24"/>
          <w:vertAlign w:val="superscript"/>
          <w:lang w:val="en-US"/>
        </w:rPr>
        <w:t>[25,26]</w:t>
      </w:r>
      <w:r w:rsidRPr="00A06BF8">
        <w:rPr>
          <w:rFonts w:ascii="Book Antiqua" w:hAnsi="Book Antiqua" w:cs="Arial"/>
          <w:sz w:val="24"/>
          <w:szCs w:val="24"/>
          <w:lang w:val="en-US"/>
        </w:rPr>
        <w:t>,</w:t>
      </w:r>
      <w:r w:rsidRPr="00A06BF8">
        <w:rPr>
          <w:rFonts w:ascii="Book Antiqua" w:hAnsi="Book Antiqua" w:cs="Arial"/>
          <w:sz w:val="24"/>
          <w:szCs w:val="24"/>
          <w:vertAlign w:val="superscript"/>
          <w:lang w:val="en-US"/>
        </w:rPr>
        <w:t xml:space="preserve"> </w:t>
      </w:r>
      <w:r w:rsidRPr="00A06BF8">
        <w:rPr>
          <w:rFonts w:ascii="Book Antiqua" w:hAnsi="Book Antiqua" w:cs="Arial"/>
          <w:sz w:val="24"/>
          <w:szCs w:val="24"/>
          <w:lang w:val="en-US"/>
        </w:rPr>
        <w:t>whilst that of EBV was higher, ranging from 41</w:t>
      </w:r>
      <w:r w:rsidR="00344247">
        <w:rPr>
          <w:rFonts w:ascii="Book Antiqua" w:eastAsiaTheme="minorEastAsia" w:hAnsi="Book Antiqua" w:cs="Arial" w:hint="eastAsia"/>
          <w:sz w:val="24"/>
          <w:szCs w:val="24"/>
          <w:lang w:val="en-US"/>
        </w:rPr>
        <w:t>%</w:t>
      </w:r>
      <w:r w:rsidRPr="00A06BF8">
        <w:rPr>
          <w:rFonts w:ascii="Book Antiqua" w:hAnsi="Book Antiqua" w:cs="Arial"/>
          <w:sz w:val="24"/>
          <w:szCs w:val="24"/>
          <w:vertAlign w:val="superscript"/>
          <w:lang w:val="en-US"/>
        </w:rPr>
        <w:t>[27]</w:t>
      </w:r>
      <w:r w:rsidRPr="00A06BF8">
        <w:rPr>
          <w:rFonts w:ascii="Book Antiqua" w:hAnsi="Book Antiqua" w:cs="Arial"/>
          <w:sz w:val="24"/>
          <w:szCs w:val="24"/>
          <w:lang w:val="en-US"/>
        </w:rPr>
        <w:t xml:space="preserve"> to 64%</w:t>
      </w:r>
      <w:r w:rsidR="00344247" w:rsidRPr="00A06BF8">
        <w:rPr>
          <w:rFonts w:ascii="Book Antiqua" w:hAnsi="Book Antiqua" w:cs="Arial"/>
          <w:sz w:val="24"/>
          <w:szCs w:val="24"/>
          <w:vertAlign w:val="superscript"/>
          <w:lang w:val="en-US"/>
        </w:rPr>
        <w:t>[28]</w:t>
      </w:r>
      <w:r w:rsidRPr="00A06BF8">
        <w:rPr>
          <w:rFonts w:ascii="Book Antiqua" w:hAnsi="Book Antiqua" w:cs="Arial"/>
          <w:sz w:val="24"/>
          <w:szCs w:val="24"/>
          <w:lang w:val="en-US"/>
        </w:rPr>
        <w:t xml:space="preserve">. In addition, most of the studies were retrospective, included surgery specimens, applied different techniques, and therefore, the results are not comparable. As far as the detection method is concerned, immunohistochemistry was the most widely used </w:t>
      </w:r>
      <w:proofErr w:type="gramStart"/>
      <w:r w:rsidRPr="00A06BF8">
        <w:rPr>
          <w:rFonts w:ascii="Book Antiqua" w:hAnsi="Book Antiqua" w:cs="Arial"/>
          <w:sz w:val="24"/>
          <w:szCs w:val="24"/>
          <w:lang w:val="en-US"/>
        </w:rPr>
        <w:t>method</w:t>
      </w:r>
      <w:r w:rsidR="00344247" w:rsidRPr="00A06BF8">
        <w:rPr>
          <w:rFonts w:ascii="Book Antiqua" w:hAnsi="Book Antiqua" w:cs="Arial"/>
          <w:sz w:val="24"/>
          <w:szCs w:val="24"/>
          <w:vertAlign w:val="superscript"/>
          <w:lang w:val="en-US"/>
        </w:rPr>
        <w:t>[</w:t>
      </w:r>
      <w:proofErr w:type="gramEnd"/>
      <w:r w:rsidR="00344247" w:rsidRPr="00A06BF8">
        <w:rPr>
          <w:rFonts w:ascii="Book Antiqua" w:hAnsi="Book Antiqua" w:cs="Arial"/>
          <w:sz w:val="24"/>
          <w:szCs w:val="24"/>
          <w:vertAlign w:val="superscript"/>
          <w:lang w:val="en-US"/>
        </w:rPr>
        <w:t>23,28-30]</w:t>
      </w:r>
      <w:r w:rsidRPr="00A06BF8">
        <w:rPr>
          <w:rFonts w:ascii="Book Antiqua" w:hAnsi="Book Antiqua" w:cs="Arial"/>
          <w:sz w:val="24"/>
          <w:szCs w:val="24"/>
          <w:lang w:val="en-US"/>
        </w:rPr>
        <w:t>, and it is given as the screening test in the decisional algorithm for the management of HCMV infection in IBD</w:t>
      </w:r>
      <w:r w:rsidR="00344247" w:rsidRPr="00A06BF8">
        <w:rPr>
          <w:rFonts w:ascii="Book Antiqua" w:hAnsi="Book Antiqua" w:cs="Arial"/>
          <w:sz w:val="24"/>
          <w:szCs w:val="24"/>
          <w:vertAlign w:val="superscript"/>
          <w:lang w:val="en-US"/>
        </w:rPr>
        <w:t>[31]</w:t>
      </w:r>
      <w:r w:rsidRPr="00A06BF8">
        <w:rPr>
          <w:rFonts w:ascii="Book Antiqua" w:hAnsi="Book Antiqua" w:cs="Arial"/>
          <w:sz w:val="24"/>
          <w:szCs w:val="24"/>
          <w:lang w:val="en-US"/>
        </w:rPr>
        <w:t xml:space="preserve">. However, quantitative real-time PCR assay carried out on nucleic acids extracted from formalin-fixed paraffin-embedded intestinal specimens has recently proved to increase the sensitivity of </w:t>
      </w:r>
      <w:proofErr w:type="gramStart"/>
      <w:r w:rsidRPr="00A06BF8">
        <w:rPr>
          <w:rFonts w:ascii="Book Antiqua" w:hAnsi="Book Antiqua" w:cs="Arial"/>
          <w:sz w:val="24"/>
          <w:szCs w:val="24"/>
          <w:lang w:val="en-US"/>
        </w:rPr>
        <w:t>immunohistochemistry</w:t>
      </w:r>
      <w:r w:rsidR="00344247" w:rsidRPr="00A06BF8">
        <w:rPr>
          <w:rFonts w:ascii="Book Antiqua" w:hAnsi="Book Antiqua" w:cs="Arial"/>
          <w:sz w:val="24"/>
          <w:szCs w:val="24"/>
          <w:vertAlign w:val="superscript"/>
          <w:lang w:val="en-US"/>
        </w:rPr>
        <w:t>[</w:t>
      </w:r>
      <w:proofErr w:type="gramEnd"/>
      <w:r w:rsidR="00344247" w:rsidRPr="00A06BF8">
        <w:rPr>
          <w:rFonts w:ascii="Book Antiqua" w:hAnsi="Book Antiqua" w:cs="Arial"/>
          <w:sz w:val="24"/>
          <w:szCs w:val="24"/>
          <w:vertAlign w:val="superscript"/>
          <w:lang w:val="en-US"/>
        </w:rPr>
        <w:t>32]</w:t>
      </w:r>
      <w:r w:rsidRPr="00A06BF8">
        <w:rPr>
          <w:rFonts w:ascii="Book Antiqua" w:hAnsi="Book Antiqua" w:cs="Arial"/>
          <w:sz w:val="24"/>
          <w:szCs w:val="24"/>
          <w:lang w:val="en-US"/>
        </w:rPr>
        <w:t>. Moreover, the application of this technique on fresh biological samples has emerged as the best technique</w:t>
      </w:r>
      <w:r w:rsidRPr="00A06BF8">
        <w:rPr>
          <w:rFonts w:ascii="Book Antiqua" w:hAnsi="Book Antiqua" w:cs="Arial"/>
          <w:sz w:val="24"/>
          <w:szCs w:val="24"/>
          <w:vertAlign w:val="superscript"/>
          <w:lang w:val="en-US"/>
        </w:rPr>
        <w:t>[24,33-35]</w:t>
      </w:r>
      <w:r w:rsidRPr="00A06BF8">
        <w:rPr>
          <w:rFonts w:ascii="Book Antiqua" w:hAnsi="Book Antiqua" w:cs="Arial"/>
          <w:sz w:val="24"/>
          <w:szCs w:val="24"/>
          <w:lang w:val="en-US"/>
        </w:rPr>
        <w:t xml:space="preserve"> as it has the advantage of being highly sensitive, rapid, and reproducible. Our results fit in with this evidence, since when comparing the two techniques, immunohistochemistry showed low predictable values, both positive and negative, possibly due to the suboptimal specificity and sensitivity of the primary antibodies used and the lack of correlation with the lytic phase of the viruses. Similar results were obtained in congenital HCMV infection when the same primary antibodies were </w:t>
      </w:r>
      <w:proofErr w:type="gramStart"/>
      <w:r w:rsidRPr="00A06BF8">
        <w:rPr>
          <w:rFonts w:ascii="Book Antiqua" w:hAnsi="Book Antiqua" w:cs="Arial"/>
          <w:sz w:val="24"/>
          <w:szCs w:val="24"/>
          <w:lang w:val="en-US"/>
        </w:rPr>
        <w:t>used</w:t>
      </w:r>
      <w:r w:rsidR="00344247" w:rsidRPr="00A06BF8">
        <w:rPr>
          <w:rFonts w:ascii="Book Antiqua" w:hAnsi="Book Antiqua" w:cs="Arial"/>
          <w:sz w:val="24"/>
          <w:szCs w:val="24"/>
          <w:vertAlign w:val="superscript"/>
          <w:lang w:val="en-US"/>
        </w:rPr>
        <w:t>[</w:t>
      </w:r>
      <w:proofErr w:type="gramEnd"/>
      <w:r w:rsidR="00344247" w:rsidRPr="00A06BF8">
        <w:rPr>
          <w:rFonts w:ascii="Book Antiqua" w:hAnsi="Book Antiqua" w:cs="Arial"/>
          <w:sz w:val="24"/>
          <w:szCs w:val="24"/>
          <w:vertAlign w:val="superscript"/>
          <w:lang w:val="en-US"/>
        </w:rPr>
        <w:t>36]</w:t>
      </w:r>
      <w:r w:rsidRPr="00A06BF8">
        <w:rPr>
          <w:rFonts w:ascii="Book Antiqua" w:hAnsi="Book Antiqua" w:cs="Arial"/>
          <w:sz w:val="24"/>
          <w:szCs w:val="24"/>
          <w:lang w:val="en-US"/>
        </w:rPr>
        <w:t>, which hamper its usefulness in the management of IBD patients. By contrast, quantitative real-time PCR on freshly collected mucosal biopsies displayed not only a better performance, but also allowed us to distinguish between viral infection and colitis, since a positive result did not necessarily imply that the patient was suffering from an active HCMV or EBV end-organ disease. Accordingly, two main groups of mucosal viral load may be identified: that with peak values greater than 10</w:t>
      </w:r>
      <w:r w:rsidRPr="00A06BF8">
        <w:rPr>
          <w:rFonts w:ascii="Book Antiqua" w:hAnsi="Book Antiqua" w:cs="Arial"/>
          <w:sz w:val="24"/>
          <w:szCs w:val="24"/>
          <w:vertAlign w:val="superscript"/>
          <w:lang w:val="en-US"/>
        </w:rPr>
        <w:t xml:space="preserve">3 </w:t>
      </w:r>
      <w:r w:rsidRPr="00A06BF8">
        <w:rPr>
          <w:rFonts w:ascii="Book Antiqua" w:hAnsi="Book Antiqua" w:cs="Arial"/>
          <w:sz w:val="24"/>
          <w:szCs w:val="24"/>
          <w:lang w:val="en-US"/>
        </w:rPr>
        <w:t>copies/10</w:t>
      </w:r>
      <w:r w:rsidRPr="00A06BF8">
        <w:rPr>
          <w:rFonts w:ascii="Book Antiqua" w:hAnsi="Book Antiqua" w:cs="Arial"/>
          <w:sz w:val="24"/>
          <w:szCs w:val="24"/>
          <w:vertAlign w:val="superscript"/>
          <w:lang w:val="en-US"/>
        </w:rPr>
        <w:t>5</w:t>
      </w:r>
      <w:r w:rsidRPr="00A06BF8">
        <w:rPr>
          <w:rFonts w:ascii="Book Antiqua" w:hAnsi="Book Antiqua" w:cs="Arial"/>
          <w:sz w:val="24"/>
          <w:szCs w:val="24"/>
          <w:lang w:val="en-US"/>
        </w:rPr>
        <w:t xml:space="preserve"> cells, and that with values below this threshold. Since all refractory patients carried mucosal viral loads invariably</w:t>
      </w:r>
      <w:r w:rsidRPr="00A06BF8">
        <w:rPr>
          <w:rFonts w:ascii="Book Antiqua" w:hAnsi="Book Antiqua" w:cs="Arial"/>
          <w:color w:val="000000"/>
          <w:sz w:val="24"/>
          <w:szCs w:val="24"/>
          <w:lang w:val="en-US"/>
        </w:rPr>
        <w:t xml:space="preserve"> </w:t>
      </w:r>
      <w:r w:rsidRPr="00A06BF8">
        <w:rPr>
          <w:rFonts w:ascii="Book Antiqua" w:hAnsi="Book Antiqua" w:cs="Arial"/>
          <w:sz w:val="24"/>
          <w:szCs w:val="24"/>
          <w:lang w:val="en-US"/>
        </w:rPr>
        <w:t>greater than 10</w:t>
      </w:r>
      <w:r w:rsidRPr="00A06BF8">
        <w:rPr>
          <w:rFonts w:ascii="Book Antiqua" w:hAnsi="Book Antiqua" w:cs="Arial"/>
          <w:sz w:val="24"/>
          <w:szCs w:val="24"/>
          <w:vertAlign w:val="superscript"/>
          <w:lang w:val="en-US"/>
        </w:rPr>
        <w:t xml:space="preserve">3 </w:t>
      </w:r>
      <w:r w:rsidRPr="00A06BF8">
        <w:rPr>
          <w:rFonts w:ascii="Book Antiqua" w:hAnsi="Book Antiqua" w:cs="Arial"/>
          <w:sz w:val="24"/>
          <w:szCs w:val="24"/>
          <w:lang w:val="en-US"/>
        </w:rPr>
        <w:t>copies/10</w:t>
      </w:r>
      <w:r w:rsidRPr="00A06BF8">
        <w:rPr>
          <w:rFonts w:ascii="Book Antiqua" w:hAnsi="Book Antiqua" w:cs="Arial"/>
          <w:sz w:val="24"/>
          <w:szCs w:val="24"/>
          <w:vertAlign w:val="superscript"/>
          <w:lang w:val="en-US"/>
        </w:rPr>
        <w:t>5</w:t>
      </w:r>
      <w:r w:rsidRPr="00A06BF8">
        <w:rPr>
          <w:rFonts w:ascii="Book Antiqua" w:hAnsi="Book Antiqua" w:cs="Arial"/>
          <w:sz w:val="24"/>
          <w:szCs w:val="24"/>
          <w:lang w:val="en-US"/>
        </w:rPr>
        <w:t xml:space="preserve"> cells in at least in one colonic segment, it is conceivable that this indicates a symptomatic viral-related colitis that is superimposed on the underlying primary illness. Interestingly, our systematic sampling of all colonic segments made it possible to build up a map of the mucosal viral loads that perfectly overlaps with the severity of macroscopic lesions and correlates with the endoscopic indexes of activity. On the other hand, the presence of a number of DNA copies lower than 10</w:t>
      </w:r>
      <w:r w:rsidRPr="00A06BF8">
        <w:rPr>
          <w:rFonts w:ascii="Book Antiqua" w:hAnsi="Book Antiqua" w:cs="Arial"/>
          <w:sz w:val="24"/>
          <w:szCs w:val="24"/>
          <w:vertAlign w:val="superscript"/>
          <w:lang w:val="en-US"/>
        </w:rPr>
        <w:t>3</w:t>
      </w:r>
      <w:r w:rsidRPr="00A06BF8">
        <w:rPr>
          <w:rFonts w:ascii="Book Antiqua" w:hAnsi="Book Antiqua" w:cs="Arial"/>
          <w:sz w:val="24"/>
          <w:szCs w:val="24"/>
          <w:lang w:val="en-US"/>
        </w:rPr>
        <w:t>/10</w:t>
      </w:r>
      <w:r w:rsidRPr="00A06BF8">
        <w:rPr>
          <w:rFonts w:ascii="Book Antiqua" w:hAnsi="Book Antiqua" w:cs="Arial"/>
          <w:sz w:val="24"/>
          <w:szCs w:val="24"/>
          <w:vertAlign w:val="superscript"/>
          <w:lang w:val="en-US"/>
        </w:rPr>
        <w:t>5</w:t>
      </w:r>
      <w:r w:rsidRPr="00A06BF8">
        <w:rPr>
          <w:rFonts w:ascii="Book Antiqua" w:hAnsi="Book Antiqua" w:cs="Arial"/>
          <w:sz w:val="24"/>
          <w:szCs w:val="24"/>
          <w:lang w:val="en-US"/>
        </w:rPr>
        <w:t xml:space="preserve"> cells only in patients with quiescent disease might be related to the periodic viral reactivation that usually occurs even in healthy people without this triggers of </w:t>
      </w:r>
      <w:proofErr w:type="gramStart"/>
      <w:r w:rsidRPr="00A06BF8">
        <w:rPr>
          <w:rFonts w:ascii="Book Antiqua" w:hAnsi="Book Antiqua" w:cs="Arial"/>
          <w:sz w:val="24"/>
          <w:szCs w:val="24"/>
          <w:lang w:val="en-US"/>
        </w:rPr>
        <w:t>symptoms</w:t>
      </w:r>
      <w:r w:rsidR="00344247" w:rsidRPr="00A06BF8">
        <w:rPr>
          <w:rFonts w:ascii="Book Antiqua" w:hAnsi="Book Antiqua" w:cs="Arial"/>
          <w:sz w:val="24"/>
          <w:szCs w:val="24"/>
          <w:vertAlign w:val="superscript"/>
          <w:lang w:val="en-US"/>
        </w:rPr>
        <w:t>[</w:t>
      </w:r>
      <w:proofErr w:type="gramEnd"/>
      <w:r w:rsidR="00344247" w:rsidRPr="00A06BF8">
        <w:rPr>
          <w:rFonts w:ascii="Book Antiqua" w:hAnsi="Book Antiqua" w:cs="Arial"/>
          <w:sz w:val="24"/>
          <w:szCs w:val="24"/>
          <w:vertAlign w:val="superscript"/>
          <w:lang w:val="en-US"/>
        </w:rPr>
        <w:t>4]</w:t>
      </w:r>
      <w:r w:rsidRPr="00A06BF8">
        <w:rPr>
          <w:rFonts w:ascii="Book Antiqua" w:hAnsi="Book Antiqua" w:cs="Arial"/>
          <w:sz w:val="24"/>
          <w:szCs w:val="24"/>
          <w:lang w:val="en-US"/>
        </w:rPr>
        <w:t xml:space="preserve">. However, on comparing the </w:t>
      </w:r>
      <w:r w:rsidRPr="00A06BF8">
        <w:rPr>
          <w:rFonts w:ascii="Book Antiqua" w:hAnsi="Book Antiqua" w:cs="Arial"/>
          <w:sz w:val="24"/>
          <w:szCs w:val="24"/>
          <w:lang w:val="en-US"/>
        </w:rPr>
        <w:lastRenderedPageBreak/>
        <w:t xml:space="preserve">values found in non-refractory IBD patients with those found in control patients, a median mucosal peak value of 1 logarithm unit higher was observed in IBD patients. This finding could prove to be of some clinical use as a warning for closer follow-up and caution in prescribing those therapies that favor the disruption of the delicate balance between the host immune response and viral activity, which leads to precipitation or exacerbation of mucosal injury. A similar distinction between viral colitis and infection could not be achieved by previous studies even when applying PCR-based techniques, since the differences in expressing the results (as copies by microgram of total DNA </w:t>
      </w:r>
      <w:proofErr w:type="gramStart"/>
      <w:r w:rsidRPr="00A06BF8">
        <w:rPr>
          <w:rFonts w:ascii="Book Antiqua" w:hAnsi="Book Antiqua" w:cs="Arial"/>
          <w:sz w:val="24"/>
          <w:szCs w:val="24"/>
          <w:lang w:val="en-US"/>
        </w:rPr>
        <w:t>extracted</w:t>
      </w:r>
      <w:r w:rsidRPr="00A06BF8">
        <w:rPr>
          <w:rFonts w:ascii="Book Antiqua" w:hAnsi="Book Antiqua" w:cs="Arial"/>
          <w:sz w:val="24"/>
          <w:szCs w:val="24"/>
          <w:vertAlign w:val="superscript"/>
          <w:lang w:val="en-US"/>
        </w:rPr>
        <w:t>[</w:t>
      </w:r>
      <w:proofErr w:type="gramEnd"/>
      <w:r w:rsidRPr="00A06BF8">
        <w:rPr>
          <w:rFonts w:ascii="Book Antiqua" w:hAnsi="Book Antiqua" w:cs="Arial"/>
          <w:sz w:val="24"/>
          <w:szCs w:val="24"/>
          <w:vertAlign w:val="superscript"/>
          <w:lang w:val="en-US"/>
        </w:rPr>
        <w:t>24,34]</w:t>
      </w:r>
      <w:r w:rsidRPr="00A06BF8">
        <w:rPr>
          <w:rFonts w:ascii="Book Antiqua" w:hAnsi="Book Antiqua" w:cs="Arial"/>
          <w:sz w:val="24"/>
          <w:szCs w:val="24"/>
          <w:lang w:val="en-US"/>
        </w:rPr>
        <w:t xml:space="preserve"> or milligram of tissue</w:t>
      </w:r>
      <w:r w:rsidRPr="00A06BF8">
        <w:rPr>
          <w:rFonts w:ascii="Book Antiqua" w:hAnsi="Book Antiqua" w:cs="Arial"/>
          <w:sz w:val="24"/>
          <w:szCs w:val="24"/>
          <w:vertAlign w:val="superscript"/>
          <w:lang w:val="en-US"/>
        </w:rPr>
        <w:t>[33]</w:t>
      </w:r>
      <w:r w:rsidRPr="00A06BF8">
        <w:rPr>
          <w:rFonts w:ascii="Book Antiqua" w:hAnsi="Book Antiqua" w:cs="Arial"/>
          <w:sz w:val="24"/>
          <w:szCs w:val="24"/>
          <w:lang w:val="en-US"/>
        </w:rPr>
        <w:t xml:space="preserve">), the sensitivity of the test, and the lack of control population made it impossible to draw definite conclusions. In this regard, the possibility of measuring the DNA viral load in stool samples, thus avoiding an invasive endoscopic exam, has already been </w:t>
      </w:r>
      <w:proofErr w:type="gramStart"/>
      <w:r w:rsidRPr="00A06BF8">
        <w:rPr>
          <w:rFonts w:ascii="Book Antiqua" w:hAnsi="Book Antiqua" w:cs="Arial"/>
          <w:sz w:val="24"/>
          <w:szCs w:val="24"/>
          <w:lang w:val="en-US"/>
        </w:rPr>
        <w:t>explored</w:t>
      </w:r>
      <w:r w:rsidR="00822012" w:rsidRPr="00A06BF8">
        <w:rPr>
          <w:rFonts w:ascii="Book Antiqua" w:hAnsi="Book Antiqua" w:cs="Arial"/>
          <w:sz w:val="24"/>
          <w:szCs w:val="24"/>
          <w:vertAlign w:val="superscript"/>
          <w:lang w:val="en-US"/>
        </w:rPr>
        <w:t>[</w:t>
      </w:r>
      <w:proofErr w:type="gramEnd"/>
      <w:r w:rsidR="00822012" w:rsidRPr="00A06BF8">
        <w:rPr>
          <w:rFonts w:ascii="Book Antiqua" w:hAnsi="Book Antiqua" w:cs="Arial"/>
          <w:sz w:val="24"/>
          <w:szCs w:val="24"/>
          <w:vertAlign w:val="superscript"/>
          <w:lang w:val="en-US"/>
        </w:rPr>
        <w:t>37]</w:t>
      </w:r>
      <w:r w:rsidRPr="00A06BF8">
        <w:rPr>
          <w:rFonts w:ascii="Book Antiqua" w:hAnsi="Book Antiqua" w:cs="Arial"/>
          <w:sz w:val="24"/>
          <w:szCs w:val="24"/>
          <w:lang w:val="en-US"/>
        </w:rPr>
        <w:t xml:space="preserve">. However, the lack of control populations, the limited number of cases enrolled and, in most of all, the absence of an exact correspondence between the levels found in the mucosa and stool samples, did not allow the authors in question to differentiate between viral end-organ disease and reactivation/infection. Moreover, the presence of some technical limitations such as the need for a fresh, liquid stool sample made this diagnostic test unsuitable for the management of IBD patients. Finally, the search for circulating class M specific anti-virus antibodies is rather ineffective in detecting an active disease, since elevated levels can persist for up to two years after infection, and immunocompromised patients may not mount an </w:t>
      </w:r>
      <w:proofErr w:type="spellStart"/>
      <w:r w:rsidRPr="00A06BF8">
        <w:rPr>
          <w:rFonts w:ascii="Book Antiqua" w:hAnsi="Book Antiqua" w:cs="Arial"/>
          <w:sz w:val="24"/>
          <w:szCs w:val="24"/>
          <w:lang w:val="en-US"/>
        </w:rPr>
        <w:t>IgM</w:t>
      </w:r>
      <w:proofErr w:type="spellEnd"/>
      <w:r w:rsidRPr="00A06BF8">
        <w:rPr>
          <w:rFonts w:ascii="Book Antiqua" w:hAnsi="Book Antiqua" w:cs="Arial"/>
          <w:sz w:val="24"/>
          <w:szCs w:val="24"/>
          <w:lang w:val="en-US"/>
        </w:rPr>
        <w:t xml:space="preserve"> </w:t>
      </w:r>
      <w:proofErr w:type="gramStart"/>
      <w:r w:rsidRPr="00A06BF8">
        <w:rPr>
          <w:rFonts w:ascii="Book Antiqua" w:hAnsi="Book Antiqua" w:cs="Arial"/>
          <w:sz w:val="24"/>
          <w:szCs w:val="24"/>
          <w:lang w:val="en-US"/>
        </w:rPr>
        <w:t>response</w:t>
      </w:r>
      <w:r w:rsidR="00344247" w:rsidRPr="00A06BF8">
        <w:rPr>
          <w:rFonts w:ascii="Book Antiqua" w:hAnsi="Book Antiqua" w:cs="Arial"/>
          <w:sz w:val="24"/>
          <w:szCs w:val="24"/>
          <w:vertAlign w:val="superscript"/>
          <w:lang w:val="en-US"/>
        </w:rPr>
        <w:t>[</w:t>
      </w:r>
      <w:proofErr w:type="gramEnd"/>
      <w:r w:rsidR="00344247" w:rsidRPr="00A06BF8">
        <w:rPr>
          <w:rFonts w:ascii="Book Antiqua" w:hAnsi="Book Antiqua" w:cs="Arial"/>
          <w:sz w:val="24"/>
          <w:szCs w:val="24"/>
          <w:vertAlign w:val="superscript"/>
          <w:lang w:val="en-US"/>
        </w:rPr>
        <w:t>38]</w:t>
      </w:r>
      <w:r w:rsidRPr="00A06BF8">
        <w:rPr>
          <w:rFonts w:ascii="Book Antiqua" w:hAnsi="Book Antiqua" w:cs="Arial"/>
          <w:sz w:val="24"/>
          <w:szCs w:val="24"/>
          <w:lang w:val="en-US"/>
        </w:rPr>
        <w:t xml:space="preserve">. </w:t>
      </w:r>
      <w:r w:rsidRPr="00A06BF8">
        <w:rPr>
          <w:rFonts w:ascii="Book Antiqua" w:hAnsi="Book Antiqua" w:cs="Arial"/>
          <w:b/>
          <w:sz w:val="24"/>
          <w:szCs w:val="24"/>
          <w:lang w:val="en-US"/>
        </w:rPr>
        <w:t xml:space="preserve"> </w:t>
      </w:r>
    </w:p>
    <w:p w:rsidR="009064E0" w:rsidRPr="00A06BF8" w:rsidRDefault="009064E0" w:rsidP="00093495">
      <w:pPr>
        <w:widowControl w:val="0"/>
        <w:suppressAutoHyphens w:val="0"/>
        <w:adjustRightInd w:val="0"/>
        <w:snapToGrid w:val="0"/>
        <w:spacing w:line="360" w:lineRule="auto"/>
        <w:ind w:firstLineChars="100" w:firstLine="240"/>
        <w:jc w:val="both"/>
        <w:rPr>
          <w:rFonts w:ascii="Book Antiqua" w:hAnsi="Book Antiqua" w:cs="Arial"/>
          <w:sz w:val="24"/>
          <w:szCs w:val="24"/>
          <w:lang w:val="en-US"/>
        </w:rPr>
      </w:pPr>
      <w:r w:rsidRPr="00A06BF8">
        <w:rPr>
          <w:rFonts w:ascii="Book Antiqua" w:hAnsi="Book Antiqua" w:cs="Arial"/>
          <w:sz w:val="24"/>
          <w:szCs w:val="24"/>
          <w:lang w:val="en-US"/>
        </w:rPr>
        <w:t>We believe, therefore, that the previous definitions of HCMV or EBV infection and colitis, often used interchangeably, and simply referring to the evidence of viral positivity in colonic tissue of symptomatic patients by means of any technique</w:t>
      </w:r>
      <w:r w:rsidR="00344247" w:rsidRPr="00A06BF8">
        <w:rPr>
          <w:rFonts w:ascii="Book Antiqua" w:hAnsi="Book Antiqua" w:cs="Arial"/>
          <w:sz w:val="24"/>
          <w:szCs w:val="24"/>
          <w:vertAlign w:val="superscript"/>
          <w:lang w:val="en-US"/>
        </w:rPr>
        <w:t>[11,38]</w:t>
      </w:r>
      <w:r w:rsidRPr="00A06BF8">
        <w:rPr>
          <w:rFonts w:ascii="Book Antiqua" w:hAnsi="Book Antiqua" w:cs="Arial"/>
          <w:sz w:val="24"/>
          <w:szCs w:val="24"/>
          <w:lang w:val="en-US"/>
        </w:rPr>
        <w:t xml:space="preserve">, are confusing and should be assessed by applying the quantitative real-time PCR method on freshly harvested mucosal biopsies. However, further studies are warranted in order to optimize the mucosal sampling and assess the risk stratification in order to achieve early recognition and appropriate management of these conditions. It is worth noting that we </w:t>
      </w:r>
      <w:proofErr w:type="gramStart"/>
      <w:r w:rsidRPr="00A06BF8">
        <w:rPr>
          <w:rFonts w:ascii="Book Antiqua" w:hAnsi="Book Antiqua" w:cs="Arial"/>
          <w:sz w:val="24"/>
          <w:szCs w:val="24"/>
          <w:lang w:val="en-US"/>
        </w:rPr>
        <w:t>confirmed</w:t>
      </w:r>
      <w:r w:rsidRPr="00A06BF8">
        <w:rPr>
          <w:rFonts w:ascii="Book Antiqua" w:hAnsi="Book Antiqua" w:cs="Arial"/>
          <w:sz w:val="24"/>
          <w:szCs w:val="24"/>
          <w:vertAlign w:val="superscript"/>
          <w:lang w:val="en-US"/>
        </w:rPr>
        <w:t>[</w:t>
      </w:r>
      <w:proofErr w:type="gramEnd"/>
      <w:r w:rsidRPr="00A06BF8">
        <w:rPr>
          <w:rFonts w:ascii="Book Antiqua" w:hAnsi="Book Antiqua" w:cs="Arial"/>
          <w:sz w:val="24"/>
          <w:szCs w:val="24"/>
          <w:vertAlign w:val="superscript"/>
          <w:lang w:val="en-US"/>
        </w:rPr>
        <w:t>39,40]</w:t>
      </w:r>
      <w:r w:rsidRPr="00A06BF8">
        <w:rPr>
          <w:rFonts w:ascii="Book Antiqua" w:hAnsi="Book Antiqua" w:cs="Arial"/>
          <w:sz w:val="24"/>
          <w:szCs w:val="24"/>
          <w:lang w:val="en-US"/>
        </w:rPr>
        <w:t xml:space="preserve"> EBV as the most prevalent infection, since half (49%) of the IBD patients and almost all of the refractory patients (88%) showed EBV positivity alone or in combination with HCMV. This observation is of great clinical relevance if we consider that, so far, the majority of papers have instead focused on HCMV infection. Furthermore, the exact correspondence between the macroscopically damaged areas and those carrying the </w:t>
      </w:r>
      <w:r w:rsidRPr="00A06BF8">
        <w:rPr>
          <w:rFonts w:ascii="Book Antiqua" w:hAnsi="Book Antiqua" w:cs="Arial"/>
          <w:sz w:val="24"/>
          <w:szCs w:val="24"/>
          <w:lang w:val="en-US"/>
        </w:rPr>
        <w:lastRenderedPageBreak/>
        <w:t xml:space="preserve">highest viral loads strengthens the hypothesis that both viruses play a role in contributing to mucosal lesions. In this regard, a suggested viral tropism to sites of </w:t>
      </w:r>
      <w:proofErr w:type="gramStart"/>
      <w:r w:rsidRPr="00A06BF8">
        <w:rPr>
          <w:rFonts w:ascii="Book Antiqua" w:hAnsi="Book Antiqua" w:cs="Arial"/>
          <w:sz w:val="24"/>
          <w:szCs w:val="24"/>
          <w:lang w:val="en-US"/>
        </w:rPr>
        <w:t>inflammation</w:t>
      </w:r>
      <w:r w:rsidR="00344247" w:rsidRPr="00A06BF8">
        <w:rPr>
          <w:rFonts w:ascii="Book Antiqua" w:hAnsi="Book Antiqua" w:cs="Arial"/>
          <w:sz w:val="24"/>
          <w:szCs w:val="24"/>
          <w:vertAlign w:val="superscript"/>
          <w:lang w:val="en-US"/>
        </w:rPr>
        <w:t>[</w:t>
      </w:r>
      <w:proofErr w:type="gramEnd"/>
      <w:r w:rsidR="00344247" w:rsidRPr="00A06BF8">
        <w:rPr>
          <w:rFonts w:ascii="Book Antiqua" w:hAnsi="Book Antiqua" w:cs="Arial"/>
          <w:sz w:val="24"/>
          <w:szCs w:val="24"/>
          <w:vertAlign w:val="superscript"/>
          <w:lang w:val="en-US"/>
        </w:rPr>
        <w:t>41]</w:t>
      </w:r>
      <w:r w:rsidRPr="00A06BF8">
        <w:rPr>
          <w:rFonts w:ascii="Book Antiqua" w:hAnsi="Book Antiqua" w:cs="Arial"/>
          <w:sz w:val="24"/>
          <w:szCs w:val="24"/>
          <w:lang w:val="en-US"/>
        </w:rPr>
        <w:t>, and their ability to affect cytokine production may account for how they escape host immune surveillance directly at mucosal level</w:t>
      </w:r>
      <w:r w:rsidR="00344247" w:rsidRPr="00A06BF8">
        <w:rPr>
          <w:rFonts w:ascii="Book Antiqua" w:hAnsi="Book Antiqua" w:cs="Arial"/>
          <w:sz w:val="24"/>
          <w:szCs w:val="24"/>
          <w:vertAlign w:val="superscript"/>
          <w:lang w:val="en-US"/>
        </w:rPr>
        <w:t>[42]</w:t>
      </w:r>
      <w:r w:rsidRPr="00A06BF8">
        <w:rPr>
          <w:rFonts w:ascii="Book Antiqua" w:hAnsi="Book Antiqua" w:cs="Arial"/>
          <w:sz w:val="24"/>
          <w:szCs w:val="24"/>
          <w:lang w:val="en-US"/>
        </w:rPr>
        <w:t>. Moreover, the possible presence of malnourishment and the increasing and early use of aggressive therapies</w:t>
      </w:r>
      <w:r w:rsidRPr="00A06BF8">
        <w:rPr>
          <w:rFonts w:ascii="Book Antiqua" w:hAnsi="Book Antiqua" w:cs="Arial"/>
          <w:sz w:val="24"/>
          <w:szCs w:val="24"/>
          <w:vertAlign w:val="superscript"/>
          <w:lang w:val="en-US"/>
        </w:rPr>
        <w:t>[38]</w:t>
      </w:r>
      <w:r w:rsidRPr="00A06BF8">
        <w:rPr>
          <w:rFonts w:ascii="Book Antiqua" w:hAnsi="Book Antiqua" w:cs="Arial"/>
          <w:sz w:val="24"/>
          <w:szCs w:val="24"/>
          <w:lang w:val="en-US"/>
        </w:rPr>
        <w:t xml:space="preserve"> whose main target are T-cells, which play a crucial role in controlling HCMV and EBV latency and reactivation</w:t>
      </w:r>
      <w:r w:rsidR="00344247" w:rsidRPr="00A06BF8">
        <w:rPr>
          <w:rFonts w:ascii="Book Antiqua" w:hAnsi="Book Antiqua" w:cs="Arial"/>
          <w:sz w:val="24"/>
          <w:szCs w:val="24"/>
          <w:vertAlign w:val="superscript"/>
          <w:lang w:val="en-US"/>
        </w:rPr>
        <w:t>[43]</w:t>
      </w:r>
      <w:r w:rsidRPr="00A06BF8">
        <w:rPr>
          <w:rFonts w:ascii="Book Antiqua" w:hAnsi="Book Antiqua" w:cs="Arial"/>
          <w:sz w:val="24"/>
          <w:szCs w:val="24"/>
          <w:lang w:val="en-US"/>
        </w:rPr>
        <w:t>, represent potential co-factors in triggering viral colitis. The use of steroids, azathioprine or 6-mercaptopurine, and infliximab, indeed, has been found to produce similar effects in significantly increasing the OR for HCMV infection (3.4, 3.1, and 4.4, respectively), with the combined use of two or three of these drugs yielding an OR of 14.5</w:t>
      </w:r>
      <w:r w:rsidR="00344247" w:rsidRPr="00A06BF8">
        <w:rPr>
          <w:rFonts w:ascii="Book Antiqua" w:hAnsi="Book Antiqua" w:cs="Arial"/>
          <w:sz w:val="24"/>
          <w:szCs w:val="24"/>
          <w:vertAlign w:val="superscript"/>
          <w:lang w:val="en-US"/>
        </w:rPr>
        <w:t>[2,44]</w:t>
      </w:r>
      <w:r w:rsidRPr="00A06BF8">
        <w:rPr>
          <w:rFonts w:ascii="Book Antiqua" w:hAnsi="Book Antiqua" w:cs="Arial"/>
          <w:sz w:val="24"/>
          <w:szCs w:val="24"/>
          <w:lang w:val="en-US"/>
        </w:rPr>
        <w:t>. However, infliximab did not appear to affect the incidence of latent virus reactivation in the short-</w:t>
      </w:r>
      <w:proofErr w:type="gramStart"/>
      <w:r w:rsidRPr="00A06BF8">
        <w:rPr>
          <w:rFonts w:ascii="Book Antiqua" w:hAnsi="Book Antiqua" w:cs="Arial"/>
          <w:sz w:val="24"/>
          <w:szCs w:val="24"/>
          <w:lang w:val="en-US"/>
        </w:rPr>
        <w:t>term</w:t>
      </w:r>
      <w:r w:rsidR="00344247" w:rsidRPr="00A06BF8">
        <w:rPr>
          <w:rFonts w:ascii="Book Antiqua" w:hAnsi="Book Antiqua" w:cs="Arial"/>
          <w:sz w:val="24"/>
          <w:szCs w:val="24"/>
          <w:vertAlign w:val="superscript"/>
          <w:lang w:val="en-US"/>
        </w:rPr>
        <w:t>[</w:t>
      </w:r>
      <w:proofErr w:type="gramEnd"/>
      <w:r w:rsidR="00344247" w:rsidRPr="00A06BF8">
        <w:rPr>
          <w:rFonts w:ascii="Book Antiqua" w:hAnsi="Book Antiqua" w:cs="Arial"/>
          <w:sz w:val="24"/>
          <w:szCs w:val="24"/>
          <w:vertAlign w:val="superscript"/>
          <w:lang w:val="en-US"/>
        </w:rPr>
        <w:t>45]</w:t>
      </w:r>
      <w:r w:rsidRPr="00A06BF8">
        <w:rPr>
          <w:rFonts w:ascii="Book Antiqua" w:hAnsi="Book Antiqua" w:cs="Arial"/>
          <w:sz w:val="24"/>
          <w:szCs w:val="24"/>
          <w:lang w:val="en-US"/>
        </w:rPr>
        <w:t>, but mostly in long-term treatment</w:t>
      </w:r>
      <w:r w:rsidR="00344247" w:rsidRPr="00A06BF8">
        <w:rPr>
          <w:rFonts w:ascii="Book Antiqua" w:hAnsi="Book Antiqua" w:cs="Arial"/>
          <w:sz w:val="24"/>
          <w:szCs w:val="24"/>
          <w:vertAlign w:val="superscript"/>
          <w:lang w:val="en-US"/>
        </w:rPr>
        <w:t>[3]</w:t>
      </w:r>
      <w:r w:rsidRPr="00A06BF8">
        <w:rPr>
          <w:rFonts w:ascii="Book Antiqua" w:hAnsi="Book Antiqua" w:cs="Arial"/>
          <w:sz w:val="24"/>
          <w:szCs w:val="24"/>
          <w:lang w:val="en-US"/>
        </w:rPr>
        <w:t xml:space="preserve">. Our results only partially confirmed these data, since </w:t>
      </w:r>
      <w:proofErr w:type="spellStart"/>
      <w:r w:rsidRPr="00A06BF8">
        <w:rPr>
          <w:rFonts w:ascii="Book Antiqua" w:hAnsi="Book Antiqua" w:cs="Arial"/>
          <w:sz w:val="24"/>
          <w:szCs w:val="24"/>
          <w:lang w:val="en-US"/>
        </w:rPr>
        <w:t>immunosuppressants</w:t>
      </w:r>
      <w:proofErr w:type="spellEnd"/>
      <w:r w:rsidRPr="00A06BF8">
        <w:rPr>
          <w:rFonts w:ascii="Book Antiqua" w:hAnsi="Book Antiqua" w:cs="Arial"/>
          <w:sz w:val="24"/>
          <w:szCs w:val="24"/>
          <w:lang w:val="en-US"/>
        </w:rPr>
        <w:t xml:space="preserve"> did not increase the risk of developing a superimposed viral colitis, while the </w:t>
      </w:r>
      <w:r w:rsidRPr="00A06BF8">
        <w:rPr>
          <w:rFonts w:ascii="Book Antiqua" w:hAnsi="Book Antiqua"/>
          <w:bCs/>
          <w:spacing w:val="-10"/>
          <w:sz w:val="24"/>
          <w:szCs w:val="24"/>
          <w:lang w:val="en-US"/>
        </w:rPr>
        <w:t>use of biologic agents and topical steroids was closely related to EBV colitis</w:t>
      </w:r>
      <w:r w:rsidRPr="00A06BF8">
        <w:rPr>
          <w:rFonts w:ascii="Book Antiqua" w:hAnsi="Book Antiqua" w:cs="Arial"/>
          <w:sz w:val="24"/>
          <w:szCs w:val="24"/>
          <w:lang w:val="en-US"/>
        </w:rPr>
        <w:t>. Moreover, although anti-tumor necrosis factor-</w:t>
      </w:r>
      <w:r w:rsidRPr="00344247">
        <w:rPr>
          <w:rFonts w:ascii="Symbol" w:hAnsi="Symbol"/>
          <w:sz w:val="24"/>
          <w:szCs w:val="24"/>
          <w:lang w:val="en-US"/>
        </w:rPr>
        <w:t></w:t>
      </w:r>
      <w:r w:rsidRPr="00A06BF8">
        <w:rPr>
          <w:rFonts w:ascii="Book Antiqua" w:hAnsi="Book Antiqua" w:cs="Arial"/>
          <w:sz w:val="24"/>
          <w:szCs w:val="24"/>
          <w:lang w:val="en-US"/>
        </w:rPr>
        <w:t xml:space="preserve"> agents have been shown to cause widespread HCMV </w:t>
      </w:r>
      <w:proofErr w:type="gramStart"/>
      <w:r w:rsidRPr="00A06BF8">
        <w:rPr>
          <w:rFonts w:ascii="Book Antiqua" w:hAnsi="Book Antiqua" w:cs="Arial"/>
          <w:sz w:val="24"/>
          <w:szCs w:val="24"/>
          <w:lang w:val="en-US"/>
        </w:rPr>
        <w:t>infection</w:t>
      </w:r>
      <w:r w:rsidR="00344247" w:rsidRPr="00A06BF8">
        <w:rPr>
          <w:rFonts w:ascii="Book Antiqua" w:hAnsi="Book Antiqua" w:cs="Arial"/>
          <w:sz w:val="24"/>
          <w:szCs w:val="24"/>
          <w:vertAlign w:val="superscript"/>
          <w:lang w:val="en-US"/>
        </w:rPr>
        <w:t>[</w:t>
      </w:r>
      <w:proofErr w:type="gramEnd"/>
      <w:r w:rsidR="00344247" w:rsidRPr="00A06BF8">
        <w:rPr>
          <w:rFonts w:ascii="Book Antiqua" w:hAnsi="Book Antiqua" w:cs="Arial"/>
          <w:sz w:val="24"/>
          <w:szCs w:val="24"/>
          <w:vertAlign w:val="superscript"/>
          <w:lang w:val="en-US"/>
        </w:rPr>
        <w:t>46]</w:t>
      </w:r>
      <w:r w:rsidRPr="00A06BF8">
        <w:rPr>
          <w:rFonts w:ascii="Book Antiqua" w:hAnsi="Book Antiqua" w:cs="Arial"/>
          <w:sz w:val="24"/>
          <w:szCs w:val="24"/>
          <w:lang w:val="en-US"/>
        </w:rPr>
        <w:t xml:space="preserve">, we did not substantiate this result. Most importantly, as in transplant </w:t>
      </w:r>
      <w:proofErr w:type="gramStart"/>
      <w:r w:rsidRPr="00A06BF8">
        <w:rPr>
          <w:rFonts w:ascii="Book Antiqua" w:hAnsi="Book Antiqua" w:cs="Arial"/>
          <w:sz w:val="24"/>
          <w:szCs w:val="24"/>
          <w:lang w:val="en-US"/>
        </w:rPr>
        <w:t>patients</w:t>
      </w:r>
      <w:r w:rsidR="00344247" w:rsidRPr="00A06BF8">
        <w:rPr>
          <w:rFonts w:ascii="Book Antiqua" w:hAnsi="Book Antiqua" w:cs="Arial"/>
          <w:sz w:val="24"/>
          <w:szCs w:val="24"/>
          <w:vertAlign w:val="superscript"/>
          <w:lang w:val="en-US"/>
        </w:rPr>
        <w:t>[</w:t>
      </w:r>
      <w:proofErr w:type="gramEnd"/>
      <w:r w:rsidR="00344247" w:rsidRPr="00A06BF8">
        <w:rPr>
          <w:rFonts w:ascii="Book Antiqua" w:hAnsi="Book Antiqua" w:cs="Arial"/>
          <w:sz w:val="24"/>
          <w:szCs w:val="24"/>
          <w:vertAlign w:val="superscript"/>
          <w:lang w:val="en-US"/>
        </w:rPr>
        <w:t>47]</w:t>
      </w:r>
      <w:r w:rsidRPr="00A06BF8">
        <w:rPr>
          <w:rFonts w:ascii="Book Antiqua" w:hAnsi="Book Antiqua" w:cs="Arial"/>
          <w:sz w:val="24"/>
          <w:szCs w:val="24"/>
          <w:lang w:val="en-US"/>
        </w:rPr>
        <w:t xml:space="preserve">, systemic steroid </w:t>
      </w:r>
      <w:r w:rsidRPr="00A06BF8">
        <w:rPr>
          <w:rFonts w:ascii="Book Antiqua" w:hAnsi="Book Antiqua"/>
          <w:bCs/>
          <w:spacing w:val="-10"/>
          <w:sz w:val="24"/>
          <w:szCs w:val="24"/>
          <w:lang w:val="en-US"/>
        </w:rPr>
        <w:t xml:space="preserve">use was identified as a significant risk factor </w:t>
      </w:r>
      <w:r w:rsidRPr="00A06BF8">
        <w:rPr>
          <w:rFonts w:ascii="Book Antiqua" w:hAnsi="Book Antiqua" w:cs="Arial"/>
          <w:sz w:val="24"/>
          <w:szCs w:val="24"/>
          <w:lang w:val="en-US"/>
        </w:rPr>
        <w:t xml:space="preserve">for both HCMV and EBV colitis, probably due to their ability to increase viral protein production, as shown </w:t>
      </w:r>
      <w:r w:rsidRPr="00A06BF8">
        <w:rPr>
          <w:rFonts w:ascii="Book Antiqua" w:hAnsi="Book Antiqua" w:cs="Arial"/>
          <w:i/>
          <w:sz w:val="24"/>
          <w:szCs w:val="24"/>
          <w:lang w:val="en-US"/>
        </w:rPr>
        <w:t>in vitro</w:t>
      </w:r>
      <w:r w:rsidR="00344247" w:rsidRPr="00A06BF8">
        <w:rPr>
          <w:rFonts w:ascii="Book Antiqua" w:hAnsi="Book Antiqua" w:cs="Arial"/>
          <w:sz w:val="24"/>
          <w:szCs w:val="24"/>
          <w:vertAlign w:val="superscript"/>
          <w:lang w:val="en-US"/>
        </w:rPr>
        <w:t>[48]</w:t>
      </w:r>
      <w:r w:rsidRPr="00A06BF8">
        <w:rPr>
          <w:rFonts w:ascii="Book Antiqua" w:hAnsi="Book Antiqua" w:cs="Arial"/>
          <w:i/>
          <w:sz w:val="24"/>
          <w:szCs w:val="24"/>
          <w:lang w:val="en-US"/>
        </w:rPr>
        <w:t>.</w:t>
      </w:r>
      <w:r w:rsidRPr="00A06BF8">
        <w:rPr>
          <w:rFonts w:ascii="Book Antiqua" w:hAnsi="Book Antiqua" w:cs="Arial"/>
          <w:sz w:val="24"/>
          <w:szCs w:val="24"/>
          <w:lang w:val="en-US"/>
        </w:rPr>
        <w:t xml:space="preserve"> No additional factors, including duration of therapy or disease, age and degree of malnourishment were found to be related to the risk of developing viral colitis. Interestingly, only those patients with mucosal viral loads approaching 10</w:t>
      </w:r>
      <w:r w:rsidRPr="00A06BF8">
        <w:rPr>
          <w:rFonts w:ascii="Book Antiqua" w:hAnsi="Book Antiqua" w:cs="Arial"/>
          <w:sz w:val="24"/>
          <w:szCs w:val="24"/>
          <w:vertAlign w:val="superscript"/>
          <w:lang w:val="en-US"/>
        </w:rPr>
        <w:t>5</w:t>
      </w:r>
      <w:r w:rsidRPr="00A06BF8">
        <w:rPr>
          <w:rFonts w:ascii="Book Antiqua" w:hAnsi="Book Antiqua" w:cs="Arial"/>
          <w:sz w:val="24"/>
          <w:szCs w:val="24"/>
          <w:lang w:val="en-US"/>
        </w:rPr>
        <w:t xml:space="preserve"> copies/10</w:t>
      </w:r>
      <w:r w:rsidRPr="00A06BF8">
        <w:rPr>
          <w:rFonts w:ascii="Book Antiqua" w:hAnsi="Book Antiqua" w:cs="Arial"/>
          <w:sz w:val="24"/>
          <w:szCs w:val="24"/>
          <w:vertAlign w:val="superscript"/>
          <w:lang w:val="en-US"/>
        </w:rPr>
        <w:t>5</w:t>
      </w:r>
      <w:r w:rsidRPr="00A06BF8">
        <w:rPr>
          <w:rFonts w:ascii="Book Antiqua" w:hAnsi="Book Antiqua" w:cs="Arial"/>
          <w:sz w:val="24"/>
          <w:szCs w:val="24"/>
          <w:lang w:val="en-US"/>
        </w:rPr>
        <w:t xml:space="preserve"> cells showed detectable viral DNA even in peripheral blood, as already found in recipients of solid organ transplants where a HCMV end-organ disease may exist independently from systemic </w:t>
      </w:r>
      <w:proofErr w:type="gramStart"/>
      <w:r w:rsidRPr="00A06BF8">
        <w:rPr>
          <w:rFonts w:ascii="Book Antiqua" w:hAnsi="Book Antiqua" w:cs="Arial"/>
          <w:sz w:val="24"/>
          <w:szCs w:val="24"/>
          <w:lang w:val="en-US"/>
        </w:rPr>
        <w:t>involvement</w:t>
      </w:r>
      <w:r w:rsidR="00344247" w:rsidRPr="00A06BF8">
        <w:rPr>
          <w:rFonts w:ascii="Book Antiqua" w:hAnsi="Book Antiqua" w:cs="Arial"/>
          <w:sz w:val="24"/>
          <w:szCs w:val="24"/>
          <w:vertAlign w:val="superscript"/>
          <w:lang w:val="en-US"/>
        </w:rPr>
        <w:t>[</w:t>
      </w:r>
      <w:proofErr w:type="gramEnd"/>
      <w:r w:rsidR="00344247" w:rsidRPr="00A06BF8">
        <w:rPr>
          <w:rFonts w:ascii="Book Antiqua" w:hAnsi="Book Antiqua" w:cs="Arial"/>
          <w:sz w:val="24"/>
          <w:szCs w:val="24"/>
          <w:vertAlign w:val="superscript"/>
          <w:lang w:val="en-US"/>
        </w:rPr>
        <w:t>49]</w:t>
      </w:r>
      <w:r w:rsidRPr="00A06BF8">
        <w:rPr>
          <w:rFonts w:ascii="Book Antiqua" w:hAnsi="Book Antiqua" w:cs="Arial"/>
          <w:sz w:val="24"/>
          <w:szCs w:val="24"/>
          <w:lang w:val="en-US"/>
        </w:rPr>
        <w:t>.</w:t>
      </w:r>
    </w:p>
    <w:p w:rsidR="009064E0" w:rsidRPr="00A06BF8" w:rsidRDefault="009064E0" w:rsidP="00093495">
      <w:pPr>
        <w:widowControl w:val="0"/>
        <w:suppressAutoHyphens w:val="0"/>
        <w:adjustRightInd w:val="0"/>
        <w:snapToGrid w:val="0"/>
        <w:spacing w:line="360" w:lineRule="auto"/>
        <w:ind w:firstLineChars="100" w:firstLine="240"/>
        <w:jc w:val="both"/>
        <w:rPr>
          <w:rFonts w:ascii="Book Antiqua" w:hAnsi="Book Antiqua" w:cs="Arial"/>
          <w:sz w:val="24"/>
          <w:szCs w:val="24"/>
          <w:lang w:val="en-US"/>
        </w:rPr>
      </w:pPr>
      <w:r w:rsidRPr="00A06BF8">
        <w:rPr>
          <w:rFonts w:ascii="Book Antiqua" w:hAnsi="Book Antiqua" w:cs="Arial"/>
          <w:sz w:val="24"/>
          <w:szCs w:val="24"/>
          <w:lang w:val="en-US"/>
        </w:rPr>
        <w:t xml:space="preserve">Finally, if our evidence is confirmed by larger studies, the rate of “true” refractoriness to standard therapies may shrink considerably, since a sizeable number of patients would instead be diagnosed as suffering from viral colitis. Remarkably, mucosal healing, mirrored by a sharp decrease in the viral load, was invariably observed in HCMV colitis following specific antiviral </w:t>
      </w:r>
      <w:proofErr w:type="gramStart"/>
      <w:r w:rsidRPr="00A06BF8">
        <w:rPr>
          <w:rFonts w:ascii="Book Antiqua" w:hAnsi="Book Antiqua" w:cs="Arial"/>
          <w:sz w:val="24"/>
          <w:szCs w:val="24"/>
          <w:lang w:val="en-US"/>
        </w:rPr>
        <w:t>therapy</w:t>
      </w:r>
      <w:r w:rsidRPr="00A06BF8">
        <w:rPr>
          <w:rFonts w:ascii="Book Antiqua" w:hAnsi="Book Antiqua" w:cs="Arial"/>
          <w:sz w:val="24"/>
          <w:szCs w:val="24"/>
          <w:vertAlign w:val="superscript"/>
          <w:lang w:val="en-US"/>
        </w:rPr>
        <w:t>[</w:t>
      </w:r>
      <w:proofErr w:type="gramEnd"/>
      <w:r w:rsidRPr="00A06BF8">
        <w:rPr>
          <w:rFonts w:ascii="Book Antiqua" w:hAnsi="Book Antiqua" w:cs="Arial"/>
          <w:sz w:val="24"/>
          <w:szCs w:val="24"/>
          <w:vertAlign w:val="superscript"/>
          <w:lang w:val="en-US"/>
        </w:rPr>
        <w:t>11]</w:t>
      </w:r>
      <w:r w:rsidRPr="00A06BF8">
        <w:rPr>
          <w:rFonts w:ascii="Book Antiqua" w:hAnsi="Book Antiqua" w:cs="Arial"/>
          <w:sz w:val="24"/>
          <w:szCs w:val="24"/>
          <w:lang w:val="en-US"/>
        </w:rPr>
        <w:t xml:space="preserve"> together with a quick tapering and then discontinuation of steroids, whilst the immunosuppressive and biological agents may be continued by virtue of their long-lasting effect, which blocks any attempt to recover immunological competence in the short term. </w:t>
      </w:r>
      <w:r w:rsidRPr="00A06BF8">
        <w:rPr>
          <w:rFonts w:ascii="Book Antiqua" w:hAnsi="Book Antiqua" w:cs="Arial"/>
          <w:color w:val="231F20"/>
          <w:sz w:val="24"/>
          <w:szCs w:val="24"/>
          <w:lang w:val="en-US"/>
        </w:rPr>
        <w:t xml:space="preserve">By contrast, </w:t>
      </w:r>
      <w:r w:rsidRPr="00A06BF8">
        <w:rPr>
          <w:rFonts w:ascii="Book Antiqua" w:hAnsi="Book Antiqua" w:cs="Arial"/>
          <w:sz w:val="24"/>
          <w:szCs w:val="24"/>
          <w:lang w:val="en-US"/>
        </w:rPr>
        <w:t xml:space="preserve">both the mucosal viral load and </w:t>
      </w:r>
      <w:r w:rsidRPr="00A06BF8">
        <w:rPr>
          <w:rFonts w:ascii="Book Antiqua" w:hAnsi="Book Antiqua" w:cs="Arial"/>
          <w:sz w:val="24"/>
          <w:szCs w:val="24"/>
          <w:lang w:val="en-US"/>
        </w:rPr>
        <w:lastRenderedPageBreak/>
        <w:t>indexes of activity remained largely unmodified in those patients with EBV colitis, despite the washout or tapering of the current therapies, and the vast majority of them underwent colectomy.</w:t>
      </w:r>
      <w:r w:rsidRPr="00A06BF8">
        <w:rPr>
          <w:rFonts w:ascii="Book Antiqua" w:hAnsi="Book Antiqua" w:cs="Arial"/>
          <w:color w:val="231F20"/>
          <w:sz w:val="24"/>
          <w:szCs w:val="24"/>
          <w:lang w:val="en-US"/>
        </w:rPr>
        <w:t xml:space="preserve"> </w:t>
      </w:r>
      <w:r w:rsidRPr="00A06BF8">
        <w:rPr>
          <w:rFonts w:ascii="Book Antiqua" w:hAnsi="Book Antiqua" w:cs="Arial"/>
          <w:sz w:val="24"/>
          <w:szCs w:val="24"/>
          <w:lang w:val="en-US"/>
        </w:rPr>
        <w:t>The only patient who showed a substantial, although transient, drop in the mucosal viral load was the one treated with rituximab in an attempt to rapidly deplete the B lymphocytes which host the virus</w:t>
      </w:r>
      <w:r w:rsidR="00344247" w:rsidRPr="00A06BF8">
        <w:rPr>
          <w:rFonts w:ascii="Book Antiqua" w:hAnsi="Book Antiqua" w:cs="Arial"/>
          <w:sz w:val="24"/>
          <w:szCs w:val="24"/>
          <w:vertAlign w:val="superscript"/>
          <w:lang w:val="en-US"/>
        </w:rPr>
        <w:t>[41]</w:t>
      </w:r>
      <w:r w:rsidRPr="00A06BF8">
        <w:rPr>
          <w:rFonts w:ascii="Book Antiqua" w:hAnsi="Book Antiqua" w:cs="Arial"/>
          <w:sz w:val="24"/>
          <w:szCs w:val="24"/>
          <w:lang w:val="en-US"/>
        </w:rPr>
        <w:t>, since no efficacious therapy is available to date</w:t>
      </w:r>
      <w:r w:rsidR="00344247" w:rsidRPr="00A06BF8">
        <w:rPr>
          <w:rFonts w:ascii="Book Antiqua" w:hAnsi="Book Antiqua" w:cs="Arial"/>
          <w:sz w:val="24"/>
          <w:szCs w:val="24"/>
          <w:vertAlign w:val="superscript"/>
          <w:lang w:val="en-US"/>
        </w:rPr>
        <w:t>[4]</w:t>
      </w:r>
      <w:r w:rsidRPr="00A06BF8">
        <w:rPr>
          <w:rFonts w:ascii="Book Antiqua" w:hAnsi="Book Antiqua" w:cs="Arial"/>
          <w:sz w:val="24"/>
          <w:szCs w:val="24"/>
          <w:lang w:val="en-US"/>
        </w:rPr>
        <w:t xml:space="preserve">. </w:t>
      </w:r>
    </w:p>
    <w:p w:rsidR="009064E0" w:rsidRDefault="009064E0" w:rsidP="00093495">
      <w:pPr>
        <w:widowControl w:val="0"/>
        <w:suppressAutoHyphens w:val="0"/>
        <w:autoSpaceDE w:val="0"/>
        <w:adjustRightInd w:val="0"/>
        <w:snapToGrid w:val="0"/>
        <w:spacing w:line="360" w:lineRule="auto"/>
        <w:ind w:firstLineChars="100" w:firstLine="240"/>
        <w:jc w:val="both"/>
        <w:rPr>
          <w:rFonts w:ascii="Book Antiqua" w:eastAsiaTheme="minorEastAsia" w:hAnsi="Book Antiqua" w:cs="Arial"/>
          <w:sz w:val="24"/>
          <w:szCs w:val="24"/>
          <w:lang w:val="en-US"/>
        </w:rPr>
      </w:pPr>
      <w:r w:rsidRPr="00A06BF8">
        <w:rPr>
          <w:rFonts w:ascii="Book Antiqua" w:hAnsi="Book Antiqua" w:cs="Arial"/>
          <w:sz w:val="24"/>
          <w:szCs w:val="24"/>
          <w:lang w:val="en-US"/>
        </w:rPr>
        <w:t xml:space="preserve">In conclusion, the use of quantitative real-time PCR assay on freshly harvested mucosal specimens proved to be more effective than immunohistochemistry in the diagnosis of opportunistic viral infection and allowed us to identify a threshold value that distinguishes infection from end-organ disease, whose clinical management is largely different. </w:t>
      </w:r>
    </w:p>
    <w:p w:rsidR="00667FD1" w:rsidRDefault="00667FD1" w:rsidP="00093495">
      <w:pPr>
        <w:widowControl w:val="0"/>
        <w:suppressAutoHyphens w:val="0"/>
        <w:autoSpaceDE w:val="0"/>
        <w:adjustRightInd w:val="0"/>
        <w:snapToGrid w:val="0"/>
        <w:spacing w:line="360" w:lineRule="auto"/>
        <w:jc w:val="both"/>
        <w:rPr>
          <w:rFonts w:ascii="Book Antiqua" w:eastAsiaTheme="minorEastAsia" w:hAnsi="Book Antiqua" w:cs="Arial"/>
          <w:sz w:val="24"/>
          <w:szCs w:val="24"/>
          <w:lang w:val="en-US"/>
        </w:rPr>
      </w:pPr>
    </w:p>
    <w:p w:rsidR="00594C9A" w:rsidRDefault="00594C9A" w:rsidP="00093495">
      <w:pPr>
        <w:widowControl w:val="0"/>
        <w:suppressAutoHyphens w:val="0"/>
        <w:adjustRightInd w:val="0"/>
        <w:snapToGrid w:val="0"/>
        <w:spacing w:line="360" w:lineRule="auto"/>
        <w:jc w:val="both"/>
        <w:rPr>
          <w:rFonts w:ascii="Book Antiqua" w:eastAsiaTheme="minorEastAsia" w:hAnsi="Book Antiqua" w:cs="Arial"/>
          <w:b/>
          <w:caps/>
          <w:sz w:val="24"/>
          <w:szCs w:val="24"/>
          <w:lang w:val="en-US"/>
        </w:rPr>
      </w:pPr>
      <w:r w:rsidRPr="00A06BF8">
        <w:rPr>
          <w:rFonts w:ascii="Book Antiqua" w:hAnsi="Book Antiqua" w:cs="Arial"/>
          <w:b/>
          <w:caps/>
          <w:sz w:val="24"/>
          <w:szCs w:val="24"/>
          <w:lang w:val="en-US"/>
        </w:rPr>
        <w:t>Acknowledgments</w:t>
      </w:r>
    </w:p>
    <w:p w:rsidR="00594C9A" w:rsidRPr="00A06BF8" w:rsidRDefault="00594C9A"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 xml:space="preserve">The authors are grateful to Ms. Sheila McVeigh for her thorough revision of the English text. </w:t>
      </w:r>
    </w:p>
    <w:p w:rsidR="00594C9A" w:rsidRPr="00594C9A" w:rsidRDefault="00594C9A" w:rsidP="00093495">
      <w:pPr>
        <w:widowControl w:val="0"/>
        <w:suppressAutoHyphens w:val="0"/>
        <w:autoSpaceDE w:val="0"/>
        <w:adjustRightInd w:val="0"/>
        <w:snapToGrid w:val="0"/>
        <w:spacing w:line="360" w:lineRule="auto"/>
        <w:jc w:val="both"/>
        <w:rPr>
          <w:rFonts w:ascii="Book Antiqua" w:eastAsiaTheme="minorEastAsia" w:hAnsi="Book Antiqua" w:cs="Arial"/>
          <w:sz w:val="24"/>
          <w:szCs w:val="24"/>
          <w:lang w:val="en-US"/>
        </w:rPr>
      </w:pPr>
    </w:p>
    <w:p w:rsidR="00667FD1" w:rsidRDefault="00667FD1" w:rsidP="00093495">
      <w:pPr>
        <w:adjustRightInd w:val="0"/>
        <w:snapToGrid w:val="0"/>
        <w:spacing w:line="360" w:lineRule="auto"/>
        <w:jc w:val="both"/>
        <w:rPr>
          <w:rFonts w:ascii="Book Antiqua" w:hAnsi="Book Antiqua"/>
          <w:b/>
          <w:sz w:val="24"/>
          <w:szCs w:val="24"/>
          <w:lang w:val="en-US"/>
        </w:rPr>
      </w:pPr>
      <w:r>
        <w:rPr>
          <w:rFonts w:ascii="Book Antiqua" w:hAnsi="Book Antiqua"/>
          <w:b/>
          <w:sz w:val="24"/>
          <w:szCs w:val="24"/>
          <w:lang w:val="en-US"/>
        </w:rPr>
        <w:t>COMMENTS</w:t>
      </w:r>
    </w:p>
    <w:p w:rsidR="00667FD1" w:rsidRPr="00D22F95" w:rsidRDefault="00667FD1" w:rsidP="00093495">
      <w:pPr>
        <w:suppressAutoHyphens w:val="0"/>
        <w:autoSpaceDE w:val="0"/>
        <w:autoSpaceDN w:val="0"/>
        <w:adjustRightInd w:val="0"/>
        <w:snapToGrid w:val="0"/>
        <w:spacing w:line="360" w:lineRule="auto"/>
        <w:jc w:val="both"/>
        <w:rPr>
          <w:rFonts w:ascii="Book Antiqua" w:hAnsi="Book Antiqua" w:cs="ArialNarrow"/>
          <w:b/>
          <w:i/>
          <w:sz w:val="24"/>
          <w:szCs w:val="24"/>
          <w:lang w:val="en-US" w:eastAsia="en-US"/>
        </w:rPr>
      </w:pPr>
      <w:r w:rsidRPr="00D22F95">
        <w:rPr>
          <w:rFonts w:ascii="Book Antiqua" w:hAnsi="Book Antiqua" w:cs="ArialNarrow"/>
          <w:b/>
          <w:i/>
          <w:sz w:val="24"/>
          <w:szCs w:val="24"/>
          <w:lang w:val="en-US" w:eastAsia="en-US"/>
        </w:rPr>
        <w:t>Background</w:t>
      </w:r>
    </w:p>
    <w:p w:rsidR="00667FD1" w:rsidRPr="003F7075" w:rsidRDefault="00667FD1" w:rsidP="00093495">
      <w:pPr>
        <w:suppressAutoHyphens w:val="0"/>
        <w:autoSpaceDE w:val="0"/>
        <w:autoSpaceDN w:val="0"/>
        <w:adjustRightInd w:val="0"/>
        <w:snapToGrid w:val="0"/>
        <w:spacing w:line="360" w:lineRule="auto"/>
        <w:jc w:val="both"/>
        <w:rPr>
          <w:rFonts w:ascii="Book Antiqua" w:hAnsi="Book Antiqua" w:cs="ArialNarrow"/>
          <w:sz w:val="24"/>
          <w:szCs w:val="24"/>
          <w:lang w:val="en-US" w:eastAsia="en-US"/>
        </w:rPr>
      </w:pPr>
      <w:r>
        <w:rPr>
          <w:rFonts w:ascii="Book Antiqua" w:hAnsi="Book Antiqua" w:cs="ArialNarrow"/>
          <w:sz w:val="24"/>
          <w:szCs w:val="24"/>
          <w:lang w:val="en-US" w:eastAsia="en-US"/>
        </w:rPr>
        <w:t xml:space="preserve">Inflammatory bowel disease (IBD), including Crohn’s disease and ulcerative colitis, are </w:t>
      </w:r>
      <w:r w:rsidRPr="003F7075">
        <w:rPr>
          <w:rFonts w:ascii="Book Antiqua" w:hAnsi="Book Antiqua" w:cs="Arial"/>
          <w:bCs/>
          <w:sz w:val="24"/>
          <w:szCs w:val="24"/>
          <w:lang w:val="en-GB"/>
        </w:rPr>
        <w:t xml:space="preserve">disabling, lifelong, </w:t>
      </w:r>
      <w:r>
        <w:rPr>
          <w:rFonts w:ascii="Book Antiqua" w:hAnsi="Book Antiqua" w:cs="Arial"/>
          <w:bCs/>
          <w:sz w:val="24"/>
          <w:szCs w:val="24"/>
          <w:lang w:val="en-GB"/>
        </w:rPr>
        <w:t>pathological conditions</w:t>
      </w:r>
      <w:r w:rsidRPr="003F7075">
        <w:rPr>
          <w:rFonts w:ascii="Book Antiqua" w:hAnsi="Book Antiqua" w:cs="Arial"/>
          <w:bCs/>
          <w:sz w:val="24"/>
          <w:szCs w:val="24"/>
          <w:lang w:val="en-GB"/>
        </w:rPr>
        <w:t xml:space="preserve"> affect</w:t>
      </w:r>
      <w:r>
        <w:rPr>
          <w:rFonts w:ascii="Book Antiqua" w:hAnsi="Book Antiqua" w:cs="Arial"/>
          <w:bCs/>
          <w:sz w:val="24"/>
          <w:szCs w:val="24"/>
          <w:lang w:val="en-GB"/>
        </w:rPr>
        <w:t>ing</w:t>
      </w:r>
      <w:r w:rsidRPr="003F7075">
        <w:rPr>
          <w:rFonts w:ascii="Book Antiqua" w:hAnsi="Book Antiqua" w:cs="Arial"/>
          <w:bCs/>
          <w:sz w:val="24"/>
          <w:szCs w:val="24"/>
          <w:lang w:val="en-GB"/>
        </w:rPr>
        <w:t xml:space="preserve"> the gastrointestinal tract</w:t>
      </w:r>
      <w:r>
        <w:rPr>
          <w:rFonts w:ascii="Book Antiqua" w:hAnsi="Book Antiqua" w:cs="Arial"/>
          <w:bCs/>
          <w:sz w:val="24"/>
          <w:szCs w:val="24"/>
          <w:lang w:val="en-GB"/>
        </w:rPr>
        <w:t>, mainly the colon</w:t>
      </w:r>
      <w:r w:rsidRPr="003F7075">
        <w:rPr>
          <w:rFonts w:ascii="Book Antiqua" w:hAnsi="Book Antiqua" w:cs="Arial"/>
          <w:bCs/>
          <w:sz w:val="24"/>
          <w:szCs w:val="24"/>
          <w:lang w:val="en-GB"/>
        </w:rPr>
        <w:t xml:space="preserve">, </w:t>
      </w:r>
      <w:r>
        <w:rPr>
          <w:rFonts w:ascii="Book Antiqua" w:hAnsi="Book Antiqua" w:cs="Arial"/>
          <w:bCs/>
          <w:sz w:val="24"/>
          <w:szCs w:val="24"/>
          <w:lang w:val="en-GB"/>
        </w:rPr>
        <w:t xml:space="preserve">triggered and sustained by a </w:t>
      </w:r>
      <w:proofErr w:type="spellStart"/>
      <w:r w:rsidRPr="003F7075">
        <w:rPr>
          <w:rFonts w:ascii="Book Antiqua" w:hAnsi="Book Antiqua" w:cs="Arial"/>
          <w:sz w:val="24"/>
          <w:szCs w:val="24"/>
          <w:lang w:val="en-GB"/>
        </w:rPr>
        <w:t>dysregulated</w:t>
      </w:r>
      <w:proofErr w:type="spellEnd"/>
      <w:r w:rsidRPr="003F7075">
        <w:rPr>
          <w:rFonts w:ascii="Book Antiqua" w:hAnsi="Book Antiqua" w:cs="Arial"/>
          <w:sz w:val="24"/>
          <w:szCs w:val="24"/>
          <w:lang w:val="en-GB"/>
        </w:rPr>
        <w:t xml:space="preserve"> immune response towards</w:t>
      </w:r>
      <w:r>
        <w:rPr>
          <w:rFonts w:ascii="Book Antiqua" w:hAnsi="Book Antiqua" w:cs="Arial"/>
          <w:sz w:val="24"/>
          <w:szCs w:val="24"/>
          <w:lang w:val="en-GB"/>
        </w:rPr>
        <w:t xml:space="preserve"> antigens of the gut microbiota</w:t>
      </w:r>
      <w:r w:rsidRPr="000119E2">
        <w:rPr>
          <w:rFonts w:ascii="Book Antiqua" w:hAnsi="Book Antiqua" w:cs="Arial"/>
          <w:sz w:val="24"/>
          <w:szCs w:val="24"/>
          <w:lang w:val="en-GB"/>
        </w:rPr>
        <w:t>.</w:t>
      </w:r>
      <w:r>
        <w:rPr>
          <w:rFonts w:ascii="Book Antiqua" w:hAnsi="Book Antiqua" w:cs="Arial"/>
          <w:sz w:val="24"/>
          <w:szCs w:val="24"/>
          <w:lang w:val="en-GB"/>
        </w:rPr>
        <w:t xml:space="preserve"> </w:t>
      </w:r>
      <w:r>
        <w:rPr>
          <w:rFonts w:ascii="Book Antiqua" w:hAnsi="Book Antiqua"/>
          <w:sz w:val="24"/>
          <w:szCs w:val="24"/>
          <w:lang w:val="en-GB"/>
        </w:rPr>
        <w:t xml:space="preserve">A better understanding of the fine mechanisms responsible for tissue injury has led to the use of more aggressive therapies even in the early phase of the disease aimed at achieving mucosal healing </w:t>
      </w:r>
      <w:r w:rsidRPr="000C6991">
        <w:rPr>
          <w:rFonts w:ascii="Book Antiqua" w:hAnsi="Book Antiqua" w:cs="Arial"/>
          <w:sz w:val="24"/>
          <w:szCs w:val="24"/>
          <w:lang w:val="en-US"/>
        </w:rPr>
        <w:t xml:space="preserve">and </w:t>
      </w:r>
      <w:r w:rsidRPr="000C6991">
        <w:rPr>
          <w:rFonts w:ascii="Book Antiqua" w:hAnsi="Book Antiqua" w:cs="Arial"/>
          <w:color w:val="231F20"/>
          <w:sz w:val="24"/>
          <w:szCs w:val="24"/>
          <w:lang w:val="en-US"/>
        </w:rPr>
        <w:t>prevent</w:t>
      </w:r>
      <w:r>
        <w:rPr>
          <w:rFonts w:ascii="Book Antiqua" w:hAnsi="Book Antiqua" w:cs="Arial"/>
          <w:color w:val="231F20"/>
          <w:sz w:val="24"/>
          <w:szCs w:val="24"/>
          <w:lang w:val="en-US"/>
        </w:rPr>
        <w:t>ing</w:t>
      </w:r>
      <w:r w:rsidRPr="000C6991">
        <w:rPr>
          <w:rFonts w:ascii="Book Antiqua" w:hAnsi="Book Antiqua" w:cs="Arial"/>
          <w:color w:val="231F20"/>
          <w:sz w:val="24"/>
          <w:szCs w:val="24"/>
          <w:lang w:val="en-US"/>
        </w:rPr>
        <w:t xml:space="preserve"> disease progression</w:t>
      </w:r>
      <w:r w:rsidRPr="003F7075">
        <w:rPr>
          <w:rFonts w:ascii="Book Antiqua" w:hAnsi="Book Antiqua" w:cs="ArialNarrow"/>
          <w:sz w:val="24"/>
          <w:szCs w:val="24"/>
          <w:lang w:val="en-US" w:eastAsia="en-US"/>
        </w:rPr>
        <w:t>.</w:t>
      </w:r>
      <w:r>
        <w:rPr>
          <w:rFonts w:ascii="Book Antiqua" w:hAnsi="Book Antiqua" w:cs="ArialNarrow"/>
          <w:sz w:val="24"/>
          <w:szCs w:val="24"/>
          <w:lang w:val="en-US" w:eastAsia="en-US"/>
        </w:rPr>
        <w:t xml:space="preserve"> However, the increasing use of immune-suppressant and immune-</w:t>
      </w:r>
      <w:proofErr w:type="spellStart"/>
      <w:r>
        <w:rPr>
          <w:rFonts w:ascii="Book Antiqua" w:hAnsi="Book Antiqua" w:cs="ArialNarrow"/>
          <w:sz w:val="24"/>
          <w:szCs w:val="24"/>
          <w:lang w:val="en-US" w:eastAsia="en-US"/>
        </w:rPr>
        <w:t>modulant</w:t>
      </w:r>
      <w:proofErr w:type="spellEnd"/>
      <w:r>
        <w:rPr>
          <w:rFonts w:ascii="Book Antiqua" w:hAnsi="Book Antiqua" w:cs="ArialNarrow"/>
          <w:sz w:val="24"/>
          <w:szCs w:val="24"/>
          <w:lang w:val="en-US" w:eastAsia="en-US"/>
        </w:rPr>
        <w:t xml:space="preserve"> molecules carries the risk of</w:t>
      </w:r>
      <w:r w:rsidRPr="00751C5F">
        <w:rPr>
          <w:rFonts w:ascii="Book Antiqua" w:hAnsi="Book Antiqua" w:cs="ArialNarrow"/>
          <w:sz w:val="24"/>
          <w:szCs w:val="24"/>
          <w:lang w:val="en-US" w:eastAsia="en-US"/>
        </w:rPr>
        <w:t xml:space="preserve"> </w:t>
      </w:r>
      <w:r>
        <w:rPr>
          <w:rFonts w:ascii="Book Antiqua" w:hAnsi="Book Antiqua" w:cs="ArialNarrow"/>
          <w:sz w:val="24"/>
          <w:szCs w:val="24"/>
          <w:lang w:val="en-US" w:eastAsia="en-US"/>
        </w:rPr>
        <w:t xml:space="preserve">opportunistic infections, including those due to </w:t>
      </w:r>
      <w:r w:rsidRPr="00296100">
        <w:rPr>
          <w:rFonts w:ascii="Book Antiqua" w:hAnsi="Book Antiqua" w:cs="ArialNarrow-BoldItalic"/>
          <w:bCs/>
          <w:iCs/>
          <w:sz w:val="24"/>
          <w:szCs w:val="24"/>
          <w:lang w:val="en-US" w:eastAsia="en-US"/>
        </w:rPr>
        <w:t>human Cytomegalovirus (HCMV) and Epstein Barr (EBV)</w:t>
      </w:r>
      <w:r>
        <w:rPr>
          <w:rFonts w:ascii="Book Antiqua" w:hAnsi="Book Antiqua" w:cs="ArialNarrow"/>
          <w:sz w:val="24"/>
          <w:szCs w:val="24"/>
          <w:lang w:val="en-US" w:eastAsia="en-US"/>
        </w:rPr>
        <w:t xml:space="preserve">. </w:t>
      </w:r>
    </w:p>
    <w:p w:rsidR="00D22F95" w:rsidRDefault="00D22F95" w:rsidP="00093495">
      <w:pPr>
        <w:suppressAutoHyphens w:val="0"/>
        <w:autoSpaceDE w:val="0"/>
        <w:autoSpaceDN w:val="0"/>
        <w:adjustRightInd w:val="0"/>
        <w:snapToGrid w:val="0"/>
        <w:spacing w:line="360" w:lineRule="auto"/>
        <w:jc w:val="both"/>
        <w:rPr>
          <w:rFonts w:ascii="Book Antiqua" w:eastAsiaTheme="minorEastAsia" w:hAnsi="Book Antiqua" w:cs="ArialNarrow-BoldItalic"/>
          <w:b/>
          <w:bCs/>
          <w:iCs/>
          <w:sz w:val="24"/>
          <w:szCs w:val="24"/>
          <w:lang w:val="en-US"/>
        </w:rPr>
      </w:pPr>
    </w:p>
    <w:p w:rsidR="00667FD1" w:rsidRPr="00D22F95" w:rsidRDefault="00667FD1" w:rsidP="00093495">
      <w:pPr>
        <w:suppressAutoHyphens w:val="0"/>
        <w:autoSpaceDE w:val="0"/>
        <w:autoSpaceDN w:val="0"/>
        <w:adjustRightInd w:val="0"/>
        <w:snapToGrid w:val="0"/>
        <w:spacing w:line="360" w:lineRule="auto"/>
        <w:jc w:val="both"/>
        <w:rPr>
          <w:rFonts w:ascii="Book Antiqua" w:hAnsi="Book Antiqua" w:cs="ArialNarrow-BoldItalic"/>
          <w:b/>
          <w:bCs/>
          <w:i/>
          <w:iCs/>
          <w:sz w:val="24"/>
          <w:szCs w:val="24"/>
          <w:lang w:val="en-US" w:eastAsia="en-US"/>
        </w:rPr>
      </w:pPr>
      <w:r w:rsidRPr="00D22F95">
        <w:rPr>
          <w:rFonts w:ascii="Book Antiqua" w:hAnsi="Book Antiqua" w:cs="ArialNarrow-BoldItalic"/>
          <w:b/>
          <w:bCs/>
          <w:i/>
          <w:iCs/>
          <w:sz w:val="24"/>
          <w:szCs w:val="24"/>
          <w:lang w:val="en-US" w:eastAsia="en-US"/>
        </w:rPr>
        <w:t>Research frontiers</w:t>
      </w:r>
    </w:p>
    <w:p w:rsidR="00667FD1" w:rsidRDefault="00667FD1" w:rsidP="00093495">
      <w:pPr>
        <w:suppressAutoHyphens w:val="0"/>
        <w:autoSpaceDE w:val="0"/>
        <w:autoSpaceDN w:val="0"/>
        <w:adjustRightInd w:val="0"/>
        <w:snapToGrid w:val="0"/>
        <w:spacing w:line="360" w:lineRule="auto"/>
        <w:jc w:val="both"/>
        <w:rPr>
          <w:rFonts w:ascii="Book Antiqua" w:hAnsi="Book Antiqua" w:cs="Arial"/>
          <w:sz w:val="24"/>
          <w:szCs w:val="24"/>
          <w:lang w:val="en-US"/>
        </w:rPr>
      </w:pPr>
      <w:r w:rsidRPr="000C6991">
        <w:rPr>
          <w:rFonts w:ascii="Book Antiqua" w:hAnsi="Book Antiqua" w:cs="Arial"/>
          <w:sz w:val="24"/>
          <w:szCs w:val="24"/>
          <w:lang w:val="en-US"/>
        </w:rPr>
        <w:t xml:space="preserve">To date, the information available on the </w:t>
      </w:r>
      <w:r>
        <w:rPr>
          <w:rFonts w:ascii="Book Antiqua" w:hAnsi="Book Antiqua" w:cs="Arial"/>
          <w:sz w:val="24"/>
          <w:szCs w:val="24"/>
          <w:lang w:val="en-US"/>
        </w:rPr>
        <w:t xml:space="preserve">frequency, </w:t>
      </w:r>
      <w:r w:rsidRPr="000C6991">
        <w:rPr>
          <w:rFonts w:ascii="Book Antiqua" w:hAnsi="Book Antiqua" w:cs="Arial"/>
          <w:sz w:val="24"/>
          <w:szCs w:val="24"/>
          <w:lang w:val="en-US"/>
        </w:rPr>
        <w:t xml:space="preserve">role </w:t>
      </w:r>
      <w:r>
        <w:rPr>
          <w:rFonts w:ascii="Book Antiqua" w:hAnsi="Book Antiqua" w:cs="Arial"/>
          <w:sz w:val="24"/>
          <w:szCs w:val="24"/>
          <w:lang w:val="en-US"/>
        </w:rPr>
        <w:t xml:space="preserve">and risk factors </w:t>
      </w:r>
      <w:r w:rsidRPr="000C6991">
        <w:rPr>
          <w:rFonts w:ascii="Book Antiqua" w:hAnsi="Book Antiqua" w:cs="Arial"/>
          <w:sz w:val="24"/>
          <w:szCs w:val="24"/>
          <w:lang w:val="en-US"/>
        </w:rPr>
        <w:t xml:space="preserve">of HCMV and EBV </w:t>
      </w:r>
      <w:r>
        <w:rPr>
          <w:rFonts w:ascii="Book Antiqua" w:hAnsi="Book Antiqua" w:cs="Arial"/>
          <w:sz w:val="24"/>
          <w:szCs w:val="24"/>
          <w:lang w:val="en-US"/>
        </w:rPr>
        <w:t xml:space="preserve">infections </w:t>
      </w:r>
      <w:r w:rsidRPr="000C6991">
        <w:rPr>
          <w:rFonts w:ascii="Book Antiqua" w:hAnsi="Book Antiqua" w:cs="Arial"/>
          <w:sz w:val="24"/>
          <w:szCs w:val="24"/>
          <w:lang w:val="en-US"/>
        </w:rPr>
        <w:t xml:space="preserve">in IBD </w:t>
      </w:r>
      <w:r>
        <w:rPr>
          <w:rFonts w:ascii="Book Antiqua" w:hAnsi="Book Antiqua" w:cs="Arial"/>
          <w:sz w:val="24"/>
          <w:szCs w:val="24"/>
          <w:lang w:val="en-US"/>
        </w:rPr>
        <w:t xml:space="preserve">exacerbation </w:t>
      </w:r>
      <w:r w:rsidRPr="000C6991">
        <w:rPr>
          <w:rFonts w:ascii="Book Antiqua" w:hAnsi="Book Antiqua" w:cs="Arial"/>
          <w:sz w:val="24"/>
          <w:szCs w:val="24"/>
          <w:lang w:val="en-US"/>
        </w:rPr>
        <w:t xml:space="preserve">and their diagnostic and therapeutic approaches is conflicting. The causes for this discrepancy lie in the differences amongst the patients </w:t>
      </w:r>
      <w:r w:rsidRPr="000C6991">
        <w:rPr>
          <w:rFonts w:ascii="Book Antiqua" w:hAnsi="Book Antiqua" w:cs="Arial"/>
          <w:sz w:val="24"/>
          <w:szCs w:val="24"/>
          <w:lang w:val="en-US"/>
        </w:rPr>
        <w:lastRenderedPageBreak/>
        <w:t xml:space="preserve">enrolled, the diagnostic methods applied, and the retrospective design of the majority </w:t>
      </w:r>
      <w:r w:rsidRPr="006C733E">
        <w:rPr>
          <w:rFonts w:ascii="Book Antiqua" w:hAnsi="Book Antiqua" w:cs="Arial"/>
          <w:sz w:val="24"/>
          <w:szCs w:val="24"/>
          <w:lang w:val="en-US"/>
        </w:rPr>
        <w:t xml:space="preserve">of studies. </w:t>
      </w:r>
    </w:p>
    <w:p w:rsidR="00D22F95" w:rsidRDefault="00D22F95" w:rsidP="00093495">
      <w:pPr>
        <w:suppressAutoHyphens w:val="0"/>
        <w:autoSpaceDE w:val="0"/>
        <w:autoSpaceDN w:val="0"/>
        <w:adjustRightInd w:val="0"/>
        <w:snapToGrid w:val="0"/>
        <w:spacing w:line="360" w:lineRule="auto"/>
        <w:jc w:val="both"/>
        <w:rPr>
          <w:rFonts w:ascii="Book Antiqua" w:eastAsiaTheme="minorEastAsia" w:hAnsi="Book Antiqua" w:cs="ArialNarrow-BoldItalic"/>
          <w:b/>
          <w:bCs/>
          <w:iCs/>
          <w:sz w:val="24"/>
          <w:szCs w:val="24"/>
          <w:lang w:val="en-US"/>
        </w:rPr>
      </w:pPr>
    </w:p>
    <w:p w:rsidR="00667FD1" w:rsidRPr="00D22F95" w:rsidRDefault="00667FD1" w:rsidP="00093495">
      <w:pPr>
        <w:suppressAutoHyphens w:val="0"/>
        <w:autoSpaceDE w:val="0"/>
        <w:autoSpaceDN w:val="0"/>
        <w:adjustRightInd w:val="0"/>
        <w:snapToGrid w:val="0"/>
        <w:spacing w:line="360" w:lineRule="auto"/>
        <w:jc w:val="both"/>
        <w:rPr>
          <w:rFonts w:ascii="Book Antiqua" w:hAnsi="Book Antiqua" w:cs="ArialNarrow-BoldItalic"/>
          <w:b/>
          <w:bCs/>
          <w:i/>
          <w:iCs/>
          <w:sz w:val="24"/>
          <w:szCs w:val="24"/>
          <w:lang w:val="en-US" w:eastAsia="en-US"/>
        </w:rPr>
      </w:pPr>
      <w:r w:rsidRPr="00D22F95">
        <w:rPr>
          <w:rFonts w:ascii="Book Antiqua" w:hAnsi="Book Antiqua" w:cs="ArialNarrow-BoldItalic"/>
          <w:b/>
          <w:bCs/>
          <w:i/>
          <w:iCs/>
          <w:sz w:val="24"/>
          <w:szCs w:val="24"/>
          <w:lang w:val="en-US" w:eastAsia="en-US"/>
        </w:rPr>
        <w:t>Innovations and breakthroughs</w:t>
      </w:r>
    </w:p>
    <w:p w:rsidR="00667FD1" w:rsidRPr="008314EA" w:rsidRDefault="00667FD1" w:rsidP="00093495">
      <w:pPr>
        <w:suppressAutoHyphens w:val="0"/>
        <w:autoSpaceDE w:val="0"/>
        <w:autoSpaceDN w:val="0"/>
        <w:adjustRightInd w:val="0"/>
        <w:snapToGrid w:val="0"/>
        <w:spacing w:line="360" w:lineRule="auto"/>
        <w:jc w:val="both"/>
        <w:rPr>
          <w:rFonts w:ascii="Book Antiqua" w:hAnsi="Book Antiqua" w:cs="Arial"/>
          <w:sz w:val="24"/>
          <w:szCs w:val="24"/>
          <w:lang w:val="en-US"/>
        </w:rPr>
      </w:pPr>
      <w:r w:rsidRPr="00A95629">
        <w:rPr>
          <w:rFonts w:ascii="Book Antiqua" w:hAnsi="Book Antiqua" w:cs="Arial"/>
          <w:sz w:val="24"/>
          <w:szCs w:val="24"/>
          <w:lang w:val="en-GB"/>
        </w:rPr>
        <w:t xml:space="preserve">This study </w:t>
      </w:r>
      <w:r w:rsidRPr="000C6991">
        <w:rPr>
          <w:rFonts w:ascii="Book Antiqua" w:hAnsi="Book Antiqua" w:cs="Arial"/>
          <w:sz w:val="24"/>
          <w:szCs w:val="24"/>
          <w:lang w:val="en-US"/>
        </w:rPr>
        <w:t xml:space="preserve">prospectively </w:t>
      </w:r>
      <w:r w:rsidRPr="00A95629">
        <w:rPr>
          <w:rFonts w:ascii="Book Antiqua" w:hAnsi="Book Antiqua" w:cs="Arial"/>
          <w:sz w:val="24"/>
          <w:szCs w:val="24"/>
          <w:lang w:val="en-GB"/>
        </w:rPr>
        <w:t xml:space="preserve">investigated the presence of </w:t>
      </w:r>
      <w:r>
        <w:rPr>
          <w:rFonts w:ascii="Book Antiqua" w:hAnsi="Book Antiqua" w:cs="Arial"/>
          <w:sz w:val="24"/>
          <w:szCs w:val="24"/>
          <w:lang w:val="en-GB"/>
        </w:rPr>
        <w:t>HCMV</w:t>
      </w:r>
      <w:r w:rsidRPr="00A95629">
        <w:rPr>
          <w:rFonts w:ascii="Book Antiqua" w:hAnsi="Book Antiqua" w:cs="Arial"/>
          <w:sz w:val="24"/>
          <w:szCs w:val="24"/>
          <w:lang w:val="en-GB"/>
        </w:rPr>
        <w:t xml:space="preserve"> and </w:t>
      </w:r>
      <w:r>
        <w:rPr>
          <w:rFonts w:ascii="Book Antiqua" w:hAnsi="Book Antiqua" w:cs="Arial"/>
          <w:sz w:val="24"/>
          <w:szCs w:val="24"/>
          <w:lang w:val="en-GB"/>
        </w:rPr>
        <w:t>EBV</w:t>
      </w:r>
      <w:r w:rsidRPr="00A95629">
        <w:rPr>
          <w:rFonts w:ascii="Book Antiqua" w:hAnsi="Book Antiqua" w:cs="Arial"/>
          <w:sz w:val="24"/>
          <w:szCs w:val="24"/>
          <w:lang w:val="en-GB"/>
        </w:rPr>
        <w:t xml:space="preserve"> infection in </w:t>
      </w:r>
      <w:r>
        <w:rPr>
          <w:rFonts w:ascii="Book Antiqua" w:hAnsi="Book Antiqua" w:cs="Arial"/>
          <w:sz w:val="24"/>
          <w:szCs w:val="24"/>
          <w:lang w:val="en-GB"/>
        </w:rPr>
        <w:t>IBD</w:t>
      </w:r>
      <w:r w:rsidRPr="00A95629">
        <w:rPr>
          <w:rFonts w:ascii="Book Antiqua" w:hAnsi="Book Antiqua" w:cs="Arial"/>
          <w:sz w:val="24"/>
          <w:szCs w:val="24"/>
          <w:lang w:val="en-GB"/>
        </w:rPr>
        <w:t xml:space="preserve"> patients </w:t>
      </w:r>
      <w:r>
        <w:rPr>
          <w:rFonts w:ascii="Book Antiqua" w:hAnsi="Book Antiqua" w:cs="Arial"/>
          <w:sz w:val="24"/>
          <w:szCs w:val="24"/>
          <w:lang w:val="en-GB"/>
        </w:rPr>
        <w:t xml:space="preserve">and control subjects by applying </w:t>
      </w:r>
      <w:r>
        <w:rPr>
          <w:rFonts w:ascii="Book Antiqua" w:hAnsi="Book Antiqua" w:cs="Arial"/>
          <w:sz w:val="24"/>
          <w:szCs w:val="24"/>
          <w:lang w:val="en-US"/>
        </w:rPr>
        <w:t>immunohistochemistry</w:t>
      </w:r>
      <w:r>
        <w:rPr>
          <w:rFonts w:ascii="Book Antiqua" w:hAnsi="Book Antiqua" w:cs="Arial"/>
          <w:sz w:val="24"/>
          <w:szCs w:val="24"/>
          <w:lang w:val="en-GB"/>
        </w:rPr>
        <w:t xml:space="preserve"> and </w:t>
      </w:r>
      <w:r w:rsidRPr="00A95629">
        <w:rPr>
          <w:rFonts w:ascii="Book Antiqua" w:hAnsi="Book Antiqua" w:cs="Arial"/>
          <w:sz w:val="24"/>
          <w:szCs w:val="24"/>
          <w:lang w:val="en-GB"/>
        </w:rPr>
        <w:t>q</w:t>
      </w:r>
      <w:proofErr w:type="spellStart"/>
      <w:r w:rsidRPr="00A95629">
        <w:rPr>
          <w:rFonts w:ascii="Book Antiqua" w:hAnsi="Book Antiqua" w:cs="Arial"/>
          <w:sz w:val="24"/>
          <w:szCs w:val="24"/>
          <w:lang w:val="en-US"/>
        </w:rPr>
        <w:t>uantitative</w:t>
      </w:r>
      <w:proofErr w:type="spellEnd"/>
      <w:r w:rsidRPr="00A95629">
        <w:rPr>
          <w:rFonts w:ascii="Book Antiqua" w:hAnsi="Book Antiqua" w:cs="Arial"/>
          <w:sz w:val="24"/>
          <w:szCs w:val="24"/>
          <w:lang w:val="en-US"/>
        </w:rPr>
        <w:t xml:space="preserve"> real-</w:t>
      </w:r>
      <w:r w:rsidRPr="007A357C">
        <w:rPr>
          <w:rFonts w:ascii="Book Antiqua" w:hAnsi="Book Antiqua" w:cs="Arial"/>
          <w:sz w:val="24"/>
          <w:szCs w:val="24"/>
          <w:lang w:val="en-US"/>
        </w:rPr>
        <w:t xml:space="preserve">time </w:t>
      </w:r>
      <w:r w:rsidR="00074BC5" w:rsidRPr="00A06BF8">
        <w:rPr>
          <w:rFonts w:ascii="Book Antiqua" w:hAnsi="Book Antiqua" w:cs="Arial"/>
          <w:sz w:val="24"/>
          <w:szCs w:val="24"/>
          <w:lang w:val="en-US"/>
        </w:rPr>
        <w:t>polymerase chain reaction</w:t>
      </w:r>
      <w:r w:rsidR="00074BC5" w:rsidRPr="007A357C">
        <w:rPr>
          <w:rFonts w:ascii="Book Antiqua" w:hAnsi="Book Antiqua" w:cs="Arial"/>
          <w:sz w:val="24"/>
          <w:szCs w:val="24"/>
          <w:lang w:val="en-US"/>
        </w:rPr>
        <w:t xml:space="preserve"> </w:t>
      </w:r>
      <w:r w:rsidR="00074BC5">
        <w:rPr>
          <w:rFonts w:ascii="Book Antiqua" w:eastAsiaTheme="minorEastAsia" w:hAnsi="Book Antiqua" w:cs="Arial" w:hint="eastAsia"/>
          <w:sz w:val="24"/>
          <w:szCs w:val="24"/>
          <w:lang w:val="en-US"/>
        </w:rPr>
        <w:t>(</w:t>
      </w:r>
      <w:r w:rsidRPr="007A357C">
        <w:rPr>
          <w:rFonts w:ascii="Book Antiqua" w:hAnsi="Book Antiqua" w:cs="Arial"/>
          <w:sz w:val="24"/>
          <w:szCs w:val="24"/>
          <w:lang w:val="en-US"/>
        </w:rPr>
        <w:t>PCR</w:t>
      </w:r>
      <w:r w:rsidR="00074BC5">
        <w:rPr>
          <w:rFonts w:ascii="Book Antiqua" w:eastAsiaTheme="minorEastAsia" w:hAnsi="Book Antiqua" w:cs="Arial" w:hint="eastAsia"/>
          <w:sz w:val="24"/>
          <w:szCs w:val="24"/>
          <w:lang w:val="en-US"/>
        </w:rPr>
        <w:t>)</w:t>
      </w:r>
      <w:r w:rsidRPr="007A357C">
        <w:rPr>
          <w:rFonts w:ascii="Book Antiqua" w:hAnsi="Book Antiqua" w:cs="Arial"/>
          <w:sz w:val="24"/>
          <w:szCs w:val="24"/>
          <w:lang w:val="en-US"/>
        </w:rPr>
        <w:t xml:space="preserve"> assay</w:t>
      </w:r>
      <w:r>
        <w:rPr>
          <w:rFonts w:ascii="Book Antiqua" w:hAnsi="Book Antiqua" w:cs="Arial"/>
          <w:sz w:val="24"/>
          <w:szCs w:val="24"/>
          <w:lang w:val="en-US"/>
        </w:rPr>
        <w:t>,</w:t>
      </w:r>
      <w:r w:rsidRPr="007A357C">
        <w:rPr>
          <w:rFonts w:ascii="Book Antiqua" w:hAnsi="Book Antiqua" w:cs="Arial"/>
          <w:sz w:val="24"/>
          <w:szCs w:val="24"/>
          <w:lang w:val="en-US"/>
        </w:rPr>
        <w:t xml:space="preserve"> </w:t>
      </w:r>
      <w:r>
        <w:rPr>
          <w:rFonts w:ascii="Book Antiqua" w:hAnsi="Book Antiqua" w:cs="Arial"/>
          <w:sz w:val="24"/>
          <w:szCs w:val="24"/>
          <w:lang w:val="en-US"/>
        </w:rPr>
        <w:t>carried out on both peripheral blood and fresh</w:t>
      </w:r>
      <w:r w:rsidRPr="007A357C">
        <w:rPr>
          <w:rFonts w:ascii="Book Antiqua" w:hAnsi="Book Antiqua" w:cs="Arial"/>
          <w:sz w:val="24"/>
          <w:szCs w:val="24"/>
          <w:lang w:val="en-US"/>
        </w:rPr>
        <w:t xml:space="preserve"> mucosal </w:t>
      </w:r>
      <w:r>
        <w:rPr>
          <w:rFonts w:ascii="Book Antiqua" w:hAnsi="Book Antiqua" w:cs="Arial"/>
          <w:sz w:val="24"/>
          <w:szCs w:val="24"/>
          <w:lang w:val="en-US"/>
        </w:rPr>
        <w:t>samples. The latter proved</w:t>
      </w:r>
      <w:r w:rsidRPr="007A357C">
        <w:rPr>
          <w:rFonts w:ascii="Book Antiqua" w:hAnsi="Book Antiqua" w:cs="Arial"/>
          <w:sz w:val="24"/>
          <w:szCs w:val="24"/>
          <w:lang w:val="en-US"/>
        </w:rPr>
        <w:t xml:space="preserve"> </w:t>
      </w:r>
      <w:r>
        <w:rPr>
          <w:rFonts w:ascii="Book Antiqua" w:hAnsi="Book Antiqua" w:cs="Arial"/>
          <w:sz w:val="24"/>
          <w:szCs w:val="24"/>
          <w:lang w:val="en-US"/>
        </w:rPr>
        <w:t xml:space="preserve">to be </w:t>
      </w:r>
      <w:r w:rsidRPr="007A357C">
        <w:rPr>
          <w:rFonts w:ascii="Book Antiqua" w:hAnsi="Book Antiqua" w:cs="Arial"/>
          <w:sz w:val="24"/>
          <w:szCs w:val="24"/>
          <w:lang w:val="en-US"/>
        </w:rPr>
        <w:t>the best diagnostic technique</w:t>
      </w:r>
      <w:r>
        <w:rPr>
          <w:rFonts w:ascii="Book Antiqua" w:hAnsi="Book Antiqua" w:cs="Arial"/>
          <w:sz w:val="24"/>
          <w:szCs w:val="24"/>
          <w:lang w:val="en-US"/>
        </w:rPr>
        <w:t xml:space="preserve">, since it </w:t>
      </w:r>
      <w:r w:rsidRPr="007A357C">
        <w:rPr>
          <w:rFonts w:ascii="Book Antiqua" w:hAnsi="Book Antiqua" w:cs="Arial"/>
          <w:sz w:val="24"/>
          <w:szCs w:val="24"/>
          <w:lang w:val="en-US"/>
        </w:rPr>
        <w:t xml:space="preserve">allowed us to distinguish between viral colitis and infection </w:t>
      </w:r>
      <w:r>
        <w:rPr>
          <w:rFonts w:ascii="Book Antiqua" w:hAnsi="Book Antiqua" w:cs="Arial"/>
          <w:sz w:val="24"/>
          <w:szCs w:val="24"/>
          <w:lang w:val="en-US"/>
        </w:rPr>
        <w:t>by</w:t>
      </w:r>
      <w:r w:rsidRPr="007A357C">
        <w:rPr>
          <w:rFonts w:ascii="Book Antiqua" w:hAnsi="Book Antiqua" w:cs="Arial"/>
          <w:sz w:val="24"/>
          <w:szCs w:val="24"/>
          <w:lang w:val="en-US"/>
        </w:rPr>
        <w:t xml:space="preserve"> identif</w:t>
      </w:r>
      <w:r>
        <w:rPr>
          <w:rFonts w:ascii="Book Antiqua" w:hAnsi="Book Antiqua" w:cs="Arial"/>
          <w:sz w:val="24"/>
          <w:szCs w:val="24"/>
          <w:lang w:val="en-US"/>
        </w:rPr>
        <w:t>ying</w:t>
      </w:r>
      <w:r w:rsidRPr="007A357C">
        <w:rPr>
          <w:rFonts w:ascii="Book Antiqua" w:hAnsi="Book Antiqua" w:cs="Arial"/>
          <w:sz w:val="24"/>
          <w:szCs w:val="24"/>
          <w:lang w:val="en-US"/>
        </w:rPr>
        <w:t xml:space="preserve"> a cutoff value. </w:t>
      </w:r>
      <w:r>
        <w:rPr>
          <w:rFonts w:ascii="Book Antiqua" w:hAnsi="Book Antiqua" w:cs="Arial"/>
          <w:sz w:val="24"/>
          <w:szCs w:val="24"/>
          <w:lang w:val="en-US"/>
        </w:rPr>
        <w:t>Interestingly, a</w:t>
      </w:r>
      <w:r w:rsidRPr="007A357C">
        <w:rPr>
          <w:rFonts w:ascii="Book Antiqua" w:hAnsi="Book Antiqua" w:cs="Arial"/>
          <w:sz w:val="24"/>
          <w:szCs w:val="24"/>
          <w:lang w:val="en-US"/>
        </w:rPr>
        <w:t xml:space="preserve">ll refractory IBD patients carried the highest mucosal viral loads, which correlated with the severity of mucosal damage and endoscopic activity. EBV infection </w:t>
      </w:r>
      <w:r>
        <w:rPr>
          <w:rFonts w:ascii="Book Antiqua" w:hAnsi="Book Antiqua" w:cs="Arial"/>
          <w:sz w:val="24"/>
          <w:szCs w:val="24"/>
          <w:lang w:val="en-US"/>
        </w:rPr>
        <w:t>was found to be the</w:t>
      </w:r>
      <w:r w:rsidRPr="007A357C">
        <w:rPr>
          <w:rFonts w:ascii="Book Antiqua" w:hAnsi="Book Antiqua" w:cs="Arial"/>
          <w:sz w:val="24"/>
          <w:szCs w:val="24"/>
          <w:lang w:val="en-US"/>
        </w:rPr>
        <w:t xml:space="preserve"> most prevalent</w:t>
      </w:r>
      <w:r>
        <w:rPr>
          <w:rFonts w:ascii="Book Antiqua" w:hAnsi="Book Antiqua" w:cs="Arial"/>
          <w:sz w:val="24"/>
          <w:szCs w:val="24"/>
          <w:lang w:val="en-US"/>
        </w:rPr>
        <w:t>, and</w:t>
      </w:r>
      <w:r w:rsidRPr="007A357C">
        <w:rPr>
          <w:rFonts w:ascii="Book Antiqua" w:hAnsi="Book Antiqua" w:cs="Arial"/>
          <w:sz w:val="24"/>
          <w:szCs w:val="24"/>
          <w:lang w:val="en-US"/>
        </w:rPr>
        <w:t xml:space="preserve"> steroid therapy was identified as a significant risk factor</w:t>
      </w:r>
      <w:r>
        <w:rPr>
          <w:rFonts w:ascii="Book Antiqua" w:hAnsi="Book Antiqua" w:cs="Arial"/>
          <w:sz w:val="24"/>
          <w:szCs w:val="24"/>
          <w:lang w:val="en-US"/>
        </w:rPr>
        <w:t xml:space="preserve">. </w:t>
      </w:r>
      <w:r w:rsidRPr="00BE065C">
        <w:rPr>
          <w:rFonts w:ascii="Book Antiqua" w:hAnsi="Book Antiqua" w:cs="ArialNarrow-BoldItalic"/>
          <w:bCs/>
          <w:iCs/>
          <w:sz w:val="24"/>
          <w:szCs w:val="24"/>
          <w:lang w:val="en-US" w:eastAsia="en-US"/>
        </w:rPr>
        <w:t>Finally, with a view to treatment, a course of antiviral therapy was of benefit in determining both the disappearance of viral DNA and mucosal healing in HCMV-related colitis, whilst the vast majority of patients with EBV colitis underwent colectomy.</w:t>
      </w:r>
    </w:p>
    <w:p w:rsidR="0053092D" w:rsidRDefault="0053092D" w:rsidP="00093495">
      <w:pPr>
        <w:suppressAutoHyphens w:val="0"/>
        <w:autoSpaceDE w:val="0"/>
        <w:autoSpaceDN w:val="0"/>
        <w:adjustRightInd w:val="0"/>
        <w:snapToGrid w:val="0"/>
        <w:spacing w:line="360" w:lineRule="auto"/>
        <w:jc w:val="both"/>
        <w:rPr>
          <w:rFonts w:ascii="Book Antiqua" w:eastAsiaTheme="minorEastAsia" w:hAnsi="Book Antiqua" w:cs="ArialNarrow"/>
          <w:sz w:val="24"/>
          <w:szCs w:val="24"/>
          <w:lang w:val="en-US"/>
        </w:rPr>
      </w:pPr>
    </w:p>
    <w:p w:rsidR="0053092D" w:rsidRPr="0053092D" w:rsidRDefault="0053092D" w:rsidP="00093495">
      <w:pPr>
        <w:suppressAutoHyphens w:val="0"/>
        <w:autoSpaceDE w:val="0"/>
        <w:autoSpaceDN w:val="0"/>
        <w:adjustRightInd w:val="0"/>
        <w:snapToGrid w:val="0"/>
        <w:spacing w:line="360" w:lineRule="auto"/>
        <w:jc w:val="both"/>
        <w:rPr>
          <w:rFonts w:ascii="Book Antiqua" w:eastAsiaTheme="minorEastAsia" w:hAnsi="Book Antiqua" w:cs="ArialNarrow"/>
          <w:b/>
          <w:bCs/>
          <w:i/>
          <w:iCs/>
          <w:sz w:val="24"/>
          <w:szCs w:val="24"/>
          <w:lang w:val="en-US"/>
        </w:rPr>
      </w:pPr>
      <w:r w:rsidRPr="0053092D">
        <w:rPr>
          <w:rFonts w:ascii="Book Antiqua" w:eastAsiaTheme="minorEastAsia" w:hAnsi="Book Antiqua" w:cs="ArialNarrow"/>
          <w:b/>
          <w:bCs/>
          <w:i/>
          <w:iCs/>
          <w:sz w:val="24"/>
          <w:szCs w:val="24"/>
          <w:lang w:val="en-US"/>
        </w:rPr>
        <w:t xml:space="preserve">Applications </w:t>
      </w:r>
    </w:p>
    <w:p w:rsidR="00667FD1" w:rsidRDefault="00667FD1" w:rsidP="00093495">
      <w:pPr>
        <w:suppressAutoHyphens w:val="0"/>
        <w:autoSpaceDE w:val="0"/>
        <w:autoSpaceDN w:val="0"/>
        <w:adjustRightInd w:val="0"/>
        <w:snapToGrid w:val="0"/>
        <w:spacing w:line="360" w:lineRule="auto"/>
        <w:jc w:val="both"/>
        <w:rPr>
          <w:rFonts w:ascii="Book Antiqua" w:hAnsi="Book Antiqua"/>
          <w:sz w:val="24"/>
          <w:szCs w:val="24"/>
          <w:lang w:val="en-GB"/>
        </w:rPr>
      </w:pPr>
      <w:r>
        <w:rPr>
          <w:rFonts w:ascii="Book Antiqua" w:hAnsi="Book Antiqua" w:cs="ArialNarrow"/>
          <w:sz w:val="24"/>
          <w:szCs w:val="24"/>
          <w:lang w:val="en-US" w:eastAsia="en-US"/>
        </w:rPr>
        <w:t>This study contributes to o</w:t>
      </w:r>
      <w:r>
        <w:rPr>
          <w:rFonts w:ascii="Book Antiqua" w:hAnsi="Book Antiqua"/>
          <w:sz w:val="24"/>
          <w:szCs w:val="24"/>
          <w:lang w:val="en-GB"/>
        </w:rPr>
        <w:t xml:space="preserve">ur understanding of the frequency and role of opportunistic viral infection in refractory IBD patients </w:t>
      </w:r>
      <w:r>
        <w:rPr>
          <w:rFonts w:ascii="Book Antiqua" w:hAnsi="Book Antiqua" w:cs="ArialNarrow"/>
          <w:sz w:val="24"/>
          <w:szCs w:val="24"/>
          <w:lang w:val="en-US" w:eastAsia="en-US"/>
        </w:rPr>
        <w:t>and provides the basis for the use of real time quantitative PCR as the gold standard diagnostic technique in differentiating viral end-organ disease from infection</w:t>
      </w:r>
      <w:r>
        <w:rPr>
          <w:rFonts w:ascii="Book Antiqua" w:hAnsi="Book Antiqua"/>
          <w:sz w:val="24"/>
          <w:szCs w:val="24"/>
          <w:lang w:val="en-GB"/>
        </w:rPr>
        <w:t xml:space="preserve">. This technique also allows the patients to be monitored. </w:t>
      </w:r>
    </w:p>
    <w:p w:rsidR="0053092D" w:rsidRDefault="0053092D" w:rsidP="00093495">
      <w:pPr>
        <w:suppressAutoHyphens w:val="0"/>
        <w:autoSpaceDE w:val="0"/>
        <w:autoSpaceDN w:val="0"/>
        <w:adjustRightInd w:val="0"/>
        <w:snapToGrid w:val="0"/>
        <w:spacing w:line="360" w:lineRule="auto"/>
        <w:jc w:val="both"/>
        <w:rPr>
          <w:rFonts w:ascii="Book Antiqua" w:eastAsiaTheme="minorEastAsia" w:hAnsi="Book Antiqua" w:cs="ArialNarrow-BoldItalic"/>
          <w:b/>
          <w:bCs/>
          <w:iCs/>
          <w:sz w:val="24"/>
          <w:szCs w:val="24"/>
          <w:lang w:val="en-US"/>
        </w:rPr>
      </w:pPr>
    </w:p>
    <w:p w:rsidR="00667FD1" w:rsidRPr="0053092D" w:rsidRDefault="00667FD1" w:rsidP="00093495">
      <w:pPr>
        <w:suppressAutoHyphens w:val="0"/>
        <w:autoSpaceDE w:val="0"/>
        <w:autoSpaceDN w:val="0"/>
        <w:adjustRightInd w:val="0"/>
        <w:snapToGrid w:val="0"/>
        <w:spacing w:line="360" w:lineRule="auto"/>
        <w:jc w:val="both"/>
        <w:rPr>
          <w:rFonts w:ascii="Book Antiqua" w:hAnsi="Book Antiqua" w:cs="ArialNarrow-BoldItalic"/>
          <w:b/>
          <w:bCs/>
          <w:i/>
          <w:iCs/>
          <w:sz w:val="24"/>
          <w:szCs w:val="24"/>
          <w:lang w:val="en-US" w:eastAsia="en-US"/>
        </w:rPr>
      </w:pPr>
      <w:r w:rsidRPr="0053092D">
        <w:rPr>
          <w:rFonts w:ascii="Book Antiqua" w:hAnsi="Book Antiqua" w:cs="ArialNarrow-BoldItalic"/>
          <w:b/>
          <w:bCs/>
          <w:i/>
          <w:iCs/>
          <w:sz w:val="24"/>
          <w:szCs w:val="24"/>
          <w:lang w:val="en-US" w:eastAsia="en-US"/>
        </w:rPr>
        <w:t>Terminology</w:t>
      </w:r>
    </w:p>
    <w:p w:rsidR="00667FD1" w:rsidRPr="0053092D" w:rsidRDefault="00667FD1" w:rsidP="00093495">
      <w:pPr>
        <w:suppressAutoHyphens w:val="0"/>
        <w:autoSpaceDE w:val="0"/>
        <w:autoSpaceDN w:val="0"/>
        <w:adjustRightInd w:val="0"/>
        <w:snapToGrid w:val="0"/>
        <w:spacing w:line="360" w:lineRule="auto"/>
        <w:jc w:val="both"/>
        <w:rPr>
          <w:rFonts w:ascii="Book Antiqua" w:hAnsi="Book Antiqua" w:cs="Times-Roman"/>
          <w:color w:val="000000"/>
          <w:sz w:val="24"/>
          <w:szCs w:val="24"/>
          <w:lang w:val="en-US" w:eastAsia="en-US"/>
        </w:rPr>
      </w:pPr>
      <w:r>
        <w:rPr>
          <w:rFonts w:ascii="Book Antiqua" w:hAnsi="Book Antiqua" w:cs="Times-Roman"/>
          <w:color w:val="000000"/>
          <w:sz w:val="24"/>
          <w:szCs w:val="24"/>
          <w:lang w:val="en-US" w:eastAsia="en-US"/>
        </w:rPr>
        <w:t xml:space="preserve">Inflammatory bowel diseases are chronic </w:t>
      </w:r>
      <w:proofErr w:type="spellStart"/>
      <w:r>
        <w:rPr>
          <w:rFonts w:ascii="Book Antiqua" w:hAnsi="Book Antiqua" w:cs="Times-Roman"/>
          <w:color w:val="000000"/>
          <w:sz w:val="24"/>
          <w:szCs w:val="24"/>
          <w:lang w:val="en-US" w:eastAsia="en-US"/>
        </w:rPr>
        <w:t>enteropathies</w:t>
      </w:r>
      <w:proofErr w:type="spellEnd"/>
      <w:r>
        <w:rPr>
          <w:rFonts w:ascii="Book Antiqua" w:hAnsi="Book Antiqua" w:cs="Times-Roman"/>
          <w:color w:val="000000"/>
          <w:sz w:val="24"/>
          <w:szCs w:val="24"/>
          <w:lang w:val="en-US" w:eastAsia="en-US"/>
        </w:rPr>
        <w:t xml:space="preserve"> triggered and sustained by an abnormal immune response to usually-tolerated antigens, which develops in genet</w:t>
      </w:r>
      <w:r w:rsidR="0053092D">
        <w:rPr>
          <w:rFonts w:ascii="Book Antiqua" w:hAnsi="Book Antiqua" w:cs="Times-Roman"/>
          <w:color w:val="000000"/>
          <w:sz w:val="24"/>
          <w:szCs w:val="24"/>
          <w:lang w:val="en-US" w:eastAsia="en-US"/>
        </w:rPr>
        <w:t>ically susceptible individuals.</w:t>
      </w:r>
      <w:r w:rsidR="0053092D">
        <w:rPr>
          <w:rFonts w:ascii="Book Antiqua" w:eastAsiaTheme="minorEastAsia" w:hAnsi="Book Antiqua" w:cs="Times-Roman" w:hint="eastAsia"/>
          <w:color w:val="000000"/>
          <w:sz w:val="24"/>
          <w:szCs w:val="24"/>
          <w:lang w:val="en-US"/>
        </w:rPr>
        <w:t xml:space="preserve"> </w:t>
      </w:r>
      <w:r>
        <w:rPr>
          <w:rFonts w:ascii="Book Antiqua" w:hAnsi="Book Antiqua" w:cs="Times-Roman"/>
          <w:color w:val="000000"/>
          <w:sz w:val="24"/>
          <w:szCs w:val="24"/>
          <w:lang w:val="en-US" w:eastAsia="en-US"/>
        </w:rPr>
        <w:t>Refractoriness is defined as the lack of</w:t>
      </w:r>
      <w:r w:rsidR="0053092D">
        <w:rPr>
          <w:rFonts w:ascii="Book Antiqua" w:hAnsi="Book Antiqua" w:cs="Times-Roman"/>
          <w:color w:val="000000"/>
          <w:sz w:val="24"/>
          <w:szCs w:val="24"/>
          <w:lang w:val="en-US" w:eastAsia="en-US"/>
        </w:rPr>
        <w:t xml:space="preserve"> response to current therapies.</w:t>
      </w:r>
      <w:r w:rsidR="0053092D">
        <w:rPr>
          <w:rFonts w:ascii="Book Antiqua" w:eastAsiaTheme="minorEastAsia" w:hAnsi="Book Antiqua" w:cs="Times-Roman" w:hint="eastAsia"/>
          <w:color w:val="000000"/>
          <w:sz w:val="24"/>
          <w:szCs w:val="24"/>
          <w:lang w:val="en-US"/>
        </w:rPr>
        <w:t xml:space="preserve"> </w:t>
      </w:r>
      <w:r>
        <w:rPr>
          <w:rFonts w:ascii="Book Antiqua" w:hAnsi="Book Antiqua" w:cs="Times-Roman"/>
          <w:color w:val="000000"/>
          <w:sz w:val="24"/>
          <w:szCs w:val="24"/>
          <w:lang w:val="en-US" w:eastAsia="en-US"/>
        </w:rPr>
        <w:t xml:space="preserve">Opportunistic viral infections, including HCMV and EBV, are those caused by organisms </w:t>
      </w:r>
      <w:r w:rsidRPr="000C6991">
        <w:rPr>
          <w:rFonts w:ascii="Book Antiqua" w:hAnsi="Book Antiqua" w:cs="Arial"/>
          <w:sz w:val="24"/>
          <w:szCs w:val="24"/>
          <w:lang w:val="en-US"/>
        </w:rPr>
        <w:t xml:space="preserve">capable of establishing latency in target cells and reactivating in cases of reduced host </w:t>
      </w:r>
      <w:proofErr w:type="spellStart"/>
      <w:r>
        <w:rPr>
          <w:rFonts w:ascii="Book Antiqua" w:hAnsi="Book Antiqua" w:cs="Arial"/>
          <w:sz w:val="24"/>
          <w:szCs w:val="24"/>
          <w:lang w:val="en-US"/>
        </w:rPr>
        <w:t>defence</w:t>
      </w:r>
      <w:proofErr w:type="spellEnd"/>
      <w:r w:rsidRPr="000C6991">
        <w:rPr>
          <w:rFonts w:ascii="Book Antiqua" w:hAnsi="Book Antiqua" w:cs="Arial"/>
          <w:sz w:val="24"/>
          <w:szCs w:val="24"/>
          <w:lang w:val="en-US"/>
        </w:rPr>
        <w:t xml:space="preserve">, </w:t>
      </w:r>
      <w:r>
        <w:rPr>
          <w:rFonts w:ascii="Book Antiqua" w:hAnsi="Book Antiqua" w:cs="Arial"/>
          <w:sz w:val="24"/>
          <w:szCs w:val="24"/>
          <w:lang w:val="en-US"/>
        </w:rPr>
        <w:t xml:space="preserve">such as during immunosuppressive or </w:t>
      </w:r>
      <w:proofErr w:type="spellStart"/>
      <w:r>
        <w:rPr>
          <w:rFonts w:ascii="Book Antiqua" w:hAnsi="Book Antiqua" w:cs="Arial"/>
          <w:sz w:val="24"/>
          <w:szCs w:val="24"/>
          <w:lang w:val="en-US"/>
        </w:rPr>
        <w:t>immunomodulant</w:t>
      </w:r>
      <w:proofErr w:type="spellEnd"/>
      <w:r>
        <w:rPr>
          <w:rFonts w:ascii="Book Antiqua" w:hAnsi="Book Antiqua" w:cs="Arial"/>
          <w:sz w:val="24"/>
          <w:szCs w:val="24"/>
          <w:lang w:val="en-US"/>
        </w:rPr>
        <w:t xml:space="preserve"> therapy, </w:t>
      </w:r>
      <w:r w:rsidRPr="000C6991">
        <w:rPr>
          <w:rFonts w:ascii="Book Antiqua" w:hAnsi="Book Antiqua" w:cs="Arial"/>
          <w:sz w:val="24"/>
          <w:szCs w:val="24"/>
          <w:lang w:val="en-US"/>
        </w:rPr>
        <w:t>giving rise to both systemic and end-organ disease,</w:t>
      </w:r>
      <w:r>
        <w:rPr>
          <w:rFonts w:ascii="Book Antiqua" w:hAnsi="Book Antiqua" w:cs="Arial"/>
          <w:sz w:val="24"/>
          <w:szCs w:val="24"/>
          <w:lang w:val="en-US"/>
        </w:rPr>
        <w:t xml:space="preserve"> which can also be</w:t>
      </w:r>
      <w:r w:rsidRPr="000C6991">
        <w:rPr>
          <w:rFonts w:ascii="Book Antiqua" w:hAnsi="Book Antiqua" w:cs="Arial"/>
          <w:sz w:val="24"/>
          <w:szCs w:val="24"/>
          <w:lang w:val="en-US"/>
        </w:rPr>
        <w:t xml:space="preserve"> </w:t>
      </w:r>
      <w:r w:rsidRPr="000432B0">
        <w:rPr>
          <w:rFonts w:ascii="Book Antiqua" w:hAnsi="Book Antiqua" w:cs="Arial"/>
          <w:sz w:val="24"/>
          <w:szCs w:val="24"/>
          <w:lang w:val="en-US"/>
        </w:rPr>
        <w:t>localized to the</w:t>
      </w:r>
      <w:r w:rsidRPr="000C6991">
        <w:rPr>
          <w:rFonts w:ascii="Book Antiqua" w:hAnsi="Book Antiqua" w:cs="Arial"/>
          <w:sz w:val="24"/>
          <w:szCs w:val="24"/>
          <w:lang w:val="en-US"/>
        </w:rPr>
        <w:t xml:space="preserve"> gastrointestinal tract.</w:t>
      </w:r>
    </w:p>
    <w:p w:rsidR="00667FD1" w:rsidRDefault="00667FD1" w:rsidP="00093495">
      <w:pPr>
        <w:suppressAutoHyphens w:val="0"/>
        <w:autoSpaceDE w:val="0"/>
        <w:autoSpaceDN w:val="0"/>
        <w:adjustRightInd w:val="0"/>
        <w:snapToGrid w:val="0"/>
        <w:spacing w:line="360" w:lineRule="auto"/>
        <w:jc w:val="both"/>
        <w:rPr>
          <w:rFonts w:ascii="Book Antiqua" w:hAnsi="Book Antiqua" w:cs="Times-Roman"/>
          <w:color w:val="000000"/>
          <w:sz w:val="24"/>
          <w:szCs w:val="24"/>
          <w:lang w:val="en-US" w:eastAsia="en-US"/>
        </w:rPr>
      </w:pPr>
    </w:p>
    <w:p w:rsidR="00667FD1" w:rsidRPr="0053092D" w:rsidRDefault="00667FD1" w:rsidP="00093495">
      <w:pPr>
        <w:suppressAutoHyphens w:val="0"/>
        <w:autoSpaceDE w:val="0"/>
        <w:autoSpaceDN w:val="0"/>
        <w:adjustRightInd w:val="0"/>
        <w:snapToGrid w:val="0"/>
        <w:spacing w:line="360" w:lineRule="auto"/>
        <w:jc w:val="both"/>
        <w:rPr>
          <w:rFonts w:ascii="Book Antiqua" w:hAnsi="Book Antiqua" w:cs="ArialNarrow-BoldItalic"/>
          <w:b/>
          <w:bCs/>
          <w:i/>
          <w:iCs/>
          <w:sz w:val="24"/>
          <w:szCs w:val="24"/>
          <w:lang w:val="en-US" w:eastAsia="en-US"/>
        </w:rPr>
      </w:pPr>
      <w:r w:rsidRPr="0053092D">
        <w:rPr>
          <w:rFonts w:ascii="Book Antiqua" w:hAnsi="Book Antiqua" w:cs="ArialNarrow-BoldItalic"/>
          <w:b/>
          <w:bCs/>
          <w:i/>
          <w:iCs/>
          <w:sz w:val="24"/>
          <w:szCs w:val="24"/>
          <w:lang w:val="en-US" w:eastAsia="en-US"/>
        </w:rPr>
        <w:lastRenderedPageBreak/>
        <w:t>Peer review</w:t>
      </w:r>
    </w:p>
    <w:p w:rsidR="00667FD1" w:rsidRPr="00D4349D" w:rsidRDefault="00D4349D" w:rsidP="00093495">
      <w:pPr>
        <w:widowControl w:val="0"/>
        <w:suppressAutoHyphens w:val="0"/>
        <w:autoSpaceDE w:val="0"/>
        <w:adjustRightInd w:val="0"/>
        <w:snapToGrid w:val="0"/>
        <w:spacing w:line="360" w:lineRule="auto"/>
        <w:jc w:val="both"/>
        <w:rPr>
          <w:rFonts w:ascii="Book Antiqua" w:eastAsiaTheme="minorEastAsia" w:hAnsi="Book Antiqua" w:cs="ArialNarrow"/>
          <w:sz w:val="24"/>
          <w:szCs w:val="24"/>
          <w:lang w:val="en-US"/>
        </w:rPr>
      </w:pPr>
      <w:r w:rsidRPr="00D4349D">
        <w:rPr>
          <w:rFonts w:ascii="Book Antiqua" w:hAnsi="Book Antiqua" w:cs="ArialNarrow"/>
          <w:sz w:val="24"/>
          <w:szCs w:val="24"/>
          <w:lang w:val="en-US" w:eastAsia="en-US"/>
        </w:rPr>
        <w:t xml:space="preserve">The authors investigated CMV and EBV in tissue specimens of refractory and non-refractory mixed IBD patients by quantitative real-time PCR and immunohistochemistry. Additionally, the whole colon was mapped in </w:t>
      </w:r>
      <w:proofErr w:type="spellStart"/>
      <w:proofErr w:type="gramStart"/>
      <w:r w:rsidRPr="00D4349D">
        <w:rPr>
          <w:rFonts w:ascii="Book Antiqua" w:hAnsi="Book Antiqua" w:cs="ArialNarrow"/>
          <w:sz w:val="24"/>
          <w:szCs w:val="24"/>
          <w:lang w:val="en-US" w:eastAsia="en-US"/>
        </w:rPr>
        <w:t>oder</w:t>
      </w:r>
      <w:proofErr w:type="spellEnd"/>
      <w:proofErr w:type="gramEnd"/>
      <w:r w:rsidRPr="00D4349D">
        <w:rPr>
          <w:rFonts w:ascii="Book Antiqua" w:hAnsi="Book Antiqua" w:cs="ArialNarrow"/>
          <w:sz w:val="24"/>
          <w:szCs w:val="24"/>
          <w:lang w:val="en-US" w:eastAsia="en-US"/>
        </w:rPr>
        <w:t xml:space="preserve"> to correlated viral loads to endoscopic lesions.</w:t>
      </w:r>
      <w:r>
        <w:rPr>
          <w:rFonts w:ascii="Book Antiqua" w:eastAsiaTheme="minorEastAsia" w:hAnsi="Book Antiqua" w:cs="ArialNarrow" w:hint="eastAsia"/>
          <w:sz w:val="24"/>
          <w:szCs w:val="24"/>
          <w:lang w:val="en-US"/>
        </w:rPr>
        <w:t xml:space="preserve"> </w:t>
      </w:r>
      <w:r w:rsidRPr="00D4349D">
        <w:rPr>
          <w:rFonts w:ascii="Book Antiqua" w:eastAsiaTheme="minorEastAsia" w:hAnsi="Book Antiqua" w:cs="ArialNarrow"/>
          <w:caps/>
          <w:sz w:val="24"/>
          <w:szCs w:val="24"/>
          <w:lang w:val="en-US"/>
        </w:rPr>
        <w:t>t</w:t>
      </w:r>
      <w:r w:rsidRPr="00D4349D">
        <w:rPr>
          <w:rFonts w:ascii="Book Antiqua" w:eastAsiaTheme="minorEastAsia" w:hAnsi="Book Antiqua" w:cs="ArialNarrow"/>
          <w:sz w:val="24"/>
          <w:szCs w:val="24"/>
          <w:lang w:val="en-US"/>
        </w:rPr>
        <w:t>his is a very good paper</w:t>
      </w:r>
      <w:r>
        <w:rPr>
          <w:rFonts w:ascii="Book Antiqua" w:eastAsiaTheme="minorEastAsia" w:hAnsi="Book Antiqua" w:cs="ArialNarrow" w:hint="eastAsia"/>
          <w:sz w:val="24"/>
          <w:szCs w:val="24"/>
          <w:lang w:val="en-US"/>
        </w:rPr>
        <w:t xml:space="preserve">. </w:t>
      </w:r>
    </w:p>
    <w:p w:rsidR="00D4349D" w:rsidRPr="00D4349D" w:rsidRDefault="00D4349D" w:rsidP="00093495">
      <w:pPr>
        <w:widowControl w:val="0"/>
        <w:suppressAutoHyphens w:val="0"/>
        <w:autoSpaceDE w:val="0"/>
        <w:adjustRightInd w:val="0"/>
        <w:snapToGrid w:val="0"/>
        <w:spacing w:line="360" w:lineRule="auto"/>
        <w:jc w:val="both"/>
        <w:rPr>
          <w:rFonts w:ascii="Book Antiqua" w:eastAsiaTheme="minorEastAsia" w:hAnsi="Book Antiqua" w:cs="Arial"/>
          <w:sz w:val="24"/>
          <w:szCs w:val="24"/>
          <w:lang w:val="en-US"/>
        </w:rPr>
      </w:pPr>
    </w:p>
    <w:p w:rsidR="00667FD1" w:rsidRPr="00667FD1" w:rsidRDefault="00667FD1" w:rsidP="00093495">
      <w:pPr>
        <w:widowControl w:val="0"/>
        <w:suppressAutoHyphens w:val="0"/>
        <w:adjustRightInd w:val="0"/>
        <w:snapToGrid w:val="0"/>
        <w:spacing w:line="360" w:lineRule="auto"/>
        <w:jc w:val="both"/>
        <w:rPr>
          <w:rFonts w:ascii="Book Antiqua" w:hAnsi="Book Antiqua" w:cs="Arial"/>
          <w:color w:val="000000"/>
          <w:sz w:val="21"/>
          <w:szCs w:val="24"/>
          <w:shd w:val="clear" w:color="auto" w:fill="FFFFFF"/>
          <w:lang w:val="en-US"/>
        </w:rPr>
      </w:pPr>
      <w:r w:rsidRPr="00667FD1">
        <w:rPr>
          <w:rFonts w:ascii="Book Antiqua" w:hAnsi="Book Antiqua" w:cs="Arial"/>
          <w:b/>
          <w:sz w:val="21"/>
          <w:szCs w:val="24"/>
          <w:lang w:val="en-US"/>
        </w:rPr>
        <w:t>REFERENCES</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1 </w:t>
      </w:r>
      <w:r w:rsidRPr="009B1AD9">
        <w:rPr>
          <w:rFonts w:ascii="Book Antiqua" w:eastAsia="宋体" w:hAnsi="Book Antiqua" w:cs="宋体"/>
          <w:b/>
          <w:bCs/>
          <w:color w:val="000000"/>
          <w:sz w:val="21"/>
          <w:szCs w:val="21"/>
        </w:rPr>
        <w:t>Hanauer SB</w:t>
      </w:r>
      <w:r w:rsidRPr="009B1AD9">
        <w:rPr>
          <w:rFonts w:ascii="Book Antiqua" w:eastAsia="宋体" w:hAnsi="Book Antiqua" w:cs="宋体"/>
          <w:color w:val="000000"/>
          <w:sz w:val="21"/>
          <w:szCs w:val="21"/>
        </w:rPr>
        <w:t>, Kornbluth AA, Messick J, Rubin DT, Sandborn WJ, Sands BE. Clinical scenarios in IBD: optimizing the use of conventional and biologic agents. </w:t>
      </w:r>
      <w:r w:rsidRPr="009B1AD9">
        <w:rPr>
          <w:rFonts w:ascii="Book Antiqua" w:eastAsia="宋体" w:hAnsi="Book Antiqua" w:cs="宋体"/>
          <w:i/>
          <w:iCs/>
          <w:color w:val="000000"/>
          <w:sz w:val="21"/>
          <w:szCs w:val="21"/>
        </w:rPr>
        <w:t>Inflamm Bowel Dis</w:t>
      </w:r>
      <w:r w:rsidRPr="009B1AD9">
        <w:rPr>
          <w:rFonts w:ascii="Book Antiqua" w:eastAsia="宋体" w:hAnsi="Book Antiqua" w:cs="宋体"/>
          <w:color w:val="000000"/>
          <w:sz w:val="21"/>
          <w:szCs w:val="21"/>
        </w:rPr>
        <w:t> 2010; </w:t>
      </w:r>
      <w:r w:rsidRPr="009B1AD9">
        <w:rPr>
          <w:rFonts w:ascii="Book Antiqua" w:eastAsia="宋体" w:hAnsi="Book Antiqua" w:cs="宋体"/>
          <w:b/>
          <w:bCs/>
          <w:color w:val="000000"/>
          <w:sz w:val="21"/>
          <w:szCs w:val="21"/>
        </w:rPr>
        <w:t xml:space="preserve">16 </w:t>
      </w:r>
      <w:r w:rsidRPr="009B1AD9">
        <w:rPr>
          <w:rFonts w:ascii="Book Antiqua" w:eastAsia="宋体" w:hAnsi="Book Antiqua" w:cs="宋体"/>
          <w:bCs/>
          <w:color w:val="000000"/>
          <w:sz w:val="21"/>
          <w:szCs w:val="21"/>
        </w:rPr>
        <w:t>Suppl 1</w:t>
      </w:r>
      <w:r w:rsidRPr="009B1AD9">
        <w:rPr>
          <w:rFonts w:ascii="Book Antiqua" w:eastAsia="宋体" w:hAnsi="Book Antiqua" w:cs="宋体"/>
          <w:color w:val="000000"/>
          <w:sz w:val="21"/>
          <w:szCs w:val="21"/>
        </w:rPr>
        <w:t>: S1-11 [PMID: 21104734 DOI: 10.1002/ibd.21529]</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2 </w:t>
      </w:r>
      <w:r w:rsidRPr="009B1AD9">
        <w:rPr>
          <w:rFonts w:ascii="Book Antiqua" w:eastAsia="宋体" w:hAnsi="Book Antiqua" w:cs="宋体"/>
          <w:b/>
          <w:bCs/>
          <w:color w:val="000000"/>
          <w:sz w:val="21"/>
          <w:szCs w:val="21"/>
        </w:rPr>
        <w:t>Toruner M</w:t>
      </w:r>
      <w:r w:rsidRPr="009B1AD9">
        <w:rPr>
          <w:rFonts w:ascii="Book Antiqua" w:eastAsia="宋体" w:hAnsi="Book Antiqua" w:cs="宋体"/>
          <w:color w:val="000000"/>
          <w:sz w:val="21"/>
          <w:szCs w:val="21"/>
        </w:rPr>
        <w:t>, Loftus EV, Harmsen WS, Zinsmeister AR, Orenstein R, Sandborn WJ, Colombel JF, Egan LJ. Risk factors for opportunistic infections in patients with inflammatory bowel disease. </w:t>
      </w:r>
      <w:r w:rsidRPr="009B1AD9">
        <w:rPr>
          <w:rFonts w:ascii="Book Antiqua" w:eastAsia="宋体" w:hAnsi="Book Antiqua" w:cs="宋体"/>
          <w:i/>
          <w:iCs/>
          <w:color w:val="000000"/>
          <w:sz w:val="21"/>
          <w:szCs w:val="21"/>
        </w:rPr>
        <w:t>Gastroenterology</w:t>
      </w:r>
      <w:r w:rsidRPr="009B1AD9">
        <w:rPr>
          <w:rFonts w:ascii="Book Antiqua" w:eastAsia="宋体" w:hAnsi="Book Antiqua" w:cs="宋体"/>
          <w:color w:val="000000"/>
          <w:sz w:val="21"/>
          <w:szCs w:val="21"/>
        </w:rPr>
        <w:t> 2008; </w:t>
      </w:r>
      <w:r w:rsidRPr="009B1AD9">
        <w:rPr>
          <w:rFonts w:ascii="Book Antiqua" w:eastAsia="宋体" w:hAnsi="Book Antiqua" w:cs="宋体"/>
          <w:b/>
          <w:bCs/>
          <w:color w:val="000000"/>
          <w:sz w:val="21"/>
          <w:szCs w:val="21"/>
        </w:rPr>
        <w:t>134</w:t>
      </w:r>
      <w:r w:rsidRPr="009B1AD9">
        <w:rPr>
          <w:rFonts w:ascii="Book Antiqua" w:eastAsia="宋体" w:hAnsi="Book Antiqua" w:cs="宋体"/>
          <w:color w:val="000000"/>
          <w:sz w:val="21"/>
          <w:szCs w:val="21"/>
        </w:rPr>
        <w:t>: 929-936 [PMID: 18294633 DOI: 10.1052/j.gastro.2008.01.012]</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3 </w:t>
      </w:r>
      <w:r w:rsidRPr="009B1AD9">
        <w:rPr>
          <w:rFonts w:ascii="Book Antiqua" w:eastAsia="宋体" w:hAnsi="Book Antiqua" w:cs="宋体"/>
          <w:b/>
          <w:bCs/>
          <w:color w:val="000000"/>
          <w:sz w:val="21"/>
          <w:szCs w:val="21"/>
        </w:rPr>
        <w:t>Ford AC</w:t>
      </w:r>
      <w:r w:rsidRPr="009B1AD9">
        <w:rPr>
          <w:rFonts w:ascii="Book Antiqua" w:eastAsia="宋体" w:hAnsi="Book Antiqua" w:cs="宋体"/>
          <w:color w:val="000000"/>
          <w:sz w:val="21"/>
          <w:szCs w:val="21"/>
        </w:rPr>
        <w:t>, Peyrin-Biroulet L. Opportunistic infections with anti-tumor necrosis factor-α therapy in inflammatory bowel disease: meta-analysis of randomized controlled trials. </w:t>
      </w:r>
      <w:r w:rsidRPr="009B1AD9">
        <w:rPr>
          <w:rFonts w:ascii="Book Antiqua" w:eastAsia="宋体" w:hAnsi="Book Antiqua" w:cs="宋体"/>
          <w:i/>
          <w:iCs/>
          <w:color w:val="000000"/>
          <w:sz w:val="21"/>
          <w:szCs w:val="21"/>
        </w:rPr>
        <w:t>Am J Gastroenterol</w:t>
      </w:r>
      <w:r w:rsidRPr="009B1AD9">
        <w:rPr>
          <w:rFonts w:ascii="Book Antiqua" w:eastAsia="宋体" w:hAnsi="Book Antiqua" w:cs="宋体"/>
          <w:color w:val="000000"/>
          <w:sz w:val="21"/>
          <w:szCs w:val="21"/>
        </w:rPr>
        <w:t> 2013; </w:t>
      </w:r>
      <w:r w:rsidRPr="009B1AD9">
        <w:rPr>
          <w:rFonts w:ascii="Book Antiqua" w:eastAsia="宋体" w:hAnsi="Book Antiqua" w:cs="宋体"/>
          <w:b/>
          <w:bCs/>
          <w:color w:val="000000"/>
          <w:sz w:val="21"/>
          <w:szCs w:val="21"/>
        </w:rPr>
        <w:t>108</w:t>
      </w:r>
      <w:r w:rsidRPr="009B1AD9">
        <w:rPr>
          <w:rFonts w:ascii="Book Antiqua" w:eastAsia="宋体" w:hAnsi="Book Antiqua" w:cs="宋体"/>
          <w:color w:val="000000"/>
          <w:sz w:val="21"/>
          <w:szCs w:val="21"/>
        </w:rPr>
        <w:t>: 1268-1276 [PMID: 23649185 DOI: 10.1038/ajg.2013.138]</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4 </w:t>
      </w:r>
      <w:r w:rsidRPr="009B1AD9">
        <w:rPr>
          <w:rFonts w:ascii="Book Antiqua" w:eastAsia="宋体" w:hAnsi="Book Antiqua" w:cs="宋体"/>
          <w:b/>
          <w:bCs/>
          <w:color w:val="000000"/>
          <w:sz w:val="21"/>
          <w:szCs w:val="21"/>
        </w:rPr>
        <w:t>Fishman JA</w:t>
      </w:r>
      <w:r w:rsidRPr="009B1AD9">
        <w:rPr>
          <w:rFonts w:ascii="Book Antiqua" w:eastAsia="宋体" w:hAnsi="Book Antiqua" w:cs="宋体"/>
          <w:color w:val="000000"/>
          <w:sz w:val="21"/>
          <w:szCs w:val="21"/>
        </w:rPr>
        <w:t>. Overview: cytomegalovirus and the herpesviruses in transplantation. </w:t>
      </w:r>
      <w:r w:rsidRPr="009B1AD9">
        <w:rPr>
          <w:rFonts w:ascii="Book Antiqua" w:eastAsia="宋体" w:hAnsi="Book Antiqua" w:cs="宋体"/>
          <w:i/>
          <w:iCs/>
          <w:color w:val="000000"/>
          <w:sz w:val="21"/>
          <w:szCs w:val="21"/>
        </w:rPr>
        <w:t>Am J Transplant</w:t>
      </w:r>
      <w:r w:rsidRPr="009B1AD9">
        <w:rPr>
          <w:rFonts w:ascii="Book Antiqua" w:eastAsia="宋体" w:hAnsi="Book Antiqua" w:cs="宋体"/>
          <w:color w:val="000000"/>
          <w:sz w:val="21"/>
          <w:szCs w:val="21"/>
        </w:rPr>
        <w:t> 2013; </w:t>
      </w:r>
      <w:r w:rsidRPr="009B1AD9">
        <w:rPr>
          <w:rFonts w:ascii="Book Antiqua" w:eastAsia="宋体" w:hAnsi="Book Antiqua" w:cs="宋体"/>
          <w:b/>
          <w:bCs/>
          <w:color w:val="000000"/>
          <w:sz w:val="21"/>
          <w:szCs w:val="21"/>
        </w:rPr>
        <w:t xml:space="preserve">13 </w:t>
      </w:r>
      <w:r w:rsidRPr="009B1AD9">
        <w:rPr>
          <w:rFonts w:ascii="Book Antiqua" w:eastAsia="宋体" w:hAnsi="Book Antiqua" w:cs="宋体"/>
          <w:bCs/>
          <w:color w:val="000000"/>
          <w:sz w:val="21"/>
          <w:szCs w:val="21"/>
        </w:rPr>
        <w:t>Suppl 3</w:t>
      </w:r>
      <w:r w:rsidRPr="009B1AD9">
        <w:rPr>
          <w:rFonts w:ascii="Book Antiqua" w:eastAsia="宋体" w:hAnsi="Book Antiqua" w:cs="宋体"/>
          <w:color w:val="000000"/>
          <w:sz w:val="21"/>
          <w:szCs w:val="21"/>
        </w:rPr>
        <w:t>: 1-8; quiz 8 [PMID: 23347210 DOI: 10.1111/ajt.12002]</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5 </w:t>
      </w:r>
      <w:r w:rsidRPr="009B1AD9">
        <w:rPr>
          <w:rFonts w:ascii="Book Antiqua" w:eastAsia="宋体" w:hAnsi="Book Antiqua" w:cs="宋体"/>
          <w:b/>
          <w:bCs/>
          <w:color w:val="000000"/>
          <w:sz w:val="21"/>
          <w:szCs w:val="21"/>
        </w:rPr>
        <w:t>Ljungman P</w:t>
      </w:r>
      <w:r w:rsidRPr="009B1AD9">
        <w:rPr>
          <w:rFonts w:ascii="Book Antiqua" w:eastAsia="宋体" w:hAnsi="Book Antiqua" w:cs="宋体"/>
          <w:color w:val="000000"/>
          <w:sz w:val="21"/>
          <w:szCs w:val="21"/>
        </w:rPr>
        <w:t>, Griffiths P, Paya C. Definitions of cytomegalovirus infection and disease in transplant recipients. </w:t>
      </w:r>
      <w:r w:rsidRPr="009B1AD9">
        <w:rPr>
          <w:rFonts w:ascii="Book Antiqua" w:eastAsia="宋体" w:hAnsi="Book Antiqua" w:cs="宋体"/>
          <w:i/>
          <w:iCs/>
          <w:color w:val="000000"/>
          <w:sz w:val="21"/>
          <w:szCs w:val="21"/>
        </w:rPr>
        <w:t>Clin Infect Dis</w:t>
      </w:r>
      <w:r w:rsidRPr="009B1AD9">
        <w:rPr>
          <w:rFonts w:ascii="Book Antiqua" w:eastAsia="宋体" w:hAnsi="Book Antiqua" w:cs="宋体"/>
          <w:color w:val="000000"/>
          <w:sz w:val="21"/>
          <w:szCs w:val="21"/>
        </w:rPr>
        <w:t> 2002; </w:t>
      </w:r>
      <w:r w:rsidRPr="009B1AD9">
        <w:rPr>
          <w:rFonts w:ascii="Book Antiqua" w:eastAsia="宋体" w:hAnsi="Book Antiqua" w:cs="宋体"/>
          <w:b/>
          <w:bCs/>
          <w:color w:val="000000"/>
          <w:sz w:val="21"/>
          <w:szCs w:val="21"/>
        </w:rPr>
        <w:t>34</w:t>
      </w:r>
      <w:r w:rsidRPr="009B1AD9">
        <w:rPr>
          <w:rFonts w:ascii="Book Antiqua" w:eastAsia="宋体" w:hAnsi="Book Antiqua" w:cs="宋体"/>
          <w:color w:val="000000"/>
          <w:sz w:val="21"/>
          <w:szCs w:val="21"/>
        </w:rPr>
        <w:t>: 1094-1097 [PMID: 11914998 DOI: 10.1086/339329]</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6 </w:t>
      </w:r>
      <w:r w:rsidRPr="009B1AD9">
        <w:rPr>
          <w:rFonts w:ascii="Book Antiqua" w:eastAsia="宋体" w:hAnsi="Book Antiqua" w:cs="宋体"/>
          <w:b/>
          <w:bCs/>
          <w:color w:val="000000"/>
          <w:sz w:val="21"/>
          <w:szCs w:val="21"/>
        </w:rPr>
        <w:t>Tashiro Y</w:t>
      </w:r>
      <w:r w:rsidRPr="009B1AD9">
        <w:rPr>
          <w:rFonts w:ascii="Book Antiqua" w:eastAsia="宋体" w:hAnsi="Book Antiqua" w:cs="宋体"/>
          <w:color w:val="000000"/>
          <w:sz w:val="21"/>
          <w:szCs w:val="21"/>
        </w:rPr>
        <w:t>, Goto M, Takemoto Y, Sato E, Shirahama H, Utsunomiya A, Eizuru Y, Yonezawa S. Epstein-Barr virus-associated enteritis with multiple ulcers after stem cell transplantation: first histologically confirmed case. </w:t>
      </w:r>
      <w:r w:rsidRPr="009B1AD9">
        <w:rPr>
          <w:rFonts w:ascii="Book Antiqua" w:eastAsia="宋体" w:hAnsi="Book Antiqua" w:cs="宋体"/>
          <w:i/>
          <w:iCs/>
          <w:color w:val="000000"/>
          <w:sz w:val="21"/>
          <w:szCs w:val="21"/>
        </w:rPr>
        <w:t>Pathol Int</w:t>
      </w:r>
      <w:r w:rsidRPr="009B1AD9">
        <w:rPr>
          <w:rFonts w:ascii="Book Antiqua" w:eastAsia="宋体" w:hAnsi="Book Antiqua" w:cs="宋体"/>
          <w:color w:val="000000"/>
          <w:sz w:val="21"/>
          <w:szCs w:val="21"/>
        </w:rPr>
        <w:t> 2006; </w:t>
      </w:r>
      <w:r w:rsidRPr="009B1AD9">
        <w:rPr>
          <w:rFonts w:ascii="Book Antiqua" w:eastAsia="宋体" w:hAnsi="Book Antiqua" w:cs="宋体"/>
          <w:b/>
          <w:bCs/>
          <w:color w:val="000000"/>
          <w:sz w:val="21"/>
          <w:szCs w:val="21"/>
        </w:rPr>
        <w:t>56</w:t>
      </w:r>
      <w:r w:rsidRPr="009B1AD9">
        <w:rPr>
          <w:rFonts w:ascii="Book Antiqua" w:eastAsia="宋体" w:hAnsi="Book Antiqua" w:cs="宋体"/>
          <w:color w:val="000000"/>
          <w:sz w:val="21"/>
          <w:szCs w:val="21"/>
        </w:rPr>
        <w:t>: 530-537 [PMID: 16930333 DOI: 10.1111/j.1440-1827.2006.02001.x]</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7 </w:t>
      </w:r>
      <w:r w:rsidRPr="009B1AD9">
        <w:rPr>
          <w:rFonts w:ascii="Book Antiqua" w:eastAsia="宋体" w:hAnsi="Book Antiqua" w:cs="宋体"/>
          <w:b/>
          <w:bCs/>
          <w:color w:val="000000"/>
          <w:sz w:val="21"/>
          <w:szCs w:val="21"/>
        </w:rPr>
        <w:t>Beaugerie L</w:t>
      </w:r>
      <w:r w:rsidRPr="009B1AD9">
        <w:rPr>
          <w:rFonts w:ascii="Book Antiqua" w:eastAsia="宋体" w:hAnsi="Book Antiqua" w:cs="宋体"/>
          <w:color w:val="000000"/>
          <w:sz w:val="21"/>
          <w:szCs w:val="21"/>
        </w:rPr>
        <w:t>, Sokol H, Seksik P. Noncolorectal malignancies in inflammatory bowel disease: more than meets the eye. </w:t>
      </w:r>
      <w:r w:rsidRPr="009B1AD9">
        <w:rPr>
          <w:rFonts w:ascii="Book Antiqua" w:eastAsia="宋体" w:hAnsi="Book Antiqua" w:cs="宋体"/>
          <w:i/>
          <w:iCs/>
          <w:color w:val="000000"/>
          <w:sz w:val="21"/>
          <w:szCs w:val="21"/>
        </w:rPr>
        <w:t>Dig Dis</w:t>
      </w:r>
      <w:r w:rsidRPr="009B1AD9">
        <w:rPr>
          <w:rFonts w:ascii="Book Antiqua" w:eastAsia="宋体" w:hAnsi="Book Antiqua" w:cs="宋体"/>
          <w:color w:val="000000"/>
          <w:sz w:val="21"/>
          <w:szCs w:val="21"/>
        </w:rPr>
        <w:t> 2009; </w:t>
      </w:r>
      <w:r w:rsidRPr="009B1AD9">
        <w:rPr>
          <w:rFonts w:ascii="Book Antiqua" w:eastAsia="宋体" w:hAnsi="Book Antiqua" w:cs="宋体"/>
          <w:b/>
          <w:bCs/>
          <w:color w:val="000000"/>
          <w:sz w:val="21"/>
          <w:szCs w:val="21"/>
        </w:rPr>
        <w:t>27</w:t>
      </w:r>
      <w:r w:rsidRPr="009B1AD9">
        <w:rPr>
          <w:rFonts w:ascii="Book Antiqua" w:eastAsia="宋体" w:hAnsi="Book Antiqua" w:cs="宋体"/>
          <w:color w:val="000000"/>
          <w:sz w:val="21"/>
          <w:szCs w:val="21"/>
        </w:rPr>
        <w:t>: 375-381 [PMID: 19786768 DOI: 10.1159/000228577]</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8 </w:t>
      </w:r>
      <w:r w:rsidRPr="009B1AD9">
        <w:rPr>
          <w:rFonts w:ascii="Book Antiqua" w:eastAsia="宋体" w:hAnsi="Book Antiqua" w:cs="宋体"/>
          <w:b/>
          <w:bCs/>
          <w:color w:val="000000"/>
          <w:sz w:val="21"/>
          <w:szCs w:val="21"/>
        </w:rPr>
        <w:t>Green M</w:t>
      </w:r>
      <w:r w:rsidRPr="009B1AD9">
        <w:rPr>
          <w:rFonts w:ascii="Book Antiqua" w:eastAsia="宋体" w:hAnsi="Book Antiqua" w:cs="宋体"/>
          <w:color w:val="000000"/>
          <w:sz w:val="21"/>
          <w:szCs w:val="21"/>
        </w:rPr>
        <w:t>, Michaels MG. Epstein-Barr virus infection and posttransplant lymphoproliferative disorder. </w:t>
      </w:r>
      <w:r w:rsidRPr="009B1AD9">
        <w:rPr>
          <w:rFonts w:ascii="Book Antiqua" w:eastAsia="宋体" w:hAnsi="Book Antiqua" w:cs="宋体"/>
          <w:i/>
          <w:iCs/>
          <w:color w:val="000000"/>
          <w:sz w:val="21"/>
          <w:szCs w:val="21"/>
        </w:rPr>
        <w:t>Am J Transplant</w:t>
      </w:r>
      <w:r w:rsidRPr="009B1AD9">
        <w:rPr>
          <w:rFonts w:ascii="Book Antiqua" w:eastAsia="宋体" w:hAnsi="Book Antiqua" w:cs="宋体"/>
          <w:color w:val="000000"/>
          <w:sz w:val="21"/>
          <w:szCs w:val="21"/>
        </w:rPr>
        <w:t> 2013; </w:t>
      </w:r>
      <w:r w:rsidRPr="009B1AD9">
        <w:rPr>
          <w:rFonts w:ascii="Book Antiqua" w:eastAsia="宋体" w:hAnsi="Book Antiqua" w:cs="宋体"/>
          <w:b/>
          <w:bCs/>
          <w:color w:val="000000"/>
          <w:sz w:val="21"/>
          <w:szCs w:val="21"/>
        </w:rPr>
        <w:t xml:space="preserve">13 </w:t>
      </w:r>
      <w:r w:rsidRPr="009B1AD9">
        <w:rPr>
          <w:rFonts w:ascii="Book Antiqua" w:eastAsia="宋体" w:hAnsi="Book Antiqua" w:cs="宋体"/>
          <w:bCs/>
          <w:color w:val="000000"/>
          <w:sz w:val="21"/>
          <w:szCs w:val="21"/>
        </w:rPr>
        <w:t>Suppl 3</w:t>
      </w:r>
      <w:r w:rsidRPr="009B1AD9">
        <w:rPr>
          <w:rFonts w:ascii="Book Antiqua" w:eastAsia="宋体" w:hAnsi="Book Antiqua" w:cs="宋体"/>
          <w:color w:val="000000"/>
          <w:sz w:val="21"/>
          <w:szCs w:val="21"/>
        </w:rPr>
        <w:t>: 41-54; quiz 54 [PMID: 23347213 DOI: 10.1111/ajt.12004]</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9 </w:t>
      </w:r>
      <w:r w:rsidRPr="009B1AD9">
        <w:rPr>
          <w:rFonts w:ascii="Book Antiqua" w:eastAsia="宋体" w:hAnsi="Book Antiqua" w:cs="宋体"/>
          <w:b/>
          <w:bCs/>
          <w:color w:val="000000"/>
          <w:sz w:val="21"/>
          <w:szCs w:val="21"/>
        </w:rPr>
        <w:t>Rosado FG</w:t>
      </w:r>
      <w:r w:rsidRPr="009B1AD9">
        <w:rPr>
          <w:rFonts w:ascii="Book Antiqua" w:eastAsia="宋体" w:hAnsi="Book Antiqua" w:cs="宋体"/>
          <w:color w:val="000000"/>
          <w:sz w:val="21"/>
          <w:szCs w:val="21"/>
        </w:rPr>
        <w:t>, Kim AS. Hemophagocytic lymphohistiocytosis: an update on diagnosis and pathogenesis. </w:t>
      </w:r>
      <w:r w:rsidRPr="009B1AD9">
        <w:rPr>
          <w:rFonts w:ascii="Book Antiqua" w:eastAsia="宋体" w:hAnsi="Book Antiqua" w:cs="宋体"/>
          <w:i/>
          <w:iCs/>
          <w:color w:val="000000"/>
          <w:sz w:val="21"/>
          <w:szCs w:val="21"/>
        </w:rPr>
        <w:t>Am J Clin Pathol</w:t>
      </w:r>
      <w:r w:rsidRPr="009B1AD9">
        <w:rPr>
          <w:rFonts w:ascii="Book Antiqua" w:eastAsia="宋体" w:hAnsi="Book Antiqua" w:cs="宋体"/>
          <w:color w:val="000000"/>
          <w:sz w:val="21"/>
          <w:szCs w:val="21"/>
        </w:rPr>
        <w:t> 2013; </w:t>
      </w:r>
      <w:r w:rsidRPr="009B1AD9">
        <w:rPr>
          <w:rFonts w:ascii="Book Antiqua" w:eastAsia="宋体" w:hAnsi="Book Antiqua" w:cs="宋体"/>
          <w:b/>
          <w:bCs/>
          <w:color w:val="000000"/>
          <w:sz w:val="21"/>
          <w:szCs w:val="21"/>
        </w:rPr>
        <w:t>139</w:t>
      </w:r>
      <w:r w:rsidRPr="009B1AD9">
        <w:rPr>
          <w:rFonts w:ascii="Book Antiqua" w:eastAsia="宋体" w:hAnsi="Book Antiqua" w:cs="宋体"/>
          <w:color w:val="000000"/>
          <w:sz w:val="21"/>
          <w:szCs w:val="21"/>
        </w:rPr>
        <w:t>: 713-727 [PMID: 23690113 DOI: 10.1309/AJCP4ZDKJ4ICOUAT]</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10 </w:t>
      </w:r>
      <w:r w:rsidRPr="009B1AD9">
        <w:rPr>
          <w:rFonts w:ascii="Book Antiqua" w:eastAsia="宋体" w:hAnsi="Book Antiqua" w:cs="宋体"/>
          <w:b/>
          <w:bCs/>
          <w:color w:val="000000"/>
          <w:sz w:val="21"/>
          <w:szCs w:val="21"/>
        </w:rPr>
        <w:t>Hommes DW</w:t>
      </w:r>
      <w:r w:rsidRPr="009B1AD9">
        <w:rPr>
          <w:rFonts w:ascii="Book Antiqua" w:eastAsia="宋体" w:hAnsi="Book Antiqua" w:cs="宋体"/>
          <w:color w:val="000000"/>
          <w:sz w:val="21"/>
          <w:szCs w:val="21"/>
        </w:rPr>
        <w:t>, Sterringa G, van Deventer SJ, Tytgat GN, Weel J. The pathogenicity of cytomegalovirus in inflammatory bowel disease: a systematic review and evidence-based recommendations for future research. </w:t>
      </w:r>
      <w:r w:rsidRPr="009B1AD9">
        <w:rPr>
          <w:rFonts w:ascii="Book Antiqua" w:eastAsia="宋体" w:hAnsi="Book Antiqua" w:cs="宋体"/>
          <w:i/>
          <w:iCs/>
          <w:color w:val="000000"/>
          <w:sz w:val="21"/>
          <w:szCs w:val="21"/>
        </w:rPr>
        <w:t>Inflamm Bowel Dis</w:t>
      </w:r>
      <w:r w:rsidRPr="009B1AD9">
        <w:rPr>
          <w:rFonts w:ascii="Book Antiqua" w:eastAsia="宋体" w:hAnsi="Book Antiqua" w:cs="宋体"/>
          <w:color w:val="000000"/>
          <w:sz w:val="21"/>
          <w:szCs w:val="21"/>
        </w:rPr>
        <w:t> 2004; </w:t>
      </w:r>
      <w:r w:rsidRPr="009B1AD9">
        <w:rPr>
          <w:rFonts w:ascii="Book Antiqua" w:eastAsia="宋体" w:hAnsi="Book Antiqua" w:cs="宋体"/>
          <w:b/>
          <w:bCs/>
          <w:color w:val="000000"/>
          <w:sz w:val="21"/>
          <w:szCs w:val="21"/>
        </w:rPr>
        <w:t>10</w:t>
      </w:r>
      <w:r w:rsidRPr="009B1AD9">
        <w:rPr>
          <w:rFonts w:ascii="Book Antiqua" w:eastAsia="宋体" w:hAnsi="Book Antiqua" w:cs="宋体"/>
          <w:color w:val="000000"/>
          <w:sz w:val="21"/>
          <w:szCs w:val="21"/>
        </w:rPr>
        <w:t>: 245-250 [PMID: 15290919 DOI: 10.1097/00054725-200405000-00011]</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11 </w:t>
      </w:r>
      <w:r w:rsidRPr="009B1AD9">
        <w:rPr>
          <w:rFonts w:ascii="Book Antiqua" w:eastAsia="宋体" w:hAnsi="Book Antiqua" w:cs="宋体"/>
          <w:b/>
          <w:bCs/>
          <w:color w:val="000000"/>
          <w:sz w:val="21"/>
          <w:szCs w:val="21"/>
        </w:rPr>
        <w:t>Lawlor G</w:t>
      </w:r>
      <w:r w:rsidRPr="009B1AD9">
        <w:rPr>
          <w:rFonts w:ascii="Book Antiqua" w:eastAsia="宋体" w:hAnsi="Book Antiqua" w:cs="宋体"/>
          <w:color w:val="000000"/>
          <w:sz w:val="21"/>
          <w:szCs w:val="21"/>
        </w:rPr>
        <w:t>, Moss AC. Cytomegalovirus in inflammatory bowel disease: pathogen or innocent bystander? </w:t>
      </w:r>
      <w:r w:rsidRPr="009B1AD9">
        <w:rPr>
          <w:rFonts w:ascii="Book Antiqua" w:eastAsia="宋体" w:hAnsi="Book Antiqua" w:cs="宋体"/>
          <w:i/>
          <w:iCs/>
          <w:color w:val="000000"/>
          <w:sz w:val="21"/>
          <w:szCs w:val="21"/>
        </w:rPr>
        <w:t>Inflamm Bowel Dis</w:t>
      </w:r>
      <w:r w:rsidRPr="009B1AD9">
        <w:rPr>
          <w:rFonts w:ascii="Book Antiqua" w:eastAsia="宋体" w:hAnsi="Book Antiqua" w:cs="宋体"/>
          <w:color w:val="000000"/>
          <w:sz w:val="21"/>
          <w:szCs w:val="21"/>
        </w:rPr>
        <w:t> 2010; </w:t>
      </w:r>
      <w:r w:rsidRPr="009B1AD9">
        <w:rPr>
          <w:rFonts w:ascii="Book Antiqua" w:eastAsia="宋体" w:hAnsi="Book Antiqua" w:cs="宋体"/>
          <w:b/>
          <w:bCs/>
          <w:color w:val="000000"/>
          <w:sz w:val="21"/>
          <w:szCs w:val="21"/>
        </w:rPr>
        <w:t>16</w:t>
      </w:r>
      <w:r w:rsidRPr="009B1AD9">
        <w:rPr>
          <w:rFonts w:ascii="Book Antiqua" w:eastAsia="宋体" w:hAnsi="Book Antiqua" w:cs="宋体"/>
          <w:color w:val="000000"/>
          <w:sz w:val="21"/>
          <w:szCs w:val="21"/>
        </w:rPr>
        <w:t>: 1620-1627 [PMID: 20232408 DOI: 10.1002/ibd.21275]</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lastRenderedPageBreak/>
        <w:t>12 </w:t>
      </w:r>
      <w:r w:rsidRPr="009B1AD9">
        <w:rPr>
          <w:rFonts w:ascii="Book Antiqua" w:eastAsia="宋体" w:hAnsi="Book Antiqua" w:cs="宋体"/>
          <w:b/>
          <w:bCs/>
          <w:color w:val="000000"/>
          <w:sz w:val="21"/>
          <w:szCs w:val="21"/>
        </w:rPr>
        <w:t>Van Assche G</w:t>
      </w:r>
      <w:r w:rsidRPr="009B1AD9">
        <w:rPr>
          <w:rFonts w:ascii="Book Antiqua" w:eastAsia="宋体" w:hAnsi="Book Antiqua" w:cs="宋体"/>
          <w:color w:val="000000"/>
          <w:sz w:val="21"/>
          <w:szCs w:val="21"/>
        </w:rPr>
        <w:t>, Dignass A, Panes J, Beaugerie L, Karagiannis J, Allez M, Ochsenkühn T, Orchard T, Rogler G, Louis E, Kupcinskas L, Mantzaris G, Travis S, Stange E. The second European evidence-based Consensus on the diagnosis and management of Crohn's disease: Definitions and diagnosis. </w:t>
      </w:r>
      <w:r w:rsidRPr="009B1AD9">
        <w:rPr>
          <w:rFonts w:ascii="Book Antiqua" w:eastAsia="宋体" w:hAnsi="Book Antiqua" w:cs="宋体"/>
          <w:i/>
          <w:iCs/>
          <w:color w:val="000000"/>
          <w:sz w:val="21"/>
          <w:szCs w:val="21"/>
        </w:rPr>
        <w:t>J Crohns Colitis</w:t>
      </w:r>
      <w:r w:rsidRPr="009B1AD9">
        <w:rPr>
          <w:rFonts w:ascii="Book Antiqua" w:eastAsia="宋体" w:hAnsi="Book Antiqua" w:cs="宋体"/>
          <w:color w:val="000000"/>
          <w:sz w:val="21"/>
          <w:szCs w:val="21"/>
        </w:rPr>
        <w:t> 2010; </w:t>
      </w:r>
      <w:r w:rsidRPr="009B1AD9">
        <w:rPr>
          <w:rFonts w:ascii="Book Antiqua" w:eastAsia="宋体" w:hAnsi="Book Antiqua" w:cs="宋体"/>
          <w:b/>
          <w:bCs/>
          <w:color w:val="000000"/>
          <w:sz w:val="21"/>
          <w:szCs w:val="21"/>
        </w:rPr>
        <w:t>4</w:t>
      </w:r>
      <w:r w:rsidRPr="009B1AD9">
        <w:rPr>
          <w:rFonts w:ascii="Book Antiqua" w:eastAsia="宋体" w:hAnsi="Book Antiqua" w:cs="宋体"/>
          <w:color w:val="000000"/>
          <w:sz w:val="21"/>
          <w:szCs w:val="21"/>
        </w:rPr>
        <w:t>: 7-27 [PMID: 21122488 DOI: 10.1016/j.crohns.2009.12.003]</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13 </w:t>
      </w:r>
      <w:r w:rsidRPr="009B1AD9">
        <w:rPr>
          <w:rFonts w:ascii="Book Antiqua" w:eastAsia="宋体" w:hAnsi="Book Antiqua" w:cs="宋体"/>
          <w:b/>
          <w:bCs/>
          <w:color w:val="000000"/>
          <w:sz w:val="21"/>
          <w:szCs w:val="21"/>
        </w:rPr>
        <w:t>Dignass A</w:t>
      </w:r>
      <w:r w:rsidRPr="009B1AD9">
        <w:rPr>
          <w:rFonts w:ascii="Book Antiqua" w:eastAsia="宋体" w:hAnsi="Book Antiqua" w:cs="宋体"/>
          <w:color w:val="000000"/>
          <w:sz w:val="21"/>
          <w:szCs w:val="21"/>
        </w:rPr>
        <w:t>, Eliakim R, Magro F, Maaser C, Chowers Y, Geboes K, Mantzaris G, Reinisch W, Colombel JF, Vermeire S, Travis S, Lindsay JO, Van Assche G. Second European evidence-based consensus on the diagnosis and management of ulcerative colitis part 1: definitions and diagnosis. </w:t>
      </w:r>
      <w:r w:rsidRPr="009B1AD9">
        <w:rPr>
          <w:rFonts w:ascii="Book Antiqua" w:eastAsia="宋体" w:hAnsi="Book Antiqua" w:cs="宋体"/>
          <w:i/>
          <w:iCs/>
          <w:color w:val="000000"/>
          <w:sz w:val="21"/>
          <w:szCs w:val="21"/>
        </w:rPr>
        <w:t>J Crohns Colitis</w:t>
      </w:r>
      <w:r w:rsidRPr="009B1AD9">
        <w:rPr>
          <w:rFonts w:ascii="Book Antiqua" w:eastAsia="宋体" w:hAnsi="Book Antiqua" w:cs="宋体"/>
          <w:color w:val="000000"/>
          <w:sz w:val="21"/>
          <w:szCs w:val="21"/>
        </w:rPr>
        <w:t> 2012; </w:t>
      </w:r>
      <w:r w:rsidRPr="009B1AD9">
        <w:rPr>
          <w:rFonts w:ascii="Book Antiqua" w:eastAsia="宋体" w:hAnsi="Book Antiqua" w:cs="宋体"/>
          <w:b/>
          <w:bCs/>
          <w:color w:val="000000"/>
          <w:sz w:val="21"/>
          <w:szCs w:val="21"/>
        </w:rPr>
        <w:t>6</w:t>
      </w:r>
      <w:r w:rsidRPr="009B1AD9">
        <w:rPr>
          <w:rFonts w:ascii="Book Antiqua" w:eastAsia="宋体" w:hAnsi="Book Antiqua" w:cs="宋体"/>
          <w:color w:val="000000"/>
          <w:sz w:val="21"/>
          <w:szCs w:val="21"/>
        </w:rPr>
        <w:t>: 965-990 [PMID: 23040452 DOI: 10.1016/j.crohns.2012.09.003]</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14 </w:t>
      </w:r>
      <w:r w:rsidRPr="009B1AD9">
        <w:rPr>
          <w:rFonts w:ascii="Book Antiqua" w:eastAsia="宋体" w:hAnsi="Book Antiqua" w:cs="宋体"/>
          <w:b/>
          <w:bCs/>
          <w:color w:val="000000"/>
          <w:sz w:val="21"/>
          <w:szCs w:val="21"/>
        </w:rPr>
        <w:t>Yanai H</w:t>
      </w:r>
      <w:r w:rsidRPr="009B1AD9">
        <w:rPr>
          <w:rFonts w:ascii="Book Antiqua" w:eastAsia="宋体" w:hAnsi="Book Antiqua" w:cs="宋体"/>
          <w:color w:val="000000"/>
          <w:sz w:val="21"/>
          <w:szCs w:val="21"/>
        </w:rPr>
        <w:t>, Hanauer SB. Assessing response and loss of response to biological therapies in IBD. </w:t>
      </w:r>
      <w:r w:rsidRPr="009B1AD9">
        <w:rPr>
          <w:rFonts w:ascii="Book Antiqua" w:eastAsia="宋体" w:hAnsi="Book Antiqua" w:cs="宋体"/>
          <w:i/>
          <w:iCs/>
          <w:color w:val="000000"/>
          <w:sz w:val="21"/>
          <w:szCs w:val="21"/>
        </w:rPr>
        <w:t>Am J Gastroenterol</w:t>
      </w:r>
      <w:r w:rsidRPr="009B1AD9">
        <w:rPr>
          <w:rFonts w:ascii="Book Antiqua" w:eastAsia="宋体" w:hAnsi="Book Antiqua" w:cs="宋体"/>
          <w:color w:val="000000"/>
          <w:sz w:val="21"/>
          <w:szCs w:val="21"/>
        </w:rPr>
        <w:t> 2011; </w:t>
      </w:r>
      <w:r w:rsidRPr="009B1AD9">
        <w:rPr>
          <w:rFonts w:ascii="Book Antiqua" w:eastAsia="宋体" w:hAnsi="Book Antiqua" w:cs="宋体"/>
          <w:b/>
          <w:bCs/>
          <w:color w:val="000000"/>
          <w:sz w:val="21"/>
          <w:szCs w:val="21"/>
        </w:rPr>
        <w:t>106</w:t>
      </w:r>
      <w:r w:rsidRPr="009B1AD9">
        <w:rPr>
          <w:rFonts w:ascii="Book Antiqua" w:eastAsia="宋体" w:hAnsi="Book Antiqua" w:cs="宋体"/>
          <w:color w:val="000000"/>
          <w:sz w:val="21"/>
          <w:szCs w:val="21"/>
        </w:rPr>
        <w:t>: 685-698 [PMID: 21427713 DOI: 10.1038/ajg.2011.103]</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15 </w:t>
      </w:r>
      <w:r w:rsidRPr="009B1AD9">
        <w:rPr>
          <w:rFonts w:ascii="Book Antiqua" w:eastAsia="宋体" w:hAnsi="Book Antiqua" w:cs="宋体"/>
          <w:b/>
          <w:bCs/>
          <w:color w:val="000000"/>
          <w:sz w:val="21"/>
          <w:szCs w:val="21"/>
        </w:rPr>
        <w:t>Bradford K</w:t>
      </w:r>
      <w:r w:rsidRPr="009B1AD9">
        <w:rPr>
          <w:rFonts w:ascii="Book Antiqua" w:eastAsia="宋体" w:hAnsi="Book Antiqua" w:cs="宋体"/>
          <w:color w:val="000000"/>
          <w:sz w:val="21"/>
          <w:szCs w:val="21"/>
        </w:rPr>
        <w:t>, Shih DQ. Optimizing 6-mercaptopurine and azathioprine therapy in the management of inflammatory bowel disease. </w:t>
      </w:r>
      <w:r w:rsidRPr="009B1AD9">
        <w:rPr>
          <w:rFonts w:ascii="Book Antiqua" w:eastAsia="宋体" w:hAnsi="Book Antiqua" w:cs="宋体"/>
          <w:i/>
          <w:iCs/>
          <w:color w:val="000000"/>
          <w:sz w:val="21"/>
          <w:szCs w:val="21"/>
        </w:rPr>
        <w:t>World J Gastroenterol</w:t>
      </w:r>
      <w:r w:rsidRPr="009B1AD9">
        <w:rPr>
          <w:rFonts w:ascii="Book Antiqua" w:eastAsia="宋体" w:hAnsi="Book Antiqua" w:cs="宋体"/>
          <w:color w:val="000000"/>
          <w:sz w:val="21"/>
          <w:szCs w:val="21"/>
        </w:rPr>
        <w:t> 2011; </w:t>
      </w:r>
      <w:r w:rsidRPr="009B1AD9">
        <w:rPr>
          <w:rFonts w:ascii="Book Antiqua" w:eastAsia="宋体" w:hAnsi="Book Antiqua" w:cs="宋体"/>
          <w:b/>
          <w:bCs/>
          <w:color w:val="000000"/>
          <w:sz w:val="21"/>
          <w:szCs w:val="21"/>
        </w:rPr>
        <w:t>17</w:t>
      </w:r>
      <w:r w:rsidRPr="009B1AD9">
        <w:rPr>
          <w:rFonts w:ascii="Book Antiqua" w:eastAsia="宋体" w:hAnsi="Book Antiqua" w:cs="宋体"/>
          <w:color w:val="000000"/>
          <w:sz w:val="21"/>
          <w:szCs w:val="21"/>
        </w:rPr>
        <w:t>: 4166-4173 [PMID: 22072847 DOI: 10.3748/wjg.v17.i37.4166]</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16 </w:t>
      </w:r>
      <w:r w:rsidRPr="009B1AD9">
        <w:rPr>
          <w:rFonts w:ascii="Book Antiqua" w:eastAsia="宋体" w:hAnsi="Book Antiqua" w:cs="宋体"/>
          <w:b/>
          <w:bCs/>
          <w:color w:val="000000"/>
          <w:sz w:val="21"/>
          <w:szCs w:val="21"/>
        </w:rPr>
        <w:t>Satsangi J</w:t>
      </w:r>
      <w:r w:rsidRPr="009B1AD9">
        <w:rPr>
          <w:rFonts w:ascii="Book Antiqua" w:eastAsia="宋体" w:hAnsi="Book Antiqua" w:cs="宋体"/>
          <w:color w:val="000000"/>
          <w:sz w:val="21"/>
          <w:szCs w:val="21"/>
        </w:rPr>
        <w:t>, Silverberg MS, Vermeire S, Colombel JF. The Montreal classification of inflammatory bowel disease: controversies, consensus, and implications. </w:t>
      </w:r>
      <w:r w:rsidRPr="009B1AD9">
        <w:rPr>
          <w:rFonts w:ascii="Book Antiqua" w:eastAsia="宋体" w:hAnsi="Book Antiqua" w:cs="宋体"/>
          <w:i/>
          <w:iCs/>
          <w:color w:val="000000"/>
          <w:sz w:val="21"/>
          <w:szCs w:val="21"/>
        </w:rPr>
        <w:t>Gut</w:t>
      </w:r>
      <w:r w:rsidRPr="009B1AD9">
        <w:rPr>
          <w:rFonts w:ascii="Book Antiqua" w:eastAsia="宋体" w:hAnsi="Book Antiqua" w:cs="宋体"/>
          <w:color w:val="000000"/>
          <w:sz w:val="21"/>
          <w:szCs w:val="21"/>
        </w:rPr>
        <w:t> 2006; </w:t>
      </w:r>
      <w:r w:rsidRPr="009B1AD9">
        <w:rPr>
          <w:rFonts w:ascii="Book Antiqua" w:eastAsia="宋体" w:hAnsi="Book Antiqua" w:cs="宋体"/>
          <w:b/>
          <w:bCs/>
          <w:color w:val="000000"/>
          <w:sz w:val="21"/>
          <w:szCs w:val="21"/>
        </w:rPr>
        <w:t>55</w:t>
      </w:r>
      <w:r w:rsidRPr="009B1AD9">
        <w:rPr>
          <w:rFonts w:ascii="Book Antiqua" w:eastAsia="宋体" w:hAnsi="Book Antiqua" w:cs="宋体"/>
          <w:color w:val="000000"/>
          <w:sz w:val="21"/>
          <w:szCs w:val="21"/>
        </w:rPr>
        <w:t>: 749-753 [PMID: 16698746 DOI: 10.1136/gut.2005.082909]</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17 </w:t>
      </w:r>
      <w:r w:rsidRPr="009B1AD9">
        <w:rPr>
          <w:rFonts w:ascii="Book Antiqua" w:eastAsia="宋体" w:hAnsi="Book Antiqua" w:cs="宋体"/>
          <w:b/>
          <w:bCs/>
          <w:color w:val="000000"/>
          <w:sz w:val="21"/>
          <w:szCs w:val="21"/>
        </w:rPr>
        <w:t>Best WR</w:t>
      </w:r>
      <w:r w:rsidRPr="009B1AD9">
        <w:rPr>
          <w:rFonts w:ascii="Book Antiqua" w:eastAsia="宋体" w:hAnsi="Book Antiqua" w:cs="宋体"/>
          <w:color w:val="000000"/>
          <w:sz w:val="21"/>
          <w:szCs w:val="21"/>
        </w:rPr>
        <w:t>, Becktel JM, Singleton JW, Kern F. Development of a Crohn's disease activity index. National Cooperative Crohn's Disease Study. </w:t>
      </w:r>
      <w:r w:rsidRPr="009B1AD9">
        <w:rPr>
          <w:rFonts w:ascii="Book Antiqua" w:eastAsia="宋体" w:hAnsi="Book Antiqua" w:cs="宋体"/>
          <w:i/>
          <w:iCs/>
          <w:color w:val="000000"/>
          <w:sz w:val="21"/>
          <w:szCs w:val="21"/>
        </w:rPr>
        <w:t>Gastroenterology</w:t>
      </w:r>
      <w:r w:rsidRPr="009B1AD9">
        <w:rPr>
          <w:rFonts w:ascii="Book Antiqua" w:eastAsia="宋体" w:hAnsi="Book Antiqua" w:cs="宋体"/>
          <w:color w:val="000000"/>
          <w:sz w:val="21"/>
          <w:szCs w:val="21"/>
        </w:rPr>
        <w:t> 1976; </w:t>
      </w:r>
      <w:r w:rsidRPr="009B1AD9">
        <w:rPr>
          <w:rFonts w:ascii="Book Antiqua" w:eastAsia="宋体" w:hAnsi="Book Antiqua" w:cs="宋体"/>
          <w:b/>
          <w:bCs/>
          <w:color w:val="000000"/>
          <w:sz w:val="21"/>
          <w:szCs w:val="21"/>
        </w:rPr>
        <w:t>70</w:t>
      </w:r>
      <w:r w:rsidRPr="009B1AD9">
        <w:rPr>
          <w:rFonts w:ascii="Book Antiqua" w:eastAsia="宋体" w:hAnsi="Book Antiqua" w:cs="宋体"/>
          <w:color w:val="000000"/>
          <w:sz w:val="21"/>
          <w:szCs w:val="21"/>
        </w:rPr>
        <w:t>: 439-444 [PMID: 1248701]</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18 </w:t>
      </w:r>
      <w:r w:rsidRPr="009B1AD9">
        <w:rPr>
          <w:rFonts w:ascii="Book Antiqua" w:eastAsia="宋体" w:hAnsi="Book Antiqua" w:cs="宋体"/>
          <w:b/>
          <w:bCs/>
          <w:color w:val="000000"/>
          <w:sz w:val="21"/>
          <w:szCs w:val="21"/>
        </w:rPr>
        <w:t>Rachmilewitz D</w:t>
      </w:r>
      <w:r w:rsidRPr="009B1AD9">
        <w:rPr>
          <w:rFonts w:ascii="Book Antiqua" w:eastAsia="宋体" w:hAnsi="Book Antiqua" w:cs="宋体"/>
          <w:color w:val="000000"/>
          <w:sz w:val="21"/>
          <w:szCs w:val="21"/>
        </w:rPr>
        <w:t>. Coated mesalazine (5-aminosalicylic acid) versus sulphasalazine in the treatment of active ulcerative colitis: a randomised trial. </w:t>
      </w:r>
      <w:r w:rsidRPr="009B1AD9">
        <w:rPr>
          <w:rFonts w:ascii="Book Antiqua" w:eastAsia="宋体" w:hAnsi="Book Antiqua" w:cs="宋体"/>
          <w:i/>
          <w:iCs/>
          <w:color w:val="000000"/>
          <w:sz w:val="21"/>
          <w:szCs w:val="21"/>
        </w:rPr>
        <w:t>BMJ</w:t>
      </w:r>
      <w:r w:rsidRPr="009B1AD9">
        <w:rPr>
          <w:rFonts w:ascii="Book Antiqua" w:eastAsia="宋体" w:hAnsi="Book Antiqua" w:cs="宋体"/>
          <w:color w:val="000000"/>
          <w:sz w:val="21"/>
          <w:szCs w:val="21"/>
        </w:rPr>
        <w:t> 1989; </w:t>
      </w:r>
      <w:r w:rsidRPr="009B1AD9">
        <w:rPr>
          <w:rFonts w:ascii="Book Antiqua" w:eastAsia="宋体" w:hAnsi="Book Antiqua" w:cs="宋体"/>
          <w:b/>
          <w:bCs/>
          <w:color w:val="000000"/>
          <w:sz w:val="21"/>
          <w:szCs w:val="21"/>
        </w:rPr>
        <w:t>298</w:t>
      </w:r>
      <w:r w:rsidRPr="009B1AD9">
        <w:rPr>
          <w:rFonts w:ascii="Book Antiqua" w:eastAsia="宋体" w:hAnsi="Book Antiqua" w:cs="宋体"/>
          <w:color w:val="000000"/>
          <w:sz w:val="21"/>
          <w:szCs w:val="21"/>
        </w:rPr>
        <w:t>: 82-86 [PMID: 2563951 DOI: 10.1136/bmj.298.6666.82]</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19 </w:t>
      </w:r>
      <w:r w:rsidRPr="009B1AD9">
        <w:rPr>
          <w:rFonts w:ascii="Book Antiqua" w:eastAsia="宋体" w:hAnsi="Book Antiqua" w:cs="宋体"/>
          <w:b/>
          <w:bCs/>
          <w:color w:val="000000"/>
          <w:sz w:val="21"/>
          <w:szCs w:val="21"/>
        </w:rPr>
        <w:t>Daperno M</w:t>
      </w:r>
      <w:r w:rsidRPr="009B1AD9">
        <w:rPr>
          <w:rFonts w:ascii="Book Antiqua" w:eastAsia="宋体" w:hAnsi="Book Antiqua" w:cs="宋体"/>
          <w:color w:val="000000"/>
          <w:sz w:val="21"/>
          <w:szCs w:val="21"/>
        </w:rPr>
        <w:t>, D'Haens G, Van Assche G, Baert F, Bulois P, Maunoury V, Sostegni R, Rocca R, Pera A, Gevers A, Mary JY, Colombel JF, Rutgeerts P. Development and validation of a new, simplified endoscopic activity score for Crohn's disease: the SES-CD. </w:t>
      </w:r>
      <w:r w:rsidRPr="009B1AD9">
        <w:rPr>
          <w:rFonts w:ascii="Book Antiqua" w:eastAsia="宋体" w:hAnsi="Book Antiqua" w:cs="宋体"/>
          <w:i/>
          <w:iCs/>
          <w:color w:val="000000"/>
          <w:sz w:val="21"/>
          <w:szCs w:val="21"/>
        </w:rPr>
        <w:t>Gastrointest Endosc</w:t>
      </w:r>
      <w:r w:rsidRPr="009B1AD9">
        <w:rPr>
          <w:rFonts w:ascii="Book Antiqua" w:eastAsia="宋体" w:hAnsi="Book Antiqua" w:cs="宋体"/>
          <w:color w:val="000000"/>
          <w:sz w:val="21"/>
          <w:szCs w:val="21"/>
        </w:rPr>
        <w:t> 2004; </w:t>
      </w:r>
      <w:r w:rsidRPr="009B1AD9">
        <w:rPr>
          <w:rFonts w:ascii="Book Antiqua" w:eastAsia="宋体" w:hAnsi="Book Antiqua" w:cs="宋体"/>
          <w:b/>
          <w:bCs/>
          <w:color w:val="000000"/>
          <w:sz w:val="21"/>
          <w:szCs w:val="21"/>
        </w:rPr>
        <w:t>60</w:t>
      </w:r>
      <w:r w:rsidRPr="009B1AD9">
        <w:rPr>
          <w:rFonts w:ascii="Book Antiqua" w:eastAsia="宋体" w:hAnsi="Book Antiqua" w:cs="宋体"/>
          <w:color w:val="000000"/>
          <w:sz w:val="21"/>
          <w:szCs w:val="21"/>
        </w:rPr>
        <w:t>: 505-512 [PMID: 15472670 DOI: 10.1016/S0016-5107(04)01878-4]</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20 </w:t>
      </w:r>
      <w:r w:rsidRPr="009B1AD9">
        <w:rPr>
          <w:rFonts w:ascii="Book Antiqua" w:eastAsia="宋体" w:hAnsi="Book Antiqua" w:cs="宋体"/>
          <w:b/>
          <w:bCs/>
          <w:color w:val="000000"/>
          <w:sz w:val="21"/>
          <w:szCs w:val="21"/>
        </w:rPr>
        <w:t>Baron JH</w:t>
      </w:r>
      <w:r w:rsidRPr="009B1AD9">
        <w:rPr>
          <w:rFonts w:ascii="Book Antiqua" w:eastAsia="宋体" w:hAnsi="Book Antiqua" w:cs="宋体"/>
          <w:color w:val="000000"/>
          <w:sz w:val="21"/>
          <w:szCs w:val="21"/>
        </w:rPr>
        <w:t>, Connell AM, Lennard-Jones JE. Variation Between Observers in Describing Mucosal Appearances in Proctocolitis. </w:t>
      </w:r>
      <w:r w:rsidRPr="009B1AD9">
        <w:rPr>
          <w:rFonts w:ascii="Book Antiqua" w:eastAsia="宋体" w:hAnsi="Book Antiqua" w:cs="宋体"/>
          <w:i/>
          <w:iCs/>
          <w:color w:val="000000"/>
          <w:sz w:val="21"/>
          <w:szCs w:val="21"/>
        </w:rPr>
        <w:t>Br Med J</w:t>
      </w:r>
      <w:r w:rsidRPr="009B1AD9">
        <w:rPr>
          <w:rFonts w:ascii="Book Antiqua" w:eastAsia="宋体" w:hAnsi="Book Antiqua" w:cs="宋体"/>
          <w:color w:val="000000"/>
          <w:sz w:val="21"/>
          <w:szCs w:val="21"/>
        </w:rPr>
        <w:t> 1964; </w:t>
      </w:r>
      <w:r w:rsidRPr="009B1AD9">
        <w:rPr>
          <w:rFonts w:ascii="Book Antiqua" w:eastAsia="宋体" w:hAnsi="Book Antiqua" w:cs="宋体"/>
          <w:b/>
          <w:bCs/>
          <w:color w:val="000000"/>
          <w:sz w:val="21"/>
          <w:szCs w:val="21"/>
        </w:rPr>
        <w:t>1</w:t>
      </w:r>
      <w:r w:rsidRPr="009B1AD9">
        <w:rPr>
          <w:rFonts w:ascii="Book Antiqua" w:eastAsia="宋体" w:hAnsi="Book Antiqua" w:cs="宋体"/>
          <w:color w:val="000000"/>
          <w:sz w:val="21"/>
          <w:szCs w:val="21"/>
        </w:rPr>
        <w:t>: 89-92 [PMID: 14075156 DOI: 10.1136/bmj.1.5375.89]</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21 </w:t>
      </w:r>
      <w:r w:rsidRPr="009B1AD9">
        <w:rPr>
          <w:rFonts w:ascii="Book Antiqua" w:eastAsia="宋体" w:hAnsi="Book Antiqua" w:cs="宋体"/>
          <w:b/>
          <w:bCs/>
          <w:color w:val="000000"/>
          <w:sz w:val="21"/>
          <w:szCs w:val="21"/>
        </w:rPr>
        <w:t>Furione M</w:t>
      </w:r>
      <w:r w:rsidRPr="009B1AD9">
        <w:rPr>
          <w:rFonts w:ascii="Book Antiqua" w:eastAsia="宋体" w:hAnsi="Book Antiqua" w:cs="宋体"/>
          <w:color w:val="000000"/>
          <w:sz w:val="21"/>
          <w:szCs w:val="21"/>
        </w:rPr>
        <w:t>, Rognoni V, Cabano E, Baldanti F. Kinetics of human cytomegalovirus (HCMV) DNAemia in transplanted patients expressed in international units as determined with the Abbott RealTime CMV assay and an in-house assay. </w:t>
      </w:r>
      <w:r w:rsidRPr="009B1AD9">
        <w:rPr>
          <w:rFonts w:ascii="Book Antiqua" w:eastAsia="宋体" w:hAnsi="Book Antiqua" w:cs="宋体"/>
          <w:i/>
          <w:iCs/>
          <w:color w:val="000000"/>
          <w:sz w:val="21"/>
          <w:szCs w:val="21"/>
        </w:rPr>
        <w:t>J Clin Virol</w:t>
      </w:r>
      <w:r w:rsidRPr="009B1AD9">
        <w:rPr>
          <w:rFonts w:ascii="Book Antiqua" w:eastAsia="宋体" w:hAnsi="Book Antiqua" w:cs="宋体"/>
          <w:color w:val="000000"/>
          <w:sz w:val="21"/>
          <w:szCs w:val="21"/>
        </w:rPr>
        <w:t> 2012; </w:t>
      </w:r>
      <w:r w:rsidRPr="009B1AD9">
        <w:rPr>
          <w:rFonts w:ascii="Book Antiqua" w:eastAsia="宋体" w:hAnsi="Book Antiqua" w:cs="宋体"/>
          <w:b/>
          <w:bCs/>
          <w:color w:val="000000"/>
          <w:sz w:val="21"/>
          <w:szCs w:val="21"/>
        </w:rPr>
        <w:t>55</w:t>
      </w:r>
      <w:r w:rsidRPr="009B1AD9">
        <w:rPr>
          <w:rFonts w:ascii="Book Antiqua" w:eastAsia="宋体" w:hAnsi="Book Antiqua" w:cs="宋体"/>
          <w:color w:val="000000"/>
          <w:sz w:val="21"/>
          <w:szCs w:val="21"/>
        </w:rPr>
        <w:t>: 317-322 [PMID: 22989927 DOI: 10.1016/j.jcv.2012.08.017]</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22 </w:t>
      </w:r>
      <w:r w:rsidRPr="009B1AD9">
        <w:rPr>
          <w:rFonts w:ascii="Book Antiqua" w:eastAsia="宋体" w:hAnsi="Book Antiqua" w:cs="宋体"/>
          <w:b/>
          <w:bCs/>
          <w:color w:val="000000"/>
          <w:sz w:val="21"/>
          <w:szCs w:val="21"/>
        </w:rPr>
        <w:t>Watzinger F</w:t>
      </w:r>
      <w:r w:rsidRPr="009B1AD9">
        <w:rPr>
          <w:rFonts w:ascii="Book Antiqua" w:eastAsia="宋体" w:hAnsi="Book Antiqua" w:cs="宋体"/>
          <w:color w:val="000000"/>
          <w:sz w:val="21"/>
          <w:szCs w:val="21"/>
        </w:rPr>
        <w:t>, Suda M, Preuner S, Baumgartinger R, Ebner K, Baskova L, Niesters HG, Lawitschka A, Lion T. Real-time quantitative PCR assays for detection and monitoring of pathogenic human viruses in immunosuppressed pediatric patients. </w:t>
      </w:r>
      <w:r w:rsidRPr="009B1AD9">
        <w:rPr>
          <w:rFonts w:ascii="Book Antiqua" w:eastAsia="宋体" w:hAnsi="Book Antiqua" w:cs="宋体"/>
          <w:i/>
          <w:iCs/>
          <w:color w:val="000000"/>
          <w:sz w:val="21"/>
          <w:szCs w:val="21"/>
        </w:rPr>
        <w:t>J Clin Microbiol</w:t>
      </w:r>
      <w:r w:rsidRPr="009B1AD9">
        <w:rPr>
          <w:rFonts w:ascii="Book Antiqua" w:eastAsia="宋体" w:hAnsi="Book Antiqua" w:cs="宋体"/>
          <w:color w:val="000000"/>
          <w:sz w:val="21"/>
          <w:szCs w:val="21"/>
        </w:rPr>
        <w:t> 2004; </w:t>
      </w:r>
      <w:r w:rsidRPr="009B1AD9">
        <w:rPr>
          <w:rFonts w:ascii="Book Antiqua" w:eastAsia="宋体" w:hAnsi="Book Antiqua" w:cs="宋体"/>
          <w:b/>
          <w:bCs/>
          <w:color w:val="000000"/>
          <w:sz w:val="21"/>
          <w:szCs w:val="21"/>
        </w:rPr>
        <w:t>42</w:t>
      </w:r>
      <w:r w:rsidRPr="009B1AD9">
        <w:rPr>
          <w:rFonts w:ascii="Book Antiqua" w:eastAsia="宋体" w:hAnsi="Book Antiqua" w:cs="宋体"/>
          <w:color w:val="000000"/>
          <w:sz w:val="21"/>
          <w:szCs w:val="21"/>
        </w:rPr>
        <w:t>: 5189-5198 [PMID: 15528714 DOI: 10.1128/JCM.42.11.5189-5198.2004]</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lastRenderedPageBreak/>
        <w:t>23 </w:t>
      </w:r>
      <w:r w:rsidRPr="009B1AD9">
        <w:rPr>
          <w:rFonts w:ascii="Book Antiqua" w:eastAsia="宋体" w:hAnsi="Book Antiqua" w:cs="宋体"/>
          <w:b/>
          <w:bCs/>
          <w:color w:val="000000"/>
          <w:sz w:val="21"/>
          <w:szCs w:val="21"/>
        </w:rPr>
        <w:t>Maher MM</w:t>
      </w:r>
      <w:r w:rsidRPr="009B1AD9">
        <w:rPr>
          <w:rFonts w:ascii="Book Antiqua" w:eastAsia="宋体" w:hAnsi="Book Antiqua" w:cs="宋体"/>
          <w:color w:val="000000"/>
          <w:sz w:val="21"/>
          <w:szCs w:val="21"/>
        </w:rPr>
        <w:t>, Nassar MI. Acute cytomegalovirus infection is a risk factor in refractory and complicated inflammatory bowel disease. </w:t>
      </w:r>
      <w:r w:rsidRPr="009B1AD9">
        <w:rPr>
          <w:rFonts w:ascii="Book Antiqua" w:eastAsia="宋体" w:hAnsi="Book Antiqua" w:cs="宋体"/>
          <w:i/>
          <w:iCs/>
          <w:color w:val="000000"/>
          <w:sz w:val="21"/>
          <w:szCs w:val="21"/>
        </w:rPr>
        <w:t>Dig Dis Sci</w:t>
      </w:r>
      <w:r w:rsidRPr="009B1AD9">
        <w:rPr>
          <w:rFonts w:ascii="Book Antiqua" w:eastAsia="宋体" w:hAnsi="Book Antiqua" w:cs="宋体"/>
          <w:color w:val="000000"/>
          <w:sz w:val="21"/>
          <w:szCs w:val="21"/>
        </w:rPr>
        <w:t> 2009; </w:t>
      </w:r>
      <w:r w:rsidRPr="009B1AD9">
        <w:rPr>
          <w:rFonts w:ascii="Book Antiqua" w:eastAsia="宋体" w:hAnsi="Book Antiqua" w:cs="宋体"/>
          <w:b/>
          <w:bCs/>
          <w:color w:val="000000"/>
          <w:sz w:val="21"/>
          <w:szCs w:val="21"/>
        </w:rPr>
        <w:t>54</w:t>
      </w:r>
      <w:r w:rsidRPr="009B1AD9">
        <w:rPr>
          <w:rFonts w:ascii="Book Antiqua" w:eastAsia="宋体" w:hAnsi="Book Antiqua" w:cs="宋体"/>
          <w:color w:val="000000"/>
          <w:sz w:val="21"/>
          <w:szCs w:val="21"/>
        </w:rPr>
        <w:t>: 2456-2462 [PMID: 19093204 DOI: 10.1007/is10620-008-0639-6]</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24 </w:t>
      </w:r>
      <w:r w:rsidRPr="009B1AD9">
        <w:rPr>
          <w:rFonts w:ascii="Book Antiqua" w:eastAsia="宋体" w:hAnsi="Book Antiqua" w:cs="宋体"/>
          <w:b/>
          <w:bCs/>
          <w:color w:val="000000"/>
          <w:sz w:val="21"/>
          <w:szCs w:val="21"/>
        </w:rPr>
        <w:t>Lévêque N</w:t>
      </w:r>
      <w:r w:rsidRPr="009B1AD9">
        <w:rPr>
          <w:rFonts w:ascii="Book Antiqua" w:eastAsia="宋体" w:hAnsi="Book Antiqua" w:cs="宋体"/>
          <w:color w:val="000000"/>
          <w:sz w:val="21"/>
          <w:szCs w:val="21"/>
        </w:rPr>
        <w:t>, Brixi-Benmansour H, Reig T, Renois F, Talmud D, Brodard V, Coste JF, De Champs C, Andréoletti L, Diebold MD. Low frequency of cytomegalovirus infection during exacerbations of inflammatory bowel diseases. </w:t>
      </w:r>
      <w:r w:rsidRPr="009B1AD9">
        <w:rPr>
          <w:rFonts w:ascii="Book Antiqua" w:eastAsia="宋体" w:hAnsi="Book Antiqua" w:cs="宋体"/>
          <w:i/>
          <w:iCs/>
          <w:color w:val="000000"/>
          <w:sz w:val="21"/>
          <w:szCs w:val="21"/>
        </w:rPr>
        <w:t>J Med Virol</w:t>
      </w:r>
      <w:r w:rsidRPr="009B1AD9">
        <w:rPr>
          <w:rFonts w:ascii="Book Antiqua" w:eastAsia="宋体" w:hAnsi="Book Antiqua" w:cs="宋体"/>
          <w:color w:val="000000"/>
          <w:sz w:val="21"/>
          <w:szCs w:val="21"/>
        </w:rPr>
        <w:t> 2010; </w:t>
      </w:r>
      <w:r w:rsidRPr="009B1AD9">
        <w:rPr>
          <w:rFonts w:ascii="Book Antiqua" w:eastAsia="宋体" w:hAnsi="Book Antiqua" w:cs="宋体"/>
          <w:b/>
          <w:bCs/>
          <w:color w:val="000000"/>
          <w:sz w:val="21"/>
          <w:szCs w:val="21"/>
        </w:rPr>
        <w:t>82</w:t>
      </w:r>
      <w:r w:rsidRPr="009B1AD9">
        <w:rPr>
          <w:rFonts w:ascii="Book Antiqua" w:eastAsia="宋体" w:hAnsi="Book Antiqua" w:cs="宋体"/>
          <w:color w:val="000000"/>
          <w:sz w:val="21"/>
          <w:szCs w:val="21"/>
        </w:rPr>
        <w:t>: 1694-1700 [PMID: 20827767 DOI: 10.1002/jmv.21877]</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25 </w:t>
      </w:r>
      <w:r w:rsidRPr="009B1AD9">
        <w:rPr>
          <w:rFonts w:ascii="Book Antiqua" w:eastAsia="宋体" w:hAnsi="Book Antiqua" w:cs="宋体"/>
          <w:b/>
          <w:bCs/>
          <w:color w:val="000000"/>
          <w:sz w:val="21"/>
          <w:szCs w:val="21"/>
        </w:rPr>
        <w:t>Kandiel A</w:t>
      </w:r>
      <w:r w:rsidRPr="009B1AD9">
        <w:rPr>
          <w:rFonts w:ascii="Book Antiqua" w:eastAsia="宋体" w:hAnsi="Book Antiqua" w:cs="宋体"/>
          <w:color w:val="000000"/>
          <w:sz w:val="21"/>
          <w:szCs w:val="21"/>
        </w:rPr>
        <w:t>, Lashner B. Cytomegalovirus colitis complicating inflammatory bowel disease. </w:t>
      </w:r>
      <w:r w:rsidRPr="009B1AD9">
        <w:rPr>
          <w:rFonts w:ascii="Book Antiqua" w:eastAsia="宋体" w:hAnsi="Book Antiqua" w:cs="宋体"/>
          <w:i/>
          <w:iCs/>
          <w:color w:val="000000"/>
          <w:sz w:val="21"/>
          <w:szCs w:val="21"/>
        </w:rPr>
        <w:t>Am J Gastroenterol</w:t>
      </w:r>
      <w:r w:rsidRPr="009B1AD9">
        <w:rPr>
          <w:rFonts w:ascii="Book Antiqua" w:eastAsia="宋体" w:hAnsi="Book Antiqua" w:cs="宋体"/>
          <w:color w:val="000000"/>
          <w:sz w:val="21"/>
          <w:szCs w:val="21"/>
        </w:rPr>
        <w:t> 2006; </w:t>
      </w:r>
      <w:r w:rsidRPr="009B1AD9">
        <w:rPr>
          <w:rFonts w:ascii="Book Antiqua" w:eastAsia="宋体" w:hAnsi="Book Antiqua" w:cs="宋体"/>
          <w:b/>
          <w:bCs/>
          <w:color w:val="000000"/>
          <w:sz w:val="21"/>
          <w:szCs w:val="21"/>
        </w:rPr>
        <w:t>101</w:t>
      </w:r>
      <w:r w:rsidRPr="009B1AD9">
        <w:rPr>
          <w:rFonts w:ascii="Book Antiqua" w:eastAsia="宋体" w:hAnsi="Book Antiqua" w:cs="宋体"/>
          <w:color w:val="000000"/>
          <w:sz w:val="21"/>
          <w:szCs w:val="21"/>
        </w:rPr>
        <w:t>: 2857-2865 [PMID: 17026558 DOI: 10.1111/j.1572-0241.2006.00869.x]</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26 </w:t>
      </w:r>
      <w:r w:rsidRPr="009B1AD9">
        <w:rPr>
          <w:rFonts w:ascii="Book Antiqua" w:eastAsia="宋体" w:hAnsi="Book Antiqua" w:cs="宋体"/>
          <w:b/>
          <w:bCs/>
          <w:color w:val="000000"/>
          <w:sz w:val="21"/>
          <w:szCs w:val="21"/>
        </w:rPr>
        <w:t>Cottone M</w:t>
      </w:r>
      <w:r w:rsidRPr="009B1AD9">
        <w:rPr>
          <w:rFonts w:ascii="Book Antiqua" w:eastAsia="宋体" w:hAnsi="Book Antiqua" w:cs="宋体"/>
          <w:color w:val="000000"/>
          <w:sz w:val="21"/>
          <w:szCs w:val="21"/>
        </w:rPr>
        <w:t>, Pietrosi G, Martorana G, Casà A, Pecoraro G, Oliva L, Orlando A, Rosselli M, Rizzo A, Pagliaro L. Prevalence of cytomegalovirus infection in severe refractory ulcerative and Crohn's colitis. </w:t>
      </w:r>
      <w:r w:rsidRPr="009B1AD9">
        <w:rPr>
          <w:rFonts w:ascii="Book Antiqua" w:eastAsia="宋体" w:hAnsi="Book Antiqua" w:cs="宋体"/>
          <w:i/>
          <w:iCs/>
          <w:color w:val="000000"/>
          <w:sz w:val="21"/>
          <w:szCs w:val="21"/>
        </w:rPr>
        <w:t>Am J Gastroenterol</w:t>
      </w:r>
      <w:r w:rsidRPr="009B1AD9">
        <w:rPr>
          <w:rFonts w:ascii="Book Antiqua" w:eastAsia="宋体" w:hAnsi="Book Antiqua" w:cs="宋体"/>
          <w:color w:val="000000"/>
          <w:sz w:val="21"/>
          <w:szCs w:val="21"/>
        </w:rPr>
        <w:t> 2001; </w:t>
      </w:r>
      <w:r w:rsidRPr="009B1AD9">
        <w:rPr>
          <w:rFonts w:ascii="Book Antiqua" w:eastAsia="宋体" w:hAnsi="Book Antiqua" w:cs="宋体"/>
          <w:b/>
          <w:bCs/>
          <w:color w:val="000000"/>
          <w:sz w:val="21"/>
          <w:szCs w:val="21"/>
        </w:rPr>
        <w:t>96</w:t>
      </w:r>
      <w:r w:rsidRPr="009B1AD9">
        <w:rPr>
          <w:rFonts w:ascii="Book Antiqua" w:eastAsia="宋体" w:hAnsi="Book Antiqua" w:cs="宋体"/>
          <w:color w:val="000000"/>
          <w:sz w:val="21"/>
          <w:szCs w:val="21"/>
        </w:rPr>
        <w:t>: 773-775 [PMID: 11280549 DOI: 10.1111/j.1572-0241.2001.03620.x]</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27 </w:t>
      </w:r>
      <w:r w:rsidRPr="009B1AD9">
        <w:rPr>
          <w:rFonts w:ascii="Book Antiqua" w:eastAsia="宋体" w:hAnsi="Book Antiqua" w:cs="宋体"/>
          <w:b/>
          <w:bCs/>
          <w:color w:val="000000"/>
          <w:sz w:val="21"/>
          <w:szCs w:val="21"/>
        </w:rPr>
        <w:t>Bertalot G</w:t>
      </w:r>
      <w:r w:rsidRPr="009B1AD9">
        <w:rPr>
          <w:rFonts w:ascii="Book Antiqua" w:eastAsia="宋体" w:hAnsi="Book Antiqua" w:cs="宋体"/>
          <w:color w:val="000000"/>
          <w:sz w:val="21"/>
          <w:szCs w:val="21"/>
        </w:rPr>
        <w:t>, Villanacci V, Gramegna M, Orvieto E, Negrini R, Saleri A, Terraroli C, Ravelli P, Cestari R, Viale G. Evidence of Epstein-Barr virus infection in ulcerative colitis. </w:t>
      </w:r>
      <w:r w:rsidRPr="009B1AD9">
        <w:rPr>
          <w:rFonts w:ascii="Book Antiqua" w:eastAsia="宋体" w:hAnsi="Book Antiqua" w:cs="宋体"/>
          <w:i/>
          <w:iCs/>
          <w:color w:val="000000"/>
          <w:sz w:val="21"/>
          <w:szCs w:val="21"/>
        </w:rPr>
        <w:t>Dig Liver Dis</w:t>
      </w:r>
      <w:r w:rsidRPr="009B1AD9">
        <w:rPr>
          <w:rFonts w:ascii="Book Antiqua" w:eastAsia="宋体" w:hAnsi="Book Antiqua" w:cs="宋体"/>
          <w:color w:val="000000"/>
          <w:sz w:val="21"/>
          <w:szCs w:val="21"/>
        </w:rPr>
        <w:t> 2001; </w:t>
      </w:r>
      <w:r w:rsidRPr="009B1AD9">
        <w:rPr>
          <w:rFonts w:ascii="Book Antiqua" w:eastAsia="宋体" w:hAnsi="Book Antiqua" w:cs="宋体"/>
          <w:b/>
          <w:bCs/>
          <w:color w:val="000000"/>
          <w:sz w:val="21"/>
          <w:szCs w:val="21"/>
        </w:rPr>
        <w:t>33</w:t>
      </w:r>
      <w:r w:rsidRPr="009B1AD9">
        <w:rPr>
          <w:rFonts w:ascii="Book Antiqua" w:eastAsia="宋体" w:hAnsi="Book Antiqua" w:cs="宋体"/>
          <w:color w:val="000000"/>
          <w:sz w:val="21"/>
          <w:szCs w:val="21"/>
        </w:rPr>
        <w:t>: 551-558 [PMID: 11816543 DOI: 10.1016/S1590-8658(01)80106-7]</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28 </w:t>
      </w:r>
      <w:r w:rsidRPr="009B1AD9">
        <w:rPr>
          <w:rFonts w:ascii="Book Antiqua" w:eastAsia="宋体" w:hAnsi="Book Antiqua" w:cs="宋体"/>
          <w:b/>
          <w:bCs/>
          <w:color w:val="000000"/>
          <w:sz w:val="21"/>
          <w:szCs w:val="21"/>
        </w:rPr>
        <w:t>Yanai H</w:t>
      </w:r>
      <w:r w:rsidRPr="009B1AD9">
        <w:rPr>
          <w:rFonts w:ascii="Book Antiqua" w:eastAsia="宋体" w:hAnsi="Book Antiqua" w:cs="宋体"/>
          <w:color w:val="000000"/>
          <w:sz w:val="21"/>
          <w:szCs w:val="21"/>
        </w:rPr>
        <w:t>, Shimizu N, Nagasaki S, Mitani N, Okita K. Epstein-Barr virus infection of the colon with inflammatory bowel disease. </w:t>
      </w:r>
      <w:r w:rsidRPr="009B1AD9">
        <w:rPr>
          <w:rFonts w:ascii="Book Antiqua" w:eastAsia="宋体" w:hAnsi="Book Antiqua" w:cs="宋体"/>
          <w:i/>
          <w:iCs/>
          <w:color w:val="000000"/>
          <w:sz w:val="21"/>
          <w:szCs w:val="21"/>
        </w:rPr>
        <w:t>Am J Gastroenterol</w:t>
      </w:r>
      <w:r w:rsidRPr="009B1AD9">
        <w:rPr>
          <w:rFonts w:ascii="Book Antiqua" w:eastAsia="宋体" w:hAnsi="Book Antiqua" w:cs="宋体"/>
          <w:color w:val="000000"/>
          <w:sz w:val="21"/>
          <w:szCs w:val="21"/>
        </w:rPr>
        <w:t> 1999; </w:t>
      </w:r>
      <w:r w:rsidRPr="009B1AD9">
        <w:rPr>
          <w:rFonts w:ascii="Book Antiqua" w:eastAsia="宋体" w:hAnsi="Book Antiqua" w:cs="宋体"/>
          <w:b/>
          <w:bCs/>
          <w:color w:val="000000"/>
          <w:sz w:val="21"/>
          <w:szCs w:val="21"/>
        </w:rPr>
        <w:t>94</w:t>
      </w:r>
      <w:r w:rsidRPr="009B1AD9">
        <w:rPr>
          <w:rFonts w:ascii="Book Antiqua" w:eastAsia="宋体" w:hAnsi="Book Antiqua" w:cs="宋体"/>
          <w:color w:val="000000"/>
          <w:sz w:val="21"/>
          <w:szCs w:val="21"/>
        </w:rPr>
        <w:t>: 1582-1586 [PMID: 10364028 DOI: 10.1111/j.1572-0241.1999.01148.x]</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29 </w:t>
      </w:r>
      <w:r w:rsidRPr="009B1AD9">
        <w:rPr>
          <w:rFonts w:ascii="Book Antiqua" w:eastAsia="宋体" w:hAnsi="Book Antiqua" w:cs="宋体"/>
          <w:b/>
          <w:bCs/>
          <w:color w:val="000000"/>
          <w:sz w:val="21"/>
          <w:szCs w:val="21"/>
        </w:rPr>
        <w:t>Vega R</w:t>
      </w:r>
      <w:r w:rsidRPr="009B1AD9">
        <w:rPr>
          <w:rFonts w:ascii="Book Antiqua" w:eastAsia="宋体" w:hAnsi="Book Antiqua" w:cs="宋体"/>
          <w:color w:val="000000"/>
          <w:sz w:val="21"/>
          <w:szCs w:val="21"/>
        </w:rPr>
        <w:t>, Bertrán X, Menacho M, Domènech E, Moreno de Vega V, Hombrados M, Cabré E, Ojanguren I, Gassull MA. Cytomegalovirus infection in patients with inflammatory bowel disease. </w:t>
      </w:r>
      <w:r w:rsidRPr="009B1AD9">
        <w:rPr>
          <w:rFonts w:ascii="Book Antiqua" w:eastAsia="宋体" w:hAnsi="Book Antiqua" w:cs="宋体"/>
          <w:i/>
          <w:iCs/>
          <w:color w:val="000000"/>
          <w:sz w:val="21"/>
          <w:szCs w:val="21"/>
        </w:rPr>
        <w:t>Am J Gastroenterol</w:t>
      </w:r>
      <w:r w:rsidRPr="009B1AD9">
        <w:rPr>
          <w:rFonts w:ascii="Book Antiqua" w:eastAsia="宋体" w:hAnsi="Book Antiqua" w:cs="宋体"/>
          <w:color w:val="000000"/>
          <w:sz w:val="21"/>
          <w:szCs w:val="21"/>
        </w:rPr>
        <w:t> 1999; </w:t>
      </w:r>
      <w:r w:rsidRPr="009B1AD9">
        <w:rPr>
          <w:rFonts w:ascii="Book Antiqua" w:eastAsia="宋体" w:hAnsi="Book Antiqua" w:cs="宋体"/>
          <w:b/>
          <w:bCs/>
          <w:color w:val="000000"/>
          <w:sz w:val="21"/>
          <w:szCs w:val="21"/>
        </w:rPr>
        <w:t>94</w:t>
      </w:r>
      <w:r w:rsidRPr="009B1AD9">
        <w:rPr>
          <w:rFonts w:ascii="Book Antiqua" w:eastAsia="宋体" w:hAnsi="Book Antiqua" w:cs="宋体"/>
          <w:color w:val="000000"/>
          <w:sz w:val="21"/>
          <w:szCs w:val="21"/>
        </w:rPr>
        <w:t>: 1053-1056 [PMID: 10201482 DOI: 10.1111/j.1572-0241.1999.01013.x]</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30 </w:t>
      </w:r>
      <w:r w:rsidRPr="009B1AD9">
        <w:rPr>
          <w:rFonts w:ascii="Book Antiqua" w:eastAsia="宋体" w:hAnsi="Book Antiqua" w:cs="宋体"/>
          <w:b/>
          <w:bCs/>
          <w:color w:val="000000"/>
          <w:sz w:val="21"/>
          <w:szCs w:val="21"/>
        </w:rPr>
        <w:t>Kim JJ</w:t>
      </w:r>
      <w:r w:rsidRPr="009B1AD9">
        <w:rPr>
          <w:rFonts w:ascii="Book Antiqua" w:eastAsia="宋体" w:hAnsi="Book Antiqua" w:cs="宋体"/>
          <w:color w:val="000000"/>
          <w:sz w:val="21"/>
          <w:szCs w:val="21"/>
        </w:rPr>
        <w:t>, Simpson N, Klipfel N, Debose R, Barr N, Laine L. Cytomegalovirus infection in patients with active inflammatory bowel disease. </w:t>
      </w:r>
      <w:r w:rsidRPr="009B1AD9">
        <w:rPr>
          <w:rFonts w:ascii="Book Antiqua" w:eastAsia="宋体" w:hAnsi="Book Antiqua" w:cs="宋体"/>
          <w:i/>
          <w:iCs/>
          <w:color w:val="000000"/>
          <w:sz w:val="21"/>
          <w:szCs w:val="21"/>
        </w:rPr>
        <w:t>Dig Dis Sci</w:t>
      </w:r>
      <w:r w:rsidRPr="009B1AD9">
        <w:rPr>
          <w:rFonts w:ascii="Book Antiqua" w:eastAsia="宋体" w:hAnsi="Book Antiqua" w:cs="宋体"/>
          <w:color w:val="000000"/>
          <w:sz w:val="21"/>
          <w:szCs w:val="21"/>
        </w:rPr>
        <w:t> 2010; </w:t>
      </w:r>
      <w:r w:rsidRPr="009B1AD9">
        <w:rPr>
          <w:rFonts w:ascii="Book Antiqua" w:eastAsia="宋体" w:hAnsi="Book Antiqua" w:cs="宋体"/>
          <w:b/>
          <w:bCs/>
          <w:color w:val="000000"/>
          <w:sz w:val="21"/>
          <w:szCs w:val="21"/>
        </w:rPr>
        <w:t>55</w:t>
      </w:r>
      <w:r w:rsidRPr="009B1AD9">
        <w:rPr>
          <w:rFonts w:ascii="Book Antiqua" w:eastAsia="宋体" w:hAnsi="Book Antiqua" w:cs="宋体"/>
          <w:color w:val="000000"/>
          <w:sz w:val="21"/>
          <w:szCs w:val="21"/>
        </w:rPr>
        <w:t>: 1059-1065 [PMID: 20112061 DOI: 10.1007/s10620-010-1126-4]</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31 </w:t>
      </w:r>
      <w:r w:rsidRPr="009B1AD9">
        <w:rPr>
          <w:rFonts w:ascii="Book Antiqua" w:eastAsia="宋体" w:hAnsi="Book Antiqua" w:cs="宋体"/>
          <w:b/>
          <w:bCs/>
          <w:color w:val="000000"/>
          <w:sz w:val="21"/>
          <w:szCs w:val="21"/>
        </w:rPr>
        <w:t>Pillet S</w:t>
      </w:r>
      <w:r w:rsidRPr="009B1AD9">
        <w:rPr>
          <w:rFonts w:ascii="Book Antiqua" w:eastAsia="宋体" w:hAnsi="Book Antiqua" w:cs="宋体"/>
          <w:color w:val="000000"/>
          <w:sz w:val="21"/>
          <w:szCs w:val="21"/>
        </w:rPr>
        <w:t>, Pozzetto B, Jarlot C, Paul S, Roblin X. Management of cytomegalovirus infection in inflammatory bowel diseases. </w:t>
      </w:r>
      <w:r w:rsidRPr="009B1AD9">
        <w:rPr>
          <w:rFonts w:ascii="Book Antiqua" w:eastAsia="宋体" w:hAnsi="Book Antiqua" w:cs="宋体"/>
          <w:i/>
          <w:iCs/>
          <w:color w:val="000000"/>
          <w:sz w:val="21"/>
          <w:szCs w:val="21"/>
        </w:rPr>
        <w:t>Dig Liver Dis</w:t>
      </w:r>
      <w:r w:rsidRPr="009B1AD9">
        <w:rPr>
          <w:rFonts w:ascii="Book Antiqua" w:eastAsia="宋体" w:hAnsi="Book Antiqua" w:cs="宋体"/>
          <w:color w:val="000000"/>
          <w:sz w:val="21"/>
          <w:szCs w:val="21"/>
        </w:rPr>
        <w:t> 2012; </w:t>
      </w:r>
      <w:r w:rsidRPr="009B1AD9">
        <w:rPr>
          <w:rFonts w:ascii="Book Antiqua" w:eastAsia="宋体" w:hAnsi="Book Antiqua" w:cs="宋体"/>
          <w:b/>
          <w:bCs/>
          <w:color w:val="000000"/>
          <w:sz w:val="21"/>
          <w:szCs w:val="21"/>
        </w:rPr>
        <w:t>44</w:t>
      </w:r>
      <w:r w:rsidRPr="009B1AD9">
        <w:rPr>
          <w:rFonts w:ascii="Book Antiqua" w:eastAsia="宋体" w:hAnsi="Book Antiqua" w:cs="宋体"/>
          <w:color w:val="000000"/>
          <w:sz w:val="21"/>
          <w:szCs w:val="21"/>
        </w:rPr>
        <w:t>: 541-548 [PMID: 22538204 DOI: 10.1016/j.dld.2012.03.018]</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32 </w:t>
      </w:r>
      <w:r w:rsidRPr="009B1AD9">
        <w:rPr>
          <w:rFonts w:ascii="Book Antiqua" w:eastAsia="宋体" w:hAnsi="Book Antiqua" w:cs="宋体"/>
          <w:b/>
          <w:bCs/>
          <w:color w:val="000000"/>
          <w:sz w:val="21"/>
          <w:szCs w:val="21"/>
        </w:rPr>
        <w:t>McCoy MH</w:t>
      </w:r>
      <w:r w:rsidRPr="009B1AD9">
        <w:rPr>
          <w:rFonts w:ascii="Book Antiqua" w:eastAsia="宋体" w:hAnsi="Book Antiqua" w:cs="宋体"/>
          <w:color w:val="000000"/>
          <w:sz w:val="21"/>
          <w:szCs w:val="21"/>
        </w:rPr>
        <w:t>, Post K, Sen JD, Chang HY, Zhao Z, Fan R, Chen S, Leland D, Cheng L, Lin J. qPCR increases sensitivity to detect cytomegalovirus in formalin-fixed, paraffin-embedded tissue of gastrointestinal biopsies. </w:t>
      </w:r>
      <w:r w:rsidRPr="009B1AD9">
        <w:rPr>
          <w:rFonts w:ascii="Book Antiqua" w:eastAsia="宋体" w:hAnsi="Book Antiqua" w:cs="宋体"/>
          <w:i/>
          <w:iCs/>
          <w:color w:val="000000"/>
          <w:sz w:val="21"/>
          <w:szCs w:val="21"/>
        </w:rPr>
        <w:t>Hum Pathol</w:t>
      </w:r>
      <w:r w:rsidRPr="009B1AD9">
        <w:rPr>
          <w:rFonts w:ascii="Book Antiqua" w:eastAsia="宋体" w:hAnsi="Book Antiqua" w:cs="宋体"/>
          <w:color w:val="000000"/>
          <w:sz w:val="21"/>
          <w:szCs w:val="21"/>
        </w:rPr>
        <w:t> 2014; </w:t>
      </w:r>
      <w:r w:rsidRPr="009B1AD9">
        <w:rPr>
          <w:rFonts w:ascii="Book Antiqua" w:eastAsia="宋体" w:hAnsi="Book Antiqua" w:cs="宋体"/>
          <w:b/>
          <w:bCs/>
          <w:color w:val="000000"/>
          <w:sz w:val="21"/>
          <w:szCs w:val="21"/>
        </w:rPr>
        <w:t>45</w:t>
      </w:r>
      <w:r w:rsidRPr="009B1AD9">
        <w:rPr>
          <w:rFonts w:ascii="Book Antiqua" w:eastAsia="宋体" w:hAnsi="Book Antiqua" w:cs="宋体"/>
          <w:color w:val="000000"/>
          <w:sz w:val="21"/>
          <w:szCs w:val="21"/>
        </w:rPr>
        <w:t>: 48-53 [PMID: 24139212 DOI: 10.1016/j.humpath.2013.07.040]</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33 </w:t>
      </w:r>
      <w:r w:rsidRPr="009B1AD9">
        <w:rPr>
          <w:rFonts w:ascii="Book Antiqua" w:eastAsia="宋体" w:hAnsi="Book Antiqua" w:cs="宋体"/>
          <w:b/>
          <w:bCs/>
          <w:color w:val="000000"/>
          <w:sz w:val="21"/>
          <w:szCs w:val="21"/>
        </w:rPr>
        <w:t>Roblin X</w:t>
      </w:r>
      <w:r w:rsidRPr="009B1AD9">
        <w:rPr>
          <w:rFonts w:ascii="Book Antiqua" w:eastAsia="宋体" w:hAnsi="Book Antiqua" w:cs="宋体"/>
          <w:color w:val="000000"/>
          <w:sz w:val="21"/>
          <w:szCs w:val="21"/>
        </w:rPr>
        <w:t>, Pillet S, Oussalah A, Berthelot P, Del Tedesco E, Phelip JM, Chambonnière ML, Garraud O, Peyrin-Biroulet L, Pozzetto B. Cytomegalovirus load in inflamed intestinal tissue is predictive of resistance to immunosuppressive therapy in ulcerative colitis. </w:t>
      </w:r>
      <w:r w:rsidRPr="009B1AD9">
        <w:rPr>
          <w:rFonts w:ascii="Book Antiqua" w:eastAsia="宋体" w:hAnsi="Book Antiqua" w:cs="宋体"/>
          <w:i/>
          <w:iCs/>
          <w:color w:val="000000"/>
          <w:sz w:val="21"/>
          <w:szCs w:val="21"/>
        </w:rPr>
        <w:t>Am J Gastroenterol</w:t>
      </w:r>
      <w:r w:rsidRPr="009B1AD9">
        <w:rPr>
          <w:rFonts w:ascii="Book Antiqua" w:eastAsia="宋体" w:hAnsi="Book Antiqua" w:cs="宋体"/>
          <w:color w:val="000000"/>
          <w:sz w:val="21"/>
          <w:szCs w:val="21"/>
        </w:rPr>
        <w:t> 2011; </w:t>
      </w:r>
      <w:r w:rsidRPr="009B1AD9">
        <w:rPr>
          <w:rFonts w:ascii="Book Antiqua" w:eastAsia="宋体" w:hAnsi="Book Antiqua" w:cs="宋体"/>
          <w:b/>
          <w:bCs/>
          <w:color w:val="000000"/>
          <w:sz w:val="21"/>
          <w:szCs w:val="21"/>
        </w:rPr>
        <w:t>106</w:t>
      </w:r>
      <w:r w:rsidRPr="009B1AD9">
        <w:rPr>
          <w:rFonts w:ascii="Book Antiqua" w:eastAsia="宋体" w:hAnsi="Book Antiqua" w:cs="宋体"/>
          <w:color w:val="000000"/>
          <w:sz w:val="21"/>
          <w:szCs w:val="21"/>
        </w:rPr>
        <w:t>: 2001-2008 [PMID: 21788989 DOI: 10.1038/ajg.2011.202]</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34 </w:t>
      </w:r>
      <w:r w:rsidRPr="009B1AD9">
        <w:rPr>
          <w:rFonts w:ascii="Book Antiqua" w:eastAsia="宋体" w:hAnsi="Book Antiqua" w:cs="宋体"/>
          <w:b/>
          <w:bCs/>
          <w:color w:val="000000"/>
          <w:sz w:val="21"/>
          <w:szCs w:val="21"/>
        </w:rPr>
        <w:t>Yoshino T</w:t>
      </w:r>
      <w:r w:rsidRPr="009B1AD9">
        <w:rPr>
          <w:rFonts w:ascii="Book Antiqua" w:eastAsia="宋体" w:hAnsi="Book Antiqua" w:cs="宋体"/>
          <w:color w:val="000000"/>
          <w:sz w:val="21"/>
          <w:szCs w:val="21"/>
        </w:rPr>
        <w:t xml:space="preserve">, Nakase H, Ueno S, Uza N, Inoue S, Mikami S, Matsuura M, Ohmori K, Sakurai T, Nagayama S, Hasegawa S, Sakai Y, Chiba T. Usefulness of quantitative real-time PCR assay for early </w:t>
      </w:r>
      <w:r w:rsidRPr="009B1AD9">
        <w:rPr>
          <w:rFonts w:ascii="Book Antiqua" w:eastAsia="宋体" w:hAnsi="Book Antiqua" w:cs="宋体"/>
          <w:color w:val="000000"/>
          <w:sz w:val="21"/>
          <w:szCs w:val="21"/>
        </w:rPr>
        <w:lastRenderedPageBreak/>
        <w:t>detection of cytomegalovirus infection in patients with ulcerative colitis refractory to immunosuppressive therapies. </w:t>
      </w:r>
      <w:r w:rsidRPr="009B1AD9">
        <w:rPr>
          <w:rFonts w:ascii="Book Antiqua" w:eastAsia="宋体" w:hAnsi="Book Antiqua" w:cs="宋体"/>
          <w:i/>
          <w:iCs/>
          <w:color w:val="000000"/>
          <w:sz w:val="21"/>
          <w:szCs w:val="21"/>
        </w:rPr>
        <w:t>Inflamm Bowel Dis</w:t>
      </w:r>
      <w:r w:rsidRPr="009B1AD9">
        <w:rPr>
          <w:rFonts w:ascii="Book Antiqua" w:eastAsia="宋体" w:hAnsi="Book Antiqua" w:cs="宋体"/>
          <w:color w:val="000000"/>
          <w:sz w:val="21"/>
          <w:szCs w:val="21"/>
        </w:rPr>
        <w:t> 2007; </w:t>
      </w:r>
      <w:r w:rsidRPr="009B1AD9">
        <w:rPr>
          <w:rFonts w:ascii="Book Antiqua" w:eastAsia="宋体" w:hAnsi="Book Antiqua" w:cs="宋体"/>
          <w:b/>
          <w:bCs/>
          <w:color w:val="000000"/>
          <w:sz w:val="21"/>
          <w:szCs w:val="21"/>
        </w:rPr>
        <w:t>13</w:t>
      </w:r>
      <w:r w:rsidRPr="009B1AD9">
        <w:rPr>
          <w:rFonts w:ascii="Book Antiqua" w:eastAsia="宋体" w:hAnsi="Book Antiqua" w:cs="宋体"/>
          <w:color w:val="000000"/>
          <w:sz w:val="21"/>
          <w:szCs w:val="21"/>
        </w:rPr>
        <w:t>: 1516-1521 [PMID: 17828781 DOI: 10.1002/ibd.20253]</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35 </w:t>
      </w:r>
      <w:r w:rsidRPr="009B1AD9">
        <w:rPr>
          <w:rFonts w:ascii="Book Antiqua" w:eastAsia="宋体" w:hAnsi="Book Antiqua" w:cs="宋体"/>
          <w:b/>
          <w:bCs/>
          <w:color w:val="000000"/>
          <w:sz w:val="21"/>
          <w:szCs w:val="21"/>
        </w:rPr>
        <w:t>Ganzenmueller T</w:t>
      </w:r>
      <w:r w:rsidRPr="009B1AD9">
        <w:rPr>
          <w:rFonts w:ascii="Book Antiqua" w:eastAsia="宋体" w:hAnsi="Book Antiqua" w:cs="宋体"/>
          <w:color w:val="000000"/>
          <w:sz w:val="21"/>
          <w:szCs w:val="21"/>
        </w:rPr>
        <w:t>, Henke-Gendo C, Schlué J, Wedemeyer J, Huebner S, Heim A. Quantification of cytomegalovirus DNA levels in intestinal biopsies as a diagnostic tool for CMV intestinal disease. </w:t>
      </w:r>
      <w:r w:rsidRPr="009B1AD9">
        <w:rPr>
          <w:rFonts w:ascii="Book Antiqua" w:eastAsia="宋体" w:hAnsi="Book Antiqua" w:cs="宋体"/>
          <w:i/>
          <w:iCs/>
          <w:color w:val="000000"/>
          <w:sz w:val="21"/>
          <w:szCs w:val="21"/>
        </w:rPr>
        <w:t>J Clin Virol</w:t>
      </w:r>
      <w:r w:rsidRPr="009B1AD9">
        <w:rPr>
          <w:rFonts w:ascii="Book Antiqua" w:eastAsia="宋体" w:hAnsi="Book Antiqua" w:cs="宋体"/>
          <w:color w:val="000000"/>
          <w:sz w:val="21"/>
          <w:szCs w:val="21"/>
        </w:rPr>
        <w:t> 2009; </w:t>
      </w:r>
      <w:r w:rsidRPr="009B1AD9">
        <w:rPr>
          <w:rFonts w:ascii="Book Antiqua" w:eastAsia="宋体" w:hAnsi="Book Antiqua" w:cs="宋体"/>
          <w:b/>
          <w:bCs/>
          <w:color w:val="000000"/>
          <w:sz w:val="21"/>
          <w:szCs w:val="21"/>
        </w:rPr>
        <w:t>46</w:t>
      </w:r>
      <w:r w:rsidRPr="009B1AD9">
        <w:rPr>
          <w:rFonts w:ascii="Book Antiqua" w:eastAsia="宋体" w:hAnsi="Book Antiqua" w:cs="宋体"/>
          <w:color w:val="000000"/>
          <w:sz w:val="21"/>
          <w:szCs w:val="21"/>
        </w:rPr>
        <w:t>: 254-258 [PMID: 19748823 DOI: 10.1016/j.jcv.2009.08.008]</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36 </w:t>
      </w:r>
      <w:r w:rsidRPr="009B1AD9">
        <w:rPr>
          <w:rFonts w:ascii="Book Antiqua" w:eastAsia="宋体" w:hAnsi="Book Antiqua" w:cs="宋体"/>
          <w:b/>
          <w:bCs/>
          <w:color w:val="000000"/>
          <w:sz w:val="21"/>
          <w:szCs w:val="21"/>
        </w:rPr>
        <w:t>Folkins AK</w:t>
      </w:r>
      <w:r w:rsidRPr="009B1AD9">
        <w:rPr>
          <w:rFonts w:ascii="Book Antiqua" w:eastAsia="宋体" w:hAnsi="Book Antiqua" w:cs="宋体"/>
          <w:color w:val="000000"/>
          <w:sz w:val="21"/>
          <w:szCs w:val="21"/>
        </w:rPr>
        <w:t>, Chisholm KM, Guo FP, McDowell M, Aziz N, Pinsky BA. Diagnosis of congenital CMV using PCR performed on formalin-fixed, paraffin-embedded placental tissue. </w:t>
      </w:r>
      <w:r w:rsidRPr="009B1AD9">
        <w:rPr>
          <w:rFonts w:ascii="Book Antiqua" w:eastAsia="宋体" w:hAnsi="Book Antiqua" w:cs="宋体"/>
          <w:i/>
          <w:iCs/>
          <w:color w:val="000000"/>
          <w:sz w:val="21"/>
          <w:szCs w:val="21"/>
        </w:rPr>
        <w:t>Am J Surg Pathol</w:t>
      </w:r>
      <w:r w:rsidRPr="009B1AD9">
        <w:rPr>
          <w:rFonts w:ascii="Book Antiqua" w:eastAsia="宋体" w:hAnsi="Book Antiqua" w:cs="宋体"/>
          <w:color w:val="000000"/>
          <w:sz w:val="21"/>
          <w:szCs w:val="21"/>
        </w:rPr>
        <w:t> 2013; </w:t>
      </w:r>
      <w:r w:rsidRPr="009B1AD9">
        <w:rPr>
          <w:rFonts w:ascii="Book Antiqua" w:eastAsia="宋体" w:hAnsi="Book Antiqua" w:cs="宋体"/>
          <w:b/>
          <w:bCs/>
          <w:color w:val="000000"/>
          <w:sz w:val="21"/>
          <w:szCs w:val="21"/>
        </w:rPr>
        <w:t>37</w:t>
      </w:r>
      <w:r w:rsidRPr="009B1AD9">
        <w:rPr>
          <w:rFonts w:ascii="Book Antiqua" w:eastAsia="宋体" w:hAnsi="Book Antiqua" w:cs="宋体"/>
          <w:color w:val="000000"/>
          <w:sz w:val="21"/>
          <w:szCs w:val="21"/>
        </w:rPr>
        <w:t>: 1413-1420 [PMID: 23797721 DOI: 10.1097/PAS.0b013e318290f171]</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37 </w:t>
      </w:r>
      <w:r w:rsidRPr="009B1AD9">
        <w:rPr>
          <w:rFonts w:ascii="Book Antiqua" w:eastAsia="宋体" w:hAnsi="Book Antiqua" w:cs="宋体"/>
          <w:b/>
          <w:bCs/>
          <w:color w:val="000000"/>
          <w:sz w:val="21"/>
          <w:szCs w:val="21"/>
        </w:rPr>
        <w:t>Herfarth HH</w:t>
      </w:r>
      <w:r w:rsidRPr="009B1AD9">
        <w:rPr>
          <w:rFonts w:ascii="Book Antiqua" w:eastAsia="宋体" w:hAnsi="Book Antiqua" w:cs="宋体"/>
          <w:color w:val="000000"/>
          <w:sz w:val="21"/>
          <w:szCs w:val="21"/>
        </w:rPr>
        <w:t>, Long MD, Rubinas TC, Sandridge M, Miller MB. Evaluation of a non-invasive method to detect cytomegalovirus (CMV)-DNA in stool samples of patients with inflammatory bowel disease (IBD): a pilot study. </w:t>
      </w:r>
      <w:r w:rsidRPr="009B1AD9">
        <w:rPr>
          <w:rFonts w:ascii="Book Antiqua" w:eastAsia="宋体" w:hAnsi="Book Antiqua" w:cs="宋体"/>
          <w:i/>
          <w:iCs/>
          <w:color w:val="000000"/>
          <w:sz w:val="21"/>
          <w:szCs w:val="21"/>
        </w:rPr>
        <w:t>Dig Dis Sci</w:t>
      </w:r>
      <w:r w:rsidRPr="009B1AD9">
        <w:rPr>
          <w:rFonts w:ascii="Book Antiqua" w:eastAsia="宋体" w:hAnsi="Book Antiqua" w:cs="宋体"/>
          <w:color w:val="000000"/>
          <w:sz w:val="21"/>
          <w:szCs w:val="21"/>
        </w:rPr>
        <w:t> 2010; </w:t>
      </w:r>
      <w:r w:rsidRPr="009B1AD9">
        <w:rPr>
          <w:rFonts w:ascii="Book Antiqua" w:eastAsia="宋体" w:hAnsi="Book Antiqua" w:cs="宋体"/>
          <w:b/>
          <w:bCs/>
          <w:color w:val="000000"/>
          <w:sz w:val="21"/>
          <w:szCs w:val="21"/>
        </w:rPr>
        <w:t>55</w:t>
      </w:r>
      <w:r w:rsidRPr="009B1AD9">
        <w:rPr>
          <w:rFonts w:ascii="Book Antiqua" w:eastAsia="宋体" w:hAnsi="Book Antiqua" w:cs="宋体"/>
          <w:color w:val="000000"/>
          <w:sz w:val="21"/>
          <w:szCs w:val="21"/>
        </w:rPr>
        <w:t>: 1053-1058 [PMID: 20165976 DOI: 10.1007/s10620-010-1146-0]</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38 </w:t>
      </w:r>
      <w:r w:rsidRPr="009B1AD9">
        <w:rPr>
          <w:rFonts w:ascii="Book Antiqua" w:eastAsia="宋体" w:hAnsi="Book Antiqua" w:cs="宋体"/>
          <w:b/>
          <w:bCs/>
          <w:color w:val="000000"/>
          <w:sz w:val="21"/>
          <w:szCs w:val="21"/>
        </w:rPr>
        <w:t>Rahier JF</w:t>
      </w:r>
      <w:r w:rsidRPr="009B1AD9">
        <w:rPr>
          <w:rFonts w:ascii="Book Antiqua" w:eastAsia="宋体" w:hAnsi="Book Antiqua" w:cs="宋体"/>
          <w:color w:val="000000"/>
          <w:sz w:val="21"/>
          <w:szCs w:val="21"/>
        </w:rPr>
        <w:t>, Magro F, Abreu C, Armuzzi A, Ben-Horin S, Chowers Y, Cottone M, de Ridder L, Doherty G, Ehehalt R, Esteve M, Katsanos K, Lees CW, Macmahon E, Moreels T, Reinisch W, Tilg H, Tremblay L, Veereman-Wauters G, Viget N, Yazdanpanah Y, Eliakim R, Colombel JF. Second European evidence-based consensus on the prevention, diagnosis and management of opportunistic infections in inflammatory bowel disease. </w:t>
      </w:r>
      <w:r w:rsidRPr="009B1AD9">
        <w:rPr>
          <w:rFonts w:ascii="Book Antiqua" w:eastAsia="宋体" w:hAnsi="Book Antiqua" w:cs="宋体"/>
          <w:i/>
          <w:iCs/>
          <w:color w:val="000000"/>
          <w:sz w:val="21"/>
          <w:szCs w:val="21"/>
        </w:rPr>
        <w:t>J Crohns Colitis</w:t>
      </w:r>
      <w:r w:rsidRPr="009B1AD9">
        <w:rPr>
          <w:rFonts w:ascii="Book Antiqua" w:eastAsia="宋体" w:hAnsi="Book Antiqua" w:cs="宋体"/>
          <w:color w:val="000000"/>
          <w:sz w:val="21"/>
          <w:szCs w:val="21"/>
        </w:rPr>
        <w:t> 2014; </w:t>
      </w:r>
      <w:r w:rsidRPr="009B1AD9">
        <w:rPr>
          <w:rFonts w:ascii="Book Antiqua" w:eastAsia="宋体" w:hAnsi="Book Antiqua" w:cs="宋体"/>
          <w:b/>
          <w:bCs/>
          <w:color w:val="000000"/>
          <w:sz w:val="21"/>
          <w:szCs w:val="21"/>
        </w:rPr>
        <w:t>8</w:t>
      </w:r>
      <w:r w:rsidRPr="009B1AD9">
        <w:rPr>
          <w:rFonts w:ascii="Book Antiqua" w:eastAsia="宋体" w:hAnsi="Book Antiqua" w:cs="宋体"/>
          <w:color w:val="000000"/>
          <w:sz w:val="21"/>
          <w:szCs w:val="21"/>
        </w:rPr>
        <w:t>: 443-468 [PMID: 24613021 DOI: 10.1016/j.crohns.2013.12.013]</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39 </w:t>
      </w:r>
      <w:r w:rsidRPr="009B1AD9">
        <w:rPr>
          <w:rFonts w:ascii="Book Antiqua" w:eastAsia="宋体" w:hAnsi="Book Antiqua" w:cs="宋体"/>
          <w:b/>
          <w:bCs/>
          <w:color w:val="000000"/>
          <w:sz w:val="21"/>
          <w:szCs w:val="21"/>
        </w:rPr>
        <w:t>Dimitroulia E</w:t>
      </w:r>
      <w:r w:rsidRPr="009B1AD9">
        <w:rPr>
          <w:rFonts w:ascii="Book Antiqua" w:eastAsia="宋体" w:hAnsi="Book Antiqua" w:cs="宋体"/>
          <w:color w:val="000000"/>
          <w:sz w:val="21"/>
          <w:szCs w:val="21"/>
        </w:rPr>
        <w:t>, Pitiriga VC, Piperaki ET, Spanakis NE, Tsakris A. Inflammatory bowel disease exacerbation associated with Epstein-Barr virus infection. </w:t>
      </w:r>
      <w:r w:rsidRPr="009B1AD9">
        <w:rPr>
          <w:rFonts w:ascii="Book Antiqua" w:eastAsia="宋体" w:hAnsi="Book Antiqua" w:cs="宋体"/>
          <w:i/>
          <w:iCs/>
          <w:color w:val="000000"/>
          <w:sz w:val="21"/>
          <w:szCs w:val="21"/>
        </w:rPr>
        <w:t>Dis Colon Rectum</w:t>
      </w:r>
      <w:r w:rsidRPr="009B1AD9">
        <w:rPr>
          <w:rFonts w:ascii="Book Antiqua" w:eastAsia="宋体" w:hAnsi="Book Antiqua" w:cs="宋体"/>
          <w:color w:val="000000"/>
          <w:sz w:val="21"/>
          <w:szCs w:val="21"/>
        </w:rPr>
        <w:t> 2013; </w:t>
      </w:r>
      <w:r w:rsidRPr="009B1AD9">
        <w:rPr>
          <w:rFonts w:ascii="Book Antiqua" w:eastAsia="宋体" w:hAnsi="Book Antiqua" w:cs="宋体"/>
          <w:b/>
          <w:bCs/>
          <w:color w:val="000000"/>
          <w:sz w:val="21"/>
          <w:szCs w:val="21"/>
        </w:rPr>
        <w:t>56</w:t>
      </w:r>
      <w:r w:rsidRPr="009B1AD9">
        <w:rPr>
          <w:rFonts w:ascii="Book Antiqua" w:eastAsia="宋体" w:hAnsi="Book Antiqua" w:cs="宋体"/>
          <w:color w:val="000000"/>
          <w:sz w:val="21"/>
          <w:szCs w:val="21"/>
        </w:rPr>
        <w:t>: 322-327 [PMID: 23392146 DOI: 10.1097/DCR.0b013e31827cd02c]</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40 </w:t>
      </w:r>
      <w:r w:rsidRPr="009B1AD9">
        <w:rPr>
          <w:rFonts w:ascii="Book Antiqua" w:eastAsia="宋体" w:hAnsi="Book Antiqua" w:cs="宋体"/>
          <w:b/>
          <w:bCs/>
          <w:color w:val="000000"/>
          <w:sz w:val="21"/>
          <w:szCs w:val="21"/>
        </w:rPr>
        <w:t>Ryan JL</w:t>
      </w:r>
      <w:r w:rsidRPr="009B1AD9">
        <w:rPr>
          <w:rFonts w:ascii="Book Antiqua" w:eastAsia="宋体" w:hAnsi="Book Antiqua" w:cs="宋体"/>
          <w:color w:val="000000"/>
          <w:sz w:val="21"/>
          <w:szCs w:val="21"/>
        </w:rPr>
        <w:t>, Shen YJ, Morgan DR, Thorne LB, Kenney SC, Dominguez RL, Gulley ML. Epstein-Barr virus infection is common in inflamed gastrointestinal mucosa. </w:t>
      </w:r>
      <w:r w:rsidRPr="009B1AD9">
        <w:rPr>
          <w:rFonts w:ascii="Book Antiqua" w:eastAsia="宋体" w:hAnsi="Book Antiqua" w:cs="宋体"/>
          <w:i/>
          <w:iCs/>
          <w:color w:val="000000"/>
          <w:sz w:val="21"/>
          <w:szCs w:val="21"/>
        </w:rPr>
        <w:t>Dig Dis Sci</w:t>
      </w:r>
      <w:r w:rsidRPr="009B1AD9">
        <w:rPr>
          <w:rFonts w:ascii="Book Antiqua" w:eastAsia="宋体" w:hAnsi="Book Antiqua" w:cs="宋体"/>
          <w:color w:val="000000"/>
          <w:sz w:val="21"/>
          <w:szCs w:val="21"/>
        </w:rPr>
        <w:t> 2012; </w:t>
      </w:r>
      <w:r w:rsidRPr="009B1AD9">
        <w:rPr>
          <w:rFonts w:ascii="Book Antiqua" w:eastAsia="宋体" w:hAnsi="Book Antiqua" w:cs="宋体"/>
          <w:b/>
          <w:bCs/>
          <w:color w:val="000000"/>
          <w:sz w:val="21"/>
          <w:szCs w:val="21"/>
        </w:rPr>
        <w:t>57</w:t>
      </w:r>
      <w:r w:rsidRPr="009B1AD9">
        <w:rPr>
          <w:rFonts w:ascii="Book Antiqua" w:eastAsia="宋体" w:hAnsi="Book Antiqua" w:cs="宋体"/>
          <w:color w:val="000000"/>
          <w:sz w:val="21"/>
          <w:szCs w:val="21"/>
        </w:rPr>
        <w:t>: 1887-1898 [PMID: 22410851 DOI: 10.1007/s10620-012-2116-5]</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41 </w:t>
      </w:r>
      <w:r w:rsidRPr="009B1AD9">
        <w:rPr>
          <w:rFonts w:ascii="Book Antiqua" w:eastAsia="宋体" w:hAnsi="Book Antiqua" w:cs="宋体"/>
          <w:b/>
          <w:bCs/>
          <w:color w:val="000000"/>
          <w:sz w:val="21"/>
          <w:szCs w:val="21"/>
        </w:rPr>
        <w:t>Sankaran-Walters S</w:t>
      </w:r>
      <w:r w:rsidRPr="009B1AD9">
        <w:rPr>
          <w:rFonts w:ascii="Book Antiqua" w:eastAsia="宋体" w:hAnsi="Book Antiqua" w:cs="宋体"/>
          <w:color w:val="000000"/>
          <w:sz w:val="21"/>
          <w:szCs w:val="21"/>
        </w:rPr>
        <w:t>, Ransibrahmanakul K, Grishina I, Hung J, Martinez E, Prindiville T, Dandekar S. Epstein-Barr virus replication linked to B cell proliferation in inflamed areas of colonic mucosa of patients with inflammatory bowel disease. </w:t>
      </w:r>
      <w:r w:rsidRPr="009B1AD9">
        <w:rPr>
          <w:rFonts w:ascii="Book Antiqua" w:eastAsia="宋体" w:hAnsi="Book Antiqua" w:cs="宋体"/>
          <w:i/>
          <w:iCs/>
          <w:color w:val="000000"/>
          <w:sz w:val="21"/>
          <w:szCs w:val="21"/>
        </w:rPr>
        <w:t>J Clin Virol</w:t>
      </w:r>
      <w:r w:rsidRPr="009B1AD9">
        <w:rPr>
          <w:rFonts w:ascii="Book Antiqua" w:eastAsia="宋体" w:hAnsi="Book Antiqua" w:cs="宋体"/>
          <w:color w:val="000000"/>
          <w:sz w:val="21"/>
          <w:szCs w:val="21"/>
        </w:rPr>
        <w:t> 2011; </w:t>
      </w:r>
      <w:r w:rsidRPr="009B1AD9">
        <w:rPr>
          <w:rFonts w:ascii="Book Antiqua" w:eastAsia="宋体" w:hAnsi="Book Antiqua" w:cs="宋体"/>
          <w:b/>
          <w:bCs/>
          <w:color w:val="000000"/>
          <w:sz w:val="21"/>
          <w:szCs w:val="21"/>
        </w:rPr>
        <w:t>50</w:t>
      </w:r>
      <w:r w:rsidRPr="009B1AD9">
        <w:rPr>
          <w:rFonts w:ascii="Book Antiqua" w:eastAsia="宋体" w:hAnsi="Book Antiqua" w:cs="宋体"/>
          <w:color w:val="000000"/>
          <w:sz w:val="21"/>
          <w:szCs w:val="21"/>
        </w:rPr>
        <w:t>: 31-36 [PMID: 21035384 DOI: 10.1016/j.jcv.2010.09.011]</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42 </w:t>
      </w:r>
      <w:r w:rsidRPr="009B1AD9">
        <w:rPr>
          <w:rFonts w:ascii="Book Antiqua" w:eastAsia="宋体" w:hAnsi="Book Antiqua" w:cs="宋体"/>
          <w:b/>
          <w:bCs/>
          <w:color w:val="000000"/>
          <w:sz w:val="21"/>
          <w:szCs w:val="21"/>
        </w:rPr>
        <w:t>Iwamoto GK</w:t>
      </w:r>
      <w:r w:rsidRPr="009B1AD9">
        <w:rPr>
          <w:rFonts w:ascii="Book Antiqua" w:eastAsia="宋体" w:hAnsi="Book Antiqua" w:cs="宋体"/>
          <w:color w:val="000000"/>
          <w:sz w:val="21"/>
          <w:szCs w:val="21"/>
        </w:rPr>
        <w:t>, Monick MM, Clark BD, Auron PE, Stinski MF, Hunninghake GW. Modulation of interleukin 1 beta gene expression by the immediate early genes of human cytomegalovirus. </w:t>
      </w:r>
      <w:r w:rsidRPr="009B1AD9">
        <w:rPr>
          <w:rFonts w:ascii="Book Antiqua" w:eastAsia="宋体" w:hAnsi="Book Antiqua" w:cs="宋体"/>
          <w:i/>
          <w:iCs/>
          <w:color w:val="000000"/>
          <w:sz w:val="21"/>
          <w:szCs w:val="21"/>
        </w:rPr>
        <w:t>J Clin Invest</w:t>
      </w:r>
      <w:r w:rsidRPr="009B1AD9">
        <w:rPr>
          <w:rFonts w:ascii="Book Antiqua" w:eastAsia="宋体" w:hAnsi="Book Antiqua" w:cs="宋体"/>
          <w:color w:val="000000"/>
          <w:sz w:val="21"/>
          <w:szCs w:val="21"/>
        </w:rPr>
        <w:t> 1990; </w:t>
      </w:r>
      <w:r w:rsidRPr="009B1AD9">
        <w:rPr>
          <w:rFonts w:ascii="Book Antiqua" w:eastAsia="宋体" w:hAnsi="Book Antiqua" w:cs="宋体"/>
          <w:b/>
          <w:bCs/>
          <w:color w:val="000000"/>
          <w:sz w:val="21"/>
          <w:szCs w:val="21"/>
        </w:rPr>
        <w:t>85</w:t>
      </w:r>
      <w:r w:rsidRPr="009B1AD9">
        <w:rPr>
          <w:rFonts w:ascii="Book Antiqua" w:eastAsia="宋体" w:hAnsi="Book Antiqua" w:cs="宋体"/>
          <w:color w:val="000000"/>
          <w:sz w:val="21"/>
          <w:szCs w:val="21"/>
        </w:rPr>
        <w:t>: 1853-1857 [PMID: 2161430 DOI: 10.1172/JCI114645]</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43 </w:t>
      </w:r>
      <w:r w:rsidRPr="009B1AD9">
        <w:rPr>
          <w:rFonts w:ascii="Book Antiqua" w:eastAsia="宋体" w:hAnsi="Book Antiqua" w:cs="宋体"/>
          <w:b/>
          <w:bCs/>
          <w:color w:val="000000"/>
          <w:sz w:val="21"/>
          <w:szCs w:val="21"/>
        </w:rPr>
        <w:t>Vogl BA</w:t>
      </w:r>
      <w:r w:rsidRPr="009B1AD9">
        <w:rPr>
          <w:rFonts w:ascii="Book Antiqua" w:eastAsia="宋体" w:hAnsi="Book Antiqua" w:cs="宋体"/>
          <w:color w:val="000000"/>
          <w:sz w:val="21"/>
          <w:szCs w:val="21"/>
        </w:rPr>
        <w:t>, Fagin U, Nerbas L, Schlenke P, Lamprecht P, Jabs WJ. Longitudinal analysis of frequency and reactivity of Epstein-Barr virus-specific T lymphocytes and their association with intermittent viral reactivation. </w:t>
      </w:r>
      <w:r w:rsidRPr="009B1AD9">
        <w:rPr>
          <w:rFonts w:ascii="Book Antiqua" w:eastAsia="宋体" w:hAnsi="Book Antiqua" w:cs="宋体"/>
          <w:i/>
          <w:iCs/>
          <w:color w:val="000000"/>
          <w:sz w:val="21"/>
          <w:szCs w:val="21"/>
        </w:rPr>
        <w:t>J Med Virol</w:t>
      </w:r>
      <w:r w:rsidRPr="009B1AD9">
        <w:rPr>
          <w:rFonts w:ascii="Book Antiqua" w:eastAsia="宋体" w:hAnsi="Book Antiqua" w:cs="宋体"/>
          <w:color w:val="000000"/>
          <w:sz w:val="21"/>
          <w:szCs w:val="21"/>
        </w:rPr>
        <w:t> 2012; </w:t>
      </w:r>
      <w:r w:rsidRPr="009B1AD9">
        <w:rPr>
          <w:rFonts w:ascii="Book Antiqua" w:eastAsia="宋体" w:hAnsi="Book Antiqua" w:cs="宋体"/>
          <w:b/>
          <w:bCs/>
          <w:color w:val="000000"/>
          <w:sz w:val="21"/>
          <w:szCs w:val="21"/>
        </w:rPr>
        <w:t>84</w:t>
      </w:r>
      <w:r w:rsidRPr="009B1AD9">
        <w:rPr>
          <w:rFonts w:ascii="Book Antiqua" w:eastAsia="宋体" w:hAnsi="Book Antiqua" w:cs="宋体"/>
          <w:color w:val="000000"/>
          <w:sz w:val="21"/>
          <w:szCs w:val="21"/>
        </w:rPr>
        <w:t>: 119-131 [PMID: 22095540 DOI: 10.1002/jmv.22258]</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44 </w:t>
      </w:r>
      <w:r w:rsidRPr="009B1AD9">
        <w:rPr>
          <w:rFonts w:ascii="Book Antiqua" w:eastAsia="宋体" w:hAnsi="Book Antiqua" w:cs="宋体"/>
          <w:b/>
          <w:bCs/>
          <w:color w:val="000000"/>
          <w:sz w:val="21"/>
          <w:szCs w:val="21"/>
        </w:rPr>
        <w:t>Baroco AL</w:t>
      </w:r>
      <w:r w:rsidRPr="009B1AD9">
        <w:rPr>
          <w:rFonts w:ascii="Book Antiqua" w:eastAsia="宋体" w:hAnsi="Book Antiqua" w:cs="宋体"/>
          <w:color w:val="000000"/>
          <w:sz w:val="21"/>
          <w:szCs w:val="21"/>
        </w:rPr>
        <w:t>, Oldfield EC. Gastrointestinal cytomegalovirus disease in the immunocompromised patient. </w:t>
      </w:r>
      <w:r w:rsidRPr="009B1AD9">
        <w:rPr>
          <w:rFonts w:ascii="Book Antiqua" w:eastAsia="宋体" w:hAnsi="Book Antiqua" w:cs="宋体"/>
          <w:i/>
          <w:iCs/>
          <w:color w:val="000000"/>
          <w:sz w:val="21"/>
          <w:szCs w:val="21"/>
        </w:rPr>
        <w:t>Curr Gastroenterol Rep</w:t>
      </w:r>
      <w:r w:rsidRPr="009B1AD9">
        <w:rPr>
          <w:rFonts w:ascii="Book Antiqua" w:eastAsia="宋体" w:hAnsi="Book Antiqua" w:cs="宋体"/>
          <w:color w:val="000000"/>
          <w:sz w:val="21"/>
          <w:szCs w:val="21"/>
        </w:rPr>
        <w:t> 2008; </w:t>
      </w:r>
      <w:r w:rsidRPr="009B1AD9">
        <w:rPr>
          <w:rFonts w:ascii="Book Antiqua" w:eastAsia="宋体" w:hAnsi="Book Antiqua" w:cs="宋体"/>
          <w:b/>
          <w:bCs/>
          <w:color w:val="000000"/>
          <w:sz w:val="21"/>
          <w:szCs w:val="21"/>
        </w:rPr>
        <w:t>10</w:t>
      </w:r>
      <w:r w:rsidRPr="009B1AD9">
        <w:rPr>
          <w:rFonts w:ascii="Book Antiqua" w:eastAsia="宋体" w:hAnsi="Book Antiqua" w:cs="宋体"/>
          <w:color w:val="000000"/>
          <w:sz w:val="21"/>
          <w:szCs w:val="21"/>
        </w:rPr>
        <w:t>: 409-416 [PMID: 18627655 DOI: 10.1007/s11894-008-0077-9]</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lastRenderedPageBreak/>
        <w:t>45 </w:t>
      </w:r>
      <w:r w:rsidRPr="009B1AD9">
        <w:rPr>
          <w:rFonts w:ascii="Book Antiqua" w:eastAsia="宋体" w:hAnsi="Book Antiqua" w:cs="宋体"/>
          <w:b/>
          <w:bCs/>
          <w:color w:val="000000"/>
          <w:sz w:val="21"/>
          <w:szCs w:val="21"/>
        </w:rPr>
        <w:t>Lavagna A</w:t>
      </w:r>
      <w:r w:rsidRPr="009B1AD9">
        <w:rPr>
          <w:rFonts w:ascii="Book Antiqua" w:eastAsia="宋体" w:hAnsi="Book Antiqua" w:cs="宋体"/>
          <w:color w:val="000000"/>
          <w:sz w:val="21"/>
          <w:szCs w:val="21"/>
        </w:rPr>
        <w:t>, Bergallo M, Daperno M, Sostegni R, Costa C, Leto R, Crocellà L, Molinaro G, Rocca R, Cavallo R, Pera A. Infliximab and the risk of latent viruses reactivation in active Crohn's disease. </w:t>
      </w:r>
      <w:r w:rsidRPr="009B1AD9">
        <w:rPr>
          <w:rFonts w:ascii="Book Antiqua" w:eastAsia="宋体" w:hAnsi="Book Antiqua" w:cs="宋体"/>
          <w:i/>
          <w:iCs/>
          <w:color w:val="000000"/>
          <w:sz w:val="21"/>
          <w:szCs w:val="21"/>
        </w:rPr>
        <w:t>Inflamm Bowel Dis</w:t>
      </w:r>
      <w:r w:rsidRPr="009B1AD9">
        <w:rPr>
          <w:rFonts w:ascii="Book Antiqua" w:eastAsia="宋体" w:hAnsi="Book Antiqua" w:cs="宋体"/>
          <w:color w:val="000000"/>
          <w:sz w:val="21"/>
          <w:szCs w:val="21"/>
        </w:rPr>
        <w:t> 2007; </w:t>
      </w:r>
      <w:r w:rsidRPr="009B1AD9">
        <w:rPr>
          <w:rFonts w:ascii="Book Antiqua" w:eastAsia="宋体" w:hAnsi="Book Antiqua" w:cs="宋体"/>
          <w:b/>
          <w:bCs/>
          <w:color w:val="000000"/>
          <w:sz w:val="21"/>
          <w:szCs w:val="21"/>
        </w:rPr>
        <w:t>13</w:t>
      </w:r>
      <w:r w:rsidRPr="009B1AD9">
        <w:rPr>
          <w:rFonts w:ascii="Book Antiqua" w:eastAsia="宋体" w:hAnsi="Book Antiqua" w:cs="宋体"/>
          <w:color w:val="000000"/>
          <w:sz w:val="21"/>
          <w:szCs w:val="21"/>
        </w:rPr>
        <w:t>: 896-902 [PMID: 17345605 DOI: 10.1002/ibd.20131]</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46 </w:t>
      </w:r>
      <w:r w:rsidRPr="009B1AD9">
        <w:rPr>
          <w:rFonts w:ascii="Book Antiqua" w:eastAsia="宋体" w:hAnsi="Book Antiqua" w:cs="宋体"/>
          <w:b/>
          <w:bCs/>
          <w:color w:val="000000"/>
          <w:sz w:val="21"/>
          <w:szCs w:val="21"/>
        </w:rPr>
        <w:t>Helbling D</w:t>
      </w:r>
      <w:r w:rsidRPr="009B1AD9">
        <w:rPr>
          <w:rFonts w:ascii="Book Antiqua" w:eastAsia="宋体" w:hAnsi="Book Antiqua" w:cs="宋体"/>
          <w:color w:val="000000"/>
          <w:sz w:val="21"/>
          <w:szCs w:val="21"/>
        </w:rPr>
        <w:t>, Breitbach TH, Krause M. Disseminated cytomegalovirus infection in Crohn's disease following anti-tumour necrosis factor therapy. </w:t>
      </w:r>
      <w:r w:rsidRPr="009B1AD9">
        <w:rPr>
          <w:rFonts w:ascii="Book Antiqua" w:eastAsia="宋体" w:hAnsi="Book Antiqua" w:cs="宋体"/>
          <w:i/>
          <w:iCs/>
          <w:color w:val="000000"/>
          <w:sz w:val="21"/>
          <w:szCs w:val="21"/>
        </w:rPr>
        <w:t>Eur J Gastroenterol Hepatol</w:t>
      </w:r>
      <w:r w:rsidRPr="009B1AD9">
        <w:rPr>
          <w:rFonts w:ascii="Book Antiqua" w:eastAsia="宋体" w:hAnsi="Book Antiqua" w:cs="宋体"/>
          <w:color w:val="000000"/>
          <w:sz w:val="21"/>
          <w:szCs w:val="21"/>
        </w:rPr>
        <w:t> 2002; </w:t>
      </w:r>
      <w:r w:rsidRPr="009B1AD9">
        <w:rPr>
          <w:rFonts w:ascii="Book Antiqua" w:eastAsia="宋体" w:hAnsi="Book Antiqua" w:cs="宋体"/>
          <w:b/>
          <w:bCs/>
          <w:color w:val="000000"/>
          <w:sz w:val="21"/>
          <w:szCs w:val="21"/>
        </w:rPr>
        <w:t>14</w:t>
      </w:r>
      <w:r w:rsidRPr="009B1AD9">
        <w:rPr>
          <w:rFonts w:ascii="Book Antiqua" w:eastAsia="宋体" w:hAnsi="Book Antiqua" w:cs="宋体"/>
          <w:color w:val="000000"/>
          <w:sz w:val="21"/>
          <w:szCs w:val="21"/>
        </w:rPr>
        <w:t>: 1393-1395 [PMID: 12468964 DOI: 10.1097/00042737-200212000-00018]</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47 </w:t>
      </w:r>
      <w:r w:rsidRPr="009B1AD9">
        <w:rPr>
          <w:rFonts w:ascii="Book Antiqua" w:eastAsia="宋体" w:hAnsi="Book Antiqua" w:cs="宋体"/>
          <w:b/>
          <w:bCs/>
          <w:color w:val="000000"/>
          <w:sz w:val="21"/>
          <w:szCs w:val="21"/>
        </w:rPr>
        <w:t>Nebbia G</w:t>
      </w:r>
      <w:r w:rsidRPr="009B1AD9">
        <w:rPr>
          <w:rFonts w:ascii="Book Antiqua" w:eastAsia="宋体" w:hAnsi="Book Antiqua" w:cs="宋体"/>
          <w:color w:val="000000"/>
          <w:sz w:val="21"/>
          <w:szCs w:val="21"/>
        </w:rPr>
        <w:t>, Mattes FM, Sabin CA, Samonakis D, Rolando N, Burroughs AK, Emery VC. Differential effects of prednisolone and azathioprine on the development of human cytomegalovirus replication post liver transplantation. </w:t>
      </w:r>
      <w:r w:rsidRPr="009B1AD9">
        <w:rPr>
          <w:rFonts w:ascii="Book Antiqua" w:eastAsia="宋体" w:hAnsi="Book Antiqua" w:cs="宋体"/>
          <w:i/>
          <w:iCs/>
          <w:color w:val="000000"/>
          <w:sz w:val="21"/>
          <w:szCs w:val="21"/>
        </w:rPr>
        <w:t>Transplantation</w:t>
      </w:r>
      <w:r w:rsidRPr="009B1AD9">
        <w:rPr>
          <w:rFonts w:ascii="Book Antiqua" w:eastAsia="宋体" w:hAnsi="Book Antiqua" w:cs="宋体"/>
          <w:color w:val="000000"/>
          <w:sz w:val="21"/>
          <w:szCs w:val="21"/>
        </w:rPr>
        <w:t> 2007; </w:t>
      </w:r>
      <w:r w:rsidRPr="009B1AD9">
        <w:rPr>
          <w:rFonts w:ascii="Book Antiqua" w:eastAsia="宋体" w:hAnsi="Book Antiqua" w:cs="宋体"/>
          <w:b/>
          <w:bCs/>
          <w:color w:val="000000"/>
          <w:sz w:val="21"/>
          <w:szCs w:val="21"/>
        </w:rPr>
        <w:t>84</w:t>
      </w:r>
      <w:r w:rsidRPr="009B1AD9">
        <w:rPr>
          <w:rFonts w:ascii="Book Antiqua" w:eastAsia="宋体" w:hAnsi="Book Antiqua" w:cs="宋体"/>
          <w:color w:val="000000"/>
          <w:sz w:val="21"/>
          <w:szCs w:val="21"/>
        </w:rPr>
        <w:t>: 605-610 [PMID: 17876273 DOI: 10.1097/01.tp.0000280555.08651.11]</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48 </w:t>
      </w:r>
      <w:r w:rsidRPr="009B1AD9">
        <w:rPr>
          <w:rFonts w:ascii="Book Antiqua" w:eastAsia="宋体" w:hAnsi="Book Antiqua" w:cs="宋体"/>
          <w:b/>
          <w:bCs/>
          <w:color w:val="000000"/>
          <w:sz w:val="21"/>
          <w:szCs w:val="21"/>
        </w:rPr>
        <w:t>Forbes BA</w:t>
      </w:r>
      <w:r w:rsidRPr="009B1AD9">
        <w:rPr>
          <w:rFonts w:ascii="Book Antiqua" w:eastAsia="宋体" w:hAnsi="Book Antiqua" w:cs="宋体"/>
          <w:color w:val="000000"/>
          <w:sz w:val="21"/>
          <w:szCs w:val="21"/>
        </w:rPr>
        <w:t>, Bonville CA, Dock NL. The effects of a promoter of cell differentiation and selected hormones on human cytomegalovirus infection using an in vitro cell system. </w:t>
      </w:r>
      <w:r w:rsidRPr="009B1AD9">
        <w:rPr>
          <w:rFonts w:ascii="Book Antiqua" w:eastAsia="宋体" w:hAnsi="Book Antiqua" w:cs="宋体"/>
          <w:i/>
          <w:iCs/>
          <w:color w:val="000000"/>
          <w:sz w:val="21"/>
          <w:szCs w:val="21"/>
        </w:rPr>
        <w:t>J Infect Dis</w:t>
      </w:r>
      <w:r w:rsidRPr="009B1AD9">
        <w:rPr>
          <w:rFonts w:ascii="Book Antiqua" w:eastAsia="宋体" w:hAnsi="Book Antiqua" w:cs="宋体"/>
          <w:color w:val="000000"/>
          <w:sz w:val="21"/>
          <w:szCs w:val="21"/>
        </w:rPr>
        <w:t> 1990; </w:t>
      </w:r>
      <w:r w:rsidRPr="009B1AD9">
        <w:rPr>
          <w:rFonts w:ascii="Book Antiqua" w:eastAsia="宋体" w:hAnsi="Book Antiqua" w:cs="宋体"/>
          <w:b/>
          <w:bCs/>
          <w:color w:val="000000"/>
          <w:sz w:val="21"/>
          <w:szCs w:val="21"/>
        </w:rPr>
        <w:t>162</w:t>
      </w:r>
      <w:r w:rsidRPr="009B1AD9">
        <w:rPr>
          <w:rFonts w:ascii="Book Antiqua" w:eastAsia="宋体" w:hAnsi="Book Antiqua" w:cs="宋体"/>
          <w:color w:val="000000"/>
          <w:sz w:val="21"/>
          <w:szCs w:val="21"/>
        </w:rPr>
        <w:t>: 39-45 [PMID: 1693943 DOI: 10.1093/infdis/162.1.39]</w:t>
      </w:r>
    </w:p>
    <w:p w:rsidR="00AE6DDF" w:rsidRPr="009B1AD9" w:rsidRDefault="00AE6DDF" w:rsidP="00093495">
      <w:pPr>
        <w:adjustRightInd w:val="0"/>
        <w:snapToGrid w:val="0"/>
        <w:spacing w:line="360" w:lineRule="auto"/>
        <w:jc w:val="both"/>
        <w:rPr>
          <w:rFonts w:ascii="Book Antiqua" w:eastAsia="宋体" w:hAnsi="Book Antiqua" w:cs="宋体"/>
          <w:color w:val="000000"/>
          <w:sz w:val="21"/>
          <w:szCs w:val="21"/>
        </w:rPr>
      </w:pPr>
      <w:r w:rsidRPr="009B1AD9">
        <w:rPr>
          <w:rFonts w:ascii="Book Antiqua" w:eastAsia="宋体" w:hAnsi="Book Antiqua" w:cs="宋体"/>
          <w:color w:val="000000"/>
          <w:sz w:val="21"/>
          <w:szCs w:val="21"/>
        </w:rPr>
        <w:t>49 </w:t>
      </w:r>
      <w:r w:rsidRPr="009B1AD9">
        <w:rPr>
          <w:rFonts w:ascii="Book Antiqua" w:eastAsia="宋体" w:hAnsi="Book Antiqua" w:cs="宋体"/>
          <w:b/>
          <w:bCs/>
          <w:color w:val="000000"/>
          <w:sz w:val="21"/>
          <w:szCs w:val="21"/>
        </w:rPr>
        <w:t>Gerna G</w:t>
      </w:r>
      <w:r w:rsidRPr="009B1AD9">
        <w:rPr>
          <w:rFonts w:ascii="Book Antiqua" w:eastAsia="宋体" w:hAnsi="Book Antiqua" w:cs="宋体"/>
          <w:color w:val="000000"/>
          <w:sz w:val="21"/>
          <w:szCs w:val="21"/>
        </w:rPr>
        <w:t>, Lilleri D, Furione M, Castiglioni B, Meloni F, Rampino T, Agozzino M, Arbustini E. Human cytomegalovirus end-organ disease is associated with high or low systemic viral load in preemptively treated solid-organ transplant recipients. </w:t>
      </w:r>
      <w:r w:rsidRPr="009B1AD9">
        <w:rPr>
          <w:rFonts w:ascii="Book Antiqua" w:eastAsia="宋体" w:hAnsi="Book Antiqua" w:cs="宋体"/>
          <w:i/>
          <w:iCs/>
          <w:color w:val="000000"/>
          <w:sz w:val="21"/>
          <w:szCs w:val="21"/>
        </w:rPr>
        <w:t>New Microbiol</w:t>
      </w:r>
      <w:r w:rsidRPr="009B1AD9">
        <w:rPr>
          <w:rFonts w:ascii="Book Antiqua" w:eastAsia="宋体" w:hAnsi="Book Antiqua" w:cs="宋体"/>
          <w:color w:val="000000"/>
          <w:sz w:val="21"/>
          <w:szCs w:val="21"/>
        </w:rPr>
        <w:t> 2012; </w:t>
      </w:r>
      <w:r w:rsidRPr="009B1AD9">
        <w:rPr>
          <w:rFonts w:ascii="Book Antiqua" w:eastAsia="宋体" w:hAnsi="Book Antiqua" w:cs="宋体"/>
          <w:b/>
          <w:bCs/>
          <w:color w:val="000000"/>
          <w:sz w:val="21"/>
          <w:szCs w:val="21"/>
        </w:rPr>
        <w:t>35</w:t>
      </w:r>
      <w:r w:rsidRPr="009B1AD9">
        <w:rPr>
          <w:rFonts w:ascii="Book Antiqua" w:eastAsia="宋体" w:hAnsi="Book Antiqua" w:cs="宋体"/>
          <w:color w:val="000000"/>
          <w:sz w:val="21"/>
          <w:szCs w:val="21"/>
        </w:rPr>
        <w:t>: 279-287 [PMID: 22842597]</w:t>
      </w:r>
    </w:p>
    <w:p w:rsidR="00AE6DDF" w:rsidRPr="009B1AD9" w:rsidRDefault="00AE6DDF" w:rsidP="00093495">
      <w:pPr>
        <w:adjustRightInd w:val="0"/>
        <w:snapToGrid w:val="0"/>
        <w:spacing w:line="360" w:lineRule="auto"/>
        <w:jc w:val="both"/>
        <w:rPr>
          <w:rFonts w:ascii="Book Antiqua" w:hAnsi="Book Antiqua"/>
          <w:sz w:val="21"/>
          <w:szCs w:val="21"/>
        </w:rPr>
      </w:pPr>
    </w:p>
    <w:p w:rsidR="00AE6DDF" w:rsidRPr="00C84859" w:rsidRDefault="00AE6DDF" w:rsidP="00093495">
      <w:pPr>
        <w:adjustRightInd w:val="0"/>
        <w:snapToGrid w:val="0"/>
        <w:spacing w:line="360" w:lineRule="auto"/>
        <w:ind w:left="316" w:hangingChars="150" w:hanging="316"/>
        <w:jc w:val="right"/>
        <w:rPr>
          <w:rFonts w:ascii="Book Antiqua" w:hAnsi="Book Antiqua"/>
          <w:sz w:val="21"/>
          <w:szCs w:val="21"/>
        </w:rPr>
      </w:pPr>
      <w:r w:rsidRPr="00C84859">
        <w:rPr>
          <w:rFonts w:ascii="Book Antiqua" w:hAnsi="Book Antiqua"/>
          <w:b/>
          <w:bCs/>
          <w:sz w:val="21"/>
          <w:szCs w:val="21"/>
        </w:rPr>
        <w:t>P-Reviewer</w:t>
      </w:r>
      <w:r w:rsidRPr="00C84859">
        <w:rPr>
          <w:rFonts w:ascii="Book Antiqua" w:hAnsi="Book Antiqua" w:hint="eastAsia"/>
          <w:b/>
          <w:bCs/>
          <w:sz w:val="21"/>
          <w:szCs w:val="21"/>
        </w:rPr>
        <w:t>:</w:t>
      </w:r>
      <w:r w:rsidRPr="00C84859">
        <w:rPr>
          <w:rFonts w:ascii="Book Antiqua" w:hAnsi="Book Antiqua"/>
          <w:b/>
          <w:bCs/>
          <w:sz w:val="21"/>
          <w:szCs w:val="21"/>
        </w:rPr>
        <w:t xml:space="preserve"> </w:t>
      </w:r>
      <w:r w:rsidR="00C84859" w:rsidRPr="00C84859">
        <w:rPr>
          <w:rFonts w:ascii="Book Antiqua" w:hAnsi="Book Antiqua"/>
          <w:bCs/>
          <w:sz w:val="21"/>
          <w:szCs w:val="21"/>
        </w:rPr>
        <w:t>Blonski</w:t>
      </w:r>
      <w:r w:rsidR="00C84859" w:rsidRPr="00C84859">
        <w:rPr>
          <w:rFonts w:ascii="Book Antiqua" w:eastAsiaTheme="minorEastAsia" w:hAnsi="Book Antiqua" w:hint="eastAsia"/>
          <w:bCs/>
          <w:sz w:val="21"/>
          <w:szCs w:val="21"/>
        </w:rPr>
        <w:t xml:space="preserve"> W, </w:t>
      </w:r>
      <w:r w:rsidR="00C84859" w:rsidRPr="00C84859">
        <w:rPr>
          <w:rFonts w:ascii="Book Antiqua" w:eastAsiaTheme="minorEastAsia" w:hAnsi="Book Antiqua"/>
          <w:bCs/>
          <w:sz w:val="21"/>
          <w:szCs w:val="21"/>
        </w:rPr>
        <w:t>Day AS</w:t>
      </w:r>
      <w:r w:rsidR="00C84859" w:rsidRPr="00C84859">
        <w:rPr>
          <w:rFonts w:ascii="Book Antiqua" w:eastAsiaTheme="minorEastAsia" w:hAnsi="Book Antiqua" w:hint="eastAsia"/>
          <w:bCs/>
          <w:sz w:val="21"/>
          <w:szCs w:val="21"/>
        </w:rPr>
        <w:t xml:space="preserve">, </w:t>
      </w:r>
      <w:r w:rsidR="00C84859" w:rsidRPr="00C84859">
        <w:rPr>
          <w:rFonts w:ascii="Book Antiqua" w:eastAsiaTheme="minorEastAsia" w:hAnsi="Book Antiqua"/>
          <w:bCs/>
          <w:sz w:val="21"/>
          <w:szCs w:val="21"/>
        </w:rPr>
        <w:t>Fries W</w:t>
      </w:r>
      <w:r w:rsidR="00C84859" w:rsidRPr="00C84859">
        <w:rPr>
          <w:rFonts w:ascii="Book Antiqua" w:eastAsiaTheme="minorEastAsia" w:hAnsi="Book Antiqua" w:hint="eastAsia"/>
          <w:bCs/>
          <w:sz w:val="21"/>
          <w:szCs w:val="21"/>
        </w:rPr>
        <w:t xml:space="preserve">, </w:t>
      </w:r>
      <w:r w:rsidR="00C84859" w:rsidRPr="00C84859">
        <w:rPr>
          <w:rFonts w:ascii="Book Antiqua" w:eastAsiaTheme="minorEastAsia" w:hAnsi="Book Antiqua"/>
          <w:bCs/>
          <w:sz w:val="21"/>
          <w:szCs w:val="21"/>
        </w:rPr>
        <w:t>Gaertner</w:t>
      </w:r>
      <w:r w:rsidR="00C84859" w:rsidRPr="00C84859">
        <w:rPr>
          <w:rFonts w:ascii="Book Antiqua" w:eastAsiaTheme="minorEastAsia" w:hAnsi="Book Antiqua" w:hint="eastAsia"/>
          <w:bCs/>
          <w:sz w:val="21"/>
          <w:szCs w:val="21"/>
        </w:rPr>
        <w:t xml:space="preserve"> W</w:t>
      </w:r>
      <w:r w:rsidR="00C84859" w:rsidRPr="00C84859">
        <w:rPr>
          <w:rFonts w:ascii="Book Antiqua" w:eastAsiaTheme="minorEastAsia" w:hAnsi="Book Antiqua" w:hint="eastAsia"/>
          <w:b/>
          <w:bCs/>
          <w:sz w:val="21"/>
          <w:szCs w:val="21"/>
        </w:rPr>
        <w:t xml:space="preserve"> </w:t>
      </w:r>
      <w:r w:rsidRPr="00C84859">
        <w:rPr>
          <w:rFonts w:ascii="Book Antiqua" w:hAnsi="Book Antiqua"/>
          <w:b/>
          <w:bCs/>
          <w:sz w:val="21"/>
          <w:szCs w:val="21"/>
        </w:rPr>
        <w:t>S-Editor</w:t>
      </w:r>
      <w:r w:rsidRPr="00C84859">
        <w:rPr>
          <w:rFonts w:ascii="Book Antiqua" w:hAnsi="Book Antiqua" w:hint="eastAsia"/>
          <w:b/>
          <w:bCs/>
          <w:sz w:val="21"/>
          <w:szCs w:val="21"/>
        </w:rPr>
        <w:t>:</w:t>
      </w:r>
      <w:r w:rsidRPr="00C84859">
        <w:rPr>
          <w:rFonts w:ascii="Book Antiqua" w:hAnsi="Book Antiqua"/>
          <w:sz w:val="21"/>
          <w:szCs w:val="21"/>
        </w:rPr>
        <w:t xml:space="preserve"> </w:t>
      </w:r>
      <w:r w:rsidRPr="00C84859">
        <w:rPr>
          <w:rFonts w:ascii="Book Antiqua" w:eastAsiaTheme="minorEastAsia" w:hAnsi="Book Antiqua" w:hint="eastAsia"/>
          <w:sz w:val="21"/>
          <w:szCs w:val="21"/>
        </w:rPr>
        <w:t>Ma YJ</w:t>
      </w:r>
      <w:r w:rsidRPr="00C84859">
        <w:rPr>
          <w:rFonts w:ascii="Book Antiqua" w:hAnsi="Book Antiqua"/>
          <w:sz w:val="21"/>
          <w:szCs w:val="21"/>
        </w:rPr>
        <w:t xml:space="preserve"> </w:t>
      </w:r>
      <w:r w:rsidRPr="00C84859">
        <w:rPr>
          <w:rFonts w:ascii="Book Antiqua" w:hAnsi="Book Antiqua"/>
          <w:b/>
          <w:bCs/>
          <w:sz w:val="21"/>
          <w:szCs w:val="21"/>
        </w:rPr>
        <w:t>L-Editor</w:t>
      </w:r>
      <w:r w:rsidRPr="00C84859">
        <w:rPr>
          <w:rFonts w:ascii="Book Antiqua" w:hAnsi="Book Antiqua" w:hint="eastAsia"/>
          <w:b/>
          <w:bCs/>
          <w:sz w:val="21"/>
          <w:szCs w:val="21"/>
        </w:rPr>
        <w:t>:</w:t>
      </w:r>
      <w:r w:rsidRPr="00C84859">
        <w:rPr>
          <w:rFonts w:ascii="Book Antiqua" w:hAnsi="Book Antiqua"/>
          <w:sz w:val="21"/>
          <w:szCs w:val="21"/>
        </w:rPr>
        <w:t xml:space="preserve">  </w:t>
      </w:r>
      <w:r w:rsidRPr="00C84859">
        <w:rPr>
          <w:rFonts w:ascii="Book Antiqua" w:hAnsi="Book Antiqua"/>
          <w:b/>
          <w:bCs/>
          <w:sz w:val="21"/>
          <w:szCs w:val="21"/>
        </w:rPr>
        <w:t>E-Editor</w:t>
      </w:r>
      <w:r w:rsidRPr="00C84859">
        <w:rPr>
          <w:rFonts w:ascii="Book Antiqua" w:hAnsi="Book Antiqua" w:hint="eastAsia"/>
          <w:b/>
          <w:bCs/>
          <w:sz w:val="21"/>
          <w:szCs w:val="21"/>
        </w:rPr>
        <w:t>:</w:t>
      </w:r>
    </w:p>
    <w:p w:rsidR="00AE6DDF" w:rsidRPr="00C84859" w:rsidRDefault="00AE6DDF" w:rsidP="00093495">
      <w:pPr>
        <w:widowControl w:val="0"/>
        <w:suppressAutoHyphens w:val="0"/>
        <w:adjustRightInd w:val="0"/>
        <w:snapToGrid w:val="0"/>
        <w:spacing w:line="360" w:lineRule="auto"/>
        <w:jc w:val="right"/>
        <w:rPr>
          <w:rFonts w:ascii="Book Antiqua" w:eastAsiaTheme="minorEastAsia" w:hAnsi="Book Antiqua" w:cs="Arial"/>
          <w:b/>
          <w:sz w:val="24"/>
          <w:szCs w:val="24"/>
        </w:rPr>
      </w:pPr>
    </w:p>
    <w:p w:rsidR="009064E0" w:rsidRPr="00C84859" w:rsidRDefault="009064E0"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r w:rsidRPr="00A06BF8">
        <w:rPr>
          <w:rFonts w:ascii="Book Antiqua" w:hAnsi="Book Antiqua" w:cs="Arial"/>
          <w:b/>
          <w:sz w:val="24"/>
          <w:szCs w:val="24"/>
          <w:lang w:val="en-US"/>
        </w:rPr>
        <w:br w:type="page"/>
      </w:r>
      <w:r w:rsidR="00C84859" w:rsidRPr="00C84859">
        <w:rPr>
          <w:rFonts w:ascii="Book Antiqua" w:hAnsi="Book Antiqua" w:cs="Arial"/>
          <w:b/>
          <w:sz w:val="24"/>
          <w:szCs w:val="24"/>
          <w:lang w:val="en-US"/>
        </w:rPr>
        <w:lastRenderedPageBreak/>
        <w:t>Table 1</w:t>
      </w:r>
      <w:r w:rsidRPr="00C84859">
        <w:rPr>
          <w:rFonts w:ascii="Book Antiqua" w:hAnsi="Book Antiqua" w:cs="Arial"/>
          <w:b/>
          <w:sz w:val="24"/>
          <w:szCs w:val="24"/>
          <w:lang w:val="en-US"/>
        </w:rPr>
        <w:t xml:space="preserve"> Demographic and clinical features of infl</w:t>
      </w:r>
      <w:r w:rsidR="00C84859" w:rsidRPr="00C84859">
        <w:rPr>
          <w:rFonts w:ascii="Book Antiqua" w:hAnsi="Book Antiqua" w:cs="Arial"/>
          <w:b/>
          <w:sz w:val="24"/>
          <w:szCs w:val="24"/>
          <w:lang w:val="en-US"/>
        </w:rPr>
        <w:t>ammatory bowel disease patients</w:t>
      </w:r>
    </w:p>
    <w:tbl>
      <w:tblPr>
        <w:tblW w:w="10065" w:type="dxa"/>
        <w:tblInd w:w="108" w:type="dxa"/>
        <w:tblBorders>
          <w:top w:val="single" w:sz="4" w:space="0" w:color="auto"/>
          <w:bottom w:val="single" w:sz="4" w:space="0" w:color="auto"/>
        </w:tblBorders>
        <w:tblLayout w:type="fixed"/>
        <w:tblLook w:val="0000" w:firstRow="0" w:lastRow="0" w:firstColumn="0" w:lastColumn="0" w:noHBand="0" w:noVBand="0"/>
      </w:tblPr>
      <w:tblGrid>
        <w:gridCol w:w="2694"/>
        <w:gridCol w:w="1842"/>
        <w:gridCol w:w="1843"/>
        <w:gridCol w:w="1843"/>
        <w:gridCol w:w="1843"/>
      </w:tblGrid>
      <w:tr w:rsidR="009064E0" w:rsidRPr="00C84859" w:rsidTr="00C84859">
        <w:trPr>
          <w:cantSplit/>
        </w:trPr>
        <w:tc>
          <w:tcPr>
            <w:tcW w:w="2694" w:type="dxa"/>
            <w:tcBorders>
              <w:top w:val="single" w:sz="4" w:space="0" w:color="auto"/>
              <w:bottom w:val="single" w:sz="4" w:space="0" w:color="auto"/>
            </w:tcBorders>
          </w:tcPr>
          <w:p w:rsidR="009064E0" w:rsidRPr="00C84859" w:rsidRDefault="009064E0" w:rsidP="00093495">
            <w:pPr>
              <w:widowControl w:val="0"/>
              <w:suppressAutoHyphens w:val="0"/>
              <w:adjustRightInd w:val="0"/>
              <w:snapToGrid w:val="0"/>
              <w:spacing w:line="360" w:lineRule="auto"/>
              <w:jc w:val="both"/>
              <w:rPr>
                <w:rFonts w:ascii="Book Antiqua" w:hAnsi="Book Antiqua"/>
                <w:sz w:val="24"/>
                <w:szCs w:val="24"/>
                <w:lang w:val="en-US"/>
              </w:rPr>
            </w:pPr>
          </w:p>
        </w:tc>
        <w:tc>
          <w:tcPr>
            <w:tcW w:w="1842" w:type="dxa"/>
            <w:tcBorders>
              <w:top w:val="single" w:sz="4" w:space="0" w:color="auto"/>
              <w:bottom w:val="single" w:sz="4" w:space="0" w:color="auto"/>
            </w:tcBorders>
          </w:tcPr>
          <w:p w:rsidR="009064E0" w:rsidRPr="00C84859" w:rsidRDefault="00C84859" w:rsidP="00093495">
            <w:pPr>
              <w:widowControl w:val="0"/>
              <w:suppressAutoHyphens w:val="0"/>
              <w:adjustRightInd w:val="0"/>
              <w:snapToGrid w:val="0"/>
              <w:spacing w:line="360" w:lineRule="auto"/>
              <w:jc w:val="both"/>
              <w:rPr>
                <w:rFonts w:ascii="Book Antiqua" w:eastAsiaTheme="minorEastAsia" w:hAnsi="Book Antiqua" w:cs="Calibri"/>
                <w:b/>
                <w:color w:val="000000"/>
                <w:sz w:val="24"/>
                <w:szCs w:val="24"/>
                <w:lang w:val="en-US"/>
              </w:rPr>
            </w:pPr>
            <w:r>
              <w:rPr>
                <w:rFonts w:ascii="Book Antiqua" w:hAnsi="Book Antiqua" w:cs="Calibri"/>
                <w:b/>
                <w:color w:val="000000"/>
                <w:sz w:val="24"/>
                <w:szCs w:val="24"/>
                <w:lang w:val="en-US"/>
              </w:rPr>
              <w:t>Responders</w:t>
            </w:r>
          </w:p>
        </w:tc>
        <w:tc>
          <w:tcPr>
            <w:tcW w:w="1843" w:type="dxa"/>
            <w:tcBorders>
              <w:top w:val="single" w:sz="4" w:space="0" w:color="auto"/>
              <w:bottom w:val="single" w:sz="4" w:space="0" w:color="auto"/>
            </w:tcBorders>
          </w:tcPr>
          <w:p w:rsidR="009064E0" w:rsidRPr="00C84859" w:rsidRDefault="009064E0" w:rsidP="00093495">
            <w:pPr>
              <w:widowControl w:val="0"/>
              <w:suppressAutoHyphens w:val="0"/>
              <w:adjustRightInd w:val="0"/>
              <w:snapToGrid w:val="0"/>
              <w:spacing w:line="360" w:lineRule="auto"/>
              <w:jc w:val="both"/>
              <w:rPr>
                <w:rFonts w:ascii="Book Antiqua" w:hAnsi="Book Antiqua"/>
                <w:sz w:val="24"/>
                <w:szCs w:val="24"/>
                <w:lang w:val="en-US"/>
              </w:rPr>
            </w:pPr>
            <w:r w:rsidRPr="00C84859">
              <w:rPr>
                <w:rFonts w:ascii="Book Antiqua" w:hAnsi="Book Antiqua" w:cs="Calibri"/>
                <w:b/>
                <w:color w:val="000000"/>
                <w:sz w:val="24"/>
                <w:szCs w:val="24"/>
                <w:lang w:val="en-US"/>
              </w:rPr>
              <w:t>Refractory</w:t>
            </w:r>
          </w:p>
        </w:tc>
        <w:tc>
          <w:tcPr>
            <w:tcW w:w="1843" w:type="dxa"/>
            <w:tcBorders>
              <w:top w:val="single" w:sz="4" w:space="0" w:color="auto"/>
              <w:bottom w:val="single" w:sz="4" w:space="0" w:color="auto"/>
            </w:tcBorders>
          </w:tcPr>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r w:rsidRPr="00C84859">
              <w:rPr>
                <w:rFonts w:ascii="Book Antiqua" w:hAnsi="Book Antiqua" w:cs="Calibri"/>
                <w:b/>
                <w:color w:val="000000"/>
                <w:sz w:val="24"/>
                <w:szCs w:val="24"/>
                <w:lang w:val="en-US"/>
              </w:rPr>
              <w:t>Controls</w:t>
            </w:r>
          </w:p>
        </w:tc>
        <w:tc>
          <w:tcPr>
            <w:tcW w:w="1843" w:type="dxa"/>
            <w:tcBorders>
              <w:top w:val="single" w:sz="4" w:space="0" w:color="auto"/>
              <w:bottom w:val="single" w:sz="4" w:space="0" w:color="auto"/>
            </w:tcBorders>
          </w:tcPr>
          <w:p w:rsidR="009064E0" w:rsidRPr="00C84859" w:rsidRDefault="009064E0" w:rsidP="00093495">
            <w:pPr>
              <w:widowControl w:val="0"/>
              <w:suppressAutoHyphens w:val="0"/>
              <w:adjustRightInd w:val="0"/>
              <w:snapToGrid w:val="0"/>
              <w:spacing w:line="360" w:lineRule="auto"/>
              <w:jc w:val="both"/>
              <w:rPr>
                <w:rFonts w:ascii="Book Antiqua" w:eastAsiaTheme="minorEastAsia" w:hAnsi="Book Antiqua" w:cs="Calibri"/>
                <w:b/>
                <w:color w:val="000000"/>
                <w:sz w:val="24"/>
                <w:szCs w:val="24"/>
                <w:lang w:val="en-US"/>
              </w:rPr>
            </w:pPr>
            <w:r w:rsidRPr="00C84859">
              <w:rPr>
                <w:rFonts w:ascii="Book Antiqua" w:hAnsi="Book Antiqua" w:cs="Calibri"/>
                <w:b/>
                <w:i/>
                <w:color w:val="000000"/>
                <w:sz w:val="24"/>
                <w:szCs w:val="24"/>
                <w:lang w:val="en-US"/>
              </w:rPr>
              <w:t>P</w:t>
            </w:r>
            <w:r w:rsidR="00C84859">
              <w:rPr>
                <w:rFonts w:ascii="Book Antiqua" w:hAnsi="Book Antiqua" w:cs="Calibri"/>
                <w:b/>
                <w:color w:val="000000"/>
                <w:sz w:val="24"/>
                <w:szCs w:val="24"/>
                <w:lang w:val="en-US"/>
              </w:rPr>
              <w:t xml:space="preserve"> value</w:t>
            </w:r>
          </w:p>
        </w:tc>
      </w:tr>
      <w:tr w:rsidR="009064E0" w:rsidRPr="00A06BF8" w:rsidTr="00C84859">
        <w:tc>
          <w:tcPr>
            <w:tcW w:w="2694" w:type="dxa"/>
            <w:tcBorders>
              <w:top w:val="single" w:sz="4" w:space="0" w:color="auto"/>
            </w:tcBorders>
          </w:tcPr>
          <w:p w:rsidR="009064E0" w:rsidRPr="00C84859"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C84859">
              <w:rPr>
                <w:rFonts w:ascii="Book Antiqua" w:hAnsi="Book Antiqua" w:cs="Calibri"/>
                <w:b/>
                <w:color w:val="000000"/>
                <w:sz w:val="24"/>
                <w:szCs w:val="24"/>
                <w:lang w:val="en-US"/>
              </w:rPr>
              <w:t>Number of patients</w:t>
            </w:r>
          </w:p>
        </w:tc>
        <w:tc>
          <w:tcPr>
            <w:tcW w:w="1842" w:type="dxa"/>
            <w:tcBorders>
              <w:top w:val="single" w:sz="4" w:space="0" w:color="auto"/>
            </w:tcBorders>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23</w:t>
            </w:r>
          </w:p>
        </w:tc>
        <w:tc>
          <w:tcPr>
            <w:tcW w:w="1843" w:type="dxa"/>
            <w:tcBorders>
              <w:top w:val="single" w:sz="4" w:space="0" w:color="auto"/>
            </w:tcBorders>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17</w:t>
            </w:r>
          </w:p>
        </w:tc>
        <w:tc>
          <w:tcPr>
            <w:tcW w:w="1843" w:type="dxa"/>
            <w:tcBorders>
              <w:top w:val="single" w:sz="4" w:space="0" w:color="auto"/>
            </w:tcBorders>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40</w:t>
            </w:r>
          </w:p>
        </w:tc>
        <w:tc>
          <w:tcPr>
            <w:tcW w:w="1843" w:type="dxa"/>
            <w:tcBorders>
              <w:top w:val="single" w:sz="4" w:space="0" w:color="auto"/>
            </w:tcBorders>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tc>
      </w:tr>
      <w:tr w:rsidR="009064E0" w:rsidRPr="00A06BF8" w:rsidTr="00C84859">
        <w:tc>
          <w:tcPr>
            <w:tcW w:w="2694" w:type="dxa"/>
          </w:tcPr>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r w:rsidRPr="00C84859">
              <w:rPr>
                <w:rFonts w:ascii="Book Antiqua" w:hAnsi="Book Antiqua" w:cs="Calibri"/>
                <w:b/>
                <w:color w:val="000000"/>
                <w:sz w:val="24"/>
                <w:szCs w:val="24"/>
                <w:lang w:val="en-US"/>
              </w:rPr>
              <w:t>Male/Female</w:t>
            </w:r>
          </w:p>
          <w:p w:rsidR="009064E0" w:rsidRPr="00C84859" w:rsidRDefault="009064E0" w:rsidP="00093495">
            <w:pPr>
              <w:widowControl w:val="0"/>
              <w:suppressAutoHyphens w:val="0"/>
              <w:adjustRightInd w:val="0"/>
              <w:snapToGrid w:val="0"/>
              <w:spacing w:line="360" w:lineRule="auto"/>
              <w:jc w:val="both"/>
              <w:rPr>
                <w:rFonts w:ascii="Book Antiqua" w:eastAsiaTheme="minorEastAsia" w:hAnsi="Book Antiqua" w:cs="Calibri"/>
                <w:color w:val="000000"/>
                <w:sz w:val="24"/>
                <w:szCs w:val="24"/>
                <w:lang w:val="en-US"/>
              </w:rPr>
            </w:pPr>
            <w:r w:rsidRPr="00C84859">
              <w:rPr>
                <w:rFonts w:ascii="Book Antiqua" w:hAnsi="Book Antiqua" w:cs="Calibri"/>
                <w:b/>
                <w:color w:val="000000"/>
                <w:sz w:val="24"/>
                <w:szCs w:val="24"/>
                <w:lang w:val="en-US"/>
              </w:rPr>
              <w:t>Body mass index</w:t>
            </w:r>
            <w:r w:rsidR="00C84859">
              <w:rPr>
                <w:rFonts w:ascii="Book Antiqua" w:eastAsiaTheme="minorEastAsia" w:hAnsi="Book Antiqua" w:cs="Calibri" w:hint="eastAsia"/>
                <w:b/>
                <w:color w:val="000000"/>
                <w:sz w:val="24"/>
                <w:szCs w:val="24"/>
                <w:vertAlign w:val="superscript"/>
                <w:lang w:val="en-US"/>
              </w:rPr>
              <w:t>1</w:t>
            </w:r>
          </w:p>
        </w:tc>
        <w:tc>
          <w:tcPr>
            <w:tcW w:w="1842"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14/9</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22.8 (19.9-26.4)</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9/8</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20.3 (16.4-22.5)</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24/16</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23.4 (18.9-27.3)</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tc>
      </w:tr>
      <w:tr w:rsidR="009064E0" w:rsidRPr="00A06BF8" w:rsidTr="00C84859">
        <w:tc>
          <w:tcPr>
            <w:tcW w:w="2694" w:type="dxa"/>
          </w:tcPr>
          <w:p w:rsidR="009064E0" w:rsidRPr="00C84859" w:rsidRDefault="009064E0" w:rsidP="00093495">
            <w:pPr>
              <w:widowControl w:val="0"/>
              <w:suppressAutoHyphens w:val="0"/>
              <w:adjustRightInd w:val="0"/>
              <w:snapToGrid w:val="0"/>
              <w:spacing w:line="360" w:lineRule="auto"/>
              <w:jc w:val="both"/>
              <w:rPr>
                <w:rFonts w:ascii="Book Antiqua" w:eastAsiaTheme="minorEastAsia" w:hAnsi="Book Antiqua" w:cs="Calibri"/>
                <w:color w:val="000000"/>
                <w:sz w:val="24"/>
                <w:szCs w:val="24"/>
                <w:lang w:val="en-US"/>
              </w:rPr>
            </w:pPr>
            <w:r w:rsidRPr="00C84859">
              <w:rPr>
                <w:rFonts w:ascii="Book Antiqua" w:hAnsi="Book Antiqua" w:cs="Calibri"/>
                <w:b/>
                <w:color w:val="000000"/>
                <w:sz w:val="24"/>
                <w:szCs w:val="24"/>
                <w:lang w:val="en-US"/>
              </w:rPr>
              <w:t>Age (</w:t>
            </w:r>
            <w:proofErr w:type="spellStart"/>
            <w:r w:rsidRPr="00C84859">
              <w:rPr>
                <w:rFonts w:ascii="Book Antiqua" w:hAnsi="Book Antiqua" w:cs="Calibri"/>
                <w:b/>
                <w:color w:val="000000"/>
                <w:sz w:val="24"/>
                <w:szCs w:val="24"/>
                <w:lang w:val="en-US"/>
              </w:rPr>
              <w:t>y</w:t>
            </w:r>
            <w:r w:rsidR="00C84859">
              <w:rPr>
                <w:rFonts w:ascii="Book Antiqua" w:hAnsi="Book Antiqua" w:cs="Calibri"/>
                <w:b/>
                <w:color w:val="000000"/>
                <w:sz w:val="24"/>
                <w:szCs w:val="24"/>
                <w:lang w:val="en-US"/>
              </w:rPr>
              <w:t>r</w:t>
            </w:r>
            <w:proofErr w:type="spellEnd"/>
            <w:r w:rsidRPr="00C84859">
              <w:rPr>
                <w:rFonts w:ascii="Book Antiqua" w:hAnsi="Book Antiqua" w:cs="Calibri"/>
                <w:b/>
                <w:color w:val="000000"/>
                <w:sz w:val="24"/>
                <w:szCs w:val="24"/>
                <w:lang w:val="en-US"/>
              </w:rPr>
              <w:t>)</w:t>
            </w:r>
            <w:r w:rsidR="00C84859">
              <w:rPr>
                <w:rFonts w:ascii="Book Antiqua" w:eastAsiaTheme="minorEastAsia" w:hAnsi="Book Antiqua" w:cs="Calibri" w:hint="eastAsia"/>
                <w:b/>
                <w:color w:val="000000"/>
                <w:sz w:val="24"/>
                <w:szCs w:val="24"/>
                <w:vertAlign w:val="superscript"/>
                <w:lang w:val="en-US"/>
              </w:rPr>
              <w:t>1</w:t>
            </w:r>
          </w:p>
        </w:tc>
        <w:tc>
          <w:tcPr>
            <w:tcW w:w="1842"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45 (16-68)</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50 (16-61)</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46 (17-68)</w:t>
            </w:r>
          </w:p>
        </w:tc>
        <w:tc>
          <w:tcPr>
            <w:tcW w:w="1843" w:type="dxa"/>
          </w:tcPr>
          <w:p w:rsidR="009064E0" w:rsidRPr="00A06BF8" w:rsidRDefault="00C84859"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NS</w:t>
            </w:r>
          </w:p>
        </w:tc>
      </w:tr>
      <w:tr w:rsidR="009064E0" w:rsidRPr="00A06BF8" w:rsidTr="00C84859">
        <w:tc>
          <w:tcPr>
            <w:tcW w:w="2694" w:type="dxa"/>
          </w:tcPr>
          <w:p w:rsidR="009064E0" w:rsidRPr="00C84859" w:rsidRDefault="009064E0" w:rsidP="00093495">
            <w:pPr>
              <w:widowControl w:val="0"/>
              <w:suppressAutoHyphens w:val="0"/>
              <w:adjustRightInd w:val="0"/>
              <w:snapToGrid w:val="0"/>
              <w:spacing w:line="360" w:lineRule="auto"/>
              <w:jc w:val="both"/>
              <w:rPr>
                <w:rFonts w:ascii="Book Antiqua" w:eastAsiaTheme="minorEastAsia" w:hAnsi="Book Antiqua" w:cs="Calibri"/>
                <w:b/>
                <w:color w:val="000000"/>
                <w:sz w:val="24"/>
                <w:szCs w:val="24"/>
                <w:lang w:val="en-US"/>
              </w:rPr>
            </w:pPr>
            <w:r w:rsidRPr="00C84859">
              <w:rPr>
                <w:rFonts w:ascii="Book Antiqua" w:hAnsi="Book Antiqua" w:cs="Calibri"/>
                <w:b/>
                <w:color w:val="000000"/>
                <w:sz w:val="24"/>
                <w:szCs w:val="24"/>
                <w:lang w:val="en-US"/>
              </w:rPr>
              <w:t>CDAI score</w:t>
            </w:r>
            <w:r w:rsidR="00C84859">
              <w:rPr>
                <w:rFonts w:ascii="Book Antiqua" w:eastAsiaTheme="minorEastAsia" w:hAnsi="Book Antiqua" w:cs="Calibri" w:hint="eastAsia"/>
                <w:b/>
                <w:color w:val="000000"/>
                <w:sz w:val="24"/>
                <w:szCs w:val="24"/>
                <w:vertAlign w:val="superscript"/>
                <w:lang w:val="en-US"/>
              </w:rPr>
              <w:t>1</w:t>
            </w:r>
          </w:p>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r w:rsidRPr="00C84859">
              <w:rPr>
                <w:rFonts w:ascii="Book Antiqua" w:hAnsi="Book Antiqua" w:cs="Calibri"/>
                <w:b/>
                <w:color w:val="000000"/>
                <w:sz w:val="24"/>
                <w:szCs w:val="24"/>
                <w:lang w:val="en-US"/>
              </w:rPr>
              <w:t>Number of patients</w:t>
            </w:r>
          </w:p>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r w:rsidRPr="00C84859">
              <w:rPr>
                <w:rFonts w:ascii="Book Antiqua" w:hAnsi="Book Antiqua" w:cs="Calibri"/>
                <w:b/>
                <w:color w:val="000000"/>
                <w:sz w:val="24"/>
                <w:szCs w:val="24"/>
                <w:lang w:val="en-US"/>
              </w:rPr>
              <w:t>Location</w:t>
            </w:r>
          </w:p>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p>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p>
          <w:p w:rsidR="009064E0" w:rsidRPr="00C84859"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tc>
        <w:tc>
          <w:tcPr>
            <w:tcW w:w="1842"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145 (124-205)</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12</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L1</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2</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L2</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3</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L3</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7</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L4</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0</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383 (265-595)</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4</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L1</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0</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L2</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0</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L3</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4</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L4</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0</w:t>
            </w:r>
          </w:p>
        </w:tc>
        <w:tc>
          <w:tcPr>
            <w:tcW w:w="1843" w:type="dxa"/>
          </w:tcPr>
          <w:p w:rsidR="009064E0" w:rsidRPr="00A06BF8" w:rsidRDefault="00594C9A"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NA</w:t>
            </w:r>
          </w:p>
        </w:tc>
        <w:tc>
          <w:tcPr>
            <w:tcW w:w="1843" w:type="dxa"/>
          </w:tcPr>
          <w:p w:rsidR="009064E0" w:rsidRPr="00A06BF8" w:rsidRDefault="00C84859"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C84859">
              <w:rPr>
                <w:rFonts w:ascii="Book Antiqua" w:hAnsi="Book Antiqua" w:cs="Calibri"/>
                <w:i/>
                <w:color w:val="000000"/>
                <w:sz w:val="24"/>
                <w:szCs w:val="24"/>
                <w:lang w:val="en-US"/>
              </w:rPr>
              <w:t xml:space="preserve">P = </w:t>
            </w:r>
            <w:r w:rsidR="009064E0" w:rsidRPr="00A06BF8">
              <w:rPr>
                <w:rFonts w:ascii="Book Antiqua" w:hAnsi="Book Antiqua" w:cs="Calibri"/>
                <w:color w:val="000000"/>
                <w:sz w:val="24"/>
                <w:szCs w:val="24"/>
                <w:lang w:val="en-US"/>
              </w:rPr>
              <w:t>0.002</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A06BF8" w:rsidRDefault="00C84859"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NS</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tc>
      </w:tr>
      <w:tr w:rsidR="009064E0" w:rsidRPr="00A06BF8" w:rsidTr="00C84859">
        <w:tc>
          <w:tcPr>
            <w:tcW w:w="2694" w:type="dxa"/>
          </w:tcPr>
          <w:p w:rsidR="009064E0" w:rsidRPr="00C84859" w:rsidRDefault="009064E0" w:rsidP="00093495">
            <w:pPr>
              <w:widowControl w:val="0"/>
              <w:suppressAutoHyphens w:val="0"/>
              <w:adjustRightInd w:val="0"/>
              <w:snapToGrid w:val="0"/>
              <w:spacing w:line="360" w:lineRule="auto"/>
              <w:jc w:val="both"/>
              <w:rPr>
                <w:rFonts w:ascii="Book Antiqua" w:eastAsiaTheme="minorEastAsia" w:hAnsi="Book Antiqua" w:cs="Calibri"/>
                <w:b/>
                <w:color w:val="000000"/>
                <w:sz w:val="24"/>
                <w:szCs w:val="24"/>
                <w:lang w:val="en-US"/>
              </w:rPr>
            </w:pPr>
            <w:r w:rsidRPr="00C84859">
              <w:rPr>
                <w:rFonts w:ascii="Book Antiqua" w:hAnsi="Book Antiqua" w:cs="Calibri"/>
                <w:b/>
                <w:color w:val="000000"/>
                <w:sz w:val="24"/>
                <w:szCs w:val="24"/>
                <w:lang w:val="en-US"/>
              </w:rPr>
              <w:t>CAI score</w:t>
            </w:r>
            <w:r w:rsidR="00C84859">
              <w:rPr>
                <w:rFonts w:ascii="Book Antiqua" w:eastAsiaTheme="minorEastAsia" w:hAnsi="Book Antiqua" w:cs="Calibri" w:hint="eastAsia"/>
                <w:b/>
                <w:color w:val="000000"/>
                <w:sz w:val="24"/>
                <w:szCs w:val="24"/>
                <w:vertAlign w:val="superscript"/>
                <w:lang w:val="en-US"/>
              </w:rPr>
              <w:t>1</w:t>
            </w:r>
          </w:p>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r w:rsidRPr="00C84859">
              <w:rPr>
                <w:rFonts w:ascii="Book Antiqua" w:hAnsi="Book Antiqua" w:cs="Calibri"/>
                <w:b/>
                <w:color w:val="000000"/>
                <w:sz w:val="24"/>
                <w:szCs w:val="24"/>
                <w:lang w:val="en-US"/>
              </w:rPr>
              <w:t>Number of patients</w:t>
            </w:r>
          </w:p>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r w:rsidRPr="00C84859">
              <w:rPr>
                <w:rFonts w:ascii="Book Antiqua" w:hAnsi="Book Antiqua" w:cs="Calibri"/>
                <w:b/>
                <w:color w:val="000000"/>
                <w:sz w:val="24"/>
                <w:szCs w:val="24"/>
                <w:lang w:val="en-US"/>
              </w:rPr>
              <w:t>Location</w:t>
            </w:r>
          </w:p>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p>
          <w:p w:rsidR="009064E0" w:rsidRPr="00C84859"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tc>
        <w:tc>
          <w:tcPr>
            <w:tcW w:w="1842"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6 (3.5-9.5)</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11</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E1</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2</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E2</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3</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E3</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6</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10 (8.25-11)</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13</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E1</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0</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E2</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5</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E3</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w:t>
            </w:r>
            <w:r w:rsidR="00C84859">
              <w:rPr>
                <w:rFonts w:ascii="Book Antiqua" w:eastAsiaTheme="minorEastAsia" w:hAnsi="Book Antiqua" w:cs="Calibri" w:hint="eastAsia"/>
                <w:color w:val="000000"/>
                <w:sz w:val="24"/>
                <w:szCs w:val="24"/>
                <w:lang w:val="en-US"/>
              </w:rPr>
              <w:t xml:space="preserve"> </w:t>
            </w:r>
            <w:r w:rsidRPr="00A06BF8">
              <w:rPr>
                <w:rFonts w:ascii="Book Antiqua" w:hAnsi="Book Antiqua" w:cs="Calibri"/>
                <w:color w:val="000000"/>
                <w:sz w:val="24"/>
                <w:szCs w:val="24"/>
                <w:lang w:val="en-US"/>
              </w:rPr>
              <w:t>8</w:t>
            </w:r>
          </w:p>
        </w:tc>
        <w:tc>
          <w:tcPr>
            <w:tcW w:w="1843" w:type="dxa"/>
          </w:tcPr>
          <w:p w:rsidR="009064E0" w:rsidRPr="00A06BF8" w:rsidRDefault="00594C9A"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NA</w:t>
            </w:r>
          </w:p>
        </w:tc>
        <w:tc>
          <w:tcPr>
            <w:tcW w:w="1843" w:type="dxa"/>
          </w:tcPr>
          <w:p w:rsidR="009064E0" w:rsidRPr="00A06BF8" w:rsidRDefault="00C84859"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C84859">
              <w:rPr>
                <w:rFonts w:ascii="Book Antiqua" w:hAnsi="Book Antiqua" w:cs="Calibri"/>
                <w:i/>
                <w:color w:val="000000"/>
                <w:sz w:val="24"/>
                <w:szCs w:val="24"/>
                <w:lang w:val="en-US"/>
              </w:rPr>
              <w:t xml:space="preserve">P = </w:t>
            </w:r>
            <w:r w:rsidR="009064E0" w:rsidRPr="00A06BF8">
              <w:rPr>
                <w:rFonts w:ascii="Book Antiqua" w:hAnsi="Book Antiqua" w:cs="Calibri"/>
                <w:color w:val="000000"/>
                <w:sz w:val="24"/>
                <w:szCs w:val="24"/>
                <w:lang w:val="en-US"/>
              </w:rPr>
              <w:t>0.04</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A06BF8" w:rsidRDefault="00C84859"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NS</w:t>
            </w:r>
          </w:p>
        </w:tc>
      </w:tr>
      <w:tr w:rsidR="009064E0" w:rsidRPr="00A06BF8" w:rsidTr="00C84859">
        <w:tc>
          <w:tcPr>
            <w:tcW w:w="2694" w:type="dxa"/>
          </w:tcPr>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r w:rsidRPr="00C84859">
              <w:rPr>
                <w:rFonts w:ascii="Book Antiqua" w:hAnsi="Book Antiqua" w:cs="Calibri"/>
                <w:b/>
                <w:color w:val="000000"/>
                <w:sz w:val="24"/>
                <w:szCs w:val="24"/>
                <w:lang w:val="en-US"/>
              </w:rPr>
              <w:t>Endoscopic activity indexes</w:t>
            </w:r>
          </w:p>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p>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r w:rsidRPr="00C84859">
              <w:rPr>
                <w:rFonts w:ascii="Book Antiqua" w:hAnsi="Book Antiqua" w:cs="Calibri"/>
                <w:b/>
                <w:color w:val="000000"/>
                <w:sz w:val="24"/>
                <w:szCs w:val="24"/>
                <w:lang w:val="en-US"/>
              </w:rPr>
              <w:t>SES-CD</w:t>
            </w:r>
          </w:p>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r w:rsidRPr="00C84859">
              <w:rPr>
                <w:rFonts w:ascii="Book Antiqua" w:hAnsi="Book Antiqua" w:cs="Calibri"/>
                <w:b/>
                <w:color w:val="000000"/>
                <w:sz w:val="24"/>
                <w:szCs w:val="24"/>
                <w:lang w:val="en-US"/>
              </w:rPr>
              <w:t>Baron</w:t>
            </w:r>
          </w:p>
        </w:tc>
        <w:tc>
          <w:tcPr>
            <w:tcW w:w="1842"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6.2</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1.4</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10.6</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2.6</w:t>
            </w:r>
          </w:p>
        </w:tc>
        <w:tc>
          <w:tcPr>
            <w:tcW w:w="1843" w:type="dxa"/>
          </w:tcPr>
          <w:p w:rsidR="009064E0" w:rsidRPr="00A06BF8" w:rsidRDefault="00594C9A"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NA</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A06BF8" w:rsidRDefault="00C84859"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C84859">
              <w:rPr>
                <w:rFonts w:ascii="Book Antiqua" w:hAnsi="Book Antiqua" w:cs="Calibri"/>
                <w:i/>
                <w:color w:val="000000"/>
                <w:sz w:val="24"/>
                <w:szCs w:val="24"/>
                <w:lang w:val="en-US"/>
              </w:rPr>
              <w:t xml:space="preserve">P = </w:t>
            </w:r>
            <w:r w:rsidR="009064E0" w:rsidRPr="00A06BF8">
              <w:rPr>
                <w:rFonts w:ascii="Book Antiqua" w:hAnsi="Book Antiqua" w:cs="Calibri"/>
                <w:color w:val="000000"/>
                <w:sz w:val="24"/>
                <w:szCs w:val="24"/>
                <w:lang w:val="en-US"/>
              </w:rPr>
              <w:t>0.01</w:t>
            </w:r>
          </w:p>
          <w:p w:rsidR="009064E0" w:rsidRPr="00A06BF8" w:rsidRDefault="00C84859"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C84859">
              <w:rPr>
                <w:rFonts w:ascii="Book Antiqua" w:hAnsi="Book Antiqua" w:cs="Calibri"/>
                <w:i/>
                <w:color w:val="000000"/>
                <w:sz w:val="24"/>
                <w:szCs w:val="24"/>
                <w:lang w:val="en-US"/>
              </w:rPr>
              <w:t xml:space="preserve">P = </w:t>
            </w:r>
            <w:r w:rsidR="009064E0" w:rsidRPr="00A06BF8">
              <w:rPr>
                <w:rFonts w:ascii="Book Antiqua" w:hAnsi="Book Antiqua" w:cs="Calibri"/>
                <w:color w:val="000000"/>
                <w:sz w:val="24"/>
                <w:szCs w:val="24"/>
                <w:lang w:val="en-US"/>
              </w:rPr>
              <w:t>0.05</w:t>
            </w:r>
          </w:p>
        </w:tc>
      </w:tr>
      <w:tr w:rsidR="009064E0" w:rsidRPr="00A06BF8" w:rsidTr="00C84859">
        <w:tc>
          <w:tcPr>
            <w:tcW w:w="2694" w:type="dxa"/>
          </w:tcPr>
          <w:p w:rsidR="009064E0" w:rsidRPr="00C84859" w:rsidRDefault="009064E0" w:rsidP="00093495">
            <w:pPr>
              <w:widowControl w:val="0"/>
              <w:suppressAutoHyphens w:val="0"/>
              <w:adjustRightInd w:val="0"/>
              <w:snapToGrid w:val="0"/>
              <w:spacing w:line="360" w:lineRule="auto"/>
              <w:jc w:val="both"/>
              <w:rPr>
                <w:rFonts w:ascii="Book Antiqua" w:eastAsiaTheme="minorEastAsia" w:hAnsi="Book Antiqua" w:cs="Calibri"/>
                <w:color w:val="000000"/>
                <w:sz w:val="24"/>
                <w:szCs w:val="24"/>
                <w:lang w:val="en-US"/>
              </w:rPr>
            </w:pPr>
            <w:r w:rsidRPr="00C84859">
              <w:rPr>
                <w:rFonts w:ascii="Book Antiqua" w:hAnsi="Book Antiqua" w:cs="Calibri"/>
                <w:b/>
                <w:color w:val="000000"/>
                <w:sz w:val="24"/>
                <w:szCs w:val="24"/>
                <w:lang w:val="en-US"/>
              </w:rPr>
              <w:t>Illness duration (</w:t>
            </w:r>
            <w:proofErr w:type="spellStart"/>
            <w:r w:rsidRPr="00C84859">
              <w:rPr>
                <w:rFonts w:ascii="Book Antiqua" w:hAnsi="Book Antiqua" w:cs="Calibri"/>
                <w:b/>
                <w:color w:val="000000"/>
                <w:sz w:val="24"/>
                <w:szCs w:val="24"/>
                <w:lang w:val="en-US"/>
              </w:rPr>
              <w:t>y</w:t>
            </w:r>
            <w:r w:rsidR="00C84859">
              <w:rPr>
                <w:rFonts w:ascii="Book Antiqua" w:hAnsi="Book Antiqua" w:cs="Calibri"/>
                <w:b/>
                <w:color w:val="000000"/>
                <w:sz w:val="24"/>
                <w:szCs w:val="24"/>
                <w:lang w:val="en-US"/>
              </w:rPr>
              <w:t>r</w:t>
            </w:r>
            <w:proofErr w:type="spellEnd"/>
            <w:r w:rsidRPr="00C84859">
              <w:rPr>
                <w:rFonts w:ascii="Book Antiqua" w:hAnsi="Book Antiqua" w:cs="Calibri"/>
                <w:b/>
                <w:color w:val="000000"/>
                <w:sz w:val="24"/>
                <w:szCs w:val="24"/>
                <w:lang w:val="en-US"/>
              </w:rPr>
              <w:t>)</w:t>
            </w:r>
            <w:r w:rsidR="00C84859">
              <w:rPr>
                <w:rFonts w:ascii="Book Antiqua" w:eastAsiaTheme="minorEastAsia" w:hAnsi="Book Antiqua" w:cs="Calibri" w:hint="eastAsia"/>
                <w:b/>
                <w:color w:val="000000"/>
                <w:sz w:val="24"/>
                <w:szCs w:val="24"/>
                <w:vertAlign w:val="superscript"/>
                <w:lang w:val="en-US"/>
              </w:rPr>
              <w:t>1</w:t>
            </w:r>
          </w:p>
        </w:tc>
        <w:tc>
          <w:tcPr>
            <w:tcW w:w="1842"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6.5 (1.75-11)</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5 (1-7)</w:t>
            </w:r>
          </w:p>
        </w:tc>
        <w:tc>
          <w:tcPr>
            <w:tcW w:w="1843" w:type="dxa"/>
          </w:tcPr>
          <w:p w:rsidR="009064E0" w:rsidRPr="00A06BF8" w:rsidRDefault="00594C9A"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NA</w:t>
            </w:r>
          </w:p>
        </w:tc>
        <w:tc>
          <w:tcPr>
            <w:tcW w:w="1843" w:type="dxa"/>
          </w:tcPr>
          <w:p w:rsidR="009064E0" w:rsidRPr="00A06BF8" w:rsidRDefault="00C84859"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NS</w:t>
            </w:r>
          </w:p>
        </w:tc>
      </w:tr>
      <w:tr w:rsidR="009064E0" w:rsidRPr="00A06BF8" w:rsidTr="00C84859">
        <w:tc>
          <w:tcPr>
            <w:tcW w:w="2694" w:type="dxa"/>
          </w:tcPr>
          <w:p w:rsidR="009064E0" w:rsidRPr="00C84859"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C84859">
              <w:rPr>
                <w:rFonts w:ascii="Book Antiqua" w:hAnsi="Book Antiqua" w:cs="Calibri"/>
                <w:b/>
                <w:color w:val="000000"/>
                <w:sz w:val="24"/>
                <w:szCs w:val="24"/>
                <w:lang w:val="en-US"/>
              </w:rPr>
              <w:t>Systemic steroids</w:t>
            </w:r>
          </w:p>
        </w:tc>
        <w:tc>
          <w:tcPr>
            <w:tcW w:w="1842"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4</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14</w:t>
            </w:r>
          </w:p>
        </w:tc>
        <w:tc>
          <w:tcPr>
            <w:tcW w:w="1843" w:type="dxa"/>
          </w:tcPr>
          <w:p w:rsidR="009064E0" w:rsidRPr="00A06BF8" w:rsidRDefault="00594C9A"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NA</w:t>
            </w:r>
          </w:p>
        </w:tc>
        <w:tc>
          <w:tcPr>
            <w:tcW w:w="1843" w:type="dxa"/>
          </w:tcPr>
          <w:p w:rsidR="009064E0" w:rsidRPr="00A06BF8" w:rsidRDefault="00C84859"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C84859">
              <w:rPr>
                <w:rFonts w:ascii="Book Antiqua" w:hAnsi="Book Antiqua" w:cs="Calibri"/>
                <w:i/>
                <w:color w:val="000000"/>
                <w:sz w:val="24"/>
                <w:szCs w:val="24"/>
                <w:lang w:val="en-US"/>
              </w:rPr>
              <w:t xml:space="preserve">P = </w:t>
            </w:r>
            <w:r w:rsidR="009064E0" w:rsidRPr="00A06BF8">
              <w:rPr>
                <w:rFonts w:ascii="Book Antiqua" w:hAnsi="Book Antiqua" w:cs="Calibri"/>
                <w:color w:val="000000"/>
                <w:sz w:val="24"/>
                <w:szCs w:val="24"/>
                <w:lang w:val="en-US"/>
              </w:rPr>
              <w:t>0.001</w:t>
            </w:r>
          </w:p>
        </w:tc>
      </w:tr>
      <w:tr w:rsidR="009064E0" w:rsidRPr="00A06BF8" w:rsidTr="00C84859">
        <w:tc>
          <w:tcPr>
            <w:tcW w:w="2694" w:type="dxa"/>
          </w:tcPr>
          <w:p w:rsidR="009064E0" w:rsidRPr="00C84859"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C84859">
              <w:rPr>
                <w:rFonts w:ascii="Book Antiqua" w:hAnsi="Book Antiqua" w:cs="Calibri"/>
                <w:b/>
                <w:color w:val="000000"/>
                <w:sz w:val="24"/>
                <w:szCs w:val="24"/>
                <w:lang w:val="en-US"/>
              </w:rPr>
              <w:t>Topical steroids</w:t>
            </w:r>
          </w:p>
        </w:tc>
        <w:tc>
          <w:tcPr>
            <w:tcW w:w="1842"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5</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8</w:t>
            </w:r>
          </w:p>
        </w:tc>
        <w:tc>
          <w:tcPr>
            <w:tcW w:w="1843" w:type="dxa"/>
          </w:tcPr>
          <w:p w:rsidR="009064E0" w:rsidRPr="00A06BF8" w:rsidRDefault="00594C9A"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NA</w:t>
            </w:r>
          </w:p>
        </w:tc>
        <w:tc>
          <w:tcPr>
            <w:tcW w:w="1843" w:type="dxa"/>
          </w:tcPr>
          <w:p w:rsidR="009064E0" w:rsidRPr="00A06BF8" w:rsidRDefault="00C84859"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NS</w:t>
            </w:r>
          </w:p>
        </w:tc>
      </w:tr>
      <w:tr w:rsidR="009064E0" w:rsidRPr="00A06BF8" w:rsidTr="00C84859">
        <w:tc>
          <w:tcPr>
            <w:tcW w:w="2694" w:type="dxa"/>
          </w:tcPr>
          <w:p w:rsidR="009064E0" w:rsidRPr="00C84859"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C84859">
              <w:rPr>
                <w:rFonts w:ascii="Book Antiqua" w:hAnsi="Book Antiqua" w:cs="Calibri"/>
                <w:b/>
                <w:color w:val="000000"/>
                <w:sz w:val="24"/>
                <w:szCs w:val="24"/>
                <w:lang w:val="en-US"/>
              </w:rPr>
              <w:t>Biological agents</w:t>
            </w:r>
          </w:p>
        </w:tc>
        <w:tc>
          <w:tcPr>
            <w:tcW w:w="1842"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5</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8</w:t>
            </w:r>
          </w:p>
        </w:tc>
        <w:tc>
          <w:tcPr>
            <w:tcW w:w="1843" w:type="dxa"/>
          </w:tcPr>
          <w:p w:rsidR="009064E0" w:rsidRPr="00A06BF8" w:rsidRDefault="00594C9A"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NA</w:t>
            </w:r>
          </w:p>
        </w:tc>
        <w:tc>
          <w:tcPr>
            <w:tcW w:w="1843" w:type="dxa"/>
          </w:tcPr>
          <w:p w:rsidR="009064E0" w:rsidRPr="00A06BF8" w:rsidRDefault="00C84859"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NS</w:t>
            </w:r>
          </w:p>
        </w:tc>
      </w:tr>
      <w:tr w:rsidR="009064E0" w:rsidRPr="00A06BF8" w:rsidTr="00C84859">
        <w:tc>
          <w:tcPr>
            <w:tcW w:w="2694" w:type="dxa"/>
          </w:tcPr>
          <w:p w:rsidR="009064E0" w:rsidRPr="00C84859"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C84859">
              <w:rPr>
                <w:rFonts w:ascii="Book Antiqua" w:hAnsi="Book Antiqua" w:cs="Calibri"/>
                <w:b/>
                <w:color w:val="000000"/>
                <w:sz w:val="24"/>
                <w:szCs w:val="24"/>
                <w:lang w:val="en-US"/>
              </w:rPr>
              <w:t>Azathioprine</w:t>
            </w:r>
          </w:p>
        </w:tc>
        <w:tc>
          <w:tcPr>
            <w:tcW w:w="1842"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7</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5</w:t>
            </w:r>
          </w:p>
        </w:tc>
        <w:tc>
          <w:tcPr>
            <w:tcW w:w="1843" w:type="dxa"/>
          </w:tcPr>
          <w:p w:rsidR="009064E0" w:rsidRPr="00A06BF8" w:rsidRDefault="00594C9A"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NA</w:t>
            </w:r>
          </w:p>
        </w:tc>
        <w:tc>
          <w:tcPr>
            <w:tcW w:w="1843" w:type="dxa"/>
          </w:tcPr>
          <w:p w:rsidR="009064E0" w:rsidRPr="00A06BF8" w:rsidRDefault="00C84859"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NS</w:t>
            </w:r>
          </w:p>
        </w:tc>
      </w:tr>
      <w:tr w:rsidR="009064E0" w:rsidRPr="00A06BF8" w:rsidTr="00C84859">
        <w:tc>
          <w:tcPr>
            <w:tcW w:w="2694" w:type="dxa"/>
          </w:tcPr>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r w:rsidRPr="00C84859">
              <w:rPr>
                <w:rFonts w:ascii="Book Antiqua" w:hAnsi="Book Antiqua" w:cs="Calibri"/>
                <w:b/>
                <w:color w:val="000000"/>
                <w:sz w:val="24"/>
                <w:szCs w:val="24"/>
                <w:lang w:val="en-US"/>
              </w:rPr>
              <w:t>Biological + steroid</w:t>
            </w:r>
          </w:p>
        </w:tc>
        <w:tc>
          <w:tcPr>
            <w:tcW w:w="1842"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0</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6</w:t>
            </w:r>
          </w:p>
        </w:tc>
        <w:tc>
          <w:tcPr>
            <w:tcW w:w="1843" w:type="dxa"/>
          </w:tcPr>
          <w:p w:rsidR="009064E0" w:rsidRPr="00A06BF8" w:rsidRDefault="00594C9A"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NA</w:t>
            </w:r>
          </w:p>
        </w:tc>
        <w:tc>
          <w:tcPr>
            <w:tcW w:w="1843" w:type="dxa"/>
          </w:tcPr>
          <w:p w:rsidR="009064E0" w:rsidRPr="00A06BF8" w:rsidRDefault="00C84859"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C84859">
              <w:rPr>
                <w:rFonts w:ascii="Book Antiqua" w:hAnsi="Book Antiqua" w:cs="Calibri"/>
                <w:i/>
                <w:color w:val="000000"/>
                <w:sz w:val="24"/>
                <w:szCs w:val="24"/>
                <w:lang w:val="en-US"/>
              </w:rPr>
              <w:t xml:space="preserve">P = </w:t>
            </w:r>
            <w:r w:rsidR="009064E0" w:rsidRPr="00A06BF8">
              <w:rPr>
                <w:rFonts w:ascii="Book Antiqua" w:hAnsi="Book Antiqua" w:cs="Calibri"/>
                <w:color w:val="000000"/>
                <w:sz w:val="24"/>
                <w:szCs w:val="24"/>
                <w:lang w:val="en-US"/>
              </w:rPr>
              <w:t>0.0032</w:t>
            </w:r>
          </w:p>
        </w:tc>
      </w:tr>
      <w:tr w:rsidR="009064E0" w:rsidRPr="00A06BF8" w:rsidTr="00C84859">
        <w:tc>
          <w:tcPr>
            <w:tcW w:w="2694" w:type="dxa"/>
          </w:tcPr>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r w:rsidRPr="00C84859">
              <w:rPr>
                <w:rFonts w:ascii="Book Antiqua" w:hAnsi="Book Antiqua" w:cs="Calibri"/>
                <w:b/>
                <w:color w:val="000000"/>
                <w:sz w:val="24"/>
                <w:szCs w:val="24"/>
                <w:lang w:val="en-US"/>
              </w:rPr>
              <w:t>Biological + Azathioprine</w:t>
            </w:r>
          </w:p>
        </w:tc>
        <w:tc>
          <w:tcPr>
            <w:tcW w:w="1842"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1</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4</w:t>
            </w:r>
          </w:p>
        </w:tc>
        <w:tc>
          <w:tcPr>
            <w:tcW w:w="1843" w:type="dxa"/>
          </w:tcPr>
          <w:p w:rsidR="009064E0" w:rsidRPr="00A06BF8" w:rsidRDefault="00594C9A"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NA</w:t>
            </w:r>
          </w:p>
        </w:tc>
        <w:tc>
          <w:tcPr>
            <w:tcW w:w="1843" w:type="dxa"/>
          </w:tcPr>
          <w:p w:rsidR="009064E0" w:rsidRPr="00A06BF8" w:rsidRDefault="00C84859"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NS</w:t>
            </w:r>
          </w:p>
        </w:tc>
      </w:tr>
      <w:tr w:rsidR="009064E0" w:rsidRPr="00A06BF8" w:rsidTr="00C84859">
        <w:tc>
          <w:tcPr>
            <w:tcW w:w="2694" w:type="dxa"/>
          </w:tcPr>
          <w:p w:rsidR="009064E0" w:rsidRPr="00C84859"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r w:rsidRPr="00C84859">
              <w:rPr>
                <w:rFonts w:ascii="Book Antiqua" w:hAnsi="Book Antiqua" w:cs="Calibri"/>
                <w:b/>
                <w:color w:val="000000"/>
                <w:sz w:val="24"/>
                <w:szCs w:val="24"/>
                <w:lang w:val="en-US"/>
              </w:rPr>
              <w:t>Azathioprine + steroid</w:t>
            </w:r>
          </w:p>
        </w:tc>
        <w:tc>
          <w:tcPr>
            <w:tcW w:w="1842"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1</w:t>
            </w:r>
          </w:p>
        </w:tc>
        <w:tc>
          <w:tcPr>
            <w:tcW w:w="1843" w:type="dxa"/>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0</w:t>
            </w:r>
          </w:p>
        </w:tc>
        <w:tc>
          <w:tcPr>
            <w:tcW w:w="1843" w:type="dxa"/>
          </w:tcPr>
          <w:p w:rsidR="009064E0" w:rsidRPr="00A06BF8" w:rsidRDefault="00594C9A"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NA</w:t>
            </w:r>
          </w:p>
        </w:tc>
        <w:tc>
          <w:tcPr>
            <w:tcW w:w="1843" w:type="dxa"/>
          </w:tcPr>
          <w:p w:rsidR="009064E0" w:rsidRPr="00A06BF8" w:rsidRDefault="00C84859"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Pr>
                <w:rFonts w:ascii="Book Antiqua" w:hAnsi="Book Antiqua" w:cs="Calibri"/>
                <w:color w:val="000000"/>
                <w:sz w:val="24"/>
                <w:szCs w:val="24"/>
                <w:lang w:val="en-US"/>
              </w:rPr>
              <w:t>NS</w:t>
            </w:r>
          </w:p>
        </w:tc>
      </w:tr>
    </w:tbl>
    <w:p w:rsidR="009064E0" w:rsidRPr="00594C9A" w:rsidRDefault="00C84859" w:rsidP="00093495">
      <w:pPr>
        <w:widowControl w:val="0"/>
        <w:suppressAutoHyphens w:val="0"/>
        <w:adjustRightInd w:val="0"/>
        <w:snapToGrid w:val="0"/>
        <w:spacing w:line="360" w:lineRule="auto"/>
        <w:jc w:val="both"/>
        <w:rPr>
          <w:rFonts w:ascii="Book Antiqua" w:hAnsi="Book Antiqua" w:cs="Arial"/>
          <w:b/>
          <w:sz w:val="24"/>
          <w:szCs w:val="24"/>
          <w:shd w:val="clear" w:color="auto" w:fill="FFFF00"/>
          <w:lang w:val="en-US"/>
        </w:rPr>
      </w:pPr>
      <w:r w:rsidRPr="003C6C79">
        <w:rPr>
          <w:rFonts w:ascii="Book Antiqua" w:eastAsiaTheme="minorEastAsia" w:hAnsi="Book Antiqua" w:cs="Arial" w:hint="eastAsia"/>
          <w:color w:val="000000"/>
          <w:sz w:val="24"/>
          <w:szCs w:val="24"/>
          <w:vertAlign w:val="superscript"/>
          <w:lang w:val="en-US"/>
        </w:rPr>
        <w:lastRenderedPageBreak/>
        <w:t>1</w:t>
      </w:r>
      <w:r w:rsidR="009064E0" w:rsidRPr="00594C9A">
        <w:rPr>
          <w:rFonts w:ascii="Book Antiqua" w:hAnsi="Book Antiqua" w:cs="Arial"/>
          <w:caps/>
          <w:color w:val="000000"/>
          <w:sz w:val="24"/>
          <w:szCs w:val="24"/>
          <w:lang w:val="en-US"/>
        </w:rPr>
        <w:t>t</w:t>
      </w:r>
      <w:r w:rsidR="009064E0" w:rsidRPr="00594C9A">
        <w:rPr>
          <w:rFonts w:ascii="Book Antiqua" w:hAnsi="Book Antiqua" w:cs="Arial"/>
          <w:color w:val="000000"/>
          <w:sz w:val="24"/>
          <w:szCs w:val="24"/>
          <w:lang w:val="en-US"/>
        </w:rPr>
        <w:t xml:space="preserve">he values are given as median (± range). </w:t>
      </w:r>
      <w:r w:rsidR="009064E0" w:rsidRPr="00594C9A">
        <w:rPr>
          <w:rFonts w:ascii="Book Antiqua" w:hAnsi="Book Antiqua" w:cs="Arial"/>
          <w:sz w:val="24"/>
          <w:szCs w:val="24"/>
          <w:lang w:val="en-US"/>
        </w:rPr>
        <w:t xml:space="preserve">L1: </w:t>
      </w:r>
      <w:r w:rsidR="00594C9A" w:rsidRPr="00594C9A">
        <w:rPr>
          <w:rFonts w:ascii="Book Antiqua" w:hAnsi="Book Antiqua" w:cs="Arial"/>
          <w:sz w:val="24"/>
          <w:szCs w:val="24"/>
          <w:lang w:val="en-US"/>
        </w:rPr>
        <w:t xml:space="preserve">Terminal </w:t>
      </w:r>
      <w:r w:rsidR="009064E0" w:rsidRPr="00594C9A">
        <w:rPr>
          <w:rFonts w:ascii="Book Antiqua" w:hAnsi="Book Antiqua" w:cs="Arial"/>
          <w:sz w:val="24"/>
          <w:szCs w:val="24"/>
          <w:lang w:val="en-US"/>
        </w:rPr>
        <w:t xml:space="preserve">ileum; L2: </w:t>
      </w:r>
      <w:r w:rsidR="00594C9A" w:rsidRPr="00594C9A">
        <w:rPr>
          <w:rFonts w:ascii="Book Antiqua" w:hAnsi="Book Antiqua" w:cs="Arial"/>
          <w:sz w:val="24"/>
          <w:szCs w:val="24"/>
          <w:lang w:val="en-US"/>
        </w:rPr>
        <w:t>Colon</w:t>
      </w:r>
      <w:r w:rsidR="009064E0" w:rsidRPr="00594C9A">
        <w:rPr>
          <w:rFonts w:ascii="Book Antiqua" w:hAnsi="Book Antiqua" w:cs="Arial"/>
          <w:sz w:val="24"/>
          <w:szCs w:val="24"/>
          <w:lang w:val="en-US"/>
        </w:rPr>
        <w:t xml:space="preserve">; L3: </w:t>
      </w:r>
      <w:proofErr w:type="spellStart"/>
      <w:r w:rsidR="00594C9A" w:rsidRPr="00594C9A">
        <w:rPr>
          <w:rFonts w:ascii="Book Antiqua" w:hAnsi="Book Antiqua" w:cs="Arial"/>
          <w:sz w:val="24"/>
          <w:szCs w:val="24"/>
          <w:lang w:val="en-US"/>
        </w:rPr>
        <w:t>Ileo</w:t>
      </w:r>
      <w:proofErr w:type="spellEnd"/>
      <w:r w:rsidR="009064E0" w:rsidRPr="00594C9A">
        <w:rPr>
          <w:rFonts w:ascii="Book Antiqua" w:hAnsi="Book Antiqua" w:cs="Arial"/>
          <w:sz w:val="24"/>
          <w:szCs w:val="24"/>
          <w:lang w:val="en-US"/>
        </w:rPr>
        <w:t xml:space="preserve">-colon; L4: </w:t>
      </w:r>
      <w:r w:rsidR="00594C9A" w:rsidRPr="00594C9A">
        <w:rPr>
          <w:rFonts w:ascii="Book Antiqua" w:hAnsi="Book Antiqua" w:cs="Arial"/>
          <w:sz w:val="24"/>
          <w:szCs w:val="24"/>
          <w:lang w:val="en-US"/>
        </w:rPr>
        <w:t xml:space="preserve">Upper </w:t>
      </w:r>
      <w:r w:rsidR="009064E0" w:rsidRPr="00594C9A">
        <w:rPr>
          <w:rFonts w:ascii="Book Antiqua" w:hAnsi="Book Antiqua" w:cs="Arial"/>
          <w:sz w:val="24"/>
          <w:szCs w:val="24"/>
          <w:lang w:val="en-US"/>
        </w:rPr>
        <w:t xml:space="preserve">gastrointestinal location; E1: </w:t>
      </w:r>
      <w:r w:rsidR="00594C9A" w:rsidRPr="00594C9A">
        <w:rPr>
          <w:rFonts w:ascii="Book Antiqua" w:hAnsi="Book Antiqua" w:cs="Arial"/>
          <w:sz w:val="24"/>
          <w:szCs w:val="24"/>
          <w:lang w:val="en-US"/>
        </w:rPr>
        <w:t xml:space="preserve">Ulcerative </w:t>
      </w:r>
      <w:proofErr w:type="spellStart"/>
      <w:r w:rsidR="009064E0" w:rsidRPr="00594C9A">
        <w:rPr>
          <w:rFonts w:ascii="Book Antiqua" w:hAnsi="Book Antiqua" w:cs="Arial"/>
          <w:sz w:val="24"/>
          <w:szCs w:val="24"/>
          <w:lang w:val="en-US"/>
        </w:rPr>
        <w:t>proctitis</w:t>
      </w:r>
      <w:proofErr w:type="spellEnd"/>
      <w:r w:rsidR="009064E0" w:rsidRPr="00594C9A">
        <w:rPr>
          <w:rFonts w:ascii="Book Antiqua" w:hAnsi="Book Antiqua" w:cs="Arial"/>
          <w:sz w:val="24"/>
          <w:szCs w:val="24"/>
          <w:lang w:val="en-US"/>
        </w:rPr>
        <w:t xml:space="preserve">; E2: </w:t>
      </w:r>
      <w:r w:rsidR="00594C9A" w:rsidRPr="00594C9A">
        <w:rPr>
          <w:rFonts w:ascii="Book Antiqua" w:hAnsi="Book Antiqua" w:cs="Arial"/>
          <w:sz w:val="24"/>
          <w:szCs w:val="24"/>
          <w:lang w:val="en-US"/>
        </w:rPr>
        <w:t xml:space="preserve">Left </w:t>
      </w:r>
      <w:r w:rsidR="009064E0" w:rsidRPr="00594C9A">
        <w:rPr>
          <w:rFonts w:ascii="Book Antiqua" w:hAnsi="Book Antiqua" w:cs="Arial"/>
          <w:sz w:val="24"/>
          <w:szCs w:val="24"/>
          <w:lang w:val="en-US"/>
        </w:rPr>
        <w:t xml:space="preserve">sided UC; E3: </w:t>
      </w:r>
      <w:r w:rsidR="00594C9A" w:rsidRPr="00594C9A">
        <w:rPr>
          <w:rFonts w:ascii="Book Antiqua" w:hAnsi="Book Antiqua" w:cs="Arial"/>
          <w:sz w:val="24"/>
          <w:szCs w:val="24"/>
          <w:lang w:val="en-US"/>
        </w:rPr>
        <w:t xml:space="preserve">Extensive </w:t>
      </w:r>
      <w:r w:rsidR="009064E0" w:rsidRPr="00594C9A">
        <w:rPr>
          <w:rFonts w:ascii="Book Antiqua" w:hAnsi="Book Antiqua" w:cs="Arial"/>
          <w:sz w:val="24"/>
          <w:szCs w:val="24"/>
          <w:lang w:val="en-US"/>
        </w:rPr>
        <w:t xml:space="preserve">UC; </w:t>
      </w:r>
      <w:r w:rsidR="00594C9A" w:rsidRPr="00594C9A">
        <w:rPr>
          <w:rFonts w:ascii="Book Antiqua" w:hAnsi="Book Antiqua" w:cs="Arial"/>
          <w:sz w:val="24"/>
          <w:szCs w:val="24"/>
          <w:lang w:val="en-US"/>
        </w:rPr>
        <w:t>NA</w:t>
      </w:r>
      <w:r w:rsidR="009064E0" w:rsidRPr="00594C9A">
        <w:rPr>
          <w:rFonts w:ascii="Book Antiqua" w:hAnsi="Book Antiqua" w:cs="Arial"/>
          <w:sz w:val="24"/>
          <w:szCs w:val="24"/>
          <w:lang w:val="en-US"/>
        </w:rPr>
        <w:t xml:space="preserve">: </w:t>
      </w:r>
      <w:r w:rsidR="00594C9A" w:rsidRPr="00594C9A">
        <w:rPr>
          <w:rFonts w:ascii="Book Antiqua" w:hAnsi="Book Antiqua" w:cs="Arial"/>
          <w:sz w:val="24"/>
          <w:szCs w:val="24"/>
          <w:lang w:val="en-US"/>
        </w:rPr>
        <w:t>Not</w:t>
      </w:r>
      <w:r w:rsidR="009064E0" w:rsidRPr="00594C9A">
        <w:rPr>
          <w:rFonts w:ascii="Book Antiqua" w:hAnsi="Book Antiqua" w:cs="Arial"/>
          <w:sz w:val="24"/>
          <w:szCs w:val="24"/>
          <w:lang w:val="en-US"/>
        </w:rPr>
        <w:t xml:space="preserve">-applicable; </w:t>
      </w:r>
      <w:r w:rsidRPr="00594C9A">
        <w:rPr>
          <w:rFonts w:ascii="Book Antiqua" w:hAnsi="Book Antiqua" w:cs="Arial"/>
          <w:sz w:val="24"/>
          <w:szCs w:val="24"/>
          <w:lang w:val="en-US"/>
        </w:rPr>
        <w:t>NS</w:t>
      </w:r>
      <w:r w:rsidR="009064E0" w:rsidRPr="00594C9A">
        <w:rPr>
          <w:rFonts w:ascii="Book Antiqua" w:hAnsi="Book Antiqua" w:cs="Arial"/>
          <w:sz w:val="24"/>
          <w:szCs w:val="24"/>
          <w:lang w:val="en-US"/>
        </w:rPr>
        <w:t xml:space="preserve">: </w:t>
      </w:r>
      <w:r w:rsidR="00594C9A" w:rsidRPr="00594C9A">
        <w:rPr>
          <w:rFonts w:ascii="Book Antiqua" w:hAnsi="Book Antiqua" w:cs="Arial"/>
          <w:sz w:val="24"/>
          <w:szCs w:val="24"/>
          <w:lang w:val="en-US"/>
        </w:rPr>
        <w:t xml:space="preserve">Not </w:t>
      </w:r>
      <w:r w:rsidR="009064E0" w:rsidRPr="00594C9A">
        <w:rPr>
          <w:rFonts w:ascii="Book Antiqua" w:hAnsi="Book Antiqua" w:cs="Arial"/>
          <w:sz w:val="24"/>
          <w:szCs w:val="24"/>
          <w:lang w:val="en-US"/>
        </w:rPr>
        <w:t>significant</w:t>
      </w:r>
      <w:r w:rsidR="00B671CE">
        <w:rPr>
          <w:rFonts w:ascii="Book Antiqua" w:eastAsiaTheme="minorEastAsia" w:hAnsi="Book Antiqua" w:cs="Arial" w:hint="eastAsia"/>
          <w:color w:val="000000"/>
          <w:sz w:val="24"/>
          <w:szCs w:val="24"/>
          <w:lang w:val="en-US"/>
        </w:rPr>
        <w:t>;</w:t>
      </w:r>
      <w:r w:rsidR="00B671CE" w:rsidRPr="00B671CE">
        <w:rPr>
          <w:rFonts w:ascii="Book Antiqua" w:hAnsi="Book Antiqua" w:cs="Arial"/>
          <w:sz w:val="24"/>
          <w:szCs w:val="24"/>
          <w:lang w:val="en-US"/>
        </w:rPr>
        <w:t xml:space="preserve"> </w:t>
      </w:r>
      <w:r w:rsidR="00B671CE" w:rsidRPr="00A06BF8">
        <w:rPr>
          <w:rFonts w:ascii="Book Antiqua" w:hAnsi="Book Antiqua" w:cs="Arial"/>
          <w:sz w:val="24"/>
          <w:szCs w:val="24"/>
          <w:lang w:val="en-US"/>
        </w:rPr>
        <w:t>CDAI</w:t>
      </w:r>
      <w:r w:rsidR="00B671CE">
        <w:rPr>
          <w:rFonts w:ascii="Book Antiqua" w:eastAsiaTheme="minorEastAsia" w:hAnsi="Book Antiqua" w:cs="Arial" w:hint="eastAsia"/>
          <w:sz w:val="24"/>
          <w:szCs w:val="24"/>
          <w:lang w:val="en-US"/>
        </w:rPr>
        <w:t>:</w:t>
      </w:r>
      <w:r w:rsidR="00B671CE" w:rsidRPr="00594C9A">
        <w:rPr>
          <w:rFonts w:ascii="Book Antiqua" w:hAnsi="Book Antiqua" w:cs="Arial"/>
          <w:color w:val="000000"/>
          <w:sz w:val="24"/>
          <w:szCs w:val="24"/>
          <w:lang w:val="en-US"/>
        </w:rPr>
        <w:t xml:space="preserve"> </w:t>
      </w:r>
      <w:r w:rsidR="00B671CE" w:rsidRPr="00A06BF8">
        <w:rPr>
          <w:rFonts w:ascii="Book Antiqua" w:hAnsi="Book Antiqua" w:cs="Arial"/>
          <w:sz w:val="24"/>
          <w:szCs w:val="24"/>
          <w:lang w:val="en-US"/>
        </w:rPr>
        <w:t>Crohn’s disease activity index</w:t>
      </w:r>
      <w:r w:rsidR="00B671CE">
        <w:rPr>
          <w:rFonts w:ascii="Book Antiqua" w:eastAsiaTheme="minorEastAsia" w:hAnsi="Book Antiqua" w:cs="Arial" w:hint="eastAsia"/>
          <w:sz w:val="24"/>
          <w:szCs w:val="24"/>
          <w:lang w:val="en-US"/>
        </w:rPr>
        <w:t>.</w:t>
      </w:r>
      <w:r w:rsidR="00B671CE" w:rsidRPr="00A06BF8">
        <w:rPr>
          <w:rFonts w:ascii="Book Antiqua" w:hAnsi="Book Antiqua" w:cs="Arial"/>
          <w:sz w:val="24"/>
          <w:szCs w:val="24"/>
          <w:lang w:val="en-US"/>
        </w:rPr>
        <w:t xml:space="preserve"> </w:t>
      </w:r>
      <w:r w:rsidR="009064E0" w:rsidRPr="00594C9A">
        <w:rPr>
          <w:rFonts w:ascii="Book Antiqua" w:hAnsi="Book Antiqua" w:cs="Arial"/>
          <w:color w:val="000000"/>
          <w:sz w:val="24"/>
          <w:szCs w:val="24"/>
          <w:lang w:val="en-US"/>
        </w:rPr>
        <w:t xml:space="preserve">Systemic steroids included: </w:t>
      </w:r>
      <w:proofErr w:type="spellStart"/>
      <w:r w:rsidR="00594C9A" w:rsidRPr="00594C9A">
        <w:rPr>
          <w:rFonts w:ascii="Book Antiqua" w:hAnsi="Book Antiqua" w:cs="Arial"/>
          <w:color w:val="000000"/>
          <w:sz w:val="24"/>
          <w:szCs w:val="24"/>
          <w:lang w:val="en-US"/>
        </w:rPr>
        <w:t>Metilprednisolone</w:t>
      </w:r>
      <w:proofErr w:type="spellEnd"/>
      <w:r w:rsidR="00594C9A" w:rsidRPr="00594C9A">
        <w:rPr>
          <w:rFonts w:ascii="Book Antiqua" w:hAnsi="Book Antiqua" w:cs="Arial"/>
          <w:color w:val="000000"/>
          <w:sz w:val="24"/>
          <w:szCs w:val="24"/>
          <w:lang w:val="en-US"/>
        </w:rPr>
        <w:t xml:space="preserve"> </w:t>
      </w:r>
      <w:r w:rsidR="009064E0" w:rsidRPr="00594C9A">
        <w:rPr>
          <w:rFonts w:ascii="Book Antiqua" w:hAnsi="Book Antiqua" w:cs="Arial"/>
          <w:color w:val="000000"/>
          <w:sz w:val="24"/>
          <w:szCs w:val="24"/>
          <w:lang w:val="en-US"/>
        </w:rPr>
        <w:t xml:space="preserve">and prednisone; topical steroids included: </w:t>
      </w:r>
      <w:r w:rsidR="00594C9A" w:rsidRPr="00594C9A">
        <w:rPr>
          <w:rFonts w:ascii="Book Antiqua" w:hAnsi="Book Antiqua" w:cs="Arial"/>
          <w:color w:val="000000"/>
          <w:sz w:val="24"/>
          <w:szCs w:val="24"/>
          <w:lang w:val="en-US"/>
        </w:rPr>
        <w:t xml:space="preserve">Budesonide </w:t>
      </w:r>
      <w:r w:rsidR="009064E0" w:rsidRPr="00594C9A">
        <w:rPr>
          <w:rFonts w:ascii="Book Antiqua" w:hAnsi="Book Antiqua" w:cs="Arial"/>
          <w:color w:val="000000"/>
          <w:sz w:val="24"/>
          <w:szCs w:val="24"/>
          <w:lang w:val="en-US"/>
        </w:rPr>
        <w:t xml:space="preserve">and </w:t>
      </w:r>
      <w:proofErr w:type="spellStart"/>
      <w:r w:rsidR="009064E0" w:rsidRPr="00594C9A">
        <w:rPr>
          <w:rFonts w:ascii="Book Antiqua" w:hAnsi="Book Antiqua" w:cs="Arial"/>
          <w:color w:val="000000"/>
          <w:sz w:val="24"/>
          <w:szCs w:val="24"/>
          <w:lang w:val="en-US"/>
        </w:rPr>
        <w:t>beclometasone</w:t>
      </w:r>
      <w:proofErr w:type="spellEnd"/>
      <w:r w:rsidR="009064E0" w:rsidRPr="00594C9A">
        <w:rPr>
          <w:rFonts w:ascii="Book Antiqua" w:hAnsi="Book Antiqua" w:cs="Arial"/>
          <w:color w:val="000000"/>
          <w:sz w:val="24"/>
          <w:szCs w:val="24"/>
          <w:lang w:val="en-US"/>
        </w:rPr>
        <w:t xml:space="preserve"> </w:t>
      </w:r>
      <w:proofErr w:type="spellStart"/>
      <w:r w:rsidR="009064E0" w:rsidRPr="00594C9A">
        <w:rPr>
          <w:rFonts w:ascii="Book Antiqua" w:hAnsi="Book Antiqua" w:cs="Arial"/>
          <w:color w:val="000000"/>
          <w:sz w:val="24"/>
          <w:szCs w:val="24"/>
          <w:lang w:val="en-US"/>
        </w:rPr>
        <w:t>dipropionate</w:t>
      </w:r>
      <w:proofErr w:type="spellEnd"/>
      <w:r w:rsidR="009064E0" w:rsidRPr="00594C9A">
        <w:rPr>
          <w:rFonts w:ascii="Book Antiqua" w:hAnsi="Book Antiqua" w:cs="Arial"/>
          <w:color w:val="000000"/>
          <w:sz w:val="24"/>
          <w:szCs w:val="24"/>
          <w:lang w:val="en-US"/>
        </w:rPr>
        <w:t xml:space="preserve">; biological agents included: </w:t>
      </w:r>
      <w:r w:rsidR="00594C9A" w:rsidRPr="00594C9A">
        <w:rPr>
          <w:rFonts w:ascii="Book Antiqua" w:hAnsi="Book Antiqua" w:cs="Arial"/>
          <w:color w:val="000000"/>
          <w:sz w:val="24"/>
          <w:szCs w:val="24"/>
          <w:lang w:val="en-US"/>
        </w:rPr>
        <w:t xml:space="preserve">Infliximab </w:t>
      </w:r>
      <w:r w:rsidR="009064E0" w:rsidRPr="00594C9A">
        <w:rPr>
          <w:rFonts w:ascii="Book Antiqua" w:hAnsi="Book Antiqua" w:cs="Arial"/>
          <w:color w:val="000000"/>
          <w:sz w:val="24"/>
          <w:szCs w:val="24"/>
          <w:lang w:val="en-US"/>
        </w:rPr>
        <w:t xml:space="preserve">and </w:t>
      </w:r>
      <w:proofErr w:type="spellStart"/>
      <w:r w:rsidR="009064E0" w:rsidRPr="00594C9A">
        <w:rPr>
          <w:rFonts w:ascii="Book Antiqua" w:hAnsi="Book Antiqua" w:cs="Arial"/>
          <w:color w:val="000000"/>
          <w:sz w:val="24"/>
          <w:szCs w:val="24"/>
          <w:lang w:val="en-US"/>
        </w:rPr>
        <w:t>adalimumab</w:t>
      </w:r>
      <w:proofErr w:type="spellEnd"/>
      <w:r w:rsidR="009064E0" w:rsidRPr="00594C9A">
        <w:rPr>
          <w:rFonts w:ascii="Book Antiqua" w:hAnsi="Book Antiqua" w:cs="Arial"/>
          <w:color w:val="000000"/>
          <w:sz w:val="24"/>
          <w:szCs w:val="24"/>
          <w:lang w:val="en-US"/>
        </w:rPr>
        <w:t>.</w:t>
      </w:r>
    </w:p>
    <w:p w:rsidR="009064E0" w:rsidRPr="00A06BF8" w:rsidRDefault="009064E0" w:rsidP="00093495">
      <w:pPr>
        <w:widowControl w:val="0"/>
        <w:suppressAutoHyphens w:val="0"/>
        <w:adjustRightInd w:val="0"/>
        <w:snapToGrid w:val="0"/>
        <w:spacing w:line="360" w:lineRule="auto"/>
        <w:jc w:val="both"/>
        <w:rPr>
          <w:rFonts w:ascii="Book Antiqua" w:hAnsi="Book Antiqua"/>
          <w:sz w:val="24"/>
          <w:szCs w:val="24"/>
          <w:lang w:val="en-US"/>
        </w:rPr>
      </w:pPr>
      <w:r w:rsidRPr="00A06BF8">
        <w:rPr>
          <w:rFonts w:ascii="Book Antiqua" w:hAnsi="Book Antiqua"/>
          <w:sz w:val="24"/>
          <w:szCs w:val="24"/>
          <w:lang w:val="en-US"/>
        </w:rPr>
        <w:br w:type="page"/>
      </w:r>
    </w:p>
    <w:p w:rsidR="009064E0" w:rsidRPr="00594C9A" w:rsidRDefault="00594C9A"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r w:rsidRPr="00594C9A">
        <w:rPr>
          <w:rFonts w:ascii="Book Antiqua" w:hAnsi="Book Antiqua" w:cs="Arial"/>
          <w:b/>
          <w:sz w:val="24"/>
          <w:szCs w:val="24"/>
          <w:lang w:val="en-US"/>
        </w:rPr>
        <w:lastRenderedPageBreak/>
        <w:t>Table 2</w:t>
      </w:r>
      <w:r w:rsidR="009064E0" w:rsidRPr="00594C9A">
        <w:rPr>
          <w:rFonts w:ascii="Book Antiqua" w:hAnsi="Book Antiqua" w:cs="Arial"/>
          <w:b/>
          <w:sz w:val="24"/>
          <w:szCs w:val="24"/>
          <w:lang w:val="en-US"/>
        </w:rPr>
        <w:t xml:space="preserve"> </w:t>
      </w:r>
      <w:r w:rsidRPr="00594C9A">
        <w:rPr>
          <w:rFonts w:ascii="Book Antiqua" w:hAnsi="Book Antiqua" w:cs="Arial"/>
          <w:b/>
          <w:sz w:val="24"/>
          <w:szCs w:val="24"/>
          <w:lang w:val="en-US"/>
        </w:rPr>
        <w:t>Mucosal viral loads</w:t>
      </w:r>
    </w:p>
    <w:tbl>
      <w:tblPr>
        <w:tblW w:w="7230" w:type="dxa"/>
        <w:tblInd w:w="108" w:type="dxa"/>
        <w:tblBorders>
          <w:top w:val="single" w:sz="4" w:space="0" w:color="auto"/>
          <w:bottom w:val="single" w:sz="4" w:space="0" w:color="auto"/>
        </w:tblBorders>
        <w:tblLayout w:type="fixed"/>
        <w:tblLook w:val="0000" w:firstRow="0" w:lastRow="0" w:firstColumn="0" w:lastColumn="0" w:noHBand="0" w:noVBand="0"/>
      </w:tblPr>
      <w:tblGrid>
        <w:gridCol w:w="2694"/>
        <w:gridCol w:w="2268"/>
        <w:gridCol w:w="2268"/>
      </w:tblGrid>
      <w:tr w:rsidR="009064E0" w:rsidRPr="00A06BF8" w:rsidTr="00594C9A">
        <w:trPr>
          <w:cantSplit/>
        </w:trPr>
        <w:tc>
          <w:tcPr>
            <w:tcW w:w="2694" w:type="dxa"/>
            <w:tcBorders>
              <w:top w:val="single" w:sz="4" w:space="0" w:color="auto"/>
              <w:bottom w:val="single" w:sz="4" w:space="0" w:color="auto"/>
            </w:tcBorders>
          </w:tcPr>
          <w:p w:rsidR="009064E0" w:rsidRPr="00594C9A" w:rsidRDefault="009064E0" w:rsidP="00093495">
            <w:pPr>
              <w:widowControl w:val="0"/>
              <w:suppressAutoHyphens w:val="0"/>
              <w:adjustRightInd w:val="0"/>
              <w:snapToGrid w:val="0"/>
              <w:spacing w:line="360" w:lineRule="auto"/>
              <w:jc w:val="both"/>
              <w:rPr>
                <w:rFonts w:ascii="Book Antiqua" w:hAnsi="Book Antiqua"/>
                <w:sz w:val="24"/>
                <w:szCs w:val="24"/>
                <w:lang w:val="en-US"/>
              </w:rPr>
            </w:pPr>
          </w:p>
        </w:tc>
        <w:tc>
          <w:tcPr>
            <w:tcW w:w="2268" w:type="dxa"/>
            <w:tcBorders>
              <w:top w:val="single" w:sz="4" w:space="0" w:color="auto"/>
              <w:bottom w:val="single" w:sz="4" w:space="0" w:color="auto"/>
            </w:tcBorders>
          </w:tcPr>
          <w:p w:rsidR="009064E0" w:rsidRPr="00594C9A" w:rsidRDefault="00594C9A" w:rsidP="00093495">
            <w:pPr>
              <w:widowControl w:val="0"/>
              <w:suppressAutoHyphens w:val="0"/>
              <w:adjustRightInd w:val="0"/>
              <w:snapToGrid w:val="0"/>
              <w:spacing w:line="360" w:lineRule="auto"/>
              <w:jc w:val="both"/>
              <w:rPr>
                <w:rFonts w:ascii="Book Antiqua" w:eastAsiaTheme="minorEastAsia" w:hAnsi="Book Antiqua" w:cs="Calibri"/>
                <w:b/>
                <w:color w:val="000000"/>
                <w:sz w:val="24"/>
                <w:szCs w:val="24"/>
                <w:lang w:val="en-US"/>
              </w:rPr>
            </w:pPr>
            <w:r w:rsidRPr="00594C9A">
              <w:rPr>
                <w:rFonts w:ascii="Book Antiqua" w:hAnsi="Book Antiqua" w:cs="Calibri"/>
                <w:b/>
                <w:color w:val="000000"/>
                <w:sz w:val="24"/>
                <w:szCs w:val="24"/>
                <w:lang w:val="en-US"/>
              </w:rPr>
              <w:t>HCMV</w:t>
            </w:r>
          </w:p>
        </w:tc>
        <w:tc>
          <w:tcPr>
            <w:tcW w:w="2268" w:type="dxa"/>
            <w:tcBorders>
              <w:top w:val="single" w:sz="4" w:space="0" w:color="auto"/>
              <w:bottom w:val="single" w:sz="4" w:space="0" w:color="auto"/>
            </w:tcBorders>
          </w:tcPr>
          <w:p w:rsidR="009064E0" w:rsidRPr="00594C9A" w:rsidRDefault="009064E0" w:rsidP="00093495">
            <w:pPr>
              <w:widowControl w:val="0"/>
              <w:suppressAutoHyphens w:val="0"/>
              <w:adjustRightInd w:val="0"/>
              <w:snapToGrid w:val="0"/>
              <w:spacing w:line="360" w:lineRule="auto"/>
              <w:jc w:val="both"/>
              <w:rPr>
                <w:rFonts w:ascii="Book Antiqua" w:hAnsi="Book Antiqua"/>
                <w:sz w:val="24"/>
                <w:szCs w:val="24"/>
                <w:lang w:val="en-US"/>
              </w:rPr>
            </w:pPr>
            <w:r w:rsidRPr="00594C9A">
              <w:rPr>
                <w:rFonts w:ascii="Book Antiqua" w:hAnsi="Book Antiqua" w:cs="Calibri"/>
                <w:b/>
                <w:color w:val="000000"/>
                <w:sz w:val="24"/>
                <w:szCs w:val="24"/>
                <w:lang w:val="en-US"/>
              </w:rPr>
              <w:t>EBV</w:t>
            </w:r>
          </w:p>
        </w:tc>
      </w:tr>
      <w:tr w:rsidR="009064E0" w:rsidRPr="00A06BF8" w:rsidTr="00594C9A">
        <w:tc>
          <w:tcPr>
            <w:tcW w:w="2694" w:type="dxa"/>
            <w:tcBorders>
              <w:top w:val="single" w:sz="4" w:space="0" w:color="auto"/>
            </w:tcBorders>
          </w:tcPr>
          <w:p w:rsidR="009064E0" w:rsidRPr="00594C9A"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594C9A">
              <w:rPr>
                <w:rFonts w:ascii="Book Antiqua" w:hAnsi="Book Antiqua" w:cs="Calibri"/>
                <w:b/>
                <w:color w:val="000000"/>
                <w:sz w:val="24"/>
                <w:szCs w:val="24"/>
                <w:lang w:val="en-US"/>
              </w:rPr>
              <w:t>Number of patients</w:t>
            </w:r>
          </w:p>
        </w:tc>
        <w:tc>
          <w:tcPr>
            <w:tcW w:w="2268" w:type="dxa"/>
            <w:tcBorders>
              <w:top w:val="single" w:sz="4" w:space="0" w:color="auto"/>
            </w:tcBorders>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15/80</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tc>
        <w:tc>
          <w:tcPr>
            <w:tcW w:w="2268" w:type="dxa"/>
            <w:tcBorders>
              <w:top w:val="single" w:sz="4" w:space="0" w:color="auto"/>
            </w:tcBorders>
          </w:tcPr>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32/80</w:t>
            </w:r>
          </w:p>
        </w:tc>
      </w:tr>
      <w:tr w:rsidR="009064E0" w:rsidRPr="00A06BF8" w:rsidTr="00594C9A">
        <w:tc>
          <w:tcPr>
            <w:tcW w:w="2694" w:type="dxa"/>
          </w:tcPr>
          <w:p w:rsidR="009064E0" w:rsidRPr="00594C9A"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r w:rsidRPr="00594C9A">
              <w:rPr>
                <w:rFonts w:ascii="Book Antiqua" w:hAnsi="Book Antiqua" w:cs="Calibri"/>
                <w:b/>
                <w:color w:val="000000"/>
                <w:sz w:val="24"/>
                <w:szCs w:val="24"/>
                <w:lang w:val="en-US"/>
              </w:rPr>
              <w:t>Refractory</w:t>
            </w:r>
          </w:p>
          <w:p w:rsidR="009064E0" w:rsidRPr="00594C9A"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p>
          <w:p w:rsidR="009064E0" w:rsidRPr="00594C9A"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p>
          <w:p w:rsidR="009064E0" w:rsidRPr="00594C9A"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594C9A">
              <w:rPr>
                <w:rFonts w:ascii="Book Antiqua" w:hAnsi="Book Antiqua" w:cs="Calibri"/>
                <w:color w:val="000000"/>
                <w:sz w:val="24"/>
                <w:szCs w:val="24"/>
                <w:lang w:val="en-US"/>
              </w:rPr>
              <w:t>Diseased mucosa</w:t>
            </w:r>
          </w:p>
          <w:p w:rsidR="009064E0" w:rsidRPr="00594C9A"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594C9A"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594C9A"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594C9A"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594C9A">
              <w:rPr>
                <w:rFonts w:ascii="Book Antiqua" w:hAnsi="Book Antiqua" w:cs="Calibri"/>
                <w:color w:val="000000"/>
                <w:sz w:val="24"/>
                <w:szCs w:val="24"/>
                <w:lang w:val="en-US"/>
              </w:rPr>
              <w:t>Non-diseased mucosa</w:t>
            </w:r>
          </w:p>
        </w:tc>
        <w:tc>
          <w:tcPr>
            <w:tcW w:w="2268" w:type="dxa"/>
          </w:tcPr>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286</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Arial"/>
                <w:sz w:val="24"/>
                <w:szCs w:val="24"/>
                <w:lang w:val="en-US"/>
              </w:rPr>
              <w:t>(0–221.697)</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30.763</w:t>
            </w: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(11.911–221.697)</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 xml:space="preserve">0 </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Arial"/>
                <w:sz w:val="24"/>
                <w:szCs w:val="24"/>
                <w:lang w:val="en-US"/>
              </w:rPr>
              <w:t>(0-3)</w:t>
            </w:r>
          </w:p>
        </w:tc>
        <w:tc>
          <w:tcPr>
            <w:tcW w:w="2268" w:type="dxa"/>
          </w:tcPr>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5.440</w:t>
            </w: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(0–966.333)</w:t>
            </w: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8.294</w:t>
            </w: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(1.020–966.333)</w:t>
            </w: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281</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Arial"/>
                <w:sz w:val="24"/>
                <w:szCs w:val="24"/>
                <w:lang w:val="en-US"/>
              </w:rPr>
              <w:t>(12-400)</w:t>
            </w:r>
          </w:p>
        </w:tc>
      </w:tr>
      <w:tr w:rsidR="009064E0" w:rsidRPr="00A06BF8" w:rsidTr="00594C9A">
        <w:tc>
          <w:tcPr>
            <w:tcW w:w="2694" w:type="dxa"/>
          </w:tcPr>
          <w:p w:rsidR="009064E0" w:rsidRPr="00594C9A"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r w:rsidRPr="00594C9A">
              <w:rPr>
                <w:rFonts w:ascii="Book Antiqua" w:hAnsi="Book Antiqua" w:cs="Calibri"/>
                <w:b/>
                <w:color w:val="000000"/>
                <w:sz w:val="24"/>
                <w:szCs w:val="24"/>
                <w:lang w:val="en-US"/>
              </w:rPr>
              <w:t>Responders</w:t>
            </w:r>
          </w:p>
          <w:p w:rsidR="009064E0" w:rsidRPr="00594C9A"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p>
          <w:p w:rsidR="009064E0" w:rsidRPr="00594C9A"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p>
          <w:p w:rsidR="009064E0" w:rsidRPr="00594C9A"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594C9A">
              <w:rPr>
                <w:rFonts w:ascii="Book Antiqua" w:hAnsi="Book Antiqua" w:cs="Calibri"/>
                <w:color w:val="000000"/>
                <w:sz w:val="24"/>
                <w:szCs w:val="24"/>
                <w:lang w:val="en-US"/>
              </w:rPr>
              <w:t>Diseased mucosa</w:t>
            </w:r>
          </w:p>
          <w:p w:rsidR="009064E0" w:rsidRPr="00594C9A"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594C9A"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594C9A"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594C9A">
              <w:rPr>
                <w:rFonts w:ascii="Book Antiqua" w:hAnsi="Book Antiqua" w:cs="Calibri"/>
                <w:color w:val="000000"/>
                <w:sz w:val="24"/>
                <w:szCs w:val="24"/>
                <w:lang w:val="en-US"/>
              </w:rPr>
              <w:t>Non-diseased mucosa</w:t>
            </w:r>
          </w:p>
          <w:p w:rsidR="009064E0" w:rsidRPr="00594C9A"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tc>
        <w:tc>
          <w:tcPr>
            <w:tcW w:w="2268" w:type="dxa"/>
          </w:tcPr>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0</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Arial"/>
                <w:sz w:val="24"/>
                <w:szCs w:val="24"/>
                <w:lang w:val="en-US"/>
              </w:rPr>
              <w:t>(0–273)</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0</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(0-273)</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0</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Calibri"/>
                <w:color w:val="000000"/>
                <w:sz w:val="24"/>
                <w:szCs w:val="24"/>
                <w:lang w:val="en-US"/>
              </w:rPr>
              <w:t>(0-2)</w:t>
            </w:r>
          </w:p>
        </w:tc>
        <w:tc>
          <w:tcPr>
            <w:tcW w:w="2268" w:type="dxa"/>
          </w:tcPr>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6</w:t>
            </w: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(0–973)</w:t>
            </w: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9</w:t>
            </w: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w:t>
            </w:r>
            <w:r w:rsidRPr="00A06BF8">
              <w:rPr>
                <w:rFonts w:ascii="Book Antiqua" w:hAnsi="Book Antiqua" w:cs="Calibri"/>
                <w:color w:val="000000"/>
                <w:sz w:val="24"/>
                <w:szCs w:val="24"/>
                <w:lang w:val="en-US"/>
              </w:rPr>
              <w:t>0-973</w:t>
            </w:r>
            <w:r w:rsidRPr="00A06BF8">
              <w:rPr>
                <w:rFonts w:ascii="Book Antiqua" w:hAnsi="Book Antiqua" w:cs="Arial"/>
                <w:sz w:val="24"/>
                <w:szCs w:val="24"/>
                <w:lang w:val="en-US"/>
              </w:rPr>
              <w:t>)</w:t>
            </w: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p>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4</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Arial"/>
                <w:sz w:val="24"/>
                <w:szCs w:val="24"/>
                <w:lang w:val="en-US"/>
              </w:rPr>
              <w:t>(0</w:t>
            </w:r>
            <w:r w:rsidRPr="00A06BF8">
              <w:rPr>
                <w:rFonts w:ascii="Book Antiqua" w:hAnsi="Book Antiqua" w:cs="Calibri"/>
                <w:color w:val="000000"/>
                <w:sz w:val="24"/>
                <w:szCs w:val="24"/>
                <w:lang w:val="en-US"/>
              </w:rPr>
              <w:t>-63</w:t>
            </w:r>
            <w:r w:rsidRPr="00A06BF8">
              <w:rPr>
                <w:rFonts w:ascii="Book Antiqua" w:hAnsi="Book Antiqua" w:cs="Arial"/>
                <w:sz w:val="24"/>
                <w:szCs w:val="24"/>
                <w:lang w:val="en-US"/>
              </w:rPr>
              <w:t>)</w:t>
            </w:r>
          </w:p>
        </w:tc>
      </w:tr>
      <w:tr w:rsidR="009064E0" w:rsidRPr="00A06BF8" w:rsidTr="00594C9A">
        <w:tc>
          <w:tcPr>
            <w:tcW w:w="2694" w:type="dxa"/>
          </w:tcPr>
          <w:p w:rsidR="009064E0" w:rsidRPr="00594C9A"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r w:rsidRPr="00594C9A">
              <w:rPr>
                <w:rFonts w:ascii="Book Antiqua" w:hAnsi="Book Antiqua" w:cs="Calibri"/>
                <w:b/>
                <w:color w:val="000000"/>
                <w:sz w:val="24"/>
                <w:szCs w:val="24"/>
                <w:lang w:val="en-US"/>
              </w:rPr>
              <w:t>Controls</w:t>
            </w:r>
          </w:p>
          <w:p w:rsidR="009064E0" w:rsidRPr="00594C9A"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p>
          <w:p w:rsidR="009064E0" w:rsidRPr="00594C9A" w:rsidRDefault="009064E0" w:rsidP="00093495">
            <w:pPr>
              <w:widowControl w:val="0"/>
              <w:suppressAutoHyphens w:val="0"/>
              <w:adjustRightInd w:val="0"/>
              <w:snapToGrid w:val="0"/>
              <w:spacing w:line="360" w:lineRule="auto"/>
              <w:jc w:val="both"/>
              <w:rPr>
                <w:rFonts w:ascii="Book Antiqua" w:hAnsi="Book Antiqua" w:cs="Calibri"/>
                <w:b/>
                <w:color w:val="000000"/>
                <w:sz w:val="24"/>
                <w:szCs w:val="24"/>
                <w:lang w:val="en-US"/>
              </w:rPr>
            </w:pPr>
          </w:p>
          <w:p w:rsidR="009064E0" w:rsidRPr="00594C9A"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p>
        </w:tc>
        <w:tc>
          <w:tcPr>
            <w:tcW w:w="2268" w:type="dxa"/>
          </w:tcPr>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0</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Arial"/>
                <w:sz w:val="24"/>
                <w:szCs w:val="24"/>
                <w:lang w:val="en-US"/>
              </w:rPr>
              <w:t>(0–41)</w:t>
            </w:r>
          </w:p>
        </w:tc>
        <w:tc>
          <w:tcPr>
            <w:tcW w:w="2268" w:type="dxa"/>
          </w:tcPr>
          <w:p w:rsidR="009064E0" w:rsidRPr="00A06BF8" w:rsidRDefault="009064E0" w:rsidP="00093495">
            <w:pPr>
              <w:widowControl w:val="0"/>
              <w:suppressAutoHyphens w:val="0"/>
              <w:adjustRightInd w:val="0"/>
              <w:snapToGrid w:val="0"/>
              <w:spacing w:line="360" w:lineRule="auto"/>
              <w:jc w:val="both"/>
              <w:rPr>
                <w:rFonts w:ascii="Book Antiqua" w:hAnsi="Book Antiqua" w:cs="Arial"/>
                <w:sz w:val="24"/>
                <w:szCs w:val="24"/>
                <w:lang w:val="en-US"/>
              </w:rPr>
            </w:pPr>
            <w:r w:rsidRPr="00A06BF8">
              <w:rPr>
                <w:rFonts w:ascii="Book Antiqua" w:hAnsi="Book Antiqua" w:cs="Arial"/>
                <w:sz w:val="24"/>
                <w:szCs w:val="24"/>
                <w:lang w:val="en-US"/>
              </w:rPr>
              <w:t>0</w:t>
            </w:r>
          </w:p>
          <w:p w:rsidR="009064E0" w:rsidRPr="00A06BF8" w:rsidRDefault="009064E0" w:rsidP="00093495">
            <w:pPr>
              <w:widowControl w:val="0"/>
              <w:suppressAutoHyphens w:val="0"/>
              <w:adjustRightInd w:val="0"/>
              <w:snapToGrid w:val="0"/>
              <w:spacing w:line="360" w:lineRule="auto"/>
              <w:jc w:val="both"/>
              <w:rPr>
                <w:rFonts w:ascii="Book Antiqua" w:hAnsi="Book Antiqua" w:cs="Calibri"/>
                <w:color w:val="000000"/>
                <w:sz w:val="24"/>
                <w:szCs w:val="24"/>
                <w:lang w:val="en-US"/>
              </w:rPr>
            </w:pPr>
            <w:r w:rsidRPr="00A06BF8">
              <w:rPr>
                <w:rFonts w:ascii="Book Antiqua" w:hAnsi="Book Antiqua" w:cs="Arial"/>
                <w:sz w:val="24"/>
                <w:szCs w:val="24"/>
                <w:lang w:val="en-US"/>
              </w:rPr>
              <w:t>(0–34)</w:t>
            </w:r>
          </w:p>
        </w:tc>
      </w:tr>
    </w:tbl>
    <w:p w:rsidR="009064E0" w:rsidRPr="00594C9A" w:rsidRDefault="00594C9A" w:rsidP="00093495">
      <w:pPr>
        <w:widowControl w:val="0"/>
        <w:suppressAutoHyphens w:val="0"/>
        <w:adjustRightInd w:val="0"/>
        <w:snapToGrid w:val="0"/>
        <w:spacing w:line="360" w:lineRule="auto"/>
        <w:jc w:val="both"/>
        <w:rPr>
          <w:rFonts w:ascii="Book Antiqua" w:eastAsiaTheme="minorEastAsia" w:hAnsi="Book Antiqua" w:cs="Arial"/>
          <w:color w:val="000000"/>
          <w:sz w:val="24"/>
          <w:szCs w:val="24"/>
          <w:lang w:val="en-US"/>
        </w:rPr>
      </w:pPr>
      <w:r w:rsidRPr="00594C9A">
        <w:rPr>
          <w:rFonts w:ascii="Book Antiqua" w:eastAsiaTheme="minorEastAsia" w:hAnsi="Book Antiqua" w:cs="Arial" w:hint="eastAsia"/>
          <w:color w:val="000000"/>
          <w:sz w:val="24"/>
          <w:szCs w:val="24"/>
          <w:lang w:val="en-US"/>
        </w:rPr>
        <w:t>T</w:t>
      </w:r>
      <w:r w:rsidR="009064E0" w:rsidRPr="00594C9A">
        <w:rPr>
          <w:rFonts w:ascii="Book Antiqua" w:hAnsi="Book Antiqua" w:cs="Arial"/>
          <w:color w:val="000000"/>
          <w:sz w:val="24"/>
          <w:szCs w:val="24"/>
          <w:lang w:val="en-US"/>
        </w:rPr>
        <w:t>he va</w:t>
      </w:r>
      <w:r>
        <w:rPr>
          <w:rFonts w:ascii="Book Antiqua" w:hAnsi="Book Antiqua" w:cs="Arial"/>
          <w:color w:val="000000"/>
          <w:sz w:val="24"/>
          <w:szCs w:val="24"/>
          <w:lang w:val="en-US"/>
        </w:rPr>
        <w:t>lues are given as copies of DNA</w:t>
      </w:r>
      <w:r w:rsidR="009064E0" w:rsidRPr="00594C9A">
        <w:rPr>
          <w:rFonts w:ascii="Book Antiqua" w:hAnsi="Book Antiqua" w:cs="Arial"/>
          <w:color w:val="000000"/>
          <w:sz w:val="24"/>
          <w:szCs w:val="24"/>
          <w:lang w:val="en-US"/>
        </w:rPr>
        <w:t>/10</w:t>
      </w:r>
      <w:r w:rsidR="009064E0" w:rsidRPr="00594C9A">
        <w:rPr>
          <w:rFonts w:ascii="Book Antiqua" w:hAnsi="Book Antiqua" w:cs="Arial"/>
          <w:color w:val="000000"/>
          <w:sz w:val="24"/>
          <w:szCs w:val="24"/>
          <w:vertAlign w:val="superscript"/>
          <w:lang w:val="en-US"/>
        </w:rPr>
        <w:t>5</w:t>
      </w:r>
      <w:r w:rsidR="009064E0" w:rsidRPr="00594C9A">
        <w:rPr>
          <w:rFonts w:ascii="Book Antiqua" w:hAnsi="Book Antiqua" w:cs="Arial"/>
          <w:color w:val="000000"/>
          <w:sz w:val="24"/>
          <w:szCs w:val="24"/>
          <w:lang w:val="en-US"/>
        </w:rPr>
        <w:t xml:space="preserve"> cells and showed as median (range). </w:t>
      </w:r>
      <w:r w:rsidRPr="00A06BF8">
        <w:rPr>
          <w:rFonts w:ascii="Book Antiqua" w:hAnsi="Book Antiqua" w:cs="Arial"/>
          <w:sz w:val="24"/>
          <w:szCs w:val="24"/>
          <w:lang w:val="en-GB"/>
        </w:rPr>
        <w:t>HCMV</w:t>
      </w:r>
      <w:r>
        <w:rPr>
          <w:rFonts w:ascii="Book Antiqua" w:eastAsiaTheme="minorEastAsia" w:hAnsi="Book Antiqua" w:cs="Arial" w:hint="eastAsia"/>
          <w:sz w:val="24"/>
          <w:szCs w:val="24"/>
          <w:lang w:val="en-GB"/>
        </w:rPr>
        <w:t>:</w:t>
      </w:r>
      <w:r w:rsidRPr="00A06BF8">
        <w:rPr>
          <w:rFonts w:ascii="Book Antiqua" w:hAnsi="Book Antiqua" w:cs="Arial"/>
          <w:sz w:val="24"/>
          <w:szCs w:val="24"/>
          <w:lang w:val="en-GB"/>
        </w:rPr>
        <w:t xml:space="preserve"> </w:t>
      </w:r>
      <w:r w:rsidRPr="00594C9A">
        <w:rPr>
          <w:rFonts w:ascii="Book Antiqua" w:hAnsi="Book Antiqua" w:cs="Arial"/>
          <w:caps/>
          <w:sz w:val="24"/>
          <w:szCs w:val="24"/>
          <w:lang w:val="en-GB"/>
        </w:rPr>
        <w:t>h</w:t>
      </w:r>
      <w:r w:rsidRPr="00A06BF8">
        <w:rPr>
          <w:rFonts w:ascii="Book Antiqua" w:hAnsi="Book Antiqua" w:cs="Arial"/>
          <w:sz w:val="24"/>
          <w:szCs w:val="24"/>
          <w:lang w:val="en-GB"/>
        </w:rPr>
        <w:t>uman Cytomegalovirus</w:t>
      </w:r>
      <w:r>
        <w:rPr>
          <w:rFonts w:ascii="Book Antiqua" w:eastAsiaTheme="minorEastAsia" w:hAnsi="Book Antiqua" w:cs="Arial" w:hint="eastAsia"/>
          <w:sz w:val="24"/>
          <w:szCs w:val="24"/>
          <w:lang w:val="en-GB"/>
        </w:rPr>
        <w:t>;</w:t>
      </w:r>
      <w:r w:rsidRPr="00A06BF8">
        <w:rPr>
          <w:rFonts w:ascii="Book Antiqua" w:hAnsi="Book Antiqua" w:cs="Arial"/>
          <w:sz w:val="24"/>
          <w:szCs w:val="24"/>
          <w:lang w:val="en-US"/>
        </w:rPr>
        <w:t xml:space="preserve"> </w:t>
      </w:r>
      <w:r w:rsidRPr="00A06BF8">
        <w:rPr>
          <w:rFonts w:ascii="Book Antiqua" w:hAnsi="Book Antiqua" w:cs="Arial"/>
          <w:sz w:val="24"/>
          <w:szCs w:val="24"/>
          <w:lang w:val="en-GB"/>
        </w:rPr>
        <w:t>EBV</w:t>
      </w:r>
      <w:r>
        <w:rPr>
          <w:rFonts w:ascii="Book Antiqua" w:eastAsiaTheme="minorEastAsia" w:hAnsi="Book Antiqua" w:cs="Arial" w:hint="eastAsia"/>
          <w:sz w:val="24"/>
          <w:szCs w:val="24"/>
          <w:lang w:val="en-GB"/>
        </w:rPr>
        <w:t>:</w:t>
      </w:r>
      <w:r w:rsidRPr="00A06BF8">
        <w:rPr>
          <w:rFonts w:ascii="Book Antiqua" w:hAnsi="Book Antiqua" w:cs="Arial"/>
          <w:sz w:val="24"/>
          <w:szCs w:val="24"/>
          <w:lang w:val="en-GB"/>
        </w:rPr>
        <w:t xml:space="preserve"> Epstein</w:t>
      </w:r>
      <w:r>
        <w:rPr>
          <w:rFonts w:ascii="Book Antiqua" w:eastAsiaTheme="minorEastAsia" w:hAnsi="Book Antiqua" w:cs="Arial" w:hint="eastAsia"/>
          <w:sz w:val="24"/>
          <w:szCs w:val="24"/>
          <w:lang w:val="en-GB"/>
        </w:rPr>
        <w:t>-</w:t>
      </w:r>
      <w:r w:rsidRPr="00A06BF8">
        <w:rPr>
          <w:rFonts w:ascii="Book Antiqua" w:hAnsi="Book Antiqua" w:cs="Arial"/>
          <w:sz w:val="24"/>
          <w:szCs w:val="24"/>
          <w:lang w:val="en-GB"/>
        </w:rPr>
        <w:t>Barr virus</w:t>
      </w:r>
      <w:r>
        <w:rPr>
          <w:rFonts w:ascii="Book Antiqua" w:eastAsiaTheme="minorEastAsia" w:hAnsi="Book Antiqua" w:cs="Arial" w:hint="eastAsia"/>
          <w:sz w:val="24"/>
          <w:szCs w:val="24"/>
          <w:lang w:val="en-GB"/>
        </w:rPr>
        <w:t>.</w:t>
      </w:r>
    </w:p>
    <w:p w:rsidR="009064E0" w:rsidRPr="00A06BF8" w:rsidRDefault="009064E0" w:rsidP="00093495">
      <w:pPr>
        <w:widowControl w:val="0"/>
        <w:suppressAutoHyphens w:val="0"/>
        <w:adjustRightInd w:val="0"/>
        <w:snapToGrid w:val="0"/>
        <w:spacing w:line="360" w:lineRule="auto"/>
        <w:jc w:val="both"/>
        <w:rPr>
          <w:rFonts w:ascii="Book Antiqua" w:hAnsi="Book Antiqua"/>
          <w:sz w:val="24"/>
          <w:szCs w:val="24"/>
          <w:lang w:val="en-US"/>
        </w:rPr>
      </w:pPr>
      <w:r w:rsidRPr="00A06BF8">
        <w:rPr>
          <w:rFonts w:ascii="Book Antiqua" w:hAnsi="Book Antiqua"/>
          <w:sz w:val="24"/>
          <w:szCs w:val="24"/>
          <w:lang w:val="en-US"/>
        </w:rPr>
        <w:br w:type="page"/>
      </w:r>
    </w:p>
    <w:p w:rsidR="00AE220C" w:rsidRDefault="00740FF2"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r>
        <w:rPr>
          <w:rFonts w:ascii="Book Antiqua" w:eastAsiaTheme="minorEastAsia" w:hAnsi="Book Antiqua" w:cs="Arial"/>
          <w:b/>
          <w:noProof/>
          <w:sz w:val="24"/>
          <w:szCs w:val="24"/>
          <w:lang w:val="en-US"/>
        </w:rPr>
        <w:lastRenderedPageBreak/>
        <w:drawing>
          <wp:inline distT="0" distB="0" distL="0" distR="0" wp14:anchorId="00E1BED2" wp14:editId="6F622B2B">
            <wp:extent cx="1451633" cy="1089329"/>
            <wp:effectExtent l="0" t="0" r="0" b="0"/>
            <wp:docPr id="1" name="图片 1" descr="C:\Users\Administrator\Desktop\13115\13115\13115-Figure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3115\13115\13115-Figures\Figure 1.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451850" cy="1089492"/>
                    </a:xfrm>
                    <a:prstGeom prst="rect">
                      <a:avLst/>
                    </a:prstGeom>
                    <a:noFill/>
                    <a:ln>
                      <a:noFill/>
                    </a:ln>
                    <a:extLst>
                      <a:ext uri="{53640926-AAD7-44D8-BBD7-CCE9431645EC}">
                        <a14:shadowObscured xmlns:a14="http://schemas.microsoft.com/office/drawing/2010/main"/>
                      </a:ext>
                    </a:extLst>
                  </pic:spPr>
                </pic:pic>
              </a:graphicData>
            </a:graphic>
          </wp:inline>
        </w:drawing>
      </w:r>
    </w:p>
    <w:p w:rsidR="009064E0" w:rsidRDefault="001E7D29" w:rsidP="00093495">
      <w:pPr>
        <w:widowControl w:val="0"/>
        <w:suppressAutoHyphens w:val="0"/>
        <w:adjustRightInd w:val="0"/>
        <w:snapToGrid w:val="0"/>
        <w:spacing w:line="360" w:lineRule="auto"/>
        <w:jc w:val="both"/>
        <w:rPr>
          <w:rFonts w:ascii="Book Antiqua" w:eastAsiaTheme="minorEastAsia" w:hAnsi="Book Antiqua" w:cs="Arial"/>
          <w:sz w:val="24"/>
          <w:szCs w:val="24"/>
          <w:lang w:val="en-US"/>
        </w:rPr>
      </w:pPr>
      <w:r w:rsidRPr="001E7D29">
        <w:rPr>
          <w:rFonts w:ascii="Book Antiqua" w:hAnsi="Book Antiqua" w:cs="Arial"/>
          <w:b/>
          <w:sz w:val="24"/>
          <w:szCs w:val="24"/>
          <w:lang w:val="en-US"/>
        </w:rPr>
        <w:t>Figure 1</w:t>
      </w:r>
      <w:r w:rsidR="009064E0" w:rsidRPr="001E7D29">
        <w:rPr>
          <w:rFonts w:ascii="Book Antiqua" w:hAnsi="Book Antiqua" w:cs="Arial"/>
          <w:b/>
          <w:sz w:val="24"/>
          <w:szCs w:val="24"/>
          <w:lang w:val="en-US"/>
        </w:rPr>
        <w:t xml:space="preserve"> Refractory inflammatory bowel disease patients (full circles) showed statistically significant higher values in comparison with non-refractory patients (empty circles) and controls (empty rhombuses; panels A and B).</w:t>
      </w:r>
      <w:r w:rsidR="009064E0" w:rsidRPr="00A06BF8">
        <w:rPr>
          <w:rFonts w:ascii="Book Antiqua" w:hAnsi="Book Antiqua" w:cs="Arial"/>
          <w:sz w:val="24"/>
          <w:szCs w:val="24"/>
          <w:lang w:val="en-US"/>
        </w:rPr>
        <w:t xml:space="preserve"> A peculiar distribution is observed with non-refractory patients displaying values always below 10</w:t>
      </w:r>
      <w:r w:rsidR="009064E0" w:rsidRPr="00A06BF8">
        <w:rPr>
          <w:rFonts w:ascii="Book Antiqua" w:hAnsi="Book Antiqua" w:cs="Arial"/>
          <w:sz w:val="24"/>
          <w:szCs w:val="24"/>
          <w:vertAlign w:val="superscript"/>
          <w:lang w:val="en-US"/>
        </w:rPr>
        <w:t>3</w:t>
      </w:r>
      <w:r w:rsidR="009064E0" w:rsidRPr="00A06BF8">
        <w:rPr>
          <w:rFonts w:ascii="Book Antiqua" w:hAnsi="Book Antiqua" w:cs="Arial"/>
          <w:sz w:val="24"/>
          <w:szCs w:val="24"/>
          <w:lang w:val="en-US"/>
        </w:rPr>
        <w:t xml:space="preserve"> and controls below 10</w:t>
      </w:r>
      <w:r w:rsidR="009064E0" w:rsidRPr="00A06BF8">
        <w:rPr>
          <w:rFonts w:ascii="Book Antiqua" w:hAnsi="Book Antiqua" w:cs="Arial"/>
          <w:sz w:val="24"/>
          <w:szCs w:val="24"/>
          <w:vertAlign w:val="superscript"/>
          <w:lang w:val="en-US"/>
        </w:rPr>
        <w:t>2</w:t>
      </w:r>
      <w:r w:rsidR="009064E0" w:rsidRPr="00A06BF8">
        <w:rPr>
          <w:rFonts w:ascii="Book Antiqua" w:hAnsi="Book Antiqua" w:cs="Arial"/>
          <w:sz w:val="24"/>
          <w:szCs w:val="24"/>
          <w:lang w:val="en-US"/>
        </w:rPr>
        <w:t xml:space="preserve"> copies/10</w:t>
      </w:r>
      <w:r w:rsidR="009064E0" w:rsidRPr="00A06BF8">
        <w:rPr>
          <w:rFonts w:ascii="Book Antiqua" w:hAnsi="Book Antiqua" w:cs="Arial"/>
          <w:sz w:val="24"/>
          <w:szCs w:val="24"/>
          <w:vertAlign w:val="superscript"/>
          <w:lang w:val="en-US"/>
        </w:rPr>
        <w:t>5</w:t>
      </w:r>
      <w:r w:rsidR="009064E0" w:rsidRPr="00A06BF8">
        <w:rPr>
          <w:rFonts w:ascii="Book Antiqua" w:hAnsi="Book Antiqua" w:cs="Arial"/>
          <w:sz w:val="24"/>
          <w:szCs w:val="24"/>
          <w:lang w:val="en-US"/>
        </w:rPr>
        <w:t xml:space="preserve"> cells (red dotted lines). Within the refractory group, the macroscopically diseased areas (full triangles) carried DNA viral loads invariably over 10</w:t>
      </w:r>
      <w:r w:rsidR="009064E0" w:rsidRPr="00A06BF8">
        <w:rPr>
          <w:rFonts w:ascii="Book Antiqua" w:hAnsi="Book Antiqua" w:cs="Arial"/>
          <w:sz w:val="24"/>
          <w:szCs w:val="24"/>
          <w:vertAlign w:val="superscript"/>
          <w:lang w:val="en-US"/>
        </w:rPr>
        <w:t>3</w:t>
      </w:r>
      <w:r w:rsidR="009064E0" w:rsidRPr="00A06BF8">
        <w:rPr>
          <w:rFonts w:ascii="Book Antiqua" w:hAnsi="Book Antiqua" w:cs="Arial"/>
          <w:sz w:val="24"/>
          <w:szCs w:val="24"/>
          <w:lang w:val="en-US"/>
        </w:rPr>
        <w:t xml:space="preserve"> copies/10</w:t>
      </w:r>
      <w:r w:rsidR="009064E0" w:rsidRPr="00A06BF8">
        <w:rPr>
          <w:rFonts w:ascii="Book Antiqua" w:hAnsi="Book Antiqua" w:cs="Arial"/>
          <w:sz w:val="24"/>
          <w:szCs w:val="24"/>
          <w:vertAlign w:val="superscript"/>
          <w:lang w:val="en-US"/>
        </w:rPr>
        <w:t>5</w:t>
      </w:r>
      <w:r w:rsidR="009064E0" w:rsidRPr="00A06BF8">
        <w:rPr>
          <w:rFonts w:ascii="Book Antiqua" w:hAnsi="Book Antiqua" w:cs="Arial"/>
          <w:sz w:val="24"/>
          <w:szCs w:val="24"/>
          <w:lang w:val="en-US"/>
        </w:rPr>
        <w:t xml:space="preserve"> cells compared to non-diseased mucosa (empty triangles; panels C and D). The black bars indicate the median values.</w:t>
      </w:r>
    </w:p>
    <w:p w:rsidR="001E7D29" w:rsidRDefault="001E7D29"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p>
    <w:p w:rsidR="00740FF2" w:rsidRPr="001E7D29" w:rsidRDefault="00740FF2"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r>
        <w:rPr>
          <w:rFonts w:ascii="Book Antiqua" w:eastAsiaTheme="minorEastAsia" w:hAnsi="Book Antiqua" w:cs="Arial"/>
          <w:b/>
          <w:noProof/>
          <w:sz w:val="24"/>
          <w:szCs w:val="24"/>
          <w:lang w:val="en-US"/>
        </w:rPr>
        <w:drawing>
          <wp:inline distT="0" distB="0" distL="0" distR="0" wp14:anchorId="241F0942" wp14:editId="55B2F8ED">
            <wp:extent cx="1494014" cy="1121133"/>
            <wp:effectExtent l="0" t="0" r="0" b="3175"/>
            <wp:docPr id="2" name="图片 2" descr="C:\Users\Administrator\Desktop\13115\13115\13115-Figur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3115\13115\13115-Figures\Figure 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3435" cy="1120699"/>
                    </a:xfrm>
                    <a:prstGeom prst="rect">
                      <a:avLst/>
                    </a:prstGeom>
                    <a:noFill/>
                    <a:ln>
                      <a:noFill/>
                    </a:ln>
                  </pic:spPr>
                </pic:pic>
              </a:graphicData>
            </a:graphic>
          </wp:inline>
        </w:drawing>
      </w:r>
    </w:p>
    <w:p w:rsidR="009064E0" w:rsidRPr="00093495" w:rsidRDefault="001E7D29"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r>
        <w:rPr>
          <w:rFonts w:ascii="Book Antiqua" w:hAnsi="Book Antiqua" w:cs="Arial"/>
          <w:b/>
          <w:sz w:val="24"/>
          <w:szCs w:val="24"/>
          <w:lang w:val="en-US"/>
        </w:rPr>
        <w:t>Figure 2</w:t>
      </w:r>
      <w:r w:rsidR="009064E0" w:rsidRPr="00A06BF8">
        <w:rPr>
          <w:rFonts w:ascii="Book Antiqua" w:hAnsi="Book Antiqua" w:cs="Arial"/>
          <w:b/>
          <w:sz w:val="24"/>
          <w:szCs w:val="24"/>
          <w:lang w:val="en-US"/>
        </w:rPr>
        <w:t xml:space="preserve"> </w:t>
      </w:r>
      <w:r w:rsidR="009064E0" w:rsidRPr="001E7D29">
        <w:rPr>
          <w:rFonts w:ascii="Book Antiqua" w:hAnsi="Book Antiqua" w:cs="Arial"/>
          <w:b/>
          <w:sz w:val="24"/>
          <w:szCs w:val="24"/>
          <w:lang w:val="en-US"/>
        </w:rPr>
        <w:t>Six representative refractory pati</w:t>
      </w:r>
      <w:r w:rsidRPr="001E7D29">
        <w:rPr>
          <w:rFonts w:ascii="Book Antiqua" w:hAnsi="Book Antiqua" w:cs="Arial"/>
          <w:b/>
          <w:sz w:val="24"/>
          <w:szCs w:val="24"/>
          <w:lang w:val="en-US"/>
        </w:rPr>
        <w:t>ents with Human Cytomegalovirus</w:t>
      </w:r>
      <w:r w:rsidR="009064E0" w:rsidRPr="001E7D29">
        <w:rPr>
          <w:rFonts w:ascii="Book Antiqua" w:hAnsi="Book Antiqua" w:cs="Arial"/>
          <w:b/>
          <w:sz w:val="24"/>
          <w:szCs w:val="24"/>
          <w:lang w:val="en-US"/>
        </w:rPr>
        <w:t xml:space="preserve"> – upper </w:t>
      </w:r>
      <w:r w:rsidRPr="001E7D29">
        <w:rPr>
          <w:rFonts w:ascii="Book Antiqua" w:hAnsi="Book Antiqua" w:cs="Arial"/>
          <w:b/>
          <w:sz w:val="24"/>
          <w:szCs w:val="24"/>
          <w:lang w:val="en-US"/>
        </w:rPr>
        <w:t>panels - and Epstein-Barr virus</w:t>
      </w:r>
      <w:r w:rsidR="009064E0" w:rsidRPr="001E7D29">
        <w:rPr>
          <w:rFonts w:ascii="Book Antiqua" w:hAnsi="Book Antiqua" w:cs="Arial"/>
          <w:b/>
          <w:sz w:val="24"/>
          <w:szCs w:val="24"/>
          <w:lang w:val="en-US"/>
        </w:rPr>
        <w:t xml:space="preserve"> – lower panels - superimposed colitis.</w:t>
      </w:r>
      <w:r w:rsidR="009064E0" w:rsidRPr="00A06BF8">
        <w:rPr>
          <w:rFonts w:ascii="Book Antiqua" w:hAnsi="Book Antiqua" w:cs="Arial"/>
          <w:sz w:val="24"/>
          <w:szCs w:val="24"/>
          <w:lang w:val="en-US"/>
        </w:rPr>
        <w:t xml:space="preserve"> </w:t>
      </w:r>
      <w:r w:rsidR="009064E0" w:rsidRPr="00093495">
        <w:rPr>
          <w:rFonts w:ascii="Book Antiqua" w:hAnsi="Book Antiqua" w:cs="Arial"/>
          <w:b/>
          <w:sz w:val="24"/>
          <w:szCs w:val="24"/>
          <w:lang w:val="en-US"/>
        </w:rPr>
        <w:t>The distribution of the DNA viral loads (given as number of copies/10</w:t>
      </w:r>
      <w:r w:rsidR="009064E0" w:rsidRPr="00093495">
        <w:rPr>
          <w:rFonts w:ascii="Book Antiqua" w:hAnsi="Book Antiqua" w:cs="Arial"/>
          <w:b/>
          <w:sz w:val="24"/>
          <w:szCs w:val="24"/>
          <w:vertAlign w:val="superscript"/>
          <w:lang w:val="en-US"/>
        </w:rPr>
        <w:t>5</w:t>
      </w:r>
      <w:r w:rsidR="009064E0" w:rsidRPr="00093495">
        <w:rPr>
          <w:rFonts w:ascii="Book Antiqua" w:hAnsi="Book Antiqua" w:cs="Arial"/>
          <w:b/>
          <w:sz w:val="24"/>
          <w:szCs w:val="24"/>
          <w:lang w:val="en-US"/>
        </w:rPr>
        <w:t xml:space="preserve"> cells) along the colon perfectly matches the distribution and severity of mucosal lesions as shown by the arbitrary red scale. </w:t>
      </w:r>
    </w:p>
    <w:p w:rsidR="001E7D29" w:rsidRPr="00093495" w:rsidRDefault="001E7D29"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p>
    <w:p w:rsidR="00740FF2" w:rsidRPr="001E7D29" w:rsidRDefault="00512AA3"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r>
        <w:rPr>
          <w:rFonts w:ascii="Book Antiqua" w:eastAsiaTheme="minorEastAsia" w:hAnsi="Book Antiqua" w:cs="Arial"/>
          <w:b/>
          <w:noProof/>
          <w:sz w:val="24"/>
          <w:szCs w:val="24"/>
          <w:lang w:val="en-US"/>
        </w:rPr>
        <w:drawing>
          <wp:inline distT="0" distB="0" distL="0" distR="0" wp14:anchorId="4E046EAB" wp14:editId="1B167668">
            <wp:extent cx="2226365" cy="918626"/>
            <wp:effectExtent l="0" t="0" r="2540" b="0"/>
            <wp:docPr id="3" name="图片 3" descr="C:\Users\Administrator\Desktop\13115\13115\13115-Figures\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3115\13115\13115-Figures\Figure 3.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287" t="22913" r="13635" b="36412"/>
                    <a:stretch/>
                  </pic:blipFill>
                  <pic:spPr bwMode="auto">
                    <a:xfrm>
                      <a:off x="0" y="0"/>
                      <a:ext cx="2225503" cy="918270"/>
                    </a:xfrm>
                    <a:prstGeom prst="rect">
                      <a:avLst/>
                    </a:prstGeom>
                    <a:noFill/>
                    <a:ln>
                      <a:noFill/>
                    </a:ln>
                    <a:extLst>
                      <a:ext uri="{53640926-AAD7-44D8-BBD7-CCE9431645EC}">
                        <a14:shadowObscured xmlns:a14="http://schemas.microsoft.com/office/drawing/2010/main"/>
                      </a:ext>
                    </a:extLst>
                  </pic:spPr>
                </pic:pic>
              </a:graphicData>
            </a:graphic>
          </wp:inline>
        </w:drawing>
      </w:r>
    </w:p>
    <w:p w:rsidR="009064E0" w:rsidRPr="001E7D29" w:rsidRDefault="001E7D29"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r w:rsidRPr="001E7D29">
        <w:rPr>
          <w:rFonts w:ascii="Book Antiqua" w:hAnsi="Book Antiqua" w:cs="Arial"/>
          <w:b/>
          <w:sz w:val="24"/>
          <w:szCs w:val="24"/>
          <w:lang w:val="en-US"/>
        </w:rPr>
        <w:t>Figure 3</w:t>
      </w:r>
      <w:r w:rsidR="009064E0" w:rsidRPr="001E7D29">
        <w:rPr>
          <w:rFonts w:ascii="Book Antiqua" w:hAnsi="Book Antiqua" w:cs="Arial"/>
          <w:b/>
          <w:sz w:val="24"/>
          <w:szCs w:val="24"/>
          <w:lang w:val="en-US"/>
        </w:rPr>
        <w:t xml:space="preserve"> </w:t>
      </w:r>
      <w:r w:rsidRPr="001E7D29">
        <w:rPr>
          <w:rFonts w:ascii="Book Antiqua" w:eastAsiaTheme="minorEastAsia" w:hAnsi="Book Antiqua" w:cs="Arial" w:hint="eastAsia"/>
          <w:b/>
          <w:sz w:val="24"/>
          <w:szCs w:val="24"/>
          <w:lang w:val="en-US"/>
        </w:rPr>
        <w:t>P</w:t>
      </w:r>
      <w:r w:rsidR="009064E0" w:rsidRPr="001E7D29">
        <w:rPr>
          <w:rFonts w:ascii="Book Antiqua" w:hAnsi="Book Antiqua" w:cs="Arial"/>
          <w:b/>
          <w:sz w:val="24"/>
          <w:szCs w:val="24"/>
          <w:lang w:val="en-US"/>
        </w:rPr>
        <w:t xml:space="preserve">athognomonic “cytomegalic” </w:t>
      </w:r>
      <w:proofErr w:type="gramStart"/>
      <w:r w:rsidR="009064E0" w:rsidRPr="001E7D29">
        <w:rPr>
          <w:rFonts w:ascii="Book Antiqua" w:hAnsi="Book Antiqua" w:cs="Arial"/>
          <w:b/>
          <w:sz w:val="24"/>
          <w:szCs w:val="24"/>
          <w:lang w:val="en-US"/>
        </w:rPr>
        <w:t>cell</w:t>
      </w:r>
      <w:proofErr w:type="gramEnd"/>
      <w:r w:rsidR="009064E0" w:rsidRPr="001E7D29">
        <w:rPr>
          <w:rFonts w:ascii="Book Antiqua" w:hAnsi="Book Antiqua" w:cs="Arial"/>
          <w:b/>
          <w:sz w:val="24"/>
          <w:szCs w:val="24"/>
          <w:lang w:val="en-US"/>
        </w:rPr>
        <w:t xml:space="preserve"> (</w:t>
      </w:r>
      <w:r w:rsidR="009064E0" w:rsidRPr="001E7D29">
        <w:rPr>
          <w:rFonts w:ascii="Book Antiqua" w:hAnsi="Book Antiqua" w:cs="Arial"/>
          <w:b/>
          <w:i/>
          <w:sz w:val="24"/>
          <w:szCs w:val="24"/>
          <w:lang w:val="en-US"/>
        </w:rPr>
        <w:t>i.e.</w:t>
      </w:r>
      <w:r w:rsidRPr="001E7D29">
        <w:rPr>
          <w:rFonts w:ascii="Book Antiqua" w:eastAsiaTheme="minorEastAsia" w:hAnsi="Book Antiqua" w:cs="Arial" w:hint="eastAsia"/>
          <w:b/>
          <w:sz w:val="24"/>
          <w:szCs w:val="24"/>
          <w:lang w:val="en-US"/>
        </w:rPr>
        <w:t>,</w:t>
      </w:r>
      <w:r w:rsidR="009064E0" w:rsidRPr="001E7D29">
        <w:rPr>
          <w:rFonts w:ascii="Book Antiqua" w:hAnsi="Book Antiqua" w:cs="Arial"/>
          <w:b/>
          <w:sz w:val="24"/>
          <w:szCs w:val="24"/>
          <w:lang w:val="en-US"/>
        </w:rPr>
        <w:t xml:space="preserve"> enlarged cell surrounded by a </w:t>
      </w:r>
      <w:proofErr w:type="spellStart"/>
      <w:r w:rsidR="009064E0" w:rsidRPr="001E7D29">
        <w:rPr>
          <w:rFonts w:ascii="Book Antiqua" w:hAnsi="Book Antiqua" w:cs="Arial"/>
          <w:b/>
          <w:sz w:val="24"/>
          <w:szCs w:val="24"/>
          <w:lang w:val="en-US"/>
        </w:rPr>
        <w:t>light-coloured</w:t>
      </w:r>
      <w:proofErr w:type="spellEnd"/>
      <w:r w:rsidR="009064E0" w:rsidRPr="001E7D29">
        <w:rPr>
          <w:rFonts w:ascii="Book Antiqua" w:hAnsi="Book Antiqua" w:cs="Arial"/>
          <w:b/>
          <w:sz w:val="24"/>
          <w:szCs w:val="24"/>
          <w:lang w:val="en-US"/>
        </w:rPr>
        <w:t xml:space="preserve"> halo, red arrow) with a brown reactive nuclear inclusion (thin black arrows) and a few scattered positive cells for the </w:t>
      </w:r>
      <w:r w:rsidRPr="001E7D29">
        <w:rPr>
          <w:rFonts w:ascii="Book Antiqua" w:hAnsi="Book Antiqua" w:cs="Arial"/>
          <w:b/>
          <w:sz w:val="24"/>
          <w:szCs w:val="24"/>
          <w:lang w:val="en-US"/>
        </w:rPr>
        <w:t xml:space="preserve">human Cytomegalovirus </w:t>
      </w:r>
      <w:r w:rsidR="009064E0" w:rsidRPr="001E7D29">
        <w:rPr>
          <w:rFonts w:ascii="Book Antiqua" w:hAnsi="Book Antiqua" w:cs="Arial"/>
          <w:b/>
          <w:sz w:val="24"/>
          <w:szCs w:val="24"/>
          <w:lang w:val="en-US"/>
        </w:rPr>
        <w:t xml:space="preserve">are shown (panel A, </w:t>
      </w:r>
      <w:proofErr w:type="spellStart"/>
      <w:r w:rsidR="009064E0" w:rsidRPr="001E7D29">
        <w:rPr>
          <w:rFonts w:ascii="Book Antiqua" w:hAnsi="Book Antiqua" w:cs="Arial"/>
          <w:b/>
          <w:sz w:val="24"/>
          <w:szCs w:val="24"/>
          <w:lang w:val="en-US"/>
        </w:rPr>
        <w:t>immunoperoxidase-hematoxylin</w:t>
      </w:r>
      <w:proofErr w:type="spellEnd"/>
      <w:r w:rsidR="009064E0" w:rsidRPr="001E7D29">
        <w:rPr>
          <w:rFonts w:ascii="Book Antiqua" w:hAnsi="Book Antiqua" w:cs="Arial"/>
          <w:b/>
          <w:sz w:val="24"/>
          <w:szCs w:val="24"/>
          <w:lang w:val="en-US"/>
        </w:rPr>
        <w:t xml:space="preserve">, original magnification </w:t>
      </w:r>
      <w:r w:rsidR="009064E0" w:rsidRPr="001E7D29">
        <w:rPr>
          <w:rFonts w:ascii="Book Antiqua" w:hAnsi="Book Antiqua" w:cs="Arial"/>
          <w:b/>
          <w:sz w:val="24"/>
          <w:szCs w:val="24"/>
          <w:lang w:val="en-US"/>
        </w:rPr>
        <w:sym w:font="Symbol" w:char="F0B4"/>
      </w:r>
      <w:r w:rsidRPr="001E7D29">
        <w:rPr>
          <w:rFonts w:ascii="Book Antiqua" w:eastAsiaTheme="minorEastAsia" w:hAnsi="Book Antiqua" w:cs="Arial" w:hint="eastAsia"/>
          <w:b/>
          <w:sz w:val="24"/>
          <w:szCs w:val="24"/>
          <w:lang w:val="en-US"/>
        </w:rPr>
        <w:t xml:space="preserve"> </w:t>
      </w:r>
      <w:r w:rsidR="009064E0" w:rsidRPr="001E7D29">
        <w:rPr>
          <w:rFonts w:ascii="Book Antiqua" w:hAnsi="Book Antiqua" w:cs="Arial"/>
          <w:b/>
          <w:sz w:val="24"/>
          <w:szCs w:val="24"/>
          <w:lang w:val="en-US"/>
        </w:rPr>
        <w:t xml:space="preserve">250). Some positive cells with brown nuclei (thin black arrows) are evident following the specific staining for the </w:t>
      </w:r>
      <w:r w:rsidRPr="001E7D29">
        <w:rPr>
          <w:rFonts w:ascii="Book Antiqua" w:hAnsi="Book Antiqua" w:cs="Arial"/>
          <w:b/>
          <w:sz w:val="24"/>
          <w:szCs w:val="24"/>
          <w:lang w:val="en-US"/>
        </w:rPr>
        <w:lastRenderedPageBreak/>
        <w:t>Epstein</w:t>
      </w:r>
      <w:r w:rsidRPr="001E7D29">
        <w:rPr>
          <w:rFonts w:ascii="Book Antiqua" w:eastAsiaTheme="minorEastAsia" w:hAnsi="Book Antiqua" w:cs="Arial" w:hint="eastAsia"/>
          <w:b/>
          <w:sz w:val="24"/>
          <w:szCs w:val="24"/>
          <w:lang w:val="en-US"/>
        </w:rPr>
        <w:t>-</w:t>
      </w:r>
      <w:r w:rsidRPr="001E7D29">
        <w:rPr>
          <w:rFonts w:ascii="Book Antiqua" w:hAnsi="Book Antiqua" w:cs="Arial"/>
          <w:b/>
          <w:sz w:val="24"/>
          <w:szCs w:val="24"/>
          <w:lang w:val="en-US"/>
        </w:rPr>
        <w:t xml:space="preserve">Barr virus </w:t>
      </w:r>
      <w:r w:rsidR="009064E0" w:rsidRPr="001E7D29">
        <w:rPr>
          <w:rFonts w:ascii="Book Antiqua" w:hAnsi="Book Antiqua" w:cs="Arial"/>
          <w:b/>
          <w:sz w:val="24"/>
          <w:szCs w:val="24"/>
          <w:lang w:val="en-US"/>
        </w:rPr>
        <w:t xml:space="preserve">nuclear antigen-1 (panel B, </w:t>
      </w:r>
      <w:proofErr w:type="spellStart"/>
      <w:r w:rsidR="009064E0" w:rsidRPr="001E7D29">
        <w:rPr>
          <w:rFonts w:ascii="Book Antiqua" w:hAnsi="Book Antiqua" w:cs="Arial"/>
          <w:b/>
          <w:sz w:val="24"/>
          <w:szCs w:val="24"/>
          <w:lang w:val="en-US"/>
        </w:rPr>
        <w:t>immunoperoxidase-hematoxylin</w:t>
      </w:r>
      <w:proofErr w:type="spellEnd"/>
      <w:r w:rsidR="009064E0" w:rsidRPr="001E7D29">
        <w:rPr>
          <w:rFonts w:ascii="Book Antiqua" w:hAnsi="Book Antiqua" w:cs="Arial"/>
          <w:b/>
          <w:sz w:val="24"/>
          <w:szCs w:val="24"/>
          <w:lang w:val="en-US"/>
        </w:rPr>
        <w:t xml:space="preserve">, </w:t>
      </w:r>
      <w:proofErr w:type="gramStart"/>
      <w:r w:rsidR="009064E0" w:rsidRPr="001E7D29">
        <w:rPr>
          <w:rFonts w:ascii="Book Antiqua" w:hAnsi="Book Antiqua" w:cs="Arial"/>
          <w:b/>
          <w:sz w:val="24"/>
          <w:szCs w:val="24"/>
          <w:lang w:val="en-US"/>
        </w:rPr>
        <w:t xml:space="preserve">original magnification </w:t>
      </w:r>
      <w:r w:rsidR="009064E0" w:rsidRPr="001E7D29">
        <w:rPr>
          <w:rFonts w:ascii="Book Antiqua" w:hAnsi="Book Antiqua" w:cs="Arial"/>
          <w:b/>
          <w:sz w:val="24"/>
          <w:szCs w:val="24"/>
          <w:lang w:val="en-US"/>
        </w:rPr>
        <w:sym w:font="Symbol" w:char="F0B4"/>
      </w:r>
      <w:proofErr w:type="gramEnd"/>
      <w:r w:rsidRPr="001E7D29">
        <w:rPr>
          <w:rFonts w:ascii="Book Antiqua" w:eastAsiaTheme="minorEastAsia" w:hAnsi="Book Antiqua" w:cs="Arial" w:hint="eastAsia"/>
          <w:b/>
          <w:sz w:val="24"/>
          <w:szCs w:val="24"/>
          <w:lang w:val="en-US"/>
        </w:rPr>
        <w:t xml:space="preserve"> </w:t>
      </w:r>
      <w:r w:rsidR="009064E0" w:rsidRPr="001E7D29">
        <w:rPr>
          <w:rFonts w:ascii="Book Antiqua" w:hAnsi="Book Antiqua" w:cs="Arial"/>
          <w:b/>
          <w:sz w:val="24"/>
          <w:szCs w:val="24"/>
          <w:lang w:val="en-US"/>
        </w:rPr>
        <w:t>400).</w:t>
      </w:r>
    </w:p>
    <w:p w:rsidR="001E7D29" w:rsidRDefault="001E7D29" w:rsidP="00093495">
      <w:pPr>
        <w:widowControl w:val="0"/>
        <w:suppressAutoHyphens w:val="0"/>
        <w:adjustRightInd w:val="0"/>
        <w:snapToGrid w:val="0"/>
        <w:spacing w:line="360" w:lineRule="auto"/>
        <w:jc w:val="both"/>
        <w:rPr>
          <w:rFonts w:ascii="Book Antiqua" w:eastAsiaTheme="minorEastAsia" w:hAnsi="Book Antiqua" w:cs="Arial"/>
          <w:sz w:val="24"/>
          <w:szCs w:val="24"/>
          <w:lang w:val="en-US"/>
        </w:rPr>
      </w:pPr>
    </w:p>
    <w:p w:rsidR="00512AA3" w:rsidRPr="001E7D29" w:rsidRDefault="00512AA3" w:rsidP="00093495">
      <w:pPr>
        <w:widowControl w:val="0"/>
        <w:suppressAutoHyphens w:val="0"/>
        <w:adjustRightInd w:val="0"/>
        <w:snapToGrid w:val="0"/>
        <w:spacing w:line="360" w:lineRule="auto"/>
        <w:jc w:val="both"/>
        <w:rPr>
          <w:rFonts w:ascii="Book Antiqua" w:eastAsiaTheme="minorEastAsia" w:hAnsi="Book Antiqua" w:cs="Arial"/>
          <w:sz w:val="24"/>
          <w:szCs w:val="24"/>
          <w:lang w:val="en-US"/>
        </w:rPr>
      </w:pPr>
      <w:r>
        <w:rPr>
          <w:rFonts w:ascii="Book Antiqua" w:eastAsiaTheme="minorEastAsia" w:hAnsi="Book Antiqua" w:cs="Arial"/>
          <w:noProof/>
          <w:sz w:val="24"/>
          <w:szCs w:val="24"/>
          <w:lang w:val="en-US"/>
        </w:rPr>
        <w:drawing>
          <wp:inline distT="0" distB="0" distL="0" distR="0" wp14:anchorId="47C936EB" wp14:editId="0D4CA59F">
            <wp:extent cx="1415332" cy="1062089"/>
            <wp:effectExtent l="0" t="0" r="0" b="5080"/>
            <wp:docPr id="4" name="图片 4" descr="C:\Users\Administrator\Desktop\13115\13115\13115-Figures\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13115\13115\13115-Figures\Figure 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783" cy="1061677"/>
                    </a:xfrm>
                    <a:prstGeom prst="rect">
                      <a:avLst/>
                    </a:prstGeom>
                    <a:noFill/>
                    <a:ln>
                      <a:noFill/>
                    </a:ln>
                  </pic:spPr>
                </pic:pic>
              </a:graphicData>
            </a:graphic>
          </wp:inline>
        </w:drawing>
      </w:r>
    </w:p>
    <w:p w:rsidR="009064E0" w:rsidRPr="001E7D29" w:rsidRDefault="001E7D29"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r w:rsidRPr="001E7D29">
        <w:rPr>
          <w:rFonts w:ascii="Book Antiqua" w:hAnsi="Book Antiqua" w:cs="Arial"/>
          <w:b/>
          <w:sz w:val="24"/>
          <w:szCs w:val="24"/>
          <w:lang w:val="en-US"/>
        </w:rPr>
        <w:t>Figure 4</w:t>
      </w:r>
      <w:r w:rsidR="009064E0" w:rsidRPr="001E7D29">
        <w:rPr>
          <w:rFonts w:ascii="Book Antiqua" w:hAnsi="Book Antiqua" w:cs="Arial"/>
          <w:b/>
          <w:sz w:val="24"/>
          <w:szCs w:val="24"/>
          <w:lang w:val="en-US"/>
        </w:rPr>
        <w:t xml:space="preserve"> </w:t>
      </w:r>
      <w:r w:rsidRPr="001E7D29">
        <w:rPr>
          <w:rFonts w:ascii="Book Antiqua" w:eastAsiaTheme="minorEastAsia" w:hAnsi="Book Antiqua" w:cs="Arial" w:hint="eastAsia"/>
          <w:b/>
          <w:sz w:val="24"/>
          <w:szCs w:val="24"/>
          <w:lang w:val="en-US"/>
        </w:rPr>
        <w:t>P</w:t>
      </w:r>
      <w:r w:rsidR="009064E0" w:rsidRPr="001E7D29">
        <w:rPr>
          <w:rFonts w:ascii="Book Antiqua" w:hAnsi="Book Antiqua" w:cs="Arial"/>
          <w:b/>
          <w:sz w:val="24"/>
          <w:szCs w:val="24"/>
          <w:lang w:val="en-US"/>
        </w:rPr>
        <w:t xml:space="preserve">resence of profound, round and longitudinal ulcers covered by a </w:t>
      </w:r>
      <w:proofErr w:type="spellStart"/>
      <w:r w:rsidR="009064E0" w:rsidRPr="001E7D29">
        <w:rPr>
          <w:rFonts w:ascii="Book Antiqua" w:hAnsi="Book Antiqua" w:cs="Arial"/>
          <w:b/>
          <w:sz w:val="24"/>
          <w:szCs w:val="24"/>
          <w:lang w:val="en-US"/>
        </w:rPr>
        <w:t>fibrino</w:t>
      </w:r>
      <w:proofErr w:type="spellEnd"/>
      <w:r w:rsidR="009064E0" w:rsidRPr="001E7D29">
        <w:rPr>
          <w:rFonts w:ascii="Book Antiqua" w:hAnsi="Book Antiqua" w:cs="Arial"/>
          <w:b/>
          <w:sz w:val="24"/>
          <w:szCs w:val="24"/>
          <w:lang w:val="en-US"/>
        </w:rPr>
        <w:t xml:space="preserve">-purulent exudate (black arrows) and embedded in edematous and erythematous mucosa are clearly evident (panels A and D). The healing process, usually observed after three months from the end of specific antiviral therapy, may result in both white scars (red arrows, panel C) or restitution ad </w:t>
      </w:r>
      <w:proofErr w:type="spellStart"/>
      <w:r w:rsidR="009064E0" w:rsidRPr="001E7D29">
        <w:rPr>
          <w:rFonts w:ascii="Book Antiqua" w:hAnsi="Book Antiqua" w:cs="Arial"/>
          <w:b/>
          <w:sz w:val="24"/>
          <w:szCs w:val="24"/>
          <w:lang w:val="en-US"/>
        </w:rPr>
        <w:t>integrum</w:t>
      </w:r>
      <w:proofErr w:type="spellEnd"/>
      <w:r w:rsidR="009064E0" w:rsidRPr="001E7D29">
        <w:rPr>
          <w:rFonts w:ascii="Book Antiqua" w:hAnsi="Book Antiqua" w:cs="Arial"/>
          <w:b/>
          <w:sz w:val="24"/>
          <w:szCs w:val="24"/>
          <w:lang w:val="en-US"/>
        </w:rPr>
        <w:t xml:space="preserve"> (panel F), passing through a phase of slight improvement (panels B and E).</w:t>
      </w:r>
    </w:p>
    <w:p w:rsidR="001E7D29" w:rsidRDefault="001E7D29"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p>
    <w:p w:rsidR="00512AA3" w:rsidRPr="001E7D29" w:rsidRDefault="00512AA3"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r>
        <w:rPr>
          <w:rFonts w:ascii="Book Antiqua" w:eastAsiaTheme="minorEastAsia" w:hAnsi="Book Antiqua" w:cs="Arial"/>
          <w:b/>
          <w:noProof/>
          <w:sz w:val="24"/>
          <w:szCs w:val="24"/>
          <w:lang w:val="en-US"/>
        </w:rPr>
        <w:drawing>
          <wp:inline distT="0" distB="0" distL="0" distR="0" wp14:anchorId="507A8CD8" wp14:editId="087A0A45">
            <wp:extent cx="1415332" cy="1062089"/>
            <wp:effectExtent l="0" t="0" r="0" b="5080"/>
            <wp:docPr id="5" name="图片 5" descr="C:\Users\Administrator\Desktop\13115\13115\13115-Figures\Figure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13115\13115\13115-Figures\Figure 5.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783" cy="1061677"/>
                    </a:xfrm>
                    <a:prstGeom prst="rect">
                      <a:avLst/>
                    </a:prstGeom>
                    <a:noFill/>
                    <a:ln>
                      <a:noFill/>
                    </a:ln>
                  </pic:spPr>
                </pic:pic>
              </a:graphicData>
            </a:graphic>
          </wp:inline>
        </w:drawing>
      </w:r>
    </w:p>
    <w:p w:rsidR="009064E0" w:rsidRPr="001E7D29" w:rsidRDefault="009064E0"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r w:rsidRPr="00A06BF8">
        <w:rPr>
          <w:rFonts w:ascii="Book Antiqua" w:hAnsi="Book Antiqua" w:cs="Arial"/>
          <w:b/>
          <w:sz w:val="24"/>
          <w:szCs w:val="24"/>
          <w:lang w:val="en-US"/>
        </w:rPr>
        <w:t>Figure 5</w:t>
      </w:r>
      <w:r w:rsidR="001E7D29">
        <w:rPr>
          <w:rFonts w:ascii="Book Antiqua" w:eastAsiaTheme="minorEastAsia" w:hAnsi="Book Antiqua" w:cs="Arial" w:hint="eastAsia"/>
          <w:b/>
          <w:sz w:val="24"/>
          <w:szCs w:val="24"/>
          <w:lang w:val="en-US"/>
        </w:rPr>
        <w:t xml:space="preserve"> </w:t>
      </w:r>
      <w:r w:rsidR="001E7D29" w:rsidRPr="001E7D29">
        <w:rPr>
          <w:rFonts w:ascii="Book Antiqua" w:eastAsiaTheme="minorEastAsia" w:hAnsi="Book Antiqua" w:cs="Arial" w:hint="eastAsia"/>
          <w:b/>
          <w:sz w:val="24"/>
          <w:szCs w:val="24"/>
          <w:lang w:val="en-US"/>
        </w:rPr>
        <w:t>P</w:t>
      </w:r>
      <w:r w:rsidRPr="001E7D29">
        <w:rPr>
          <w:rFonts w:ascii="Book Antiqua" w:hAnsi="Book Antiqua" w:cs="Arial"/>
          <w:b/>
          <w:sz w:val="24"/>
          <w:szCs w:val="24"/>
          <w:lang w:val="en-US"/>
        </w:rPr>
        <w:t xml:space="preserve">resence of holes in the mucosa with exposure of the underlying muscular layer (black arrows), surrounded by granular and spontaneously bleeding zones, </w:t>
      </w:r>
      <w:proofErr w:type="gramStart"/>
      <w:r w:rsidRPr="001E7D29">
        <w:rPr>
          <w:rFonts w:ascii="Book Antiqua" w:hAnsi="Book Antiqua" w:cs="Arial"/>
          <w:b/>
          <w:sz w:val="24"/>
          <w:szCs w:val="24"/>
          <w:lang w:val="en-US"/>
        </w:rPr>
        <w:t>is</w:t>
      </w:r>
      <w:proofErr w:type="gramEnd"/>
      <w:r w:rsidRPr="001E7D29">
        <w:rPr>
          <w:rFonts w:ascii="Book Antiqua" w:hAnsi="Book Antiqua" w:cs="Arial"/>
          <w:b/>
          <w:sz w:val="24"/>
          <w:szCs w:val="24"/>
          <w:lang w:val="en-US"/>
        </w:rPr>
        <w:t xml:space="preserve"> clearly evident (panels A to C). After a three-month washout period from any therapy for the primary disease, the healing process with white scars (red arrow) was observed in the only patient who underwent a cycle with rituximab (panel D), whilst a slight or no improvement was observed in the other two representative cases.</w:t>
      </w:r>
    </w:p>
    <w:p w:rsidR="001E7D29" w:rsidRDefault="001E7D29"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p>
    <w:p w:rsidR="00512AA3" w:rsidRPr="001E7D29" w:rsidRDefault="00512AA3"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r>
        <w:rPr>
          <w:rFonts w:ascii="Book Antiqua" w:eastAsiaTheme="minorEastAsia" w:hAnsi="Book Antiqua" w:cs="Arial"/>
          <w:b/>
          <w:noProof/>
          <w:sz w:val="24"/>
          <w:szCs w:val="24"/>
          <w:lang w:val="en-US"/>
        </w:rPr>
        <w:drawing>
          <wp:inline distT="0" distB="0" distL="0" distR="0" wp14:anchorId="4CE8BDB3" wp14:editId="17C2648E">
            <wp:extent cx="1292695" cy="970060"/>
            <wp:effectExtent l="0" t="0" r="3175" b="1905"/>
            <wp:docPr id="6" name="图片 6" descr="C:\Users\Administrator\Desktop\13115\13115\13115-Figures\Figure 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13115\13115\13115-Figures\Figure 6.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2194" cy="969684"/>
                    </a:xfrm>
                    <a:prstGeom prst="rect">
                      <a:avLst/>
                    </a:prstGeom>
                    <a:noFill/>
                    <a:ln>
                      <a:noFill/>
                    </a:ln>
                  </pic:spPr>
                </pic:pic>
              </a:graphicData>
            </a:graphic>
          </wp:inline>
        </w:drawing>
      </w:r>
    </w:p>
    <w:p w:rsidR="009064E0" w:rsidRDefault="001E7D29" w:rsidP="00093495">
      <w:pPr>
        <w:widowControl w:val="0"/>
        <w:suppressAutoHyphens w:val="0"/>
        <w:adjustRightInd w:val="0"/>
        <w:snapToGrid w:val="0"/>
        <w:spacing w:line="360" w:lineRule="auto"/>
        <w:jc w:val="both"/>
        <w:rPr>
          <w:rFonts w:ascii="Book Antiqua" w:eastAsiaTheme="minorEastAsia" w:hAnsi="Book Antiqua" w:cs="Arial"/>
          <w:b/>
          <w:sz w:val="24"/>
          <w:szCs w:val="24"/>
          <w:lang w:val="en-US"/>
        </w:rPr>
      </w:pPr>
      <w:r>
        <w:rPr>
          <w:rFonts w:ascii="Book Antiqua" w:hAnsi="Book Antiqua" w:cs="Arial"/>
          <w:b/>
          <w:sz w:val="24"/>
          <w:szCs w:val="24"/>
          <w:lang w:val="en-US"/>
        </w:rPr>
        <w:t>Figure 6</w:t>
      </w:r>
      <w:r w:rsidR="009064E0" w:rsidRPr="001E7D29">
        <w:rPr>
          <w:rFonts w:ascii="Book Antiqua" w:hAnsi="Book Antiqua" w:cs="Arial"/>
          <w:b/>
          <w:sz w:val="24"/>
          <w:szCs w:val="24"/>
          <w:lang w:val="en-US"/>
        </w:rPr>
        <w:t xml:space="preserve"> Severe lesions characterized by a pronounced, nodular-cobblestone appearance, punctuated by multiple, deep ulcerations (panels A,</w:t>
      </w:r>
      <w:r w:rsidRPr="001E7D29">
        <w:rPr>
          <w:rFonts w:ascii="Book Antiqua" w:eastAsiaTheme="minorEastAsia" w:hAnsi="Book Antiqua" w:cs="Arial" w:hint="eastAsia"/>
          <w:b/>
          <w:sz w:val="24"/>
          <w:szCs w:val="24"/>
          <w:lang w:val="en-US"/>
        </w:rPr>
        <w:t xml:space="preserve"> </w:t>
      </w:r>
      <w:r w:rsidR="009064E0" w:rsidRPr="001E7D29">
        <w:rPr>
          <w:rFonts w:ascii="Book Antiqua" w:hAnsi="Book Antiqua" w:cs="Arial"/>
          <w:b/>
          <w:sz w:val="24"/>
          <w:szCs w:val="24"/>
          <w:lang w:val="en-US"/>
        </w:rPr>
        <w:t>B,</w:t>
      </w:r>
      <w:r w:rsidRPr="001E7D29">
        <w:rPr>
          <w:rFonts w:ascii="Book Antiqua" w:eastAsiaTheme="minorEastAsia" w:hAnsi="Book Antiqua" w:cs="Arial" w:hint="eastAsia"/>
          <w:b/>
          <w:sz w:val="24"/>
          <w:szCs w:val="24"/>
          <w:lang w:val="en-US"/>
        </w:rPr>
        <w:t xml:space="preserve"> </w:t>
      </w:r>
      <w:r w:rsidR="009064E0" w:rsidRPr="001E7D29">
        <w:rPr>
          <w:rFonts w:ascii="Book Antiqua" w:hAnsi="Book Antiqua" w:cs="Arial"/>
          <w:b/>
          <w:sz w:val="24"/>
          <w:szCs w:val="24"/>
          <w:lang w:val="en-US"/>
        </w:rPr>
        <w:t>D,</w:t>
      </w:r>
      <w:r w:rsidRPr="001E7D29">
        <w:rPr>
          <w:rFonts w:ascii="Book Antiqua" w:eastAsiaTheme="minorEastAsia" w:hAnsi="Book Antiqua" w:cs="Arial" w:hint="eastAsia"/>
          <w:b/>
          <w:sz w:val="24"/>
          <w:szCs w:val="24"/>
          <w:lang w:val="en-US"/>
        </w:rPr>
        <w:t xml:space="preserve"> </w:t>
      </w:r>
      <w:r w:rsidR="009064E0" w:rsidRPr="001E7D29">
        <w:rPr>
          <w:rFonts w:ascii="Book Antiqua" w:hAnsi="Book Antiqua" w:cs="Arial"/>
          <w:b/>
          <w:sz w:val="24"/>
          <w:szCs w:val="24"/>
          <w:lang w:val="en-US"/>
        </w:rPr>
        <w:t>E), which did not heal (panels C,</w:t>
      </w:r>
      <w:r w:rsidRPr="001E7D29">
        <w:rPr>
          <w:rFonts w:ascii="Book Antiqua" w:eastAsiaTheme="minorEastAsia" w:hAnsi="Book Antiqua" w:cs="Arial" w:hint="eastAsia"/>
          <w:b/>
          <w:sz w:val="24"/>
          <w:szCs w:val="24"/>
          <w:lang w:val="en-US"/>
        </w:rPr>
        <w:t xml:space="preserve"> </w:t>
      </w:r>
      <w:r w:rsidR="009064E0" w:rsidRPr="001E7D29">
        <w:rPr>
          <w:rFonts w:ascii="Book Antiqua" w:hAnsi="Book Antiqua" w:cs="Arial"/>
          <w:b/>
          <w:sz w:val="24"/>
          <w:szCs w:val="24"/>
          <w:lang w:val="en-US"/>
        </w:rPr>
        <w:t xml:space="preserve">F), were found in those refractory patients with high DNA loads of both viruses. </w:t>
      </w:r>
    </w:p>
    <w:p w:rsidR="00512AA3" w:rsidRPr="00512AA3" w:rsidRDefault="00512AA3" w:rsidP="00093495">
      <w:pPr>
        <w:widowControl w:val="0"/>
        <w:suppressAutoHyphens w:val="0"/>
        <w:adjustRightInd w:val="0"/>
        <w:snapToGrid w:val="0"/>
        <w:spacing w:line="360" w:lineRule="auto"/>
        <w:jc w:val="both"/>
        <w:rPr>
          <w:rFonts w:ascii="Book Antiqua" w:eastAsiaTheme="minorEastAsia" w:hAnsi="Book Antiqua" w:cs="Arial"/>
          <w:sz w:val="24"/>
          <w:szCs w:val="24"/>
          <w:lang w:val="en-US"/>
        </w:rPr>
      </w:pPr>
    </w:p>
    <w:p w:rsidR="001E7D29" w:rsidRPr="001E7D29" w:rsidRDefault="00512AA3" w:rsidP="00093495">
      <w:pPr>
        <w:widowControl w:val="0"/>
        <w:suppressAutoHyphens w:val="0"/>
        <w:adjustRightInd w:val="0"/>
        <w:snapToGrid w:val="0"/>
        <w:spacing w:line="360" w:lineRule="auto"/>
        <w:jc w:val="both"/>
        <w:rPr>
          <w:rFonts w:ascii="Book Antiqua" w:eastAsiaTheme="minorEastAsia" w:hAnsi="Book Antiqua" w:cs="Arial"/>
          <w:sz w:val="24"/>
          <w:szCs w:val="24"/>
          <w:lang w:val="en-US"/>
        </w:rPr>
      </w:pPr>
      <w:r>
        <w:rPr>
          <w:rFonts w:ascii="Book Antiqua" w:eastAsiaTheme="minorEastAsia" w:hAnsi="Book Antiqua" w:cs="Arial"/>
          <w:noProof/>
          <w:sz w:val="24"/>
          <w:szCs w:val="24"/>
          <w:lang w:val="en-US"/>
        </w:rPr>
        <w:drawing>
          <wp:inline distT="0" distB="0" distL="0" distR="0" wp14:anchorId="17985DFA" wp14:editId="4B59F0C0">
            <wp:extent cx="1550504" cy="1163524"/>
            <wp:effectExtent l="0" t="0" r="0" b="0"/>
            <wp:docPr id="7" name="图片 7" descr="C:\Users\Administrator\Desktop\13115\13115\13115-Figures\Figure 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13115\13115\13115-Figures\Figure 7.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9903" cy="1163073"/>
                    </a:xfrm>
                    <a:prstGeom prst="rect">
                      <a:avLst/>
                    </a:prstGeom>
                    <a:noFill/>
                    <a:ln>
                      <a:noFill/>
                    </a:ln>
                  </pic:spPr>
                </pic:pic>
              </a:graphicData>
            </a:graphic>
          </wp:inline>
        </w:drawing>
      </w:r>
    </w:p>
    <w:p w:rsidR="009064E0" w:rsidRPr="001E7D29" w:rsidRDefault="001E7D29" w:rsidP="00093495">
      <w:pPr>
        <w:widowControl w:val="0"/>
        <w:suppressAutoHyphens w:val="0"/>
        <w:adjustRightInd w:val="0"/>
        <w:snapToGrid w:val="0"/>
        <w:spacing w:line="360" w:lineRule="auto"/>
        <w:jc w:val="both"/>
        <w:rPr>
          <w:rFonts w:ascii="Book Antiqua" w:eastAsiaTheme="minorEastAsia" w:hAnsi="Book Antiqua" w:cs="Arial"/>
          <w:sz w:val="24"/>
          <w:szCs w:val="24"/>
          <w:lang w:val="en-US"/>
        </w:rPr>
      </w:pPr>
      <w:r>
        <w:rPr>
          <w:rFonts w:ascii="Book Antiqua" w:hAnsi="Book Antiqua" w:cs="Arial"/>
          <w:b/>
          <w:sz w:val="24"/>
          <w:szCs w:val="24"/>
          <w:lang w:val="en-US"/>
        </w:rPr>
        <w:t>Figure 7</w:t>
      </w:r>
      <w:r>
        <w:rPr>
          <w:rFonts w:ascii="Book Antiqua" w:eastAsiaTheme="minorEastAsia" w:hAnsi="Book Antiqua" w:cs="Arial" w:hint="eastAsia"/>
          <w:b/>
          <w:sz w:val="24"/>
          <w:szCs w:val="24"/>
          <w:lang w:val="en-US"/>
        </w:rPr>
        <w:t xml:space="preserve"> </w:t>
      </w:r>
      <w:r w:rsidR="002C0924" w:rsidRPr="001E7D29">
        <w:rPr>
          <w:rFonts w:ascii="Book Antiqua" w:hAnsi="Book Antiqua" w:cs="Arial"/>
          <w:b/>
          <w:sz w:val="24"/>
          <w:szCs w:val="24"/>
          <w:lang w:val="en-US"/>
        </w:rPr>
        <w:t xml:space="preserve">The </w:t>
      </w:r>
      <w:r w:rsidR="009064E0" w:rsidRPr="001E7D29">
        <w:rPr>
          <w:rFonts w:ascii="Book Antiqua" w:hAnsi="Book Antiqua" w:cs="Arial"/>
          <w:b/>
          <w:sz w:val="24"/>
          <w:szCs w:val="24"/>
          <w:lang w:val="en-US"/>
        </w:rPr>
        <w:t xml:space="preserve">median values of human Cytomegalovirus (panel A) and Epstein Barr virus (panel B) DNA levels of each refractory patient at onset and at the end of antiviral therapy in </w:t>
      </w:r>
      <w:r w:rsidR="00BF018F" w:rsidRPr="00BF018F">
        <w:rPr>
          <w:rFonts w:ascii="Book Antiqua" w:hAnsi="Book Antiqua" w:cs="Arial"/>
          <w:b/>
          <w:sz w:val="24"/>
          <w:szCs w:val="24"/>
          <w:lang w:val="en-US"/>
        </w:rPr>
        <w:t xml:space="preserve">human Cytomegalovirus </w:t>
      </w:r>
      <w:r w:rsidR="009064E0" w:rsidRPr="001E7D29">
        <w:rPr>
          <w:rFonts w:ascii="Book Antiqua" w:hAnsi="Book Antiqua" w:cs="Arial"/>
          <w:b/>
          <w:sz w:val="24"/>
          <w:szCs w:val="24"/>
          <w:lang w:val="en-US"/>
        </w:rPr>
        <w:t xml:space="preserve">cases, and at four weeks after washout or reduction of current treatment in patients with </w:t>
      </w:r>
      <w:r w:rsidR="00BF018F" w:rsidRPr="00BF018F">
        <w:rPr>
          <w:rFonts w:ascii="Book Antiqua" w:hAnsi="Book Antiqua" w:cs="Arial"/>
          <w:b/>
          <w:sz w:val="24"/>
          <w:szCs w:val="24"/>
          <w:lang w:val="en-US"/>
        </w:rPr>
        <w:t>Epstein</w:t>
      </w:r>
      <w:r w:rsidR="00BF018F">
        <w:rPr>
          <w:rFonts w:ascii="Book Antiqua" w:eastAsiaTheme="minorEastAsia" w:hAnsi="Book Antiqua" w:cs="Arial" w:hint="eastAsia"/>
          <w:b/>
          <w:sz w:val="24"/>
          <w:szCs w:val="24"/>
          <w:lang w:val="en-US"/>
        </w:rPr>
        <w:t>-</w:t>
      </w:r>
      <w:r w:rsidR="00BF018F" w:rsidRPr="00BF018F">
        <w:rPr>
          <w:rFonts w:ascii="Book Antiqua" w:hAnsi="Book Antiqua" w:cs="Arial"/>
          <w:b/>
          <w:sz w:val="24"/>
          <w:szCs w:val="24"/>
          <w:lang w:val="en-US"/>
        </w:rPr>
        <w:t xml:space="preserve">Barr virus </w:t>
      </w:r>
      <w:r w:rsidR="009064E0" w:rsidRPr="001E7D29">
        <w:rPr>
          <w:rFonts w:ascii="Book Antiqua" w:hAnsi="Book Antiqua" w:cs="Arial"/>
          <w:b/>
          <w:sz w:val="24"/>
          <w:szCs w:val="24"/>
          <w:lang w:val="en-US"/>
        </w:rPr>
        <w:t>infection.</w:t>
      </w:r>
      <w:r w:rsidR="009064E0" w:rsidRPr="00A06BF8">
        <w:rPr>
          <w:rFonts w:ascii="Book Antiqua" w:hAnsi="Book Antiqua" w:cs="Arial"/>
          <w:sz w:val="24"/>
          <w:szCs w:val="24"/>
          <w:lang w:val="en-US"/>
        </w:rPr>
        <w:t xml:space="preserve"> A dramatic decrease of mucosal viral loads was observed in all patients with HCMV colitis, except one who continued steroid therapy while taking ganciclovir. By contrast, no modification of mucosal viral load values was observed in any patient with EBV colitis, except the one who underwent a cycle of therapy with rituximab.</w:t>
      </w:r>
      <w:r>
        <w:rPr>
          <w:rFonts w:ascii="Book Antiqua" w:eastAsiaTheme="minorEastAsia" w:hAnsi="Book Antiqua" w:cs="Arial" w:hint="eastAsia"/>
          <w:sz w:val="24"/>
          <w:szCs w:val="24"/>
          <w:lang w:val="en-US"/>
        </w:rPr>
        <w:t xml:space="preserve"> </w:t>
      </w:r>
      <w:r w:rsidRPr="00A06BF8">
        <w:rPr>
          <w:rFonts w:ascii="Book Antiqua" w:hAnsi="Book Antiqua" w:cs="Arial"/>
          <w:sz w:val="24"/>
          <w:szCs w:val="24"/>
          <w:lang w:val="en-US"/>
        </w:rPr>
        <w:t>HCMV</w:t>
      </w:r>
      <w:r>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 xml:space="preserve"> </w:t>
      </w:r>
      <w:r w:rsidRPr="001E7D29">
        <w:rPr>
          <w:rFonts w:ascii="Book Antiqua" w:hAnsi="Book Antiqua" w:cs="Arial"/>
          <w:caps/>
          <w:sz w:val="24"/>
          <w:szCs w:val="24"/>
          <w:lang w:val="en-US"/>
        </w:rPr>
        <w:t>h</w:t>
      </w:r>
      <w:r w:rsidRPr="00A06BF8">
        <w:rPr>
          <w:rFonts w:ascii="Book Antiqua" w:hAnsi="Book Antiqua" w:cs="Arial"/>
          <w:sz w:val="24"/>
          <w:szCs w:val="24"/>
          <w:lang w:val="en-US"/>
        </w:rPr>
        <w:t>uman Cytomegalovirus; EBV</w:t>
      </w:r>
      <w:r>
        <w:rPr>
          <w:rFonts w:ascii="Book Antiqua" w:eastAsiaTheme="minorEastAsia" w:hAnsi="Book Antiqua" w:cs="Arial" w:hint="eastAsia"/>
          <w:sz w:val="24"/>
          <w:szCs w:val="24"/>
          <w:lang w:val="en-US"/>
        </w:rPr>
        <w:t>:</w:t>
      </w:r>
      <w:r w:rsidRPr="00A06BF8">
        <w:rPr>
          <w:rFonts w:ascii="Book Antiqua" w:hAnsi="Book Antiqua" w:cs="Arial"/>
          <w:sz w:val="24"/>
          <w:szCs w:val="24"/>
          <w:lang w:val="en-US"/>
        </w:rPr>
        <w:t xml:space="preserve"> Epstein Barr virus</w:t>
      </w:r>
      <w:r>
        <w:rPr>
          <w:rFonts w:ascii="Book Antiqua" w:eastAsiaTheme="minorEastAsia" w:hAnsi="Book Antiqua" w:cs="Arial" w:hint="eastAsia"/>
          <w:sz w:val="24"/>
          <w:szCs w:val="24"/>
          <w:lang w:val="en-US"/>
        </w:rPr>
        <w:t>.</w:t>
      </w:r>
    </w:p>
    <w:p w:rsidR="00474DA0" w:rsidRDefault="00474DA0" w:rsidP="00093495">
      <w:pPr>
        <w:widowControl w:val="0"/>
        <w:suppressAutoHyphens w:val="0"/>
        <w:adjustRightInd w:val="0"/>
        <w:snapToGrid w:val="0"/>
        <w:spacing w:line="360" w:lineRule="auto"/>
        <w:jc w:val="both"/>
        <w:rPr>
          <w:rFonts w:ascii="Book Antiqua" w:eastAsiaTheme="minorEastAsia" w:hAnsi="Book Antiqua"/>
          <w:sz w:val="24"/>
          <w:szCs w:val="24"/>
          <w:lang w:val="en-US"/>
        </w:rPr>
      </w:pPr>
    </w:p>
    <w:p w:rsidR="001E7D29" w:rsidRPr="001E7D29" w:rsidRDefault="001E7D29" w:rsidP="00093495">
      <w:pPr>
        <w:widowControl w:val="0"/>
        <w:suppressAutoHyphens w:val="0"/>
        <w:adjustRightInd w:val="0"/>
        <w:snapToGrid w:val="0"/>
        <w:spacing w:line="360" w:lineRule="auto"/>
        <w:jc w:val="both"/>
        <w:rPr>
          <w:rFonts w:ascii="Book Antiqua" w:eastAsiaTheme="minorEastAsia" w:hAnsi="Book Antiqua"/>
          <w:sz w:val="24"/>
          <w:szCs w:val="24"/>
          <w:lang w:val="en-US"/>
        </w:rPr>
      </w:pPr>
    </w:p>
    <w:sectPr w:rsidR="001E7D29" w:rsidRPr="001E7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55" w:rsidRDefault="00CA2F55" w:rsidP="00667FD1">
      <w:r>
        <w:separator/>
      </w:r>
    </w:p>
  </w:endnote>
  <w:endnote w:type="continuationSeparator" w:id="0">
    <w:p w:rsidR="00CA2F55" w:rsidRDefault="00CA2F55" w:rsidP="0066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Narrow">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55" w:rsidRDefault="00CA2F55" w:rsidP="00667FD1">
      <w:r>
        <w:separator/>
      </w:r>
    </w:p>
  </w:footnote>
  <w:footnote w:type="continuationSeparator" w:id="0">
    <w:p w:rsidR="00CA2F55" w:rsidRDefault="00CA2F55" w:rsidP="00667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5BA42C0E"/>
    <w:name w:val="WW8Num14"/>
    <w:lvl w:ilvl="0">
      <w:start w:val="1"/>
      <w:numFmt w:val="decimal"/>
      <w:lvlText w:val="%1."/>
      <w:lvlJc w:val="left"/>
      <w:pPr>
        <w:tabs>
          <w:tab w:val="num" w:pos="349"/>
        </w:tabs>
        <w:ind w:left="1069" w:hanging="360"/>
      </w:pPr>
      <w:rPr>
        <w:rFonts w:ascii="Arial" w:eastAsia="Times New Roman" w:hAnsi="Arial" w:cs="Arial"/>
        <w:color w:val="000000"/>
        <w:sz w:val="24"/>
        <w:szCs w:val="24"/>
        <w:lang w:val="x-none"/>
      </w:rPr>
    </w:lvl>
  </w:abstractNum>
  <w:abstractNum w:abstractNumId="1">
    <w:nsid w:val="1A167935"/>
    <w:multiLevelType w:val="hybridMultilevel"/>
    <w:tmpl w:val="9C2CE01C"/>
    <w:lvl w:ilvl="0" w:tplc="BADC0052">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17"/>
    <w:rsid w:val="00055DAA"/>
    <w:rsid w:val="00074BC5"/>
    <w:rsid w:val="00093495"/>
    <w:rsid w:val="001E7D29"/>
    <w:rsid w:val="001F4B5B"/>
    <w:rsid w:val="002305E8"/>
    <w:rsid w:val="00251CD0"/>
    <w:rsid w:val="002C0924"/>
    <w:rsid w:val="00344247"/>
    <w:rsid w:val="003C6C79"/>
    <w:rsid w:val="003F24CF"/>
    <w:rsid w:val="00434580"/>
    <w:rsid w:val="00453FF0"/>
    <w:rsid w:val="00474DA0"/>
    <w:rsid w:val="004E086A"/>
    <w:rsid w:val="00512AA3"/>
    <w:rsid w:val="0053092D"/>
    <w:rsid w:val="00565C39"/>
    <w:rsid w:val="00571548"/>
    <w:rsid w:val="00586FAB"/>
    <w:rsid w:val="00594C9A"/>
    <w:rsid w:val="005F5182"/>
    <w:rsid w:val="006555CF"/>
    <w:rsid w:val="00667FD1"/>
    <w:rsid w:val="006A2B56"/>
    <w:rsid w:val="00740FF2"/>
    <w:rsid w:val="0075446D"/>
    <w:rsid w:val="00822012"/>
    <w:rsid w:val="008F7E10"/>
    <w:rsid w:val="009064E0"/>
    <w:rsid w:val="00921D84"/>
    <w:rsid w:val="009500B5"/>
    <w:rsid w:val="00A06BF8"/>
    <w:rsid w:val="00AA36EB"/>
    <w:rsid w:val="00AE220C"/>
    <w:rsid w:val="00AE6DDF"/>
    <w:rsid w:val="00B671CE"/>
    <w:rsid w:val="00BF018F"/>
    <w:rsid w:val="00C36DB4"/>
    <w:rsid w:val="00C81DC2"/>
    <w:rsid w:val="00C84859"/>
    <w:rsid w:val="00CA2F55"/>
    <w:rsid w:val="00D126BB"/>
    <w:rsid w:val="00D22F95"/>
    <w:rsid w:val="00D4349D"/>
    <w:rsid w:val="00D50E0E"/>
    <w:rsid w:val="00D768A3"/>
    <w:rsid w:val="00DD2D17"/>
    <w:rsid w:val="00EA2082"/>
    <w:rsid w:val="00F22AF9"/>
    <w:rsid w:val="00F26D69"/>
    <w:rsid w:val="00F31E96"/>
    <w:rsid w:val="00F71239"/>
    <w:rsid w:val="00F97A5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E0"/>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Char"/>
    <w:qFormat/>
    <w:rsid w:val="00667FD1"/>
    <w:pPr>
      <w:keepNext/>
      <w:suppressAutoHyphens w:val="0"/>
      <w:autoSpaceDE w:val="0"/>
      <w:autoSpaceDN w:val="0"/>
      <w:adjustRightInd w:val="0"/>
      <w:spacing w:line="360" w:lineRule="auto"/>
      <w:jc w:val="both"/>
      <w:outlineLvl w:val="0"/>
    </w:pPr>
    <w:rPr>
      <w:rFonts w:ascii="Book Antiqua" w:eastAsiaTheme="minorEastAsia" w:hAnsi="Book Antiqua" w:cs="Calibri"/>
      <w:b/>
      <w:bCs/>
      <w:i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064E0"/>
    <w:rPr>
      <w:color w:val="0000FF"/>
      <w:u w:val="single"/>
    </w:rPr>
  </w:style>
  <w:style w:type="character" w:customStyle="1" w:styleId="longtext">
    <w:name w:val="long_text"/>
    <w:basedOn w:val="a0"/>
    <w:rsid w:val="009064E0"/>
  </w:style>
  <w:style w:type="character" w:styleId="a4">
    <w:name w:val="Strong"/>
    <w:qFormat/>
    <w:rsid w:val="009064E0"/>
    <w:rPr>
      <w:b/>
      <w:bCs/>
    </w:rPr>
  </w:style>
  <w:style w:type="character" w:customStyle="1" w:styleId="highlight">
    <w:name w:val="highlight"/>
    <w:rsid w:val="009064E0"/>
  </w:style>
  <w:style w:type="character" w:customStyle="1" w:styleId="apple-converted-space">
    <w:name w:val="apple-converted-space"/>
    <w:rsid w:val="009064E0"/>
  </w:style>
  <w:style w:type="paragraph" w:styleId="a5">
    <w:name w:val="header"/>
    <w:basedOn w:val="a"/>
    <w:link w:val="Char"/>
    <w:uiPriority w:val="99"/>
    <w:unhideWhenUsed/>
    <w:rsid w:val="00667F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67FD1"/>
    <w:rPr>
      <w:rFonts w:ascii="Times New Roman" w:eastAsia="Times New Roman" w:hAnsi="Times New Roman" w:cs="Times New Roman"/>
      <w:sz w:val="18"/>
      <w:szCs w:val="18"/>
      <w:lang w:eastAsia="zh-CN"/>
    </w:rPr>
  </w:style>
  <w:style w:type="paragraph" w:styleId="a6">
    <w:name w:val="footer"/>
    <w:basedOn w:val="a"/>
    <w:link w:val="Char0"/>
    <w:uiPriority w:val="99"/>
    <w:unhideWhenUsed/>
    <w:rsid w:val="00667FD1"/>
    <w:pPr>
      <w:tabs>
        <w:tab w:val="center" w:pos="4153"/>
        <w:tab w:val="right" w:pos="8306"/>
      </w:tabs>
      <w:snapToGrid w:val="0"/>
    </w:pPr>
    <w:rPr>
      <w:sz w:val="18"/>
      <w:szCs w:val="18"/>
    </w:rPr>
  </w:style>
  <w:style w:type="character" w:customStyle="1" w:styleId="Char0">
    <w:name w:val="页脚 Char"/>
    <w:basedOn w:val="a0"/>
    <w:link w:val="a6"/>
    <w:uiPriority w:val="99"/>
    <w:rsid w:val="00667FD1"/>
    <w:rPr>
      <w:rFonts w:ascii="Times New Roman" w:eastAsia="Times New Roman" w:hAnsi="Times New Roman" w:cs="Times New Roman"/>
      <w:sz w:val="18"/>
      <w:szCs w:val="18"/>
      <w:lang w:eastAsia="zh-CN"/>
    </w:rPr>
  </w:style>
  <w:style w:type="character" w:customStyle="1" w:styleId="1Char">
    <w:name w:val="标题 1 Char"/>
    <w:basedOn w:val="a0"/>
    <w:link w:val="1"/>
    <w:rsid w:val="00667FD1"/>
    <w:rPr>
      <w:rFonts w:ascii="Book Antiqua" w:hAnsi="Book Antiqua" w:cs="Calibri"/>
      <w:b/>
      <w:bCs/>
      <w:iCs/>
      <w:sz w:val="24"/>
      <w:szCs w:val="24"/>
      <w:lang w:val="en-US"/>
    </w:rPr>
  </w:style>
  <w:style w:type="paragraph" w:styleId="a7">
    <w:name w:val="Balloon Text"/>
    <w:basedOn w:val="a"/>
    <w:link w:val="Char1"/>
    <w:uiPriority w:val="99"/>
    <w:semiHidden/>
    <w:unhideWhenUsed/>
    <w:rsid w:val="00740FF2"/>
    <w:rPr>
      <w:sz w:val="18"/>
      <w:szCs w:val="18"/>
    </w:rPr>
  </w:style>
  <w:style w:type="character" w:customStyle="1" w:styleId="Char1">
    <w:name w:val="批注框文本 Char"/>
    <w:basedOn w:val="a0"/>
    <w:link w:val="a7"/>
    <w:uiPriority w:val="99"/>
    <w:semiHidden/>
    <w:rsid w:val="00740FF2"/>
    <w:rPr>
      <w:rFonts w:ascii="Times New Roman" w:eastAsia="Times New Roman" w:hAnsi="Times New Roman"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E0"/>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Char"/>
    <w:qFormat/>
    <w:rsid w:val="00667FD1"/>
    <w:pPr>
      <w:keepNext/>
      <w:suppressAutoHyphens w:val="0"/>
      <w:autoSpaceDE w:val="0"/>
      <w:autoSpaceDN w:val="0"/>
      <w:adjustRightInd w:val="0"/>
      <w:spacing w:line="360" w:lineRule="auto"/>
      <w:jc w:val="both"/>
      <w:outlineLvl w:val="0"/>
    </w:pPr>
    <w:rPr>
      <w:rFonts w:ascii="Book Antiqua" w:eastAsiaTheme="minorEastAsia" w:hAnsi="Book Antiqua" w:cs="Calibri"/>
      <w:b/>
      <w:bCs/>
      <w:i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064E0"/>
    <w:rPr>
      <w:color w:val="0000FF"/>
      <w:u w:val="single"/>
    </w:rPr>
  </w:style>
  <w:style w:type="character" w:customStyle="1" w:styleId="longtext">
    <w:name w:val="long_text"/>
    <w:basedOn w:val="a0"/>
    <w:rsid w:val="009064E0"/>
  </w:style>
  <w:style w:type="character" w:styleId="a4">
    <w:name w:val="Strong"/>
    <w:qFormat/>
    <w:rsid w:val="009064E0"/>
    <w:rPr>
      <w:b/>
      <w:bCs/>
    </w:rPr>
  </w:style>
  <w:style w:type="character" w:customStyle="1" w:styleId="highlight">
    <w:name w:val="highlight"/>
    <w:rsid w:val="009064E0"/>
  </w:style>
  <w:style w:type="character" w:customStyle="1" w:styleId="apple-converted-space">
    <w:name w:val="apple-converted-space"/>
    <w:rsid w:val="009064E0"/>
  </w:style>
  <w:style w:type="paragraph" w:styleId="a5">
    <w:name w:val="header"/>
    <w:basedOn w:val="a"/>
    <w:link w:val="Char"/>
    <w:uiPriority w:val="99"/>
    <w:unhideWhenUsed/>
    <w:rsid w:val="00667F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67FD1"/>
    <w:rPr>
      <w:rFonts w:ascii="Times New Roman" w:eastAsia="Times New Roman" w:hAnsi="Times New Roman" w:cs="Times New Roman"/>
      <w:sz w:val="18"/>
      <w:szCs w:val="18"/>
      <w:lang w:eastAsia="zh-CN"/>
    </w:rPr>
  </w:style>
  <w:style w:type="paragraph" w:styleId="a6">
    <w:name w:val="footer"/>
    <w:basedOn w:val="a"/>
    <w:link w:val="Char0"/>
    <w:uiPriority w:val="99"/>
    <w:unhideWhenUsed/>
    <w:rsid w:val="00667FD1"/>
    <w:pPr>
      <w:tabs>
        <w:tab w:val="center" w:pos="4153"/>
        <w:tab w:val="right" w:pos="8306"/>
      </w:tabs>
      <w:snapToGrid w:val="0"/>
    </w:pPr>
    <w:rPr>
      <w:sz w:val="18"/>
      <w:szCs w:val="18"/>
    </w:rPr>
  </w:style>
  <w:style w:type="character" w:customStyle="1" w:styleId="Char0">
    <w:name w:val="页脚 Char"/>
    <w:basedOn w:val="a0"/>
    <w:link w:val="a6"/>
    <w:uiPriority w:val="99"/>
    <w:rsid w:val="00667FD1"/>
    <w:rPr>
      <w:rFonts w:ascii="Times New Roman" w:eastAsia="Times New Roman" w:hAnsi="Times New Roman" w:cs="Times New Roman"/>
      <w:sz w:val="18"/>
      <w:szCs w:val="18"/>
      <w:lang w:eastAsia="zh-CN"/>
    </w:rPr>
  </w:style>
  <w:style w:type="character" w:customStyle="1" w:styleId="1Char">
    <w:name w:val="标题 1 Char"/>
    <w:basedOn w:val="a0"/>
    <w:link w:val="1"/>
    <w:rsid w:val="00667FD1"/>
    <w:rPr>
      <w:rFonts w:ascii="Book Antiqua" w:hAnsi="Book Antiqua" w:cs="Calibri"/>
      <w:b/>
      <w:bCs/>
      <w:iCs/>
      <w:sz w:val="24"/>
      <w:szCs w:val="24"/>
      <w:lang w:val="en-US"/>
    </w:rPr>
  </w:style>
  <w:style w:type="paragraph" w:styleId="a7">
    <w:name w:val="Balloon Text"/>
    <w:basedOn w:val="a"/>
    <w:link w:val="Char1"/>
    <w:uiPriority w:val="99"/>
    <w:semiHidden/>
    <w:unhideWhenUsed/>
    <w:rsid w:val="00740FF2"/>
    <w:rPr>
      <w:sz w:val="18"/>
      <w:szCs w:val="18"/>
    </w:rPr>
  </w:style>
  <w:style w:type="character" w:customStyle="1" w:styleId="Char1">
    <w:name w:val="批注框文本 Char"/>
    <w:basedOn w:val="a0"/>
    <w:link w:val="a7"/>
    <w:uiPriority w:val="99"/>
    <w:semiHidden/>
    <w:rsid w:val="00740FF2"/>
    <w:rPr>
      <w:rFonts w:ascii="Times New Roman" w:eastAsia="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7995</Words>
  <Characters>45576</Characters>
  <Application>Microsoft Office Word</Application>
  <DocSecurity>0</DocSecurity>
  <Lines>379</Lines>
  <Paragraphs>106</Paragraphs>
  <ScaleCrop>false</ScaleCrop>
  <Company>Hewlett-Packard Company</Company>
  <LinksUpToDate>false</LinksUpToDate>
  <CharactersWithSpaces>53465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Ciccocioppo Rachele</dc:creator>
  <cp:lastModifiedBy>LS Ma</cp:lastModifiedBy>
  <cp:revision>2</cp:revision>
  <dcterms:created xsi:type="dcterms:W3CDTF">2014-11-18T00:35:00Z</dcterms:created>
  <dcterms:modified xsi:type="dcterms:W3CDTF">2014-11-18T00:35:00Z</dcterms:modified>
</cp:coreProperties>
</file>