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1B4" w:rsidRPr="00F80032" w:rsidRDefault="004121B4" w:rsidP="004F172A">
      <w:pPr>
        <w:adjustRightInd w:val="0"/>
        <w:snapToGrid w:val="0"/>
        <w:spacing w:after="0" w:line="360" w:lineRule="auto"/>
        <w:jc w:val="both"/>
        <w:rPr>
          <w:rFonts w:ascii="Book Antiqua" w:hAnsi="Book Antiqua"/>
          <w:sz w:val="21"/>
          <w:szCs w:val="24"/>
        </w:rPr>
      </w:pPr>
      <w:r w:rsidRPr="00F80032">
        <w:rPr>
          <w:rFonts w:ascii="Book Antiqua" w:eastAsia="Times New Roman" w:hAnsi="Book Antiqua" w:cs="宋体"/>
          <w:b/>
          <w:sz w:val="21"/>
          <w:szCs w:val="24"/>
        </w:rPr>
        <w:t xml:space="preserve">Name of journal: </w:t>
      </w:r>
      <w:bookmarkStart w:id="0" w:name="OLE_LINK718"/>
      <w:bookmarkStart w:id="1" w:name="OLE_LINK719"/>
      <w:r w:rsidRPr="00F80032">
        <w:rPr>
          <w:rFonts w:ascii="Book Antiqua" w:eastAsia="Times New Roman" w:hAnsi="Book Antiqua" w:cs="宋体"/>
          <w:b/>
          <w:sz w:val="21"/>
          <w:szCs w:val="24"/>
        </w:rPr>
        <w:t xml:space="preserve">World Journal of </w:t>
      </w:r>
      <w:bookmarkEnd w:id="0"/>
      <w:bookmarkEnd w:id="1"/>
      <w:r w:rsidRPr="00F80032">
        <w:rPr>
          <w:rFonts w:ascii="Book Antiqua" w:hAnsi="Book Antiqua"/>
          <w:b/>
          <w:sz w:val="21"/>
          <w:szCs w:val="24"/>
        </w:rPr>
        <w:t xml:space="preserve">Gastroenterology </w:t>
      </w:r>
    </w:p>
    <w:p w:rsidR="004121B4" w:rsidRPr="00F80032" w:rsidRDefault="004121B4" w:rsidP="004F172A">
      <w:pPr>
        <w:adjustRightInd w:val="0"/>
        <w:snapToGrid w:val="0"/>
        <w:spacing w:after="0" w:line="360" w:lineRule="auto"/>
        <w:jc w:val="both"/>
        <w:rPr>
          <w:rFonts w:ascii="Book Antiqua" w:eastAsia="Times New Roman" w:hAnsi="Book Antiqua" w:cs="宋体"/>
          <w:b/>
          <w:sz w:val="21"/>
          <w:szCs w:val="24"/>
          <w:lang w:eastAsia="zh-CN"/>
        </w:rPr>
      </w:pPr>
      <w:r w:rsidRPr="00F80032">
        <w:rPr>
          <w:rFonts w:ascii="Book Antiqua" w:hAnsi="Book Antiqua"/>
          <w:b/>
          <w:sz w:val="21"/>
          <w:szCs w:val="24"/>
        </w:rPr>
        <w:t xml:space="preserve">ESPS Manuscript NO: </w:t>
      </w:r>
      <w:r w:rsidRPr="00F80032">
        <w:rPr>
          <w:rFonts w:ascii="Book Antiqua" w:hAnsi="Book Antiqua"/>
          <w:b/>
          <w:sz w:val="21"/>
          <w:szCs w:val="24"/>
          <w:lang w:eastAsia="zh-CN"/>
        </w:rPr>
        <w:t>13168</w:t>
      </w:r>
    </w:p>
    <w:p w:rsidR="004121B4" w:rsidRPr="00F80032" w:rsidRDefault="004121B4" w:rsidP="004F172A">
      <w:pPr>
        <w:suppressAutoHyphens/>
        <w:autoSpaceDE w:val="0"/>
        <w:autoSpaceDN w:val="0"/>
        <w:adjustRightInd w:val="0"/>
        <w:snapToGrid w:val="0"/>
        <w:spacing w:after="0" w:line="360" w:lineRule="auto"/>
        <w:jc w:val="both"/>
        <w:rPr>
          <w:rFonts w:ascii="Book Antiqua" w:hAnsi="Book Antiqua"/>
          <w:b/>
          <w:caps/>
          <w:sz w:val="21"/>
          <w:szCs w:val="24"/>
        </w:rPr>
      </w:pPr>
      <w:r w:rsidRPr="00F80032">
        <w:rPr>
          <w:rFonts w:ascii="Book Antiqua" w:hAnsi="Book Antiqua"/>
          <w:b/>
          <w:sz w:val="21"/>
          <w:szCs w:val="24"/>
        </w:rPr>
        <w:t>Columns:</w:t>
      </w:r>
      <w:r w:rsidRPr="00F80032">
        <w:rPr>
          <w:rFonts w:ascii="Book Antiqua" w:hAnsi="Book Antiqua"/>
          <w:b/>
          <w:caps/>
          <w:sz w:val="21"/>
          <w:szCs w:val="24"/>
        </w:rPr>
        <w:t xml:space="preserve"> Original Articles</w:t>
      </w:r>
    </w:p>
    <w:p w:rsidR="004121B4" w:rsidRPr="00F80032" w:rsidRDefault="004121B4" w:rsidP="004F172A">
      <w:pPr>
        <w:adjustRightInd w:val="0"/>
        <w:snapToGrid w:val="0"/>
        <w:spacing w:after="0" w:line="360" w:lineRule="auto"/>
        <w:jc w:val="both"/>
        <w:rPr>
          <w:rFonts w:ascii="Book Antiqua" w:hAnsi="Book Antiqua" w:cs="Times New Roman"/>
          <w:b/>
          <w:bCs/>
          <w:sz w:val="24"/>
          <w:szCs w:val="24"/>
          <w:lang w:eastAsia="zh-CN"/>
        </w:rPr>
      </w:pPr>
    </w:p>
    <w:p w:rsidR="001967A2" w:rsidRPr="00F80032" w:rsidRDefault="00363133" w:rsidP="004F172A">
      <w:pPr>
        <w:adjustRightInd w:val="0"/>
        <w:snapToGrid w:val="0"/>
        <w:spacing w:after="0" w:line="360" w:lineRule="auto"/>
        <w:jc w:val="both"/>
        <w:rPr>
          <w:rFonts w:ascii="Book Antiqua" w:hAnsi="Book Antiqua" w:cs="Times New Roman"/>
          <w:sz w:val="24"/>
          <w:szCs w:val="24"/>
          <w:lang w:eastAsia="zh-CN"/>
        </w:rPr>
      </w:pPr>
      <w:r w:rsidRPr="00F80032">
        <w:rPr>
          <w:rFonts w:ascii="Book Antiqua" w:hAnsi="Book Antiqua" w:cs="Times New Roman"/>
          <w:b/>
          <w:bCs/>
          <w:sz w:val="24"/>
          <w:szCs w:val="24"/>
        </w:rPr>
        <w:t>S</w:t>
      </w:r>
      <w:r w:rsidR="001967A2" w:rsidRPr="00F80032">
        <w:rPr>
          <w:rFonts w:ascii="Book Antiqua" w:hAnsi="Book Antiqua" w:cs="Times New Roman"/>
          <w:b/>
          <w:bCs/>
          <w:sz w:val="24"/>
          <w:szCs w:val="24"/>
        </w:rPr>
        <w:t>ignificance of low level infliximab in the absence of anti-infliximab antibodies</w:t>
      </w:r>
      <w:r w:rsidR="001967A2" w:rsidRPr="002626F2">
        <w:rPr>
          <w:rFonts w:ascii="Book Antiqua" w:hAnsi="Book Antiqua" w:cs="Times New Roman"/>
          <w:b/>
          <w:sz w:val="24"/>
          <w:szCs w:val="24"/>
          <w:lang w:eastAsia="zh-CN"/>
        </w:rPr>
        <w:t xml:space="preserve"> </w:t>
      </w:r>
      <w:r w:rsidR="002626F2" w:rsidRPr="002626F2">
        <w:rPr>
          <w:rFonts w:ascii="Book Antiqua" w:hAnsi="Book Antiqua" w:cs="Times New Roman"/>
          <w:b/>
          <w:sz w:val="24"/>
          <w:szCs w:val="24"/>
          <w:lang w:eastAsia="zh-CN"/>
        </w:rPr>
        <w:t xml:space="preserve">of </w:t>
      </w:r>
      <w:r w:rsidR="002626F2" w:rsidRPr="002626F2">
        <w:rPr>
          <w:rFonts w:ascii="Book Antiqua" w:hAnsi="Book Antiqua" w:cs="Times New Roman"/>
          <w:b/>
          <w:sz w:val="24"/>
          <w:szCs w:val="24"/>
        </w:rPr>
        <w:t>inflammatory bowel disease</w:t>
      </w:r>
    </w:p>
    <w:p w:rsidR="00F367DC" w:rsidRPr="00F80032" w:rsidRDefault="00F367DC" w:rsidP="004F172A">
      <w:pPr>
        <w:autoSpaceDE w:val="0"/>
        <w:autoSpaceDN w:val="0"/>
        <w:adjustRightInd w:val="0"/>
        <w:snapToGrid w:val="0"/>
        <w:spacing w:after="0" w:line="360" w:lineRule="auto"/>
        <w:jc w:val="both"/>
        <w:rPr>
          <w:rFonts w:ascii="Book Antiqua" w:hAnsi="Book Antiqua" w:cs="Times New Roman"/>
          <w:sz w:val="24"/>
          <w:szCs w:val="24"/>
          <w:lang w:eastAsia="zh-CN"/>
        </w:rPr>
      </w:pPr>
    </w:p>
    <w:p w:rsidR="00F367DC" w:rsidRPr="00F80032" w:rsidRDefault="00F367DC" w:rsidP="004F172A">
      <w:pPr>
        <w:autoSpaceDE w:val="0"/>
        <w:autoSpaceDN w:val="0"/>
        <w:adjustRightInd w:val="0"/>
        <w:snapToGrid w:val="0"/>
        <w:spacing w:after="0" w:line="360" w:lineRule="auto"/>
        <w:jc w:val="both"/>
        <w:rPr>
          <w:rFonts w:ascii="Book Antiqua" w:hAnsi="Book Antiqua" w:cs="Times New Roman"/>
          <w:color w:val="222222"/>
          <w:sz w:val="24"/>
          <w:szCs w:val="24"/>
        </w:rPr>
      </w:pPr>
      <w:proofErr w:type="spellStart"/>
      <w:r w:rsidRPr="00F80032">
        <w:rPr>
          <w:rFonts w:ascii="Book Antiqua" w:hAnsi="Book Antiqua" w:cs="Times New Roman"/>
          <w:sz w:val="24"/>
          <w:szCs w:val="24"/>
        </w:rPr>
        <w:t>Ungar</w:t>
      </w:r>
      <w:proofErr w:type="spellEnd"/>
      <w:r w:rsidRPr="00F80032">
        <w:rPr>
          <w:rFonts w:ascii="Book Antiqua" w:hAnsi="Book Antiqua" w:cs="Times New Roman"/>
          <w:color w:val="222222"/>
          <w:sz w:val="24"/>
          <w:szCs w:val="24"/>
        </w:rPr>
        <w:t xml:space="preserve"> </w:t>
      </w:r>
      <w:r w:rsidRPr="00F80032">
        <w:rPr>
          <w:rFonts w:ascii="Book Antiqua" w:hAnsi="Book Antiqua" w:cs="Times New Roman"/>
          <w:color w:val="222222"/>
          <w:sz w:val="24"/>
          <w:szCs w:val="24"/>
          <w:lang w:eastAsia="zh-CN"/>
        </w:rPr>
        <w:t xml:space="preserve">B </w:t>
      </w:r>
      <w:r w:rsidRPr="00F80032">
        <w:rPr>
          <w:rFonts w:ascii="Book Antiqua" w:hAnsi="Book Antiqua" w:cs="Times New Roman"/>
          <w:i/>
          <w:color w:val="222222"/>
          <w:sz w:val="24"/>
          <w:szCs w:val="24"/>
          <w:lang w:eastAsia="zh-CN"/>
        </w:rPr>
        <w:t>et al</w:t>
      </w:r>
      <w:r w:rsidRPr="00F80032">
        <w:rPr>
          <w:rFonts w:ascii="Book Antiqua" w:hAnsi="Book Antiqua" w:cs="Times New Roman"/>
          <w:color w:val="222222"/>
          <w:sz w:val="24"/>
          <w:szCs w:val="24"/>
          <w:lang w:eastAsia="zh-CN"/>
        </w:rPr>
        <w:t xml:space="preserve">. </w:t>
      </w:r>
      <w:r w:rsidRPr="00F80032">
        <w:rPr>
          <w:rFonts w:ascii="Book Antiqua" w:hAnsi="Book Antiqua" w:cs="Times New Roman"/>
          <w:color w:val="222222"/>
          <w:sz w:val="24"/>
          <w:szCs w:val="24"/>
        </w:rPr>
        <w:t>Low level infliximab in the absence of anti-infliximab antibodies</w:t>
      </w:r>
    </w:p>
    <w:p w:rsidR="00F367DC" w:rsidRPr="00F80032" w:rsidRDefault="00F367DC" w:rsidP="004F172A">
      <w:pPr>
        <w:autoSpaceDE w:val="0"/>
        <w:autoSpaceDN w:val="0"/>
        <w:adjustRightInd w:val="0"/>
        <w:snapToGrid w:val="0"/>
        <w:spacing w:after="0" w:line="360" w:lineRule="auto"/>
        <w:jc w:val="both"/>
        <w:rPr>
          <w:rFonts w:ascii="Book Antiqua" w:hAnsi="Book Antiqua" w:cs="Times New Roman"/>
          <w:sz w:val="24"/>
          <w:szCs w:val="24"/>
          <w:lang w:eastAsia="zh-CN"/>
        </w:rPr>
      </w:pPr>
    </w:p>
    <w:p w:rsidR="001967A2" w:rsidRPr="00F80032" w:rsidRDefault="001967A2" w:rsidP="004F172A">
      <w:pPr>
        <w:autoSpaceDE w:val="0"/>
        <w:autoSpaceDN w:val="0"/>
        <w:adjustRightInd w:val="0"/>
        <w:snapToGrid w:val="0"/>
        <w:spacing w:after="0" w:line="360" w:lineRule="auto"/>
        <w:jc w:val="both"/>
        <w:rPr>
          <w:rFonts w:ascii="Book Antiqua" w:hAnsi="Book Antiqua" w:cs="Times New Roman"/>
          <w:sz w:val="24"/>
          <w:szCs w:val="24"/>
          <w:lang w:eastAsia="zh-CN"/>
        </w:rPr>
      </w:pPr>
      <w:r w:rsidRPr="00F80032">
        <w:rPr>
          <w:rFonts w:ascii="Book Antiqua" w:hAnsi="Book Antiqua" w:cs="Times New Roman"/>
          <w:sz w:val="24"/>
          <w:szCs w:val="24"/>
        </w:rPr>
        <w:t xml:space="preserve">Bella </w:t>
      </w:r>
      <w:proofErr w:type="spellStart"/>
      <w:r w:rsidRPr="00F80032">
        <w:rPr>
          <w:rFonts w:ascii="Book Antiqua" w:hAnsi="Book Antiqua" w:cs="Times New Roman"/>
          <w:sz w:val="24"/>
          <w:szCs w:val="24"/>
        </w:rPr>
        <w:t>Ungar</w:t>
      </w:r>
      <w:proofErr w:type="spellEnd"/>
      <w:r w:rsidRPr="00F80032">
        <w:rPr>
          <w:rFonts w:ascii="Book Antiqua" w:hAnsi="Book Antiqua" w:cs="Times New Roman"/>
          <w:sz w:val="24"/>
          <w:szCs w:val="24"/>
        </w:rPr>
        <w:t xml:space="preserve">, </w:t>
      </w:r>
      <w:proofErr w:type="spellStart"/>
      <w:r w:rsidRPr="00F80032">
        <w:rPr>
          <w:rFonts w:ascii="Book Antiqua" w:hAnsi="Book Antiqua" w:cs="Times New Roman"/>
          <w:sz w:val="24"/>
          <w:szCs w:val="24"/>
        </w:rPr>
        <w:t>Adi</w:t>
      </w:r>
      <w:proofErr w:type="spellEnd"/>
      <w:r w:rsidRPr="00F80032">
        <w:rPr>
          <w:rFonts w:ascii="Book Antiqua" w:hAnsi="Book Antiqua" w:cs="Times New Roman"/>
          <w:sz w:val="24"/>
          <w:szCs w:val="24"/>
        </w:rPr>
        <w:t xml:space="preserve"> </w:t>
      </w:r>
      <w:proofErr w:type="spellStart"/>
      <w:r w:rsidRPr="00F80032">
        <w:rPr>
          <w:rFonts w:ascii="Book Antiqua" w:hAnsi="Book Antiqua" w:cs="Times New Roman"/>
          <w:sz w:val="24"/>
          <w:szCs w:val="24"/>
        </w:rPr>
        <w:t>Anafy</w:t>
      </w:r>
      <w:proofErr w:type="spellEnd"/>
      <w:r w:rsidRPr="00F80032">
        <w:rPr>
          <w:rFonts w:ascii="Book Antiqua" w:hAnsi="Book Antiqua" w:cs="Times New Roman"/>
          <w:sz w:val="24"/>
          <w:szCs w:val="24"/>
        </w:rPr>
        <w:t xml:space="preserve">, </w:t>
      </w:r>
      <w:proofErr w:type="spellStart"/>
      <w:r w:rsidRPr="00F80032">
        <w:rPr>
          <w:rFonts w:ascii="Book Antiqua" w:hAnsi="Book Antiqua" w:cs="Times New Roman"/>
          <w:sz w:val="24"/>
          <w:szCs w:val="24"/>
        </w:rPr>
        <w:t>Henit</w:t>
      </w:r>
      <w:proofErr w:type="spellEnd"/>
      <w:r w:rsidRPr="00F80032">
        <w:rPr>
          <w:rFonts w:ascii="Book Antiqua" w:hAnsi="Book Antiqua" w:cs="Times New Roman"/>
          <w:sz w:val="24"/>
          <w:szCs w:val="24"/>
        </w:rPr>
        <w:t xml:space="preserve"> </w:t>
      </w:r>
      <w:proofErr w:type="spellStart"/>
      <w:r w:rsidRPr="00F80032">
        <w:rPr>
          <w:rFonts w:ascii="Book Antiqua" w:hAnsi="Book Antiqua" w:cs="Times New Roman"/>
          <w:sz w:val="24"/>
          <w:szCs w:val="24"/>
        </w:rPr>
        <w:t>Yanai</w:t>
      </w:r>
      <w:proofErr w:type="spellEnd"/>
      <w:r w:rsidRPr="00F80032">
        <w:rPr>
          <w:rFonts w:ascii="Book Antiqua" w:hAnsi="Book Antiqua" w:cs="Times New Roman"/>
          <w:sz w:val="24"/>
          <w:szCs w:val="24"/>
        </w:rPr>
        <w:t xml:space="preserve">, </w:t>
      </w:r>
      <w:proofErr w:type="spellStart"/>
      <w:r w:rsidRPr="00F80032">
        <w:rPr>
          <w:rFonts w:ascii="Book Antiqua" w:hAnsi="Book Antiqua" w:cs="Times New Roman"/>
          <w:sz w:val="24"/>
          <w:szCs w:val="24"/>
        </w:rPr>
        <w:t>Yulia</w:t>
      </w:r>
      <w:proofErr w:type="spellEnd"/>
      <w:r w:rsidRPr="00F80032">
        <w:rPr>
          <w:rFonts w:ascii="Book Antiqua" w:hAnsi="Book Antiqua" w:cs="Times New Roman"/>
          <w:sz w:val="24"/>
          <w:szCs w:val="24"/>
        </w:rPr>
        <w:t xml:space="preserve"> Ron, </w:t>
      </w:r>
      <w:proofErr w:type="spellStart"/>
      <w:r w:rsidRPr="00F80032">
        <w:rPr>
          <w:rFonts w:ascii="Book Antiqua" w:hAnsi="Book Antiqua" w:cs="Times New Roman"/>
          <w:sz w:val="24"/>
          <w:szCs w:val="24"/>
        </w:rPr>
        <w:t>Miri</w:t>
      </w:r>
      <w:proofErr w:type="spellEnd"/>
      <w:r w:rsidRPr="00F80032">
        <w:rPr>
          <w:rFonts w:ascii="Book Antiqua" w:hAnsi="Book Antiqua" w:cs="Times New Roman"/>
          <w:sz w:val="24"/>
          <w:szCs w:val="24"/>
        </w:rPr>
        <w:t xml:space="preserve"> </w:t>
      </w:r>
      <w:proofErr w:type="spellStart"/>
      <w:r w:rsidRPr="00F80032">
        <w:rPr>
          <w:rFonts w:ascii="Book Antiqua" w:hAnsi="Book Antiqua" w:cs="Times New Roman"/>
          <w:sz w:val="24"/>
          <w:szCs w:val="24"/>
        </w:rPr>
        <w:t>Yavzori</w:t>
      </w:r>
      <w:proofErr w:type="spellEnd"/>
      <w:r w:rsidRPr="00F80032">
        <w:rPr>
          <w:rFonts w:ascii="Book Antiqua" w:hAnsi="Book Antiqua" w:cs="Times New Roman"/>
          <w:sz w:val="24"/>
          <w:szCs w:val="24"/>
        </w:rPr>
        <w:t xml:space="preserve">, Orit Picard, Ella </w:t>
      </w:r>
      <w:proofErr w:type="spellStart"/>
      <w:r w:rsidRPr="00F80032">
        <w:rPr>
          <w:rFonts w:ascii="Book Antiqua" w:hAnsi="Book Antiqua" w:cs="Times New Roman"/>
          <w:sz w:val="24"/>
          <w:szCs w:val="24"/>
        </w:rPr>
        <w:t>Fudim</w:t>
      </w:r>
      <w:proofErr w:type="spellEnd"/>
      <w:r w:rsidRPr="00F80032">
        <w:rPr>
          <w:rFonts w:ascii="Book Antiqua" w:hAnsi="Book Antiqua" w:cs="Times New Roman"/>
          <w:sz w:val="24"/>
          <w:szCs w:val="24"/>
        </w:rPr>
        <w:t xml:space="preserve">, </w:t>
      </w:r>
      <w:r w:rsidR="00B82F92" w:rsidRPr="00F80032">
        <w:rPr>
          <w:rFonts w:ascii="Book Antiqua" w:hAnsi="Book Antiqua" w:cs="Times New Roman"/>
          <w:sz w:val="24"/>
          <w:szCs w:val="24"/>
        </w:rPr>
        <w:t xml:space="preserve">Ronen </w:t>
      </w:r>
      <w:proofErr w:type="spellStart"/>
      <w:r w:rsidR="00B82F92" w:rsidRPr="00F80032">
        <w:rPr>
          <w:rFonts w:ascii="Book Antiqua" w:hAnsi="Book Antiqua" w:cs="Times New Roman"/>
          <w:sz w:val="24"/>
          <w:szCs w:val="24"/>
        </w:rPr>
        <w:t>Loebstein</w:t>
      </w:r>
      <w:proofErr w:type="spellEnd"/>
      <w:r w:rsidR="00B82F92" w:rsidRPr="00F80032">
        <w:rPr>
          <w:rFonts w:ascii="Book Antiqua" w:hAnsi="Book Antiqua" w:cs="Times New Roman"/>
          <w:sz w:val="24"/>
          <w:szCs w:val="24"/>
        </w:rPr>
        <w:t xml:space="preserve">, </w:t>
      </w:r>
      <w:r w:rsidRPr="00F80032">
        <w:rPr>
          <w:rFonts w:ascii="Book Antiqua" w:hAnsi="Book Antiqua" w:cs="Times New Roman"/>
          <w:sz w:val="24"/>
          <w:szCs w:val="24"/>
        </w:rPr>
        <w:t xml:space="preserve">Uri </w:t>
      </w:r>
      <w:proofErr w:type="spellStart"/>
      <w:r w:rsidRPr="00F80032">
        <w:rPr>
          <w:rFonts w:ascii="Book Antiqua" w:hAnsi="Book Antiqua" w:cs="Times New Roman"/>
          <w:sz w:val="24"/>
          <w:szCs w:val="24"/>
        </w:rPr>
        <w:t>Kopylov</w:t>
      </w:r>
      <w:proofErr w:type="spellEnd"/>
      <w:r w:rsidRPr="00F80032">
        <w:rPr>
          <w:rFonts w:ascii="Book Antiqua" w:hAnsi="Book Antiqua" w:cs="Times New Roman"/>
          <w:sz w:val="24"/>
          <w:szCs w:val="24"/>
        </w:rPr>
        <w:t xml:space="preserve">, Yehuda </w:t>
      </w:r>
      <w:proofErr w:type="spellStart"/>
      <w:r w:rsidRPr="00F80032">
        <w:rPr>
          <w:rFonts w:ascii="Book Antiqua" w:hAnsi="Book Antiqua" w:cs="Times New Roman"/>
          <w:sz w:val="24"/>
          <w:szCs w:val="24"/>
        </w:rPr>
        <w:t>Chowers</w:t>
      </w:r>
      <w:proofErr w:type="spellEnd"/>
      <w:r w:rsidRPr="00F80032">
        <w:rPr>
          <w:rFonts w:ascii="Book Antiqua" w:hAnsi="Book Antiqua" w:cs="Times New Roman"/>
          <w:sz w:val="24"/>
          <w:szCs w:val="24"/>
        </w:rPr>
        <w:t xml:space="preserve">, Iris </w:t>
      </w:r>
      <w:proofErr w:type="spellStart"/>
      <w:r w:rsidRPr="00F80032">
        <w:rPr>
          <w:rFonts w:ascii="Book Antiqua" w:hAnsi="Book Antiqua" w:cs="Times New Roman"/>
          <w:sz w:val="24"/>
          <w:szCs w:val="24"/>
        </w:rPr>
        <w:t>Dotan</w:t>
      </w:r>
      <w:proofErr w:type="spellEnd"/>
      <w:r w:rsidRPr="00F80032">
        <w:rPr>
          <w:rFonts w:ascii="Book Antiqua" w:hAnsi="Book Antiqua" w:cs="Times New Roman"/>
          <w:sz w:val="24"/>
          <w:szCs w:val="24"/>
        </w:rPr>
        <w:t xml:space="preserve">, Rami </w:t>
      </w:r>
      <w:proofErr w:type="spellStart"/>
      <w:r w:rsidRPr="00F80032">
        <w:rPr>
          <w:rFonts w:ascii="Book Antiqua" w:hAnsi="Book Antiqua" w:cs="Times New Roman"/>
          <w:sz w:val="24"/>
          <w:szCs w:val="24"/>
        </w:rPr>
        <w:t>Eliakim</w:t>
      </w:r>
      <w:proofErr w:type="spellEnd"/>
      <w:r w:rsidRPr="00F80032">
        <w:rPr>
          <w:rFonts w:ascii="Book Antiqua" w:hAnsi="Book Antiqua" w:cs="Times New Roman"/>
          <w:sz w:val="24"/>
          <w:szCs w:val="24"/>
        </w:rPr>
        <w:t xml:space="preserve">, </w:t>
      </w:r>
      <w:proofErr w:type="spellStart"/>
      <w:r w:rsidRPr="00F80032">
        <w:rPr>
          <w:rFonts w:ascii="Book Antiqua" w:hAnsi="Book Antiqua" w:cs="Times New Roman"/>
          <w:sz w:val="24"/>
          <w:szCs w:val="24"/>
        </w:rPr>
        <w:t>Shomron</w:t>
      </w:r>
      <w:proofErr w:type="spellEnd"/>
      <w:r w:rsidRPr="00F80032">
        <w:rPr>
          <w:rFonts w:ascii="Book Antiqua" w:hAnsi="Book Antiqua" w:cs="Times New Roman"/>
          <w:sz w:val="24"/>
          <w:szCs w:val="24"/>
        </w:rPr>
        <w:t xml:space="preserve"> Ben-</w:t>
      </w:r>
      <w:proofErr w:type="spellStart"/>
      <w:r w:rsidRPr="00F80032">
        <w:rPr>
          <w:rFonts w:ascii="Book Antiqua" w:hAnsi="Book Antiqua" w:cs="Times New Roman"/>
          <w:sz w:val="24"/>
          <w:szCs w:val="24"/>
        </w:rPr>
        <w:t>Horin</w:t>
      </w:r>
      <w:proofErr w:type="spellEnd"/>
    </w:p>
    <w:p w:rsidR="00B82F92" w:rsidRPr="00F80032" w:rsidRDefault="00B82F92" w:rsidP="004F172A">
      <w:pPr>
        <w:adjustRightInd w:val="0"/>
        <w:snapToGrid w:val="0"/>
        <w:spacing w:after="0" w:line="360" w:lineRule="auto"/>
        <w:jc w:val="both"/>
        <w:rPr>
          <w:rFonts w:ascii="Book Antiqua" w:hAnsi="Book Antiqua" w:cs="Times New Roman"/>
          <w:b/>
          <w:sz w:val="24"/>
          <w:szCs w:val="24"/>
        </w:rPr>
      </w:pPr>
    </w:p>
    <w:p w:rsidR="00B82F92" w:rsidRPr="00F80032" w:rsidRDefault="0058045B" w:rsidP="004F172A">
      <w:pPr>
        <w:adjustRightInd w:val="0"/>
        <w:snapToGrid w:val="0"/>
        <w:spacing w:after="0" w:line="360" w:lineRule="auto"/>
        <w:jc w:val="both"/>
        <w:rPr>
          <w:rFonts w:ascii="Book Antiqua" w:hAnsi="Book Antiqua" w:cs="Times New Roman"/>
          <w:color w:val="222222"/>
          <w:sz w:val="24"/>
          <w:szCs w:val="24"/>
          <w:lang w:eastAsia="zh-CN"/>
        </w:rPr>
      </w:pPr>
      <w:r w:rsidRPr="00F80032">
        <w:rPr>
          <w:rFonts w:ascii="Book Antiqua" w:hAnsi="Book Antiqua" w:cs="Times New Roman"/>
          <w:b/>
          <w:sz w:val="24"/>
          <w:szCs w:val="24"/>
        </w:rPr>
        <w:t xml:space="preserve">Bella </w:t>
      </w:r>
      <w:proofErr w:type="spellStart"/>
      <w:r w:rsidRPr="00F80032">
        <w:rPr>
          <w:rFonts w:ascii="Book Antiqua" w:hAnsi="Book Antiqua" w:cs="Times New Roman"/>
          <w:b/>
          <w:sz w:val="24"/>
          <w:szCs w:val="24"/>
        </w:rPr>
        <w:t>Ungar</w:t>
      </w:r>
      <w:proofErr w:type="spellEnd"/>
      <w:r w:rsidRPr="00F80032">
        <w:rPr>
          <w:rFonts w:ascii="Book Antiqua" w:hAnsi="Book Antiqua" w:cs="Times New Roman"/>
          <w:b/>
          <w:sz w:val="24"/>
          <w:szCs w:val="24"/>
        </w:rPr>
        <w:t xml:space="preserve">, </w:t>
      </w:r>
      <w:proofErr w:type="spellStart"/>
      <w:r w:rsidRPr="00F80032">
        <w:rPr>
          <w:rFonts w:ascii="Book Antiqua" w:hAnsi="Book Antiqua" w:cs="Times New Roman"/>
          <w:b/>
          <w:sz w:val="24"/>
          <w:szCs w:val="24"/>
        </w:rPr>
        <w:t>Adi</w:t>
      </w:r>
      <w:proofErr w:type="spellEnd"/>
      <w:r w:rsidRPr="00F80032">
        <w:rPr>
          <w:rFonts w:ascii="Book Antiqua" w:hAnsi="Book Antiqua" w:cs="Times New Roman"/>
          <w:b/>
          <w:sz w:val="24"/>
          <w:szCs w:val="24"/>
        </w:rPr>
        <w:t xml:space="preserve"> </w:t>
      </w:r>
      <w:proofErr w:type="spellStart"/>
      <w:r w:rsidRPr="00F80032">
        <w:rPr>
          <w:rFonts w:ascii="Book Antiqua" w:hAnsi="Book Antiqua" w:cs="Times New Roman"/>
          <w:b/>
          <w:sz w:val="24"/>
          <w:szCs w:val="24"/>
        </w:rPr>
        <w:t>Anafy</w:t>
      </w:r>
      <w:proofErr w:type="spellEnd"/>
      <w:r w:rsidRPr="00F80032">
        <w:rPr>
          <w:rFonts w:ascii="Book Antiqua" w:hAnsi="Book Antiqua" w:cs="Times New Roman"/>
          <w:b/>
          <w:sz w:val="24"/>
          <w:szCs w:val="24"/>
        </w:rPr>
        <w:t xml:space="preserve">, </w:t>
      </w:r>
      <w:proofErr w:type="spellStart"/>
      <w:r w:rsidRPr="00F80032">
        <w:rPr>
          <w:rFonts w:ascii="Book Antiqua" w:hAnsi="Book Antiqua" w:cs="Times New Roman"/>
          <w:b/>
          <w:sz w:val="24"/>
          <w:szCs w:val="24"/>
        </w:rPr>
        <w:t>Miri</w:t>
      </w:r>
      <w:proofErr w:type="spellEnd"/>
      <w:r w:rsidRPr="00F80032">
        <w:rPr>
          <w:rFonts w:ascii="Book Antiqua" w:hAnsi="Book Antiqua" w:cs="Times New Roman"/>
          <w:b/>
          <w:sz w:val="24"/>
          <w:szCs w:val="24"/>
        </w:rPr>
        <w:t xml:space="preserve"> </w:t>
      </w:r>
      <w:proofErr w:type="spellStart"/>
      <w:r w:rsidRPr="00F80032">
        <w:rPr>
          <w:rFonts w:ascii="Book Antiqua" w:hAnsi="Book Antiqua" w:cs="Times New Roman"/>
          <w:b/>
          <w:sz w:val="24"/>
          <w:szCs w:val="24"/>
        </w:rPr>
        <w:t>Yavzori</w:t>
      </w:r>
      <w:proofErr w:type="spellEnd"/>
      <w:r w:rsidRPr="00F80032">
        <w:rPr>
          <w:rFonts w:ascii="Book Antiqua" w:hAnsi="Book Antiqua" w:cs="Times New Roman"/>
          <w:b/>
          <w:sz w:val="24"/>
          <w:szCs w:val="24"/>
        </w:rPr>
        <w:t xml:space="preserve">, Orit Picard, Ella </w:t>
      </w:r>
      <w:proofErr w:type="spellStart"/>
      <w:r w:rsidRPr="00F80032">
        <w:rPr>
          <w:rFonts w:ascii="Book Antiqua" w:hAnsi="Book Antiqua" w:cs="Times New Roman"/>
          <w:b/>
          <w:sz w:val="24"/>
          <w:szCs w:val="24"/>
        </w:rPr>
        <w:t>Fudim</w:t>
      </w:r>
      <w:proofErr w:type="spellEnd"/>
      <w:r w:rsidRPr="00F80032">
        <w:rPr>
          <w:rFonts w:ascii="Book Antiqua" w:hAnsi="Book Antiqua" w:cs="Times New Roman"/>
          <w:b/>
          <w:sz w:val="24"/>
          <w:szCs w:val="24"/>
        </w:rPr>
        <w:t xml:space="preserve">, Uri </w:t>
      </w:r>
      <w:proofErr w:type="spellStart"/>
      <w:r w:rsidRPr="00F80032">
        <w:rPr>
          <w:rFonts w:ascii="Book Antiqua" w:hAnsi="Book Antiqua" w:cs="Times New Roman"/>
          <w:b/>
          <w:sz w:val="24"/>
          <w:szCs w:val="24"/>
        </w:rPr>
        <w:t>Kopylov</w:t>
      </w:r>
      <w:proofErr w:type="spellEnd"/>
      <w:r w:rsidRPr="00F80032">
        <w:rPr>
          <w:rFonts w:ascii="Book Antiqua" w:hAnsi="Book Antiqua" w:cs="Times New Roman"/>
          <w:b/>
          <w:sz w:val="24"/>
          <w:szCs w:val="24"/>
          <w:lang w:eastAsia="zh-CN"/>
        </w:rPr>
        <w:t xml:space="preserve">, </w:t>
      </w:r>
      <w:r w:rsidRPr="00F80032">
        <w:rPr>
          <w:rFonts w:ascii="Book Antiqua" w:hAnsi="Book Antiqua" w:cs="Times New Roman"/>
          <w:b/>
          <w:sz w:val="24"/>
          <w:szCs w:val="24"/>
        </w:rPr>
        <w:t xml:space="preserve">Rami </w:t>
      </w:r>
      <w:proofErr w:type="spellStart"/>
      <w:r w:rsidRPr="00F80032">
        <w:rPr>
          <w:rFonts w:ascii="Book Antiqua" w:hAnsi="Book Antiqua" w:cs="Times New Roman"/>
          <w:b/>
          <w:sz w:val="24"/>
          <w:szCs w:val="24"/>
        </w:rPr>
        <w:t>Eliakim</w:t>
      </w:r>
      <w:proofErr w:type="spellEnd"/>
      <w:r w:rsidRPr="00F80032">
        <w:rPr>
          <w:rFonts w:ascii="Book Antiqua" w:hAnsi="Book Antiqua" w:cs="Times New Roman"/>
          <w:b/>
          <w:sz w:val="24"/>
          <w:szCs w:val="24"/>
        </w:rPr>
        <w:t xml:space="preserve">, </w:t>
      </w:r>
      <w:proofErr w:type="spellStart"/>
      <w:r w:rsidRPr="00F80032">
        <w:rPr>
          <w:rFonts w:ascii="Book Antiqua" w:hAnsi="Book Antiqua" w:cs="Times New Roman"/>
          <w:b/>
          <w:sz w:val="24"/>
          <w:szCs w:val="24"/>
        </w:rPr>
        <w:t>Shomron</w:t>
      </w:r>
      <w:proofErr w:type="spellEnd"/>
      <w:r w:rsidRPr="00F80032">
        <w:rPr>
          <w:rFonts w:ascii="Book Antiqua" w:hAnsi="Book Antiqua" w:cs="Times New Roman"/>
          <w:b/>
          <w:sz w:val="24"/>
          <w:szCs w:val="24"/>
        </w:rPr>
        <w:t xml:space="preserve"> Ben-</w:t>
      </w:r>
      <w:proofErr w:type="spellStart"/>
      <w:r w:rsidRPr="00F80032">
        <w:rPr>
          <w:rFonts w:ascii="Book Antiqua" w:hAnsi="Book Antiqua" w:cs="Times New Roman"/>
          <w:b/>
          <w:sz w:val="24"/>
          <w:szCs w:val="24"/>
        </w:rPr>
        <w:t>Horin</w:t>
      </w:r>
      <w:proofErr w:type="spellEnd"/>
      <w:r w:rsidRPr="00F80032">
        <w:rPr>
          <w:rFonts w:ascii="Book Antiqua" w:hAnsi="Book Antiqua" w:cs="Times New Roman"/>
          <w:b/>
          <w:color w:val="222222"/>
          <w:sz w:val="24"/>
          <w:szCs w:val="24"/>
          <w:lang w:eastAsia="zh-CN"/>
        </w:rPr>
        <w:t xml:space="preserve">, </w:t>
      </w:r>
      <w:r w:rsidR="001967A2" w:rsidRPr="00F80032">
        <w:rPr>
          <w:rFonts w:ascii="Book Antiqua" w:hAnsi="Book Antiqua" w:cs="Times New Roman"/>
          <w:color w:val="222222"/>
          <w:sz w:val="24"/>
          <w:szCs w:val="24"/>
        </w:rPr>
        <w:t xml:space="preserve">Department of Gastroenterology, Sheba Medical Center Tel </w:t>
      </w:r>
      <w:proofErr w:type="spellStart"/>
      <w:r w:rsidR="001967A2" w:rsidRPr="00F80032">
        <w:rPr>
          <w:rFonts w:ascii="Book Antiqua" w:hAnsi="Book Antiqua" w:cs="Times New Roman"/>
          <w:color w:val="222222"/>
          <w:sz w:val="24"/>
          <w:szCs w:val="24"/>
        </w:rPr>
        <w:t>Hashomer</w:t>
      </w:r>
      <w:proofErr w:type="spellEnd"/>
      <w:r w:rsidR="001967A2" w:rsidRPr="00F80032">
        <w:rPr>
          <w:rFonts w:ascii="Book Antiqua" w:hAnsi="Book Antiqua" w:cs="Times New Roman"/>
          <w:color w:val="222222"/>
          <w:sz w:val="24"/>
          <w:szCs w:val="24"/>
        </w:rPr>
        <w:t xml:space="preserve"> </w:t>
      </w:r>
      <w:r w:rsidRPr="00F80032">
        <w:rPr>
          <w:rFonts w:ascii="Book Antiqua" w:hAnsi="Book Antiqua" w:cs="Times New Roman"/>
          <w:color w:val="222222"/>
          <w:sz w:val="24"/>
          <w:szCs w:val="24"/>
          <w:lang w:eastAsia="zh-CN"/>
        </w:rPr>
        <w:t>and</w:t>
      </w:r>
      <w:r w:rsidR="001967A2" w:rsidRPr="00F80032">
        <w:rPr>
          <w:rFonts w:ascii="Book Antiqua" w:hAnsi="Book Antiqua" w:cs="Times New Roman"/>
          <w:color w:val="222222"/>
          <w:sz w:val="24"/>
          <w:szCs w:val="24"/>
        </w:rPr>
        <w:t xml:space="preserve"> </w:t>
      </w:r>
      <w:proofErr w:type="spellStart"/>
      <w:r w:rsidR="001967A2" w:rsidRPr="00F80032">
        <w:rPr>
          <w:rFonts w:ascii="Book Antiqua" w:hAnsi="Book Antiqua" w:cs="Times New Roman"/>
          <w:color w:val="222222"/>
          <w:sz w:val="24"/>
          <w:szCs w:val="24"/>
        </w:rPr>
        <w:t>Sackler</w:t>
      </w:r>
      <w:proofErr w:type="spellEnd"/>
      <w:r w:rsidR="001967A2" w:rsidRPr="00F80032">
        <w:rPr>
          <w:rFonts w:ascii="Book Antiqua" w:hAnsi="Book Antiqua" w:cs="Times New Roman"/>
          <w:color w:val="222222"/>
          <w:sz w:val="24"/>
          <w:szCs w:val="24"/>
        </w:rPr>
        <w:t xml:space="preserve"> School of Medicine, Tel-Aviv University,</w:t>
      </w:r>
      <w:r w:rsidR="00F0350D" w:rsidRPr="00F80032">
        <w:rPr>
          <w:rFonts w:ascii="Book Antiqua" w:hAnsi="Book Antiqua" w:cs="Times New Roman"/>
          <w:i/>
          <w:caps/>
          <w:color w:val="222222"/>
          <w:sz w:val="24"/>
          <w:szCs w:val="24"/>
          <w:rtl/>
          <w:lang w:eastAsia="zh-CN"/>
        </w:rPr>
        <w:t xml:space="preserve"> </w:t>
      </w:r>
      <w:r w:rsidR="00E90F48" w:rsidRPr="00F80032">
        <w:rPr>
          <w:rFonts w:ascii="Book Antiqua" w:hAnsi="Book Antiqua" w:cs="Times New Roman"/>
          <w:color w:val="222222"/>
          <w:sz w:val="24"/>
          <w:szCs w:val="24"/>
          <w:lang w:eastAsia="zh-CN"/>
        </w:rPr>
        <w:t>Tel-Aviv</w:t>
      </w:r>
      <w:r w:rsidR="00363133" w:rsidRPr="00F80032">
        <w:rPr>
          <w:rFonts w:ascii="Book Antiqua" w:hAnsi="Book Antiqua" w:cs="Times New Roman"/>
          <w:color w:val="222222"/>
          <w:sz w:val="24"/>
          <w:szCs w:val="24"/>
          <w:lang w:eastAsia="zh-CN"/>
        </w:rPr>
        <w:t xml:space="preserve"> 6997801</w:t>
      </w:r>
      <w:r w:rsidR="00E90F48" w:rsidRPr="00F80032">
        <w:rPr>
          <w:rFonts w:ascii="Book Antiqua" w:hAnsi="Book Antiqua" w:cs="Times New Roman" w:hint="eastAsia"/>
          <w:color w:val="222222"/>
          <w:sz w:val="24"/>
          <w:szCs w:val="24"/>
          <w:lang w:eastAsia="zh-CN"/>
        </w:rPr>
        <w:t xml:space="preserve">, </w:t>
      </w:r>
      <w:r w:rsidR="00E90F48" w:rsidRPr="00F80032">
        <w:rPr>
          <w:rFonts w:ascii="Book Antiqua" w:hAnsi="Book Antiqua" w:cs="Times New Roman"/>
          <w:color w:val="222222"/>
          <w:sz w:val="24"/>
          <w:szCs w:val="24"/>
          <w:lang w:eastAsia="zh-CN"/>
        </w:rPr>
        <w:t>Israel</w:t>
      </w:r>
    </w:p>
    <w:p w:rsidR="008008F1" w:rsidRPr="00F80032" w:rsidRDefault="008008F1" w:rsidP="004F172A">
      <w:pPr>
        <w:adjustRightInd w:val="0"/>
        <w:snapToGrid w:val="0"/>
        <w:spacing w:after="0" w:line="360" w:lineRule="auto"/>
        <w:jc w:val="both"/>
        <w:rPr>
          <w:rFonts w:ascii="Book Antiqua" w:hAnsi="Book Antiqua" w:cs="Times New Roman"/>
          <w:b/>
          <w:bCs/>
          <w:color w:val="222222"/>
          <w:sz w:val="24"/>
          <w:szCs w:val="24"/>
          <w:lang w:eastAsia="zh-CN"/>
        </w:rPr>
      </w:pPr>
    </w:p>
    <w:p w:rsidR="00B82F92" w:rsidRPr="00F80032" w:rsidRDefault="00B82F92" w:rsidP="004F172A">
      <w:pPr>
        <w:adjustRightInd w:val="0"/>
        <w:snapToGrid w:val="0"/>
        <w:spacing w:after="0" w:line="360" w:lineRule="auto"/>
        <w:jc w:val="both"/>
        <w:rPr>
          <w:rFonts w:ascii="Book Antiqua" w:hAnsi="Book Antiqua" w:cs="Times New Roman"/>
          <w:color w:val="222222"/>
          <w:sz w:val="24"/>
          <w:szCs w:val="24"/>
          <w:lang w:eastAsia="zh-CN"/>
        </w:rPr>
      </w:pPr>
      <w:r w:rsidRPr="00F80032">
        <w:rPr>
          <w:rFonts w:ascii="Book Antiqua" w:hAnsi="Book Antiqua" w:cs="Times New Roman"/>
          <w:b/>
          <w:bCs/>
          <w:color w:val="222222"/>
          <w:sz w:val="24"/>
          <w:szCs w:val="24"/>
        </w:rPr>
        <w:t xml:space="preserve">Ronen </w:t>
      </w:r>
      <w:proofErr w:type="spellStart"/>
      <w:r w:rsidRPr="00F80032">
        <w:rPr>
          <w:rFonts w:ascii="Book Antiqua" w:hAnsi="Book Antiqua" w:cs="Times New Roman"/>
          <w:b/>
          <w:bCs/>
          <w:color w:val="222222"/>
          <w:sz w:val="24"/>
          <w:szCs w:val="24"/>
        </w:rPr>
        <w:t>Loebstein</w:t>
      </w:r>
      <w:proofErr w:type="spellEnd"/>
      <w:r w:rsidRPr="00F80032">
        <w:rPr>
          <w:rFonts w:ascii="Book Antiqua" w:hAnsi="Book Antiqua" w:cs="Times New Roman"/>
          <w:color w:val="222222"/>
          <w:sz w:val="24"/>
          <w:szCs w:val="24"/>
        </w:rPr>
        <w:t xml:space="preserve">, Institute of Clinical Pharmacology, Sheba Medical Center Tel </w:t>
      </w:r>
      <w:proofErr w:type="spellStart"/>
      <w:r w:rsidRPr="00F80032">
        <w:rPr>
          <w:rFonts w:ascii="Book Antiqua" w:hAnsi="Book Antiqua" w:cs="Times New Roman"/>
          <w:color w:val="222222"/>
          <w:sz w:val="24"/>
          <w:szCs w:val="24"/>
        </w:rPr>
        <w:t>Hashomer</w:t>
      </w:r>
      <w:proofErr w:type="spellEnd"/>
      <w:r w:rsidRPr="00F80032">
        <w:rPr>
          <w:rFonts w:ascii="Book Antiqua" w:hAnsi="Book Antiqua" w:cs="Times New Roman"/>
          <w:color w:val="222222"/>
          <w:sz w:val="24"/>
          <w:szCs w:val="24"/>
        </w:rPr>
        <w:t xml:space="preserve"> </w:t>
      </w:r>
      <w:r w:rsidRPr="00F80032">
        <w:rPr>
          <w:rFonts w:ascii="Book Antiqua" w:hAnsi="Book Antiqua" w:cs="Times New Roman"/>
          <w:color w:val="222222"/>
          <w:sz w:val="24"/>
          <w:szCs w:val="24"/>
          <w:lang w:eastAsia="zh-CN"/>
        </w:rPr>
        <w:t>and</w:t>
      </w:r>
      <w:r w:rsidRPr="00F80032">
        <w:rPr>
          <w:rFonts w:ascii="Book Antiqua" w:hAnsi="Book Antiqua" w:cs="Times New Roman"/>
          <w:color w:val="222222"/>
          <w:sz w:val="24"/>
          <w:szCs w:val="24"/>
        </w:rPr>
        <w:t xml:space="preserve"> </w:t>
      </w:r>
      <w:proofErr w:type="spellStart"/>
      <w:r w:rsidRPr="00F80032">
        <w:rPr>
          <w:rFonts w:ascii="Book Antiqua" w:hAnsi="Book Antiqua" w:cs="Times New Roman"/>
          <w:color w:val="222222"/>
          <w:sz w:val="24"/>
          <w:szCs w:val="24"/>
        </w:rPr>
        <w:t>Sackler</w:t>
      </w:r>
      <w:proofErr w:type="spellEnd"/>
      <w:r w:rsidRPr="00F80032">
        <w:rPr>
          <w:rFonts w:ascii="Book Antiqua" w:hAnsi="Book Antiqua" w:cs="Times New Roman"/>
          <w:color w:val="222222"/>
          <w:sz w:val="24"/>
          <w:szCs w:val="24"/>
        </w:rPr>
        <w:t xml:space="preserve"> School of Medicine, Tel-Aviv University,</w:t>
      </w:r>
      <w:r w:rsidR="00F0350D" w:rsidRPr="00F80032">
        <w:rPr>
          <w:rFonts w:ascii="Book Antiqua" w:hAnsi="Book Antiqua" w:cs="Times New Roman"/>
          <w:i/>
          <w:caps/>
          <w:color w:val="222222"/>
          <w:sz w:val="24"/>
          <w:szCs w:val="24"/>
          <w:rtl/>
          <w:lang w:eastAsia="zh-CN"/>
        </w:rPr>
        <w:t xml:space="preserve"> </w:t>
      </w:r>
      <w:r w:rsidR="00E90F48" w:rsidRPr="00F80032">
        <w:rPr>
          <w:rFonts w:ascii="Book Antiqua" w:hAnsi="Book Antiqua" w:cs="Times New Roman"/>
          <w:color w:val="222222"/>
          <w:sz w:val="24"/>
          <w:szCs w:val="24"/>
          <w:lang w:eastAsia="zh-CN"/>
        </w:rPr>
        <w:t>Tel-Aviv</w:t>
      </w:r>
      <w:r w:rsidR="00E90F48" w:rsidRPr="00F80032">
        <w:rPr>
          <w:rFonts w:ascii="Book Antiqua" w:hAnsi="Book Antiqua" w:cs="Times New Roman" w:hint="eastAsia"/>
          <w:color w:val="222222"/>
          <w:sz w:val="24"/>
          <w:szCs w:val="24"/>
          <w:lang w:eastAsia="zh-CN"/>
        </w:rPr>
        <w:t xml:space="preserve"> </w:t>
      </w:r>
      <w:r w:rsidRPr="00F80032">
        <w:rPr>
          <w:rFonts w:ascii="Book Antiqua" w:hAnsi="Book Antiqua" w:cs="Times New Roman"/>
          <w:color w:val="222222"/>
          <w:sz w:val="24"/>
          <w:szCs w:val="24"/>
          <w:lang w:eastAsia="zh-CN"/>
        </w:rPr>
        <w:t>6997801</w:t>
      </w:r>
      <w:r w:rsidR="00E90F48" w:rsidRPr="00F80032">
        <w:rPr>
          <w:rFonts w:ascii="Book Antiqua" w:hAnsi="Book Antiqua" w:cs="Times New Roman" w:hint="eastAsia"/>
          <w:color w:val="222222"/>
          <w:sz w:val="24"/>
          <w:szCs w:val="24"/>
          <w:lang w:eastAsia="zh-CN"/>
        </w:rPr>
        <w:t xml:space="preserve">, </w:t>
      </w:r>
      <w:r w:rsidR="00E90F48" w:rsidRPr="00F80032">
        <w:rPr>
          <w:rFonts w:ascii="Book Antiqua" w:hAnsi="Book Antiqua" w:cs="Times New Roman"/>
          <w:color w:val="222222"/>
          <w:sz w:val="24"/>
          <w:szCs w:val="24"/>
          <w:lang w:eastAsia="zh-CN"/>
        </w:rPr>
        <w:t>Israel</w:t>
      </w:r>
    </w:p>
    <w:p w:rsidR="008008F1" w:rsidRPr="00F80032" w:rsidRDefault="008008F1" w:rsidP="004F172A">
      <w:pPr>
        <w:adjustRightInd w:val="0"/>
        <w:snapToGrid w:val="0"/>
        <w:spacing w:after="0" w:line="360" w:lineRule="auto"/>
        <w:jc w:val="both"/>
        <w:rPr>
          <w:rFonts w:ascii="Book Antiqua" w:hAnsi="Book Antiqua" w:cs="Times New Roman"/>
          <w:b/>
          <w:sz w:val="24"/>
          <w:szCs w:val="24"/>
          <w:lang w:eastAsia="zh-CN"/>
        </w:rPr>
      </w:pPr>
    </w:p>
    <w:p w:rsidR="0058045B" w:rsidRPr="00F80032" w:rsidRDefault="0058045B" w:rsidP="004F172A">
      <w:pPr>
        <w:adjustRightInd w:val="0"/>
        <w:snapToGrid w:val="0"/>
        <w:spacing w:after="0" w:line="360" w:lineRule="auto"/>
        <w:jc w:val="both"/>
        <w:rPr>
          <w:rFonts w:ascii="Book Antiqua" w:hAnsi="Book Antiqua" w:cs="Times New Roman"/>
          <w:color w:val="222222"/>
          <w:sz w:val="24"/>
          <w:szCs w:val="24"/>
          <w:lang w:eastAsia="zh-CN"/>
        </w:rPr>
      </w:pPr>
      <w:proofErr w:type="spellStart"/>
      <w:r w:rsidRPr="00F80032">
        <w:rPr>
          <w:rFonts w:ascii="Book Antiqua" w:hAnsi="Book Antiqua" w:cs="Times New Roman"/>
          <w:b/>
          <w:sz w:val="24"/>
          <w:szCs w:val="24"/>
        </w:rPr>
        <w:t>Henit</w:t>
      </w:r>
      <w:proofErr w:type="spellEnd"/>
      <w:r w:rsidRPr="00F80032">
        <w:rPr>
          <w:rFonts w:ascii="Book Antiqua" w:hAnsi="Book Antiqua" w:cs="Times New Roman"/>
          <w:b/>
          <w:sz w:val="24"/>
          <w:szCs w:val="24"/>
        </w:rPr>
        <w:t xml:space="preserve"> </w:t>
      </w:r>
      <w:proofErr w:type="spellStart"/>
      <w:r w:rsidRPr="00F80032">
        <w:rPr>
          <w:rFonts w:ascii="Book Antiqua" w:hAnsi="Book Antiqua" w:cs="Times New Roman"/>
          <w:b/>
          <w:sz w:val="24"/>
          <w:szCs w:val="24"/>
        </w:rPr>
        <w:t>Yanai</w:t>
      </w:r>
      <w:proofErr w:type="spellEnd"/>
      <w:r w:rsidRPr="00F80032">
        <w:rPr>
          <w:rFonts w:ascii="Book Antiqua" w:hAnsi="Book Antiqua" w:cs="Times New Roman"/>
          <w:b/>
          <w:sz w:val="24"/>
          <w:szCs w:val="24"/>
        </w:rPr>
        <w:t xml:space="preserve">, </w:t>
      </w:r>
      <w:proofErr w:type="spellStart"/>
      <w:r w:rsidRPr="00F80032">
        <w:rPr>
          <w:rFonts w:ascii="Book Antiqua" w:hAnsi="Book Antiqua" w:cs="Times New Roman"/>
          <w:b/>
          <w:sz w:val="24"/>
          <w:szCs w:val="24"/>
        </w:rPr>
        <w:t>Yulia</w:t>
      </w:r>
      <w:proofErr w:type="spellEnd"/>
      <w:r w:rsidRPr="00F80032">
        <w:rPr>
          <w:rFonts w:ascii="Book Antiqua" w:hAnsi="Book Antiqua" w:cs="Times New Roman"/>
          <w:b/>
          <w:sz w:val="24"/>
          <w:szCs w:val="24"/>
        </w:rPr>
        <w:t xml:space="preserve"> Ron,</w:t>
      </w:r>
      <w:r w:rsidRPr="00F80032">
        <w:rPr>
          <w:rFonts w:ascii="Book Antiqua" w:hAnsi="Book Antiqua" w:cs="Times New Roman"/>
          <w:b/>
          <w:sz w:val="24"/>
          <w:szCs w:val="24"/>
          <w:lang w:eastAsia="zh-CN"/>
        </w:rPr>
        <w:t xml:space="preserve"> </w:t>
      </w:r>
      <w:r w:rsidRPr="00F80032">
        <w:rPr>
          <w:rFonts w:ascii="Book Antiqua" w:hAnsi="Book Antiqua" w:cs="Times New Roman"/>
          <w:b/>
          <w:sz w:val="24"/>
          <w:szCs w:val="24"/>
        </w:rPr>
        <w:t xml:space="preserve">Iris </w:t>
      </w:r>
      <w:proofErr w:type="spellStart"/>
      <w:r w:rsidRPr="00F80032">
        <w:rPr>
          <w:rFonts w:ascii="Book Antiqua" w:hAnsi="Book Antiqua" w:cs="Times New Roman"/>
          <w:b/>
          <w:sz w:val="24"/>
          <w:szCs w:val="24"/>
        </w:rPr>
        <w:t>Dotan</w:t>
      </w:r>
      <w:proofErr w:type="spellEnd"/>
      <w:r w:rsidRPr="00F80032">
        <w:rPr>
          <w:rFonts w:ascii="Book Antiqua" w:hAnsi="Book Antiqua" w:cs="Times New Roman"/>
          <w:b/>
          <w:sz w:val="24"/>
          <w:szCs w:val="24"/>
        </w:rPr>
        <w:t>,</w:t>
      </w:r>
      <w:r w:rsidRPr="00F80032">
        <w:rPr>
          <w:rFonts w:ascii="Book Antiqua" w:hAnsi="Book Antiqua" w:cs="Times New Roman"/>
          <w:b/>
          <w:sz w:val="24"/>
          <w:szCs w:val="24"/>
          <w:lang w:eastAsia="zh-CN"/>
        </w:rPr>
        <w:t xml:space="preserve"> </w:t>
      </w:r>
      <w:r w:rsidR="001967A2" w:rsidRPr="00F80032">
        <w:rPr>
          <w:rFonts w:ascii="Book Antiqua" w:hAnsi="Book Antiqua" w:cs="Times New Roman"/>
          <w:color w:val="222222"/>
          <w:sz w:val="24"/>
          <w:szCs w:val="24"/>
        </w:rPr>
        <w:t xml:space="preserve">IBD Center, Department of Gastroenterology, Tel-Aviv </w:t>
      </w:r>
      <w:proofErr w:type="spellStart"/>
      <w:r w:rsidR="001967A2" w:rsidRPr="00F80032">
        <w:rPr>
          <w:rFonts w:ascii="Book Antiqua" w:hAnsi="Book Antiqua" w:cs="Times New Roman"/>
          <w:color w:val="222222"/>
          <w:sz w:val="24"/>
          <w:szCs w:val="24"/>
        </w:rPr>
        <w:t>Sourasky</w:t>
      </w:r>
      <w:proofErr w:type="spellEnd"/>
      <w:r w:rsidR="001967A2" w:rsidRPr="00F80032">
        <w:rPr>
          <w:rFonts w:ascii="Book Antiqua" w:hAnsi="Book Antiqua" w:cs="Times New Roman"/>
          <w:color w:val="222222"/>
          <w:sz w:val="24"/>
          <w:szCs w:val="24"/>
        </w:rPr>
        <w:t xml:space="preserve"> Medical Center </w:t>
      </w:r>
      <w:r w:rsidR="00E90F48" w:rsidRPr="00F80032">
        <w:rPr>
          <w:rFonts w:ascii="Book Antiqua" w:hAnsi="Book Antiqua" w:cs="Times New Roman" w:hint="eastAsia"/>
          <w:color w:val="222222"/>
          <w:sz w:val="24"/>
          <w:szCs w:val="24"/>
          <w:lang w:eastAsia="zh-CN"/>
        </w:rPr>
        <w:t>and</w:t>
      </w:r>
      <w:r w:rsidR="001967A2" w:rsidRPr="00F80032">
        <w:rPr>
          <w:rFonts w:ascii="Book Antiqua" w:hAnsi="Book Antiqua" w:cs="Times New Roman"/>
          <w:color w:val="222222"/>
          <w:sz w:val="24"/>
          <w:szCs w:val="24"/>
        </w:rPr>
        <w:t xml:space="preserve"> </w:t>
      </w:r>
      <w:proofErr w:type="spellStart"/>
      <w:r w:rsidR="001967A2" w:rsidRPr="00F80032">
        <w:rPr>
          <w:rFonts w:ascii="Book Antiqua" w:hAnsi="Book Antiqua" w:cs="Times New Roman"/>
          <w:color w:val="222222"/>
          <w:sz w:val="24"/>
          <w:szCs w:val="24"/>
        </w:rPr>
        <w:t>Sackler</w:t>
      </w:r>
      <w:proofErr w:type="spellEnd"/>
      <w:r w:rsidR="001967A2" w:rsidRPr="00F80032">
        <w:rPr>
          <w:rFonts w:ascii="Book Antiqua" w:hAnsi="Book Antiqua" w:cs="Times New Roman"/>
          <w:color w:val="222222"/>
          <w:sz w:val="24"/>
          <w:szCs w:val="24"/>
        </w:rPr>
        <w:t xml:space="preserve"> School of Medicine, Tel-Aviv </w:t>
      </w:r>
      <w:r w:rsidRPr="00F80032">
        <w:rPr>
          <w:rFonts w:ascii="Book Antiqua" w:hAnsi="Book Antiqua" w:cs="Times New Roman"/>
          <w:color w:val="222222"/>
          <w:sz w:val="24"/>
          <w:szCs w:val="24"/>
        </w:rPr>
        <w:t>University,</w:t>
      </w:r>
      <w:r w:rsidR="00E90F48" w:rsidRPr="00F80032">
        <w:rPr>
          <w:rFonts w:ascii="Book Antiqua" w:hAnsi="Book Antiqua" w:cs="Times New Roman"/>
          <w:color w:val="222222"/>
          <w:sz w:val="24"/>
          <w:szCs w:val="24"/>
          <w:lang w:eastAsia="zh-CN"/>
        </w:rPr>
        <w:t xml:space="preserve"> Tel-Aviv</w:t>
      </w:r>
      <w:r w:rsidR="00363133" w:rsidRPr="00F80032">
        <w:rPr>
          <w:rFonts w:ascii="Book Antiqua" w:hAnsi="Book Antiqua" w:cs="Times New Roman"/>
          <w:color w:val="222222"/>
          <w:sz w:val="24"/>
          <w:szCs w:val="24"/>
          <w:lang w:eastAsia="zh-CN"/>
        </w:rPr>
        <w:t xml:space="preserve"> 6997801</w:t>
      </w:r>
      <w:r w:rsidR="00E90F48" w:rsidRPr="00F80032">
        <w:rPr>
          <w:rFonts w:ascii="Book Antiqua" w:hAnsi="Book Antiqua" w:cs="Times New Roman" w:hint="eastAsia"/>
          <w:color w:val="222222"/>
          <w:sz w:val="24"/>
          <w:szCs w:val="24"/>
          <w:lang w:eastAsia="zh-CN"/>
        </w:rPr>
        <w:t xml:space="preserve">, </w:t>
      </w:r>
      <w:r w:rsidR="00E90F48" w:rsidRPr="00F80032">
        <w:rPr>
          <w:rFonts w:ascii="Book Antiqua" w:hAnsi="Book Antiqua" w:cs="Times New Roman"/>
          <w:color w:val="222222"/>
          <w:sz w:val="24"/>
          <w:szCs w:val="24"/>
          <w:lang w:eastAsia="zh-CN"/>
        </w:rPr>
        <w:t>Israel</w:t>
      </w:r>
    </w:p>
    <w:p w:rsidR="008008F1" w:rsidRPr="00F80032" w:rsidRDefault="008008F1" w:rsidP="004F172A">
      <w:pPr>
        <w:adjustRightInd w:val="0"/>
        <w:snapToGrid w:val="0"/>
        <w:spacing w:after="0" w:line="360" w:lineRule="auto"/>
        <w:jc w:val="both"/>
        <w:rPr>
          <w:rFonts w:ascii="Book Antiqua" w:hAnsi="Book Antiqua" w:cs="Times New Roman"/>
          <w:b/>
          <w:sz w:val="24"/>
          <w:szCs w:val="24"/>
          <w:lang w:eastAsia="zh-CN"/>
        </w:rPr>
      </w:pPr>
    </w:p>
    <w:p w:rsidR="001967A2" w:rsidRPr="00F80032" w:rsidRDefault="0058045B" w:rsidP="004F172A">
      <w:pPr>
        <w:adjustRightInd w:val="0"/>
        <w:snapToGrid w:val="0"/>
        <w:spacing w:after="0" w:line="360" w:lineRule="auto"/>
        <w:jc w:val="both"/>
        <w:rPr>
          <w:rFonts w:ascii="Book Antiqua" w:hAnsi="Book Antiqua" w:cs="Times New Roman"/>
          <w:b/>
          <w:sz w:val="24"/>
          <w:szCs w:val="24"/>
          <w:lang w:eastAsia="zh-CN"/>
        </w:rPr>
      </w:pPr>
      <w:r w:rsidRPr="00F80032">
        <w:rPr>
          <w:rFonts w:ascii="Book Antiqua" w:hAnsi="Book Antiqua" w:cs="Times New Roman"/>
          <w:b/>
          <w:sz w:val="24"/>
          <w:szCs w:val="24"/>
        </w:rPr>
        <w:t xml:space="preserve">Yehuda </w:t>
      </w:r>
      <w:proofErr w:type="spellStart"/>
      <w:r w:rsidRPr="00F80032">
        <w:rPr>
          <w:rFonts w:ascii="Book Antiqua" w:hAnsi="Book Antiqua" w:cs="Times New Roman"/>
          <w:b/>
          <w:sz w:val="24"/>
          <w:szCs w:val="24"/>
        </w:rPr>
        <w:t>Chowers</w:t>
      </w:r>
      <w:proofErr w:type="spellEnd"/>
      <w:r w:rsidRPr="00F80032">
        <w:rPr>
          <w:rFonts w:ascii="Book Antiqua" w:hAnsi="Book Antiqua" w:cs="Times New Roman"/>
          <w:b/>
          <w:sz w:val="24"/>
          <w:szCs w:val="24"/>
          <w:lang w:eastAsia="zh-CN"/>
        </w:rPr>
        <w:t>,</w:t>
      </w:r>
      <w:r w:rsidRPr="00F80032">
        <w:rPr>
          <w:rFonts w:ascii="Book Antiqua" w:hAnsi="Book Antiqua" w:cs="Times New Roman"/>
          <w:b/>
          <w:color w:val="222222"/>
          <w:sz w:val="24"/>
          <w:szCs w:val="24"/>
        </w:rPr>
        <w:t xml:space="preserve"> </w:t>
      </w:r>
      <w:proofErr w:type="spellStart"/>
      <w:r w:rsidR="001967A2" w:rsidRPr="00F80032">
        <w:rPr>
          <w:rFonts w:ascii="Book Antiqua" w:hAnsi="Book Antiqua" w:cs="Times New Roman"/>
          <w:color w:val="222222"/>
          <w:sz w:val="24"/>
          <w:szCs w:val="24"/>
        </w:rPr>
        <w:t>Rambam</w:t>
      </w:r>
      <w:proofErr w:type="spellEnd"/>
      <w:r w:rsidR="001967A2" w:rsidRPr="00F80032">
        <w:rPr>
          <w:rFonts w:ascii="Book Antiqua" w:hAnsi="Book Antiqua" w:cs="Times New Roman"/>
          <w:color w:val="222222"/>
          <w:sz w:val="24"/>
          <w:szCs w:val="24"/>
        </w:rPr>
        <w:t xml:space="preserve"> Health Care Campus </w:t>
      </w:r>
      <w:r w:rsidRPr="00F80032">
        <w:rPr>
          <w:rFonts w:ascii="Book Antiqua" w:hAnsi="Book Antiqua" w:cs="Times New Roman"/>
          <w:color w:val="222222"/>
          <w:sz w:val="24"/>
          <w:szCs w:val="24"/>
          <w:lang w:eastAsia="zh-CN"/>
        </w:rPr>
        <w:t>and</w:t>
      </w:r>
      <w:r w:rsidR="001967A2" w:rsidRPr="00F80032">
        <w:rPr>
          <w:rFonts w:ascii="Book Antiqua" w:hAnsi="Book Antiqua" w:cs="Times New Roman"/>
          <w:color w:val="222222"/>
          <w:sz w:val="24"/>
          <w:szCs w:val="24"/>
        </w:rPr>
        <w:t xml:space="preserve"> Bruce Rappaport School of Medicine, </w:t>
      </w:r>
      <w:proofErr w:type="spellStart"/>
      <w:r w:rsidR="001967A2" w:rsidRPr="00F80032">
        <w:rPr>
          <w:rFonts w:ascii="Book Antiqua" w:hAnsi="Book Antiqua" w:cs="Times New Roman"/>
          <w:color w:val="222222"/>
          <w:sz w:val="24"/>
          <w:szCs w:val="24"/>
        </w:rPr>
        <w:t>Technion</w:t>
      </w:r>
      <w:proofErr w:type="spellEnd"/>
      <w:r w:rsidR="001967A2" w:rsidRPr="00F80032">
        <w:rPr>
          <w:rFonts w:ascii="Book Antiqua" w:hAnsi="Book Antiqua" w:cs="Times New Roman"/>
          <w:color w:val="222222"/>
          <w:sz w:val="24"/>
          <w:szCs w:val="24"/>
        </w:rPr>
        <w:t xml:space="preserve"> Institute of Techn</w:t>
      </w:r>
      <w:r w:rsidR="00E90F48" w:rsidRPr="00F80032">
        <w:rPr>
          <w:rFonts w:ascii="Book Antiqua" w:hAnsi="Book Antiqua" w:cs="Times New Roman"/>
          <w:color w:val="222222"/>
          <w:sz w:val="24"/>
          <w:szCs w:val="24"/>
        </w:rPr>
        <w:t>ology, Haifa</w:t>
      </w:r>
      <w:r w:rsidR="001967A2" w:rsidRPr="00F80032">
        <w:rPr>
          <w:rFonts w:ascii="Book Antiqua" w:hAnsi="Book Antiqua" w:cs="Times New Roman"/>
          <w:color w:val="222222"/>
          <w:sz w:val="24"/>
          <w:szCs w:val="24"/>
        </w:rPr>
        <w:t xml:space="preserve"> </w:t>
      </w:r>
      <w:r w:rsidR="00363133" w:rsidRPr="00F80032">
        <w:rPr>
          <w:rFonts w:ascii="Book Antiqua" w:hAnsi="Book Antiqua" w:cs="Times New Roman"/>
          <w:color w:val="222222"/>
          <w:sz w:val="24"/>
          <w:szCs w:val="24"/>
        </w:rPr>
        <w:t>31999</w:t>
      </w:r>
      <w:r w:rsidR="00E90F48" w:rsidRPr="00F80032">
        <w:rPr>
          <w:rFonts w:ascii="Book Antiqua" w:hAnsi="Book Antiqua" w:cs="Times New Roman" w:hint="eastAsia"/>
          <w:color w:val="222222"/>
          <w:sz w:val="24"/>
          <w:szCs w:val="24"/>
          <w:lang w:eastAsia="zh-CN"/>
        </w:rPr>
        <w:t xml:space="preserve">, </w:t>
      </w:r>
      <w:r w:rsidR="00E90F48" w:rsidRPr="00F80032">
        <w:rPr>
          <w:rFonts w:ascii="Book Antiqua" w:hAnsi="Book Antiqua" w:cs="Times New Roman"/>
          <w:color w:val="222222"/>
          <w:sz w:val="24"/>
          <w:szCs w:val="24"/>
          <w:lang w:eastAsia="zh-CN"/>
        </w:rPr>
        <w:t>Israel</w:t>
      </w:r>
    </w:p>
    <w:p w:rsidR="00DF159E" w:rsidRPr="00F80032" w:rsidRDefault="00DF159E" w:rsidP="004F172A">
      <w:pPr>
        <w:autoSpaceDE w:val="0"/>
        <w:autoSpaceDN w:val="0"/>
        <w:adjustRightInd w:val="0"/>
        <w:snapToGrid w:val="0"/>
        <w:spacing w:after="0" w:line="360" w:lineRule="auto"/>
        <w:jc w:val="both"/>
        <w:rPr>
          <w:rFonts w:ascii="Book Antiqua" w:hAnsi="Book Antiqua" w:cs="Times New Roman"/>
          <w:color w:val="222222"/>
          <w:sz w:val="24"/>
          <w:szCs w:val="24"/>
        </w:rPr>
      </w:pPr>
    </w:p>
    <w:p w:rsidR="00C15EDB" w:rsidRPr="00F80032" w:rsidRDefault="00C15EDB" w:rsidP="004F172A">
      <w:pPr>
        <w:adjustRightInd w:val="0"/>
        <w:snapToGrid w:val="0"/>
        <w:spacing w:after="0" w:line="360" w:lineRule="auto"/>
        <w:jc w:val="both"/>
        <w:rPr>
          <w:rFonts w:ascii="Book Antiqua" w:hAnsi="Book Antiqua"/>
          <w:bCs/>
          <w:color w:val="000000"/>
          <w:sz w:val="24"/>
          <w:szCs w:val="24"/>
          <w:lang w:eastAsia="zh-CN"/>
        </w:rPr>
      </w:pPr>
      <w:r w:rsidRPr="00F80032">
        <w:rPr>
          <w:rFonts w:ascii="Book Antiqua" w:hAnsi="Book Antiqua"/>
          <w:b/>
          <w:color w:val="000000"/>
          <w:sz w:val="24"/>
          <w:szCs w:val="24"/>
        </w:rPr>
        <w:t>Author contributions:</w:t>
      </w:r>
      <w:r w:rsidR="009913DF" w:rsidRPr="00F80032">
        <w:rPr>
          <w:rFonts w:ascii="Book Antiqua" w:hAnsi="Book Antiqua"/>
          <w:b/>
          <w:color w:val="000000"/>
          <w:sz w:val="24"/>
          <w:szCs w:val="24"/>
        </w:rPr>
        <w:t xml:space="preserve"> </w:t>
      </w:r>
      <w:proofErr w:type="spellStart"/>
      <w:r w:rsidR="009913DF" w:rsidRPr="00F80032">
        <w:rPr>
          <w:rFonts w:ascii="Book Antiqua" w:hAnsi="Book Antiqua"/>
          <w:bCs/>
          <w:color w:val="000000"/>
          <w:sz w:val="24"/>
          <w:szCs w:val="24"/>
        </w:rPr>
        <w:t>Ungar</w:t>
      </w:r>
      <w:proofErr w:type="spellEnd"/>
      <w:r w:rsidR="009913DF" w:rsidRPr="00F80032">
        <w:rPr>
          <w:rFonts w:ascii="Book Antiqua" w:hAnsi="Book Antiqua"/>
          <w:bCs/>
          <w:color w:val="000000"/>
          <w:sz w:val="24"/>
          <w:szCs w:val="24"/>
        </w:rPr>
        <w:t xml:space="preserve"> B, </w:t>
      </w:r>
      <w:proofErr w:type="spellStart"/>
      <w:r w:rsidR="009913DF" w:rsidRPr="00F80032">
        <w:rPr>
          <w:rFonts w:ascii="Book Antiqua" w:hAnsi="Book Antiqua"/>
          <w:bCs/>
          <w:color w:val="000000"/>
          <w:sz w:val="24"/>
          <w:szCs w:val="24"/>
        </w:rPr>
        <w:t>Anafi</w:t>
      </w:r>
      <w:proofErr w:type="spellEnd"/>
      <w:r w:rsidR="009913DF" w:rsidRPr="00F80032">
        <w:rPr>
          <w:rFonts w:ascii="Book Antiqua" w:hAnsi="Book Antiqua"/>
          <w:bCs/>
          <w:color w:val="000000"/>
          <w:sz w:val="24"/>
          <w:szCs w:val="24"/>
        </w:rPr>
        <w:t xml:space="preserve"> A and </w:t>
      </w:r>
      <w:proofErr w:type="spellStart"/>
      <w:r w:rsidR="009913DF" w:rsidRPr="00F80032">
        <w:rPr>
          <w:rFonts w:ascii="Book Antiqua" w:hAnsi="Book Antiqua"/>
          <w:bCs/>
          <w:color w:val="000000"/>
          <w:sz w:val="24"/>
          <w:szCs w:val="24"/>
        </w:rPr>
        <w:t>Yanai</w:t>
      </w:r>
      <w:proofErr w:type="spellEnd"/>
      <w:r w:rsidR="009913DF" w:rsidRPr="00F80032">
        <w:rPr>
          <w:rFonts w:ascii="Book Antiqua" w:hAnsi="Book Antiqua"/>
          <w:bCs/>
          <w:color w:val="000000"/>
          <w:sz w:val="24"/>
          <w:szCs w:val="24"/>
        </w:rPr>
        <w:t xml:space="preserve"> H preformed analysis of the data; </w:t>
      </w:r>
      <w:proofErr w:type="spellStart"/>
      <w:r w:rsidR="009913DF" w:rsidRPr="00F80032">
        <w:rPr>
          <w:rFonts w:ascii="Book Antiqua" w:hAnsi="Book Antiqua"/>
          <w:bCs/>
          <w:color w:val="000000"/>
          <w:sz w:val="24"/>
          <w:szCs w:val="24"/>
        </w:rPr>
        <w:t>Ungar</w:t>
      </w:r>
      <w:proofErr w:type="spellEnd"/>
      <w:r w:rsidR="009913DF" w:rsidRPr="00F80032">
        <w:rPr>
          <w:rFonts w:ascii="Book Antiqua" w:hAnsi="Book Antiqua"/>
          <w:bCs/>
          <w:color w:val="000000"/>
          <w:sz w:val="24"/>
          <w:szCs w:val="24"/>
        </w:rPr>
        <w:t xml:space="preserve"> B drafted the manuscript; </w:t>
      </w:r>
      <w:proofErr w:type="spellStart"/>
      <w:r w:rsidR="009913DF" w:rsidRPr="00F80032">
        <w:rPr>
          <w:rFonts w:ascii="Book Antiqua" w:hAnsi="Book Antiqua"/>
          <w:bCs/>
          <w:color w:val="000000"/>
          <w:sz w:val="24"/>
          <w:szCs w:val="24"/>
        </w:rPr>
        <w:t>Yavzori</w:t>
      </w:r>
      <w:proofErr w:type="spellEnd"/>
      <w:r w:rsidR="009913DF" w:rsidRPr="00F80032">
        <w:rPr>
          <w:rFonts w:ascii="Book Antiqua" w:hAnsi="Book Antiqua"/>
          <w:bCs/>
          <w:color w:val="000000"/>
          <w:sz w:val="24"/>
          <w:szCs w:val="24"/>
        </w:rPr>
        <w:t xml:space="preserve"> M, </w:t>
      </w:r>
      <w:proofErr w:type="spellStart"/>
      <w:r w:rsidR="009913DF" w:rsidRPr="00F80032">
        <w:rPr>
          <w:rFonts w:ascii="Book Antiqua" w:hAnsi="Book Antiqua"/>
          <w:bCs/>
          <w:color w:val="000000"/>
          <w:sz w:val="24"/>
          <w:szCs w:val="24"/>
        </w:rPr>
        <w:t>Fudim</w:t>
      </w:r>
      <w:proofErr w:type="spellEnd"/>
      <w:r w:rsidR="009913DF" w:rsidRPr="00F80032">
        <w:rPr>
          <w:rFonts w:ascii="Book Antiqua" w:hAnsi="Book Antiqua"/>
          <w:bCs/>
          <w:color w:val="000000"/>
          <w:sz w:val="24"/>
          <w:szCs w:val="24"/>
        </w:rPr>
        <w:t xml:space="preserve"> E an</w:t>
      </w:r>
      <w:r w:rsidR="00F41E48" w:rsidRPr="00F80032">
        <w:rPr>
          <w:rFonts w:ascii="Book Antiqua" w:hAnsi="Book Antiqua"/>
          <w:bCs/>
          <w:color w:val="000000"/>
          <w:sz w:val="24"/>
          <w:szCs w:val="24"/>
        </w:rPr>
        <w:t>d Picard O performed laboratory</w:t>
      </w:r>
      <w:r w:rsidR="00E90F48" w:rsidRPr="00F80032">
        <w:rPr>
          <w:rFonts w:ascii="Book Antiqua" w:hAnsi="Book Antiqua" w:hint="eastAsia"/>
          <w:bCs/>
          <w:color w:val="000000"/>
          <w:sz w:val="24"/>
          <w:szCs w:val="24"/>
          <w:lang w:eastAsia="zh-CN"/>
        </w:rPr>
        <w:t xml:space="preserve"> </w:t>
      </w:r>
      <w:r w:rsidR="009913DF" w:rsidRPr="00F80032">
        <w:rPr>
          <w:rFonts w:ascii="Book Antiqua" w:hAnsi="Book Antiqua"/>
          <w:bCs/>
          <w:color w:val="000000"/>
          <w:sz w:val="24"/>
          <w:szCs w:val="24"/>
        </w:rPr>
        <w:t>research</w:t>
      </w:r>
      <w:r w:rsidR="00E90F48" w:rsidRPr="00F80032">
        <w:rPr>
          <w:rFonts w:ascii="Book Antiqua" w:hAnsi="Book Antiqua" w:hint="eastAsia"/>
          <w:bCs/>
          <w:color w:val="000000"/>
          <w:sz w:val="24"/>
          <w:szCs w:val="24"/>
          <w:lang w:eastAsia="zh-CN"/>
        </w:rPr>
        <w:t>;</w:t>
      </w:r>
      <w:r w:rsidR="009913DF" w:rsidRPr="00F80032">
        <w:rPr>
          <w:rFonts w:ascii="Book Antiqua" w:hAnsi="Book Antiqua"/>
          <w:bCs/>
          <w:color w:val="000000"/>
          <w:sz w:val="24"/>
          <w:szCs w:val="24"/>
        </w:rPr>
        <w:t xml:space="preserve"> </w:t>
      </w:r>
      <w:proofErr w:type="spellStart"/>
      <w:r w:rsidR="009913DF" w:rsidRPr="00F80032">
        <w:rPr>
          <w:rFonts w:ascii="Book Antiqua" w:hAnsi="Book Antiqua"/>
          <w:bCs/>
          <w:color w:val="000000"/>
          <w:sz w:val="24"/>
          <w:szCs w:val="24"/>
        </w:rPr>
        <w:t>Kopylov</w:t>
      </w:r>
      <w:proofErr w:type="spellEnd"/>
      <w:r w:rsidR="009913DF" w:rsidRPr="00F80032">
        <w:rPr>
          <w:rFonts w:ascii="Book Antiqua" w:hAnsi="Book Antiqua"/>
          <w:bCs/>
          <w:color w:val="000000"/>
          <w:sz w:val="24"/>
          <w:szCs w:val="24"/>
        </w:rPr>
        <w:t xml:space="preserve"> U, Ron Y,</w:t>
      </w:r>
      <w:r w:rsidR="00B82F92" w:rsidRPr="00F80032">
        <w:rPr>
          <w:rFonts w:ascii="Book Antiqua" w:hAnsi="Book Antiqua"/>
          <w:bCs/>
          <w:color w:val="000000"/>
          <w:sz w:val="24"/>
          <w:szCs w:val="24"/>
        </w:rPr>
        <w:t xml:space="preserve"> </w:t>
      </w:r>
      <w:proofErr w:type="spellStart"/>
      <w:r w:rsidR="00B82F92" w:rsidRPr="00F80032">
        <w:rPr>
          <w:rFonts w:ascii="Book Antiqua" w:hAnsi="Book Antiqua"/>
          <w:bCs/>
          <w:color w:val="000000"/>
          <w:sz w:val="24"/>
          <w:szCs w:val="24"/>
        </w:rPr>
        <w:t>Loebstein</w:t>
      </w:r>
      <w:proofErr w:type="spellEnd"/>
      <w:r w:rsidR="00B82F92" w:rsidRPr="00F80032">
        <w:rPr>
          <w:rFonts w:ascii="Book Antiqua" w:hAnsi="Book Antiqua"/>
          <w:bCs/>
          <w:color w:val="000000"/>
          <w:sz w:val="24"/>
          <w:szCs w:val="24"/>
        </w:rPr>
        <w:t xml:space="preserve"> R,</w:t>
      </w:r>
      <w:r w:rsidR="009913DF" w:rsidRPr="00F80032">
        <w:rPr>
          <w:rFonts w:ascii="Book Antiqua" w:hAnsi="Book Antiqua"/>
          <w:bCs/>
          <w:color w:val="000000"/>
          <w:sz w:val="24"/>
          <w:szCs w:val="24"/>
        </w:rPr>
        <w:t xml:space="preserve"> </w:t>
      </w:r>
      <w:proofErr w:type="spellStart"/>
      <w:r w:rsidR="009913DF" w:rsidRPr="00F80032">
        <w:rPr>
          <w:rFonts w:ascii="Book Antiqua" w:hAnsi="Book Antiqua"/>
          <w:bCs/>
          <w:color w:val="000000"/>
          <w:sz w:val="24"/>
          <w:szCs w:val="24"/>
        </w:rPr>
        <w:t>Dotan</w:t>
      </w:r>
      <w:proofErr w:type="spellEnd"/>
      <w:r w:rsidR="009913DF" w:rsidRPr="00F80032">
        <w:rPr>
          <w:rFonts w:ascii="Book Antiqua" w:hAnsi="Book Antiqua"/>
          <w:bCs/>
          <w:color w:val="000000"/>
          <w:sz w:val="24"/>
          <w:szCs w:val="24"/>
        </w:rPr>
        <w:t xml:space="preserve"> I and </w:t>
      </w:r>
      <w:proofErr w:type="spellStart"/>
      <w:r w:rsidR="009913DF" w:rsidRPr="00F80032">
        <w:rPr>
          <w:rFonts w:ascii="Book Antiqua" w:hAnsi="Book Antiqua"/>
          <w:bCs/>
          <w:color w:val="000000"/>
          <w:sz w:val="24"/>
          <w:szCs w:val="24"/>
        </w:rPr>
        <w:lastRenderedPageBreak/>
        <w:t>Eliakim</w:t>
      </w:r>
      <w:proofErr w:type="spellEnd"/>
      <w:r w:rsidR="009913DF" w:rsidRPr="00F80032">
        <w:rPr>
          <w:rFonts w:ascii="Book Antiqua" w:hAnsi="Book Antiqua"/>
          <w:bCs/>
          <w:color w:val="000000"/>
          <w:sz w:val="24"/>
          <w:szCs w:val="24"/>
        </w:rPr>
        <w:t xml:space="preserve"> R assisted in </w:t>
      </w:r>
      <w:r w:rsidR="00B82F92" w:rsidRPr="00F80032">
        <w:rPr>
          <w:rFonts w:ascii="Book Antiqua" w:hAnsi="Book Antiqua"/>
          <w:bCs/>
          <w:color w:val="000000"/>
          <w:sz w:val="24"/>
          <w:szCs w:val="24"/>
        </w:rPr>
        <w:t xml:space="preserve">data </w:t>
      </w:r>
      <w:r w:rsidR="00E90F48" w:rsidRPr="00F80032">
        <w:rPr>
          <w:rFonts w:ascii="Book Antiqua" w:hAnsi="Book Antiqua"/>
          <w:bCs/>
          <w:color w:val="000000"/>
          <w:sz w:val="24"/>
          <w:szCs w:val="24"/>
        </w:rPr>
        <w:t>acquisition</w:t>
      </w:r>
      <w:r w:rsidR="00E90F48" w:rsidRPr="00F80032">
        <w:rPr>
          <w:rFonts w:ascii="Book Antiqua" w:hAnsi="Book Antiqua" w:hint="eastAsia"/>
          <w:bCs/>
          <w:color w:val="000000"/>
          <w:sz w:val="24"/>
          <w:szCs w:val="24"/>
          <w:lang w:eastAsia="zh-CN"/>
        </w:rPr>
        <w:t xml:space="preserve"> </w:t>
      </w:r>
      <w:r w:rsidR="00F41E48" w:rsidRPr="00F80032">
        <w:rPr>
          <w:rFonts w:ascii="Book Antiqua" w:hAnsi="Book Antiqua"/>
          <w:bCs/>
          <w:color w:val="000000"/>
          <w:sz w:val="24"/>
          <w:szCs w:val="24"/>
        </w:rPr>
        <w:t>and drafted the</w:t>
      </w:r>
      <w:r w:rsidR="00B82F92" w:rsidRPr="00F80032">
        <w:rPr>
          <w:rFonts w:ascii="Book Antiqua" w:hAnsi="Book Antiqua"/>
          <w:bCs/>
          <w:color w:val="000000"/>
          <w:sz w:val="24"/>
          <w:szCs w:val="24"/>
        </w:rPr>
        <w:t xml:space="preserve"> </w:t>
      </w:r>
      <w:r w:rsidR="009913DF" w:rsidRPr="00F80032">
        <w:rPr>
          <w:rFonts w:ascii="Book Antiqua" w:hAnsi="Book Antiqua"/>
          <w:bCs/>
          <w:color w:val="000000"/>
          <w:sz w:val="24"/>
          <w:szCs w:val="24"/>
        </w:rPr>
        <w:t>manuscript; Ben-</w:t>
      </w:r>
      <w:proofErr w:type="spellStart"/>
      <w:r w:rsidR="009913DF" w:rsidRPr="00F80032">
        <w:rPr>
          <w:rFonts w:ascii="Book Antiqua" w:hAnsi="Book Antiqua"/>
          <w:bCs/>
          <w:color w:val="000000"/>
          <w:sz w:val="24"/>
          <w:szCs w:val="24"/>
        </w:rPr>
        <w:t>Horin</w:t>
      </w:r>
      <w:proofErr w:type="spellEnd"/>
      <w:r w:rsidR="009913DF" w:rsidRPr="00F80032">
        <w:rPr>
          <w:rFonts w:ascii="Book Antiqua" w:hAnsi="Book Antiqua"/>
          <w:bCs/>
          <w:color w:val="000000"/>
          <w:sz w:val="24"/>
          <w:szCs w:val="24"/>
        </w:rPr>
        <w:t xml:space="preserve"> S conceived the study, design</w:t>
      </w:r>
      <w:r w:rsidR="00B82F92" w:rsidRPr="00F80032">
        <w:rPr>
          <w:rFonts w:ascii="Book Antiqua" w:hAnsi="Book Antiqua"/>
          <w:bCs/>
          <w:color w:val="000000"/>
          <w:sz w:val="24"/>
          <w:szCs w:val="24"/>
        </w:rPr>
        <w:t>ed the research and</w:t>
      </w:r>
      <w:r w:rsidR="00E90F48" w:rsidRPr="00F80032">
        <w:rPr>
          <w:rFonts w:ascii="Book Antiqua" w:hAnsi="Book Antiqua" w:hint="eastAsia"/>
          <w:bCs/>
          <w:color w:val="000000"/>
          <w:sz w:val="24"/>
          <w:szCs w:val="24"/>
          <w:lang w:eastAsia="zh-CN"/>
        </w:rPr>
        <w:t xml:space="preserve"> </w:t>
      </w:r>
      <w:r w:rsidR="00F41E48" w:rsidRPr="00F80032">
        <w:rPr>
          <w:rFonts w:ascii="Book Antiqua" w:hAnsi="Book Antiqua"/>
          <w:bCs/>
          <w:color w:val="000000"/>
          <w:sz w:val="24"/>
          <w:szCs w:val="24"/>
        </w:rPr>
        <w:t>drafted the</w:t>
      </w:r>
      <w:r w:rsidR="00B82F92" w:rsidRPr="00F80032">
        <w:rPr>
          <w:rFonts w:ascii="Book Antiqua" w:hAnsi="Book Antiqua"/>
          <w:bCs/>
          <w:color w:val="000000"/>
          <w:sz w:val="24"/>
          <w:szCs w:val="24"/>
        </w:rPr>
        <w:t xml:space="preserve"> </w:t>
      </w:r>
      <w:r w:rsidR="009913DF" w:rsidRPr="00F80032">
        <w:rPr>
          <w:rFonts w:ascii="Book Antiqua" w:hAnsi="Book Antiqua"/>
          <w:bCs/>
          <w:color w:val="000000"/>
          <w:sz w:val="24"/>
          <w:szCs w:val="24"/>
        </w:rPr>
        <w:t>manuscript.</w:t>
      </w:r>
    </w:p>
    <w:p w:rsidR="00B82F92" w:rsidRPr="00F80032" w:rsidRDefault="00B82F92" w:rsidP="004F172A">
      <w:pPr>
        <w:autoSpaceDE w:val="0"/>
        <w:autoSpaceDN w:val="0"/>
        <w:adjustRightInd w:val="0"/>
        <w:snapToGrid w:val="0"/>
        <w:spacing w:after="0" w:line="360" w:lineRule="auto"/>
        <w:jc w:val="both"/>
        <w:rPr>
          <w:rFonts w:ascii="Book Antiqua" w:hAnsi="Book Antiqua" w:cs="Times New Roman"/>
          <w:b/>
          <w:color w:val="222222"/>
          <w:sz w:val="24"/>
          <w:szCs w:val="24"/>
          <w:lang w:eastAsia="zh-CN"/>
        </w:rPr>
      </w:pPr>
    </w:p>
    <w:p w:rsidR="00111CC4" w:rsidRPr="00F80032" w:rsidRDefault="00111CC4" w:rsidP="004F172A">
      <w:pPr>
        <w:adjustRightInd w:val="0"/>
        <w:snapToGrid w:val="0"/>
        <w:spacing w:after="0" w:line="360" w:lineRule="auto"/>
        <w:jc w:val="both"/>
        <w:rPr>
          <w:rFonts w:ascii="Book Antiqua" w:eastAsia="宋体" w:hAnsi="Book Antiqua" w:cs="Times New Roman"/>
          <w:sz w:val="24"/>
          <w:szCs w:val="24"/>
          <w:lang w:eastAsia="zh-CN"/>
        </w:rPr>
      </w:pPr>
      <w:r w:rsidRPr="00F80032">
        <w:rPr>
          <w:rFonts w:ascii="Book Antiqua" w:eastAsia="宋体" w:hAnsi="Book Antiqua" w:cs="Times New Roman"/>
          <w:b/>
          <w:sz w:val="24"/>
          <w:szCs w:val="24"/>
          <w:lang w:eastAsia="zh-CN"/>
        </w:rPr>
        <w:t xml:space="preserve">Supported by </w:t>
      </w:r>
      <w:r w:rsidRPr="00F80032">
        <w:rPr>
          <w:rFonts w:ascii="Book Antiqua" w:eastAsia="宋体" w:hAnsi="Book Antiqua" w:cs="Times New Roman" w:hint="eastAsia"/>
          <w:sz w:val="24"/>
          <w:szCs w:val="24"/>
          <w:lang w:eastAsia="zh-CN"/>
        </w:rPr>
        <w:t>(</w:t>
      </w:r>
      <w:r w:rsidRPr="00F80032">
        <w:rPr>
          <w:rFonts w:ascii="Book Antiqua" w:eastAsia="宋体" w:hAnsi="Book Antiqua" w:cs="Times New Roman"/>
          <w:sz w:val="24"/>
          <w:szCs w:val="24"/>
          <w:lang w:eastAsia="zh-CN"/>
        </w:rPr>
        <w:t>in part</w:t>
      </w:r>
      <w:r w:rsidRPr="00F80032">
        <w:rPr>
          <w:rFonts w:ascii="Book Antiqua" w:eastAsia="宋体" w:hAnsi="Book Antiqua" w:cs="Times New Roman" w:hint="eastAsia"/>
          <w:sz w:val="24"/>
          <w:szCs w:val="24"/>
          <w:lang w:eastAsia="zh-CN"/>
        </w:rPr>
        <w:t>)</w:t>
      </w:r>
      <w:r w:rsidRPr="00F80032">
        <w:rPr>
          <w:rFonts w:ascii="Book Antiqua" w:eastAsia="宋体" w:hAnsi="Book Antiqua" w:cs="Times New Roman"/>
          <w:sz w:val="24"/>
          <w:szCs w:val="24"/>
          <w:lang w:eastAsia="zh-CN"/>
        </w:rPr>
        <w:t xml:space="preserve"> “</w:t>
      </w:r>
      <w:proofErr w:type="spellStart"/>
      <w:r w:rsidRPr="00F80032">
        <w:rPr>
          <w:rFonts w:ascii="Book Antiqua" w:eastAsia="宋体" w:hAnsi="Book Antiqua" w:cs="Times New Roman"/>
          <w:sz w:val="24"/>
          <w:szCs w:val="24"/>
          <w:lang w:eastAsia="zh-CN"/>
        </w:rPr>
        <w:t>Talpiot</w:t>
      </w:r>
      <w:proofErr w:type="spellEnd"/>
      <w:r w:rsidRPr="00F80032">
        <w:rPr>
          <w:rFonts w:ascii="Book Antiqua" w:eastAsia="宋体" w:hAnsi="Book Antiqua" w:cs="Times New Roman"/>
          <w:sz w:val="24"/>
          <w:szCs w:val="24"/>
          <w:lang w:eastAsia="zh-CN"/>
        </w:rPr>
        <w:t>” Medical Leadership program of the Sheba Medical Center (to SBH) and the Helmsley Charitable Trust (To SBH, RE, ID</w:t>
      </w:r>
      <w:r w:rsidRPr="00F80032">
        <w:rPr>
          <w:rFonts w:ascii="Book Antiqua" w:eastAsia="宋体" w:hAnsi="Book Antiqua" w:cs="Times New Roman"/>
          <w:i/>
          <w:caps/>
          <w:sz w:val="24"/>
          <w:szCs w:val="24"/>
          <w:lang w:eastAsia="zh-CN"/>
        </w:rPr>
        <w:t xml:space="preserve"> </w:t>
      </w:r>
      <w:r w:rsidRPr="00F80032">
        <w:rPr>
          <w:rFonts w:ascii="Book Antiqua" w:eastAsia="宋体" w:hAnsi="Book Antiqua" w:cs="Times New Roman" w:hint="eastAsia"/>
          <w:sz w:val="24"/>
          <w:szCs w:val="24"/>
          <w:lang w:eastAsia="zh-CN"/>
        </w:rPr>
        <w:t>and</w:t>
      </w:r>
      <w:r w:rsidR="004F172A">
        <w:rPr>
          <w:rFonts w:ascii="Book Antiqua" w:eastAsia="宋体" w:hAnsi="Book Antiqua" w:cs="Times New Roman" w:hint="eastAsia"/>
          <w:sz w:val="24"/>
          <w:szCs w:val="24"/>
          <w:lang w:eastAsia="zh-CN"/>
        </w:rPr>
        <w:t xml:space="preserve"> </w:t>
      </w:r>
      <w:r w:rsidRPr="00F80032">
        <w:rPr>
          <w:rFonts w:ascii="Book Antiqua" w:eastAsia="宋体" w:hAnsi="Book Antiqua" w:cs="Times New Roman"/>
          <w:sz w:val="24"/>
          <w:szCs w:val="24"/>
          <w:lang w:eastAsia="zh-CN"/>
        </w:rPr>
        <w:t>YC)</w:t>
      </w:r>
    </w:p>
    <w:p w:rsidR="00111CC4" w:rsidRPr="00F80032" w:rsidRDefault="00111CC4" w:rsidP="004F172A">
      <w:pPr>
        <w:autoSpaceDE w:val="0"/>
        <w:autoSpaceDN w:val="0"/>
        <w:adjustRightInd w:val="0"/>
        <w:snapToGrid w:val="0"/>
        <w:spacing w:after="0" w:line="360" w:lineRule="auto"/>
        <w:jc w:val="both"/>
        <w:rPr>
          <w:rFonts w:ascii="Book Antiqua" w:hAnsi="Book Antiqua" w:cs="Times New Roman"/>
          <w:b/>
          <w:color w:val="222222"/>
          <w:sz w:val="24"/>
          <w:szCs w:val="24"/>
          <w:lang w:eastAsia="zh-CN"/>
        </w:rPr>
      </w:pPr>
    </w:p>
    <w:p w:rsidR="00BF3022" w:rsidRPr="00F80032" w:rsidRDefault="00C34831" w:rsidP="004F172A">
      <w:pPr>
        <w:autoSpaceDE w:val="0"/>
        <w:autoSpaceDN w:val="0"/>
        <w:adjustRightInd w:val="0"/>
        <w:snapToGrid w:val="0"/>
        <w:spacing w:after="0" w:line="360" w:lineRule="auto"/>
        <w:jc w:val="both"/>
        <w:rPr>
          <w:rFonts w:ascii="Book Antiqua" w:hAnsi="Book Antiqua" w:cs="Times New Roman"/>
          <w:color w:val="222222"/>
          <w:sz w:val="24"/>
          <w:szCs w:val="24"/>
          <w:lang w:eastAsia="zh-CN"/>
        </w:rPr>
      </w:pPr>
      <w:r w:rsidRPr="00F80032">
        <w:rPr>
          <w:rFonts w:ascii="Book Antiqua" w:hAnsi="Book Antiqua" w:cs="Times New Roman"/>
          <w:b/>
          <w:color w:val="222222"/>
          <w:sz w:val="24"/>
          <w:szCs w:val="24"/>
        </w:rPr>
        <w:t>Co</w:t>
      </w:r>
      <w:r w:rsidR="00B86582" w:rsidRPr="00F80032">
        <w:rPr>
          <w:rFonts w:ascii="Book Antiqua" w:hAnsi="Book Antiqua" w:cs="Times New Roman"/>
          <w:b/>
          <w:color w:val="222222"/>
          <w:sz w:val="24"/>
          <w:szCs w:val="24"/>
        </w:rPr>
        <w:t>rrespondence</w:t>
      </w:r>
      <w:r w:rsidR="00C15EDB" w:rsidRPr="00F80032">
        <w:rPr>
          <w:rFonts w:ascii="Book Antiqua" w:hAnsi="Book Antiqua" w:cs="Times New Roman"/>
          <w:b/>
          <w:color w:val="222222"/>
          <w:sz w:val="24"/>
          <w:szCs w:val="24"/>
          <w:lang w:eastAsia="zh-CN"/>
        </w:rPr>
        <w:t xml:space="preserve"> to</w:t>
      </w:r>
      <w:r w:rsidR="00C15EDB" w:rsidRPr="00F80032">
        <w:rPr>
          <w:rFonts w:ascii="Book Antiqua" w:hAnsi="Book Antiqua" w:cs="Times New Roman"/>
          <w:b/>
          <w:color w:val="222222"/>
          <w:sz w:val="24"/>
          <w:szCs w:val="24"/>
        </w:rPr>
        <w:t xml:space="preserve">: </w:t>
      </w:r>
      <w:r w:rsidR="00B86582" w:rsidRPr="00F80032">
        <w:rPr>
          <w:rFonts w:ascii="Book Antiqua" w:hAnsi="Book Antiqua" w:cs="Times New Roman"/>
          <w:b/>
          <w:color w:val="222222"/>
          <w:sz w:val="24"/>
          <w:szCs w:val="24"/>
        </w:rPr>
        <w:t xml:space="preserve">Bella </w:t>
      </w:r>
      <w:proofErr w:type="spellStart"/>
      <w:r w:rsidR="00B86582" w:rsidRPr="00F80032">
        <w:rPr>
          <w:rFonts w:ascii="Book Antiqua" w:hAnsi="Book Antiqua" w:cs="Times New Roman"/>
          <w:b/>
          <w:color w:val="222222"/>
          <w:sz w:val="24"/>
          <w:szCs w:val="24"/>
        </w:rPr>
        <w:t>Ungar</w:t>
      </w:r>
      <w:proofErr w:type="spellEnd"/>
      <w:r w:rsidR="00C15EDB" w:rsidRPr="00F80032">
        <w:rPr>
          <w:rFonts w:ascii="Book Antiqua" w:hAnsi="Book Antiqua" w:cs="Times New Roman"/>
          <w:b/>
          <w:color w:val="222222"/>
          <w:sz w:val="24"/>
          <w:szCs w:val="24"/>
        </w:rPr>
        <w:t>, M</w:t>
      </w:r>
      <w:r w:rsidRPr="00F80032">
        <w:rPr>
          <w:rFonts w:ascii="Book Antiqua" w:hAnsi="Book Antiqua" w:cs="Times New Roman"/>
          <w:b/>
          <w:color w:val="222222"/>
          <w:sz w:val="24"/>
          <w:szCs w:val="24"/>
        </w:rPr>
        <w:t xml:space="preserve">D, </w:t>
      </w:r>
      <w:r w:rsidR="00E90F48" w:rsidRPr="00F80032">
        <w:rPr>
          <w:rFonts w:ascii="Book Antiqua" w:hAnsi="Book Antiqua" w:cs="Times New Roman"/>
          <w:color w:val="222222"/>
          <w:sz w:val="24"/>
          <w:szCs w:val="24"/>
        </w:rPr>
        <w:t xml:space="preserve">Department of Gastroenterology, Sheba Medical Center Tel </w:t>
      </w:r>
      <w:proofErr w:type="spellStart"/>
      <w:r w:rsidR="00E90F48" w:rsidRPr="00F80032">
        <w:rPr>
          <w:rFonts w:ascii="Book Antiqua" w:hAnsi="Book Antiqua" w:cs="Times New Roman"/>
          <w:color w:val="222222"/>
          <w:sz w:val="24"/>
          <w:szCs w:val="24"/>
        </w:rPr>
        <w:t>Hashomer</w:t>
      </w:r>
      <w:proofErr w:type="spellEnd"/>
      <w:r w:rsidR="00E90F48" w:rsidRPr="00F80032">
        <w:rPr>
          <w:rFonts w:ascii="Book Antiqua" w:hAnsi="Book Antiqua" w:cs="Times New Roman"/>
          <w:color w:val="222222"/>
          <w:sz w:val="24"/>
          <w:szCs w:val="24"/>
        </w:rPr>
        <w:t xml:space="preserve"> and </w:t>
      </w:r>
      <w:proofErr w:type="spellStart"/>
      <w:r w:rsidR="00E90F48" w:rsidRPr="00F80032">
        <w:rPr>
          <w:rFonts w:ascii="Book Antiqua" w:hAnsi="Book Antiqua" w:cs="Times New Roman"/>
          <w:color w:val="222222"/>
          <w:sz w:val="24"/>
          <w:szCs w:val="24"/>
        </w:rPr>
        <w:t>Sackler</w:t>
      </w:r>
      <w:proofErr w:type="spellEnd"/>
      <w:r w:rsidR="00E90F48" w:rsidRPr="00F80032">
        <w:rPr>
          <w:rFonts w:ascii="Book Antiqua" w:hAnsi="Book Antiqua" w:cs="Times New Roman"/>
          <w:color w:val="222222"/>
          <w:sz w:val="24"/>
          <w:szCs w:val="24"/>
        </w:rPr>
        <w:t xml:space="preserve"> School of Medicine, Tel-Aviv University,</w:t>
      </w:r>
      <w:r w:rsidR="00E90F48" w:rsidRPr="00F80032">
        <w:rPr>
          <w:rFonts w:ascii="Book Antiqua" w:hAnsi="Book Antiqua" w:cs="Times New Roman" w:hint="eastAsia"/>
          <w:color w:val="222222"/>
          <w:sz w:val="24"/>
          <w:szCs w:val="24"/>
          <w:lang w:eastAsia="zh-CN"/>
        </w:rPr>
        <w:t xml:space="preserve"> </w:t>
      </w:r>
      <w:r w:rsidRPr="00F80032">
        <w:rPr>
          <w:rFonts w:ascii="Book Antiqua" w:hAnsi="Book Antiqua" w:cs="Times New Roman"/>
          <w:color w:val="222222"/>
          <w:sz w:val="24"/>
          <w:szCs w:val="24"/>
        </w:rPr>
        <w:t xml:space="preserve">Tel </w:t>
      </w:r>
      <w:proofErr w:type="spellStart"/>
      <w:r w:rsidRPr="00F80032">
        <w:rPr>
          <w:rFonts w:ascii="Book Antiqua" w:hAnsi="Book Antiqua" w:cs="Times New Roman"/>
          <w:color w:val="222222"/>
          <w:sz w:val="24"/>
          <w:szCs w:val="24"/>
        </w:rPr>
        <w:t>Hashomer</w:t>
      </w:r>
      <w:proofErr w:type="spellEnd"/>
      <w:r w:rsidRPr="00F80032">
        <w:rPr>
          <w:rFonts w:ascii="Book Antiqua" w:hAnsi="Book Antiqua" w:cs="Times New Roman"/>
          <w:color w:val="222222"/>
          <w:sz w:val="24"/>
          <w:szCs w:val="24"/>
        </w:rPr>
        <w:t xml:space="preserve"> 52621, </w:t>
      </w:r>
      <w:proofErr w:type="gramStart"/>
      <w:r w:rsidRPr="00F80032">
        <w:rPr>
          <w:rFonts w:ascii="Book Antiqua" w:hAnsi="Book Antiqua" w:cs="Times New Roman"/>
          <w:color w:val="222222"/>
          <w:sz w:val="24"/>
          <w:szCs w:val="24"/>
        </w:rPr>
        <w:t>Israel</w:t>
      </w:r>
      <w:proofErr w:type="gramEnd"/>
      <w:r w:rsidR="00C15EDB" w:rsidRPr="00F80032">
        <w:rPr>
          <w:rFonts w:ascii="Book Antiqua" w:hAnsi="Book Antiqua" w:cs="Times New Roman"/>
          <w:color w:val="222222"/>
          <w:sz w:val="24"/>
          <w:szCs w:val="24"/>
          <w:lang w:eastAsia="zh-CN"/>
        </w:rPr>
        <w:t xml:space="preserve">. </w:t>
      </w:r>
      <w:r w:rsidR="00E90F48" w:rsidRPr="00F80032">
        <w:rPr>
          <w:rFonts w:ascii="Book Antiqua" w:hAnsi="Book Antiqua" w:cs="Times New Roman"/>
          <w:color w:val="222222"/>
          <w:sz w:val="24"/>
          <w:szCs w:val="24"/>
        </w:rPr>
        <w:t>bellageyshis@gmail.com</w:t>
      </w:r>
    </w:p>
    <w:p w:rsidR="00E90F48" w:rsidRPr="00F80032" w:rsidRDefault="00E90F48" w:rsidP="004F172A">
      <w:pPr>
        <w:autoSpaceDE w:val="0"/>
        <w:autoSpaceDN w:val="0"/>
        <w:adjustRightInd w:val="0"/>
        <w:snapToGrid w:val="0"/>
        <w:spacing w:after="0" w:line="360" w:lineRule="auto"/>
        <w:jc w:val="both"/>
        <w:rPr>
          <w:rFonts w:ascii="Book Antiqua" w:hAnsi="Book Antiqua" w:cs="Times New Roman"/>
          <w:color w:val="222222"/>
          <w:sz w:val="24"/>
          <w:szCs w:val="24"/>
          <w:lang w:eastAsia="zh-CN"/>
        </w:rPr>
      </w:pPr>
    </w:p>
    <w:p w:rsidR="00BF3022" w:rsidRPr="00F80032" w:rsidRDefault="00BF3022" w:rsidP="004F172A">
      <w:pPr>
        <w:adjustRightInd w:val="0"/>
        <w:snapToGrid w:val="0"/>
        <w:spacing w:after="0" w:line="360" w:lineRule="auto"/>
        <w:jc w:val="both"/>
        <w:rPr>
          <w:rFonts w:ascii="Book Antiqua" w:hAnsi="Book Antiqua"/>
          <w:sz w:val="24"/>
          <w:szCs w:val="24"/>
        </w:rPr>
      </w:pPr>
      <w:r w:rsidRPr="00F80032">
        <w:rPr>
          <w:rFonts w:ascii="Book Antiqua" w:hAnsi="Book Antiqua"/>
          <w:b/>
          <w:sz w:val="24"/>
          <w:szCs w:val="24"/>
        </w:rPr>
        <w:t xml:space="preserve">Telephone: </w:t>
      </w:r>
      <w:r w:rsidRPr="00F80032">
        <w:rPr>
          <w:rFonts w:ascii="Book Antiqua" w:hAnsi="Book Antiqua" w:cs="Times New Roman"/>
          <w:color w:val="222222"/>
          <w:sz w:val="24"/>
          <w:szCs w:val="24"/>
        </w:rPr>
        <w:t>+972-3-5302694</w:t>
      </w:r>
      <w:r w:rsidR="00071436" w:rsidRPr="00F80032">
        <w:rPr>
          <w:rFonts w:ascii="Book Antiqua" w:hAnsi="Book Antiqua"/>
          <w:i/>
          <w:caps/>
          <w:sz w:val="24"/>
          <w:szCs w:val="24"/>
        </w:rPr>
        <w:t xml:space="preserve"> </w:t>
      </w:r>
      <w:r w:rsidR="00111CC4" w:rsidRPr="00F80032">
        <w:rPr>
          <w:rFonts w:ascii="Book Antiqua" w:hAnsi="Book Antiqua" w:hint="eastAsia"/>
          <w:i/>
          <w:caps/>
          <w:sz w:val="24"/>
          <w:szCs w:val="24"/>
          <w:lang w:eastAsia="zh-CN"/>
        </w:rPr>
        <w:t xml:space="preserve">  </w:t>
      </w:r>
      <w:r w:rsidRPr="00F80032">
        <w:rPr>
          <w:rFonts w:ascii="Book Antiqua" w:hAnsi="Book Antiqua"/>
          <w:b/>
          <w:sz w:val="24"/>
          <w:szCs w:val="24"/>
        </w:rPr>
        <w:t xml:space="preserve">Fax: </w:t>
      </w:r>
      <w:r w:rsidRPr="00F80032">
        <w:rPr>
          <w:rFonts w:ascii="Book Antiqua" w:hAnsi="Book Antiqua"/>
          <w:sz w:val="24"/>
          <w:szCs w:val="24"/>
        </w:rPr>
        <w:t>+</w:t>
      </w:r>
      <w:r w:rsidRPr="00F80032">
        <w:rPr>
          <w:rFonts w:ascii="Book Antiqua" w:hAnsi="Book Antiqua" w:cs="Times New Roman"/>
          <w:color w:val="222222"/>
          <w:sz w:val="24"/>
          <w:szCs w:val="24"/>
        </w:rPr>
        <w:t>972</w:t>
      </w:r>
      <w:r w:rsidRPr="00F80032">
        <w:rPr>
          <w:rFonts w:ascii="Book Antiqua" w:hAnsi="Book Antiqua" w:cs="Times New Roman"/>
          <w:color w:val="222222"/>
          <w:sz w:val="24"/>
          <w:szCs w:val="24"/>
          <w:lang w:eastAsia="zh-CN"/>
        </w:rPr>
        <w:t>-</w:t>
      </w:r>
      <w:r w:rsidRPr="00F80032">
        <w:rPr>
          <w:rFonts w:ascii="Book Antiqua" w:hAnsi="Book Antiqua" w:cs="Times New Roman"/>
          <w:color w:val="222222"/>
          <w:sz w:val="24"/>
          <w:szCs w:val="24"/>
        </w:rPr>
        <w:t>3-5303160</w:t>
      </w:r>
    </w:p>
    <w:p w:rsidR="00532A9E" w:rsidRPr="00F80032" w:rsidRDefault="00BF3022" w:rsidP="004F172A">
      <w:pPr>
        <w:adjustRightInd w:val="0"/>
        <w:snapToGrid w:val="0"/>
        <w:spacing w:after="0" w:line="360" w:lineRule="auto"/>
        <w:jc w:val="both"/>
        <w:rPr>
          <w:rFonts w:ascii="Book Antiqua" w:hAnsi="Book Antiqua"/>
          <w:b/>
          <w:i/>
          <w:caps/>
          <w:sz w:val="24"/>
          <w:szCs w:val="24"/>
          <w:lang w:eastAsia="zh-CN"/>
        </w:rPr>
      </w:pPr>
      <w:bookmarkStart w:id="2" w:name="OLE_LINK29"/>
      <w:bookmarkStart w:id="3" w:name="OLE_LINK30"/>
      <w:r w:rsidRPr="00F80032">
        <w:rPr>
          <w:rFonts w:ascii="Book Antiqua" w:hAnsi="Book Antiqua"/>
          <w:b/>
          <w:sz w:val="24"/>
          <w:szCs w:val="24"/>
        </w:rPr>
        <w:t>Received:</w:t>
      </w:r>
      <w:r w:rsidR="00F0350D" w:rsidRPr="00F80032">
        <w:rPr>
          <w:rFonts w:ascii="Book Antiqua" w:hAnsi="Book Antiqua"/>
          <w:b/>
          <w:i/>
          <w:caps/>
          <w:sz w:val="24"/>
          <w:szCs w:val="24"/>
        </w:rPr>
        <w:t xml:space="preserve"> </w:t>
      </w:r>
      <w:bookmarkStart w:id="4" w:name="OLE_LINK12"/>
      <w:bookmarkStart w:id="5" w:name="OLE_LINK13"/>
      <w:r w:rsidR="00FD79BD" w:rsidRPr="00F80032">
        <w:rPr>
          <w:rFonts w:ascii="Book Antiqua" w:hAnsi="Book Antiqua"/>
          <w:sz w:val="24"/>
        </w:rPr>
        <w:t>August</w:t>
      </w:r>
      <w:bookmarkEnd w:id="4"/>
      <w:bookmarkEnd w:id="5"/>
      <w:r w:rsidR="00FD79BD" w:rsidRPr="00F80032">
        <w:rPr>
          <w:rFonts w:ascii="Book Antiqua" w:hAnsi="Book Antiqua" w:hint="eastAsia"/>
          <w:sz w:val="24"/>
          <w:lang w:eastAsia="zh-CN"/>
        </w:rPr>
        <w:t xml:space="preserve"> 8, 2014</w:t>
      </w:r>
      <w:r w:rsidR="00071436" w:rsidRPr="00F80032">
        <w:rPr>
          <w:rFonts w:ascii="Book Antiqua" w:hAnsi="Book Antiqua" w:hint="eastAsia"/>
          <w:sz w:val="24"/>
          <w:lang w:eastAsia="zh-CN"/>
        </w:rPr>
        <w:t xml:space="preserve"> </w:t>
      </w:r>
      <w:r w:rsidR="00FD79BD" w:rsidRPr="00F80032">
        <w:rPr>
          <w:rFonts w:ascii="Book Antiqua" w:hAnsi="Book Antiqua" w:hint="eastAsia"/>
          <w:b/>
          <w:sz w:val="24"/>
          <w:szCs w:val="24"/>
          <w:lang w:eastAsia="zh-CN"/>
        </w:rPr>
        <w:t xml:space="preserve"> </w:t>
      </w:r>
      <w:r w:rsidR="00111CC4" w:rsidRPr="00F80032">
        <w:rPr>
          <w:rFonts w:ascii="Book Antiqua" w:hAnsi="Book Antiqua" w:hint="eastAsia"/>
          <w:b/>
          <w:sz w:val="24"/>
          <w:szCs w:val="24"/>
          <w:lang w:eastAsia="zh-CN"/>
        </w:rPr>
        <w:t xml:space="preserve">     </w:t>
      </w:r>
      <w:r w:rsidRPr="00F80032">
        <w:rPr>
          <w:rFonts w:ascii="Book Antiqua" w:hAnsi="Book Antiqua"/>
          <w:b/>
          <w:sz w:val="24"/>
          <w:szCs w:val="24"/>
        </w:rPr>
        <w:t>Revised:</w:t>
      </w:r>
      <w:r w:rsidR="00F0350D" w:rsidRPr="00F80032">
        <w:rPr>
          <w:rFonts w:ascii="Book Antiqua" w:hAnsi="Book Antiqua"/>
          <w:b/>
          <w:i/>
          <w:caps/>
          <w:sz w:val="24"/>
          <w:szCs w:val="24"/>
        </w:rPr>
        <w:t xml:space="preserve"> </w:t>
      </w:r>
      <w:r w:rsidR="00FD79BD" w:rsidRPr="00F80032">
        <w:rPr>
          <w:rFonts w:ascii="Book Antiqua" w:hAnsi="Book Antiqua"/>
          <w:sz w:val="24"/>
        </w:rPr>
        <w:t>September</w:t>
      </w:r>
      <w:r w:rsidR="00FD79BD" w:rsidRPr="00F80032">
        <w:rPr>
          <w:rFonts w:ascii="Book Antiqua" w:hAnsi="Book Antiqua" w:hint="eastAsia"/>
          <w:sz w:val="24"/>
          <w:lang w:eastAsia="zh-CN"/>
        </w:rPr>
        <w:t xml:space="preserve"> 8, 2014</w:t>
      </w:r>
    </w:p>
    <w:p w:rsidR="006874C0" w:rsidRDefault="00BF3022" w:rsidP="006874C0">
      <w:pPr>
        <w:rPr>
          <w:rFonts w:ascii="Book Antiqua" w:hAnsi="Book Antiqua"/>
          <w:color w:val="000000"/>
          <w:sz w:val="24"/>
        </w:rPr>
      </w:pPr>
      <w:r w:rsidRPr="00F80032">
        <w:rPr>
          <w:rFonts w:ascii="Book Antiqua" w:hAnsi="Book Antiqua"/>
          <w:b/>
          <w:sz w:val="24"/>
          <w:szCs w:val="24"/>
        </w:rPr>
        <w:t>Accepted:</w:t>
      </w:r>
      <w:r w:rsidR="00F0350D" w:rsidRPr="00F80032">
        <w:rPr>
          <w:rFonts w:ascii="Book Antiqua" w:hAnsi="Book Antiqua"/>
          <w:b/>
          <w:i/>
          <w:caps/>
          <w:sz w:val="24"/>
          <w:szCs w:val="24"/>
        </w:rPr>
        <w:t xml:space="preserve"> </w:t>
      </w:r>
      <w:bookmarkStart w:id="6" w:name="OLE_LINK2"/>
      <w:bookmarkStart w:id="7" w:name="OLE_LINK3"/>
      <w:bookmarkStart w:id="8" w:name="OLE_LINK4"/>
      <w:bookmarkStart w:id="9" w:name="OLE_LINK5"/>
      <w:bookmarkStart w:id="10" w:name="OLE_LINK8"/>
      <w:bookmarkStart w:id="11" w:name="OLE_LINK6"/>
      <w:bookmarkStart w:id="12" w:name="OLE_LINK18"/>
      <w:bookmarkStart w:id="13" w:name="OLE_LINK19"/>
      <w:bookmarkStart w:id="14" w:name="OLE_LINK24"/>
      <w:bookmarkStart w:id="15" w:name="OLE_LINK25"/>
      <w:r w:rsidR="006874C0">
        <w:rPr>
          <w:rFonts w:ascii="Book Antiqua" w:hAnsi="Book Antiqua"/>
          <w:color w:val="000000"/>
          <w:sz w:val="24"/>
        </w:rPr>
        <w:t>October 14, 2014</w:t>
      </w:r>
    </w:p>
    <w:p w:rsidR="00C61ED8" w:rsidRPr="00F80032" w:rsidRDefault="00C61ED8" w:rsidP="004F172A">
      <w:pPr>
        <w:adjustRightInd w:val="0"/>
        <w:snapToGrid w:val="0"/>
        <w:spacing w:after="0" w:line="360" w:lineRule="auto"/>
        <w:jc w:val="both"/>
        <w:rPr>
          <w:rFonts w:ascii="Book Antiqua" w:hAnsi="Book Antiqua"/>
          <w:b/>
          <w:sz w:val="24"/>
          <w:szCs w:val="24"/>
        </w:rPr>
      </w:pPr>
      <w:bookmarkStart w:id="16" w:name="_GoBack"/>
      <w:bookmarkEnd w:id="6"/>
      <w:bookmarkEnd w:id="7"/>
      <w:bookmarkEnd w:id="8"/>
      <w:bookmarkEnd w:id="9"/>
      <w:bookmarkEnd w:id="10"/>
      <w:bookmarkEnd w:id="11"/>
      <w:bookmarkEnd w:id="12"/>
      <w:bookmarkEnd w:id="13"/>
      <w:bookmarkEnd w:id="14"/>
      <w:bookmarkEnd w:id="15"/>
      <w:bookmarkEnd w:id="16"/>
    </w:p>
    <w:p w:rsidR="00BF3022" w:rsidRPr="00F80032" w:rsidRDefault="00BF3022" w:rsidP="004F172A">
      <w:pPr>
        <w:adjustRightInd w:val="0"/>
        <w:snapToGrid w:val="0"/>
        <w:spacing w:after="0" w:line="360" w:lineRule="auto"/>
        <w:jc w:val="both"/>
        <w:rPr>
          <w:rFonts w:ascii="Book Antiqua" w:hAnsi="Book Antiqua"/>
          <w:b/>
          <w:sz w:val="24"/>
          <w:szCs w:val="24"/>
        </w:rPr>
      </w:pPr>
      <w:r w:rsidRPr="00F80032">
        <w:rPr>
          <w:rFonts w:ascii="Book Antiqua" w:hAnsi="Book Antiqua"/>
          <w:b/>
          <w:sz w:val="24"/>
          <w:szCs w:val="24"/>
        </w:rPr>
        <w:t xml:space="preserve">Published online: </w:t>
      </w:r>
    </w:p>
    <w:bookmarkEnd w:id="2"/>
    <w:bookmarkEnd w:id="3"/>
    <w:p w:rsidR="0075348E" w:rsidRPr="00F80032" w:rsidRDefault="0075348E" w:rsidP="004F172A">
      <w:pPr>
        <w:adjustRightInd w:val="0"/>
        <w:snapToGrid w:val="0"/>
        <w:spacing w:after="0" w:line="360" w:lineRule="auto"/>
        <w:jc w:val="both"/>
        <w:rPr>
          <w:rFonts w:ascii="Book Antiqua" w:hAnsi="Book Antiqua" w:cs="Times New Roman"/>
          <w:b/>
          <w:bCs/>
          <w:sz w:val="24"/>
          <w:szCs w:val="24"/>
          <w:lang w:eastAsia="zh-CN"/>
        </w:rPr>
      </w:pPr>
    </w:p>
    <w:p w:rsidR="001967A2" w:rsidRPr="00F80032" w:rsidRDefault="00C15EDB" w:rsidP="004F172A">
      <w:pPr>
        <w:adjustRightInd w:val="0"/>
        <w:snapToGrid w:val="0"/>
        <w:spacing w:after="0" w:line="360" w:lineRule="auto"/>
        <w:jc w:val="both"/>
        <w:rPr>
          <w:rFonts w:ascii="Book Antiqua" w:hAnsi="Book Antiqua"/>
          <w:b/>
          <w:bCs/>
          <w:sz w:val="24"/>
          <w:szCs w:val="24"/>
          <w:rtl/>
        </w:rPr>
      </w:pPr>
      <w:r w:rsidRPr="00F80032">
        <w:rPr>
          <w:rFonts w:ascii="Book Antiqua" w:hAnsi="Book Antiqua" w:cs="Times New Roman"/>
          <w:b/>
          <w:bCs/>
          <w:sz w:val="24"/>
          <w:szCs w:val="24"/>
        </w:rPr>
        <w:t>Abstract</w:t>
      </w:r>
    </w:p>
    <w:p w:rsidR="001967A2" w:rsidRPr="00F80032" w:rsidRDefault="008C7992" w:rsidP="004F172A">
      <w:pPr>
        <w:adjustRightInd w:val="0"/>
        <w:snapToGrid w:val="0"/>
        <w:spacing w:after="0" w:line="360" w:lineRule="auto"/>
        <w:jc w:val="both"/>
        <w:rPr>
          <w:rFonts w:ascii="Book Antiqua" w:hAnsi="Book Antiqua" w:cs="Times New Roman"/>
          <w:sz w:val="24"/>
          <w:szCs w:val="24"/>
          <w:lang w:eastAsia="zh-CN"/>
        </w:rPr>
      </w:pPr>
      <w:r w:rsidRPr="00F80032">
        <w:rPr>
          <w:rFonts w:ascii="Book Antiqua" w:hAnsi="Book Antiqua" w:cs="Times New Roman"/>
          <w:b/>
          <w:bCs/>
          <w:caps/>
          <w:sz w:val="24"/>
          <w:szCs w:val="24"/>
        </w:rPr>
        <w:t>Aim</w:t>
      </w:r>
      <w:r w:rsidR="001967A2" w:rsidRPr="00F80032">
        <w:rPr>
          <w:rFonts w:ascii="Book Antiqua" w:hAnsi="Book Antiqua" w:cs="Times New Roman"/>
          <w:b/>
          <w:bCs/>
          <w:caps/>
          <w:sz w:val="24"/>
          <w:szCs w:val="24"/>
        </w:rPr>
        <w:t>:</w:t>
      </w:r>
      <w:r w:rsidR="001967A2" w:rsidRPr="00F80032">
        <w:rPr>
          <w:rFonts w:ascii="Book Antiqua" w:hAnsi="Book Antiqua" w:cs="Times New Roman"/>
          <w:caps/>
          <w:sz w:val="24"/>
          <w:szCs w:val="24"/>
        </w:rPr>
        <w:t xml:space="preserve"> </w:t>
      </w:r>
      <w:r w:rsidR="001967A2" w:rsidRPr="00F80032">
        <w:rPr>
          <w:rFonts w:ascii="Book Antiqua" w:hAnsi="Book Antiqua" w:cs="Times New Roman"/>
          <w:sz w:val="24"/>
          <w:szCs w:val="24"/>
        </w:rPr>
        <w:t xml:space="preserve">To evaluate the prevalence </w:t>
      </w:r>
      <w:r w:rsidR="00B22594" w:rsidRPr="00F80032">
        <w:rPr>
          <w:rFonts w:ascii="Book Antiqua" w:hAnsi="Book Antiqua" w:cs="Times New Roman"/>
          <w:sz w:val="24"/>
          <w:szCs w:val="24"/>
        </w:rPr>
        <w:t xml:space="preserve">of </w:t>
      </w:r>
      <w:r w:rsidR="00F0350D" w:rsidRPr="00F80032">
        <w:rPr>
          <w:rFonts w:ascii="Book Antiqua" w:hAnsi="Book Antiqua" w:cs="Times New Roman"/>
          <w:sz w:val="24"/>
          <w:szCs w:val="24"/>
        </w:rPr>
        <w:t>double negative (DN)</w:t>
      </w:r>
      <w:r w:rsidR="00B22594" w:rsidRPr="00F80032">
        <w:rPr>
          <w:rFonts w:ascii="Book Antiqua" w:hAnsi="Book Antiqua" w:cs="Times New Roman"/>
          <w:sz w:val="24"/>
          <w:szCs w:val="24"/>
        </w:rPr>
        <w:t xml:space="preserve"> sera </w:t>
      </w:r>
      <w:r w:rsidR="00FA13F2" w:rsidRPr="00F80032">
        <w:rPr>
          <w:rFonts w:ascii="Book Antiqua" w:hAnsi="Book Antiqua" w:cs="Times New Roman"/>
          <w:sz w:val="24"/>
          <w:szCs w:val="24"/>
        </w:rPr>
        <w:t xml:space="preserve">and the mechanisms </w:t>
      </w:r>
      <w:r w:rsidR="0078072D" w:rsidRPr="00F80032">
        <w:rPr>
          <w:rFonts w:ascii="Book Antiqua" w:hAnsi="Book Antiqua" w:cs="Times New Roman"/>
          <w:sz w:val="24"/>
          <w:szCs w:val="24"/>
        </w:rPr>
        <w:t>responsible for</w:t>
      </w:r>
      <w:r w:rsidR="00FA13F2" w:rsidRPr="00F80032">
        <w:rPr>
          <w:rFonts w:ascii="Book Antiqua" w:hAnsi="Book Antiqua" w:cs="Times New Roman"/>
          <w:sz w:val="24"/>
          <w:szCs w:val="24"/>
        </w:rPr>
        <w:t xml:space="preserve"> a</w:t>
      </w:r>
      <w:r w:rsidR="001967A2" w:rsidRPr="00F80032">
        <w:rPr>
          <w:rFonts w:ascii="Book Antiqua" w:hAnsi="Book Antiqua" w:cs="Times New Roman"/>
          <w:sz w:val="24"/>
          <w:szCs w:val="24"/>
        </w:rPr>
        <w:t xml:space="preserve"> </w:t>
      </w:r>
      <w:r w:rsidRPr="00F80032">
        <w:rPr>
          <w:rFonts w:ascii="Book Antiqua" w:hAnsi="Book Antiqua" w:cs="Times New Roman"/>
          <w:sz w:val="24"/>
          <w:szCs w:val="24"/>
        </w:rPr>
        <w:t>DN status.</w:t>
      </w:r>
    </w:p>
    <w:p w:rsidR="008008F1" w:rsidRPr="00F80032" w:rsidRDefault="008008F1" w:rsidP="004F172A">
      <w:pPr>
        <w:adjustRightInd w:val="0"/>
        <w:snapToGrid w:val="0"/>
        <w:spacing w:after="0" w:line="360" w:lineRule="auto"/>
        <w:jc w:val="both"/>
        <w:rPr>
          <w:rFonts w:ascii="Book Antiqua" w:hAnsi="Book Antiqua" w:cs="Times New Roman"/>
          <w:sz w:val="24"/>
          <w:szCs w:val="24"/>
          <w:lang w:eastAsia="zh-CN"/>
        </w:rPr>
      </w:pPr>
    </w:p>
    <w:p w:rsidR="00825AFB" w:rsidRPr="00F80032" w:rsidRDefault="001967A2" w:rsidP="004F172A">
      <w:pPr>
        <w:adjustRightInd w:val="0"/>
        <w:snapToGrid w:val="0"/>
        <w:spacing w:after="0" w:line="360" w:lineRule="auto"/>
        <w:jc w:val="both"/>
        <w:rPr>
          <w:rFonts w:ascii="Book Antiqua" w:hAnsi="Book Antiqua" w:cs="Times New Roman"/>
          <w:sz w:val="24"/>
          <w:szCs w:val="24"/>
        </w:rPr>
      </w:pPr>
      <w:r w:rsidRPr="00F80032">
        <w:rPr>
          <w:rFonts w:ascii="Book Antiqua" w:hAnsi="Book Antiqua" w:cs="Times New Roman"/>
          <w:b/>
          <w:bCs/>
          <w:caps/>
          <w:sz w:val="24"/>
          <w:szCs w:val="24"/>
        </w:rPr>
        <w:t>Methods:</w:t>
      </w:r>
      <w:r w:rsidRPr="00F80032">
        <w:rPr>
          <w:rFonts w:ascii="Book Antiqua" w:hAnsi="Book Antiqua" w:cs="Times New Roman"/>
          <w:sz w:val="24"/>
          <w:szCs w:val="24"/>
        </w:rPr>
        <w:t xml:space="preserve"> Se</w:t>
      </w:r>
      <w:r w:rsidR="008C7992" w:rsidRPr="00F80032">
        <w:rPr>
          <w:rFonts w:ascii="Book Antiqua" w:hAnsi="Book Antiqua" w:cs="Times New Roman"/>
          <w:sz w:val="24"/>
          <w:szCs w:val="24"/>
        </w:rPr>
        <w:t xml:space="preserve">ra of </w:t>
      </w:r>
      <w:r w:rsidR="00DF229E" w:rsidRPr="00F80032">
        <w:rPr>
          <w:rFonts w:ascii="Book Antiqua" w:hAnsi="Book Antiqua" w:cs="Times New Roman"/>
          <w:sz w:val="24"/>
          <w:szCs w:val="24"/>
        </w:rPr>
        <w:t xml:space="preserve">inflammatory bowel disease </w:t>
      </w:r>
      <w:r w:rsidR="008C7992" w:rsidRPr="00F80032">
        <w:rPr>
          <w:rFonts w:ascii="Book Antiqua" w:hAnsi="Book Antiqua" w:cs="Times New Roman"/>
          <w:sz w:val="24"/>
          <w:szCs w:val="24"/>
        </w:rPr>
        <w:t xml:space="preserve">patients </w:t>
      </w:r>
      <w:r w:rsidR="007D04A3" w:rsidRPr="00F80032">
        <w:rPr>
          <w:rFonts w:ascii="Book Antiqua" w:hAnsi="Book Antiqua" w:cs="Times New Roman"/>
          <w:sz w:val="24"/>
          <w:szCs w:val="24"/>
        </w:rPr>
        <w:t xml:space="preserve">treated with </w:t>
      </w:r>
      <w:r w:rsidR="00FD79BD" w:rsidRPr="00F80032">
        <w:rPr>
          <w:rFonts w:ascii="Book Antiqua" w:hAnsi="Book Antiqua" w:cs="Times New Roman"/>
          <w:sz w:val="24"/>
          <w:szCs w:val="24"/>
        </w:rPr>
        <w:t>infliximab (IFX)</w:t>
      </w:r>
      <w:r w:rsidR="00FD79BD" w:rsidRPr="00F80032">
        <w:rPr>
          <w:rFonts w:ascii="Book Antiqua" w:hAnsi="Book Antiqua" w:cs="Times New Roman" w:hint="eastAsia"/>
          <w:sz w:val="24"/>
          <w:szCs w:val="24"/>
          <w:lang w:eastAsia="zh-CN"/>
        </w:rPr>
        <w:t xml:space="preserve"> </w:t>
      </w:r>
      <w:r w:rsidRPr="00F80032">
        <w:rPr>
          <w:rFonts w:ascii="Book Antiqua" w:hAnsi="Book Antiqua" w:cs="Times New Roman"/>
          <w:sz w:val="24"/>
          <w:szCs w:val="24"/>
        </w:rPr>
        <w:t>were tested for drug/</w:t>
      </w:r>
      <w:r w:rsidR="00071436" w:rsidRPr="00F80032">
        <w:rPr>
          <w:rFonts w:ascii="Book Antiqua" w:hAnsi="Book Antiqua" w:cs="Times New Roman"/>
          <w:sz w:val="24"/>
          <w:szCs w:val="24"/>
        </w:rPr>
        <w:t>antibodies to infliximab (ATI)</w:t>
      </w:r>
      <w:r w:rsidR="00071436" w:rsidRPr="00F80032">
        <w:rPr>
          <w:rFonts w:ascii="Book Antiqua" w:hAnsi="Book Antiqua" w:cs="Times New Roman" w:hint="eastAsia"/>
          <w:sz w:val="24"/>
          <w:szCs w:val="24"/>
          <w:lang w:eastAsia="zh-CN"/>
        </w:rPr>
        <w:t xml:space="preserve"> </w:t>
      </w:r>
      <w:r w:rsidRPr="00F80032">
        <w:rPr>
          <w:rFonts w:ascii="Book Antiqua" w:hAnsi="Book Antiqua" w:cs="Times New Roman"/>
          <w:sz w:val="24"/>
          <w:szCs w:val="24"/>
        </w:rPr>
        <w:t>trough levels and the rate of DN result</w:t>
      </w:r>
      <w:r w:rsidR="00FC7850" w:rsidRPr="00F80032">
        <w:rPr>
          <w:rFonts w:ascii="Book Antiqua" w:hAnsi="Book Antiqua" w:cs="Times New Roman"/>
          <w:sz w:val="24"/>
          <w:szCs w:val="24"/>
        </w:rPr>
        <w:t>s</w:t>
      </w:r>
      <w:r w:rsidRPr="00F80032">
        <w:rPr>
          <w:rFonts w:ascii="Book Antiqua" w:hAnsi="Book Antiqua" w:cs="Times New Roman"/>
          <w:sz w:val="24"/>
          <w:szCs w:val="24"/>
        </w:rPr>
        <w:t xml:space="preserve"> was compared between a commercially available d</w:t>
      </w:r>
      <w:r w:rsidR="0073730A" w:rsidRPr="00F80032">
        <w:rPr>
          <w:rFonts w:ascii="Book Antiqua" w:hAnsi="Book Antiqua" w:cs="Times New Roman"/>
          <w:sz w:val="24"/>
          <w:szCs w:val="24"/>
        </w:rPr>
        <w:t>ouble antigen ELISA</w:t>
      </w:r>
      <w:r w:rsidRPr="00F80032">
        <w:rPr>
          <w:rFonts w:ascii="Book Antiqua" w:hAnsi="Book Antiqua" w:cs="Times New Roman"/>
          <w:sz w:val="24"/>
          <w:szCs w:val="24"/>
        </w:rPr>
        <w:t xml:space="preserve"> </w:t>
      </w:r>
      <w:r w:rsidR="00825AFB" w:rsidRPr="00F80032">
        <w:rPr>
          <w:rFonts w:ascii="Book Antiqua" w:hAnsi="Book Antiqua" w:cs="Times New Roman"/>
          <w:sz w:val="24"/>
          <w:szCs w:val="24"/>
        </w:rPr>
        <w:t xml:space="preserve">(with labeled IFX as the detection antibody) </w:t>
      </w:r>
      <w:r w:rsidRPr="00F80032">
        <w:rPr>
          <w:rFonts w:ascii="Book Antiqua" w:hAnsi="Book Antiqua" w:cs="Times New Roman"/>
          <w:sz w:val="24"/>
          <w:szCs w:val="24"/>
        </w:rPr>
        <w:t>and an ant</w:t>
      </w:r>
      <w:r w:rsidR="0073730A" w:rsidRPr="00F80032">
        <w:rPr>
          <w:rFonts w:ascii="Book Antiqua" w:hAnsi="Book Antiqua" w:cs="Times New Roman"/>
          <w:sz w:val="24"/>
          <w:szCs w:val="24"/>
        </w:rPr>
        <w:t>i-lambda ELISA</w:t>
      </w:r>
      <w:r w:rsidR="00825AFB" w:rsidRPr="00F80032">
        <w:rPr>
          <w:rFonts w:ascii="Book Antiqua" w:hAnsi="Book Antiqua" w:cs="Times New Roman"/>
          <w:sz w:val="24"/>
          <w:szCs w:val="24"/>
        </w:rPr>
        <w:t xml:space="preserve"> (with anti-human lambda chain detection antibody).</w:t>
      </w:r>
      <w:r w:rsidR="0073730A" w:rsidRPr="00F80032">
        <w:rPr>
          <w:rFonts w:ascii="Book Antiqua" w:hAnsi="Book Antiqua" w:cs="Times New Roman"/>
          <w:sz w:val="24"/>
          <w:szCs w:val="24"/>
        </w:rPr>
        <w:t xml:space="preserve"> Repeat testing </w:t>
      </w:r>
      <w:r w:rsidRPr="00F80032">
        <w:rPr>
          <w:rFonts w:ascii="Book Antiqua" w:hAnsi="Book Antiqua" w:cs="Times New Roman"/>
          <w:sz w:val="24"/>
          <w:szCs w:val="24"/>
        </w:rPr>
        <w:t>with lower than customary</w:t>
      </w:r>
      <w:r w:rsidR="00FC7850" w:rsidRPr="00F80032">
        <w:rPr>
          <w:rFonts w:ascii="Book Antiqua" w:hAnsi="Book Antiqua" w:cs="Times New Roman"/>
          <w:sz w:val="24"/>
          <w:szCs w:val="24"/>
        </w:rPr>
        <w:t xml:space="preserve"> serum dilution (1:10)</w:t>
      </w:r>
      <w:r w:rsidR="00953967" w:rsidRPr="00F80032">
        <w:rPr>
          <w:rFonts w:ascii="Book Antiqua" w:hAnsi="Book Antiqua" w:cs="Times New Roman"/>
          <w:sz w:val="24"/>
          <w:szCs w:val="24"/>
        </w:rPr>
        <w:t xml:space="preserve"> was</w:t>
      </w:r>
      <w:r w:rsidR="0073730A" w:rsidRPr="00F80032">
        <w:rPr>
          <w:rFonts w:ascii="Book Antiqua" w:hAnsi="Book Antiqua" w:cs="Times New Roman"/>
          <w:sz w:val="24"/>
          <w:szCs w:val="24"/>
        </w:rPr>
        <w:t xml:space="preserve"> performed. </w:t>
      </w:r>
      <w:r w:rsidRPr="00F80032">
        <w:rPr>
          <w:rFonts w:ascii="Book Antiqua" w:hAnsi="Book Antiqua" w:cs="Times New Roman"/>
          <w:sz w:val="24"/>
          <w:szCs w:val="24"/>
        </w:rPr>
        <w:t>Patients with DN status were matched with IFX+/ATI- controls and were followed for subse</w:t>
      </w:r>
      <w:r w:rsidR="008C7992" w:rsidRPr="00F80032">
        <w:rPr>
          <w:rFonts w:ascii="Book Antiqua" w:hAnsi="Book Antiqua" w:cs="Times New Roman"/>
          <w:sz w:val="24"/>
          <w:szCs w:val="24"/>
        </w:rPr>
        <w:t xml:space="preserve">quent development of </w:t>
      </w:r>
      <w:proofErr w:type="spellStart"/>
      <w:r w:rsidR="003F285F" w:rsidRPr="00F80032">
        <w:rPr>
          <w:rFonts w:ascii="Book Antiqua" w:hAnsi="Book Antiqua" w:cs="Times New Roman"/>
          <w:sz w:val="24"/>
          <w:szCs w:val="24"/>
        </w:rPr>
        <w:t>non transient</w:t>
      </w:r>
      <w:proofErr w:type="spellEnd"/>
      <w:r w:rsidR="003F285F" w:rsidRPr="00F80032">
        <w:rPr>
          <w:rFonts w:ascii="Book Antiqua" w:hAnsi="Book Antiqua" w:cs="Times New Roman"/>
          <w:sz w:val="24"/>
          <w:szCs w:val="24"/>
        </w:rPr>
        <w:t xml:space="preserve"> </w:t>
      </w:r>
      <w:r w:rsidR="008C7992" w:rsidRPr="00F80032">
        <w:rPr>
          <w:rFonts w:ascii="Book Antiqua" w:hAnsi="Book Antiqua" w:cs="Times New Roman"/>
          <w:sz w:val="24"/>
          <w:szCs w:val="24"/>
        </w:rPr>
        <w:t>AT</w:t>
      </w:r>
      <w:r w:rsidR="007D04A3" w:rsidRPr="00F80032">
        <w:rPr>
          <w:rFonts w:ascii="Book Antiqua" w:hAnsi="Book Antiqua" w:cs="Times New Roman"/>
          <w:sz w:val="24"/>
          <w:szCs w:val="24"/>
        </w:rPr>
        <w:t>I</w:t>
      </w:r>
      <w:r w:rsidR="00825AFB" w:rsidRPr="00F80032">
        <w:rPr>
          <w:rFonts w:ascii="Book Antiqua" w:hAnsi="Book Antiqua" w:cs="Times New Roman"/>
          <w:sz w:val="24"/>
          <w:szCs w:val="24"/>
        </w:rPr>
        <w:t xml:space="preserve"> to exp</w:t>
      </w:r>
      <w:r w:rsidR="00953967" w:rsidRPr="00F80032">
        <w:rPr>
          <w:rFonts w:ascii="Book Antiqua" w:hAnsi="Book Antiqua" w:cs="Times New Roman"/>
          <w:sz w:val="24"/>
          <w:szCs w:val="24"/>
        </w:rPr>
        <w:t>lore if DN status may</w:t>
      </w:r>
      <w:r w:rsidR="00F0350D" w:rsidRPr="00F80032">
        <w:rPr>
          <w:rFonts w:ascii="Book Antiqua" w:hAnsi="Book Antiqua" w:cs="Times New Roman"/>
          <w:i/>
          <w:caps/>
          <w:sz w:val="24"/>
          <w:szCs w:val="24"/>
        </w:rPr>
        <w:t xml:space="preserve"> </w:t>
      </w:r>
      <w:r w:rsidR="00825AFB" w:rsidRPr="00F80032">
        <w:rPr>
          <w:rFonts w:ascii="Book Antiqua" w:hAnsi="Book Antiqua" w:cs="Times New Roman"/>
          <w:sz w:val="24"/>
          <w:szCs w:val="24"/>
        </w:rPr>
        <w:t>precede ATI.</w:t>
      </w:r>
    </w:p>
    <w:p w:rsidR="008008F1" w:rsidRPr="00F80032" w:rsidRDefault="008008F1" w:rsidP="004F172A">
      <w:pPr>
        <w:adjustRightInd w:val="0"/>
        <w:snapToGrid w:val="0"/>
        <w:spacing w:after="0" w:line="360" w:lineRule="auto"/>
        <w:jc w:val="both"/>
        <w:rPr>
          <w:rFonts w:ascii="Book Antiqua" w:hAnsi="Book Antiqua" w:cs="Times New Roman"/>
          <w:b/>
          <w:bCs/>
          <w:sz w:val="24"/>
          <w:szCs w:val="24"/>
          <w:lang w:eastAsia="zh-CN"/>
        </w:rPr>
      </w:pPr>
    </w:p>
    <w:p w:rsidR="001967A2" w:rsidRPr="00F80032" w:rsidRDefault="001967A2" w:rsidP="004F172A">
      <w:pPr>
        <w:adjustRightInd w:val="0"/>
        <w:snapToGrid w:val="0"/>
        <w:spacing w:after="0" w:line="360" w:lineRule="auto"/>
        <w:jc w:val="both"/>
        <w:rPr>
          <w:rFonts w:ascii="Book Antiqua" w:hAnsi="Book Antiqua" w:cs="Times New Roman"/>
          <w:sz w:val="24"/>
          <w:szCs w:val="24"/>
        </w:rPr>
      </w:pPr>
      <w:r w:rsidRPr="00F80032">
        <w:rPr>
          <w:rFonts w:ascii="Book Antiqua" w:hAnsi="Book Antiqua" w:cs="Times New Roman"/>
          <w:b/>
          <w:bCs/>
          <w:caps/>
          <w:sz w:val="24"/>
          <w:szCs w:val="24"/>
        </w:rPr>
        <w:lastRenderedPageBreak/>
        <w:t>Results:</w:t>
      </w:r>
      <w:r w:rsidRPr="00F80032">
        <w:rPr>
          <w:rFonts w:ascii="Book Antiqua" w:hAnsi="Book Antiqua" w:cs="Times New Roman"/>
          <w:sz w:val="24"/>
          <w:szCs w:val="24"/>
        </w:rPr>
        <w:t xml:space="preserve"> </w:t>
      </w:r>
      <w:r w:rsidR="007D04A3" w:rsidRPr="00F80032">
        <w:rPr>
          <w:rFonts w:ascii="Book Antiqua" w:hAnsi="Book Antiqua" w:cs="Times New Roman"/>
          <w:sz w:val="24"/>
          <w:szCs w:val="24"/>
        </w:rPr>
        <w:t xml:space="preserve">Of 67 sera obtained at time of </w:t>
      </w:r>
      <w:r w:rsidR="00F80032" w:rsidRPr="00F80032">
        <w:rPr>
          <w:rFonts w:ascii="Book Antiqua" w:hAnsi="Book Antiqua" w:cs="Times New Roman"/>
          <w:sz w:val="24"/>
          <w:szCs w:val="24"/>
        </w:rPr>
        <w:t>loss of response</w:t>
      </w:r>
      <w:r w:rsidR="00825AFB" w:rsidRPr="00F80032">
        <w:rPr>
          <w:rFonts w:ascii="Book Antiqua" w:hAnsi="Book Antiqua" w:cs="Times New Roman"/>
          <w:sz w:val="24"/>
          <w:szCs w:val="24"/>
        </w:rPr>
        <w:t>,</w:t>
      </w:r>
      <w:r w:rsidR="003F285F" w:rsidRPr="00F80032">
        <w:rPr>
          <w:rFonts w:ascii="Book Antiqua" w:hAnsi="Book Antiqua" w:cs="Times New Roman"/>
          <w:sz w:val="24"/>
          <w:szCs w:val="24"/>
        </w:rPr>
        <w:t xml:space="preserve"> only</w:t>
      </w:r>
      <w:r w:rsidR="00825AFB" w:rsidRPr="00F80032">
        <w:rPr>
          <w:rFonts w:ascii="Book Antiqua" w:hAnsi="Book Antiqua" w:cs="Times New Roman"/>
          <w:sz w:val="24"/>
          <w:szCs w:val="24"/>
        </w:rPr>
        <w:t xml:space="preserve"> </w:t>
      </w:r>
      <w:r w:rsidRPr="00F80032">
        <w:rPr>
          <w:rFonts w:ascii="Book Antiqua" w:hAnsi="Book Antiqua" w:cs="Times New Roman"/>
          <w:sz w:val="24"/>
          <w:szCs w:val="24"/>
        </w:rPr>
        <w:t>6/67 (9%) were DN by anti-lambda ELISA compared to 27/67 (40%) with double antigen ELISA (</w:t>
      </w:r>
      <w:r w:rsidR="00F0350D" w:rsidRPr="00F80032">
        <w:rPr>
          <w:rFonts w:ascii="Book Antiqua" w:hAnsi="Book Antiqua" w:cs="Times New Roman"/>
          <w:i/>
          <w:caps/>
          <w:sz w:val="24"/>
          <w:szCs w:val="24"/>
        </w:rPr>
        <w:t xml:space="preserve">p &lt; </w:t>
      </w:r>
      <w:r w:rsidRPr="00F80032">
        <w:rPr>
          <w:rFonts w:ascii="Book Antiqua" w:hAnsi="Book Antiqua" w:cs="Times New Roman"/>
          <w:sz w:val="24"/>
          <w:szCs w:val="24"/>
        </w:rPr>
        <w:t xml:space="preserve">0.001, Fisher Exact test). Of the </w:t>
      </w:r>
      <w:r w:rsidR="007D04A3" w:rsidRPr="00F80032">
        <w:rPr>
          <w:rFonts w:ascii="Book Antiqua" w:hAnsi="Book Antiqua" w:cs="Times New Roman"/>
          <w:sz w:val="24"/>
          <w:szCs w:val="24"/>
        </w:rPr>
        <w:t>latter 27 sera, 22% were also DN</w:t>
      </w:r>
      <w:r w:rsidRPr="00F80032">
        <w:rPr>
          <w:rFonts w:ascii="Book Antiqua" w:hAnsi="Book Antiqua" w:cs="Times New Roman"/>
          <w:sz w:val="24"/>
          <w:szCs w:val="24"/>
        </w:rPr>
        <w:t xml:space="preserve"> by anti-lambda ELISA, whereas 44% were actually IFX positive (IFX+ATI-), 30% were ATI positive (IFX-ATI+) and 4% were double positive (IFX+ATI+). Re-testing with 1:10 dilution converted most DN results into IFX+ and</w:t>
      </w:r>
      <w:r w:rsidR="003F285F" w:rsidRPr="00F80032">
        <w:rPr>
          <w:rFonts w:ascii="Book Antiqua" w:hAnsi="Book Antiqua" w:cs="Times New Roman"/>
          <w:sz w:val="24"/>
          <w:szCs w:val="24"/>
        </w:rPr>
        <w:t xml:space="preserve"> </w:t>
      </w:r>
      <w:r w:rsidRPr="00F80032">
        <w:rPr>
          <w:rFonts w:ascii="Book Antiqua" w:hAnsi="Book Antiqua" w:cs="Times New Roman"/>
          <w:sz w:val="24"/>
          <w:szCs w:val="24"/>
        </w:rPr>
        <w:t>/or ATI+ status. Patients with DN</w:t>
      </w:r>
      <w:r w:rsidR="00FA13F2" w:rsidRPr="00F80032">
        <w:rPr>
          <w:rFonts w:ascii="Book Antiqua" w:hAnsi="Book Antiqua" w:cs="Times New Roman"/>
          <w:sz w:val="24"/>
          <w:szCs w:val="24"/>
        </w:rPr>
        <w:t xml:space="preserve"> status</w:t>
      </w:r>
      <w:r w:rsidRPr="00F80032">
        <w:rPr>
          <w:rFonts w:ascii="Book Antiqua" w:hAnsi="Book Antiqua" w:cs="Times New Roman"/>
          <w:sz w:val="24"/>
          <w:szCs w:val="24"/>
        </w:rPr>
        <w:t xml:space="preserve"> had shorter survival free of </w:t>
      </w:r>
      <w:proofErr w:type="spellStart"/>
      <w:r w:rsidR="003F285F" w:rsidRPr="00F80032">
        <w:rPr>
          <w:rFonts w:ascii="Book Antiqua" w:hAnsi="Book Antiqua" w:cs="Times New Roman"/>
          <w:sz w:val="24"/>
          <w:szCs w:val="24"/>
        </w:rPr>
        <w:t>non transient</w:t>
      </w:r>
      <w:proofErr w:type="spellEnd"/>
      <w:r w:rsidR="003F285F" w:rsidRPr="00F80032">
        <w:rPr>
          <w:rFonts w:ascii="Book Antiqua" w:hAnsi="Book Antiqua" w:cs="Times New Roman"/>
          <w:sz w:val="24"/>
          <w:szCs w:val="24"/>
        </w:rPr>
        <w:t xml:space="preserve"> </w:t>
      </w:r>
      <w:r w:rsidRPr="00F80032">
        <w:rPr>
          <w:rFonts w:ascii="Book Antiqua" w:hAnsi="Book Antiqua" w:cs="Times New Roman"/>
          <w:sz w:val="24"/>
          <w:szCs w:val="24"/>
        </w:rPr>
        <w:t>ATI compared with matched controls (</w:t>
      </w:r>
      <w:r w:rsidR="003F285F" w:rsidRPr="00F80032">
        <w:rPr>
          <w:rFonts w:ascii="Book Antiqua" w:hAnsi="Book Antiqua" w:cs="Times New Roman"/>
          <w:sz w:val="24"/>
          <w:szCs w:val="24"/>
        </w:rPr>
        <w:t xml:space="preserve">log rank test, </w:t>
      </w:r>
      <w:r w:rsidR="00F0350D" w:rsidRPr="00F80032">
        <w:rPr>
          <w:rFonts w:ascii="Book Antiqua" w:hAnsi="Book Antiqua" w:cs="Times New Roman"/>
          <w:i/>
          <w:caps/>
          <w:sz w:val="24"/>
          <w:szCs w:val="24"/>
        </w:rPr>
        <w:t xml:space="preserve">p &lt; </w:t>
      </w:r>
      <w:r w:rsidRPr="00F80032">
        <w:rPr>
          <w:rFonts w:ascii="Book Antiqua" w:hAnsi="Book Antiqua" w:cs="Times New Roman"/>
          <w:sz w:val="24"/>
          <w:szCs w:val="24"/>
        </w:rPr>
        <w:t>0.001).</w:t>
      </w:r>
      <w:r w:rsidR="001405E4" w:rsidRPr="00F80032">
        <w:rPr>
          <w:rFonts w:ascii="Book Antiqua" w:hAnsi="Book Antiqua" w:cs="Times New Roman"/>
          <w:sz w:val="24"/>
          <w:szCs w:val="24"/>
        </w:rPr>
        <w:t xml:space="preserve"> In 9/30 (30%) of these patients, </w:t>
      </w:r>
      <w:proofErr w:type="spellStart"/>
      <w:r w:rsidR="001405E4" w:rsidRPr="00F80032">
        <w:rPr>
          <w:rFonts w:ascii="Book Antiqua" w:hAnsi="Book Antiqua" w:cs="Times New Roman"/>
          <w:sz w:val="24"/>
          <w:szCs w:val="24"/>
        </w:rPr>
        <w:t>non transient</w:t>
      </w:r>
      <w:proofErr w:type="spellEnd"/>
      <w:r w:rsidR="001405E4" w:rsidRPr="00F80032">
        <w:rPr>
          <w:rFonts w:ascii="Book Antiqua" w:hAnsi="Book Antiqua" w:cs="Times New Roman"/>
          <w:sz w:val="24"/>
          <w:szCs w:val="24"/>
        </w:rPr>
        <w:t xml:space="preserve"> ATI occurred both before and after the event at which the DN serum was obtained, supporting the fact that a double negative result may represent a particular time-point along the two curves of ATI titer rise and infliximab drug level decline.</w:t>
      </w:r>
    </w:p>
    <w:p w:rsidR="008008F1" w:rsidRPr="00F80032" w:rsidRDefault="008008F1" w:rsidP="004F172A">
      <w:pPr>
        <w:adjustRightInd w:val="0"/>
        <w:snapToGrid w:val="0"/>
        <w:spacing w:after="0" w:line="360" w:lineRule="auto"/>
        <w:jc w:val="both"/>
        <w:rPr>
          <w:rFonts w:ascii="Book Antiqua" w:hAnsi="Book Antiqua" w:cs="Times New Roman"/>
          <w:b/>
          <w:bCs/>
          <w:sz w:val="24"/>
          <w:szCs w:val="24"/>
          <w:lang w:eastAsia="zh-CN"/>
        </w:rPr>
      </w:pPr>
    </w:p>
    <w:p w:rsidR="009D2446" w:rsidRPr="00F80032" w:rsidRDefault="008008F1" w:rsidP="004F172A">
      <w:pPr>
        <w:adjustRightInd w:val="0"/>
        <w:snapToGrid w:val="0"/>
        <w:spacing w:after="0" w:line="360" w:lineRule="auto"/>
        <w:jc w:val="both"/>
        <w:rPr>
          <w:rFonts w:ascii="Book Antiqua" w:hAnsi="Book Antiqua" w:cs="Times New Roman"/>
          <w:sz w:val="24"/>
          <w:szCs w:val="24"/>
          <w:lang w:eastAsia="zh-CN"/>
        </w:rPr>
      </w:pPr>
      <w:r w:rsidRPr="00F80032">
        <w:rPr>
          <w:rFonts w:ascii="Book Antiqua" w:hAnsi="Book Antiqua" w:cs="Times New Roman"/>
          <w:b/>
          <w:bCs/>
          <w:caps/>
          <w:sz w:val="24"/>
          <w:szCs w:val="24"/>
        </w:rPr>
        <w:t>Conclusion</w:t>
      </w:r>
      <w:r w:rsidR="001967A2" w:rsidRPr="00F80032">
        <w:rPr>
          <w:rFonts w:ascii="Book Antiqua" w:hAnsi="Book Antiqua" w:cs="Times New Roman"/>
          <w:b/>
          <w:bCs/>
          <w:caps/>
          <w:sz w:val="24"/>
          <w:szCs w:val="24"/>
        </w:rPr>
        <w:t>:</w:t>
      </w:r>
      <w:r w:rsidR="001967A2" w:rsidRPr="00F80032">
        <w:rPr>
          <w:rFonts w:ascii="Book Antiqua" w:hAnsi="Book Antiqua" w:cs="Times New Roman"/>
          <w:caps/>
          <w:sz w:val="24"/>
          <w:szCs w:val="24"/>
        </w:rPr>
        <w:t xml:space="preserve"> </w:t>
      </w:r>
      <w:r w:rsidR="001967A2" w:rsidRPr="00F80032">
        <w:rPr>
          <w:rFonts w:ascii="Book Antiqua" w:hAnsi="Book Antiqua" w:cs="Times New Roman"/>
          <w:sz w:val="24"/>
          <w:szCs w:val="24"/>
        </w:rPr>
        <w:t xml:space="preserve">DN status </w:t>
      </w:r>
      <w:r w:rsidR="00BD6078" w:rsidRPr="00F80032">
        <w:rPr>
          <w:rFonts w:ascii="Book Antiqua" w:hAnsi="Book Antiqua" w:cs="Times New Roman"/>
          <w:sz w:val="24"/>
          <w:szCs w:val="24"/>
        </w:rPr>
        <w:t>may</w:t>
      </w:r>
      <w:r w:rsidR="001967A2" w:rsidRPr="00F80032">
        <w:rPr>
          <w:rFonts w:ascii="Book Antiqua" w:hAnsi="Book Antiqua" w:cs="Times New Roman"/>
          <w:sz w:val="24"/>
          <w:szCs w:val="24"/>
        </w:rPr>
        <w:t xml:space="preserve"> result from false negative detection </w:t>
      </w:r>
      <w:r w:rsidR="00953967" w:rsidRPr="00F80032">
        <w:rPr>
          <w:rFonts w:ascii="Book Antiqua" w:hAnsi="Book Antiqua" w:cs="Times New Roman"/>
          <w:sz w:val="24"/>
          <w:szCs w:val="24"/>
        </w:rPr>
        <w:t>of</w:t>
      </w:r>
      <w:r w:rsidR="003F285F" w:rsidRPr="00F80032">
        <w:rPr>
          <w:rFonts w:ascii="Book Antiqua" w:hAnsi="Book Antiqua" w:cs="Times New Roman"/>
          <w:sz w:val="24"/>
          <w:szCs w:val="24"/>
        </w:rPr>
        <w:t xml:space="preserve"> IFX</w:t>
      </w:r>
      <w:r w:rsidR="001405E4" w:rsidRPr="00F80032">
        <w:rPr>
          <w:rFonts w:ascii="Book Antiqua" w:hAnsi="Book Antiqua" w:cs="Times New Roman"/>
          <w:sz w:val="24"/>
          <w:szCs w:val="24"/>
        </w:rPr>
        <w:t xml:space="preserve"> or </w:t>
      </w:r>
      <w:r w:rsidR="007D04A3" w:rsidRPr="00F80032">
        <w:rPr>
          <w:rFonts w:ascii="Book Antiqua" w:hAnsi="Book Antiqua" w:cs="Times New Roman"/>
          <w:sz w:val="24"/>
          <w:szCs w:val="24"/>
        </w:rPr>
        <w:t xml:space="preserve">ATI </w:t>
      </w:r>
      <w:r w:rsidR="001967A2" w:rsidRPr="00F80032">
        <w:rPr>
          <w:rFonts w:ascii="Book Antiqua" w:hAnsi="Book Antiqua" w:cs="Times New Roman"/>
          <w:sz w:val="24"/>
          <w:szCs w:val="24"/>
        </w:rPr>
        <w:t>by double antigen ELISA, suggesting a transitional state of low-level immunogenicity ra</w:t>
      </w:r>
      <w:r w:rsidR="003F285F" w:rsidRPr="00F80032">
        <w:rPr>
          <w:rFonts w:ascii="Book Antiqua" w:hAnsi="Book Antiqua" w:cs="Times New Roman"/>
          <w:sz w:val="24"/>
          <w:szCs w:val="24"/>
        </w:rPr>
        <w:t>ther than non-immunological</w:t>
      </w:r>
      <w:r w:rsidR="001967A2" w:rsidRPr="00F80032">
        <w:rPr>
          <w:rFonts w:ascii="Book Antiqua" w:hAnsi="Book Antiqua" w:cs="Times New Roman"/>
          <w:sz w:val="24"/>
          <w:szCs w:val="24"/>
        </w:rPr>
        <w:t xml:space="preserve"> clearance.</w:t>
      </w:r>
    </w:p>
    <w:p w:rsidR="009D2446" w:rsidRPr="00F80032" w:rsidRDefault="009D2446" w:rsidP="004F172A">
      <w:pPr>
        <w:adjustRightInd w:val="0"/>
        <w:snapToGrid w:val="0"/>
        <w:spacing w:after="0" w:line="360" w:lineRule="auto"/>
        <w:jc w:val="both"/>
        <w:rPr>
          <w:rFonts w:ascii="Book Antiqua" w:hAnsi="Book Antiqua" w:cs="Times New Roman"/>
          <w:sz w:val="24"/>
          <w:szCs w:val="24"/>
          <w:lang w:eastAsia="zh-CN"/>
        </w:rPr>
      </w:pPr>
    </w:p>
    <w:p w:rsidR="00BF3022" w:rsidRPr="00F80032" w:rsidRDefault="00BF3022" w:rsidP="004F172A">
      <w:pPr>
        <w:adjustRightInd w:val="0"/>
        <w:snapToGrid w:val="0"/>
        <w:spacing w:after="0" w:line="360" w:lineRule="auto"/>
        <w:jc w:val="both"/>
        <w:rPr>
          <w:rFonts w:ascii="Book Antiqua" w:hAnsi="Book Antiqua" w:cs="Tahoma"/>
          <w:sz w:val="24"/>
          <w:szCs w:val="24"/>
        </w:rPr>
      </w:pPr>
      <w:r w:rsidRPr="00F80032">
        <w:rPr>
          <w:rFonts w:ascii="Book Antiqua" w:hAnsi="Book Antiqua" w:cs="Tahoma"/>
          <w:sz w:val="24"/>
          <w:szCs w:val="24"/>
          <w:lang w:eastAsia="ja-JP"/>
        </w:rPr>
        <w:t xml:space="preserve">© 2014 </w:t>
      </w:r>
      <w:proofErr w:type="spellStart"/>
      <w:r w:rsidRPr="00F80032">
        <w:rPr>
          <w:rFonts w:ascii="Book Antiqua" w:hAnsi="Book Antiqua" w:cs="Tahoma"/>
          <w:sz w:val="24"/>
          <w:szCs w:val="24"/>
          <w:lang w:eastAsia="ja-JP"/>
        </w:rPr>
        <w:t>Baishideng</w:t>
      </w:r>
      <w:proofErr w:type="spellEnd"/>
      <w:r w:rsidRPr="00F80032">
        <w:rPr>
          <w:rFonts w:ascii="Book Antiqua" w:hAnsi="Book Antiqua" w:cs="Tahoma"/>
          <w:sz w:val="24"/>
          <w:szCs w:val="24"/>
          <w:lang w:eastAsia="ja-JP"/>
        </w:rPr>
        <w:t xml:space="preserve"> Publishing Group Inc. All rights reserved.</w:t>
      </w:r>
    </w:p>
    <w:p w:rsidR="00BF3022" w:rsidRPr="00F80032" w:rsidRDefault="00BF3022" w:rsidP="004F172A">
      <w:pPr>
        <w:adjustRightInd w:val="0"/>
        <w:snapToGrid w:val="0"/>
        <w:spacing w:after="0" w:line="360" w:lineRule="auto"/>
        <w:jc w:val="both"/>
        <w:rPr>
          <w:rFonts w:ascii="Book Antiqua" w:hAnsi="Book Antiqua"/>
          <w:color w:val="000000"/>
          <w:sz w:val="24"/>
          <w:szCs w:val="24"/>
        </w:rPr>
      </w:pPr>
    </w:p>
    <w:p w:rsidR="009D2446" w:rsidRPr="00F80032" w:rsidRDefault="00BF3022" w:rsidP="004F172A">
      <w:pPr>
        <w:autoSpaceDE w:val="0"/>
        <w:autoSpaceDN w:val="0"/>
        <w:adjustRightInd w:val="0"/>
        <w:snapToGrid w:val="0"/>
        <w:spacing w:after="0" w:line="360" w:lineRule="auto"/>
        <w:jc w:val="both"/>
        <w:rPr>
          <w:rFonts w:ascii="Book Antiqua" w:hAnsi="Book Antiqua" w:cs="Times New Roman"/>
          <w:color w:val="222222"/>
          <w:sz w:val="24"/>
          <w:szCs w:val="24"/>
        </w:rPr>
      </w:pPr>
      <w:r w:rsidRPr="00F80032">
        <w:rPr>
          <w:rFonts w:ascii="Book Antiqua" w:hAnsi="Book Antiqua"/>
          <w:b/>
          <w:sz w:val="24"/>
          <w:szCs w:val="24"/>
        </w:rPr>
        <w:t>Key words:</w:t>
      </w:r>
      <w:r w:rsidR="009D2446" w:rsidRPr="00F80032">
        <w:rPr>
          <w:rFonts w:ascii="Book Antiqua" w:hAnsi="Book Antiqua" w:cs="Times New Roman"/>
          <w:color w:val="222222"/>
          <w:sz w:val="24"/>
          <w:szCs w:val="24"/>
        </w:rPr>
        <w:t xml:space="preserve"> </w:t>
      </w:r>
      <w:r w:rsidR="00F0350D" w:rsidRPr="00F80032">
        <w:rPr>
          <w:rFonts w:ascii="Book Antiqua" w:hAnsi="Book Antiqua" w:cs="Times New Roman"/>
          <w:sz w:val="24"/>
          <w:szCs w:val="24"/>
        </w:rPr>
        <w:t>Inflammatory bowel disease</w:t>
      </w:r>
      <w:r w:rsidR="00F0350D" w:rsidRPr="00F80032">
        <w:rPr>
          <w:rFonts w:ascii="Book Antiqua" w:hAnsi="Book Antiqua" w:cs="Times New Roman" w:hint="eastAsia"/>
          <w:color w:val="222222"/>
          <w:sz w:val="24"/>
          <w:szCs w:val="24"/>
          <w:lang w:eastAsia="zh-CN"/>
        </w:rPr>
        <w:t>;</w:t>
      </w:r>
      <w:r w:rsidR="009D2446" w:rsidRPr="00F80032">
        <w:rPr>
          <w:rFonts w:ascii="Book Antiqua" w:hAnsi="Book Antiqua" w:cs="Times New Roman"/>
          <w:color w:val="222222"/>
          <w:sz w:val="24"/>
          <w:szCs w:val="24"/>
        </w:rPr>
        <w:t xml:space="preserve"> Biologic therapy</w:t>
      </w:r>
      <w:r w:rsidR="00F0350D" w:rsidRPr="00F80032">
        <w:rPr>
          <w:rFonts w:ascii="Book Antiqua" w:hAnsi="Book Antiqua" w:cs="Times New Roman" w:hint="eastAsia"/>
          <w:color w:val="222222"/>
          <w:sz w:val="24"/>
          <w:szCs w:val="24"/>
          <w:lang w:eastAsia="zh-CN"/>
        </w:rPr>
        <w:t>;</w:t>
      </w:r>
      <w:r w:rsidR="009D2446" w:rsidRPr="00F80032">
        <w:rPr>
          <w:rFonts w:ascii="Book Antiqua" w:hAnsi="Book Antiqua" w:cs="Times New Roman"/>
          <w:color w:val="222222"/>
          <w:sz w:val="24"/>
          <w:szCs w:val="24"/>
        </w:rPr>
        <w:t xml:space="preserve"> </w:t>
      </w:r>
      <w:r w:rsidR="00F0350D" w:rsidRPr="00F80032">
        <w:rPr>
          <w:rFonts w:ascii="Book Antiqua" w:hAnsi="Book Antiqua" w:cs="Times New Roman"/>
          <w:color w:val="222222"/>
          <w:sz w:val="24"/>
          <w:szCs w:val="24"/>
        </w:rPr>
        <w:t>Infliximab</w:t>
      </w:r>
      <w:r w:rsidR="00F0350D" w:rsidRPr="00F80032">
        <w:rPr>
          <w:rFonts w:ascii="Book Antiqua" w:hAnsi="Book Antiqua" w:cs="Times New Roman" w:hint="eastAsia"/>
          <w:color w:val="222222"/>
          <w:sz w:val="24"/>
          <w:szCs w:val="24"/>
          <w:lang w:eastAsia="zh-CN"/>
        </w:rPr>
        <w:t xml:space="preserve">; </w:t>
      </w:r>
      <w:r w:rsidR="00F0350D" w:rsidRPr="00F80032">
        <w:rPr>
          <w:rFonts w:ascii="Book Antiqua" w:hAnsi="Book Antiqua" w:cs="Times New Roman"/>
          <w:color w:val="222222"/>
          <w:sz w:val="24"/>
          <w:szCs w:val="24"/>
        </w:rPr>
        <w:t>Immunology</w:t>
      </w:r>
      <w:r w:rsidR="00F0350D" w:rsidRPr="00F80032">
        <w:rPr>
          <w:rFonts w:ascii="Book Antiqua" w:hAnsi="Book Antiqua" w:cs="Times New Roman" w:hint="eastAsia"/>
          <w:color w:val="222222"/>
          <w:sz w:val="24"/>
          <w:szCs w:val="24"/>
          <w:lang w:eastAsia="zh-CN"/>
        </w:rPr>
        <w:t>;</w:t>
      </w:r>
      <w:r w:rsidR="009D2446" w:rsidRPr="00F80032">
        <w:rPr>
          <w:rFonts w:ascii="Book Antiqua" w:hAnsi="Book Antiqua" w:cs="Times New Roman"/>
          <w:color w:val="222222"/>
          <w:sz w:val="24"/>
          <w:szCs w:val="24"/>
        </w:rPr>
        <w:t xml:space="preserve"> </w:t>
      </w:r>
      <w:r w:rsidR="00F0350D" w:rsidRPr="00F80032">
        <w:rPr>
          <w:rFonts w:ascii="Book Antiqua" w:hAnsi="Book Antiqua" w:cs="Times New Roman"/>
          <w:color w:val="222222"/>
          <w:sz w:val="24"/>
          <w:szCs w:val="24"/>
        </w:rPr>
        <w:t xml:space="preserve">Drug </w:t>
      </w:r>
      <w:r w:rsidR="009D2446" w:rsidRPr="00F80032">
        <w:rPr>
          <w:rFonts w:ascii="Book Antiqua" w:hAnsi="Book Antiqua" w:cs="Times New Roman"/>
          <w:color w:val="222222"/>
          <w:sz w:val="24"/>
          <w:szCs w:val="24"/>
        </w:rPr>
        <w:t>response</w:t>
      </w:r>
    </w:p>
    <w:p w:rsidR="003E7DB6" w:rsidRPr="00F80032" w:rsidRDefault="003E7DB6" w:rsidP="004F172A">
      <w:pPr>
        <w:adjustRightInd w:val="0"/>
        <w:snapToGrid w:val="0"/>
        <w:spacing w:after="0" w:line="360" w:lineRule="auto"/>
        <w:jc w:val="both"/>
        <w:rPr>
          <w:rFonts w:ascii="Book Antiqua" w:hAnsi="Book Antiqua" w:cs="Times New Roman"/>
          <w:sz w:val="24"/>
          <w:szCs w:val="24"/>
          <w:lang w:eastAsia="zh-CN"/>
        </w:rPr>
      </w:pPr>
      <w:bookmarkStart w:id="17" w:name="OLE_LINK33"/>
      <w:bookmarkStart w:id="18" w:name="OLE_LINK34"/>
      <w:bookmarkStart w:id="19" w:name="OLE_LINK49"/>
      <w:bookmarkStart w:id="20" w:name="OLE_LINK7"/>
    </w:p>
    <w:p w:rsidR="00DF229E" w:rsidRPr="00F80032" w:rsidRDefault="00BF3022" w:rsidP="004F172A">
      <w:pPr>
        <w:adjustRightInd w:val="0"/>
        <w:snapToGrid w:val="0"/>
        <w:spacing w:after="0" w:line="360" w:lineRule="auto"/>
        <w:jc w:val="both"/>
        <w:rPr>
          <w:rFonts w:ascii="Book Antiqua" w:hAnsi="Book Antiqua"/>
          <w:color w:val="0000FF"/>
          <w:sz w:val="24"/>
          <w:szCs w:val="24"/>
        </w:rPr>
      </w:pPr>
      <w:r w:rsidRPr="00F80032">
        <w:rPr>
          <w:rFonts w:ascii="Book Antiqua" w:eastAsia="Arial Unicode MS" w:hAnsi="Book Antiqua" w:cs="Arial Unicode MS"/>
          <w:b/>
          <w:sz w:val="24"/>
          <w:szCs w:val="24"/>
        </w:rPr>
        <w:t xml:space="preserve">Core </w:t>
      </w:r>
      <w:r w:rsidRPr="00F80032">
        <w:rPr>
          <w:rFonts w:ascii="Book Antiqua" w:hAnsi="Book Antiqua" w:cs="Arial Unicode MS"/>
          <w:b/>
          <w:sz w:val="24"/>
          <w:szCs w:val="24"/>
        </w:rPr>
        <w:t>tip</w:t>
      </w:r>
      <w:r w:rsidRPr="00F80032">
        <w:rPr>
          <w:rFonts w:ascii="Book Antiqua" w:eastAsia="Arial Unicode MS" w:hAnsi="Book Antiqua" w:cs="Arial Unicode MS"/>
          <w:b/>
          <w:sz w:val="24"/>
          <w:szCs w:val="24"/>
        </w:rPr>
        <w:t>:</w:t>
      </w:r>
      <w:bookmarkEnd w:id="17"/>
      <w:bookmarkEnd w:id="18"/>
      <w:bookmarkEnd w:id="19"/>
      <w:r w:rsidR="00F0350D" w:rsidRPr="00F80032">
        <w:rPr>
          <w:rFonts w:ascii="Book Antiqua" w:eastAsia="Arial Unicode MS" w:hAnsi="Book Antiqua" w:cs="Arial Unicode MS"/>
          <w:b/>
          <w:i/>
          <w:caps/>
          <w:sz w:val="24"/>
          <w:szCs w:val="24"/>
        </w:rPr>
        <w:t xml:space="preserve"> </w:t>
      </w:r>
      <w:bookmarkStart w:id="21" w:name="OLE_LINK21"/>
      <w:bookmarkStart w:id="22" w:name="OLE_LINK22"/>
      <w:r w:rsidR="00C413AC" w:rsidRPr="00C413AC">
        <w:rPr>
          <w:rFonts w:ascii="Book Antiqua" w:eastAsia="Arial Unicode MS" w:hAnsi="Book Antiqua" w:cs="Arial Unicode MS" w:hint="eastAsia"/>
          <w:caps/>
          <w:sz w:val="24"/>
          <w:szCs w:val="24"/>
          <w:lang w:eastAsia="zh-CN"/>
        </w:rPr>
        <w:t>T</w:t>
      </w:r>
      <w:r w:rsidR="00C413AC" w:rsidRPr="00C413AC">
        <w:rPr>
          <w:rFonts w:ascii="Book Antiqua" w:eastAsia="Arial Unicode MS" w:hAnsi="Book Antiqua" w:cs="Arial Unicode MS"/>
          <w:sz w:val="24"/>
          <w:szCs w:val="24"/>
          <w:lang w:eastAsia="zh-CN"/>
        </w:rPr>
        <w:t>en percent</w:t>
      </w:r>
      <w:r w:rsidR="00C413AC" w:rsidRPr="00C413AC">
        <w:rPr>
          <w:rFonts w:ascii="Book Antiqua" w:eastAsia="Arial Unicode MS" w:hAnsi="Book Antiqua" w:cs="Arial Unicode MS" w:hint="eastAsia"/>
          <w:caps/>
          <w:sz w:val="24"/>
          <w:szCs w:val="24"/>
          <w:lang w:eastAsia="zh-CN"/>
        </w:rPr>
        <w:t>-</w:t>
      </w:r>
      <w:r w:rsidR="00C413AC">
        <w:rPr>
          <w:rFonts w:ascii="Book Antiqua" w:hAnsi="Book Antiqua" w:cs="Times New Roman" w:hint="eastAsia"/>
          <w:sz w:val="24"/>
          <w:szCs w:val="24"/>
          <w:lang w:eastAsia="zh-CN"/>
        </w:rPr>
        <w:t>sixty percent</w:t>
      </w:r>
      <w:r w:rsidR="00DF229E" w:rsidRPr="00F80032">
        <w:rPr>
          <w:rFonts w:ascii="Book Antiqua" w:hAnsi="Book Antiqua" w:cs="Times New Roman"/>
          <w:sz w:val="24"/>
          <w:szCs w:val="24"/>
        </w:rPr>
        <w:t xml:space="preserve"> of patients who lose response to infliximab</w:t>
      </w:r>
      <w:r w:rsidR="0092550C" w:rsidRPr="00F80032">
        <w:rPr>
          <w:rFonts w:ascii="Book Antiqua" w:hAnsi="Book Antiqua" w:cs="Times New Roman"/>
          <w:sz w:val="24"/>
          <w:szCs w:val="24"/>
        </w:rPr>
        <w:t xml:space="preserve"> (IFX)</w:t>
      </w:r>
      <w:r w:rsidR="00DF229E" w:rsidRPr="00F80032">
        <w:rPr>
          <w:rFonts w:ascii="Book Antiqua" w:hAnsi="Book Antiqua" w:cs="Times New Roman"/>
          <w:sz w:val="24"/>
          <w:szCs w:val="24"/>
        </w:rPr>
        <w:t xml:space="preserve"> have low IFX levels in the absence of </w:t>
      </w:r>
      <w:r w:rsidR="00071436" w:rsidRPr="00F80032">
        <w:rPr>
          <w:rFonts w:ascii="Book Antiqua" w:hAnsi="Book Antiqua" w:cs="Times New Roman"/>
          <w:sz w:val="24"/>
          <w:szCs w:val="24"/>
        </w:rPr>
        <w:t>antibodies to infliximab (ATI)</w:t>
      </w:r>
      <w:r w:rsidR="00071436" w:rsidRPr="00F80032">
        <w:rPr>
          <w:rFonts w:ascii="Book Antiqua" w:hAnsi="Book Antiqua" w:cs="Times New Roman" w:hint="eastAsia"/>
          <w:sz w:val="24"/>
          <w:szCs w:val="24"/>
          <w:lang w:eastAsia="zh-CN"/>
        </w:rPr>
        <w:t xml:space="preserve"> </w:t>
      </w:r>
      <w:r w:rsidR="00DF229E" w:rsidRPr="00F80032">
        <w:rPr>
          <w:rFonts w:ascii="Book Antiqua" w:hAnsi="Book Antiqua" w:cs="Times New Roman"/>
          <w:sz w:val="24"/>
          <w:szCs w:val="24"/>
        </w:rPr>
        <w:t>- double negative (DN) status. We decided to explore the prevalence and the mechanisms responsible for a DN status. We found that the prevalence of DN sera varies with the assay and dilution used. Patients with DN status had shorter survival free of ATI compared with matched controls (</w:t>
      </w:r>
      <w:r w:rsidR="00F0350D" w:rsidRPr="00F80032">
        <w:rPr>
          <w:rFonts w:ascii="Book Antiqua" w:hAnsi="Book Antiqua" w:cs="Times New Roman"/>
          <w:i/>
          <w:caps/>
          <w:sz w:val="24"/>
          <w:szCs w:val="24"/>
        </w:rPr>
        <w:t xml:space="preserve">p &lt; </w:t>
      </w:r>
      <w:r w:rsidR="00DF229E" w:rsidRPr="00F80032">
        <w:rPr>
          <w:rFonts w:ascii="Book Antiqua" w:hAnsi="Book Antiqua" w:cs="Times New Roman"/>
          <w:sz w:val="24"/>
          <w:szCs w:val="24"/>
        </w:rPr>
        <w:t>0.001). We believe DN status may result from false negative detection of IFX or ATI by a conventional ELISA assay, suggesting a transitional state of low-level immunogenicity rather than non-immunological drug clearance</w:t>
      </w:r>
      <w:r w:rsidR="0092550C" w:rsidRPr="00F80032">
        <w:rPr>
          <w:rFonts w:ascii="Book Antiqua" w:hAnsi="Book Antiqua"/>
          <w:color w:val="0000FF"/>
          <w:sz w:val="24"/>
          <w:szCs w:val="24"/>
        </w:rPr>
        <w:t>.</w:t>
      </w:r>
    </w:p>
    <w:bookmarkEnd w:id="20"/>
    <w:bookmarkEnd w:id="21"/>
    <w:bookmarkEnd w:id="22"/>
    <w:p w:rsidR="00BF3022" w:rsidRPr="00F80032" w:rsidRDefault="00BF3022" w:rsidP="004F172A">
      <w:pPr>
        <w:adjustRightInd w:val="0"/>
        <w:snapToGrid w:val="0"/>
        <w:spacing w:after="0" w:line="360" w:lineRule="auto"/>
        <w:jc w:val="both"/>
        <w:rPr>
          <w:rFonts w:ascii="Book Antiqua" w:hAnsi="Book Antiqua" w:cs="Times New Roman"/>
          <w:sz w:val="24"/>
          <w:szCs w:val="24"/>
          <w:lang w:eastAsia="zh-CN"/>
        </w:rPr>
      </w:pPr>
    </w:p>
    <w:p w:rsidR="00FD79BD" w:rsidRPr="00A720EE" w:rsidRDefault="00FD79BD" w:rsidP="00A720EE">
      <w:pPr>
        <w:adjustRightInd w:val="0"/>
        <w:snapToGrid w:val="0"/>
        <w:spacing w:after="0" w:line="360" w:lineRule="auto"/>
        <w:jc w:val="both"/>
        <w:rPr>
          <w:rFonts w:ascii="Book Antiqua" w:hAnsi="Book Antiqua" w:cs="Times New Roman"/>
          <w:sz w:val="24"/>
          <w:szCs w:val="24"/>
          <w:lang w:eastAsia="zh-CN"/>
        </w:rPr>
      </w:pPr>
      <w:proofErr w:type="spellStart"/>
      <w:r w:rsidRPr="00F80032">
        <w:rPr>
          <w:rFonts w:ascii="Book Antiqua" w:hAnsi="Book Antiqua" w:cs="Times New Roman"/>
          <w:sz w:val="24"/>
          <w:szCs w:val="24"/>
        </w:rPr>
        <w:t>Ungar</w:t>
      </w:r>
      <w:proofErr w:type="spellEnd"/>
      <w:r w:rsidRPr="00F80032">
        <w:rPr>
          <w:rFonts w:ascii="Book Antiqua" w:hAnsi="Book Antiqua" w:cs="Times New Roman" w:hint="eastAsia"/>
          <w:sz w:val="24"/>
          <w:szCs w:val="24"/>
          <w:lang w:eastAsia="zh-CN"/>
        </w:rPr>
        <w:t xml:space="preserve"> B</w:t>
      </w:r>
      <w:r w:rsidRPr="00F80032">
        <w:rPr>
          <w:rFonts w:ascii="Book Antiqua" w:hAnsi="Book Antiqua" w:cs="Times New Roman"/>
          <w:sz w:val="24"/>
          <w:szCs w:val="24"/>
        </w:rPr>
        <w:t xml:space="preserve">, </w:t>
      </w:r>
      <w:proofErr w:type="spellStart"/>
      <w:r w:rsidRPr="00F80032">
        <w:rPr>
          <w:rFonts w:ascii="Book Antiqua" w:hAnsi="Book Antiqua" w:cs="Times New Roman"/>
          <w:sz w:val="24"/>
          <w:szCs w:val="24"/>
        </w:rPr>
        <w:t>Anafy</w:t>
      </w:r>
      <w:proofErr w:type="spellEnd"/>
      <w:r w:rsidRPr="00F80032">
        <w:rPr>
          <w:rFonts w:ascii="Book Antiqua" w:hAnsi="Book Antiqua" w:cs="Times New Roman" w:hint="eastAsia"/>
          <w:sz w:val="24"/>
          <w:szCs w:val="24"/>
          <w:lang w:eastAsia="zh-CN"/>
        </w:rPr>
        <w:t xml:space="preserve"> A</w:t>
      </w:r>
      <w:r w:rsidRPr="00F80032">
        <w:rPr>
          <w:rFonts w:ascii="Book Antiqua" w:hAnsi="Book Antiqua" w:cs="Times New Roman"/>
          <w:sz w:val="24"/>
          <w:szCs w:val="24"/>
        </w:rPr>
        <w:t xml:space="preserve">, </w:t>
      </w:r>
      <w:proofErr w:type="spellStart"/>
      <w:r w:rsidRPr="00F80032">
        <w:rPr>
          <w:rFonts w:ascii="Book Antiqua" w:hAnsi="Book Antiqua" w:cs="Times New Roman"/>
          <w:sz w:val="24"/>
          <w:szCs w:val="24"/>
        </w:rPr>
        <w:t>Yanai</w:t>
      </w:r>
      <w:proofErr w:type="spellEnd"/>
      <w:r w:rsidRPr="00F80032">
        <w:rPr>
          <w:rFonts w:ascii="Book Antiqua" w:hAnsi="Book Antiqua" w:cs="Times New Roman" w:hint="eastAsia"/>
          <w:sz w:val="24"/>
          <w:szCs w:val="24"/>
          <w:lang w:eastAsia="zh-CN"/>
        </w:rPr>
        <w:t xml:space="preserve"> H</w:t>
      </w:r>
      <w:r w:rsidRPr="00F80032">
        <w:rPr>
          <w:rFonts w:ascii="Book Antiqua" w:hAnsi="Book Antiqua" w:cs="Times New Roman"/>
          <w:sz w:val="24"/>
          <w:szCs w:val="24"/>
        </w:rPr>
        <w:t>, Ron</w:t>
      </w:r>
      <w:r w:rsidRPr="00F80032">
        <w:rPr>
          <w:rFonts w:ascii="Book Antiqua" w:hAnsi="Book Antiqua" w:cs="Times New Roman" w:hint="eastAsia"/>
          <w:sz w:val="24"/>
          <w:szCs w:val="24"/>
          <w:lang w:eastAsia="zh-CN"/>
        </w:rPr>
        <w:t xml:space="preserve"> Y</w:t>
      </w:r>
      <w:r w:rsidRPr="00F80032">
        <w:rPr>
          <w:rFonts w:ascii="Book Antiqua" w:hAnsi="Book Antiqua" w:cs="Times New Roman"/>
          <w:sz w:val="24"/>
          <w:szCs w:val="24"/>
        </w:rPr>
        <w:t xml:space="preserve">, </w:t>
      </w:r>
      <w:proofErr w:type="spellStart"/>
      <w:r w:rsidRPr="00F80032">
        <w:rPr>
          <w:rFonts w:ascii="Book Antiqua" w:hAnsi="Book Antiqua" w:cs="Times New Roman"/>
          <w:sz w:val="24"/>
          <w:szCs w:val="24"/>
        </w:rPr>
        <w:t>Yavzori</w:t>
      </w:r>
      <w:proofErr w:type="spellEnd"/>
      <w:r w:rsidRPr="00F80032">
        <w:rPr>
          <w:rFonts w:ascii="Book Antiqua" w:hAnsi="Book Antiqua" w:cs="Times New Roman" w:hint="eastAsia"/>
          <w:sz w:val="24"/>
          <w:szCs w:val="24"/>
          <w:lang w:eastAsia="zh-CN"/>
        </w:rPr>
        <w:t xml:space="preserve"> M</w:t>
      </w:r>
      <w:r w:rsidRPr="00F80032">
        <w:rPr>
          <w:rFonts w:ascii="Book Antiqua" w:hAnsi="Book Antiqua" w:cs="Times New Roman"/>
          <w:sz w:val="24"/>
          <w:szCs w:val="24"/>
        </w:rPr>
        <w:t>, Picard</w:t>
      </w:r>
      <w:r w:rsidRPr="00F80032">
        <w:rPr>
          <w:rFonts w:ascii="Book Antiqua" w:hAnsi="Book Antiqua" w:cs="Times New Roman" w:hint="eastAsia"/>
          <w:sz w:val="24"/>
          <w:szCs w:val="24"/>
          <w:lang w:eastAsia="zh-CN"/>
        </w:rPr>
        <w:t xml:space="preserve"> O</w:t>
      </w:r>
      <w:r w:rsidRPr="00F80032">
        <w:rPr>
          <w:rFonts w:ascii="Book Antiqua" w:hAnsi="Book Antiqua" w:cs="Times New Roman"/>
          <w:sz w:val="24"/>
          <w:szCs w:val="24"/>
        </w:rPr>
        <w:t xml:space="preserve">, </w:t>
      </w:r>
      <w:proofErr w:type="spellStart"/>
      <w:r w:rsidRPr="00F80032">
        <w:rPr>
          <w:rFonts w:ascii="Book Antiqua" w:hAnsi="Book Antiqua" w:cs="Times New Roman"/>
          <w:sz w:val="24"/>
          <w:szCs w:val="24"/>
        </w:rPr>
        <w:t>Fudim</w:t>
      </w:r>
      <w:proofErr w:type="spellEnd"/>
      <w:r w:rsidRPr="00F80032">
        <w:rPr>
          <w:rFonts w:ascii="Book Antiqua" w:hAnsi="Book Antiqua" w:cs="Times New Roman" w:hint="eastAsia"/>
          <w:sz w:val="24"/>
          <w:szCs w:val="24"/>
          <w:lang w:eastAsia="zh-CN"/>
        </w:rPr>
        <w:t xml:space="preserve"> E</w:t>
      </w:r>
      <w:r w:rsidRPr="00F80032">
        <w:rPr>
          <w:rFonts w:ascii="Book Antiqua" w:hAnsi="Book Antiqua" w:cs="Times New Roman"/>
          <w:sz w:val="24"/>
          <w:szCs w:val="24"/>
        </w:rPr>
        <w:t xml:space="preserve">, </w:t>
      </w:r>
      <w:proofErr w:type="spellStart"/>
      <w:r w:rsidRPr="00F80032">
        <w:rPr>
          <w:rFonts w:ascii="Book Antiqua" w:hAnsi="Book Antiqua" w:cs="Times New Roman"/>
          <w:sz w:val="24"/>
          <w:szCs w:val="24"/>
        </w:rPr>
        <w:t>Loebstein</w:t>
      </w:r>
      <w:proofErr w:type="spellEnd"/>
      <w:r w:rsidRPr="00F80032">
        <w:rPr>
          <w:rFonts w:ascii="Book Antiqua" w:hAnsi="Book Antiqua" w:cs="Times New Roman" w:hint="eastAsia"/>
          <w:sz w:val="24"/>
          <w:szCs w:val="24"/>
          <w:lang w:eastAsia="zh-CN"/>
        </w:rPr>
        <w:t xml:space="preserve"> R</w:t>
      </w:r>
      <w:r w:rsidRPr="00F80032">
        <w:rPr>
          <w:rFonts w:ascii="Book Antiqua" w:hAnsi="Book Antiqua" w:cs="Times New Roman"/>
          <w:sz w:val="24"/>
          <w:szCs w:val="24"/>
        </w:rPr>
        <w:t xml:space="preserve">, </w:t>
      </w:r>
      <w:proofErr w:type="spellStart"/>
      <w:r w:rsidRPr="00F80032">
        <w:rPr>
          <w:rFonts w:ascii="Book Antiqua" w:hAnsi="Book Antiqua" w:cs="Times New Roman"/>
          <w:sz w:val="24"/>
          <w:szCs w:val="24"/>
        </w:rPr>
        <w:t>Kopylov</w:t>
      </w:r>
      <w:proofErr w:type="spellEnd"/>
      <w:r w:rsidRPr="00F80032">
        <w:rPr>
          <w:rFonts w:ascii="Book Antiqua" w:hAnsi="Book Antiqua" w:cs="Times New Roman" w:hint="eastAsia"/>
          <w:sz w:val="24"/>
          <w:szCs w:val="24"/>
          <w:lang w:eastAsia="zh-CN"/>
        </w:rPr>
        <w:t xml:space="preserve"> U</w:t>
      </w:r>
      <w:r w:rsidRPr="00F80032">
        <w:rPr>
          <w:rFonts w:ascii="Book Antiqua" w:hAnsi="Book Antiqua" w:cs="Times New Roman"/>
          <w:sz w:val="24"/>
          <w:szCs w:val="24"/>
        </w:rPr>
        <w:t xml:space="preserve">, </w:t>
      </w:r>
      <w:proofErr w:type="spellStart"/>
      <w:r w:rsidRPr="00F80032">
        <w:rPr>
          <w:rFonts w:ascii="Book Antiqua" w:hAnsi="Book Antiqua" w:cs="Times New Roman"/>
          <w:sz w:val="24"/>
          <w:szCs w:val="24"/>
        </w:rPr>
        <w:t>Chowers</w:t>
      </w:r>
      <w:proofErr w:type="spellEnd"/>
      <w:r w:rsidRPr="00F80032">
        <w:rPr>
          <w:rFonts w:ascii="Book Antiqua" w:hAnsi="Book Antiqua" w:cs="Times New Roman" w:hint="eastAsia"/>
          <w:sz w:val="24"/>
          <w:szCs w:val="24"/>
          <w:lang w:eastAsia="zh-CN"/>
        </w:rPr>
        <w:t xml:space="preserve"> Y</w:t>
      </w:r>
      <w:r w:rsidRPr="00F80032">
        <w:rPr>
          <w:rFonts w:ascii="Book Antiqua" w:hAnsi="Book Antiqua" w:cs="Times New Roman"/>
          <w:sz w:val="24"/>
          <w:szCs w:val="24"/>
        </w:rPr>
        <w:t xml:space="preserve">, </w:t>
      </w:r>
      <w:proofErr w:type="spellStart"/>
      <w:r w:rsidRPr="00F80032">
        <w:rPr>
          <w:rFonts w:ascii="Book Antiqua" w:hAnsi="Book Antiqua" w:cs="Times New Roman"/>
          <w:sz w:val="24"/>
          <w:szCs w:val="24"/>
        </w:rPr>
        <w:t>Dotan</w:t>
      </w:r>
      <w:proofErr w:type="spellEnd"/>
      <w:r w:rsidRPr="00F80032">
        <w:rPr>
          <w:rFonts w:ascii="Book Antiqua" w:hAnsi="Book Antiqua" w:cs="Times New Roman" w:hint="eastAsia"/>
          <w:sz w:val="24"/>
          <w:szCs w:val="24"/>
          <w:lang w:eastAsia="zh-CN"/>
        </w:rPr>
        <w:t xml:space="preserve"> I</w:t>
      </w:r>
      <w:r w:rsidRPr="00F80032">
        <w:rPr>
          <w:rFonts w:ascii="Book Antiqua" w:hAnsi="Book Antiqua" w:cs="Times New Roman"/>
          <w:sz w:val="24"/>
          <w:szCs w:val="24"/>
        </w:rPr>
        <w:t xml:space="preserve">, </w:t>
      </w:r>
      <w:proofErr w:type="spellStart"/>
      <w:r w:rsidRPr="00F80032">
        <w:rPr>
          <w:rFonts w:ascii="Book Antiqua" w:hAnsi="Book Antiqua" w:cs="Times New Roman"/>
          <w:sz w:val="24"/>
          <w:szCs w:val="24"/>
        </w:rPr>
        <w:t>Eliakim</w:t>
      </w:r>
      <w:proofErr w:type="spellEnd"/>
      <w:r w:rsidRPr="00F80032">
        <w:rPr>
          <w:rFonts w:ascii="Book Antiqua" w:hAnsi="Book Antiqua" w:cs="Times New Roman" w:hint="eastAsia"/>
          <w:sz w:val="24"/>
          <w:szCs w:val="24"/>
          <w:lang w:eastAsia="zh-CN"/>
        </w:rPr>
        <w:t xml:space="preserve"> R</w:t>
      </w:r>
      <w:r w:rsidRPr="00F80032">
        <w:rPr>
          <w:rFonts w:ascii="Book Antiqua" w:hAnsi="Book Antiqua" w:cs="Times New Roman"/>
          <w:sz w:val="24"/>
          <w:szCs w:val="24"/>
        </w:rPr>
        <w:t xml:space="preserve">, </w:t>
      </w:r>
      <w:proofErr w:type="gramStart"/>
      <w:r w:rsidRPr="00F80032">
        <w:rPr>
          <w:rFonts w:ascii="Book Antiqua" w:hAnsi="Book Antiqua" w:cs="Times New Roman"/>
          <w:sz w:val="24"/>
          <w:szCs w:val="24"/>
        </w:rPr>
        <w:t>Ben</w:t>
      </w:r>
      <w:proofErr w:type="gramEnd"/>
      <w:r w:rsidRPr="00F80032">
        <w:rPr>
          <w:rFonts w:ascii="Book Antiqua" w:hAnsi="Book Antiqua" w:cs="Times New Roman"/>
          <w:sz w:val="24"/>
          <w:szCs w:val="24"/>
        </w:rPr>
        <w:t>-</w:t>
      </w:r>
      <w:proofErr w:type="spellStart"/>
      <w:r w:rsidRPr="00F80032">
        <w:rPr>
          <w:rFonts w:ascii="Book Antiqua" w:hAnsi="Book Antiqua" w:cs="Times New Roman"/>
          <w:sz w:val="24"/>
          <w:szCs w:val="24"/>
        </w:rPr>
        <w:t>Horin</w:t>
      </w:r>
      <w:proofErr w:type="spellEnd"/>
      <w:r w:rsidRPr="00F80032">
        <w:rPr>
          <w:rFonts w:ascii="Book Antiqua" w:hAnsi="Book Antiqua" w:cs="Times New Roman" w:hint="eastAsia"/>
          <w:sz w:val="24"/>
          <w:szCs w:val="24"/>
          <w:lang w:eastAsia="zh-CN"/>
        </w:rPr>
        <w:t xml:space="preserve"> S. </w:t>
      </w:r>
      <w:r w:rsidR="00A720EE" w:rsidRPr="00F80032">
        <w:rPr>
          <w:rFonts w:ascii="Book Antiqua" w:hAnsi="Book Antiqua" w:cs="Times New Roman"/>
          <w:b/>
          <w:bCs/>
          <w:sz w:val="24"/>
          <w:szCs w:val="24"/>
        </w:rPr>
        <w:t>S</w:t>
      </w:r>
      <w:r w:rsidR="00A720EE" w:rsidRPr="00A720EE">
        <w:rPr>
          <w:rFonts w:ascii="Book Antiqua" w:hAnsi="Book Antiqua" w:cs="Times New Roman"/>
          <w:bCs/>
          <w:sz w:val="24"/>
          <w:szCs w:val="24"/>
        </w:rPr>
        <w:t>ignificance of low level infliximab in the absence of anti-infliximab antibodies</w:t>
      </w:r>
      <w:r w:rsidR="00A720EE" w:rsidRPr="00A720EE">
        <w:rPr>
          <w:rFonts w:ascii="Book Antiqua" w:hAnsi="Book Antiqua" w:cs="Times New Roman"/>
          <w:sz w:val="24"/>
          <w:szCs w:val="24"/>
          <w:lang w:eastAsia="zh-CN"/>
        </w:rPr>
        <w:t xml:space="preserve"> of </w:t>
      </w:r>
      <w:r w:rsidR="00A720EE" w:rsidRPr="00A720EE">
        <w:rPr>
          <w:rFonts w:ascii="Book Antiqua" w:hAnsi="Book Antiqua" w:cs="Times New Roman"/>
          <w:sz w:val="24"/>
          <w:szCs w:val="24"/>
        </w:rPr>
        <w:t>inflammatory bowel disease</w:t>
      </w:r>
      <w:r w:rsidRPr="00F80032">
        <w:rPr>
          <w:rFonts w:ascii="Book Antiqua" w:hAnsi="Book Antiqua" w:cs="Times New Roman" w:hint="eastAsia"/>
          <w:bCs/>
          <w:sz w:val="24"/>
          <w:szCs w:val="24"/>
          <w:lang w:eastAsia="zh-CN"/>
        </w:rPr>
        <w:t xml:space="preserve">. </w:t>
      </w:r>
      <w:r w:rsidRPr="00F80032">
        <w:rPr>
          <w:rFonts w:ascii="Book Antiqua" w:hAnsi="Book Antiqua" w:cs="Times New Roman"/>
          <w:bCs/>
          <w:i/>
          <w:sz w:val="24"/>
          <w:szCs w:val="24"/>
          <w:lang w:eastAsia="zh-CN"/>
        </w:rPr>
        <w:t xml:space="preserve">World J </w:t>
      </w:r>
      <w:proofErr w:type="spellStart"/>
      <w:r w:rsidRPr="00F80032">
        <w:rPr>
          <w:rFonts w:ascii="Book Antiqua" w:hAnsi="Book Antiqua" w:cs="Times New Roman"/>
          <w:bCs/>
          <w:i/>
          <w:sz w:val="24"/>
          <w:szCs w:val="24"/>
          <w:lang w:eastAsia="zh-CN"/>
        </w:rPr>
        <w:t>Gastroenterol</w:t>
      </w:r>
      <w:proofErr w:type="spellEnd"/>
      <w:r w:rsidRPr="00F80032">
        <w:rPr>
          <w:rFonts w:ascii="Book Antiqua" w:hAnsi="Book Antiqua" w:cs="Times New Roman"/>
          <w:bCs/>
          <w:sz w:val="24"/>
          <w:szCs w:val="24"/>
          <w:lang w:eastAsia="zh-CN"/>
        </w:rPr>
        <w:t xml:space="preserve"> 201</w:t>
      </w:r>
      <w:r w:rsidRPr="00F80032">
        <w:rPr>
          <w:rFonts w:ascii="Book Antiqua" w:hAnsi="Book Antiqua" w:cs="Times New Roman" w:hint="eastAsia"/>
          <w:bCs/>
          <w:sz w:val="24"/>
          <w:szCs w:val="24"/>
          <w:lang w:eastAsia="zh-CN"/>
        </w:rPr>
        <w:t>4</w:t>
      </w:r>
      <w:r w:rsidRPr="00F80032">
        <w:rPr>
          <w:rFonts w:ascii="Book Antiqua" w:hAnsi="Book Antiqua" w:cs="Times New Roman"/>
          <w:bCs/>
          <w:sz w:val="24"/>
          <w:szCs w:val="24"/>
          <w:lang w:eastAsia="zh-CN"/>
        </w:rPr>
        <w:t xml:space="preserve">; </w:t>
      </w:r>
      <w:proofErr w:type="gramStart"/>
      <w:r w:rsidRPr="00F80032">
        <w:rPr>
          <w:rFonts w:ascii="Book Antiqua" w:hAnsi="Book Antiqua" w:cs="Times New Roman" w:hint="eastAsia"/>
          <w:bCs/>
          <w:sz w:val="24"/>
          <w:szCs w:val="24"/>
          <w:lang w:eastAsia="zh-CN"/>
        </w:rPr>
        <w:t>In</w:t>
      </w:r>
      <w:proofErr w:type="gramEnd"/>
      <w:r w:rsidRPr="00F80032">
        <w:rPr>
          <w:rFonts w:ascii="Book Antiqua" w:hAnsi="Book Antiqua" w:cs="Times New Roman" w:hint="eastAsia"/>
          <w:bCs/>
          <w:sz w:val="24"/>
          <w:szCs w:val="24"/>
          <w:lang w:eastAsia="zh-CN"/>
        </w:rPr>
        <w:t xml:space="preserve"> </w:t>
      </w:r>
      <w:r w:rsidRPr="00F80032">
        <w:rPr>
          <w:rFonts w:ascii="Book Antiqua" w:hAnsi="Book Antiqua" w:cs="Times New Roman"/>
          <w:bCs/>
          <w:sz w:val="24"/>
          <w:szCs w:val="24"/>
          <w:lang w:eastAsia="zh-CN"/>
        </w:rPr>
        <w:t>p</w:t>
      </w:r>
      <w:r w:rsidRPr="00F80032">
        <w:rPr>
          <w:rFonts w:ascii="Book Antiqua" w:hAnsi="Book Antiqua" w:cs="Times New Roman" w:hint="eastAsia"/>
          <w:bCs/>
          <w:sz w:val="24"/>
          <w:szCs w:val="24"/>
          <w:lang w:eastAsia="zh-CN"/>
        </w:rPr>
        <w:t>ress</w:t>
      </w:r>
    </w:p>
    <w:p w:rsidR="00FD79BD" w:rsidRPr="00F80032" w:rsidRDefault="00FD79BD" w:rsidP="004F172A">
      <w:pPr>
        <w:adjustRightInd w:val="0"/>
        <w:snapToGrid w:val="0"/>
        <w:spacing w:after="0" w:line="360" w:lineRule="auto"/>
        <w:jc w:val="both"/>
        <w:rPr>
          <w:rFonts w:ascii="Book Antiqua" w:hAnsi="Book Antiqua" w:cs="Times New Roman"/>
          <w:sz w:val="24"/>
          <w:szCs w:val="24"/>
          <w:lang w:eastAsia="zh-CN"/>
        </w:rPr>
      </w:pPr>
    </w:p>
    <w:p w:rsidR="001967A2" w:rsidRPr="00F80032" w:rsidRDefault="001967A2" w:rsidP="004F172A">
      <w:pPr>
        <w:adjustRightInd w:val="0"/>
        <w:snapToGrid w:val="0"/>
        <w:spacing w:after="0" w:line="360" w:lineRule="auto"/>
        <w:jc w:val="both"/>
        <w:rPr>
          <w:rFonts w:ascii="Book Antiqua" w:hAnsi="Book Antiqua" w:cs="Times New Roman"/>
          <w:b/>
          <w:bCs/>
          <w:sz w:val="24"/>
          <w:szCs w:val="24"/>
        </w:rPr>
      </w:pPr>
      <w:r w:rsidRPr="00F80032">
        <w:rPr>
          <w:rFonts w:ascii="Book Antiqua" w:hAnsi="Book Antiqua" w:cs="Times New Roman"/>
          <w:b/>
          <w:bCs/>
          <w:sz w:val="24"/>
          <w:szCs w:val="24"/>
        </w:rPr>
        <w:t>INTRODUCTION</w:t>
      </w:r>
    </w:p>
    <w:p w:rsidR="001967A2" w:rsidRPr="00F80032" w:rsidRDefault="003D0489" w:rsidP="004F172A">
      <w:pPr>
        <w:adjustRightInd w:val="0"/>
        <w:snapToGrid w:val="0"/>
        <w:spacing w:after="0" w:line="360" w:lineRule="auto"/>
        <w:jc w:val="both"/>
        <w:rPr>
          <w:rFonts w:ascii="Book Antiqua" w:hAnsi="Book Antiqua" w:cs="Times New Roman"/>
          <w:sz w:val="24"/>
          <w:szCs w:val="24"/>
        </w:rPr>
      </w:pPr>
      <w:r w:rsidRPr="00F80032">
        <w:rPr>
          <w:rFonts w:ascii="Book Antiqua" w:hAnsi="Book Antiqua" w:cs="Times New Roman"/>
          <w:sz w:val="24"/>
          <w:szCs w:val="24"/>
        </w:rPr>
        <w:t>Infliximab (</w:t>
      </w:r>
      <w:r w:rsidR="001967A2" w:rsidRPr="00F80032">
        <w:rPr>
          <w:rFonts w:ascii="Book Antiqua" w:hAnsi="Book Antiqua" w:cs="Times New Roman"/>
          <w:sz w:val="24"/>
          <w:szCs w:val="24"/>
        </w:rPr>
        <w:t>IFX</w:t>
      </w:r>
      <w:r w:rsidRPr="00F80032">
        <w:rPr>
          <w:rFonts w:ascii="Book Antiqua" w:hAnsi="Book Antiqua" w:cs="Times New Roman"/>
          <w:sz w:val="24"/>
          <w:szCs w:val="24"/>
        </w:rPr>
        <w:t>)</w:t>
      </w:r>
      <w:r w:rsidR="001967A2" w:rsidRPr="00F80032">
        <w:rPr>
          <w:rFonts w:ascii="Book Antiqua" w:hAnsi="Book Antiqua" w:cs="Times New Roman"/>
          <w:sz w:val="24"/>
          <w:szCs w:val="24"/>
        </w:rPr>
        <w:t xml:space="preserve"> is a chimeric mouse - human monoclonal immunoglobulin G1 (IgG1) antibody against tumor necrosis factor α (TNFα). It is effective in induction and maintenance of remission in Crohn's disease (CD) and ulcerative colitis (UC</w:t>
      </w:r>
      <w:proofErr w:type="gramStart"/>
      <w:r w:rsidR="001967A2" w:rsidRPr="00F80032">
        <w:rPr>
          <w:rFonts w:ascii="Book Antiqua" w:hAnsi="Book Antiqua"/>
          <w:sz w:val="24"/>
          <w:szCs w:val="24"/>
        </w:rPr>
        <w:t>)</w:t>
      </w:r>
      <w:r w:rsidR="00BF3022" w:rsidRPr="00F80032">
        <w:rPr>
          <w:rFonts w:ascii="Book Antiqua" w:hAnsi="Book Antiqua"/>
          <w:sz w:val="24"/>
          <w:szCs w:val="24"/>
          <w:vertAlign w:val="superscript"/>
          <w:lang w:eastAsia="zh-CN"/>
        </w:rPr>
        <w:t>[</w:t>
      </w:r>
      <w:proofErr w:type="gramEnd"/>
      <w:r w:rsidR="001967A2" w:rsidRPr="00F80032">
        <w:rPr>
          <w:rFonts w:ascii="Book Antiqua" w:hAnsi="Book Antiqua" w:cs="Times New Roman"/>
          <w:noProof/>
          <w:sz w:val="24"/>
          <w:szCs w:val="24"/>
          <w:vertAlign w:val="superscript"/>
        </w:rPr>
        <w:t>1-3</w:t>
      </w:r>
      <w:r w:rsidR="00BF3022" w:rsidRPr="00F80032">
        <w:rPr>
          <w:rFonts w:ascii="Book Antiqua" w:hAnsi="Book Antiqua" w:cs="Times New Roman"/>
          <w:noProof/>
          <w:sz w:val="24"/>
          <w:szCs w:val="24"/>
          <w:vertAlign w:val="superscript"/>
          <w:lang w:eastAsia="zh-CN"/>
        </w:rPr>
        <w:t>]</w:t>
      </w:r>
      <w:r w:rsidR="0085330E" w:rsidRPr="00F80032">
        <w:rPr>
          <w:rFonts w:ascii="Book Antiqua" w:hAnsi="Book Antiqua" w:cs="Times New Roman"/>
          <w:sz w:val="24"/>
          <w:szCs w:val="24"/>
        </w:rPr>
        <w:t>.</w:t>
      </w:r>
      <w:r w:rsidR="002F39C0" w:rsidRPr="00F80032">
        <w:rPr>
          <w:rFonts w:ascii="Book Antiqua" w:hAnsi="Book Antiqua" w:cs="Times New Roman"/>
          <w:sz w:val="24"/>
          <w:szCs w:val="24"/>
        </w:rPr>
        <w:t xml:space="preserve"> </w:t>
      </w:r>
      <w:r w:rsidR="005F54D3" w:rsidRPr="00F80032">
        <w:rPr>
          <w:rFonts w:ascii="Book Antiqua" w:hAnsi="Book Antiqua" w:cs="Times New Roman"/>
          <w:sz w:val="24"/>
          <w:szCs w:val="24"/>
        </w:rPr>
        <w:t xml:space="preserve">Between </w:t>
      </w:r>
      <w:r w:rsidR="001967A2" w:rsidRPr="00F80032">
        <w:rPr>
          <w:rFonts w:ascii="Book Antiqua" w:hAnsi="Book Antiqua" w:cs="Times New Roman"/>
          <w:sz w:val="24"/>
          <w:szCs w:val="24"/>
        </w:rPr>
        <w:t>30</w:t>
      </w:r>
      <w:r w:rsidR="00FD79BD" w:rsidRPr="00F80032">
        <w:rPr>
          <w:rFonts w:ascii="Book Antiqua" w:hAnsi="Book Antiqua" w:cs="Times New Roman" w:hint="eastAsia"/>
          <w:sz w:val="24"/>
          <w:szCs w:val="24"/>
          <w:lang w:eastAsia="zh-CN"/>
        </w:rPr>
        <w:t>%</w:t>
      </w:r>
      <w:r w:rsidR="001967A2" w:rsidRPr="00F80032">
        <w:rPr>
          <w:rFonts w:ascii="Book Antiqua" w:hAnsi="Book Antiqua" w:cs="Times New Roman"/>
          <w:sz w:val="24"/>
          <w:szCs w:val="24"/>
        </w:rPr>
        <w:t xml:space="preserve">-70% of patients who initially respond to IFX subsequently lose response and experience exacerbation of symptoms necessitating either dose escalation, switch to another anti-TNF agent, concomitant </w:t>
      </w:r>
      <w:proofErr w:type="spellStart"/>
      <w:r w:rsidR="001967A2" w:rsidRPr="00F80032">
        <w:rPr>
          <w:rFonts w:ascii="Book Antiqua" w:hAnsi="Book Antiqua" w:cs="Times New Roman"/>
          <w:sz w:val="24"/>
          <w:szCs w:val="24"/>
        </w:rPr>
        <w:t>immunomodulator</w:t>
      </w:r>
      <w:proofErr w:type="spellEnd"/>
      <w:r w:rsidR="001967A2" w:rsidRPr="00F80032">
        <w:rPr>
          <w:rFonts w:ascii="Book Antiqua" w:hAnsi="Book Antiqua" w:cs="Times New Roman"/>
          <w:sz w:val="24"/>
          <w:szCs w:val="24"/>
        </w:rPr>
        <w:t xml:space="preserve"> therapy or surgical </w:t>
      </w:r>
      <w:proofErr w:type="gramStart"/>
      <w:r w:rsidR="001967A2" w:rsidRPr="00F80032">
        <w:rPr>
          <w:rFonts w:ascii="Book Antiqua" w:hAnsi="Book Antiqua" w:cs="Times New Roman"/>
          <w:sz w:val="24"/>
          <w:szCs w:val="24"/>
        </w:rPr>
        <w:t>intervention</w:t>
      </w:r>
      <w:r w:rsidR="005D16E4" w:rsidRPr="00F80032">
        <w:rPr>
          <w:rFonts w:ascii="Book Antiqua" w:hAnsi="Book Antiqua" w:cs="Times New Roman"/>
          <w:noProof/>
          <w:sz w:val="24"/>
          <w:szCs w:val="24"/>
          <w:vertAlign w:val="superscript"/>
        </w:rPr>
        <w:t>[</w:t>
      </w:r>
      <w:proofErr w:type="gramEnd"/>
      <w:r w:rsidR="001967A2" w:rsidRPr="00F80032">
        <w:rPr>
          <w:rFonts w:ascii="Book Antiqua" w:hAnsi="Book Antiqua" w:cs="Times New Roman"/>
          <w:noProof/>
          <w:sz w:val="24"/>
          <w:szCs w:val="24"/>
          <w:vertAlign w:val="superscript"/>
        </w:rPr>
        <w:t>4-6</w:t>
      </w:r>
      <w:r w:rsidR="005D16E4" w:rsidRPr="00F80032">
        <w:rPr>
          <w:rFonts w:ascii="Book Antiqua" w:hAnsi="Book Antiqua" w:cs="Times New Roman"/>
          <w:noProof/>
          <w:sz w:val="24"/>
          <w:szCs w:val="24"/>
          <w:vertAlign w:val="superscript"/>
        </w:rPr>
        <w:t>]</w:t>
      </w:r>
      <w:r w:rsidR="001967A2" w:rsidRPr="00F80032">
        <w:rPr>
          <w:rFonts w:ascii="Book Antiqua" w:hAnsi="Book Antiqua"/>
          <w:sz w:val="24"/>
          <w:szCs w:val="24"/>
        </w:rPr>
        <w:t>.</w:t>
      </w:r>
      <w:r w:rsidR="001967A2" w:rsidRPr="00F80032">
        <w:rPr>
          <w:rFonts w:ascii="Book Antiqua" w:hAnsi="Book Antiqua" w:cs="Times New Roman"/>
          <w:sz w:val="24"/>
          <w:szCs w:val="24"/>
        </w:rPr>
        <w:t xml:space="preserve"> Antibodies to infliximab (ATI) develop in approximately 40% of IFX treated patients and correlate with lower IFX trough levels and clinical loss of response (LOR</w:t>
      </w:r>
      <w:proofErr w:type="gramStart"/>
      <w:r w:rsidR="001967A2" w:rsidRPr="00F80032">
        <w:rPr>
          <w:rFonts w:ascii="Book Antiqua" w:hAnsi="Book Antiqua" w:cs="Times New Roman"/>
          <w:sz w:val="24"/>
          <w:szCs w:val="24"/>
        </w:rPr>
        <w:t>)</w:t>
      </w:r>
      <w:r w:rsidR="005D16E4" w:rsidRPr="00F80032">
        <w:rPr>
          <w:rFonts w:ascii="Book Antiqua" w:hAnsi="Book Antiqua" w:cs="Times New Roman"/>
          <w:noProof/>
          <w:sz w:val="24"/>
          <w:szCs w:val="24"/>
          <w:vertAlign w:val="superscript"/>
        </w:rPr>
        <w:t>[</w:t>
      </w:r>
      <w:proofErr w:type="gramEnd"/>
      <w:r w:rsidR="005D16E4" w:rsidRPr="00F80032">
        <w:rPr>
          <w:rFonts w:ascii="Book Antiqua" w:hAnsi="Book Antiqua" w:cs="Times New Roman"/>
          <w:noProof/>
          <w:sz w:val="24"/>
          <w:szCs w:val="24"/>
          <w:vertAlign w:val="superscript"/>
        </w:rPr>
        <w:t>7,</w:t>
      </w:r>
      <w:r w:rsidR="001967A2" w:rsidRPr="00F80032">
        <w:rPr>
          <w:rFonts w:ascii="Book Antiqua" w:hAnsi="Book Antiqua" w:cs="Times New Roman"/>
          <w:noProof/>
          <w:sz w:val="24"/>
          <w:szCs w:val="24"/>
          <w:vertAlign w:val="superscript"/>
        </w:rPr>
        <w:t>8</w:t>
      </w:r>
      <w:r w:rsidR="005D16E4" w:rsidRPr="00F80032">
        <w:rPr>
          <w:rFonts w:ascii="Book Antiqua" w:hAnsi="Book Antiqua" w:cs="Times New Roman"/>
          <w:noProof/>
          <w:sz w:val="24"/>
          <w:szCs w:val="24"/>
          <w:vertAlign w:val="superscript"/>
        </w:rPr>
        <w:t>]</w:t>
      </w:r>
      <w:r w:rsidR="001967A2" w:rsidRPr="00F80032">
        <w:rPr>
          <w:rFonts w:ascii="Book Antiqua" w:hAnsi="Book Antiqua" w:cs="Times New Roman"/>
          <w:sz w:val="24"/>
          <w:szCs w:val="24"/>
        </w:rPr>
        <w:t>.</w:t>
      </w:r>
      <w:r w:rsidR="00374DF8" w:rsidRPr="00F80032">
        <w:rPr>
          <w:rFonts w:ascii="Book Antiqua" w:hAnsi="Book Antiqua" w:cs="Times New Roman"/>
          <w:sz w:val="24"/>
          <w:szCs w:val="24"/>
        </w:rPr>
        <w:t xml:space="preserve"> In </w:t>
      </w:r>
      <w:r w:rsidR="001967A2" w:rsidRPr="00F80032">
        <w:rPr>
          <w:rFonts w:ascii="Book Antiqua" w:hAnsi="Book Antiqua" w:cs="Times New Roman"/>
          <w:sz w:val="24"/>
          <w:szCs w:val="24"/>
        </w:rPr>
        <w:t>1</w:t>
      </w:r>
      <w:r w:rsidR="005F54D3" w:rsidRPr="00F80032">
        <w:rPr>
          <w:rFonts w:ascii="Book Antiqua" w:hAnsi="Book Antiqua" w:cs="Times New Roman"/>
          <w:sz w:val="24"/>
          <w:szCs w:val="24"/>
        </w:rPr>
        <w:t>0</w:t>
      </w:r>
      <w:r w:rsidR="00FD79BD" w:rsidRPr="00F80032">
        <w:rPr>
          <w:rFonts w:ascii="Book Antiqua" w:hAnsi="Book Antiqua" w:cs="Times New Roman" w:hint="eastAsia"/>
          <w:sz w:val="24"/>
          <w:szCs w:val="24"/>
          <w:lang w:eastAsia="zh-CN"/>
        </w:rPr>
        <w:t>%</w:t>
      </w:r>
      <w:r w:rsidR="005F54D3" w:rsidRPr="00F80032">
        <w:rPr>
          <w:rFonts w:ascii="Book Antiqua" w:hAnsi="Book Antiqua" w:cs="Times New Roman"/>
          <w:sz w:val="24"/>
          <w:szCs w:val="24"/>
        </w:rPr>
        <w:t xml:space="preserve">- </w:t>
      </w:r>
      <w:r w:rsidR="001967A2" w:rsidRPr="00F80032">
        <w:rPr>
          <w:rFonts w:ascii="Book Antiqua" w:hAnsi="Book Antiqua" w:cs="Times New Roman"/>
          <w:sz w:val="24"/>
          <w:szCs w:val="24"/>
        </w:rPr>
        <w:t>60% of LOR patients</w:t>
      </w:r>
      <w:r w:rsidR="002A22E9" w:rsidRPr="00F80032">
        <w:rPr>
          <w:rFonts w:ascii="Book Antiqua" w:hAnsi="Book Antiqua" w:cs="Times New Roman"/>
          <w:sz w:val="24"/>
          <w:szCs w:val="24"/>
        </w:rPr>
        <w:t xml:space="preserve"> </w:t>
      </w:r>
      <w:r w:rsidR="00374DF8" w:rsidRPr="00F80032">
        <w:rPr>
          <w:rFonts w:ascii="Book Antiqua" w:hAnsi="Book Antiqua" w:cs="Times New Roman"/>
          <w:sz w:val="24"/>
          <w:szCs w:val="24"/>
        </w:rPr>
        <w:t xml:space="preserve">pharmacokinetic tests reveal </w:t>
      </w:r>
      <w:r w:rsidR="001967A2" w:rsidRPr="00F80032">
        <w:rPr>
          <w:rFonts w:ascii="Book Antiqua" w:hAnsi="Book Antiqua" w:cs="Times New Roman"/>
          <w:sz w:val="24"/>
          <w:szCs w:val="24"/>
        </w:rPr>
        <w:t xml:space="preserve">low IFX trough levels </w:t>
      </w:r>
      <w:r w:rsidR="00374DF8" w:rsidRPr="00F80032">
        <w:rPr>
          <w:rFonts w:ascii="Book Antiqua" w:hAnsi="Book Antiqua" w:cs="Times New Roman"/>
          <w:sz w:val="24"/>
          <w:szCs w:val="24"/>
        </w:rPr>
        <w:t xml:space="preserve">and </w:t>
      </w:r>
      <w:r w:rsidR="001967A2" w:rsidRPr="00F80032">
        <w:rPr>
          <w:rFonts w:ascii="Book Antiqua" w:hAnsi="Book Antiqua" w:cs="Times New Roman"/>
          <w:sz w:val="24"/>
          <w:szCs w:val="24"/>
        </w:rPr>
        <w:t>absence of detectable ATI, designated double negative (DN) status (IFX-/ATI-)</w:t>
      </w:r>
      <w:r w:rsidR="005D16E4" w:rsidRPr="00F80032">
        <w:rPr>
          <w:rFonts w:ascii="Book Antiqua" w:hAnsi="Book Antiqua" w:cs="Times New Roman"/>
          <w:noProof/>
          <w:sz w:val="24"/>
          <w:szCs w:val="24"/>
          <w:vertAlign w:val="superscript"/>
        </w:rPr>
        <w:t>[5,</w:t>
      </w:r>
      <w:r w:rsidR="001967A2" w:rsidRPr="00F80032">
        <w:rPr>
          <w:rFonts w:ascii="Book Antiqua" w:hAnsi="Book Antiqua" w:cs="Times New Roman"/>
          <w:noProof/>
          <w:sz w:val="24"/>
          <w:szCs w:val="24"/>
          <w:vertAlign w:val="superscript"/>
        </w:rPr>
        <w:t>9</w:t>
      </w:r>
      <w:r w:rsidR="005D16E4" w:rsidRPr="00F80032">
        <w:rPr>
          <w:rFonts w:ascii="Book Antiqua" w:hAnsi="Book Antiqua" w:cs="Times New Roman"/>
          <w:noProof/>
          <w:sz w:val="24"/>
          <w:szCs w:val="24"/>
          <w:vertAlign w:val="superscript"/>
        </w:rPr>
        <w:t>]</w:t>
      </w:r>
      <w:r w:rsidR="001967A2" w:rsidRPr="00F80032">
        <w:rPr>
          <w:rFonts w:ascii="Book Antiqua" w:hAnsi="Book Antiqua" w:cs="Times New Roman"/>
          <w:sz w:val="24"/>
          <w:szCs w:val="24"/>
        </w:rPr>
        <w:t xml:space="preserve">. </w:t>
      </w:r>
      <w:r w:rsidR="00FA13F2" w:rsidRPr="00F80032">
        <w:rPr>
          <w:rFonts w:ascii="Book Antiqua" w:hAnsi="Book Antiqua" w:cs="Times New Roman"/>
          <w:sz w:val="24"/>
          <w:szCs w:val="24"/>
        </w:rPr>
        <w:t>Furthermore</w:t>
      </w:r>
      <w:r w:rsidR="001967A2" w:rsidRPr="00F80032">
        <w:rPr>
          <w:rFonts w:ascii="Book Antiqua" w:hAnsi="Book Antiqua" w:cs="Times New Roman"/>
          <w:sz w:val="24"/>
          <w:szCs w:val="24"/>
        </w:rPr>
        <w:t xml:space="preserve">, several studies, including the SONIC trial, have demonstrated that among patients with LOR the DN status was in fact the more common scenario rather than the expected IFX-/ATI+ </w:t>
      </w:r>
      <w:proofErr w:type="gramStart"/>
      <w:r w:rsidR="001967A2" w:rsidRPr="00F80032">
        <w:rPr>
          <w:rFonts w:ascii="Book Antiqua" w:hAnsi="Book Antiqua" w:cs="Times New Roman"/>
          <w:sz w:val="24"/>
          <w:szCs w:val="24"/>
        </w:rPr>
        <w:t>status</w:t>
      </w:r>
      <w:r w:rsidR="005D16E4" w:rsidRPr="00F80032">
        <w:rPr>
          <w:rFonts w:ascii="Book Antiqua" w:hAnsi="Book Antiqua" w:cs="Times New Roman"/>
          <w:noProof/>
          <w:sz w:val="24"/>
          <w:szCs w:val="24"/>
          <w:vertAlign w:val="superscript"/>
        </w:rPr>
        <w:t>[</w:t>
      </w:r>
      <w:proofErr w:type="gramEnd"/>
      <w:r w:rsidR="00FD79BD" w:rsidRPr="00F80032">
        <w:rPr>
          <w:rFonts w:ascii="Book Antiqua" w:hAnsi="Book Antiqua" w:cs="Times New Roman"/>
          <w:noProof/>
          <w:sz w:val="24"/>
          <w:szCs w:val="24"/>
          <w:vertAlign w:val="superscript"/>
        </w:rPr>
        <w:t>7,</w:t>
      </w:r>
      <w:r w:rsidR="001967A2" w:rsidRPr="00F80032">
        <w:rPr>
          <w:rFonts w:ascii="Book Antiqua" w:hAnsi="Book Antiqua" w:cs="Times New Roman"/>
          <w:noProof/>
          <w:sz w:val="24"/>
          <w:szCs w:val="24"/>
          <w:vertAlign w:val="superscript"/>
        </w:rPr>
        <w:t>10</w:t>
      </w:r>
      <w:r w:rsidR="005D16E4" w:rsidRPr="00F80032">
        <w:rPr>
          <w:rFonts w:ascii="Book Antiqua" w:hAnsi="Book Antiqua" w:cs="Times New Roman"/>
          <w:noProof/>
          <w:sz w:val="24"/>
          <w:szCs w:val="24"/>
          <w:vertAlign w:val="superscript"/>
        </w:rPr>
        <w:t>]</w:t>
      </w:r>
      <w:r w:rsidR="001967A2" w:rsidRPr="00F80032">
        <w:rPr>
          <w:rFonts w:ascii="Book Antiqua" w:hAnsi="Book Antiqua" w:cs="Times New Roman"/>
          <w:sz w:val="24"/>
          <w:szCs w:val="24"/>
        </w:rPr>
        <w:t>.</w:t>
      </w:r>
    </w:p>
    <w:p w:rsidR="001967A2" w:rsidRPr="00F80032" w:rsidRDefault="001967A2" w:rsidP="004F172A">
      <w:pPr>
        <w:adjustRightInd w:val="0"/>
        <w:snapToGrid w:val="0"/>
        <w:spacing w:after="0" w:line="360" w:lineRule="auto"/>
        <w:ind w:firstLineChars="200" w:firstLine="480"/>
        <w:jc w:val="both"/>
        <w:rPr>
          <w:rFonts w:ascii="Book Antiqua" w:hAnsi="Book Antiqua" w:cs="Times New Roman"/>
          <w:sz w:val="24"/>
          <w:szCs w:val="24"/>
        </w:rPr>
      </w:pPr>
      <w:r w:rsidRPr="00F80032">
        <w:rPr>
          <w:rFonts w:ascii="Book Antiqua" w:hAnsi="Book Antiqua" w:cs="Times New Roman"/>
          <w:sz w:val="24"/>
          <w:szCs w:val="24"/>
        </w:rPr>
        <w:t>There is paucity of data regarding the mechanisms responsible for the DN status</w:t>
      </w:r>
      <w:r w:rsidR="002A22E9" w:rsidRPr="00F80032">
        <w:rPr>
          <w:rFonts w:ascii="Book Antiqua" w:hAnsi="Book Antiqua" w:cs="Times New Roman"/>
          <w:sz w:val="24"/>
          <w:szCs w:val="24"/>
        </w:rPr>
        <w:t xml:space="preserve"> and its consequence</w:t>
      </w:r>
      <w:r w:rsidR="003A675B" w:rsidRPr="00F80032">
        <w:rPr>
          <w:rFonts w:ascii="Book Antiqua" w:hAnsi="Book Antiqua" w:cs="Times New Roman"/>
          <w:sz w:val="24"/>
          <w:szCs w:val="24"/>
        </w:rPr>
        <w:t xml:space="preserve">. </w:t>
      </w:r>
      <w:r w:rsidR="00A173D9" w:rsidRPr="00F80032">
        <w:rPr>
          <w:rFonts w:ascii="Book Antiqua" w:hAnsi="Book Antiqua" w:cs="Times New Roman"/>
          <w:sz w:val="24"/>
          <w:szCs w:val="24"/>
        </w:rPr>
        <w:t xml:space="preserve">DN status </w:t>
      </w:r>
      <w:r w:rsidRPr="00F80032">
        <w:rPr>
          <w:rFonts w:ascii="Book Antiqua" w:hAnsi="Book Antiqua" w:cs="Times New Roman"/>
          <w:sz w:val="24"/>
          <w:szCs w:val="24"/>
        </w:rPr>
        <w:t xml:space="preserve">has been attributed to both immune and </w:t>
      </w:r>
      <w:r w:rsidRPr="00F80032">
        <w:rPr>
          <w:rFonts w:ascii="Book Antiqua" w:hAnsi="Book Antiqua" w:cs="Times New Roman"/>
          <w:sz w:val="24"/>
          <w:szCs w:val="24"/>
          <w:rtl/>
        </w:rPr>
        <w:t>n</w:t>
      </w:r>
      <w:r w:rsidRPr="00F80032">
        <w:rPr>
          <w:rFonts w:ascii="Book Antiqua" w:hAnsi="Book Antiqua" w:cs="Times New Roman"/>
          <w:sz w:val="24"/>
          <w:szCs w:val="24"/>
        </w:rPr>
        <w:t xml:space="preserve">on-immune clearance of anti-TNF, as well as to technical limitations, such as </w:t>
      </w:r>
      <w:proofErr w:type="spellStart"/>
      <w:r w:rsidRPr="00F80032">
        <w:rPr>
          <w:rFonts w:ascii="Book Antiqua" w:hAnsi="Book Antiqua" w:cs="Times New Roman"/>
          <w:sz w:val="24"/>
          <w:szCs w:val="24"/>
        </w:rPr>
        <w:t>non uniform</w:t>
      </w:r>
      <w:proofErr w:type="spellEnd"/>
      <w:r w:rsidRPr="00F80032">
        <w:rPr>
          <w:rFonts w:ascii="Book Antiqua" w:hAnsi="Book Antiqua" w:cs="Times New Roman"/>
          <w:sz w:val="24"/>
          <w:szCs w:val="24"/>
        </w:rPr>
        <w:t xml:space="preserve"> timing of measurement (trough levels are more sensitive than in-between infusions</w:t>
      </w:r>
      <w:proofErr w:type="gramStart"/>
      <w:r w:rsidRPr="00F80032">
        <w:rPr>
          <w:rFonts w:ascii="Book Antiqua" w:hAnsi="Book Antiqua" w:cs="Times New Roman"/>
          <w:sz w:val="24"/>
          <w:szCs w:val="24"/>
        </w:rPr>
        <w:t>)</w:t>
      </w:r>
      <w:r w:rsidR="007A5168" w:rsidRPr="00F80032">
        <w:rPr>
          <w:rFonts w:ascii="Book Antiqua" w:hAnsi="Book Antiqua" w:cs="Times New Roman"/>
          <w:noProof/>
          <w:sz w:val="24"/>
          <w:szCs w:val="24"/>
          <w:vertAlign w:val="superscript"/>
        </w:rPr>
        <w:t>[</w:t>
      </w:r>
      <w:proofErr w:type="gramEnd"/>
      <w:r w:rsidRPr="00F80032">
        <w:rPr>
          <w:rFonts w:ascii="Book Antiqua" w:hAnsi="Book Antiqua" w:cs="Times New Roman"/>
          <w:noProof/>
          <w:sz w:val="24"/>
          <w:szCs w:val="24"/>
          <w:vertAlign w:val="superscript"/>
        </w:rPr>
        <w:t>5</w:t>
      </w:r>
      <w:r w:rsidR="007A5168" w:rsidRPr="00F80032">
        <w:rPr>
          <w:rFonts w:ascii="Book Antiqua" w:hAnsi="Book Antiqua" w:cs="Times New Roman"/>
          <w:noProof/>
          <w:sz w:val="24"/>
          <w:szCs w:val="24"/>
          <w:vertAlign w:val="superscript"/>
        </w:rPr>
        <w:t>,</w:t>
      </w:r>
      <w:r w:rsidRPr="00F80032">
        <w:rPr>
          <w:rFonts w:ascii="Book Antiqua" w:hAnsi="Book Antiqua" w:cs="Times New Roman"/>
          <w:noProof/>
          <w:sz w:val="24"/>
          <w:szCs w:val="24"/>
          <w:vertAlign w:val="superscript"/>
        </w:rPr>
        <w:t>11</w:t>
      </w:r>
      <w:r w:rsidR="007A5168" w:rsidRPr="00F80032">
        <w:rPr>
          <w:rFonts w:ascii="Book Antiqua" w:hAnsi="Book Antiqua" w:cs="Times New Roman"/>
          <w:noProof/>
          <w:sz w:val="24"/>
          <w:szCs w:val="24"/>
          <w:vertAlign w:val="superscript"/>
        </w:rPr>
        <w:t>]</w:t>
      </w:r>
      <w:hyperlink w:anchor="_ENREF_11" w:tooltip="Kopylov, 2012 #46" w:history="1"/>
      <w:r w:rsidRPr="00F80032">
        <w:rPr>
          <w:rFonts w:ascii="Book Antiqua" w:hAnsi="Book Antiqua" w:cs="Times New Roman"/>
          <w:sz w:val="24"/>
          <w:szCs w:val="24"/>
        </w:rPr>
        <w:t xml:space="preserve">. The uncertainty about the causes and implications of an IFX-/ATI- status makes it hard to rationally </w:t>
      </w:r>
      <w:r w:rsidR="00A173D9" w:rsidRPr="00F80032">
        <w:rPr>
          <w:rFonts w:ascii="Book Antiqua" w:hAnsi="Book Antiqua" w:cs="Times New Roman"/>
          <w:sz w:val="24"/>
          <w:szCs w:val="24"/>
        </w:rPr>
        <w:t>advise</w:t>
      </w:r>
      <w:r w:rsidRPr="00F80032">
        <w:rPr>
          <w:rFonts w:ascii="Book Antiqua" w:hAnsi="Book Antiqua" w:cs="Times New Roman"/>
          <w:sz w:val="24"/>
          <w:szCs w:val="24"/>
        </w:rPr>
        <w:t xml:space="preserve"> </w:t>
      </w:r>
      <w:r w:rsidR="00A173D9" w:rsidRPr="00F80032">
        <w:rPr>
          <w:rFonts w:ascii="Book Antiqua" w:hAnsi="Book Antiqua" w:cs="Times New Roman"/>
          <w:sz w:val="24"/>
          <w:szCs w:val="24"/>
        </w:rPr>
        <w:t xml:space="preserve">about optimal </w:t>
      </w:r>
      <w:r w:rsidRPr="00F80032">
        <w:rPr>
          <w:rFonts w:ascii="Book Antiqua" w:hAnsi="Book Antiqua" w:cs="Times New Roman"/>
          <w:sz w:val="24"/>
          <w:szCs w:val="24"/>
        </w:rPr>
        <w:t>strategies to prevent and/or manage LOR events in the presence of such a pharmacokinetic situation.</w:t>
      </w:r>
    </w:p>
    <w:p w:rsidR="007A5168" w:rsidRPr="00F80032" w:rsidRDefault="001967A2" w:rsidP="004F172A">
      <w:pPr>
        <w:adjustRightInd w:val="0"/>
        <w:snapToGrid w:val="0"/>
        <w:spacing w:after="0" w:line="360" w:lineRule="auto"/>
        <w:ind w:firstLineChars="200" w:firstLine="480"/>
        <w:jc w:val="both"/>
        <w:rPr>
          <w:rFonts w:ascii="Book Antiqua" w:hAnsi="Book Antiqua" w:cs="Times New Roman"/>
          <w:sz w:val="24"/>
          <w:szCs w:val="24"/>
          <w:lang w:eastAsia="zh-CN"/>
        </w:rPr>
      </w:pPr>
      <w:r w:rsidRPr="00F80032">
        <w:rPr>
          <w:rFonts w:ascii="Book Antiqua" w:hAnsi="Book Antiqua" w:cs="Times New Roman"/>
          <w:sz w:val="24"/>
          <w:szCs w:val="24"/>
        </w:rPr>
        <w:lastRenderedPageBreak/>
        <w:t xml:space="preserve">The aims of the present study were to evaluate the </w:t>
      </w:r>
      <w:r w:rsidR="00A173D9" w:rsidRPr="00F80032">
        <w:rPr>
          <w:rFonts w:ascii="Book Antiqua" w:hAnsi="Book Antiqua" w:cs="Times New Roman"/>
          <w:sz w:val="24"/>
          <w:szCs w:val="24"/>
        </w:rPr>
        <w:t xml:space="preserve">frequency </w:t>
      </w:r>
      <w:r w:rsidRPr="00F80032">
        <w:rPr>
          <w:rFonts w:ascii="Book Antiqua" w:hAnsi="Book Antiqua" w:cs="Times New Roman"/>
          <w:sz w:val="24"/>
          <w:szCs w:val="24"/>
        </w:rPr>
        <w:t>and clinical significance of DN status among IFX-treated IBD patients (</w:t>
      </w:r>
      <w:r w:rsidR="00A173D9" w:rsidRPr="00F80032">
        <w:rPr>
          <w:rFonts w:ascii="Book Antiqua" w:hAnsi="Book Antiqua" w:cs="Times New Roman"/>
          <w:sz w:val="24"/>
          <w:szCs w:val="24"/>
        </w:rPr>
        <w:t xml:space="preserve">both </w:t>
      </w:r>
      <w:r w:rsidRPr="00F80032">
        <w:rPr>
          <w:rFonts w:ascii="Book Antiqua" w:hAnsi="Book Antiqua" w:cs="Times New Roman"/>
          <w:sz w:val="24"/>
          <w:szCs w:val="24"/>
        </w:rPr>
        <w:t xml:space="preserve">in general and at time of LOR) and to investigate the impact of the diagnostic technique on the incidence of this phenomenon. </w:t>
      </w:r>
    </w:p>
    <w:p w:rsidR="007A5168" w:rsidRPr="00F80032" w:rsidRDefault="007A5168" w:rsidP="004F172A">
      <w:pPr>
        <w:adjustRightInd w:val="0"/>
        <w:snapToGrid w:val="0"/>
        <w:spacing w:after="0" w:line="360" w:lineRule="auto"/>
        <w:jc w:val="both"/>
        <w:rPr>
          <w:rFonts w:ascii="Book Antiqua" w:hAnsi="Book Antiqua" w:cs="Times New Roman"/>
          <w:b/>
          <w:bCs/>
          <w:sz w:val="24"/>
          <w:szCs w:val="24"/>
        </w:rPr>
      </w:pPr>
    </w:p>
    <w:p w:rsidR="00A81CE4" w:rsidRPr="00F80032" w:rsidRDefault="00A81CE4" w:rsidP="004F172A">
      <w:pPr>
        <w:adjustRightInd w:val="0"/>
        <w:snapToGrid w:val="0"/>
        <w:spacing w:after="0" w:line="360" w:lineRule="auto"/>
        <w:rPr>
          <w:rFonts w:ascii="Book Antiqua" w:hAnsi="Book Antiqua"/>
          <w:b/>
          <w:sz w:val="24"/>
        </w:rPr>
      </w:pPr>
      <w:bookmarkStart w:id="23" w:name="OLE_LINK9"/>
      <w:bookmarkStart w:id="24" w:name="OLE_LINK10"/>
      <w:bookmarkStart w:id="25" w:name="OLE_LINK26"/>
      <w:r w:rsidRPr="00F80032">
        <w:rPr>
          <w:rFonts w:ascii="Book Antiqua" w:hAnsi="Book Antiqua"/>
          <w:b/>
          <w:sz w:val="24"/>
        </w:rPr>
        <w:t>MATERIALS AND METHODS</w:t>
      </w:r>
    </w:p>
    <w:bookmarkEnd w:id="23"/>
    <w:bookmarkEnd w:id="24"/>
    <w:bookmarkEnd w:id="25"/>
    <w:p w:rsidR="001967A2" w:rsidRPr="00F80032" w:rsidRDefault="001967A2" w:rsidP="004F172A">
      <w:pPr>
        <w:adjustRightInd w:val="0"/>
        <w:snapToGrid w:val="0"/>
        <w:spacing w:after="0" w:line="360" w:lineRule="auto"/>
        <w:jc w:val="both"/>
        <w:rPr>
          <w:rFonts w:ascii="Book Antiqua" w:hAnsi="Book Antiqua" w:cs="Times New Roman"/>
          <w:b/>
          <w:bCs/>
          <w:i/>
          <w:sz w:val="24"/>
          <w:szCs w:val="24"/>
        </w:rPr>
      </w:pPr>
      <w:r w:rsidRPr="00F80032">
        <w:rPr>
          <w:rFonts w:ascii="Book Antiqua" w:hAnsi="Book Antiqua" w:cs="Times New Roman"/>
          <w:b/>
          <w:bCs/>
          <w:i/>
          <w:sz w:val="24"/>
          <w:szCs w:val="24"/>
        </w:rPr>
        <w:t>Study design and patient population</w:t>
      </w:r>
    </w:p>
    <w:p w:rsidR="001967A2" w:rsidRPr="00F80032" w:rsidRDefault="001967A2" w:rsidP="004F172A">
      <w:pPr>
        <w:adjustRightInd w:val="0"/>
        <w:snapToGrid w:val="0"/>
        <w:spacing w:after="0" w:line="360" w:lineRule="auto"/>
        <w:jc w:val="both"/>
        <w:rPr>
          <w:rFonts w:ascii="Book Antiqua" w:hAnsi="Book Antiqua" w:cs="Times New Roman"/>
          <w:sz w:val="24"/>
          <w:szCs w:val="24"/>
        </w:rPr>
      </w:pPr>
      <w:r w:rsidRPr="00F80032">
        <w:rPr>
          <w:rFonts w:ascii="Book Antiqua" w:hAnsi="Book Antiqua" w:cs="Times New Roman"/>
          <w:sz w:val="24"/>
          <w:szCs w:val="24"/>
        </w:rPr>
        <w:t>The study population included IBD patients treated with IFX at the gastroenterology departments of Sheba medical center and</w:t>
      </w:r>
      <w:r w:rsidRPr="00F80032">
        <w:rPr>
          <w:rFonts w:ascii="Book Antiqua" w:hAnsi="Book Antiqua" w:cs="Times New Roman"/>
          <w:color w:val="222222"/>
          <w:sz w:val="24"/>
          <w:szCs w:val="24"/>
        </w:rPr>
        <w:t xml:space="preserve"> the Tel-Aviv </w:t>
      </w:r>
      <w:proofErr w:type="spellStart"/>
      <w:r w:rsidRPr="00F80032">
        <w:rPr>
          <w:rFonts w:ascii="Book Antiqua" w:hAnsi="Book Antiqua" w:cs="Times New Roman"/>
          <w:color w:val="222222"/>
          <w:sz w:val="24"/>
          <w:szCs w:val="24"/>
        </w:rPr>
        <w:t>Sourasky</w:t>
      </w:r>
      <w:proofErr w:type="spellEnd"/>
      <w:r w:rsidRPr="00F80032">
        <w:rPr>
          <w:rFonts w:ascii="Book Antiqua" w:hAnsi="Book Antiqua" w:cs="Times New Roman"/>
          <w:color w:val="222222"/>
          <w:sz w:val="24"/>
          <w:szCs w:val="24"/>
        </w:rPr>
        <w:t xml:space="preserve"> Medical Center </w:t>
      </w:r>
      <w:r w:rsidRPr="00F80032">
        <w:rPr>
          <w:rFonts w:ascii="Book Antiqua" w:hAnsi="Book Antiqua" w:cs="Times New Roman"/>
          <w:sz w:val="24"/>
          <w:szCs w:val="24"/>
        </w:rPr>
        <w:t>between February 2009 and October 2013, who had available sera stored. All participants provided a written informed consent and the study was approved by the ethics committee of the two medical centers.</w:t>
      </w:r>
      <w:r w:rsidR="00F0350D" w:rsidRPr="00F80032">
        <w:rPr>
          <w:rFonts w:ascii="Book Antiqua" w:hAnsi="Book Antiqua" w:cs="Times New Roman"/>
          <w:i/>
          <w:caps/>
          <w:sz w:val="24"/>
          <w:szCs w:val="24"/>
        </w:rPr>
        <w:t xml:space="preserve"> </w:t>
      </w:r>
      <w:r w:rsidRPr="00F80032">
        <w:rPr>
          <w:rFonts w:ascii="Book Antiqua" w:hAnsi="Book Antiqua" w:cs="Times New Roman"/>
          <w:sz w:val="24"/>
          <w:szCs w:val="24"/>
        </w:rPr>
        <w:t>Pre-infusion sera were obtained and analyzed for trough IFX and ATI levels. Sera of patients whose infusions were delayed for over 2 weeks from the scheduled date were excluded.</w:t>
      </w:r>
    </w:p>
    <w:p w:rsidR="00D92177" w:rsidRPr="00F80032" w:rsidRDefault="001967A2" w:rsidP="004F172A">
      <w:pPr>
        <w:adjustRightInd w:val="0"/>
        <w:snapToGrid w:val="0"/>
        <w:spacing w:after="0" w:line="360" w:lineRule="auto"/>
        <w:ind w:firstLineChars="200" w:firstLine="480"/>
        <w:jc w:val="both"/>
        <w:rPr>
          <w:rFonts w:ascii="Book Antiqua" w:hAnsi="Book Antiqua" w:cs="Times New Roman"/>
          <w:sz w:val="24"/>
          <w:szCs w:val="24"/>
        </w:rPr>
      </w:pPr>
      <w:r w:rsidRPr="00F80032">
        <w:rPr>
          <w:rFonts w:ascii="Book Antiqua" w:hAnsi="Book Antiqua" w:cs="Times New Roman"/>
          <w:sz w:val="24"/>
          <w:szCs w:val="24"/>
        </w:rPr>
        <w:t>The study consisted of two</w:t>
      </w:r>
      <w:r w:rsidR="00353A5A" w:rsidRPr="00F80032">
        <w:rPr>
          <w:rFonts w:ascii="Book Antiqua" w:hAnsi="Book Antiqua" w:cs="Times New Roman"/>
          <w:sz w:val="24"/>
          <w:szCs w:val="24"/>
        </w:rPr>
        <w:t xml:space="preserve"> separated parts</w:t>
      </w:r>
      <w:r w:rsidRPr="00F80032">
        <w:rPr>
          <w:rFonts w:ascii="Book Antiqua" w:hAnsi="Book Antiqua" w:cs="Times New Roman"/>
          <w:sz w:val="24"/>
          <w:szCs w:val="24"/>
        </w:rPr>
        <w:t xml:space="preserve">: </w:t>
      </w:r>
      <w:r w:rsidR="004601E7" w:rsidRPr="00F80032">
        <w:rPr>
          <w:rFonts w:ascii="Book Antiqua" w:hAnsi="Book Antiqua" w:cs="Times New Roman"/>
          <w:sz w:val="24"/>
          <w:szCs w:val="24"/>
        </w:rPr>
        <w:t>(</w:t>
      </w:r>
      <w:r w:rsidR="002A4F54" w:rsidRPr="00F80032">
        <w:rPr>
          <w:rFonts w:ascii="Book Antiqua" w:hAnsi="Book Antiqua" w:cs="Times New Roman"/>
          <w:sz w:val="24"/>
          <w:szCs w:val="24"/>
        </w:rPr>
        <w:t>1</w:t>
      </w:r>
      <w:r w:rsidR="00A81CE4" w:rsidRPr="00F80032">
        <w:rPr>
          <w:rFonts w:ascii="Book Antiqua" w:hAnsi="Book Antiqua" w:cs="Times New Roman"/>
          <w:sz w:val="24"/>
          <w:szCs w:val="24"/>
        </w:rPr>
        <w:t>)</w:t>
      </w:r>
      <w:r w:rsidR="004601E7" w:rsidRPr="00F80032">
        <w:rPr>
          <w:rFonts w:ascii="Book Antiqua" w:hAnsi="Book Antiqua" w:cs="Times New Roman"/>
          <w:sz w:val="24"/>
          <w:szCs w:val="24"/>
        </w:rPr>
        <w:t xml:space="preserve"> </w:t>
      </w:r>
      <w:r w:rsidR="00A81CE4" w:rsidRPr="00F80032">
        <w:rPr>
          <w:rFonts w:ascii="Book Antiqua" w:hAnsi="Book Antiqua" w:cs="Times New Roman"/>
          <w:sz w:val="24"/>
          <w:szCs w:val="24"/>
        </w:rPr>
        <w:t>a</w:t>
      </w:r>
      <w:r w:rsidRPr="00F80032">
        <w:rPr>
          <w:rFonts w:ascii="Book Antiqua" w:hAnsi="Book Antiqua" w:cs="Times New Roman"/>
          <w:sz w:val="24"/>
          <w:szCs w:val="24"/>
        </w:rPr>
        <w:t>n analytical part</w:t>
      </w:r>
      <w:r w:rsidR="008A0E73" w:rsidRPr="00F80032">
        <w:rPr>
          <w:rFonts w:ascii="Book Antiqua" w:hAnsi="Book Antiqua" w:cs="Times New Roman"/>
          <w:sz w:val="24"/>
          <w:szCs w:val="24"/>
        </w:rPr>
        <w:t>, that targeted</w:t>
      </w:r>
      <w:r w:rsidR="00A173D9" w:rsidRPr="00F80032">
        <w:rPr>
          <w:rFonts w:ascii="Book Antiqua" w:hAnsi="Book Antiqua" w:cs="Times New Roman"/>
          <w:sz w:val="24"/>
          <w:szCs w:val="24"/>
        </w:rPr>
        <w:t xml:space="preserve"> differences </w:t>
      </w:r>
      <w:r w:rsidR="00353A5A" w:rsidRPr="00F80032">
        <w:rPr>
          <w:rFonts w:ascii="Book Antiqua" w:hAnsi="Book Antiqua" w:cs="Times New Roman"/>
          <w:sz w:val="24"/>
          <w:szCs w:val="24"/>
        </w:rPr>
        <w:t xml:space="preserve">between assays </w:t>
      </w:r>
      <w:r w:rsidR="004601E7" w:rsidRPr="00F80032">
        <w:rPr>
          <w:rFonts w:ascii="Book Antiqua" w:hAnsi="Book Antiqua" w:cs="Times New Roman"/>
          <w:sz w:val="24"/>
          <w:szCs w:val="24"/>
        </w:rPr>
        <w:t xml:space="preserve">and </w:t>
      </w:r>
      <w:r w:rsidR="008A0E73" w:rsidRPr="00F80032">
        <w:rPr>
          <w:rFonts w:ascii="Book Antiqua" w:hAnsi="Book Antiqua" w:cs="Times New Roman"/>
          <w:sz w:val="24"/>
          <w:szCs w:val="24"/>
        </w:rPr>
        <w:t xml:space="preserve">technical </w:t>
      </w:r>
      <w:r w:rsidR="00D92177" w:rsidRPr="00F80032">
        <w:rPr>
          <w:rFonts w:ascii="Book Antiqua" w:hAnsi="Book Antiqua" w:cs="Times New Roman"/>
          <w:sz w:val="24"/>
          <w:szCs w:val="24"/>
        </w:rPr>
        <w:t>limitations;</w:t>
      </w:r>
      <w:r w:rsidR="004601E7" w:rsidRPr="00F80032">
        <w:rPr>
          <w:rFonts w:ascii="Book Antiqua" w:hAnsi="Book Antiqua" w:cs="Times New Roman"/>
          <w:sz w:val="24"/>
          <w:szCs w:val="24"/>
        </w:rPr>
        <w:t xml:space="preserve"> </w:t>
      </w:r>
      <w:r w:rsidR="00A81CE4" w:rsidRPr="00F80032">
        <w:rPr>
          <w:rFonts w:ascii="Book Antiqua" w:hAnsi="Book Antiqua" w:cs="Times New Roman" w:hint="eastAsia"/>
          <w:sz w:val="24"/>
          <w:szCs w:val="24"/>
          <w:lang w:eastAsia="zh-CN"/>
        </w:rPr>
        <w:t xml:space="preserve">and </w:t>
      </w:r>
      <w:r w:rsidR="004601E7" w:rsidRPr="00F80032">
        <w:rPr>
          <w:rFonts w:ascii="Book Antiqua" w:hAnsi="Book Antiqua" w:cs="Times New Roman"/>
          <w:sz w:val="24"/>
          <w:szCs w:val="24"/>
        </w:rPr>
        <w:t>(</w:t>
      </w:r>
      <w:r w:rsidR="002A4F54" w:rsidRPr="00F80032">
        <w:rPr>
          <w:rFonts w:ascii="Book Antiqua" w:hAnsi="Book Antiqua" w:cs="Times New Roman"/>
          <w:sz w:val="24"/>
          <w:szCs w:val="24"/>
        </w:rPr>
        <w:t>2</w:t>
      </w:r>
      <w:r w:rsidR="004601E7" w:rsidRPr="00F80032">
        <w:rPr>
          <w:rFonts w:ascii="Book Antiqua" w:hAnsi="Book Antiqua" w:cs="Times New Roman"/>
          <w:sz w:val="24"/>
          <w:szCs w:val="24"/>
        </w:rPr>
        <w:t>)</w:t>
      </w:r>
      <w:r w:rsidR="00F0350D" w:rsidRPr="00F80032">
        <w:rPr>
          <w:rFonts w:ascii="Book Antiqua" w:hAnsi="Book Antiqua" w:cs="Times New Roman"/>
          <w:i/>
          <w:caps/>
          <w:sz w:val="24"/>
          <w:szCs w:val="24"/>
        </w:rPr>
        <w:t xml:space="preserve"> </w:t>
      </w:r>
      <w:r w:rsidR="00A81CE4" w:rsidRPr="00F80032">
        <w:rPr>
          <w:rFonts w:ascii="Book Antiqua" w:hAnsi="Book Antiqua" w:cs="Times New Roman"/>
          <w:sz w:val="24"/>
          <w:szCs w:val="24"/>
        </w:rPr>
        <w:t xml:space="preserve">a </w:t>
      </w:r>
      <w:r w:rsidRPr="00F80032">
        <w:rPr>
          <w:rFonts w:ascii="Book Antiqua" w:hAnsi="Book Antiqua" w:cs="Times New Roman"/>
          <w:sz w:val="24"/>
          <w:szCs w:val="24"/>
        </w:rPr>
        <w:t>clinical</w:t>
      </w:r>
      <w:r w:rsidR="00A173D9" w:rsidRPr="00F80032">
        <w:rPr>
          <w:rFonts w:ascii="Book Antiqua" w:hAnsi="Book Antiqua" w:cs="Times New Roman"/>
          <w:sz w:val="24"/>
          <w:szCs w:val="24"/>
        </w:rPr>
        <w:t xml:space="preserve"> part</w:t>
      </w:r>
      <w:r w:rsidR="00353A5A" w:rsidRPr="00F80032">
        <w:rPr>
          <w:rFonts w:ascii="Book Antiqua" w:hAnsi="Book Antiqua" w:cs="Times New Roman"/>
          <w:sz w:val="24"/>
          <w:szCs w:val="24"/>
        </w:rPr>
        <w:t>,</w:t>
      </w:r>
      <w:r w:rsidR="00A173D9" w:rsidRPr="00F80032">
        <w:rPr>
          <w:rFonts w:ascii="Book Antiqua" w:hAnsi="Book Antiqua" w:cs="Times New Roman"/>
          <w:sz w:val="24"/>
          <w:szCs w:val="24"/>
        </w:rPr>
        <w:t xml:space="preserve"> aiming to study the natural history of the DN phenomenon</w:t>
      </w:r>
      <w:r w:rsidR="00D92177" w:rsidRPr="00F80032">
        <w:rPr>
          <w:rFonts w:ascii="Book Antiqua" w:hAnsi="Book Antiqua" w:cs="Times New Roman"/>
          <w:sz w:val="24"/>
          <w:szCs w:val="24"/>
        </w:rPr>
        <w:t xml:space="preserve"> (Figure 1)</w:t>
      </w:r>
      <w:r w:rsidRPr="00F80032">
        <w:rPr>
          <w:rFonts w:ascii="Book Antiqua" w:hAnsi="Book Antiqua" w:cs="Times New Roman"/>
          <w:sz w:val="24"/>
          <w:szCs w:val="24"/>
        </w:rPr>
        <w:t>.</w:t>
      </w:r>
      <w:r w:rsidR="00C44E2C" w:rsidRPr="00F80032">
        <w:rPr>
          <w:rFonts w:ascii="Book Antiqua" w:hAnsi="Book Antiqua" w:cs="Times New Roman"/>
          <w:sz w:val="24"/>
          <w:szCs w:val="24"/>
        </w:rPr>
        <w:t xml:space="preserve"> </w:t>
      </w:r>
      <w:r w:rsidRPr="00F80032">
        <w:rPr>
          <w:rFonts w:ascii="Book Antiqua" w:hAnsi="Book Antiqua" w:cs="Times New Roman"/>
          <w:sz w:val="24"/>
          <w:szCs w:val="24"/>
        </w:rPr>
        <w:t xml:space="preserve">In the first analytical part of the study, IFX and ATI trough levels of patients experiencing LOR were evaluated using two different ELISA assays: </w:t>
      </w:r>
      <w:r w:rsidR="0085330E" w:rsidRPr="00F80032">
        <w:rPr>
          <w:rFonts w:ascii="Book Antiqua" w:hAnsi="Book Antiqua" w:cs="Times New Roman"/>
          <w:sz w:val="24"/>
          <w:szCs w:val="24"/>
        </w:rPr>
        <w:t>d</w:t>
      </w:r>
      <w:r w:rsidRPr="00F80032">
        <w:rPr>
          <w:rFonts w:ascii="Book Antiqua" w:hAnsi="Book Antiqua" w:cs="Times New Roman"/>
          <w:sz w:val="24"/>
          <w:szCs w:val="24"/>
        </w:rPr>
        <w:t xml:space="preserve">ouble antigen and anti-lambda ELISA. Subsequently, </w:t>
      </w:r>
      <w:r w:rsidR="00571265" w:rsidRPr="00F80032">
        <w:rPr>
          <w:rFonts w:ascii="Book Antiqua" w:hAnsi="Book Antiqua" w:cs="Times New Roman"/>
          <w:sz w:val="24"/>
          <w:szCs w:val="24"/>
        </w:rPr>
        <w:t xml:space="preserve">the fraction of IgG4 ATI was measured and compared in a sample of patients with discrepant results of the two ELISA assays </w:t>
      </w:r>
      <w:r w:rsidR="00353A5A" w:rsidRPr="00F80032">
        <w:rPr>
          <w:rFonts w:ascii="Book Antiqua" w:hAnsi="Book Antiqua" w:cs="Times New Roman"/>
          <w:sz w:val="24"/>
          <w:szCs w:val="24"/>
        </w:rPr>
        <w:t xml:space="preserve">in order </w:t>
      </w:r>
      <w:r w:rsidRPr="00F80032">
        <w:rPr>
          <w:rFonts w:ascii="Book Antiqua" w:hAnsi="Book Antiqua" w:cs="Times New Roman"/>
          <w:sz w:val="24"/>
          <w:szCs w:val="24"/>
        </w:rPr>
        <w:t xml:space="preserve">to investigate if conflicting results stem from predominant monovalent IgG4 ATI response. Finally, </w:t>
      </w:r>
      <w:r w:rsidR="00686DE9" w:rsidRPr="00F80032">
        <w:rPr>
          <w:rFonts w:ascii="Book Antiqua" w:hAnsi="Book Antiqua" w:cs="Times New Roman"/>
          <w:sz w:val="24"/>
          <w:szCs w:val="24"/>
        </w:rPr>
        <w:t xml:space="preserve">in order </w:t>
      </w:r>
      <w:r w:rsidRPr="00F80032">
        <w:rPr>
          <w:rFonts w:ascii="Book Antiqua" w:hAnsi="Book Antiqua" w:cs="Times New Roman"/>
          <w:sz w:val="24"/>
          <w:szCs w:val="24"/>
        </w:rPr>
        <w:t>to investigate the analytical accuracy</w:t>
      </w:r>
      <w:r w:rsidR="00686DE9" w:rsidRPr="00F80032">
        <w:rPr>
          <w:rFonts w:ascii="Book Antiqua" w:hAnsi="Book Antiqua" w:cs="Times New Roman"/>
          <w:sz w:val="24"/>
          <w:szCs w:val="24"/>
        </w:rPr>
        <w:t xml:space="preserve"> of the </w:t>
      </w:r>
      <w:r w:rsidRPr="00F80032">
        <w:rPr>
          <w:rFonts w:ascii="Book Antiqua" w:hAnsi="Book Antiqua" w:cs="Times New Roman"/>
          <w:sz w:val="24"/>
          <w:szCs w:val="24"/>
        </w:rPr>
        <w:t xml:space="preserve">anti-lambda ELISA </w:t>
      </w:r>
      <w:r w:rsidR="00686DE9" w:rsidRPr="00F80032">
        <w:rPr>
          <w:rFonts w:ascii="Book Antiqua" w:hAnsi="Book Antiqua" w:cs="Times New Roman"/>
          <w:sz w:val="24"/>
          <w:szCs w:val="24"/>
        </w:rPr>
        <w:t xml:space="preserve">this assay </w:t>
      </w:r>
      <w:r w:rsidRPr="00F80032">
        <w:rPr>
          <w:rFonts w:ascii="Book Antiqua" w:hAnsi="Book Antiqua" w:cs="Times New Roman"/>
          <w:sz w:val="24"/>
          <w:szCs w:val="24"/>
        </w:rPr>
        <w:t xml:space="preserve">was </w:t>
      </w:r>
      <w:r w:rsidR="00686DE9" w:rsidRPr="00F80032">
        <w:rPr>
          <w:rFonts w:ascii="Book Antiqua" w:hAnsi="Book Antiqua" w:cs="Times New Roman"/>
          <w:sz w:val="24"/>
          <w:szCs w:val="24"/>
        </w:rPr>
        <w:t xml:space="preserve">repeated </w:t>
      </w:r>
      <w:r w:rsidR="00353A5A" w:rsidRPr="00F80032">
        <w:rPr>
          <w:rFonts w:ascii="Book Antiqua" w:hAnsi="Book Antiqua" w:cs="Times New Roman"/>
          <w:sz w:val="24"/>
          <w:szCs w:val="24"/>
        </w:rPr>
        <w:t xml:space="preserve">in </w:t>
      </w:r>
      <w:r w:rsidRPr="00F80032">
        <w:rPr>
          <w:rFonts w:ascii="Book Antiqua" w:hAnsi="Book Antiqua" w:cs="Times New Roman"/>
          <w:sz w:val="24"/>
          <w:szCs w:val="24"/>
        </w:rPr>
        <w:t>45 randomly selected DN sera using a serum dilution of 1:10 (rather than the conventional 1:100 dilution). Patients' sera in this analysis were tested regardless of response status, and sera of healthy volunteers unexposed to IFX served as controls.</w:t>
      </w:r>
      <w:r w:rsidR="00C44E2C" w:rsidRPr="00F80032">
        <w:rPr>
          <w:rFonts w:ascii="Book Antiqua" w:hAnsi="Book Antiqua" w:cs="Times New Roman"/>
          <w:sz w:val="24"/>
          <w:szCs w:val="24"/>
        </w:rPr>
        <w:t xml:space="preserve"> </w:t>
      </w:r>
    </w:p>
    <w:p w:rsidR="001967A2" w:rsidRPr="00F80032" w:rsidRDefault="00353A5A" w:rsidP="004F172A">
      <w:pPr>
        <w:adjustRightInd w:val="0"/>
        <w:snapToGrid w:val="0"/>
        <w:spacing w:after="0" w:line="360" w:lineRule="auto"/>
        <w:ind w:firstLineChars="200" w:firstLine="480"/>
        <w:jc w:val="both"/>
        <w:rPr>
          <w:rFonts w:ascii="Book Antiqua" w:hAnsi="Book Antiqua" w:cs="Times New Roman"/>
          <w:sz w:val="24"/>
          <w:szCs w:val="24"/>
        </w:rPr>
      </w:pPr>
      <w:r w:rsidRPr="00F80032">
        <w:rPr>
          <w:rFonts w:ascii="Book Antiqua" w:hAnsi="Book Antiqua" w:cs="Times New Roman"/>
          <w:sz w:val="24"/>
          <w:szCs w:val="24"/>
        </w:rPr>
        <w:t>T</w:t>
      </w:r>
      <w:r w:rsidR="001967A2" w:rsidRPr="00F80032">
        <w:rPr>
          <w:rFonts w:ascii="Book Antiqua" w:hAnsi="Book Antiqua" w:cs="Times New Roman"/>
          <w:sz w:val="24"/>
          <w:szCs w:val="24"/>
        </w:rPr>
        <w:t xml:space="preserve">he </w:t>
      </w:r>
      <w:r w:rsidR="001A2335" w:rsidRPr="00F80032">
        <w:rPr>
          <w:rFonts w:ascii="Book Antiqua" w:hAnsi="Book Antiqua" w:cs="Times New Roman"/>
          <w:sz w:val="24"/>
          <w:szCs w:val="24"/>
        </w:rPr>
        <w:t>clinical</w:t>
      </w:r>
      <w:r w:rsidR="008A0E73" w:rsidRPr="00F80032">
        <w:rPr>
          <w:rFonts w:ascii="Book Antiqua" w:hAnsi="Book Antiqua" w:cs="Times New Roman"/>
          <w:sz w:val="24"/>
          <w:szCs w:val="24"/>
        </w:rPr>
        <w:t xml:space="preserve"> </w:t>
      </w:r>
      <w:r w:rsidR="001967A2" w:rsidRPr="00F80032">
        <w:rPr>
          <w:rFonts w:ascii="Book Antiqua" w:hAnsi="Book Antiqua" w:cs="Times New Roman"/>
          <w:sz w:val="24"/>
          <w:szCs w:val="24"/>
        </w:rPr>
        <w:t xml:space="preserve">part </w:t>
      </w:r>
      <w:r w:rsidR="004601E7" w:rsidRPr="00F80032">
        <w:rPr>
          <w:rFonts w:ascii="Book Antiqua" w:hAnsi="Book Antiqua" w:cs="Times New Roman"/>
          <w:sz w:val="24"/>
          <w:szCs w:val="24"/>
        </w:rPr>
        <w:t xml:space="preserve">was a case control </w:t>
      </w:r>
      <w:r w:rsidR="008A0E73" w:rsidRPr="00F80032">
        <w:rPr>
          <w:rFonts w:ascii="Book Antiqua" w:hAnsi="Book Antiqua" w:cs="Times New Roman"/>
          <w:sz w:val="24"/>
          <w:szCs w:val="24"/>
        </w:rPr>
        <w:t>study</w:t>
      </w:r>
      <w:r w:rsidR="001A2335" w:rsidRPr="00F80032">
        <w:rPr>
          <w:rFonts w:ascii="Book Antiqua" w:hAnsi="Book Antiqua" w:cs="Times New Roman"/>
          <w:sz w:val="24"/>
          <w:szCs w:val="24"/>
        </w:rPr>
        <w:t xml:space="preserve">; </w:t>
      </w:r>
      <w:r w:rsidR="00D44BC9" w:rsidRPr="00F80032">
        <w:rPr>
          <w:rFonts w:ascii="Book Antiqua" w:hAnsi="Book Antiqua" w:cs="Times New Roman"/>
          <w:sz w:val="24"/>
          <w:szCs w:val="24"/>
        </w:rPr>
        <w:t xml:space="preserve">cases were </w:t>
      </w:r>
      <w:r w:rsidR="001967A2" w:rsidRPr="00F80032">
        <w:rPr>
          <w:rFonts w:ascii="Book Antiqua" w:hAnsi="Book Antiqua" w:cs="Times New Roman"/>
          <w:sz w:val="24"/>
          <w:szCs w:val="24"/>
        </w:rPr>
        <w:t xml:space="preserve">patients </w:t>
      </w:r>
      <w:r w:rsidRPr="00F80032">
        <w:rPr>
          <w:rFonts w:ascii="Book Antiqua" w:hAnsi="Book Antiqua" w:cs="Times New Roman"/>
          <w:sz w:val="24"/>
          <w:szCs w:val="24"/>
        </w:rPr>
        <w:t xml:space="preserve">with IBD who had </w:t>
      </w:r>
      <w:r w:rsidR="001967A2" w:rsidRPr="00F80032">
        <w:rPr>
          <w:rFonts w:ascii="Book Antiqua" w:hAnsi="Book Antiqua" w:cs="Times New Roman"/>
          <w:sz w:val="24"/>
          <w:szCs w:val="24"/>
        </w:rPr>
        <w:t xml:space="preserve">at least one </w:t>
      </w:r>
      <w:r w:rsidRPr="00F80032">
        <w:rPr>
          <w:rFonts w:ascii="Book Antiqua" w:hAnsi="Book Antiqua" w:cs="Times New Roman"/>
          <w:sz w:val="24"/>
          <w:szCs w:val="24"/>
        </w:rPr>
        <w:t xml:space="preserve">DN (IFX-ATI-) </w:t>
      </w:r>
      <w:r w:rsidR="001967A2" w:rsidRPr="00F80032">
        <w:rPr>
          <w:rFonts w:ascii="Book Antiqua" w:hAnsi="Book Antiqua" w:cs="Times New Roman"/>
          <w:sz w:val="24"/>
          <w:szCs w:val="24"/>
        </w:rPr>
        <w:t>measurement</w:t>
      </w:r>
      <w:r w:rsidRPr="00F80032">
        <w:rPr>
          <w:rFonts w:ascii="Book Antiqua" w:hAnsi="Book Antiqua" w:cs="Times New Roman"/>
          <w:sz w:val="24"/>
          <w:szCs w:val="24"/>
        </w:rPr>
        <w:t xml:space="preserve"> during routine follow up </w:t>
      </w:r>
      <w:r w:rsidRPr="00F80032">
        <w:rPr>
          <w:rFonts w:ascii="Book Antiqua" w:hAnsi="Book Antiqua" w:cs="Times New Roman"/>
          <w:sz w:val="24"/>
          <w:szCs w:val="24"/>
        </w:rPr>
        <w:lastRenderedPageBreak/>
        <w:t xml:space="preserve">(not </w:t>
      </w:r>
      <w:r w:rsidR="00C0783C" w:rsidRPr="00F80032">
        <w:rPr>
          <w:rFonts w:ascii="Book Antiqua" w:hAnsi="Book Antiqua" w:cs="Times New Roman"/>
          <w:sz w:val="24"/>
          <w:szCs w:val="24"/>
        </w:rPr>
        <w:t xml:space="preserve">necessarily </w:t>
      </w:r>
      <w:r w:rsidRPr="00F80032">
        <w:rPr>
          <w:rFonts w:ascii="Book Antiqua" w:hAnsi="Book Antiqua" w:cs="Times New Roman"/>
          <w:sz w:val="24"/>
          <w:szCs w:val="24"/>
        </w:rPr>
        <w:t>at a point of LOR)</w:t>
      </w:r>
      <w:r w:rsidR="001967A2" w:rsidRPr="00F80032">
        <w:rPr>
          <w:rFonts w:ascii="Book Antiqua" w:hAnsi="Book Antiqua" w:cs="Times New Roman"/>
          <w:sz w:val="24"/>
          <w:szCs w:val="24"/>
        </w:rPr>
        <w:t xml:space="preserve"> and control</w:t>
      </w:r>
      <w:r w:rsidR="004601E7" w:rsidRPr="00F80032">
        <w:rPr>
          <w:rFonts w:ascii="Book Antiqua" w:hAnsi="Book Antiqua" w:cs="Times New Roman"/>
          <w:sz w:val="24"/>
          <w:szCs w:val="24"/>
        </w:rPr>
        <w:t>s</w:t>
      </w:r>
      <w:r w:rsidR="001967A2" w:rsidRPr="00F80032">
        <w:rPr>
          <w:rFonts w:ascii="Book Antiqua" w:hAnsi="Book Antiqua" w:cs="Times New Roman"/>
          <w:sz w:val="24"/>
          <w:szCs w:val="24"/>
        </w:rPr>
        <w:t xml:space="preserve"> </w:t>
      </w:r>
      <w:r w:rsidR="00D44BC9" w:rsidRPr="00F80032">
        <w:rPr>
          <w:rFonts w:ascii="Book Antiqua" w:hAnsi="Book Antiqua" w:cs="Times New Roman"/>
          <w:sz w:val="24"/>
          <w:szCs w:val="24"/>
        </w:rPr>
        <w:t xml:space="preserve">were IBD patients </w:t>
      </w:r>
      <w:r w:rsidR="001967A2" w:rsidRPr="00F80032">
        <w:rPr>
          <w:rFonts w:ascii="Book Antiqua" w:hAnsi="Book Antiqua" w:cs="Times New Roman"/>
          <w:sz w:val="24"/>
          <w:szCs w:val="24"/>
        </w:rPr>
        <w:t>with positive drug levels without ATI (IFX+ATI-)</w:t>
      </w:r>
      <w:r w:rsidR="00D44BC9" w:rsidRPr="00F80032">
        <w:rPr>
          <w:rFonts w:ascii="Book Antiqua" w:hAnsi="Book Antiqua" w:cs="Times New Roman"/>
          <w:sz w:val="24"/>
          <w:szCs w:val="24"/>
        </w:rPr>
        <w:t>.</w:t>
      </w:r>
      <w:r w:rsidR="00984F06" w:rsidRPr="00F80032">
        <w:rPr>
          <w:rFonts w:ascii="Book Antiqua" w:hAnsi="Book Antiqua" w:cs="Times New Roman"/>
          <w:sz w:val="24"/>
          <w:szCs w:val="24"/>
        </w:rPr>
        <w:t xml:space="preserve"> The starting point of the analysis was defined as the month of the DN event in cases and the matching month in controls. </w:t>
      </w:r>
      <w:r w:rsidR="004601E7" w:rsidRPr="00F80032">
        <w:rPr>
          <w:rFonts w:ascii="Book Antiqua" w:hAnsi="Book Antiqua" w:cs="Times New Roman"/>
          <w:sz w:val="24"/>
          <w:szCs w:val="24"/>
        </w:rPr>
        <w:t>T</w:t>
      </w:r>
      <w:r w:rsidRPr="00F80032">
        <w:rPr>
          <w:rFonts w:ascii="Book Antiqua" w:hAnsi="Book Antiqua" w:cs="Times New Roman"/>
          <w:sz w:val="24"/>
          <w:szCs w:val="24"/>
        </w:rPr>
        <w:t xml:space="preserve">he pharmacokinetics </w:t>
      </w:r>
      <w:r w:rsidR="004601E7" w:rsidRPr="00F80032">
        <w:rPr>
          <w:rFonts w:ascii="Book Antiqua" w:hAnsi="Book Antiqua" w:cs="Times New Roman"/>
          <w:sz w:val="24"/>
          <w:szCs w:val="24"/>
        </w:rPr>
        <w:t xml:space="preserve">at the end of follow up </w:t>
      </w:r>
      <w:proofErr w:type="gramStart"/>
      <w:r w:rsidRPr="00F80032">
        <w:rPr>
          <w:rFonts w:ascii="Book Antiqua" w:hAnsi="Book Antiqua" w:cs="Times New Roman"/>
          <w:sz w:val="24"/>
          <w:szCs w:val="24"/>
        </w:rPr>
        <w:t>w</w:t>
      </w:r>
      <w:r w:rsidR="00A31695" w:rsidRPr="00F80032">
        <w:rPr>
          <w:rFonts w:ascii="Book Antiqua" w:hAnsi="Book Antiqua" w:cs="Times New Roman"/>
          <w:sz w:val="24"/>
          <w:szCs w:val="24"/>
        </w:rPr>
        <w:t>ere</w:t>
      </w:r>
      <w:proofErr w:type="gramEnd"/>
      <w:r w:rsidRPr="00F80032">
        <w:rPr>
          <w:rFonts w:ascii="Book Antiqua" w:hAnsi="Book Antiqua" w:cs="Times New Roman"/>
          <w:sz w:val="24"/>
          <w:szCs w:val="24"/>
        </w:rPr>
        <w:t xml:space="preserve"> correlated to </w:t>
      </w:r>
      <w:r w:rsidR="0085330E" w:rsidRPr="00F80032">
        <w:rPr>
          <w:rFonts w:ascii="Book Antiqua" w:hAnsi="Book Antiqua" w:cs="Times New Roman"/>
          <w:sz w:val="24"/>
          <w:szCs w:val="24"/>
        </w:rPr>
        <w:t>clinical outcome</w:t>
      </w:r>
      <w:r w:rsidR="001967A2" w:rsidRPr="00F80032">
        <w:rPr>
          <w:rFonts w:ascii="Book Antiqua" w:hAnsi="Book Antiqua" w:cs="Times New Roman"/>
          <w:sz w:val="24"/>
          <w:szCs w:val="24"/>
        </w:rPr>
        <w:t xml:space="preserve">. Cases and controls were matched </w:t>
      </w:r>
      <w:r w:rsidR="008A0E73" w:rsidRPr="00F80032">
        <w:rPr>
          <w:rFonts w:ascii="Book Antiqua" w:hAnsi="Book Antiqua" w:cs="Times New Roman"/>
          <w:sz w:val="24"/>
          <w:szCs w:val="24"/>
        </w:rPr>
        <w:t xml:space="preserve">according to </w:t>
      </w:r>
      <w:r w:rsidR="001967A2" w:rsidRPr="00F80032">
        <w:rPr>
          <w:rFonts w:ascii="Book Antiqua" w:hAnsi="Book Antiqua" w:cs="Times New Roman"/>
          <w:sz w:val="24"/>
          <w:szCs w:val="24"/>
        </w:rPr>
        <w:t xml:space="preserve">the </w:t>
      </w:r>
      <w:r w:rsidR="008A0E73" w:rsidRPr="00F80032">
        <w:rPr>
          <w:rFonts w:ascii="Book Antiqua" w:hAnsi="Book Antiqua" w:cs="Times New Roman"/>
          <w:sz w:val="24"/>
          <w:szCs w:val="24"/>
        </w:rPr>
        <w:t xml:space="preserve">duration </w:t>
      </w:r>
      <w:r w:rsidR="001967A2" w:rsidRPr="00F80032">
        <w:rPr>
          <w:rFonts w:ascii="Book Antiqua" w:hAnsi="Book Antiqua" w:cs="Times New Roman"/>
          <w:sz w:val="24"/>
          <w:szCs w:val="24"/>
        </w:rPr>
        <w:t xml:space="preserve">of IFX therapy. Patients with unavailable subsequent measurements were excluded. Antibody formation was defined as positive when a patient tested positive for ATI during follow-up on more than two consecutive time points. Transient antibodies were defined as measurable ATI on up to two consecutive infusions, which disappeared on subsequent infusions without any alteration of </w:t>
      </w:r>
      <w:proofErr w:type="gramStart"/>
      <w:r w:rsidR="001967A2" w:rsidRPr="00F80032">
        <w:rPr>
          <w:rFonts w:ascii="Book Antiqua" w:hAnsi="Book Antiqua" w:cs="Times New Roman"/>
          <w:sz w:val="24"/>
          <w:szCs w:val="24"/>
        </w:rPr>
        <w:t>therapy</w:t>
      </w:r>
      <w:r w:rsidR="00EF0502" w:rsidRPr="00F80032">
        <w:rPr>
          <w:rFonts w:ascii="Book Antiqua" w:hAnsi="Book Antiqua" w:cs="Times New Roman"/>
          <w:noProof/>
          <w:sz w:val="24"/>
          <w:szCs w:val="24"/>
          <w:vertAlign w:val="superscript"/>
        </w:rPr>
        <w:t>[</w:t>
      </w:r>
      <w:proofErr w:type="gramEnd"/>
      <w:r w:rsidR="00EF0502" w:rsidRPr="00F80032">
        <w:rPr>
          <w:rFonts w:ascii="Book Antiqua" w:hAnsi="Book Antiqua" w:cs="Times New Roman"/>
          <w:noProof/>
          <w:sz w:val="24"/>
          <w:szCs w:val="24"/>
          <w:vertAlign w:val="superscript"/>
        </w:rPr>
        <w:t>8,12,</w:t>
      </w:r>
      <w:r w:rsidR="001967A2" w:rsidRPr="00F80032">
        <w:rPr>
          <w:rFonts w:ascii="Book Antiqua" w:hAnsi="Book Antiqua" w:cs="Times New Roman"/>
          <w:noProof/>
          <w:sz w:val="24"/>
          <w:szCs w:val="24"/>
          <w:vertAlign w:val="superscript"/>
        </w:rPr>
        <w:t>13</w:t>
      </w:r>
      <w:r w:rsidR="00EF0502" w:rsidRPr="00F80032">
        <w:rPr>
          <w:rFonts w:ascii="Book Antiqua" w:hAnsi="Book Antiqua" w:cs="Times New Roman"/>
          <w:noProof/>
          <w:sz w:val="24"/>
          <w:szCs w:val="24"/>
          <w:vertAlign w:val="superscript"/>
        </w:rPr>
        <w:t>]</w:t>
      </w:r>
      <w:r w:rsidR="001967A2" w:rsidRPr="00F80032">
        <w:rPr>
          <w:rFonts w:ascii="Book Antiqua" w:hAnsi="Book Antiqua" w:cs="Times New Roman"/>
          <w:sz w:val="24"/>
          <w:szCs w:val="24"/>
        </w:rPr>
        <w:t xml:space="preserve">. </w:t>
      </w:r>
      <w:r w:rsidR="00974923" w:rsidRPr="00F80032">
        <w:rPr>
          <w:rFonts w:ascii="Book Antiqua" w:hAnsi="Book Antiqua" w:cs="Times New Roman"/>
          <w:sz w:val="24"/>
          <w:szCs w:val="24"/>
        </w:rPr>
        <w:t>Permanent</w:t>
      </w:r>
      <w:r w:rsidR="00D92177" w:rsidRPr="00F80032">
        <w:rPr>
          <w:rFonts w:ascii="Book Antiqua" w:hAnsi="Book Antiqua" w:cs="Times New Roman"/>
          <w:sz w:val="24"/>
          <w:szCs w:val="24"/>
        </w:rPr>
        <w:t>,</w:t>
      </w:r>
      <w:r w:rsidR="002A4F54" w:rsidRPr="00F80032">
        <w:rPr>
          <w:rFonts w:ascii="Book Antiqua" w:hAnsi="Book Antiqua" w:cs="Times New Roman"/>
          <w:sz w:val="24"/>
          <w:szCs w:val="24"/>
        </w:rPr>
        <w:t xml:space="preserve"> non-transient</w:t>
      </w:r>
      <w:r w:rsidR="00D92177" w:rsidRPr="00F80032">
        <w:rPr>
          <w:rFonts w:ascii="Book Antiqua" w:hAnsi="Book Antiqua" w:cs="Times New Roman"/>
          <w:sz w:val="24"/>
          <w:szCs w:val="24"/>
        </w:rPr>
        <w:t>, ATI comprised</w:t>
      </w:r>
      <w:r w:rsidR="002A4F54" w:rsidRPr="00F80032">
        <w:rPr>
          <w:rFonts w:ascii="Book Antiqua" w:hAnsi="Book Antiqua" w:cs="Times New Roman"/>
          <w:sz w:val="24"/>
          <w:szCs w:val="24"/>
        </w:rPr>
        <w:t xml:space="preserve"> the primary end point</w:t>
      </w:r>
      <w:r w:rsidR="00974923" w:rsidRPr="00F80032">
        <w:rPr>
          <w:rFonts w:ascii="Book Antiqua" w:hAnsi="Book Antiqua" w:cs="Times New Roman"/>
          <w:sz w:val="24"/>
          <w:szCs w:val="24"/>
        </w:rPr>
        <w:t xml:space="preserve">, </w:t>
      </w:r>
      <w:r w:rsidR="00D92177" w:rsidRPr="00F80032">
        <w:rPr>
          <w:rFonts w:ascii="Book Antiqua" w:hAnsi="Book Antiqua" w:cs="Times New Roman"/>
          <w:sz w:val="24"/>
          <w:szCs w:val="24"/>
        </w:rPr>
        <w:t xml:space="preserve">while </w:t>
      </w:r>
      <w:r w:rsidR="00974923" w:rsidRPr="00F80032">
        <w:rPr>
          <w:rFonts w:ascii="Book Antiqua" w:hAnsi="Book Antiqua" w:cs="Times New Roman"/>
          <w:sz w:val="24"/>
          <w:szCs w:val="24"/>
        </w:rPr>
        <w:t>transient ATI were disregarded</w:t>
      </w:r>
      <w:r w:rsidR="002A4F54" w:rsidRPr="00F80032">
        <w:rPr>
          <w:rFonts w:ascii="Book Antiqua" w:hAnsi="Book Antiqua" w:cs="Times New Roman"/>
          <w:sz w:val="24"/>
          <w:szCs w:val="24"/>
        </w:rPr>
        <w:t xml:space="preserve">. </w:t>
      </w:r>
      <w:r w:rsidR="001967A2" w:rsidRPr="00F80032">
        <w:rPr>
          <w:rFonts w:ascii="Book Antiqua" w:hAnsi="Book Antiqua" w:cs="Times New Roman"/>
          <w:sz w:val="24"/>
          <w:szCs w:val="24"/>
        </w:rPr>
        <w:t xml:space="preserve">Clinical response was defined by an improvement in disease activity indexes, the Harvey-Bradshaw index (HBI) score and the simple clinical colitis activity index (SCCAI) score for CD and UC patients respectively, coupled with a treating physician's decision to continue IFX therapy without alteration. </w:t>
      </w:r>
      <w:r w:rsidR="00106E86" w:rsidRPr="00F80032">
        <w:rPr>
          <w:rFonts w:ascii="Book Antiqua" w:hAnsi="Book Antiqua" w:cs="Times New Roman"/>
          <w:sz w:val="24"/>
          <w:szCs w:val="24"/>
        </w:rPr>
        <w:t xml:space="preserve">Clinical response </w:t>
      </w:r>
      <w:r w:rsidR="001967A2" w:rsidRPr="00F80032">
        <w:rPr>
          <w:rFonts w:ascii="Book Antiqua" w:hAnsi="Book Antiqua" w:cs="Times New Roman"/>
          <w:sz w:val="24"/>
          <w:szCs w:val="24"/>
        </w:rPr>
        <w:t xml:space="preserve">was evaluated on the day of IFX infusion. Secondary LOR was defined </w:t>
      </w:r>
      <w:r w:rsidR="00106E86" w:rsidRPr="00F80032">
        <w:rPr>
          <w:rFonts w:ascii="Book Antiqua" w:hAnsi="Book Antiqua" w:cs="Times New Roman"/>
          <w:sz w:val="24"/>
          <w:szCs w:val="24"/>
        </w:rPr>
        <w:t>as</w:t>
      </w:r>
      <w:r w:rsidR="001967A2" w:rsidRPr="00F80032">
        <w:rPr>
          <w:rFonts w:ascii="Book Antiqua" w:hAnsi="Book Antiqua" w:cs="Times New Roman"/>
          <w:sz w:val="24"/>
          <w:szCs w:val="24"/>
        </w:rPr>
        <w:t xml:space="preserve"> </w:t>
      </w:r>
      <w:r w:rsidR="008A0E73" w:rsidRPr="00F80032">
        <w:rPr>
          <w:rFonts w:ascii="Book Antiqua" w:hAnsi="Book Antiqua" w:cs="Times New Roman"/>
          <w:sz w:val="24"/>
          <w:szCs w:val="24"/>
        </w:rPr>
        <w:t>increased</w:t>
      </w:r>
      <w:r w:rsidR="001967A2" w:rsidRPr="00F80032">
        <w:rPr>
          <w:rFonts w:ascii="Book Antiqua" w:hAnsi="Book Antiqua" w:cs="Times New Roman"/>
          <w:sz w:val="24"/>
          <w:szCs w:val="24"/>
        </w:rPr>
        <w:t xml:space="preserve"> disease activity (a rise of &gt;3 points in HBI score or of &gt;2 points in SCCAI score for CD and UC respectively) after achieving an appropriate induction </w:t>
      </w:r>
      <w:proofErr w:type="gramStart"/>
      <w:r w:rsidR="001967A2" w:rsidRPr="00F80032">
        <w:rPr>
          <w:rFonts w:ascii="Book Antiqua" w:hAnsi="Book Antiqua" w:cs="Times New Roman"/>
          <w:sz w:val="24"/>
          <w:szCs w:val="24"/>
        </w:rPr>
        <w:t>response</w:t>
      </w:r>
      <w:r w:rsidR="00EF0502" w:rsidRPr="00F80032">
        <w:rPr>
          <w:rFonts w:ascii="Book Antiqua" w:hAnsi="Book Antiqua" w:cs="Times New Roman"/>
          <w:noProof/>
          <w:sz w:val="24"/>
          <w:szCs w:val="24"/>
          <w:vertAlign w:val="superscript"/>
        </w:rPr>
        <w:t>[</w:t>
      </w:r>
      <w:proofErr w:type="gramEnd"/>
      <w:r w:rsidR="001967A2" w:rsidRPr="00F80032">
        <w:rPr>
          <w:rFonts w:ascii="Book Antiqua" w:hAnsi="Book Antiqua" w:cs="Times New Roman"/>
          <w:noProof/>
          <w:sz w:val="24"/>
          <w:szCs w:val="24"/>
          <w:vertAlign w:val="superscript"/>
        </w:rPr>
        <w:t>14-16</w:t>
      </w:r>
      <w:r w:rsidR="00EF0502" w:rsidRPr="00F80032">
        <w:rPr>
          <w:rFonts w:ascii="Book Antiqua" w:hAnsi="Book Antiqua" w:cs="Times New Roman"/>
          <w:noProof/>
          <w:sz w:val="24"/>
          <w:szCs w:val="24"/>
          <w:vertAlign w:val="superscript"/>
        </w:rPr>
        <w:t>]</w:t>
      </w:r>
      <w:r w:rsidR="001967A2" w:rsidRPr="00F80032">
        <w:rPr>
          <w:rFonts w:ascii="Book Antiqua" w:hAnsi="Book Antiqua" w:cs="Times New Roman"/>
          <w:sz w:val="24"/>
          <w:szCs w:val="24"/>
        </w:rPr>
        <w:t xml:space="preserve">. When unavailable, clinical response was determined by the documented physician’s global assessment. </w:t>
      </w:r>
    </w:p>
    <w:p w:rsidR="00C61ED8" w:rsidRPr="00F80032" w:rsidRDefault="00C61ED8" w:rsidP="004F172A">
      <w:pPr>
        <w:adjustRightInd w:val="0"/>
        <w:snapToGrid w:val="0"/>
        <w:spacing w:after="0" w:line="360" w:lineRule="auto"/>
        <w:jc w:val="both"/>
        <w:rPr>
          <w:rFonts w:ascii="Book Antiqua" w:hAnsi="Book Antiqua" w:cs="Times New Roman"/>
          <w:b/>
          <w:bCs/>
          <w:i/>
          <w:sz w:val="24"/>
          <w:szCs w:val="24"/>
        </w:rPr>
      </w:pPr>
    </w:p>
    <w:p w:rsidR="00357B3A" w:rsidRPr="00F80032" w:rsidRDefault="001967A2" w:rsidP="004F172A">
      <w:pPr>
        <w:adjustRightInd w:val="0"/>
        <w:snapToGrid w:val="0"/>
        <w:spacing w:after="0" w:line="360" w:lineRule="auto"/>
        <w:jc w:val="both"/>
        <w:rPr>
          <w:rFonts w:ascii="Book Antiqua" w:hAnsi="Book Antiqua" w:cs="Times New Roman"/>
          <w:b/>
          <w:bCs/>
          <w:i/>
          <w:sz w:val="24"/>
          <w:szCs w:val="24"/>
        </w:rPr>
      </w:pPr>
      <w:r w:rsidRPr="00F80032">
        <w:rPr>
          <w:rFonts w:ascii="Book Antiqua" w:hAnsi="Book Antiqua" w:cs="Times New Roman"/>
          <w:b/>
          <w:bCs/>
          <w:i/>
          <w:sz w:val="24"/>
          <w:szCs w:val="24"/>
        </w:rPr>
        <w:t xml:space="preserve">Measurement of </w:t>
      </w:r>
      <w:r w:rsidR="00706CA8" w:rsidRPr="00F80032">
        <w:rPr>
          <w:rFonts w:ascii="Book Antiqua" w:hAnsi="Book Antiqua" w:cs="Times New Roman"/>
          <w:b/>
          <w:bCs/>
          <w:i/>
          <w:sz w:val="24"/>
          <w:szCs w:val="24"/>
        </w:rPr>
        <w:t>IFX</w:t>
      </w:r>
      <w:r w:rsidR="00904707" w:rsidRPr="00F80032">
        <w:rPr>
          <w:rFonts w:ascii="Book Antiqua" w:hAnsi="Book Antiqua" w:cs="Times New Roman"/>
          <w:b/>
          <w:bCs/>
          <w:i/>
          <w:sz w:val="24"/>
          <w:szCs w:val="24"/>
        </w:rPr>
        <w:t xml:space="preserve"> by TNF-α-blocker-monitoring infliximab drug level</w:t>
      </w:r>
      <w:r w:rsidRPr="00F80032">
        <w:rPr>
          <w:rFonts w:ascii="Book Antiqua" w:hAnsi="Book Antiqua" w:cs="Times New Roman"/>
          <w:b/>
          <w:bCs/>
          <w:i/>
          <w:sz w:val="24"/>
          <w:szCs w:val="24"/>
        </w:rPr>
        <w:t xml:space="preserve"> ELISA</w:t>
      </w:r>
      <w:r w:rsidR="00904707" w:rsidRPr="00F80032">
        <w:rPr>
          <w:rFonts w:ascii="Book Antiqua" w:hAnsi="Book Antiqua" w:cs="Times New Roman"/>
          <w:b/>
          <w:bCs/>
          <w:i/>
          <w:sz w:val="24"/>
          <w:szCs w:val="24"/>
        </w:rPr>
        <w:t xml:space="preserve"> </w:t>
      </w:r>
    </w:p>
    <w:p w:rsidR="00374661" w:rsidRPr="00F80032" w:rsidRDefault="00706CA8" w:rsidP="004F172A">
      <w:pPr>
        <w:adjustRightInd w:val="0"/>
        <w:snapToGrid w:val="0"/>
        <w:spacing w:after="0" w:line="360" w:lineRule="auto"/>
        <w:jc w:val="both"/>
        <w:rPr>
          <w:rFonts w:ascii="Book Antiqua" w:hAnsi="Book Antiqua" w:cs="Times New Roman"/>
          <w:b/>
          <w:bCs/>
          <w:sz w:val="24"/>
          <w:szCs w:val="24"/>
        </w:rPr>
      </w:pPr>
      <w:r w:rsidRPr="00F80032">
        <w:rPr>
          <w:rFonts w:ascii="Book Antiqua" w:hAnsi="Book Antiqua" w:cs="Times New Roman"/>
          <w:sz w:val="24"/>
          <w:szCs w:val="24"/>
        </w:rPr>
        <w:t>IFX</w:t>
      </w:r>
      <w:r w:rsidR="001967A2" w:rsidRPr="00F80032">
        <w:rPr>
          <w:rFonts w:ascii="Book Antiqua" w:hAnsi="Book Antiqua" w:cs="Times New Roman"/>
          <w:sz w:val="24"/>
          <w:szCs w:val="24"/>
        </w:rPr>
        <w:t xml:space="preserve"> levels </w:t>
      </w:r>
      <w:r w:rsidRPr="00F80032">
        <w:rPr>
          <w:rFonts w:ascii="Book Antiqua" w:hAnsi="Book Antiqua" w:cs="Times New Roman"/>
          <w:sz w:val="24"/>
          <w:szCs w:val="24"/>
        </w:rPr>
        <w:t>were measured</w:t>
      </w:r>
      <w:r w:rsidR="001967A2" w:rsidRPr="00F80032">
        <w:rPr>
          <w:rFonts w:ascii="Book Antiqua" w:hAnsi="Book Antiqua" w:cs="Times New Roman"/>
          <w:sz w:val="24"/>
          <w:szCs w:val="24"/>
        </w:rPr>
        <w:t xml:space="preserve"> by a commercially available </w:t>
      </w:r>
      <w:r w:rsidR="00904707" w:rsidRPr="00F80032">
        <w:rPr>
          <w:rFonts w:ascii="Book Antiqua" w:hAnsi="Book Antiqua" w:cs="Times New Roman"/>
          <w:sz w:val="24"/>
          <w:szCs w:val="24"/>
        </w:rPr>
        <w:t>quant</w:t>
      </w:r>
      <w:r w:rsidR="001967A2" w:rsidRPr="00F80032">
        <w:rPr>
          <w:rFonts w:ascii="Book Antiqua" w:hAnsi="Book Antiqua" w:cs="Times New Roman"/>
          <w:sz w:val="24"/>
          <w:szCs w:val="24"/>
        </w:rPr>
        <w:t>itative ELISA, TNF-α</w:t>
      </w:r>
      <w:r w:rsidR="00904707" w:rsidRPr="00F80032">
        <w:rPr>
          <w:rFonts w:ascii="Book Antiqua" w:hAnsi="Book Antiqua" w:cs="Times New Roman"/>
          <w:sz w:val="24"/>
          <w:szCs w:val="24"/>
        </w:rPr>
        <w:t>-blocker-monitoring</w:t>
      </w:r>
      <w:r w:rsidR="001967A2" w:rsidRPr="00F80032">
        <w:rPr>
          <w:rFonts w:ascii="Book Antiqua" w:hAnsi="Book Antiqua" w:cs="Times New Roman"/>
          <w:sz w:val="24"/>
          <w:szCs w:val="24"/>
        </w:rPr>
        <w:t xml:space="preserve"> (</w:t>
      </w:r>
      <w:proofErr w:type="spellStart"/>
      <w:r w:rsidR="001967A2" w:rsidRPr="00F80032">
        <w:rPr>
          <w:rFonts w:ascii="Book Antiqua" w:hAnsi="Book Antiqua" w:cs="Times New Roman"/>
          <w:sz w:val="24"/>
          <w:szCs w:val="24"/>
        </w:rPr>
        <w:t>Immundiagnostik</w:t>
      </w:r>
      <w:proofErr w:type="spellEnd"/>
      <w:r w:rsidR="001967A2" w:rsidRPr="00F80032">
        <w:rPr>
          <w:rFonts w:ascii="Book Antiqua" w:hAnsi="Book Antiqua" w:cs="Times New Roman"/>
          <w:sz w:val="24"/>
          <w:szCs w:val="24"/>
        </w:rPr>
        <w:t xml:space="preserve">, </w:t>
      </w:r>
      <w:proofErr w:type="spellStart"/>
      <w:r w:rsidR="001967A2" w:rsidRPr="00F80032">
        <w:rPr>
          <w:rFonts w:ascii="Book Antiqua" w:hAnsi="Book Antiqua" w:cs="Times New Roman"/>
          <w:sz w:val="24"/>
          <w:szCs w:val="24"/>
        </w:rPr>
        <w:t>Bensheim</w:t>
      </w:r>
      <w:proofErr w:type="spellEnd"/>
      <w:r w:rsidR="001967A2" w:rsidRPr="00F80032">
        <w:rPr>
          <w:rFonts w:ascii="Book Antiqua" w:hAnsi="Book Antiqua" w:cs="Times New Roman"/>
          <w:sz w:val="24"/>
          <w:szCs w:val="24"/>
        </w:rPr>
        <w:t>, Germany). Instructions supplied by the manufacturer were followed.</w:t>
      </w:r>
      <w:r w:rsidR="00B131A2" w:rsidRPr="00F80032">
        <w:rPr>
          <w:rFonts w:ascii="Book Antiqua" w:hAnsi="Book Antiqua" w:cs="Times New Roman"/>
          <w:sz w:val="24"/>
          <w:szCs w:val="24"/>
        </w:rPr>
        <w:t xml:space="preserve"> </w:t>
      </w:r>
      <w:r w:rsidR="00904707" w:rsidRPr="00F80032">
        <w:rPr>
          <w:rFonts w:ascii="Book Antiqua" w:hAnsi="Book Antiqua" w:cs="Times New Roman"/>
          <w:sz w:val="24"/>
          <w:szCs w:val="24"/>
        </w:rPr>
        <w:t>The assay's detection threshold was IFX</w:t>
      </w:r>
      <w:r w:rsidR="00374661" w:rsidRPr="00F80032">
        <w:rPr>
          <w:rFonts w:ascii="Book Antiqua" w:hAnsi="Book Antiqua" w:cs="Times New Roman"/>
          <w:sz w:val="24"/>
          <w:szCs w:val="24"/>
        </w:rPr>
        <w:t xml:space="preserve"> &gt;</w:t>
      </w:r>
      <w:r w:rsidR="00A81CE4" w:rsidRPr="00F80032">
        <w:rPr>
          <w:rFonts w:ascii="Book Antiqua" w:hAnsi="Book Antiqua" w:cs="Times New Roman" w:hint="eastAsia"/>
          <w:sz w:val="24"/>
          <w:szCs w:val="24"/>
          <w:lang w:eastAsia="zh-CN"/>
        </w:rPr>
        <w:t xml:space="preserve"> </w:t>
      </w:r>
      <w:r w:rsidRPr="00F80032">
        <w:rPr>
          <w:rFonts w:ascii="Book Antiqua" w:hAnsi="Book Antiqua" w:cs="Times New Roman"/>
          <w:sz w:val="24"/>
          <w:szCs w:val="24"/>
        </w:rPr>
        <w:t>1 µg/</w:t>
      </w:r>
      <w:proofErr w:type="spellStart"/>
      <w:r w:rsidRPr="00F80032">
        <w:rPr>
          <w:rFonts w:ascii="Book Antiqua" w:hAnsi="Book Antiqua" w:cs="Times New Roman"/>
          <w:sz w:val="24"/>
          <w:szCs w:val="24"/>
        </w:rPr>
        <w:t>m</w:t>
      </w:r>
      <w:r w:rsidRPr="00F80032">
        <w:rPr>
          <w:rFonts w:ascii="Book Antiqua" w:hAnsi="Book Antiqua" w:cs="Times New Roman"/>
          <w:caps/>
          <w:sz w:val="24"/>
          <w:szCs w:val="24"/>
        </w:rPr>
        <w:t>l</w:t>
      </w:r>
      <w:r w:rsidR="00374661" w:rsidRPr="00F80032">
        <w:rPr>
          <w:rFonts w:ascii="Book Antiqua" w:hAnsi="Book Antiqua" w:cs="Times New Roman"/>
          <w:sz w:val="24"/>
          <w:szCs w:val="24"/>
        </w:rPr>
        <w:t>.</w:t>
      </w:r>
      <w:proofErr w:type="spellEnd"/>
    </w:p>
    <w:p w:rsidR="00C61ED8" w:rsidRPr="00F80032" w:rsidRDefault="00C61ED8" w:rsidP="004F172A">
      <w:pPr>
        <w:adjustRightInd w:val="0"/>
        <w:snapToGrid w:val="0"/>
        <w:spacing w:after="0" w:line="360" w:lineRule="auto"/>
        <w:jc w:val="both"/>
        <w:rPr>
          <w:rFonts w:ascii="Book Antiqua" w:hAnsi="Book Antiqua" w:cs="Times New Roman"/>
          <w:b/>
          <w:bCs/>
          <w:sz w:val="24"/>
          <w:szCs w:val="24"/>
        </w:rPr>
      </w:pPr>
    </w:p>
    <w:p w:rsidR="00706CA8" w:rsidRPr="00F80032" w:rsidRDefault="00706CA8" w:rsidP="004F172A">
      <w:pPr>
        <w:adjustRightInd w:val="0"/>
        <w:snapToGrid w:val="0"/>
        <w:spacing w:after="0" w:line="360" w:lineRule="auto"/>
        <w:jc w:val="both"/>
        <w:rPr>
          <w:rFonts w:ascii="Book Antiqua" w:hAnsi="Book Antiqua" w:cs="Times New Roman"/>
          <w:b/>
          <w:bCs/>
          <w:i/>
          <w:sz w:val="24"/>
          <w:szCs w:val="24"/>
        </w:rPr>
      </w:pPr>
      <w:r w:rsidRPr="00F80032">
        <w:rPr>
          <w:rFonts w:ascii="Book Antiqua" w:hAnsi="Book Antiqua" w:cs="Times New Roman"/>
          <w:b/>
          <w:bCs/>
          <w:i/>
          <w:sz w:val="24"/>
          <w:szCs w:val="24"/>
        </w:rPr>
        <w:t xml:space="preserve">Measurement of ATI by </w:t>
      </w:r>
      <w:r w:rsidR="00904707" w:rsidRPr="00F80032">
        <w:rPr>
          <w:rFonts w:ascii="Book Antiqua" w:hAnsi="Book Antiqua" w:cs="Times New Roman"/>
          <w:b/>
          <w:bCs/>
          <w:i/>
          <w:sz w:val="24"/>
          <w:szCs w:val="24"/>
        </w:rPr>
        <w:t xml:space="preserve">TNF-α-blocker-ADA </w:t>
      </w:r>
      <w:r w:rsidRPr="00F80032">
        <w:rPr>
          <w:rFonts w:ascii="Book Antiqua" w:hAnsi="Book Antiqua" w:cs="Times New Roman"/>
          <w:b/>
          <w:bCs/>
          <w:i/>
          <w:sz w:val="24"/>
          <w:szCs w:val="24"/>
        </w:rPr>
        <w:t>double antigen ELISA</w:t>
      </w:r>
    </w:p>
    <w:p w:rsidR="00706CA8" w:rsidRPr="00F80032" w:rsidRDefault="00706CA8" w:rsidP="004F172A">
      <w:pPr>
        <w:adjustRightInd w:val="0"/>
        <w:snapToGrid w:val="0"/>
        <w:spacing w:after="0" w:line="360" w:lineRule="auto"/>
        <w:jc w:val="both"/>
        <w:rPr>
          <w:rFonts w:ascii="Book Antiqua" w:hAnsi="Book Antiqua" w:cs="Times New Roman"/>
          <w:b/>
          <w:bCs/>
          <w:sz w:val="24"/>
          <w:szCs w:val="24"/>
        </w:rPr>
      </w:pPr>
      <w:r w:rsidRPr="00F80032">
        <w:rPr>
          <w:rFonts w:ascii="Book Antiqua" w:hAnsi="Book Antiqua" w:cs="Times New Roman"/>
          <w:sz w:val="24"/>
          <w:szCs w:val="24"/>
        </w:rPr>
        <w:lastRenderedPageBreak/>
        <w:t xml:space="preserve">ATI levels </w:t>
      </w:r>
      <w:r w:rsidR="00904707" w:rsidRPr="00F80032">
        <w:rPr>
          <w:rFonts w:ascii="Book Antiqua" w:hAnsi="Book Antiqua" w:cs="Times New Roman"/>
          <w:sz w:val="24"/>
          <w:szCs w:val="24"/>
        </w:rPr>
        <w:t>were measured</w:t>
      </w:r>
      <w:r w:rsidRPr="00F80032">
        <w:rPr>
          <w:rFonts w:ascii="Book Antiqua" w:hAnsi="Book Antiqua" w:cs="Times New Roman"/>
          <w:sz w:val="24"/>
          <w:szCs w:val="24"/>
        </w:rPr>
        <w:t xml:space="preserve"> by a commercially available </w:t>
      </w:r>
      <w:r w:rsidR="00904707" w:rsidRPr="00F80032">
        <w:rPr>
          <w:rFonts w:ascii="Book Antiqua" w:hAnsi="Book Antiqua" w:cs="Times New Roman"/>
          <w:sz w:val="24"/>
          <w:szCs w:val="24"/>
        </w:rPr>
        <w:t>quali</w:t>
      </w:r>
      <w:r w:rsidRPr="00F80032">
        <w:rPr>
          <w:rFonts w:ascii="Book Antiqua" w:hAnsi="Book Antiqua" w:cs="Times New Roman"/>
          <w:sz w:val="24"/>
          <w:szCs w:val="24"/>
        </w:rPr>
        <w:t>tative TNF-α-blocker-ADA</w:t>
      </w:r>
      <w:r w:rsidR="00904707" w:rsidRPr="00F80032">
        <w:rPr>
          <w:rFonts w:ascii="Book Antiqua" w:hAnsi="Book Antiqua" w:cs="Times New Roman"/>
          <w:sz w:val="24"/>
          <w:szCs w:val="24"/>
        </w:rPr>
        <w:t xml:space="preserve"> (antibodies against infliximab, </w:t>
      </w:r>
      <w:proofErr w:type="spellStart"/>
      <w:r w:rsidRPr="00F80032">
        <w:rPr>
          <w:rFonts w:ascii="Book Antiqua" w:hAnsi="Book Antiqua" w:cs="Times New Roman"/>
          <w:sz w:val="24"/>
          <w:szCs w:val="24"/>
        </w:rPr>
        <w:t>Immundiagnostik</w:t>
      </w:r>
      <w:proofErr w:type="spellEnd"/>
      <w:r w:rsidRPr="00F80032">
        <w:rPr>
          <w:rFonts w:ascii="Book Antiqua" w:hAnsi="Book Antiqua" w:cs="Times New Roman"/>
          <w:sz w:val="24"/>
          <w:szCs w:val="24"/>
        </w:rPr>
        <w:t xml:space="preserve">, </w:t>
      </w:r>
      <w:proofErr w:type="spellStart"/>
      <w:r w:rsidRPr="00F80032">
        <w:rPr>
          <w:rFonts w:ascii="Book Antiqua" w:hAnsi="Book Antiqua" w:cs="Times New Roman"/>
          <w:sz w:val="24"/>
          <w:szCs w:val="24"/>
        </w:rPr>
        <w:t>Bensheim</w:t>
      </w:r>
      <w:proofErr w:type="spellEnd"/>
      <w:r w:rsidRPr="00F80032">
        <w:rPr>
          <w:rFonts w:ascii="Book Antiqua" w:hAnsi="Book Antiqua" w:cs="Times New Roman"/>
          <w:sz w:val="24"/>
          <w:szCs w:val="24"/>
        </w:rPr>
        <w:t xml:space="preserve">, Germany). Instructions supplied by the manufacturer were followed. </w:t>
      </w:r>
      <w:r w:rsidR="00904707" w:rsidRPr="00F80032">
        <w:rPr>
          <w:rFonts w:ascii="Book Antiqua" w:hAnsi="Book Antiqua" w:cs="Times New Roman"/>
          <w:sz w:val="24"/>
          <w:szCs w:val="24"/>
        </w:rPr>
        <w:t>The assays</w:t>
      </w:r>
      <w:r w:rsidRPr="00F80032">
        <w:rPr>
          <w:rFonts w:ascii="Book Antiqua" w:hAnsi="Book Antiqua" w:cs="Times New Roman"/>
          <w:sz w:val="24"/>
          <w:szCs w:val="24"/>
        </w:rPr>
        <w:t xml:space="preserve"> </w:t>
      </w:r>
      <w:r w:rsidR="00904707" w:rsidRPr="00F80032">
        <w:rPr>
          <w:rFonts w:ascii="Book Antiqua" w:hAnsi="Book Antiqua" w:cs="Times New Roman"/>
          <w:sz w:val="24"/>
          <w:szCs w:val="24"/>
        </w:rPr>
        <w:t>detection threshold was ATI</w:t>
      </w:r>
      <w:r w:rsidR="00F0350D" w:rsidRPr="00F80032">
        <w:rPr>
          <w:rFonts w:ascii="Book Antiqua" w:hAnsi="Book Antiqua" w:cs="Times New Roman"/>
          <w:i/>
          <w:caps/>
          <w:sz w:val="24"/>
          <w:szCs w:val="24"/>
        </w:rPr>
        <w:t xml:space="preserve"> </w:t>
      </w:r>
      <w:r w:rsidRPr="00F80032">
        <w:rPr>
          <w:rFonts w:ascii="Book Antiqua" w:hAnsi="Book Antiqua" w:cs="Times New Roman"/>
          <w:sz w:val="24"/>
          <w:szCs w:val="24"/>
        </w:rPr>
        <w:t>&gt; 1</w:t>
      </w:r>
      <w:r w:rsidR="00904707" w:rsidRPr="00F80032">
        <w:rPr>
          <w:rFonts w:ascii="Book Antiqua" w:hAnsi="Book Antiqua" w:cs="Times New Roman"/>
          <w:sz w:val="24"/>
          <w:szCs w:val="24"/>
        </w:rPr>
        <w:t>0AU/ml, which was standardized in our labs to 1</w:t>
      </w:r>
      <w:r w:rsidR="00023778" w:rsidRPr="00F80032">
        <w:rPr>
          <w:rFonts w:ascii="Book Antiqua" w:hAnsi="Book Antiqua" w:cs="Times New Roman" w:hint="eastAsia"/>
          <w:sz w:val="24"/>
          <w:szCs w:val="24"/>
          <w:lang w:eastAsia="zh-CN"/>
        </w:rPr>
        <w:t xml:space="preserve"> </w:t>
      </w:r>
      <w:r w:rsidR="00904707" w:rsidRPr="00F80032">
        <w:rPr>
          <w:rFonts w:ascii="Book Antiqua" w:hAnsi="Book Antiqua" w:cs="Times New Roman"/>
          <w:sz w:val="24"/>
          <w:szCs w:val="24"/>
        </w:rPr>
        <w:t>AU/</w:t>
      </w:r>
      <w:proofErr w:type="spellStart"/>
      <w:r w:rsidR="00904707" w:rsidRPr="00F80032">
        <w:rPr>
          <w:rFonts w:ascii="Book Antiqua" w:hAnsi="Book Antiqua" w:cs="Times New Roman"/>
          <w:sz w:val="24"/>
          <w:szCs w:val="24"/>
        </w:rPr>
        <w:t>m</w:t>
      </w:r>
      <w:r w:rsidR="00904707" w:rsidRPr="00F80032">
        <w:rPr>
          <w:rFonts w:ascii="Book Antiqua" w:hAnsi="Book Antiqua" w:cs="Times New Roman"/>
          <w:caps/>
          <w:sz w:val="24"/>
          <w:szCs w:val="24"/>
        </w:rPr>
        <w:t>l</w:t>
      </w:r>
      <w:r w:rsidRPr="00F80032">
        <w:rPr>
          <w:rFonts w:ascii="Book Antiqua" w:hAnsi="Book Antiqua" w:cs="Times New Roman"/>
          <w:sz w:val="24"/>
          <w:szCs w:val="24"/>
        </w:rPr>
        <w:t>.</w:t>
      </w:r>
      <w:proofErr w:type="spellEnd"/>
    </w:p>
    <w:p w:rsidR="00C61ED8" w:rsidRPr="00F80032" w:rsidRDefault="00C61ED8" w:rsidP="004F172A">
      <w:pPr>
        <w:adjustRightInd w:val="0"/>
        <w:snapToGrid w:val="0"/>
        <w:spacing w:after="0" w:line="360" w:lineRule="auto"/>
        <w:jc w:val="both"/>
        <w:rPr>
          <w:rFonts w:ascii="Book Antiqua" w:hAnsi="Book Antiqua" w:cs="Times New Roman"/>
          <w:b/>
          <w:bCs/>
          <w:sz w:val="24"/>
          <w:szCs w:val="24"/>
        </w:rPr>
      </w:pPr>
    </w:p>
    <w:p w:rsidR="00357B3A" w:rsidRPr="00F80032" w:rsidRDefault="00D14E07" w:rsidP="004F172A">
      <w:pPr>
        <w:adjustRightInd w:val="0"/>
        <w:snapToGrid w:val="0"/>
        <w:spacing w:after="0" w:line="360" w:lineRule="auto"/>
        <w:jc w:val="both"/>
        <w:rPr>
          <w:rFonts w:ascii="Book Antiqua" w:hAnsi="Book Antiqua" w:cs="Times New Roman"/>
          <w:b/>
          <w:bCs/>
          <w:i/>
          <w:sz w:val="24"/>
          <w:szCs w:val="24"/>
        </w:rPr>
      </w:pPr>
      <w:r w:rsidRPr="00F80032">
        <w:rPr>
          <w:rFonts w:ascii="Book Antiqua" w:hAnsi="Book Antiqua" w:cs="Times New Roman"/>
          <w:b/>
          <w:bCs/>
          <w:i/>
          <w:sz w:val="24"/>
          <w:szCs w:val="24"/>
        </w:rPr>
        <w:t>In house d</w:t>
      </w:r>
      <w:r w:rsidR="001967A2" w:rsidRPr="00F80032">
        <w:rPr>
          <w:rFonts w:ascii="Book Antiqua" w:hAnsi="Book Antiqua" w:cs="Times New Roman"/>
          <w:b/>
          <w:bCs/>
          <w:i/>
          <w:sz w:val="24"/>
          <w:szCs w:val="24"/>
        </w:rPr>
        <w:t>etermination of IFX levels</w:t>
      </w:r>
    </w:p>
    <w:p w:rsidR="00374661" w:rsidRPr="00F80032" w:rsidRDefault="001967A2" w:rsidP="004F172A">
      <w:pPr>
        <w:adjustRightInd w:val="0"/>
        <w:snapToGrid w:val="0"/>
        <w:spacing w:after="0" w:line="360" w:lineRule="auto"/>
        <w:jc w:val="both"/>
        <w:rPr>
          <w:rFonts w:ascii="Book Antiqua" w:hAnsi="Book Antiqua" w:cs="Times New Roman"/>
          <w:b/>
          <w:bCs/>
          <w:sz w:val="24"/>
          <w:szCs w:val="24"/>
        </w:rPr>
      </w:pPr>
      <w:r w:rsidRPr="00F80032">
        <w:rPr>
          <w:rFonts w:ascii="Book Antiqua" w:hAnsi="Book Antiqua" w:cs="Times New Roman"/>
          <w:sz w:val="24"/>
          <w:szCs w:val="24"/>
        </w:rPr>
        <w:t>A volume of 100 µ</w:t>
      </w:r>
      <w:r w:rsidRPr="00F80032">
        <w:rPr>
          <w:rFonts w:ascii="Book Antiqua" w:hAnsi="Book Antiqua" w:cs="Times New Roman"/>
          <w:caps/>
          <w:sz w:val="24"/>
          <w:szCs w:val="24"/>
        </w:rPr>
        <w:t>l</w:t>
      </w:r>
      <w:r w:rsidRPr="00F80032">
        <w:rPr>
          <w:rFonts w:ascii="Book Antiqua" w:hAnsi="Book Antiqua" w:cs="Times New Roman"/>
          <w:sz w:val="24"/>
          <w:szCs w:val="24"/>
        </w:rPr>
        <w:t xml:space="preserve"> of 1:100 diluted </w:t>
      </w:r>
      <w:proofErr w:type="gramStart"/>
      <w:r w:rsidRPr="00F80032">
        <w:rPr>
          <w:rFonts w:ascii="Book Antiqua" w:hAnsi="Book Antiqua" w:cs="Times New Roman"/>
          <w:sz w:val="24"/>
          <w:szCs w:val="24"/>
        </w:rPr>
        <w:t>serum</w:t>
      </w:r>
      <w:proofErr w:type="gramEnd"/>
      <w:r w:rsidRPr="00F80032">
        <w:rPr>
          <w:rFonts w:ascii="Book Antiqua" w:hAnsi="Book Antiqua" w:cs="Times New Roman"/>
          <w:sz w:val="24"/>
          <w:szCs w:val="24"/>
        </w:rPr>
        <w:t xml:space="preserve"> was added to pre-plated 750 ng/ml TNFα (</w:t>
      </w:r>
      <w:proofErr w:type="spellStart"/>
      <w:r w:rsidRPr="00F80032">
        <w:rPr>
          <w:rFonts w:ascii="Book Antiqua" w:hAnsi="Book Antiqua" w:cs="Times New Roman"/>
          <w:sz w:val="24"/>
          <w:szCs w:val="24"/>
        </w:rPr>
        <w:t>Peprotech</w:t>
      </w:r>
      <w:proofErr w:type="spellEnd"/>
      <w:r w:rsidRPr="00F80032">
        <w:rPr>
          <w:rFonts w:ascii="Book Antiqua" w:hAnsi="Book Antiqua" w:cs="Times New Roman"/>
          <w:sz w:val="24"/>
          <w:szCs w:val="24"/>
        </w:rPr>
        <w:t xml:space="preserve">, Rocky Hill, New Jersey, </w:t>
      </w:r>
      <w:r w:rsidR="009175D8" w:rsidRPr="00F80032">
        <w:rPr>
          <w:rFonts w:ascii="Book Antiqua" w:hAnsi="Book Antiqua" w:cs="Times New Roman"/>
          <w:sz w:val="24"/>
          <w:szCs w:val="24"/>
        </w:rPr>
        <w:t>United States</w:t>
      </w:r>
      <w:r w:rsidRPr="00F80032">
        <w:rPr>
          <w:rFonts w:ascii="Book Antiqua" w:hAnsi="Book Antiqua" w:cs="Times New Roman"/>
          <w:sz w:val="24"/>
          <w:szCs w:val="24"/>
        </w:rPr>
        <w:t xml:space="preserve">) and incubated for 90 min. Following washing, horseradish peroxidase (HRP) labeled goat anti-human Fc fragment antibody (MP </w:t>
      </w:r>
      <w:proofErr w:type="spellStart"/>
      <w:r w:rsidRPr="00F80032">
        <w:rPr>
          <w:rFonts w:ascii="Book Antiqua" w:hAnsi="Book Antiqua" w:cs="Times New Roman"/>
          <w:sz w:val="24"/>
          <w:szCs w:val="24"/>
        </w:rPr>
        <w:t>Biomedicals</w:t>
      </w:r>
      <w:proofErr w:type="spellEnd"/>
      <w:r w:rsidRPr="00F80032">
        <w:rPr>
          <w:rFonts w:ascii="Book Antiqua" w:hAnsi="Book Antiqua" w:cs="Times New Roman"/>
          <w:sz w:val="24"/>
          <w:szCs w:val="24"/>
        </w:rPr>
        <w:t xml:space="preserve">, Solon, Ohio, </w:t>
      </w:r>
      <w:r w:rsidR="009175D8" w:rsidRPr="00F80032">
        <w:rPr>
          <w:rFonts w:ascii="Book Antiqua" w:hAnsi="Book Antiqua" w:cs="Times New Roman"/>
          <w:sz w:val="24"/>
          <w:szCs w:val="24"/>
        </w:rPr>
        <w:t>United States</w:t>
      </w:r>
      <w:r w:rsidRPr="00F80032">
        <w:rPr>
          <w:rFonts w:ascii="Book Antiqua" w:hAnsi="Book Antiqua" w:cs="Times New Roman"/>
          <w:sz w:val="24"/>
          <w:szCs w:val="24"/>
        </w:rPr>
        <w:t>) at a concentration of 0.62 µg</w:t>
      </w:r>
      <w:r w:rsidRPr="00F80032" w:rsidDel="00C67E1E">
        <w:rPr>
          <w:rFonts w:ascii="Book Antiqua" w:hAnsi="Book Antiqua" w:cs="Times New Roman"/>
          <w:sz w:val="24"/>
          <w:szCs w:val="24"/>
        </w:rPr>
        <w:t xml:space="preserve"> </w:t>
      </w:r>
      <w:r w:rsidRPr="00F80032">
        <w:rPr>
          <w:rFonts w:ascii="Book Antiqua" w:hAnsi="Book Antiqua" w:cs="Times New Roman"/>
          <w:sz w:val="24"/>
          <w:szCs w:val="24"/>
        </w:rPr>
        <w:t>/m</w:t>
      </w:r>
      <w:r w:rsidRPr="00F80032">
        <w:rPr>
          <w:rFonts w:ascii="Book Antiqua" w:hAnsi="Book Antiqua" w:cs="Times New Roman"/>
          <w:caps/>
          <w:sz w:val="24"/>
          <w:szCs w:val="24"/>
        </w:rPr>
        <w:t>l</w:t>
      </w:r>
      <w:r w:rsidRPr="00F80032">
        <w:rPr>
          <w:rFonts w:ascii="Book Antiqua" w:hAnsi="Book Antiqua" w:cs="Times New Roman"/>
          <w:sz w:val="24"/>
          <w:szCs w:val="24"/>
        </w:rPr>
        <w:t xml:space="preserve"> was added for 60 min and reacted with </w:t>
      </w:r>
      <w:proofErr w:type="spellStart"/>
      <w:r w:rsidRPr="00F80032">
        <w:rPr>
          <w:rFonts w:ascii="Book Antiqua" w:hAnsi="Book Antiqua" w:cs="Times New Roman"/>
          <w:sz w:val="24"/>
          <w:szCs w:val="24"/>
        </w:rPr>
        <w:t>tetramethylbenzidine</w:t>
      </w:r>
      <w:proofErr w:type="spellEnd"/>
      <w:r w:rsidRPr="00F80032">
        <w:rPr>
          <w:rFonts w:ascii="Book Antiqua" w:hAnsi="Book Antiqua" w:cs="Times New Roman"/>
          <w:sz w:val="24"/>
          <w:szCs w:val="24"/>
        </w:rPr>
        <w:t xml:space="preserve"> (TMB) substrate. The results were then read on an ELISA reader. Quantization of the measured IFX concentration was done by calibration to standard curve in which exogenous IFX (Schering Plough, New Jersey, </w:t>
      </w:r>
      <w:r w:rsidR="009175D8" w:rsidRPr="00F80032">
        <w:rPr>
          <w:rFonts w:ascii="Book Antiqua" w:hAnsi="Book Antiqua" w:cs="Times New Roman"/>
          <w:sz w:val="24"/>
          <w:szCs w:val="24"/>
        </w:rPr>
        <w:t>United States</w:t>
      </w:r>
      <w:r w:rsidRPr="00F80032">
        <w:rPr>
          <w:rFonts w:ascii="Book Antiqua" w:hAnsi="Book Antiqua" w:cs="Times New Roman"/>
          <w:sz w:val="24"/>
          <w:szCs w:val="24"/>
        </w:rPr>
        <w:t>) was added at concentrations between 3 and 200</w:t>
      </w:r>
      <w:r w:rsidRPr="00F80032" w:rsidDel="00C67E1E">
        <w:rPr>
          <w:rFonts w:ascii="Book Antiqua" w:hAnsi="Book Antiqua" w:cs="Times New Roman"/>
          <w:sz w:val="24"/>
          <w:szCs w:val="24"/>
        </w:rPr>
        <w:t xml:space="preserve"> </w:t>
      </w:r>
      <w:r w:rsidRPr="00F80032">
        <w:rPr>
          <w:rFonts w:ascii="Book Antiqua" w:hAnsi="Book Antiqua" w:cs="Times New Roman"/>
          <w:sz w:val="24"/>
          <w:szCs w:val="24"/>
        </w:rPr>
        <w:t>ng/</w:t>
      </w:r>
      <w:proofErr w:type="spellStart"/>
      <w:r w:rsidRPr="00F80032">
        <w:rPr>
          <w:rFonts w:ascii="Book Antiqua" w:hAnsi="Book Antiqua" w:cs="Times New Roman"/>
          <w:sz w:val="24"/>
          <w:szCs w:val="24"/>
        </w:rPr>
        <w:t>m</w:t>
      </w:r>
      <w:r w:rsidRPr="00F80032">
        <w:rPr>
          <w:rFonts w:ascii="Book Antiqua" w:hAnsi="Book Antiqua" w:cs="Times New Roman"/>
          <w:caps/>
          <w:sz w:val="24"/>
          <w:szCs w:val="24"/>
        </w:rPr>
        <w:t>l</w:t>
      </w:r>
      <w:r w:rsidRPr="00F80032">
        <w:rPr>
          <w:rFonts w:ascii="Book Antiqua" w:hAnsi="Book Antiqua" w:cs="Times New Roman"/>
          <w:sz w:val="24"/>
          <w:szCs w:val="24"/>
        </w:rPr>
        <w:t>.</w:t>
      </w:r>
      <w:proofErr w:type="spellEnd"/>
      <w:r w:rsidR="00B131A2" w:rsidRPr="00F80032">
        <w:rPr>
          <w:rFonts w:ascii="Book Antiqua" w:hAnsi="Book Antiqua" w:cs="Times New Roman"/>
          <w:sz w:val="24"/>
          <w:szCs w:val="24"/>
        </w:rPr>
        <w:t xml:space="preserve"> </w:t>
      </w:r>
      <w:r w:rsidR="00374661" w:rsidRPr="00F80032">
        <w:rPr>
          <w:rFonts w:ascii="Book Antiqua" w:hAnsi="Book Antiqua" w:cs="Times New Roman"/>
          <w:sz w:val="24"/>
          <w:szCs w:val="24"/>
        </w:rPr>
        <w:t>The assays</w:t>
      </w:r>
      <w:r w:rsidR="00F0350D" w:rsidRPr="00F80032">
        <w:rPr>
          <w:rFonts w:ascii="Book Antiqua" w:hAnsi="Book Antiqua" w:cs="Times New Roman"/>
          <w:i/>
          <w:caps/>
          <w:sz w:val="24"/>
          <w:szCs w:val="24"/>
        </w:rPr>
        <w:t xml:space="preserve"> </w:t>
      </w:r>
      <w:r w:rsidR="00374661" w:rsidRPr="00F80032">
        <w:rPr>
          <w:rFonts w:ascii="Book Antiqua" w:hAnsi="Book Antiqua" w:cs="Times New Roman"/>
          <w:sz w:val="24"/>
          <w:szCs w:val="24"/>
        </w:rPr>
        <w:t>detection threshold was IFX</w:t>
      </w:r>
      <w:r w:rsidR="00F0350D" w:rsidRPr="00F80032">
        <w:rPr>
          <w:rFonts w:ascii="Book Antiqua" w:hAnsi="Book Antiqua" w:cs="Times New Roman"/>
          <w:i/>
          <w:caps/>
          <w:sz w:val="24"/>
          <w:szCs w:val="24"/>
        </w:rPr>
        <w:t xml:space="preserve"> </w:t>
      </w:r>
      <w:r w:rsidR="00374661" w:rsidRPr="00F80032">
        <w:rPr>
          <w:rFonts w:ascii="Book Antiqua" w:hAnsi="Book Antiqua" w:cs="Times New Roman"/>
          <w:sz w:val="24"/>
          <w:szCs w:val="24"/>
        </w:rPr>
        <w:t>&gt; 0.6 µg/</w:t>
      </w:r>
      <w:proofErr w:type="spellStart"/>
      <w:r w:rsidR="00374661" w:rsidRPr="00F80032">
        <w:rPr>
          <w:rFonts w:ascii="Book Antiqua" w:hAnsi="Book Antiqua" w:cs="Times New Roman"/>
          <w:sz w:val="24"/>
          <w:szCs w:val="24"/>
        </w:rPr>
        <w:t>m</w:t>
      </w:r>
      <w:r w:rsidR="00374661" w:rsidRPr="00F80032">
        <w:rPr>
          <w:rFonts w:ascii="Book Antiqua" w:hAnsi="Book Antiqua" w:cs="Times New Roman"/>
          <w:caps/>
          <w:sz w:val="24"/>
          <w:szCs w:val="24"/>
        </w:rPr>
        <w:t>l</w:t>
      </w:r>
      <w:r w:rsidR="00374661" w:rsidRPr="00F80032">
        <w:rPr>
          <w:rFonts w:ascii="Book Antiqua" w:hAnsi="Book Antiqua" w:cs="Times New Roman"/>
          <w:sz w:val="24"/>
          <w:szCs w:val="24"/>
        </w:rPr>
        <w:t>.</w:t>
      </w:r>
      <w:proofErr w:type="spellEnd"/>
    </w:p>
    <w:p w:rsidR="00C61ED8" w:rsidRPr="00F80032" w:rsidRDefault="00C61ED8" w:rsidP="004F172A">
      <w:pPr>
        <w:adjustRightInd w:val="0"/>
        <w:snapToGrid w:val="0"/>
        <w:spacing w:after="0" w:line="360" w:lineRule="auto"/>
        <w:jc w:val="both"/>
        <w:rPr>
          <w:rFonts w:ascii="Book Antiqua" w:hAnsi="Book Antiqua" w:cs="Times New Roman"/>
          <w:b/>
          <w:bCs/>
          <w:sz w:val="24"/>
          <w:szCs w:val="24"/>
        </w:rPr>
      </w:pPr>
    </w:p>
    <w:p w:rsidR="00357B3A" w:rsidRPr="00F80032" w:rsidRDefault="001967A2" w:rsidP="004F172A">
      <w:pPr>
        <w:adjustRightInd w:val="0"/>
        <w:snapToGrid w:val="0"/>
        <w:spacing w:after="0" w:line="360" w:lineRule="auto"/>
        <w:jc w:val="both"/>
        <w:rPr>
          <w:rFonts w:ascii="Book Antiqua" w:hAnsi="Book Antiqua" w:cs="Times New Roman"/>
          <w:b/>
          <w:bCs/>
          <w:i/>
          <w:sz w:val="24"/>
          <w:szCs w:val="24"/>
        </w:rPr>
      </w:pPr>
      <w:r w:rsidRPr="00F80032">
        <w:rPr>
          <w:rFonts w:ascii="Book Antiqua" w:hAnsi="Book Antiqua" w:cs="Times New Roman"/>
          <w:b/>
          <w:bCs/>
          <w:i/>
          <w:sz w:val="24"/>
          <w:szCs w:val="24"/>
        </w:rPr>
        <w:t>Measurement of ATI by anti-human lambda chain detection antibody ELISA</w:t>
      </w:r>
    </w:p>
    <w:p w:rsidR="00374661" w:rsidRPr="00F80032" w:rsidRDefault="001967A2" w:rsidP="004F172A">
      <w:pPr>
        <w:adjustRightInd w:val="0"/>
        <w:snapToGrid w:val="0"/>
        <w:spacing w:after="0" w:line="360" w:lineRule="auto"/>
        <w:jc w:val="both"/>
        <w:rPr>
          <w:rFonts w:ascii="Book Antiqua" w:hAnsi="Book Antiqua" w:cs="Times New Roman"/>
          <w:b/>
          <w:bCs/>
          <w:sz w:val="24"/>
          <w:szCs w:val="24"/>
        </w:rPr>
      </w:pPr>
      <w:r w:rsidRPr="00F80032">
        <w:rPr>
          <w:rFonts w:ascii="Book Antiqua" w:hAnsi="Book Antiqua" w:cs="Times New Roman"/>
          <w:sz w:val="24"/>
          <w:szCs w:val="24"/>
        </w:rPr>
        <w:t xml:space="preserve">ATI were determined as previously </w:t>
      </w:r>
      <w:proofErr w:type="gramStart"/>
      <w:r w:rsidRPr="00F80032">
        <w:rPr>
          <w:rFonts w:ascii="Book Antiqua" w:hAnsi="Book Antiqua" w:cs="Times New Roman"/>
          <w:sz w:val="24"/>
          <w:szCs w:val="24"/>
        </w:rPr>
        <w:t>described</w:t>
      </w:r>
      <w:r w:rsidR="009175D8" w:rsidRPr="00F80032">
        <w:rPr>
          <w:rFonts w:ascii="Book Antiqua" w:hAnsi="Book Antiqua" w:cs="Times New Roman" w:hint="eastAsia"/>
          <w:sz w:val="24"/>
          <w:szCs w:val="24"/>
          <w:vertAlign w:val="superscript"/>
          <w:lang w:eastAsia="zh-CN"/>
        </w:rPr>
        <w:t>[</w:t>
      </w:r>
      <w:proofErr w:type="gramEnd"/>
      <w:r w:rsidR="009175D8" w:rsidRPr="00F80032">
        <w:rPr>
          <w:rFonts w:ascii="Book Antiqua" w:hAnsi="Book Antiqua" w:cs="Times New Roman"/>
          <w:noProof/>
          <w:sz w:val="24"/>
          <w:szCs w:val="24"/>
          <w:vertAlign w:val="superscript"/>
        </w:rPr>
        <w:t>11,</w:t>
      </w:r>
      <w:r w:rsidRPr="00F80032">
        <w:rPr>
          <w:rFonts w:ascii="Book Antiqua" w:hAnsi="Book Antiqua" w:cs="Times New Roman"/>
          <w:noProof/>
          <w:sz w:val="24"/>
          <w:szCs w:val="24"/>
          <w:vertAlign w:val="superscript"/>
        </w:rPr>
        <w:t>17</w:t>
      </w:r>
      <w:r w:rsidR="009175D8" w:rsidRPr="00F80032">
        <w:rPr>
          <w:rFonts w:ascii="Book Antiqua" w:hAnsi="Book Antiqua" w:cs="Times New Roman" w:hint="eastAsia"/>
          <w:noProof/>
          <w:sz w:val="24"/>
          <w:szCs w:val="24"/>
          <w:vertAlign w:val="superscript"/>
          <w:lang w:eastAsia="zh-CN"/>
        </w:rPr>
        <w:t>]</w:t>
      </w:r>
      <w:r w:rsidRPr="00F80032">
        <w:rPr>
          <w:rFonts w:ascii="Book Antiqua" w:hAnsi="Book Antiqua" w:cs="Times New Roman"/>
          <w:sz w:val="24"/>
          <w:szCs w:val="24"/>
        </w:rPr>
        <w:t>. Briefly, IFX (0.1 mg/m</w:t>
      </w:r>
      <w:r w:rsidRPr="00F80032">
        <w:rPr>
          <w:rFonts w:ascii="Book Antiqua" w:hAnsi="Book Antiqua" w:cs="Times New Roman"/>
          <w:caps/>
          <w:sz w:val="24"/>
          <w:szCs w:val="24"/>
        </w:rPr>
        <w:t>l</w:t>
      </w:r>
      <w:r w:rsidRPr="00F80032">
        <w:rPr>
          <w:rFonts w:ascii="Book Antiqua" w:hAnsi="Book Antiqua" w:cs="Times New Roman"/>
          <w:sz w:val="24"/>
          <w:szCs w:val="24"/>
        </w:rPr>
        <w:t>) was added to pre-plated TNFα (500 ng/m</w:t>
      </w:r>
      <w:r w:rsidRPr="00F80032">
        <w:rPr>
          <w:rFonts w:ascii="Book Antiqua" w:hAnsi="Book Antiqua" w:cs="Times New Roman"/>
          <w:caps/>
          <w:sz w:val="24"/>
          <w:szCs w:val="24"/>
        </w:rPr>
        <w:t>l</w:t>
      </w:r>
      <w:r w:rsidRPr="00F80032">
        <w:rPr>
          <w:rFonts w:ascii="Book Antiqua" w:hAnsi="Book Antiqua" w:cs="Times New Roman"/>
          <w:sz w:val="24"/>
          <w:szCs w:val="24"/>
        </w:rPr>
        <w:t>) in 100 µl wells of ELISA plates (</w:t>
      </w:r>
      <w:proofErr w:type="spellStart"/>
      <w:r w:rsidRPr="00F80032">
        <w:rPr>
          <w:rFonts w:ascii="Book Antiqua" w:hAnsi="Book Antiqua" w:cs="Times New Roman"/>
          <w:sz w:val="24"/>
          <w:szCs w:val="24"/>
        </w:rPr>
        <w:t>Nunc</w:t>
      </w:r>
      <w:proofErr w:type="spellEnd"/>
      <w:r w:rsidRPr="00F80032">
        <w:rPr>
          <w:rFonts w:ascii="Book Antiqua" w:hAnsi="Book Antiqua" w:cs="Times New Roman"/>
          <w:sz w:val="24"/>
          <w:szCs w:val="24"/>
        </w:rPr>
        <w:t>, Roskilde, Denmark). After drying, 100 µ</w:t>
      </w:r>
      <w:r w:rsidRPr="00F80032">
        <w:rPr>
          <w:rFonts w:ascii="Book Antiqua" w:hAnsi="Book Antiqua" w:cs="Times New Roman"/>
          <w:caps/>
          <w:sz w:val="24"/>
          <w:szCs w:val="24"/>
        </w:rPr>
        <w:t xml:space="preserve">l </w:t>
      </w:r>
      <w:r w:rsidRPr="00F80032">
        <w:rPr>
          <w:rFonts w:ascii="Book Antiqua" w:hAnsi="Book Antiqua" w:cs="Times New Roman"/>
          <w:sz w:val="24"/>
          <w:szCs w:val="24"/>
        </w:rPr>
        <w:t xml:space="preserve">of serum </w:t>
      </w:r>
      <w:r w:rsidR="00D14E07" w:rsidRPr="00F80032">
        <w:rPr>
          <w:rFonts w:ascii="Book Antiqua" w:hAnsi="Book Antiqua" w:cs="Times New Roman"/>
          <w:sz w:val="24"/>
          <w:szCs w:val="24"/>
        </w:rPr>
        <w:t xml:space="preserve">(1:100 </w:t>
      </w:r>
      <w:proofErr w:type="gramStart"/>
      <w:r w:rsidR="00D14E07" w:rsidRPr="00F80032">
        <w:rPr>
          <w:rFonts w:ascii="Book Antiqua" w:hAnsi="Book Antiqua" w:cs="Times New Roman"/>
          <w:sz w:val="24"/>
          <w:szCs w:val="24"/>
        </w:rPr>
        <w:t>dilution</w:t>
      </w:r>
      <w:proofErr w:type="gramEnd"/>
      <w:r w:rsidR="00D14E07" w:rsidRPr="00F80032">
        <w:rPr>
          <w:rFonts w:ascii="Book Antiqua" w:hAnsi="Book Antiqua" w:cs="Times New Roman"/>
          <w:sz w:val="24"/>
          <w:szCs w:val="24"/>
        </w:rPr>
        <w:t xml:space="preserve">) </w:t>
      </w:r>
      <w:r w:rsidRPr="00F80032">
        <w:rPr>
          <w:rFonts w:ascii="Book Antiqua" w:hAnsi="Book Antiqua" w:cs="Times New Roman"/>
          <w:sz w:val="24"/>
          <w:szCs w:val="24"/>
        </w:rPr>
        <w:t>was added and incubated for 90 min at room temperature. Plates were then washed and goat anti-human λ chain HRP-labelled antibody (</w:t>
      </w:r>
      <w:proofErr w:type="spellStart"/>
      <w:r w:rsidRPr="00F80032">
        <w:rPr>
          <w:rFonts w:ascii="Book Antiqua" w:hAnsi="Book Antiqua" w:cs="Times New Roman"/>
          <w:sz w:val="24"/>
          <w:szCs w:val="24"/>
        </w:rPr>
        <w:t>Sertec</w:t>
      </w:r>
      <w:proofErr w:type="spellEnd"/>
      <w:r w:rsidRPr="00F80032">
        <w:rPr>
          <w:rFonts w:ascii="Book Antiqua" w:hAnsi="Book Antiqua" w:cs="Times New Roman"/>
          <w:sz w:val="24"/>
          <w:szCs w:val="24"/>
        </w:rPr>
        <w:t>, Oxford, U</w:t>
      </w:r>
      <w:r w:rsidR="009175D8" w:rsidRPr="00F80032">
        <w:rPr>
          <w:rFonts w:ascii="Book Antiqua" w:hAnsi="Book Antiqua" w:cs="Times New Roman" w:hint="eastAsia"/>
          <w:sz w:val="24"/>
          <w:szCs w:val="24"/>
          <w:lang w:eastAsia="zh-CN"/>
        </w:rPr>
        <w:t>nited Kingdom</w:t>
      </w:r>
      <w:r w:rsidRPr="00F80032">
        <w:rPr>
          <w:rFonts w:ascii="Book Antiqua" w:hAnsi="Book Antiqua" w:cs="Times New Roman"/>
          <w:sz w:val="24"/>
          <w:szCs w:val="24"/>
        </w:rPr>
        <w:t>) was added at a dilution of 2.5</w:t>
      </w:r>
      <w:r w:rsidR="009175D8" w:rsidRPr="00F80032">
        <w:rPr>
          <w:rFonts w:ascii="Book Antiqua" w:hAnsi="Book Antiqua" w:cs="Times New Roman" w:hint="eastAsia"/>
          <w:sz w:val="24"/>
          <w:szCs w:val="24"/>
          <w:lang w:eastAsia="zh-CN"/>
        </w:rPr>
        <w:t xml:space="preserve"> </w:t>
      </w:r>
      <w:r w:rsidRPr="00F80032">
        <w:rPr>
          <w:rFonts w:ascii="Book Antiqua" w:hAnsi="Book Antiqua" w:cs="Times New Roman"/>
          <w:sz w:val="24"/>
          <w:szCs w:val="24"/>
        </w:rPr>
        <w:t>×</w:t>
      </w:r>
      <w:r w:rsidR="009175D8" w:rsidRPr="00F80032">
        <w:rPr>
          <w:rFonts w:ascii="Book Antiqua" w:hAnsi="Book Antiqua" w:cs="Times New Roman" w:hint="eastAsia"/>
          <w:sz w:val="24"/>
          <w:szCs w:val="24"/>
          <w:lang w:eastAsia="zh-CN"/>
        </w:rPr>
        <w:t xml:space="preserve"> </w:t>
      </w:r>
      <w:r w:rsidRPr="00F80032">
        <w:rPr>
          <w:rFonts w:ascii="Book Antiqua" w:hAnsi="Book Antiqua" w:cs="Times New Roman"/>
          <w:sz w:val="24"/>
          <w:szCs w:val="24"/>
        </w:rPr>
        <w:t>10</w:t>
      </w:r>
      <w:r w:rsidRPr="00F80032">
        <w:rPr>
          <w:rFonts w:ascii="Book Antiqua" w:hAnsi="Book Antiqua" w:cs="Times New Roman"/>
          <w:sz w:val="24"/>
          <w:szCs w:val="24"/>
          <w:vertAlign w:val="superscript"/>
        </w:rPr>
        <w:t xml:space="preserve">4 </w:t>
      </w:r>
      <w:r w:rsidRPr="00F80032">
        <w:rPr>
          <w:rFonts w:ascii="Book Antiqua" w:hAnsi="Book Antiqua" w:cs="Times New Roman"/>
          <w:sz w:val="24"/>
          <w:szCs w:val="24"/>
        </w:rPr>
        <w:t xml:space="preserve">for 60 min and reacted with </w:t>
      </w:r>
      <w:proofErr w:type="spellStart"/>
      <w:r w:rsidRPr="00F80032">
        <w:rPr>
          <w:rFonts w:ascii="Book Antiqua" w:hAnsi="Book Antiqua" w:cs="Times New Roman"/>
          <w:sz w:val="24"/>
          <w:szCs w:val="24"/>
        </w:rPr>
        <w:t>tetramethylbenzidine</w:t>
      </w:r>
      <w:proofErr w:type="spellEnd"/>
      <w:r w:rsidRPr="00F80032">
        <w:rPr>
          <w:rFonts w:ascii="Book Antiqua" w:hAnsi="Book Antiqua" w:cs="Times New Roman"/>
          <w:sz w:val="24"/>
          <w:szCs w:val="24"/>
        </w:rPr>
        <w:t xml:space="preserve"> (TMB) substrate. The results were read by an ELISA reader EL-800 (</w:t>
      </w:r>
      <w:proofErr w:type="spellStart"/>
      <w:r w:rsidRPr="00F80032">
        <w:rPr>
          <w:rFonts w:ascii="Book Antiqua" w:hAnsi="Book Antiqua" w:cs="Times New Roman"/>
          <w:sz w:val="24"/>
          <w:szCs w:val="24"/>
        </w:rPr>
        <w:t>Biotek</w:t>
      </w:r>
      <w:proofErr w:type="spellEnd"/>
      <w:r w:rsidRPr="00F80032">
        <w:rPr>
          <w:rFonts w:ascii="Book Antiqua" w:hAnsi="Book Antiqua" w:cs="Times New Roman"/>
          <w:sz w:val="24"/>
          <w:szCs w:val="24"/>
        </w:rPr>
        <w:t xml:space="preserve"> Instruments, Winooski, </w:t>
      </w:r>
      <w:r w:rsidR="009175D8" w:rsidRPr="00F80032">
        <w:rPr>
          <w:rFonts w:ascii="Book Antiqua" w:hAnsi="Book Antiqua" w:cs="Times New Roman"/>
          <w:sz w:val="24"/>
          <w:szCs w:val="24"/>
        </w:rPr>
        <w:t>United States</w:t>
      </w:r>
      <w:r w:rsidRPr="00F80032">
        <w:rPr>
          <w:rFonts w:ascii="Book Antiqua" w:hAnsi="Book Antiqua" w:cs="Times New Roman"/>
          <w:sz w:val="24"/>
          <w:szCs w:val="24"/>
        </w:rPr>
        <w:t>) and expressed as mcg/m</w:t>
      </w:r>
      <w:r w:rsidRPr="00F80032">
        <w:rPr>
          <w:rFonts w:ascii="Book Antiqua" w:hAnsi="Book Antiqua" w:cs="Times New Roman"/>
          <w:caps/>
          <w:sz w:val="24"/>
          <w:szCs w:val="24"/>
        </w:rPr>
        <w:t>l</w:t>
      </w:r>
      <w:r w:rsidRPr="00F80032">
        <w:rPr>
          <w:rFonts w:ascii="Book Antiqua" w:hAnsi="Book Antiqua" w:cs="Times New Roman"/>
          <w:sz w:val="24"/>
          <w:szCs w:val="24"/>
        </w:rPr>
        <w:t>-equivalent (mcg/m</w:t>
      </w:r>
      <w:r w:rsidRPr="00F80032">
        <w:rPr>
          <w:rFonts w:ascii="Book Antiqua" w:hAnsi="Book Antiqua" w:cs="Times New Roman"/>
          <w:caps/>
          <w:sz w:val="24"/>
          <w:szCs w:val="24"/>
        </w:rPr>
        <w:t>l</w:t>
      </w:r>
      <w:r w:rsidRPr="00F80032">
        <w:rPr>
          <w:rFonts w:ascii="Book Antiqua" w:hAnsi="Book Antiqua" w:cs="Times New Roman"/>
          <w:sz w:val="24"/>
          <w:szCs w:val="24"/>
        </w:rPr>
        <w:t xml:space="preserve">-e) after </w:t>
      </w:r>
      <w:proofErr w:type="spellStart"/>
      <w:r w:rsidRPr="00F80032">
        <w:rPr>
          <w:rFonts w:ascii="Book Antiqua" w:hAnsi="Book Antiqua" w:cs="Times New Roman"/>
          <w:sz w:val="24"/>
          <w:szCs w:val="24"/>
        </w:rPr>
        <w:t>normalisation</w:t>
      </w:r>
      <w:proofErr w:type="spellEnd"/>
      <w:r w:rsidRPr="00F80032">
        <w:rPr>
          <w:rFonts w:ascii="Book Antiqua" w:hAnsi="Book Antiqua" w:cs="Times New Roman"/>
          <w:sz w:val="24"/>
          <w:szCs w:val="24"/>
        </w:rPr>
        <w:t xml:space="preserve"> versus results obtained using additions of graded concentrations between 9 and 600</w:t>
      </w:r>
      <w:r w:rsidR="009175D8" w:rsidRPr="00F80032">
        <w:rPr>
          <w:rFonts w:ascii="Book Antiqua" w:hAnsi="Book Antiqua" w:cs="Times New Roman" w:hint="eastAsia"/>
          <w:sz w:val="24"/>
          <w:szCs w:val="24"/>
          <w:lang w:eastAsia="zh-CN"/>
        </w:rPr>
        <w:t xml:space="preserve"> </w:t>
      </w:r>
      <w:r w:rsidRPr="00F80032">
        <w:rPr>
          <w:rFonts w:ascii="Book Antiqua" w:hAnsi="Book Antiqua" w:cs="Times New Roman"/>
          <w:sz w:val="24"/>
          <w:szCs w:val="24"/>
        </w:rPr>
        <w:t>ng/m</w:t>
      </w:r>
      <w:r w:rsidRPr="00F80032">
        <w:rPr>
          <w:rFonts w:ascii="Book Antiqua" w:hAnsi="Book Antiqua" w:cs="Times New Roman"/>
          <w:caps/>
          <w:sz w:val="24"/>
          <w:szCs w:val="24"/>
        </w:rPr>
        <w:t>l</w:t>
      </w:r>
      <w:r w:rsidRPr="00F80032">
        <w:rPr>
          <w:rFonts w:ascii="Book Antiqua" w:hAnsi="Book Antiqua" w:cs="Times New Roman"/>
          <w:sz w:val="24"/>
          <w:szCs w:val="24"/>
        </w:rPr>
        <w:t xml:space="preserve"> of horseradish peroxidase (HRP) labeled goat anti-human F(ab')2 </w:t>
      </w:r>
      <w:r w:rsidRPr="00F80032">
        <w:rPr>
          <w:rFonts w:ascii="Book Antiqua" w:hAnsi="Book Antiqua" w:cs="Times New Roman"/>
          <w:sz w:val="24"/>
          <w:szCs w:val="24"/>
        </w:rPr>
        <w:lastRenderedPageBreak/>
        <w:t xml:space="preserve">fragment antibody (MP </w:t>
      </w:r>
      <w:proofErr w:type="spellStart"/>
      <w:r w:rsidRPr="00F80032">
        <w:rPr>
          <w:rFonts w:ascii="Book Antiqua" w:hAnsi="Book Antiqua" w:cs="Times New Roman"/>
          <w:sz w:val="24"/>
          <w:szCs w:val="24"/>
        </w:rPr>
        <w:t>Biomedicals</w:t>
      </w:r>
      <w:proofErr w:type="spellEnd"/>
      <w:r w:rsidRPr="00F80032">
        <w:rPr>
          <w:rFonts w:ascii="Book Antiqua" w:hAnsi="Book Antiqua" w:cs="Times New Roman"/>
          <w:sz w:val="24"/>
          <w:szCs w:val="24"/>
        </w:rPr>
        <w:t xml:space="preserve">). </w:t>
      </w:r>
      <w:r w:rsidR="00374661" w:rsidRPr="00F80032">
        <w:rPr>
          <w:rFonts w:ascii="Book Antiqua" w:hAnsi="Book Antiqua" w:cs="Times New Roman"/>
          <w:sz w:val="24"/>
          <w:szCs w:val="24"/>
        </w:rPr>
        <w:t>The assay</w:t>
      </w:r>
      <w:r w:rsidR="003C0D96" w:rsidRPr="00F80032">
        <w:rPr>
          <w:rFonts w:ascii="Book Antiqua" w:hAnsi="Book Antiqua" w:cs="Times New Roman"/>
          <w:sz w:val="24"/>
          <w:szCs w:val="24"/>
        </w:rPr>
        <w:t>'</w:t>
      </w:r>
      <w:r w:rsidR="00374661" w:rsidRPr="00F80032">
        <w:rPr>
          <w:rFonts w:ascii="Book Antiqua" w:hAnsi="Book Antiqua" w:cs="Times New Roman"/>
          <w:sz w:val="24"/>
          <w:szCs w:val="24"/>
        </w:rPr>
        <w:t>s</w:t>
      </w:r>
      <w:r w:rsidR="00F0350D" w:rsidRPr="00F80032">
        <w:rPr>
          <w:rFonts w:ascii="Book Antiqua" w:hAnsi="Book Antiqua" w:cs="Times New Roman"/>
          <w:i/>
          <w:caps/>
          <w:sz w:val="24"/>
          <w:szCs w:val="24"/>
        </w:rPr>
        <w:t xml:space="preserve"> </w:t>
      </w:r>
      <w:r w:rsidR="00374661" w:rsidRPr="00F80032">
        <w:rPr>
          <w:rFonts w:ascii="Book Antiqua" w:hAnsi="Book Antiqua" w:cs="Times New Roman"/>
          <w:sz w:val="24"/>
          <w:szCs w:val="24"/>
        </w:rPr>
        <w:t>detection threshold was ATI &gt; 2.5 µg/m</w:t>
      </w:r>
      <w:r w:rsidR="00374661" w:rsidRPr="00F80032">
        <w:rPr>
          <w:rFonts w:ascii="Book Antiqua" w:hAnsi="Book Antiqua" w:cs="Times New Roman"/>
          <w:caps/>
          <w:sz w:val="24"/>
          <w:szCs w:val="24"/>
        </w:rPr>
        <w:t>l-</w:t>
      </w:r>
      <w:r w:rsidR="00374661" w:rsidRPr="00F80032">
        <w:rPr>
          <w:rFonts w:ascii="Book Antiqua" w:hAnsi="Book Antiqua" w:cs="Times New Roman"/>
          <w:sz w:val="24"/>
          <w:szCs w:val="24"/>
        </w:rPr>
        <w:t>e</w:t>
      </w:r>
      <w:r w:rsidR="009175D8" w:rsidRPr="00F80032">
        <w:rPr>
          <w:rFonts w:ascii="Book Antiqua" w:hAnsi="Book Antiqua" w:cs="Times New Roman"/>
          <w:sz w:val="24"/>
          <w:szCs w:val="24"/>
        </w:rPr>
        <w:t>q</w:t>
      </w:r>
      <w:r w:rsidR="00374661" w:rsidRPr="00F80032">
        <w:rPr>
          <w:rFonts w:ascii="Book Antiqua" w:hAnsi="Book Antiqua" w:cs="Times New Roman"/>
          <w:sz w:val="24"/>
          <w:szCs w:val="24"/>
        </w:rPr>
        <w:t>.</w:t>
      </w:r>
    </w:p>
    <w:p w:rsidR="00C61ED8" w:rsidRPr="00F80032" w:rsidRDefault="00C61ED8" w:rsidP="004F172A">
      <w:pPr>
        <w:adjustRightInd w:val="0"/>
        <w:snapToGrid w:val="0"/>
        <w:spacing w:after="0" w:line="360" w:lineRule="auto"/>
        <w:jc w:val="both"/>
        <w:rPr>
          <w:rFonts w:ascii="Book Antiqua" w:hAnsi="Book Antiqua" w:cs="Times New Roman"/>
          <w:b/>
          <w:bCs/>
          <w:sz w:val="24"/>
          <w:szCs w:val="24"/>
        </w:rPr>
      </w:pPr>
    </w:p>
    <w:p w:rsidR="001967A2" w:rsidRPr="00F80032" w:rsidRDefault="001967A2" w:rsidP="004F172A">
      <w:pPr>
        <w:adjustRightInd w:val="0"/>
        <w:snapToGrid w:val="0"/>
        <w:spacing w:after="0" w:line="360" w:lineRule="auto"/>
        <w:jc w:val="both"/>
        <w:rPr>
          <w:rFonts w:ascii="Book Antiqua" w:hAnsi="Book Antiqua" w:cs="Times New Roman"/>
          <w:b/>
          <w:bCs/>
          <w:i/>
          <w:sz w:val="24"/>
          <w:szCs w:val="24"/>
        </w:rPr>
      </w:pPr>
      <w:r w:rsidRPr="00F80032">
        <w:rPr>
          <w:rFonts w:ascii="Book Antiqua" w:hAnsi="Book Antiqua" w:cs="Times New Roman"/>
          <w:b/>
          <w:bCs/>
          <w:i/>
          <w:sz w:val="24"/>
          <w:szCs w:val="24"/>
        </w:rPr>
        <w:t xml:space="preserve">Measurement of IgG4 fraction of ATI </w:t>
      </w:r>
    </w:p>
    <w:p w:rsidR="001967A2" w:rsidRPr="00F80032" w:rsidRDefault="001967A2" w:rsidP="004F172A">
      <w:pPr>
        <w:adjustRightInd w:val="0"/>
        <w:snapToGrid w:val="0"/>
        <w:spacing w:after="0" w:line="360" w:lineRule="auto"/>
        <w:jc w:val="both"/>
        <w:rPr>
          <w:rFonts w:ascii="Book Antiqua" w:hAnsi="Book Antiqua" w:cs="Times New Roman"/>
          <w:sz w:val="24"/>
          <w:szCs w:val="24"/>
        </w:rPr>
      </w:pPr>
      <w:r w:rsidRPr="00F80032">
        <w:rPr>
          <w:rFonts w:ascii="Book Antiqua" w:hAnsi="Book Antiqua" w:cs="Times New Roman"/>
          <w:sz w:val="24"/>
          <w:szCs w:val="24"/>
        </w:rPr>
        <w:t>IFX (0.1 mg/m</w:t>
      </w:r>
      <w:r w:rsidRPr="00F80032">
        <w:rPr>
          <w:rFonts w:ascii="Book Antiqua" w:hAnsi="Book Antiqua" w:cs="Times New Roman"/>
          <w:caps/>
          <w:sz w:val="24"/>
          <w:szCs w:val="24"/>
        </w:rPr>
        <w:t>l</w:t>
      </w:r>
      <w:r w:rsidRPr="00F80032">
        <w:rPr>
          <w:rFonts w:ascii="Book Antiqua" w:hAnsi="Book Antiqua" w:cs="Times New Roman"/>
          <w:sz w:val="24"/>
          <w:szCs w:val="24"/>
        </w:rPr>
        <w:t>) was added to pre-plated TNFα (500 ng/m</w:t>
      </w:r>
      <w:r w:rsidRPr="00F80032">
        <w:rPr>
          <w:rFonts w:ascii="Book Antiqua" w:hAnsi="Book Antiqua" w:cs="Times New Roman"/>
          <w:caps/>
          <w:sz w:val="24"/>
          <w:szCs w:val="24"/>
        </w:rPr>
        <w:t>l</w:t>
      </w:r>
      <w:r w:rsidRPr="00F80032">
        <w:rPr>
          <w:rFonts w:ascii="Book Antiqua" w:hAnsi="Book Antiqua" w:cs="Times New Roman"/>
          <w:sz w:val="24"/>
          <w:szCs w:val="24"/>
        </w:rPr>
        <w:t>) in 100 µ</w:t>
      </w:r>
      <w:r w:rsidRPr="00F80032">
        <w:rPr>
          <w:rFonts w:ascii="Book Antiqua" w:hAnsi="Book Antiqua" w:cs="Times New Roman"/>
          <w:caps/>
          <w:sz w:val="24"/>
          <w:szCs w:val="24"/>
        </w:rPr>
        <w:t>l</w:t>
      </w:r>
      <w:r w:rsidRPr="00F80032">
        <w:rPr>
          <w:rFonts w:ascii="Book Antiqua" w:hAnsi="Book Antiqua" w:cs="Times New Roman"/>
          <w:sz w:val="24"/>
          <w:szCs w:val="24"/>
        </w:rPr>
        <w:t xml:space="preserve"> wells of ELISA plates (</w:t>
      </w:r>
      <w:proofErr w:type="spellStart"/>
      <w:r w:rsidRPr="00F80032">
        <w:rPr>
          <w:rFonts w:ascii="Book Antiqua" w:hAnsi="Book Antiqua" w:cs="Times New Roman"/>
          <w:sz w:val="24"/>
          <w:szCs w:val="24"/>
        </w:rPr>
        <w:t>Nunc</w:t>
      </w:r>
      <w:proofErr w:type="spellEnd"/>
      <w:r w:rsidRPr="00F80032">
        <w:rPr>
          <w:rFonts w:ascii="Book Antiqua" w:hAnsi="Book Antiqua" w:cs="Times New Roman"/>
          <w:sz w:val="24"/>
          <w:szCs w:val="24"/>
        </w:rPr>
        <w:t>, Roskilde, Denmark). After drying, 100 µ</w:t>
      </w:r>
      <w:r w:rsidRPr="00F80032">
        <w:rPr>
          <w:rFonts w:ascii="Book Antiqua" w:hAnsi="Book Antiqua" w:cs="Times New Roman"/>
          <w:caps/>
          <w:sz w:val="24"/>
          <w:szCs w:val="24"/>
        </w:rPr>
        <w:t>l</w:t>
      </w:r>
      <w:r w:rsidRPr="00F80032">
        <w:rPr>
          <w:rFonts w:ascii="Book Antiqua" w:hAnsi="Book Antiqua" w:cs="Times New Roman"/>
          <w:sz w:val="24"/>
          <w:szCs w:val="24"/>
        </w:rPr>
        <w:t xml:space="preserve"> of diluted serum </w:t>
      </w:r>
      <w:r w:rsidR="00D14E07" w:rsidRPr="00F80032">
        <w:rPr>
          <w:rFonts w:ascii="Book Antiqua" w:hAnsi="Book Antiqua" w:cs="Times New Roman"/>
          <w:sz w:val="24"/>
          <w:szCs w:val="24"/>
        </w:rPr>
        <w:t xml:space="preserve">(1:100) </w:t>
      </w:r>
      <w:r w:rsidRPr="00F80032">
        <w:rPr>
          <w:rFonts w:ascii="Book Antiqua" w:hAnsi="Book Antiqua" w:cs="Times New Roman"/>
          <w:sz w:val="24"/>
          <w:szCs w:val="24"/>
        </w:rPr>
        <w:t xml:space="preserve">was added and incubated at room temperature. Plates were then washed and HRP-labeled monoclonal antibody to human IgG4 (fc-specific, </w:t>
      </w:r>
      <w:proofErr w:type="spellStart"/>
      <w:r w:rsidRPr="00F80032">
        <w:rPr>
          <w:rFonts w:ascii="Book Antiqua" w:hAnsi="Book Antiqua" w:cs="Times New Roman"/>
          <w:sz w:val="24"/>
          <w:szCs w:val="24"/>
        </w:rPr>
        <w:t>Acris</w:t>
      </w:r>
      <w:proofErr w:type="spellEnd"/>
      <w:r w:rsidRPr="00F80032">
        <w:rPr>
          <w:rFonts w:ascii="Book Antiqua" w:hAnsi="Book Antiqua" w:cs="Times New Roman"/>
          <w:sz w:val="24"/>
          <w:szCs w:val="24"/>
        </w:rPr>
        <w:t xml:space="preserve"> antibodies CN AM20252HR-N) was added and reacted with </w:t>
      </w:r>
      <w:proofErr w:type="spellStart"/>
      <w:r w:rsidRPr="00F80032">
        <w:rPr>
          <w:rFonts w:ascii="Book Antiqua" w:hAnsi="Book Antiqua" w:cs="Times New Roman"/>
          <w:sz w:val="24"/>
          <w:szCs w:val="24"/>
        </w:rPr>
        <w:t>tetramethylbenzidine</w:t>
      </w:r>
      <w:proofErr w:type="spellEnd"/>
      <w:r w:rsidRPr="00F80032">
        <w:rPr>
          <w:rFonts w:ascii="Book Antiqua" w:hAnsi="Book Antiqua" w:cs="Times New Roman"/>
          <w:sz w:val="24"/>
          <w:szCs w:val="24"/>
        </w:rPr>
        <w:t xml:space="preserve"> (TMB) substrate. The results were read by an ELISA reader EL-800 (</w:t>
      </w:r>
      <w:proofErr w:type="spellStart"/>
      <w:r w:rsidRPr="00F80032">
        <w:rPr>
          <w:rFonts w:ascii="Book Antiqua" w:hAnsi="Book Antiqua" w:cs="Times New Roman"/>
          <w:sz w:val="24"/>
          <w:szCs w:val="24"/>
        </w:rPr>
        <w:t>Biotek</w:t>
      </w:r>
      <w:proofErr w:type="spellEnd"/>
      <w:r w:rsidRPr="00F80032">
        <w:rPr>
          <w:rFonts w:ascii="Book Antiqua" w:hAnsi="Book Antiqua" w:cs="Times New Roman"/>
          <w:sz w:val="24"/>
          <w:szCs w:val="24"/>
        </w:rPr>
        <w:t xml:space="preserve"> Instruments, Winooski, </w:t>
      </w:r>
      <w:r w:rsidR="009175D8" w:rsidRPr="00F80032">
        <w:rPr>
          <w:rFonts w:ascii="Book Antiqua" w:hAnsi="Book Antiqua" w:cs="Times New Roman"/>
          <w:sz w:val="24"/>
          <w:szCs w:val="24"/>
        </w:rPr>
        <w:t>United States</w:t>
      </w:r>
      <w:r w:rsidRPr="00F80032">
        <w:rPr>
          <w:rFonts w:ascii="Book Antiqua" w:hAnsi="Book Antiqua" w:cs="Times New Roman"/>
          <w:sz w:val="24"/>
          <w:szCs w:val="24"/>
        </w:rPr>
        <w:t>) and expressed as mcg/</w:t>
      </w:r>
      <w:proofErr w:type="spellStart"/>
      <w:r w:rsidRPr="00F80032">
        <w:rPr>
          <w:rFonts w:ascii="Book Antiqua" w:hAnsi="Book Antiqua" w:cs="Times New Roman"/>
          <w:sz w:val="24"/>
          <w:szCs w:val="24"/>
        </w:rPr>
        <w:t>m</w:t>
      </w:r>
      <w:r w:rsidRPr="00F80032">
        <w:rPr>
          <w:rFonts w:ascii="Book Antiqua" w:hAnsi="Book Antiqua" w:cs="Times New Roman"/>
          <w:caps/>
          <w:sz w:val="24"/>
          <w:szCs w:val="24"/>
        </w:rPr>
        <w:t>l</w:t>
      </w:r>
      <w:r w:rsidRPr="00F80032">
        <w:rPr>
          <w:rFonts w:ascii="Book Antiqua" w:hAnsi="Book Antiqua" w:cs="Times New Roman"/>
          <w:sz w:val="24"/>
          <w:szCs w:val="24"/>
        </w:rPr>
        <w:t>.</w:t>
      </w:r>
      <w:proofErr w:type="spellEnd"/>
      <w:r w:rsidR="007715C3" w:rsidRPr="00F80032">
        <w:rPr>
          <w:rFonts w:ascii="Book Antiqua" w:hAnsi="Book Antiqua" w:cs="Times New Roman"/>
          <w:sz w:val="24"/>
          <w:szCs w:val="24"/>
        </w:rPr>
        <w:t xml:space="preserve"> </w:t>
      </w:r>
      <w:r w:rsidRPr="00F80032">
        <w:rPr>
          <w:rFonts w:ascii="Book Antiqua" w:hAnsi="Book Antiqua" w:cs="Times New Roman"/>
          <w:sz w:val="24"/>
          <w:szCs w:val="24"/>
        </w:rPr>
        <w:t xml:space="preserve">Normalization was obtained using graded concentrations of Human IgG4 Kappa (Millipore CN AG508). </w:t>
      </w:r>
    </w:p>
    <w:p w:rsidR="00C61ED8" w:rsidRPr="00F80032" w:rsidRDefault="00C61ED8" w:rsidP="004F172A">
      <w:pPr>
        <w:adjustRightInd w:val="0"/>
        <w:snapToGrid w:val="0"/>
        <w:spacing w:after="0" w:line="360" w:lineRule="auto"/>
        <w:jc w:val="both"/>
        <w:rPr>
          <w:rFonts w:ascii="Book Antiqua" w:hAnsi="Book Antiqua" w:cs="Times New Roman"/>
          <w:b/>
          <w:bCs/>
          <w:sz w:val="24"/>
          <w:szCs w:val="24"/>
        </w:rPr>
      </w:pPr>
    </w:p>
    <w:p w:rsidR="001967A2" w:rsidRPr="00F80032" w:rsidRDefault="009175D8" w:rsidP="004F172A">
      <w:pPr>
        <w:adjustRightInd w:val="0"/>
        <w:snapToGrid w:val="0"/>
        <w:spacing w:after="0" w:line="360" w:lineRule="auto"/>
        <w:jc w:val="both"/>
        <w:rPr>
          <w:rFonts w:ascii="Book Antiqua" w:hAnsi="Book Antiqua" w:cs="Times New Roman"/>
          <w:i/>
          <w:sz w:val="24"/>
          <w:szCs w:val="24"/>
        </w:rPr>
      </w:pPr>
      <w:r w:rsidRPr="00F80032">
        <w:rPr>
          <w:rFonts w:ascii="Book Antiqua" w:hAnsi="Book Antiqua" w:cs="Times New Roman"/>
          <w:b/>
          <w:bCs/>
          <w:i/>
          <w:sz w:val="24"/>
          <w:szCs w:val="24"/>
        </w:rPr>
        <w:t>Statistical analysis</w:t>
      </w:r>
    </w:p>
    <w:p w:rsidR="001967A2" w:rsidRPr="00F80032" w:rsidRDefault="001967A2" w:rsidP="004F172A">
      <w:pPr>
        <w:adjustRightInd w:val="0"/>
        <w:snapToGrid w:val="0"/>
        <w:spacing w:after="0" w:line="360" w:lineRule="auto"/>
        <w:jc w:val="both"/>
        <w:rPr>
          <w:rFonts w:ascii="Book Antiqua" w:hAnsi="Book Antiqua" w:cs="Times New Roman"/>
          <w:sz w:val="24"/>
          <w:szCs w:val="24"/>
        </w:rPr>
      </w:pPr>
      <w:r w:rsidRPr="00F80032">
        <w:rPr>
          <w:rFonts w:ascii="Book Antiqua" w:hAnsi="Book Antiqua" w:cs="Times New Roman"/>
          <w:sz w:val="24"/>
          <w:szCs w:val="24"/>
        </w:rPr>
        <w:t xml:space="preserve">Categorical variables were analyzed by Fisher's exact test. Kaplan Meier survival curves were plotted to assess the temporal rate of events and log rank test was computed for the comparison between survival free durations. Odds ratio and 95% confidence intervals (CI) were computed for all variables compared. The analysis was performed using </w:t>
      </w:r>
      <w:proofErr w:type="spellStart"/>
      <w:r w:rsidRPr="00F80032">
        <w:rPr>
          <w:rFonts w:ascii="Book Antiqua" w:hAnsi="Book Antiqua" w:cs="Times New Roman"/>
          <w:sz w:val="24"/>
          <w:szCs w:val="24"/>
        </w:rPr>
        <w:t>MedCalc</w:t>
      </w:r>
      <w:proofErr w:type="spellEnd"/>
      <w:r w:rsidRPr="00F80032">
        <w:rPr>
          <w:rFonts w:ascii="Book Antiqua" w:hAnsi="Book Antiqua" w:cs="Times New Roman"/>
          <w:sz w:val="24"/>
          <w:szCs w:val="24"/>
        </w:rPr>
        <w:t xml:space="preserve"> software (version 12.2.1.0, </w:t>
      </w:r>
      <w:proofErr w:type="spellStart"/>
      <w:r w:rsidRPr="00F80032">
        <w:rPr>
          <w:rFonts w:ascii="Book Antiqua" w:hAnsi="Book Antiqua" w:cs="Times New Roman"/>
          <w:sz w:val="24"/>
          <w:szCs w:val="24"/>
        </w:rPr>
        <w:t>Mariakerke</w:t>
      </w:r>
      <w:proofErr w:type="spellEnd"/>
      <w:r w:rsidRPr="00F80032">
        <w:rPr>
          <w:rFonts w:ascii="Book Antiqua" w:hAnsi="Book Antiqua" w:cs="Times New Roman"/>
          <w:sz w:val="24"/>
          <w:szCs w:val="24"/>
        </w:rPr>
        <w:t xml:space="preserve">, Belgium). A two-tailed </w:t>
      </w:r>
      <w:r w:rsidR="00F0350D" w:rsidRPr="00F80032">
        <w:rPr>
          <w:rFonts w:ascii="Book Antiqua" w:hAnsi="Book Antiqua" w:cs="Times New Roman"/>
          <w:i/>
          <w:caps/>
          <w:sz w:val="24"/>
          <w:szCs w:val="24"/>
        </w:rPr>
        <w:t xml:space="preserve">P &lt; </w:t>
      </w:r>
      <w:r w:rsidRPr="00F80032">
        <w:rPr>
          <w:rFonts w:ascii="Book Antiqua" w:hAnsi="Book Antiqua" w:cs="Times New Roman"/>
          <w:sz w:val="24"/>
          <w:szCs w:val="24"/>
        </w:rPr>
        <w:t>0.05 was considered statistically significant.</w:t>
      </w:r>
    </w:p>
    <w:p w:rsidR="008802BD" w:rsidRPr="00F80032" w:rsidRDefault="008802BD" w:rsidP="004F172A">
      <w:pPr>
        <w:adjustRightInd w:val="0"/>
        <w:snapToGrid w:val="0"/>
        <w:spacing w:after="0" w:line="360" w:lineRule="auto"/>
        <w:jc w:val="both"/>
        <w:rPr>
          <w:rFonts w:ascii="Book Antiqua" w:hAnsi="Book Antiqua" w:cs="Times New Roman"/>
          <w:b/>
          <w:bCs/>
          <w:color w:val="000000"/>
          <w:sz w:val="24"/>
          <w:szCs w:val="24"/>
          <w:lang w:eastAsia="zh-CN"/>
        </w:rPr>
      </w:pPr>
    </w:p>
    <w:p w:rsidR="009175D8" w:rsidRPr="00F80032" w:rsidRDefault="009175D8" w:rsidP="004F172A">
      <w:pPr>
        <w:adjustRightInd w:val="0"/>
        <w:snapToGrid w:val="0"/>
        <w:spacing w:after="0" w:line="360" w:lineRule="auto"/>
        <w:jc w:val="both"/>
        <w:rPr>
          <w:rFonts w:ascii="Book Antiqua" w:hAnsi="Book Antiqua" w:cs="Times New Roman"/>
          <w:b/>
          <w:bCs/>
          <w:sz w:val="24"/>
          <w:szCs w:val="24"/>
          <w:lang w:eastAsia="zh-CN"/>
        </w:rPr>
      </w:pPr>
      <w:r w:rsidRPr="00F80032">
        <w:rPr>
          <w:rFonts w:ascii="Book Antiqua" w:hAnsi="Book Antiqua" w:cs="Times New Roman"/>
          <w:b/>
          <w:bCs/>
          <w:sz w:val="24"/>
          <w:szCs w:val="24"/>
        </w:rPr>
        <w:t>RESULTS</w:t>
      </w:r>
    </w:p>
    <w:p w:rsidR="001967A2" w:rsidRPr="00F80032" w:rsidRDefault="001967A2" w:rsidP="004F172A">
      <w:pPr>
        <w:adjustRightInd w:val="0"/>
        <w:snapToGrid w:val="0"/>
        <w:spacing w:after="0" w:line="360" w:lineRule="auto"/>
        <w:jc w:val="both"/>
        <w:rPr>
          <w:rFonts w:ascii="Book Antiqua" w:hAnsi="Book Antiqua" w:cs="Times New Roman"/>
          <w:b/>
          <w:bCs/>
          <w:i/>
          <w:sz w:val="24"/>
          <w:szCs w:val="24"/>
        </w:rPr>
      </w:pPr>
      <w:r w:rsidRPr="00F80032">
        <w:rPr>
          <w:rFonts w:ascii="Book Antiqua" w:hAnsi="Book Antiqua" w:cs="Times New Roman"/>
          <w:b/>
          <w:bCs/>
          <w:i/>
          <w:sz w:val="24"/>
          <w:szCs w:val="24"/>
        </w:rPr>
        <w:t>Prevalence</w:t>
      </w:r>
      <w:r w:rsidR="007F10B3" w:rsidRPr="00F80032">
        <w:rPr>
          <w:rFonts w:ascii="Book Antiqua" w:hAnsi="Book Antiqua" w:cs="Times New Roman"/>
          <w:b/>
          <w:bCs/>
          <w:i/>
          <w:sz w:val="24"/>
          <w:szCs w:val="24"/>
        </w:rPr>
        <w:t xml:space="preserve"> of the DN status using two</w:t>
      </w:r>
      <w:r w:rsidRPr="00F80032">
        <w:rPr>
          <w:rFonts w:ascii="Book Antiqua" w:hAnsi="Book Antiqua" w:cs="Times New Roman"/>
          <w:b/>
          <w:bCs/>
          <w:i/>
          <w:sz w:val="24"/>
          <w:szCs w:val="24"/>
        </w:rPr>
        <w:t xml:space="preserve"> ELISA assays</w:t>
      </w:r>
    </w:p>
    <w:p w:rsidR="001967A2" w:rsidRPr="00F80032" w:rsidRDefault="001967A2" w:rsidP="004F172A">
      <w:pPr>
        <w:adjustRightInd w:val="0"/>
        <w:snapToGrid w:val="0"/>
        <w:spacing w:after="0" w:line="360" w:lineRule="auto"/>
        <w:jc w:val="both"/>
        <w:rPr>
          <w:rFonts w:ascii="Book Antiqua" w:hAnsi="Book Antiqua" w:cs="Times New Roman"/>
          <w:sz w:val="24"/>
          <w:szCs w:val="24"/>
        </w:rPr>
      </w:pPr>
      <w:r w:rsidRPr="00F80032">
        <w:rPr>
          <w:rFonts w:ascii="Book Antiqua" w:hAnsi="Book Antiqua" w:cs="Times New Roman"/>
          <w:sz w:val="24"/>
          <w:szCs w:val="24"/>
        </w:rPr>
        <w:t xml:space="preserve">Out of 188 sera </w:t>
      </w:r>
      <w:r w:rsidR="00FE6857" w:rsidRPr="00F80032">
        <w:rPr>
          <w:rFonts w:ascii="Book Antiqua" w:hAnsi="Book Antiqua" w:cs="Times New Roman"/>
          <w:sz w:val="24"/>
          <w:szCs w:val="24"/>
        </w:rPr>
        <w:t xml:space="preserve">obtained from </w:t>
      </w:r>
      <w:r w:rsidRPr="00F80032">
        <w:rPr>
          <w:rFonts w:ascii="Book Antiqua" w:hAnsi="Book Antiqua" w:cs="Times New Roman"/>
          <w:sz w:val="24"/>
          <w:szCs w:val="24"/>
        </w:rPr>
        <w:t xml:space="preserve">patients with LOR during regular IFX therapy, </w:t>
      </w:r>
      <w:r w:rsidRPr="00F80032">
        <w:rPr>
          <w:rFonts w:ascii="Book Antiqua" w:hAnsi="Book Antiqua" w:cs="Times New Roman"/>
          <w:sz w:val="24"/>
          <w:szCs w:val="24"/>
          <w:rtl/>
        </w:rPr>
        <w:t>67</w:t>
      </w:r>
      <w:r w:rsidRPr="00F80032">
        <w:rPr>
          <w:rFonts w:ascii="Book Antiqua" w:hAnsi="Book Antiqua" w:cs="Times New Roman"/>
          <w:sz w:val="24"/>
          <w:szCs w:val="24"/>
        </w:rPr>
        <w:t xml:space="preserve"> were randomly selected for comparative analysis by the two techniques (anti-lambda and double antigen ELISA</w:t>
      </w:r>
      <w:r w:rsidR="00C5158F" w:rsidRPr="00F80032">
        <w:rPr>
          <w:rFonts w:ascii="Book Antiqua" w:hAnsi="Book Antiqua" w:cs="Times New Roman"/>
          <w:sz w:val="24"/>
          <w:szCs w:val="24"/>
        </w:rPr>
        <w:t>, Figure 1</w:t>
      </w:r>
      <w:r w:rsidRPr="00F80032">
        <w:rPr>
          <w:rFonts w:ascii="Book Antiqua" w:hAnsi="Book Antiqua" w:cs="Times New Roman"/>
          <w:sz w:val="24"/>
          <w:szCs w:val="24"/>
        </w:rPr>
        <w:t xml:space="preserve">). In this analysis, 27/67 sera (40%) tested IFX-/ATI- with </w:t>
      </w:r>
      <w:r w:rsidR="00FE6857" w:rsidRPr="00F80032">
        <w:rPr>
          <w:rFonts w:ascii="Book Antiqua" w:hAnsi="Book Antiqua" w:cs="Times New Roman"/>
          <w:sz w:val="24"/>
          <w:szCs w:val="24"/>
        </w:rPr>
        <w:t>double antigen</w:t>
      </w:r>
      <w:r w:rsidRPr="00F80032">
        <w:rPr>
          <w:rFonts w:ascii="Book Antiqua" w:hAnsi="Book Antiqua" w:cs="Times New Roman"/>
          <w:sz w:val="24"/>
          <w:szCs w:val="24"/>
        </w:rPr>
        <w:t>-ELISA compared to 6/67 (9%) with anti-lambda-ELISA (</w:t>
      </w:r>
      <w:r w:rsidR="00F0350D" w:rsidRPr="00F80032">
        <w:rPr>
          <w:rFonts w:ascii="Book Antiqua" w:hAnsi="Book Antiqua" w:cs="Times New Roman"/>
          <w:i/>
          <w:caps/>
          <w:sz w:val="24"/>
          <w:szCs w:val="24"/>
        </w:rPr>
        <w:t xml:space="preserve">p &lt; </w:t>
      </w:r>
      <w:r w:rsidRPr="00F80032">
        <w:rPr>
          <w:rFonts w:ascii="Book Antiqua" w:hAnsi="Book Antiqua" w:cs="Times New Roman"/>
          <w:sz w:val="24"/>
          <w:szCs w:val="24"/>
        </w:rPr>
        <w:t xml:space="preserve">0.001, Fisher exact test). The calculated </w:t>
      </w:r>
      <w:r w:rsidR="00FE6857" w:rsidRPr="00F80032">
        <w:rPr>
          <w:rFonts w:ascii="Book Antiqua" w:hAnsi="Book Antiqua" w:cs="Times New Roman"/>
          <w:sz w:val="24"/>
          <w:szCs w:val="24"/>
        </w:rPr>
        <w:t>number needed to test (</w:t>
      </w:r>
      <w:r w:rsidRPr="00F80032">
        <w:rPr>
          <w:rFonts w:ascii="Book Antiqua" w:hAnsi="Book Antiqua" w:cs="Times New Roman"/>
          <w:sz w:val="24"/>
          <w:szCs w:val="24"/>
        </w:rPr>
        <w:t>NNT) for a false-</w:t>
      </w:r>
      <w:r w:rsidR="00923AFE" w:rsidRPr="00F80032">
        <w:rPr>
          <w:rFonts w:ascii="Book Antiqua" w:hAnsi="Book Antiqua" w:cs="Times New Roman"/>
          <w:sz w:val="24"/>
          <w:szCs w:val="24"/>
        </w:rPr>
        <w:t>negative</w:t>
      </w:r>
      <w:r w:rsidRPr="00F80032">
        <w:rPr>
          <w:rFonts w:ascii="Book Antiqua" w:hAnsi="Book Antiqua" w:cs="Times New Roman"/>
          <w:sz w:val="24"/>
          <w:szCs w:val="24"/>
        </w:rPr>
        <w:t xml:space="preserve"> DN result by double-antigen ELISA </w:t>
      </w:r>
      <w:r w:rsidRPr="00F80032">
        <w:rPr>
          <w:rFonts w:ascii="Book Antiqua" w:hAnsi="Book Antiqua" w:cs="Times New Roman"/>
          <w:sz w:val="24"/>
          <w:szCs w:val="24"/>
        </w:rPr>
        <w:lastRenderedPageBreak/>
        <w:t xml:space="preserve">was 3.2. As depicted in Figure </w:t>
      </w:r>
      <w:r w:rsidR="00C44E2C" w:rsidRPr="00F80032">
        <w:rPr>
          <w:rFonts w:ascii="Book Antiqua" w:hAnsi="Book Antiqua" w:cs="Times New Roman"/>
          <w:sz w:val="24"/>
          <w:szCs w:val="24"/>
        </w:rPr>
        <w:t>2</w:t>
      </w:r>
      <w:r w:rsidRPr="00F80032">
        <w:rPr>
          <w:rFonts w:ascii="Book Antiqua" w:hAnsi="Book Antiqua" w:cs="Times New Roman"/>
          <w:sz w:val="24"/>
          <w:szCs w:val="24"/>
        </w:rPr>
        <w:t xml:space="preserve">, when applying anti-lambda-ELISA to the 27 sera </w:t>
      </w:r>
      <w:r w:rsidR="00FE6857" w:rsidRPr="00F80032">
        <w:rPr>
          <w:rFonts w:ascii="Book Antiqua" w:hAnsi="Book Antiqua" w:cs="Times New Roman"/>
          <w:sz w:val="24"/>
          <w:szCs w:val="24"/>
        </w:rPr>
        <w:t>that</w:t>
      </w:r>
      <w:r w:rsidRPr="00F80032">
        <w:rPr>
          <w:rFonts w:ascii="Book Antiqua" w:hAnsi="Book Antiqua" w:cs="Times New Roman"/>
          <w:sz w:val="24"/>
          <w:szCs w:val="24"/>
        </w:rPr>
        <w:t xml:space="preserve"> were IFX-/ATI- with the double antigen assay only 6 (22%) remained </w:t>
      </w:r>
      <w:r w:rsidR="00FE6857" w:rsidRPr="00F80032">
        <w:rPr>
          <w:rFonts w:ascii="Book Antiqua" w:hAnsi="Book Antiqua" w:cs="Times New Roman"/>
          <w:sz w:val="24"/>
          <w:szCs w:val="24"/>
        </w:rPr>
        <w:t>DN</w:t>
      </w:r>
      <w:r w:rsidRPr="00F80032">
        <w:rPr>
          <w:rFonts w:ascii="Book Antiqua" w:hAnsi="Book Antiqua" w:cs="Times New Roman"/>
          <w:sz w:val="24"/>
          <w:szCs w:val="24"/>
        </w:rPr>
        <w:t>, wh</w:t>
      </w:r>
      <w:r w:rsidR="00FE6857" w:rsidRPr="00F80032">
        <w:rPr>
          <w:rFonts w:ascii="Book Antiqua" w:hAnsi="Book Antiqua" w:cs="Times New Roman"/>
          <w:sz w:val="24"/>
          <w:szCs w:val="24"/>
        </w:rPr>
        <w:t>ile</w:t>
      </w:r>
      <w:r w:rsidR="00BE440D" w:rsidRPr="00F80032">
        <w:rPr>
          <w:rFonts w:ascii="Book Antiqua" w:hAnsi="Book Antiqua" w:cs="Times New Roman"/>
          <w:sz w:val="24"/>
          <w:szCs w:val="24"/>
        </w:rPr>
        <w:t xml:space="preserve"> </w:t>
      </w:r>
      <w:r w:rsidRPr="00F80032">
        <w:rPr>
          <w:rFonts w:ascii="Book Antiqua" w:hAnsi="Book Antiqua" w:cs="Times New Roman"/>
          <w:sz w:val="24"/>
          <w:szCs w:val="24"/>
        </w:rPr>
        <w:t xml:space="preserve">12 (44%) were actually IFX positive (IFX+ATI-), 8 (30%) were ATI positive (IFX-ATI+) and 1 serum (4%) was double positive (IFX+ATI+). </w:t>
      </w:r>
    </w:p>
    <w:p w:rsidR="00BE440D" w:rsidRPr="00F80032" w:rsidRDefault="00BE440D" w:rsidP="004F172A">
      <w:pPr>
        <w:adjustRightInd w:val="0"/>
        <w:snapToGrid w:val="0"/>
        <w:spacing w:after="0" w:line="360" w:lineRule="auto"/>
        <w:jc w:val="both"/>
        <w:rPr>
          <w:rFonts w:ascii="Book Antiqua" w:hAnsi="Book Antiqua" w:cs="Times New Roman"/>
          <w:b/>
          <w:bCs/>
          <w:sz w:val="24"/>
          <w:szCs w:val="24"/>
        </w:rPr>
      </w:pPr>
    </w:p>
    <w:p w:rsidR="00C34831" w:rsidRPr="00F80032" w:rsidRDefault="00230D38" w:rsidP="004F172A">
      <w:pPr>
        <w:adjustRightInd w:val="0"/>
        <w:snapToGrid w:val="0"/>
        <w:spacing w:after="0" w:line="360" w:lineRule="auto"/>
        <w:jc w:val="both"/>
        <w:rPr>
          <w:rFonts w:ascii="Book Antiqua" w:hAnsi="Book Antiqua" w:cs="Times New Roman"/>
          <w:b/>
          <w:bCs/>
          <w:i/>
          <w:sz w:val="24"/>
          <w:szCs w:val="24"/>
        </w:rPr>
      </w:pPr>
      <w:r w:rsidRPr="00F80032">
        <w:rPr>
          <w:rFonts w:ascii="Book Antiqua" w:hAnsi="Book Antiqua" w:cs="Times New Roman"/>
          <w:b/>
          <w:bCs/>
          <w:i/>
          <w:sz w:val="24"/>
          <w:szCs w:val="24"/>
        </w:rPr>
        <w:t>Double negativity on 1:10 dilution anti-lambda ELISA</w:t>
      </w:r>
    </w:p>
    <w:p w:rsidR="00666432" w:rsidRPr="00F80032" w:rsidRDefault="001967A2" w:rsidP="004F172A">
      <w:pPr>
        <w:adjustRightInd w:val="0"/>
        <w:snapToGrid w:val="0"/>
        <w:spacing w:after="0" w:line="360" w:lineRule="auto"/>
        <w:jc w:val="both"/>
        <w:rPr>
          <w:rFonts w:ascii="Book Antiqua" w:hAnsi="Book Antiqua" w:cs="Times New Roman"/>
          <w:sz w:val="24"/>
          <w:szCs w:val="24"/>
        </w:rPr>
      </w:pPr>
      <w:r w:rsidRPr="00F80032">
        <w:rPr>
          <w:rFonts w:ascii="Book Antiqua" w:hAnsi="Book Antiqua" w:cs="Times New Roman"/>
          <w:sz w:val="24"/>
          <w:szCs w:val="24"/>
        </w:rPr>
        <w:t>When investigating the occurrence of double negativity regardless of patients' response status, we found that only 92 of the 1495 sera (6%) analyzed at our center between 2009-2013 were DN by anti-lambda ELISA</w:t>
      </w:r>
      <w:r w:rsidR="00C5158F" w:rsidRPr="00F80032">
        <w:rPr>
          <w:rFonts w:ascii="Book Antiqua" w:hAnsi="Book Antiqua" w:cs="Times New Roman"/>
          <w:sz w:val="24"/>
          <w:szCs w:val="24"/>
        </w:rPr>
        <w:t xml:space="preserve"> (Figure 1)</w:t>
      </w:r>
      <w:r w:rsidRPr="00F80032">
        <w:rPr>
          <w:rFonts w:ascii="Book Antiqua" w:hAnsi="Book Antiqua" w:cs="Times New Roman"/>
          <w:sz w:val="24"/>
          <w:szCs w:val="24"/>
        </w:rPr>
        <w:t xml:space="preserve">. To examine whether some of these DN sera may in fact represent low-titer ATI or low level IFX we randomly selected 45 DN sera and re-tested them at a 1:10 dilution to increase analytical sensitivity (compared to standard anti-lambda testing using 1:100 serum </w:t>
      </w:r>
      <w:proofErr w:type="gramStart"/>
      <w:r w:rsidRPr="00F80032">
        <w:rPr>
          <w:rFonts w:ascii="Book Antiqua" w:hAnsi="Book Antiqua" w:cs="Times New Roman"/>
          <w:sz w:val="24"/>
          <w:szCs w:val="24"/>
        </w:rPr>
        <w:t>dilution</w:t>
      </w:r>
      <w:proofErr w:type="gramEnd"/>
      <w:r w:rsidRPr="00F80032">
        <w:rPr>
          <w:rFonts w:ascii="Book Antiqua" w:hAnsi="Book Antiqua" w:cs="Times New Roman"/>
          <w:sz w:val="24"/>
          <w:szCs w:val="24"/>
        </w:rPr>
        <w:t>). Upon this 1:10 dilution testing, 24 (5</w:t>
      </w:r>
      <w:r w:rsidRPr="00F80032">
        <w:rPr>
          <w:rFonts w:ascii="Book Antiqua" w:hAnsi="Book Antiqua" w:cs="Times New Roman"/>
          <w:sz w:val="24"/>
          <w:szCs w:val="24"/>
          <w:rtl/>
        </w:rPr>
        <w:t>3</w:t>
      </w:r>
      <w:r w:rsidRPr="00F80032">
        <w:rPr>
          <w:rFonts w:ascii="Book Antiqua" w:hAnsi="Book Antiqua" w:cs="Times New Roman"/>
          <w:sz w:val="24"/>
          <w:szCs w:val="24"/>
        </w:rPr>
        <w:t xml:space="preserve">%) DN sera became IFX positive (IFX+ATI-), 15 (33%) were double positive (IFX+ATI+) and 5 (11%) were ATI positive (IFX-ATI+). Only one serum (2%) retained its double negativity on 1:10 dilution </w:t>
      </w:r>
      <w:r w:rsidRPr="005525DE">
        <w:rPr>
          <w:rFonts w:ascii="Book Antiqua" w:hAnsi="Book Antiqua" w:cs="Times New Roman"/>
          <w:sz w:val="24"/>
          <w:szCs w:val="24"/>
        </w:rPr>
        <w:t>(</w:t>
      </w:r>
      <w:r w:rsidR="00F80032" w:rsidRPr="005525DE">
        <w:rPr>
          <w:rFonts w:ascii="Book Antiqua" w:hAnsi="Book Antiqua" w:cs="Times New Roman" w:hint="eastAsia"/>
          <w:sz w:val="24"/>
          <w:szCs w:val="24"/>
          <w:lang w:eastAsia="zh-CN"/>
        </w:rPr>
        <w:t>F</w:t>
      </w:r>
      <w:r w:rsidR="00BD42B5" w:rsidRPr="005525DE">
        <w:rPr>
          <w:rFonts w:ascii="Book Antiqua" w:hAnsi="Book Antiqua" w:cs="Times New Roman"/>
          <w:sz w:val="24"/>
          <w:szCs w:val="24"/>
        </w:rPr>
        <w:t xml:space="preserve">igure </w:t>
      </w:r>
      <w:r w:rsidR="00F80032" w:rsidRPr="005525DE">
        <w:rPr>
          <w:rFonts w:ascii="Book Antiqua" w:hAnsi="Book Antiqua" w:cs="Times New Roman" w:hint="eastAsia"/>
          <w:sz w:val="24"/>
          <w:szCs w:val="24"/>
          <w:lang w:eastAsia="zh-CN"/>
        </w:rPr>
        <w:t>3</w:t>
      </w:r>
      <w:r w:rsidRPr="005525DE">
        <w:rPr>
          <w:rFonts w:ascii="Book Antiqua" w:hAnsi="Book Antiqua" w:cs="Times New Roman"/>
          <w:sz w:val="24"/>
          <w:szCs w:val="24"/>
        </w:rPr>
        <w:t>).</w:t>
      </w:r>
      <w:r w:rsidRPr="00F80032">
        <w:rPr>
          <w:rFonts w:ascii="Book Antiqua" w:hAnsi="Book Antiqua" w:cs="Times New Roman"/>
          <w:sz w:val="24"/>
          <w:szCs w:val="24"/>
        </w:rPr>
        <w:t xml:space="preserve"> This transformation into detectable levels on 1:10 dilution was primarily caused by the fact that all 30 sera of healthy controls unexposed to IFX remained DN when tested by 1:10 dilution, but with lower detection cut-off levels.</w:t>
      </w:r>
    </w:p>
    <w:p w:rsidR="001967A2" w:rsidRPr="00F80032" w:rsidRDefault="001967A2" w:rsidP="004F172A">
      <w:pPr>
        <w:adjustRightInd w:val="0"/>
        <w:snapToGrid w:val="0"/>
        <w:spacing w:after="0" w:line="360" w:lineRule="auto"/>
        <w:jc w:val="both"/>
        <w:rPr>
          <w:rFonts w:ascii="Book Antiqua" w:hAnsi="Book Antiqua" w:cs="Times New Roman"/>
          <w:sz w:val="24"/>
          <w:szCs w:val="24"/>
        </w:rPr>
      </w:pPr>
      <w:r w:rsidRPr="00F80032">
        <w:rPr>
          <w:rFonts w:ascii="Book Antiqua" w:hAnsi="Book Antiqua" w:cs="Times New Roman"/>
          <w:sz w:val="24"/>
          <w:szCs w:val="24"/>
        </w:rPr>
        <w:t xml:space="preserve"> </w:t>
      </w:r>
    </w:p>
    <w:p w:rsidR="001967A2" w:rsidRPr="00F80032" w:rsidRDefault="001967A2" w:rsidP="004F172A">
      <w:pPr>
        <w:adjustRightInd w:val="0"/>
        <w:snapToGrid w:val="0"/>
        <w:spacing w:after="0" w:line="360" w:lineRule="auto"/>
        <w:jc w:val="both"/>
        <w:rPr>
          <w:rFonts w:ascii="Book Antiqua" w:hAnsi="Book Antiqua" w:cs="Times New Roman"/>
          <w:b/>
          <w:bCs/>
          <w:i/>
          <w:sz w:val="24"/>
          <w:szCs w:val="24"/>
        </w:rPr>
      </w:pPr>
      <w:r w:rsidRPr="00F80032">
        <w:rPr>
          <w:rFonts w:ascii="Book Antiqua" w:hAnsi="Book Antiqua" w:cs="Times New Roman"/>
          <w:b/>
          <w:bCs/>
          <w:i/>
          <w:sz w:val="24"/>
          <w:szCs w:val="24"/>
        </w:rPr>
        <w:t>Determination of IgG4 versus IgG1 ATI</w:t>
      </w:r>
    </w:p>
    <w:p w:rsidR="001967A2" w:rsidRPr="00F80032" w:rsidRDefault="001967A2" w:rsidP="004F172A">
      <w:pPr>
        <w:adjustRightInd w:val="0"/>
        <w:snapToGrid w:val="0"/>
        <w:spacing w:after="0" w:line="360" w:lineRule="auto"/>
        <w:jc w:val="both"/>
        <w:rPr>
          <w:rFonts w:ascii="Book Antiqua" w:hAnsi="Book Antiqua" w:cs="Times New Roman"/>
          <w:sz w:val="24"/>
          <w:szCs w:val="24"/>
        </w:rPr>
      </w:pPr>
      <w:r w:rsidRPr="00F80032">
        <w:rPr>
          <w:rFonts w:ascii="Book Antiqua" w:hAnsi="Book Antiqua" w:cs="Times New Roman"/>
          <w:sz w:val="24"/>
          <w:szCs w:val="24"/>
        </w:rPr>
        <w:t>IgG4 are</w:t>
      </w:r>
      <w:r w:rsidR="00F0350D" w:rsidRPr="00F80032">
        <w:rPr>
          <w:rFonts w:ascii="Book Antiqua" w:hAnsi="Book Antiqua" w:cs="Times New Roman"/>
          <w:i/>
          <w:caps/>
          <w:sz w:val="24"/>
          <w:szCs w:val="24"/>
        </w:rPr>
        <w:t xml:space="preserve"> </w:t>
      </w:r>
      <w:r w:rsidR="00D868C8" w:rsidRPr="00F80032">
        <w:rPr>
          <w:rFonts w:ascii="Book Antiqua" w:hAnsi="Book Antiqua" w:cs="Times New Roman"/>
          <w:sz w:val="24"/>
          <w:szCs w:val="24"/>
        </w:rPr>
        <w:t>m</w:t>
      </w:r>
      <w:r w:rsidRPr="00F80032">
        <w:rPr>
          <w:rFonts w:ascii="Book Antiqua" w:hAnsi="Book Antiqua" w:cs="Times New Roman"/>
          <w:sz w:val="24"/>
          <w:szCs w:val="24"/>
        </w:rPr>
        <w:t>onovalent antibodies (as opposed to the bivalent IgG1), thereby detectable on</w:t>
      </w:r>
      <w:r w:rsidR="003D5264" w:rsidRPr="00F80032">
        <w:rPr>
          <w:rFonts w:ascii="Book Antiqua" w:hAnsi="Book Antiqua" w:cs="Times New Roman"/>
          <w:sz w:val="24"/>
          <w:szCs w:val="24"/>
        </w:rPr>
        <w:t xml:space="preserve"> a large part</w:t>
      </w:r>
      <w:r w:rsidRPr="00F80032">
        <w:rPr>
          <w:rFonts w:ascii="Book Antiqua" w:hAnsi="Book Antiqua" w:cs="Times New Roman"/>
          <w:sz w:val="24"/>
          <w:szCs w:val="24"/>
        </w:rPr>
        <w:t xml:space="preserve"> by the anti-lambda ELISA, </w:t>
      </w:r>
      <w:r w:rsidR="003D5264" w:rsidRPr="00F80032">
        <w:rPr>
          <w:rFonts w:ascii="Book Antiqua" w:hAnsi="Book Antiqua" w:cs="Times New Roman"/>
          <w:sz w:val="24"/>
          <w:szCs w:val="24"/>
        </w:rPr>
        <w:t>rather than by</w:t>
      </w:r>
      <w:r w:rsidRPr="00F80032">
        <w:rPr>
          <w:rFonts w:ascii="Book Antiqua" w:hAnsi="Book Antiqua" w:cs="Times New Roman"/>
          <w:sz w:val="24"/>
          <w:szCs w:val="24"/>
        </w:rPr>
        <w:t xml:space="preserve"> the double antigen </w:t>
      </w:r>
      <w:proofErr w:type="gramStart"/>
      <w:r w:rsidRPr="00F80032">
        <w:rPr>
          <w:rFonts w:ascii="Book Antiqua" w:hAnsi="Book Antiqua" w:cs="Times New Roman"/>
          <w:sz w:val="24"/>
          <w:szCs w:val="24"/>
        </w:rPr>
        <w:t>assay</w:t>
      </w:r>
      <w:r w:rsidR="009175D8" w:rsidRPr="00F80032">
        <w:rPr>
          <w:rFonts w:ascii="Book Antiqua" w:hAnsi="Book Antiqua" w:cs="Times New Roman" w:hint="eastAsia"/>
          <w:sz w:val="24"/>
          <w:szCs w:val="24"/>
          <w:vertAlign w:val="superscript"/>
          <w:lang w:eastAsia="zh-CN"/>
        </w:rPr>
        <w:t>[</w:t>
      </w:r>
      <w:proofErr w:type="gramEnd"/>
      <w:r w:rsidR="0065439B" w:rsidRPr="00F80032">
        <w:rPr>
          <w:rFonts w:ascii="Book Antiqua" w:hAnsi="Book Antiqua" w:cs="Times New Roman"/>
          <w:noProof/>
          <w:sz w:val="24"/>
          <w:szCs w:val="24"/>
          <w:vertAlign w:val="superscript"/>
        </w:rPr>
        <w:t>18</w:t>
      </w:r>
      <w:r w:rsidR="009175D8" w:rsidRPr="00F80032">
        <w:rPr>
          <w:rFonts w:ascii="Book Antiqua" w:hAnsi="Book Antiqua" w:cs="Times New Roman" w:hint="eastAsia"/>
          <w:noProof/>
          <w:sz w:val="24"/>
          <w:szCs w:val="24"/>
          <w:vertAlign w:val="superscript"/>
          <w:lang w:eastAsia="zh-CN"/>
        </w:rPr>
        <w:t>]</w:t>
      </w:r>
      <w:r w:rsidRPr="00F80032">
        <w:rPr>
          <w:rFonts w:ascii="Book Antiqua" w:hAnsi="Book Antiqua" w:cs="Times New Roman"/>
          <w:sz w:val="24"/>
          <w:szCs w:val="24"/>
        </w:rPr>
        <w:t>. We therefore set to determine whether a DN status on double antigen ELISA is a result of non-detection of IgG4 ATI. For this purpose, we analyzed 5 sera which were DN by the double antigen ELISA and ATI positive by the anti-lambda ELISA (IFX-ATI-), as well as 5 sera ATI positive on both assays (IFX-ATI+). Contrary to our assumption, IgG4 levels were higher among the double antigen ELISA ATI+ positive s</w:t>
      </w:r>
      <w:r w:rsidR="003D5264" w:rsidRPr="00F80032">
        <w:rPr>
          <w:rFonts w:ascii="Book Antiqua" w:hAnsi="Book Antiqua" w:cs="Times New Roman"/>
          <w:sz w:val="24"/>
          <w:szCs w:val="24"/>
        </w:rPr>
        <w:t>era</w:t>
      </w:r>
      <w:r w:rsidRPr="00F80032">
        <w:rPr>
          <w:rFonts w:ascii="Book Antiqua" w:hAnsi="Book Antiqua" w:cs="Times New Roman"/>
          <w:sz w:val="24"/>
          <w:szCs w:val="24"/>
        </w:rPr>
        <w:t xml:space="preserve"> (Median 6.6, IQR 0.9-7.4 versus median 0.5, IQR 0.07-0.97, </w:t>
      </w:r>
      <w:r w:rsidR="00071436" w:rsidRPr="00F80032">
        <w:rPr>
          <w:rFonts w:ascii="Book Antiqua" w:hAnsi="Book Antiqua" w:cs="Times New Roman"/>
          <w:i/>
          <w:caps/>
          <w:sz w:val="24"/>
          <w:szCs w:val="24"/>
        </w:rPr>
        <w:t xml:space="preserve">p = </w:t>
      </w:r>
      <w:r w:rsidRPr="00F80032">
        <w:rPr>
          <w:rFonts w:ascii="Book Antiqua" w:hAnsi="Book Antiqua" w:cs="Times New Roman"/>
          <w:sz w:val="24"/>
          <w:szCs w:val="24"/>
        </w:rPr>
        <w:t>0.047, respectively).</w:t>
      </w:r>
    </w:p>
    <w:p w:rsidR="00C61ED8" w:rsidRPr="00F80032" w:rsidRDefault="00C61ED8" w:rsidP="004F172A">
      <w:pPr>
        <w:adjustRightInd w:val="0"/>
        <w:snapToGrid w:val="0"/>
        <w:spacing w:after="0" w:line="360" w:lineRule="auto"/>
        <w:jc w:val="both"/>
        <w:rPr>
          <w:rFonts w:ascii="Book Antiqua" w:hAnsi="Book Antiqua" w:cs="Times New Roman"/>
          <w:b/>
          <w:bCs/>
          <w:sz w:val="24"/>
          <w:szCs w:val="24"/>
          <w:lang w:eastAsia="zh-CN"/>
        </w:rPr>
      </w:pPr>
    </w:p>
    <w:p w:rsidR="001967A2" w:rsidRPr="00F80032" w:rsidRDefault="001967A2" w:rsidP="004F172A">
      <w:pPr>
        <w:adjustRightInd w:val="0"/>
        <w:snapToGrid w:val="0"/>
        <w:spacing w:after="0" w:line="360" w:lineRule="auto"/>
        <w:jc w:val="both"/>
        <w:rPr>
          <w:rFonts w:ascii="Book Antiqua" w:hAnsi="Book Antiqua" w:cs="Times New Roman"/>
          <w:b/>
          <w:bCs/>
          <w:i/>
          <w:sz w:val="24"/>
          <w:szCs w:val="24"/>
          <w:rtl/>
        </w:rPr>
      </w:pPr>
      <w:r w:rsidRPr="00F80032">
        <w:rPr>
          <w:rFonts w:ascii="Book Antiqua" w:hAnsi="Book Antiqua" w:cs="Times New Roman"/>
          <w:b/>
          <w:bCs/>
          <w:i/>
          <w:sz w:val="24"/>
          <w:szCs w:val="24"/>
        </w:rPr>
        <w:t xml:space="preserve">Subsequent ATI formation and clinical response </w:t>
      </w:r>
      <w:r w:rsidR="00C12C6B" w:rsidRPr="00F80032">
        <w:rPr>
          <w:rFonts w:ascii="Book Antiqua" w:hAnsi="Book Antiqua" w:cs="Times New Roman"/>
          <w:b/>
          <w:bCs/>
          <w:i/>
          <w:sz w:val="24"/>
          <w:szCs w:val="24"/>
        </w:rPr>
        <w:t xml:space="preserve">rate </w:t>
      </w:r>
      <w:r w:rsidRPr="00F80032">
        <w:rPr>
          <w:rFonts w:ascii="Book Antiqua" w:hAnsi="Book Antiqua" w:cs="Times New Roman"/>
          <w:b/>
          <w:bCs/>
          <w:i/>
          <w:sz w:val="24"/>
          <w:szCs w:val="24"/>
        </w:rPr>
        <w:t>in DN patients</w:t>
      </w:r>
    </w:p>
    <w:p w:rsidR="001967A2" w:rsidRPr="00F80032" w:rsidRDefault="001967A2" w:rsidP="004F172A">
      <w:pPr>
        <w:adjustRightInd w:val="0"/>
        <w:snapToGrid w:val="0"/>
        <w:spacing w:after="0" w:line="360" w:lineRule="auto"/>
        <w:jc w:val="both"/>
        <w:rPr>
          <w:rFonts w:ascii="Book Antiqua" w:hAnsi="Book Antiqua" w:cs="Times New Roman"/>
          <w:sz w:val="24"/>
          <w:szCs w:val="24"/>
        </w:rPr>
      </w:pPr>
      <w:r w:rsidRPr="00F80032">
        <w:rPr>
          <w:rFonts w:ascii="Book Antiqua" w:hAnsi="Book Antiqua" w:cs="Times New Roman"/>
          <w:sz w:val="24"/>
          <w:szCs w:val="24"/>
        </w:rPr>
        <w:t>To investigate whether the DN status is a harbinger of pending immunogenicity, we sought to determine whether</w:t>
      </w:r>
      <w:r w:rsidR="00D14E07" w:rsidRPr="00F80032">
        <w:rPr>
          <w:rFonts w:ascii="Book Antiqua" w:hAnsi="Book Antiqua" w:cs="Times New Roman"/>
          <w:sz w:val="24"/>
          <w:szCs w:val="24"/>
        </w:rPr>
        <w:t xml:space="preserve"> patients with DN sera were</w:t>
      </w:r>
      <w:r w:rsidRPr="00F80032">
        <w:rPr>
          <w:rFonts w:ascii="Book Antiqua" w:hAnsi="Book Antiqua" w:cs="Times New Roman"/>
          <w:sz w:val="24"/>
          <w:szCs w:val="24"/>
        </w:rPr>
        <w:t xml:space="preserve"> predisposed to develop ATI compared to patients with measurable IFX (IFX+ATI-). </w:t>
      </w:r>
      <w:r w:rsidR="00C63E83" w:rsidRPr="00F80032">
        <w:rPr>
          <w:rFonts w:ascii="Book Antiqua" w:hAnsi="Book Antiqua" w:cs="Times New Roman"/>
          <w:sz w:val="24"/>
          <w:szCs w:val="24"/>
        </w:rPr>
        <w:t>During the study period 44</w:t>
      </w:r>
      <w:r w:rsidRPr="00F80032">
        <w:rPr>
          <w:rFonts w:ascii="Book Antiqua" w:hAnsi="Book Antiqua" w:cs="Times New Roman"/>
          <w:sz w:val="24"/>
          <w:szCs w:val="24"/>
        </w:rPr>
        <w:t xml:space="preserve"> out of </w:t>
      </w:r>
      <w:r w:rsidRPr="00F80032">
        <w:rPr>
          <w:rFonts w:ascii="Book Antiqua" w:hAnsi="Book Antiqua" w:cs="Times New Roman"/>
          <w:sz w:val="24"/>
          <w:szCs w:val="24"/>
          <w:rtl/>
        </w:rPr>
        <w:t>155</w:t>
      </w:r>
      <w:r w:rsidRPr="00F80032">
        <w:rPr>
          <w:rFonts w:ascii="Book Antiqua" w:hAnsi="Book Antiqua" w:cs="Times New Roman"/>
          <w:sz w:val="24"/>
          <w:szCs w:val="24"/>
        </w:rPr>
        <w:t xml:space="preserve"> patients </w:t>
      </w:r>
      <w:r w:rsidR="00D44BC9" w:rsidRPr="00F80032">
        <w:rPr>
          <w:rFonts w:ascii="Book Antiqua" w:hAnsi="Book Antiqua" w:cs="Times New Roman"/>
          <w:sz w:val="24"/>
          <w:szCs w:val="24"/>
        </w:rPr>
        <w:t>on</w:t>
      </w:r>
      <w:r w:rsidRPr="00F80032">
        <w:rPr>
          <w:rFonts w:ascii="Book Antiqua" w:hAnsi="Book Antiqua" w:cs="Times New Roman"/>
          <w:sz w:val="24"/>
          <w:szCs w:val="24"/>
        </w:rPr>
        <w:t xml:space="preserve"> </w:t>
      </w:r>
      <w:r w:rsidR="00D44BC9" w:rsidRPr="00F80032">
        <w:rPr>
          <w:rFonts w:ascii="Book Antiqua" w:hAnsi="Book Antiqua" w:cs="Times New Roman"/>
          <w:sz w:val="24"/>
          <w:szCs w:val="24"/>
        </w:rPr>
        <w:t xml:space="preserve">standard </w:t>
      </w:r>
      <w:r w:rsidRPr="00F80032">
        <w:rPr>
          <w:rFonts w:ascii="Book Antiqua" w:hAnsi="Book Antiqua" w:cs="Times New Roman"/>
          <w:sz w:val="24"/>
          <w:szCs w:val="24"/>
        </w:rPr>
        <w:t xml:space="preserve">IFX </w:t>
      </w:r>
      <w:r w:rsidR="00D44BC9" w:rsidRPr="00F80032">
        <w:rPr>
          <w:rFonts w:ascii="Book Antiqua" w:hAnsi="Book Antiqua" w:cs="Times New Roman"/>
          <w:sz w:val="24"/>
          <w:szCs w:val="24"/>
        </w:rPr>
        <w:t xml:space="preserve">regiment </w:t>
      </w:r>
      <w:r w:rsidRPr="00F80032">
        <w:rPr>
          <w:rFonts w:ascii="Book Antiqua" w:hAnsi="Book Antiqua" w:cs="Times New Roman"/>
          <w:sz w:val="24"/>
          <w:szCs w:val="24"/>
        </w:rPr>
        <w:t xml:space="preserve">had at least one DN serum sample </w:t>
      </w:r>
      <w:r w:rsidR="00D44BC9" w:rsidRPr="00F80032">
        <w:rPr>
          <w:rFonts w:ascii="Book Antiqua" w:hAnsi="Book Antiqua" w:cs="Times New Roman"/>
          <w:sz w:val="24"/>
          <w:szCs w:val="24"/>
        </w:rPr>
        <w:t>determined</w:t>
      </w:r>
      <w:r w:rsidRPr="00F80032">
        <w:rPr>
          <w:rFonts w:ascii="Book Antiqua" w:hAnsi="Book Antiqua" w:cs="Times New Roman"/>
          <w:sz w:val="24"/>
          <w:szCs w:val="24"/>
        </w:rPr>
        <w:t xml:space="preserve"> by anti-lambda ELISA</w:t>
      </w:r>
      <w:r w:rsidR="00C5158F" w:rsidRPr="00F80032">
        <w:rPr>
          <w:rFonts w:ascii="Book Antiqua" w:hAnsi="Book Antiqua" w:cs="Times New Roman"/>
          <w:sz w:val="24"/>
          <w:szCs w:val="24"/>
        </w:rPr>
        <w:t xml:space="preserve"> (Figure 1)</w:t>
      </w:r>
      <w:r w:rsidRPr="00F80032">
        <w:rPr>
          <w:rFonts w:ascii="Book Antiqua" w:hAnsi="Book Antiqua" w:cs="Times New Roman"/>
          <w:sz w:val="24"/>
          <w:szCs w:val="24"/>
        </w:rPr>
        <w:t xml:space="preserve">. Fourteen of them were excluded </w:t>
      </w:r>
      <w:r w:rsidR="00C63E83" w:rsidRPr="00F80032">
        <w:rPr>
          <w:rFonts w:ascii="Book Antiqua" w:hAnsi="Book Antiqua" w:cs="Times New Roman"/>
          <w:sz w:val="24"/>
          <w:szCs w:val="24"/>
        </w:rPr>
        <w:t xml:space="preserve">from analysis </w:t>
      </w:r>
      <w:r w:rsidRPr="00F80032">
        <w:rPr>
          <w:rFonts w:ascii="Book Antiqua" w:hAnsi="Book Antiqua" w:cs="Times New Roman"/>
          <w:sz w:val="24"/>
          <w:szCs w:val="24"/>
        </w:rPr>
        <w:t xml:space="preserve">due to missing data (10 were inconsistently followed, 2 were lost to follow up after the DN event and </w:t>
      </w:r>
      <w:r w:rsidRPr="00F80032">
        <w:rPr>
          <w:rFonts w:ascii="Book Antiqua" w:hAnsi="Book Antiqua" w:cs="Times New Roman"/>
          <w:sz w:val="24"/>
          <w:szCs w:val="24"/>
          <w:rtl/>
        </w:rPr>
        <w:t>2</w:t>
      </w:r>
      <w:r w:rsidRPr="00F80032">
        <w:rPr>
          <w:rFonts w:ascii="Book Antiqua" w:hAnsi="Book Antiqua" w:cs="Times New Roman"/>
          <w:sz w:val="24"/>
          <w:szCs w:val="24"/>
        </w:rPr>
        <w:t xml:space="preserve"> received infusions outside our center). Thus, 30 patients </w:t>
      </w:r>
      <w:r w:rsidR="00F94B66" w:rsidRPr="00F80032">
        <w:rPr>
          <w:rFonts w:ascii="Book Antiqua" w:hAnsi="Book Antiqua" w:cs="Times New Roman"/>
          <w:sz w:val="24"/>
          <w:szCs w:val="24"/>
        </w:rPr>
        <w:t xml:space="preserve">(25 CD, 5 UC) </w:t>
      </w:r>
      <w:r w:rsidRPr="00F80032">
        <w:rPr>
          <w:rFonts w:ascii="Book Antiqua" w:hAnsi="Book Antiqua" w:cs="Times New Roman"/>
          <w:sz w:val="24"/>
          <w:szCs w:val="24"/>
        </w:rPr>
        <w:t>were included</w:t>
      </w:r>
      <w:r w:rsidR="00F94B66" w:rsidRPr="00F80032">
        <w:rPr>
          <w:rFonts w:ascii="Book Antiqua" w:hAnsi="Book Antiqua" w:cs="Times New Roman"/>
          <w:sz w:val="24"/>
          <w:szCs w:val="24"/>
        </w:rPr>
        <w:t>,</w:t>
      </w:r>
      <w:r w:rsidRPr="00F80032">
        <w:rPr>
          <w:rFonts w:ascii="Book Antiqua" w:hAnsi="Book Antiqua" w:cs="Times New Roman"/>
          <w:sz w:val="24"/>
          <w:szCs w:val="24"/>
        </w:rPr>
        <w:t xml:space="preserve"> matched with 30 control</w:t>
      </w:r>
      <w:r w:rsidR="00C63E83" w:rsidRPr="00F80032">
        <w:rPr>
          <w:rFonts w:ascii="Book Antiqua" w:hAnsi="Book Antiqua" w:cs="Times New Roman"/>
          <w:sz w:val="24"/>
          <w:szCs w:val="24"/>
        </w:rPr>
        <w:t>s</w:t>
      </w:r>
      <w:r w:rsidRPr="00F80032">
        <w:rPr>
          <w:rFonts w:ascii="Book Antiqua" w:hAnsi="Book Antiqua" w:cs="Times New Roman"/>
          <w:sz w:val="24"/>
          <w:szCs w:val="24"/>
        </w:rPr>
        <w:t xml:space="preserve"> </w:t>
      </w:r>
      <w:r w:rsidR="00C63E83" w:rsidRPr="00F80032">
        <w:rPr>
          <w:rFonts w:ascii="Book Antiqua" w:hAnsi="Book Antiqua" w:cs="Times New Roman"/>
          <w:sz w:val="24"/>
          <w:szCs w:val="24"/>
        </w:rPr>
        <w:t>(</w:t>
      </w:r>
      <w:r w:rsidRPr="00F80032">
        <w:rPr>
          <w:rFonts w:ascii="Book Antiqua" w:hAnsi="Book Antiqua" w:cs="Times New Roman"/>
          <w:sz w:val="24"/>
          <w:szCs w:val="24"/>
        </w:rPr>
        <w:t>27 CD, 3 UC</w:t>
      </w:r>
      <w:r w:rsidR="00F94B66" w:rsidRPr="00F80032">
        <w:rPr>
          <w:rFonts w:ascii="Book Antiqua" w:hAnsi="Book Antiqua" w:cs="Times New Roman"/>
          <w:sz w:val="24"/>
          <w:szCs w:val="24"/>
        </w:rPr>
        <w:t>)</w:t>
      </w:r>
      <w:r w:rsidR="00C12C6B" w:rsidRPr="00F80032">
        <w:rPr>
          <w:rFonts w:ascii="Book Antiqua" w:hAnsi="Book Antiqua" w:cs="Times New Roman"/>
          <w:sz w:val="24"/>
          <w:szCs w:val="24"/>
        </w:rPr>
        <w:t>.</w:t>
      </w:r>
      <w:r w:rsidRPr="00F80032">
        <w:rPr>
          <w:rFonts w:ascii="Book Antiqua" w:hAnsi="Book Antiqua" w:cs="Times New Roman"/>
          <w:sz w:val="24"/>
          <w:szCs w:val="24"/>
        </w:rPr>
        <w:t xml:space="preserve"> </w:t>
      </w:r>
      <w:r w:rsidR="00C12C6B" w:rsidRPr="00F80032">
        <w:rPr>
          <w:rFonts w:ascii="Book Antiqua" w:hAnsi="Book Antiqua" w:cs="Times New Roman"/>
          <w:sz w:val="24"/>
          <w:szCs w:val="24"/>
        </w:rPr>
        <w:t>M</w:t>
      </w:r>
      <w:r w:rsidR="00F94B66" w:rsidRPr="00F80032">
        <w:rPr>
          <w:rFonts w:ascii="Book Antiqua" w:hAnsi="Book Antiqua" w:cs="Times New Roman"/>
          <w:sz w:val="24"/>
          <w:szCs w:val="24"/>
        </w:rPr>
        <w:t xml:space="preserve">edian follow up time was 21 ± 25.1 </w:t>
      </w:r>
      <w:proofErr w:type="spellStart"/>
      <w:r w:rsidR="00F94B66" w:rsidRPr="00F80032">
        <w:rPr>
          <w:rFonts w:ascii="Book Antiqua" w:hAnsi="Book Antiqua" w:cs="Times New Roman"/>
          <w:sz w:val="24"/>
          <w:szCs w:val="24"/>
        </w:rPr>
        <w:t>mo</w:t>
      </w:r>
      <w:proofErr w:type="spellEnd"/>
      <w:r w:rsidR="00071436" w:rsidRPr="00F80032">
        <w:rPr>
          <w:rFonts w:ascii="Book Antiqua" w:hAnsi="Book Antiqua" w:cs="Times New Roman"/>
          <w:sz w:val="24"/>
          <w:szCs w:val="24"/>
        </w:rPr>
        <w:t xml:space="preserve"> </w:t>
      </w:r>
      <w:r w:rsidR="00071436" w:rsidRPr="00F80032">
        <w:rPr>
          <w:rFonts w:ascii="Book Antiqua" w:hAnsi="Book Antiqua" w:cs="Times New Roman"/>
          <w:i/>
          <w:sz w:val="24"/>
          <w:szCs w:val="24"/>
        </w:rPr>
        <w:t>vs</w:t>
      </w:r>
      <w:r w:rsidR="00F94B66" w:rsidRPr="00F80032">
        <w:rPr>
          <w:rFonts w:ascii="Book Antiqua" w:hAnsi="Book Antiqua" w:cs="Times New Roman"/>
          <w:sz w:val="24"/>
          <w:szCs w:val="24"/>
        </w:rPr>
        <w:t xml:space="preserve"> </w:t>
      </w:r>
      <w:r w:rsidRPr="00F80032">
        <w:rPr>
          <w:rFonts w:ascii="Book Antiqua" w:hAnsi="Book Antiqua" w:cs="Times New Roman"/>
          <w:sz w:val="24"/>
          <w:szCs w:val="24"/>
        </w:rPr>
        <w:t xml:space="preserve">time 20.75 ± 25.5 </w:t>
      </w:r>
      <w:proofErr w:type="spellStart"/>
      <w:r w:rsidRPr="00F80032">
        <w:rPr>
          <w:rFonts w:ascii="Book Antiqua" w:hAnsi="Book Antiqua" w:cs="Times New Roman"/>
          <w:sz w:val="24"/>
          <w:szCs w:val="24"/>
        </w:rPr>
        <w:t>mo</w:t>
      </w:r>
      <w:proofErr w:type="spellEnd"/>
      <w:r w:rsidR="00F94B66" w:rsidRPr="00F80032">
        <w:rPr>
          <w:rFonts w:ascii="Book Antiqua" w:hAnsi="Book Antiqua" w:cs="Times New Roman"/>
          <w:sz w:val="24"/>
          <w:szCs w:val="24"/>
        </w:rPr>
        <w:t>, respectively,</w:t>
      </w:r>
      <w:r w:rsidRPr="00F80032">
        <w:rPr>
          <w:rFonts w:ascii="Book Antiqua" w:hAnsi="Book Antiqua" w:cs="Times New Roman"/>
          <w:sz w:val="24"/>
          <w:szCs w:val="24"/>
        </w:rPr>
        <w:t xml:space="preserve"> </w:t>
      </w:r>
      <w:r w:rsidR="00071436" w:rsidRPr="00F80032">
        <w:rPr>
          <w:rFonts w:ascii="Book Antiqua" w:hAnsi="Book Antiqua" w:cs="Times New Roman"/>
          <w:i/>
          <w:caps/>
          <w:sz w:val="24"/>
          <w:szCs w:val="24"/>
        </w:rPr>
        <w:t xml:space="preserve">p = </w:t>
      </w:r>
      <w:r w:rsidRPr="00F80032">
        <w:rPr>
          <w:rFonts w:ascii="Book Antiqua" w:hAnsi="Book Antiqua" w:cs="Times New Roman"/>
          <w:sz w:val="24"/>
          <w:szCs w:val="24"/>
        </w:rPr>
        <w:t>0.97. The patients' demographic and clinical characteristics are presented in Table 1.</w:t>
      </w:r>
    </w:p>
    <w:p w:rsidR="001967A2" w:rsidRPr="00F80032" w:rsidRDefault="001967A2" w:rsidP="004F172A">
      <w:pPr>
        <w:adjustRightInd w:val="0"/>
        <w:snapToGrid w:val="0"/>
        <w:spacing w:after="0" w:line="360" w:lineRule="auto"/>
        <w:ind w:firstLineChars="200" w:firstLine="480"/>
        <w:jc w:val="both"/>
        <w:rPr>
          <w:rFonts w:ascii="Book Antiqua" w:hAnsi="Book Antiqua" w:cs="Times New Roman"/>
          <w:sz w:val="24"/>
          <w:szCs w:val="24"/>
          <w:rtl/>
        </w:rPr>
      </w:pPr>
      <w:r w:rsidRPr="00F80032">
        <w:rPr>
          <w:rFonts w:ascii="Book Antiqua" w:hAnsi="Book Antiqua" w:cs="Times New Roman"/>
          <w:sz w:val="24"/>
          <w:szCs w:val="24"/>
        </w:rPr>
        <w:t xml:space="preserve">ATI formation was significantly more frequent among the DN group </w:t>
      </w:r>
      <w:r w:rsidR="00F94B66" w:rsidRPr="00F80032">
        <w:rPr>
          <w:rFonts w:ascii="Book Antiqua" w:hAnsi="Book Antiqua" w:cs="Times New Roman"/>
          <w:sz w:val="24"/>
          <w:szCs w:val="24"/>
        </w:rPr>
        <w:t>compared with controls</w:t>
      </w:r>
      <w:r w:rsidRPr="00F80032">
        <w:rPr>
          <w:rFonts w:ascii="Book Antiqua" w:hAnsi="Book Antiqua" w:cs="Times New Roman"/>
          <w:sz w:val="24"/>
          <w:szCs w:val="24"/>
        </w:rPr>
        <w:t xml:space="preserve"> (OR </w:t>
      </w:r>
      <w:r w:rsidR="00071436" w:rsidRPr="00F80032">
        <w:rPr>
          <w:rFonts w:ascii="Book Antiqua" w:hAnsi="Book Antiqua" w:cs="Times New Roman" w:hint="eastAsia"/>
          <w:sz w:val="24"/>
          <w:szCs w:val="24"/>
          <w:lang w:eastAsia="zh-CN"/>
        </w:rPr>
        <w:t xml:space="preserve">= </w:t>
      </w:r>
      <w:r w:rsidRPr="00F80032">
        <w:rPr>
          <w:rFonts w:ascii="Book Antiqua" w:hAnsi="Book Antiqua" w:cs="Times New Roman"/>
          <w:sz w:val="24"/>
          <w:szCs w:val="24"/>
        </w:rPr>
        <w:t>11</w:t>
      </w:r>
      <w:r w:rsidR="00071436" w:rsidRPr="00F80032">
        <w:rPr>
          <w:rFonts w:ascii="Book Antiqua" w:hAnsi="Book Antiqua" w:cs="Times New Roman" w:hint="eastAsia"/>
          <w:sz w:val="24"/>
          <w:szCs w:val="24"/>
          <w:lang w:eastAsia="zh-CN"/>
        </w:rPr>
        <w:t>,</w:t>
      </w:r>
      <w:r w:rsidRPr="00F80032">
        <w:rPr>
          <w:rFonts w:ascii="Book Antiqua" w:hAnsi="Book Antiqua" w:cs="Times New Roman"/>
          <w:sz w:val="24"/>
          <w:szCs w:val="24"/>
        </w:rPr>
        <w:t xml:space="preserve"> </w:t>
      </w:r>
      <w:r w:rsidR="00071436" w:rsidRPr="00F80032">
        <w:rPr>
          <w:rFonts w:ascii="Book Antiqua" w:hAnsi="Book Antiqua" w:cs="Times New Roman"/>
          <w:sz w:val="24"/>
          <w:szCs w:val="24"/>
        </w:rPr>
        <w:t>95%CI:</w:t>
      </w:r>
      <w:r w:rsidRPr="00F80032">
        <w:rPr>
          <w:rFonts w:ascii="Book Antiqua" w:hAnsi="Book Antiqua" w:cs="Times New Roman"/>
          <w:sz w:val="24"/>
          <w:szCs w:val="24"/>
        </w:rPr>
        <w:t xml:space="preserve"> 3.3-36.8, </w:t>
      </w:r>
      <w:r w:rsidR="00071436" w:rsidRPr="00F80032">
        <w:rPr>
          <w:rFonts w:ascii="Book Antiqua" w:hAnsi="Book Antiqua" w:cs="Times New Roman"/>
          <w:i/>
          <w:caps/>
          <w:sz w:val="24"/>
          <w:szCs w:val="24"/>
        </w:rPr>
        <w:t xml:space="preserve">p </w:t>
      </w:r>
      <w:r w:rsidR="00071436" w:rsidRPr="00F80032">
        <w:rPr>
          <w:rFonts w:ascii="Book Antiqua" w:eastAsia="宋体" w:hAnsi="Book Antiqua" w:cs="Times New Roman"/>
          <w:i/>
          <w:caps/>
          <w:sz w:val="24"/>
          <w:szCs w:val="24"/>
        </w:rPr>
        <w:t>≤</w:t>
      </w:r>
      <w:r w:rsidR="00071436" w:rsidRPr="00F80032">
        <w:rPr>
          <w:rFonts w:ascii="Book Antiqua" w:hAnsi="Book Antiqua" w:cs="Times New Roman" w:hint="eastAsia"/>
          <w:i/>
          <w:caps/>
          <w:sz w:val="24"/>
          <w:szCs w:val="24"/>
          <w:lang w:eastAsia="zh-CN"/>
        </w:rPr>
        <w:t xml:space="preserve"> </w:t>
      </w:r>
      <w:r w:rsidRPr="00F80032">
        <w:rPr>
          <w:rFonts w:ascii="Book Antiqua" w:hAnsi="Book Antiqua" w:cs="Times New Roman"/>
          <w:sz w:val="24"/>
          <w:szCs w:val="24"/>
        </w:rPr>
        <w:t xml:space="preserve">0.001). In 9/30 (30%) DN patients who developed </w:t>
      </w:r>
      <w:r w:rsidR="00657475" w:rsidRPr="00F80032">
        <w:rPr>
          <w:rFonts w:ascii="Book Antiqua" w:hAnsi="Book Antiqua" w:cs="Times New Roman"/>
          <w:sz w:val="24"/>
          <w:szCs w:val="24"/>
        </w:rPr>
        <w:t>non-</w:t>
      </w:r>
      <w:r w:rsidR="00E46D78" w:rsidRPr="00F80032">
        <w:rPr>
          <w:rFonts w:ascii="Book Antiqua" w:hAnsi="Book Antiqua" w:cs="Times New Roman"/>
          <w:sz w:val="24"/>
          <w:szCs w:val="24"/>
        </w:rPr>
        <w:t xml:space="preserve">transient </w:t>
      </w:r>
      <w:r w:rsidRPr="00F80032">
        <w:rPr>
          <w:rFonts w:ascii="Book Antiqua" w:hAnsi="Book Antiqua" w:cs="Times New Roman"/>
          <w:sz w:val="24"/>
          <w:szCs w:val="24"/>
        </w:rPr>
        <w:t xml:space="preserve">ATI, ATI </w:t>
      </w:r>
      <w:r w:rsidR="00BD3D6A" w:rsidRPr="00F80032">
        <w:rPr>
          <w:rFonts w:ascii="Book Antiqua" w:hAnsi="Book Antiqua" w:cs="Times New Roman"/>
          <w:sz w:val="24"/>
          <w:szCs w:val="24"/>
        </w:rPr>
        <w:t xml:space="preserve">formation </w:t>
      </w:r>
      <w:r w:rsidRPr="00F80032">
        <w:rPr>
          <w:rFonts w:ascii="Book Antiqua" w:hAnsi="Book Antiqua" w:cs="Times New Roman"/>
          <w:sz w:val="24"/>
          <w:szCs w:val="24"/>
        </w:rPr>
        <w:t xml:space="preserve">occurred both before and after the event at which the DN serum was obtained (Figure </w:t>
      </w:r>
      <w:r w:rsidR="00327574">
        <w:rPr>
          <w:rFonts w:ascii="Book Antiqua" w:hAnsi="Book Antiqua" w:cs="Times New Roman" w:hint="eastAsia"/>
          <w:sz w:val="24"/>
          <w:szCs w:val="24"/>
          <w:lang w:eastAsia="zh-CN"/>
        </w:rPr>
        <w:t>4</w:t>
      </w:r>
      <w:r w:rsidRPr="00F80032">
        <w:rPr>
          <w:rFonts w:ascii="Book Antiqua" w:hAnsi="Book Antiqua" w:cs="Times New Roman"/>
          <w:sz w:val="24"/>
          <w:szCs w:val="24"/>
        </w:rPr>
        <w:t xml:space="preserve">), supporting the fact that a double negative result may represent a particular time-point along the two curves of ATI titer rise and IFX drug level decline. </w:t>
      </w:r>
    </w:p>
    <w:p w:rsidR="001967A2" w:rsidRPr="00F80032" w:rsidRDefault="001967A2" w:rsidP="004F172A">
      <w:pPr>
        <w:adjustRightInd w:val="0"/>
        <w:snapToGrid w:val="0"/>
        <w:spacing w:after="0" w:line="360" w:lineRule="auto"/>
        <w:ind w:firstLineChars="200" w:firstLine="480"/>
        <w:jc w:val="both"/>
        <w:rPr>
          <w:rFonts w:ascii="Book Antiqua" w:hAnsi="Book Antiqua" w:cs="Times New Roman"/>
          <w:b/>
          <w:bCs/>
          <w:sz w:val="24"/>
          <w:szCs w:val="24"/>
        </w:rPr>
      </w:pPr>
      <w:r w:rsidRPr="00F80032">
        <w:rPr>
          <w:rFonts w:ascii="Book Antiqua" w:hAnsi="Book Antiqua" w:cs="Times New Roman"/>
          <w:sz w:val="24"/>
          <w:szCs w:val="24"/>
        </w:rPr>
        <w:t xml:space="preserve">To investigate the temporal evolution of immunogenicity in DN patients, Kaplan-Meier analysis was performed. ATI free survival was significantly longer among controls (log rank test, </w:t>
      </w:r>
      <w:r w:rsidR="00F0350D" w:rsidRPr="00F80032">
        <w:rPr>
          <w:rFonts w:ascii="Book Antiqua" w:hAnsi="Book Antiqua" w:cs="Times New Roman"/>
          <w:i/>
          <w:caps/>
          <w:sz w:val="24"/>
          <w:szCs w:val="24"/>
        </w:rPr>
        <w:t xml:space="preserve">p &lt; </w:t>
      </w:r>
      <w:r w:rsidRPr="00F80032">
        <w:rPr>
          <w:rFonts w:ascii="Book Antiqua" w:hAnsi="Book Antiqua" w:cs="Times New Roman"/>
          <w:sz w:val="24"/>
          <w:szCs w:val="24"/>
        </w:rPr>
        <w:t xml:space="preserve">0.001, Figure </w:t>
      </w:r>
      <w:r w:rsidR="00327574">
        <w:rPr>
          <w:rFonts w:ascii="Book Antiqua" w:hAnsi="Book Antiqua" w:cs="Times New Roman" w:hint="eastAsia"/>
          <w:sz w:val="24"/>
          <w:szCs w:val="24"/>
          <w:lang w:eastAsia="zh-CN"/>
        </w:rPr>
        <w:t>5A</w:t>
      </w:r>
      <w:r w:rsidRPr="00F80032">
        <w:rPr>
          <w:rFonts w:ascii="Book Antiqua" w:hAnsi="Book Antiqua" w:cs="Times New Roman"/>
          <w:sz w:val="24"/>
          <w:szCs w:val="24"/>
        </w:rPr>
        <w:t xml:space="preserve">) than among DN cases. </w:t>
      </w:r>
      <w:r w:rsidR="00BD3D6A" w:rsidRPr="00F80032">
        <w:rPr>
          <w:rFonts w:ascii="Book Antiqua" w:hAnsi="Book Antiqua" w:cs="Times New Roman"/>
          <w:sz w:val="24"/>
          <w:szCs w:val="24"/>
        </w:rPr>
        <w:t>Of note</w:t>
      </w:r>
      <w:r w:rsidRPr="00F80032">
        <w:rPr>
          <w:rFonts w:ascii="Book Antiqua" w:hAnsi="Book Antiqua" w:cs="Times New Roman"/>
          <w:sz w:val="24"/>
          <w:szCs w:val="24"/>
        </w:rPr>
        <w:t xml:space="preserve">, ATI appearance </w:t>
      </w:r>
      <w:r w:rsidR="00BD3D6A" w:rsidRPr="00F80032">
        <w:rPr>
          <w:rFonts w:ascii="Book Antiqua" w:hAnsi="Book Antiqua" w:cs="Times New Roman"/>
          <w:sz w:val="24"/>
          <w:szCs w:val="24"/>
        </w:rPr>
        <w:t xml:space="preserve">prior to </w:t>
      </w:r>
      <w:r w:rsidRPr="00F80032">
        <w:rPr>
          <w:rFonts w:ascii="Book Antiqua" w:hAnsi="Book Antiqua" w:cs="Times New Roman"/>
          <w:sz w:val="24"/>
          <w:szCs w:val="24"/>
        </w:rPr>
        <w:t xml:space="preserve">the DN </w:t>
      </w:r>
      <w:r w:rsidR="00BD3D6A" w:rsidRPr="00F80032">
        <w:rPr>
          <w:rFonts w:ascii="Book Antiqua" w:hAnsi="Book Antiqua" w:cs="Times New Roman"/>
          <w:sz w:val="24"/>
          <w:szCs w:val="24"/>
        </w:rPr>
        <w:t xml:space="preserve">status </w:t>
      </w:r>
      <w:r w:rsidRPr="00F80032">
        <w:rPr>
          <w:rFonts w:ascii="Book Antiqua" w:hAnsi="Book Antiqua" w:cs="Times New Roman"/>
          <w:sz w:val="24"/>
          <w:szCs w:val="24"/>
        </w:rPr>
        <w:t xml:space="preserve">was disregarded in this analysis. Nevertheless, when considering ATI existence before the starting point as positive, similar results were obtained (log rank test, </w:t>
      </w:r>
      <w:r w:rsidR="00F0350D" w:rsidRPr="00F80032">
        <w:rPr>
          <w:rFonts w:ascii="Book Antiqua" w:hAnsi="Book Antiqua" w:cs="Times New Roman"/>
          <w:i/>
          <w:caps/>
          <w:sz w:val="24"/>
          <w:szCs w:val="24"/>
        </w:rPr>
        <w:t xml:space="preserve">p &lt; </w:t>
      </w:r>
      <w:r w:rsidRPr="00F80032">
        <w:rPr>
          <w:rFonts w:ascii="Book Antiqua" w:hAnsi="Book Antiqua" w:cs="Times New Roman"/>
          <w:sz w:val="24"/>
          <w:szCs w:val="24"/>
        </w:rPr>
        <w:t xml:space="preserve">0.001). Secondary LOR was also more frequent among DN cases (OR </w:t>
      </w:r>
      <w:r w:rsidR="00071436" w:rsidRPr="00F80032">
        <w:rPr>
          <w:rFonts w:ascii="Book Antiqua" w:hAnsi="Book Antiqua" w:cs="Times New Roman" w:hint="eastAsia"/>
          <w:sz w:val="24"/>
          <w:szCs w:val="24"/>
          <w:lang w:eastAsia="zh-CN"/>
        </w:rPr>
        <w:t xml:space="preserve">= </w:t>
      </w:r>
      <w:r w:rsidRPr="00F80032">
        <w:rPr>
          <w:rFonts w:ascii="Book Antiqua" w:hAnsi="Book Antiqua" w:cs="Times New Roman"/>
          <w:sz w:val="24"/>
          <w:szCs w:val="24"/>
        </w:rPr>
        <w:t xml:space="preserve">4.66 </w:t>
      </w:r>
      <w:r w:rsidR="00071436" w:rsidRPr="00F80032">
        <w:rPr>
          <w:rFonts w:ascii="Book Antiqua" w:hAnsi="Book Antiqua" w:cs="Times New Roman"/>
          <w:sz w:val="24"/>
          <w:szCs w:val="24"/>
        </w:rPr>
        <w:t>95%CI:</w:t>
      </w:r>
      <w:r w:rsidRPr="00F80032">
        <w:rPr>
          <w:rFonts w:ascii="Book Antiqua" w:hAnsi="Book Antiqua" w:cs="Times New Roman"/>
          <w:sz w:val="24"/>
          <w:szCs w:val="24"/>
        </w:rPr>
        <w:t xml:space="preserve"> 1.57-13.86, </w:t>
      </w:r>
      <w:r w:rsidR="00071436" w:rsidRPr="00F80032">
        <w:rPr>
          <w:rFonts w:ascii="Book Antiqua" w:hAnsi="Book Antiqua" w:cs="Times New Roman"/>
          <w:i/>
          <w:caps/>
          <w:sz w:val="24"/>
          <w:szCs w:val="24"/>
        </w:rPr>
        <w:t xml:space="preserve">p = </w:t>
      </w:r>
      <w:r w:rsidRPr="00F80032">
        <w:rPr>
          <w:rFonts w:ascii="Book Antiqua" w:hAnsi="Book Antiqua" w:cs="Times New Roman"/>
          <w:sz w:val="24"/>
          <w:szCs w:val="24"/>
        </w:rPr>
        <w:t>0.006) and survival free of secondary LOR was significantly shorter than among controls (</w:t>
      </w:r>
      <w:r w:rsidR="00071436" w:rsidRPr="00F80032">
        <w:rPr>
          <w:rFonts w:ascii="Book Antiqua" w:hAnsi="Book Antiqua" w:cs="Times New Roman"/>
          <w:i/>
          <w:caps/>
          <w:sz w:val="24"/>
          <w:szCs w:val="24"/>
        </w:rPr>
        <w:t xml:space="preserve">p = </w:t>
      </w:r>
      <w:r w:rsidRPr="00F80032">
        <w:rPr>
          <w:rFonts w:ascii="Book Antiqua" w:hAnsi="Book Antiqua" w:cs="Times New Roman"/>
          <w:sz w:val="24"/>
          <w:szCs w:val="24"/>
        </w:rPr>
        <w:t xml:space="preserve">0.02, log rank test, Figure </w:t>
      </w:r>
      <w:r w:rsidR="00742594" w:rsidRPr="00F80032">
        <w:rPr>
          <w:rFonts w:ascii="Book Antiqua" w:hAnsi="Book Antiqua" w:cs="Times New Roman"/>
          <w:sz w:val="24"/>
          <w:szCs w:val="24"/>
        </w:rPr>
        <w:t>5</w:t>
      </w:r>
      <w:r w:rsidR="00327574">
        <w:rPr>
          <w:rFonts w:ascii="Book Antiqua" w:hAnsi="Book Antiqua" w:cs="Times New Roman" w:hint="eastAsia"/>
          <w:sz w:val="24"/>
          <w:szCs w:val="24"/>
          <w:lang w:eastAsia="zh-CN"/>
        </w:rPr>
        <w:t>B</w:t>
      </w:r>
      <w:r w:rsidRPr="00F80032">
        <w:rPr>
          <w:rFonts w:ascii="Book Antiqua" w:hAnsi="Book Antiqua" w:cs="Times New Roman"/>
          <w:sz w:val="24"/>
          <w:szCs w:val="24"/>
        </w:rPr>
        <w:t xml:space="preserve">). </w:t>
      </w:r>
    </w:p>
    <w:p w:rsidR="001967A2" w:rsidRPr="00F80032" w:rsidRDefault="001967A2" w:rsidP="004F172A">
      <w:pPr>
        <w:adjustRightInd w:val="0"/>
        <w:snapToGrid w:val="0"/>
        <w:spacing w:after="0" w:line="360" w:lineRule="auto"/>
        <w:jc w:val="both"/>
        <w:rPr>
          <w:rFonts w:ascii="Book Antiqua" w:hAnsi="Book Antiqua" w:cs="Times New Roman"/>
          <w:sz w:val="24"/>
          <w:szCs w:val="24"/>
        </w:rPr>
      </w:pPr>
    </w:p>
    <w:p w:rsidR="001967A2" w:rsidRPr="00F80032" w:rsidRDefault="001967A2" w:rsidP="004F172A">
      <w:pPr>
        <w:adjustRightInd w:val="0"/>
        <w:snapToGrid w:val="0"/>
        <w:spacing w:after="0" w:line="360" w:lineRule="auto"/>
        <w:jc w:val="both"/>
        <w:rPr>
          <w:rFonts w:ascii="Book Antiqua" w:hAnsi="Book Antiqua" w:cs="Times New Roman"/>
          <w:b/>
          <w:bCs/>
          <w:sz w:val="24"/>
          <w:szCs w:val="24"/>
        </w:rPr>
      </w:pPr>
      <w:r w:rsidRPr="00F80032">
        <w:rPr>
          <w:rFonts w:ascii="Book Antiqua" w:hAnsi="Book Antiqua" w:cs="Times New Roman"/>
          <w:b/>
          <w:bCs/>
          <w:sz w:val="24"/>
          <w:szCs w:val="24"/>
        </w:rPr>
        <w:t>DISCUSSION</w:t>
      </w:r>
    </w:p>
    <w:p w:rsidR="001967A2" w:rsidRPr="00F80032" w:rsidRDefault="001967A2" w:rsidP="004F172A">
      <w:pPr>
        <w:adjustRightInd w:val="0"/>
        <w:snapToGrid w:val="0"/>
        <w:spacing w:after="0" w:line="360" w:lineRule="auto"/>
        <w:jc w:val="both"/>
        <w:rPr>
          <w:rFonts w:ascii="Book Antiqua" w:hAnsi="Book Antiqua" w:cs="Times New Roman"/>
          <w:sz w:val="24"/>
          <w:szCs w:val="24"/>
        </w:rPr>
      </w:pPr>
      <w:r w:rsidRPr="00F80032">
        <w:rPr>
          <w:rFonts w:ascii="Book Antiqua" w:hAnsi="Book Antiqua" w:cs="Times New Roman"/>
          <w:sz w:val="24"/>
          <w:szCs w:val="24"/>
        </w:rPr>
        <w:lastRenderedPageBreak/>
        <w:t xml:space="preserve">A substantial portion of IFX treated patients develop low trough levels of IFX in the absence of measurable ATI (IFX-ATI-), </w:t>
      </w:r>
      <w:r w:rsidRPr="00F80032">
        <w:rPr>
          <w:rFonts w:ascii="Book Antiqua" w:hAnsi="Book Antiqua" w:cs="Times New Roman"/>
          <w:i/>
          <w:sz w:val="24"/>
          <w:szCs w:val="24"/>
        </w:rPr>
        <w:t>i.e.</w:t>
      </w:r>
      <w:r w:rsidR="00071436" w:rsidRPr="00F80032">
        <w:rPr>
          <w:rFonts w:ascii="Book Antiqua" w:hAnsi="Book Antiqua" w:cs="Times New Roman" w:hint="eastAsia"/>
          <w:sz w:val="24"/>
          <w:szCs w:val="24"/>
          <w:lang w:eastAsia="zh-CN"/>
        </w:rPr>
        <w:t>,</w:t>
      </w:r>
      <w:r w:rsidRPr="00F80032">
        <w:rPr>
          <w:rFonts w:ascii="Book Antiqua" w:hAnsi="Book Antiqua" w:cs="Times New Roman"/>
          <w:sz w:val="24"/>
          <w:szCs w:val="24"/>
        </w:rPr>
        <w:t xml:space="preserve"> a double negative (DN) status. Several studies have demonstrated that among patients with LOR, a DN result is more prevalent than antibody positive </w:t>
      </w:r>
      <w:proofErr w:type="gramStart"/>
      <w:r w:rsidRPr="00F80032">
        <w:rPr>
          <w:rFonts w:ascii="Book Antiqua" w:hAnsi="Book Antiqua" w:cs="Times New Roman"/>
          <w:sz w:val="24"/>
          <w:szCs w:val="24"/>
        </w:rPr>
        <w:t>sera</w:t>
      </w:r>
      <w:r w:rsidR="00071436" w:rsidRPr="00F80032">
        <w:rPr>
          <w:rFonts w:ascii="Book Antiqua" w:hAnsi="Book Antiqua" w:cs="Times New Roman" w:hint="eastAsia"/>
          <w:sz w:val="24"/>
          <w:szCs w:val="24"/>
          <w:vertAlign w:val="superscript"/>
          <w:lang w:eastAsia="zh-CN"/>
        </w:rPr>
        <w:t>[</w:t>
      </w:r>
      <w:proofErr w:type="gramEnd"/>
      <w:r w:rsidR="007715C3" w:rsidRPr="00F80032">
        <w:rPr>
          <w:rFonts w:ascii="Book Antiqua" w:hAnsi="Book Antiqua" w:cs="Times New Roman"/>
          <w:noProof/>
          <w:sz w:val="24"/>
          <w:szCs w:val="24"/>
          <w:vertAlign w:val="superscript"/>
        </w:rPr>
        <w:t>10</w:t>
      </w:r>
      <w:r w:rsidRPr="00F80032">
        <w:rPr>
          <w:rFonts w:ascii="Book Antiqua" w:hAnsi="Book Antiqua" w:cs="Times New Roman"/>
          <w:noProof/>
          <w:sz w:val="24"/>
          <w:szCs w:val="24"/>
          <w:vertAlign w:val="superscript"/>
        </w:rPr>
        <w:t>,</w:t>
      </w:r>
      <w:hyperlink w:anchor="_ENREF_10" w:tooltip="Colombel, 2010 #490" w:history="1">
        <w:r w:rsidR="007715C3" w:rsidRPr="00F80032">
          <w:rPr>
            <w:rFonts w:ascii="Book Antiqua" w:hAnsi="Book Antiqua" w:cs="Times New Roman"/>
            <w:noProof/>
            <w:sz w:val="24"/>
            <w:szCs w:val="24"/>
            <w:vertAlign w:val="superscript"/>
          </w:rPr>
          <w:t>19</w:t>
        </w:r>
      </w:hyperlink>
      <w:r w:rsidR="00071436" w:rsidRPr="00F80032">
        <w:rPr>
          <w:rFonts w:ascii="Book Antiqua" w:hAnsi="Book Antiqua" w:cs="Times New Roman" w:hint="eastAsia"/>
          <w:noProof/>
          <w:sz w:val="24"/>
          <w:szCs w:val="24"/>
          <w:vertAlign w:val="superscript"/>
          <w:lang w:eastAsia="zh-CN"/>
        </w:rPr>
        <w:t>]</w:t>
      </w:r>
      <w:r w:rsidRPr="00F80032">
        <w:rPr>
          <w:rFonts w:ascii="Book Antiqua" w:hAnsi="Book Antiqua" w:cs="Times New Roman"/>
          <w:sz w:val="24"/>
          <w:szCs w:val="24"/>
        </w:rPr>
        <w:t xml:space="preserve">. </w:t>
      </w:r>
      <w:r w:rsidR="00255950" w:rsidRPr="00F80032">
        <w:rPr>
          <w:rFonts w:ascii="Book Antiqua" w:hAnsi="Book Antiqua" w:cs="Times New Roman"/>
          <w:sz w:val="24"/>
          <w:szCs w:val="24"/>
        </w:rPr>
        <w:t xml:space="preserve">The </w:t>
      </w:r>
      <w:r w:rsidRPr="00F80032">
        <w:rPr>
          <w:rFonts w:ascii="Book Antiqua" w:hAnsi="Book Antiqua" w:cs="Times New Roman"/>
          <w:sz w:val="24"/>
          <w:szCs w:val="24"/>
        </w:rPr>
        <w:t xml:space="preserve">actual mechanism of LOR remains in doubt in most such cases, and the role – if any – of immunogenicity in instigating this phenomenon remains to be elucidated. Aside from assay limitations and irregular sampling time-points, DN status has been attributed to </w:t>
      </w:r>
      <w:r w:rsidRPr="00F80032">
        <w:rPr>
          <w:rFonts w:ascii="Book Antiqua" w:hAnsi="Book Antiqua" w:cs="Times New Roman"/>
          <w:sz w:val="24"/>
          <w:szCs w:val="24"/>
          <w:rtl/>
        </w:rPr>
        <w:t>n</w:t>
      </w:r>
      <w:r w:rsidRPr="00F80032">
        <w:rPr>
          <w:rFonts w:ascii="Book Antiqua" w:hAnsi="Book Antiqua" w:cs="Times New Roman"/>
          <w:sz w:val="24"/>
          <w:szCs w:val="24"/>
        </w:rPr>
        <w:t>on-immune clearance of anti-TNF</w:t>
      </w:r>
      <w:r w:rsidRPr="00F80032">
        <w:rPr>
          <w:rFonts w:ascii="Book Antiqua" w:hAnsi="Book Antiqua" w:cs="Times New Roman"/>
          <w:sz w:val="24"/>
          <w:szCs w:val="24"/>
          <w:rtl/>
        </w:rPr>
        <w:t>,</w:t>
      </w:r>
      <w:r w:rsidRPr="00F80032">
        <w:rPr>
          <w:rFonts w:ascii="Book Antiqua" w:hAnsi="Book Antiqua" w:cs="Times New Roman"/>
          <w:sz w:val="24"/>
          <w:szCs w:val="24"/>
        </w:rPr>
        <w:t xml:space="preserve"> high tissue inflammatory burden 'absorbing' anti-TNF drug and temporal "window phenomenon", which refers to sampling when all drug-ATI complexes have been </w:t>
      </w:r>
      <w:proofErr w:type="gramStart"/>
      <w:r w:rsidRPr="00F80032">
        <w:rPr>
          <w:rFonts w:ascii="Book Antiqua" w:hAnsi="Book Antiqua" w:cs="Times New Roman"/>
          <w:sz w:val="24"/>
          <w:szCs w:val="24"/>
        </w:rPr>
        <w:t>cleared</w:t>
      </w:r>
      <w:r w:rsidR="00EF0502" w:rsidRPr="00F80032">
        <w:rPr>
          <w:rFonts w:ascii="Book Antiqua" w:hAnsi="Book Antiqua" w:cs="Times New Roman"/>
          <w:noProof/>
          <w:sz w:val="24"/>
          <w:szCs w:val="24"/>
          <w:vertAlign w:val="superscript"/>
        </w:rPr>
        <w:t>[</w:t>
      </w:r>
      <w:proofErr w:type="gramEnd"/>
      <w:r w:rsidR="00AB44BF">
        <w:fldChar w:fldCharType="begin"/>
      </w:r>
      <w:r w:rsidR="00AB44BF">
        <w:instrText xml:space="preserve"> HYPERLINK \l "_ENREF_5" \o "Ben-Horin, 2011 #85" </w:instrText>
      </w:r>
      <w:r w:rsidR="00AB44BF">
        <w:fldChar w:fldCharType="separate"/>
      </w:r>
      <w:r w:rsidRPr="00F80032">
        <w:rPr>
          <w:rFonts w:ascii="Book Antiqua" w:hAnsi="Book Antiqua" w:cs="Times New Roman"/>
          <w:noProof/>
          <w:sz w:val="24"/>
          <w:szCs w:val="24"/>
          <w:vertAlign w:val="superscript"/>
        </w:rPr>
        <w:t>5</w:t>
      </w:r>
      <w:r w:rsidR="00AB44BF">
        <w:rPr>
          <w:rFonts w:ascii="Book Antiqua" w:hAnsi="Book Antiqua" w:cs="Times New Roman"/>
          <w:noProof/>
          <w:sz w:val="24"/>
          <w:szCs w:val="24"/>
          <w:vertAlign w:val="superscript"/>
        </w:rPr>
        <w:fldChar w:fldCharType="end"/>
      </w:r>
      <w:r w:rsidR="00071436" w:rsidRPr="00F80032">
        <w:rPr>
          <w:rFonts w:ascii="Book Antiqua" w:hAnsi="Book Antiqua" w:cs="Times New Roman"/>
          <w:noProof/>
          <w:sz w:val="24"/>
          <w:szCs w:val="24"/>
          <w:vertAlign w:val="superscript"/>
        </w:rPr>
        <w:t>,</w:t>
      </w:r>
      <w:r w:rsidRPr="00F80032">
        <w:rPr>
          <w:rFonts w:ascii="Book Antiqua" w:hAnsi="Book Antiqua" w:cs="Times New Roman"/>
          <w:noProof/>
          <w:sz w:val="24"/>
          <w:szCs w:val="24"/>
          <w:vertAlign w:val="superscript"/>
        </w:rPr>
        <w:t>1</w:t>
      </w:r>
      <w:r w:rsidR="00071436" w:rsidRPr="00F80032">
        <w:rPr>
          <w:rFonts w:ascii="Book Antiqua" w:hAnsi="Book Antiqua" w:cs="Times New Roman"/>
          <w:noProof/>
          <w:sz w:val="24"/>
          <w:szCs w:val="24"/>
          <w:vertAlign w:val="superscript"/>
        </w:rPr>
        <w:t>1,</w:t>
      </w:r>
      <w:r w:rsidRPr="00F80032">
        <w:rPr>
          <w:rFonts w:ascii="Book Antiqua" w:hAnsi="Book Antiqua" w:cs="Times New Roman"/>
          <w:noProof/>
          <w:sz w:val="24"/>
          <w:szCs w:val="24"/>
          <w:vertAlign w:val="superscript"/>
        </w:rPr>
        <w:t>20</w:t>
      </w:r>
      <w:r w:rsidR="00EF0502" w:rsidRPr="00F80032">
        <w:rPr>
          <w:rFonts w:ascii="Book Antiqua" w:hAnsi="Book Antiqua" w:cs="Times New Roman"/>
          <w:noProof/>
          <w:sz w:val="24"/>
          <w:szCs w:val="24"/>
          <w:vertAlign w:val="superscript"/>
        </w:rPr>
        <w:t>]</w:t>
      </w:r>
      <w:r w:rsidRPr="00F80032">
        <w:rPr>
          <w:rFonts w:ascii="Book Antiqua" w:hAnsi="Book Antiqua" w:cs="Times New Roman"/>
          <w:sz w:val="24"/>
          <w:szCs w:val="24"/>
        </w:rPr>
        <w:t xml:space="preserve">. </w:t>
      </w:r>
    </w:p>
    <w:p w:rsidR="001967A2" w:rsidRPr="00F80032" w:rsidRDefault="001967A2" w:rsidP="004F172A">
      <w:pPr>
        <w:adjustRightInd w:val="0"/>
        <w:snapToGrid w:val="0"/>
        <w:spacing w:after="0" w:line="360" w:lineRule="auto"/>
        <w:ind w:firstLineChars="200" w:firstLine="480"/>
        <w:jc w:val="both"/>
        <w:rPr>
          <w:rFonts w:ascii="Book Antiqua" w:hAnsi="Book Antiqua" w:cs="Times New Roman"/>
          <w:sz w:val="24"/>
          <w:szCs w:val="24"/>
        </w:rPr>
      </w:pPr>
      <w:r w:rsidRPr="00F80032">
        <w:rPr>
          <w:rFonts w:ascii="Book Antiqua" w:hAnsi="Book Antiqua" w:cs="Times New Roman"/>
          <w:sz w:val="24"/>
          <w:szCs w:val="24"/>
        </w:rPr>
        <w:t>Studies which employed double antigen ELISA assay reported 20</w:t>
      </w:r>
      <w:r w:rsidR="00071436" w:rsidRPr="00F80032">
        <w:rPr>
          <w:rFonts w:ascii="Book Antiqua" w:hAnsi="Book Antiqua" w:cs="Times New Roman" w:hint="eastAsia"/>
          <w:sz w:val="24"/>
          <w:szCs w:val="24"/>
          <w:lang w:eastAsia="zh-CN"/>
        </w:rPr>
        <w:t>%</w:t>
      </w:r>
      <w:r w:rsidRPr="00F80032">
        <w:rPr>
          <w:rFonts w:ascii="Book Antiqua" w:hAnsi="Book Antiqua" w:cs="Times New Roman"/>
          <w:sz w:val="24"/>
          <w:szCs w:val="24"/>
        </w:rPr>
        <w:t xml:space="preserve">-40% of the patients to be DN, regardless of response </w:t>
      </w:r>
      <w:proofErr w:type="gramStart"/>
      <w:r w:rsidRPr="00F80032">
        <w:rPr>
          <w:rFonts w:ascii="Book Antiqua" w:hAnsi="Book Antiqua" w:cs="Times New Roman"/>
          <w:sz w:val="24"/>
          <w:szCs w:val="24"/>
        </w:rPr>
        <w:t>status</w:t>
      </w:r>
      <w:r w:rsidR="00EF0502" w:rsidRPr="00F80032">
        <w:rPr>
          <w:rFonts w:ascii="Book Antiqua" w:hAnsi="Book Antiqua" w:cs="Times New Roman"/>
          <w:noProof/>
          <w:sz w:val="24"/>
          <w:szCs w:val="24"/>
          <w:vertAlign w:val="superscript"/>
        </w:rPr>
        <w:t>[</w:t>
      </w:r>
      <w:proofErr w:type="gramEnd"/>
      <w:r w:rsidR="00071436" w:rsidRPr="00F80032">
        <w:rPr>
          <w:rFonts w:ascii="Book Antiqua" w:hAnsi="Book Antiqua" w:cs="Times New Roman"/>
          <w:noProof/>
          <w:sz w:val="24"/>
          <w:szCs w:val="24"/>
          <w:vertAlign w:val="superscript"/>
        </w:rPr>
        <w:t>7,9,21,</w:t>
      </w:r>
      <w:r w:rsidRPr="00F80032">
        <w:rPr>
          <w:rFonts w:ascii="Book Antiqua" w:hAnsi="Book Antiqua" w:cs="Times New Roman"/>
          <w:noProof/>
          <w:sz w:val="24"/>
          <w:szCs w:val="24"/>
          <w:vertAlign w:val="superscript"/>
        </w:rPr>
        <w:t>22</w:t>
      </w:r>
      <w:r w:rsidR="00EF0502" w:rsidRPr="00F80032">
        <w:rPr>
          <w:rFonts w:ascii="Book Antiqua" w:hAnsi="Book Antiqua" w:cs="Times New Roman"/>
          <w:noProof/>
          <w:sz w:val="24"/>
          <w:szCs w:val="24"/>
          <w:vertAlign w:val="superscript"/>
        </w:rPr>
        <w:t>]</w:t>
      </w:r>
      <w:r w:rsidR="00784BA3">
        <w:rPr>
          <w:rFonts w:ascii="Book Antiqua" w:hAnsi="Book Antiqua" w:cs="Times New Roman"/>
          <w:sz w:val="24"/>
          <w:szCs w:val="24"/>
        </w:rPr>
        <w:t xml:space="preserve">. </w:t>
      </w:r>
      <w:proofErr w:type="spellStart"/>
      <w:r w:rsidR="00784BA3">
        <w:rPr>
          <w:rFonts w:ascii="Book Antiqua" w:hAnsi="Book Antiqua" w:cs="Times New Roman"/>
          <w:sz w:val="24"/>
          <w:szCs w:val="24"/>
        </w:rPr>
        <w:t>Vande</w:t>
      </w:r>
      <w:proofErr w:type="spellEnd"/>
      <w:r w:rsidR="00784BA3">
        <w:rPr>
          <w:rFonts w:ascii="Book Antiqua" w:hAnsi="Book Antiqua" w:cs="Times New Roman"/>
          <w:sz w:val="24"/>
          <w:szCs w:val="24"/>
        </w:rPr>
        <w:t xml:space="preserve"> </w:t>
      </w:r>
      <w:proofErr w:type="spellStart"/>
      <w:r w:rsidR="00784BA3">
        <w:rPr>
          <w:rFonts w:ascii="Book Antiqua" w:hAnsi="Book Antiqua" w:cs="Times New Roman"/>
          <w:sz w:val="24"/>
          <w:szCs w:val="24"/>
        </w:rPr>
        <w:t>Casteele</w:t>
      </w:r>
      <w:proofErr w:type="spellEnd"/>
      <w:r w:rsidR="00784BA3">
        <w:rPr>
          <w:rFonts w:ascii="Book Antiqua" w:hAnsi="Book Antiqua" w:cs="Times New Roman"/>
          <w:sz w:val="24"/>
          <w:szCs w:val="24"/>
        </w:rPr>
        <w:t xml:space="preserve"> </w:t>
      </w:r>
      <w:r w:rsidR="00784BA3" w:rsidRPr="00784BA3">
        <w:rPr>
          <w:rFonts w:ascii="Book Antiqua" w:hAnsi="Book Antiqua" w:cs="Times New Roman"/>
          <w:i/>
          <w:sz w:val="24"/>
          <w:szCs w:val="24"/>
        </w:rPr>
        <w:t xml:space="preserve">et </w:t>
      </w:r>
      <w:proofErr w:type="gramStart"/>
      <w:r w:rsidR="00784BA3" w:rsidRPr="00784BA3">
        <w:rPr>
          <w:rFonts w:ascii="Book Antiqua" w:hAnsi="Book Antiqua" w:cs="Times New Roman"/>
          <w:i/>
          <w:sz w:val="24"/>
          <w:szCs w:val="24"/>
        </w:rPr>
        <w:t>al</w:t>
      </w:r>
      <w:r w:rsidR="00784BA3" w:rsidRPr="00F80032">
        <w:rPr>
          <w:rFonts w:ascii="Book Antiqua" w:hAnsi="Book Antiqua" w:cs="Times New Roman"/>
          <w:noProof/>
          <w:sz w:val="24"/>
          <w:szCs w:val="24"/>
          <w:vertAlign w:val="superscript"/>
        </w:rPr>
        <w:t>[</w:t>
      </w:r>
      <w:proofErr w:type="gramEnd"/>
      <w:r w:rsidR="00784BA3" w:rsidRPr="00F80032">
        <w:rPr>
          <w:rFonts w:ascii="Book Antiqua" w:hAnsi="Book Antiqua" w:cs="Times New Roman"/>
          <w:noProof/>
          <w:sz w:val="24"/>
          <w:szCs w:val="24"/>
          <w:vertAlign w:val="superscript"/>
        </w:rPr>
        <w:t>12]</w:t>
      </w:r>
      <w:r w:rsidRPr="00F80032">
        <w:rPr>
          <w:rFonts w:ascii="Book Antiqua" w:hAnsi="Book Antiqua" w:cs="Times New Roman"/>
          <w:sz w:val="24"/>
          <w:szCs w:val="24"/>
        </w:rPr>
        <w:t xml:space="preserve"> have recently demonstrated </w:t>
      </w:r>
      <w:r w:rsidR="00254554" w:rsidRPr="00F80032">
        <w:rPr>
          <w:rFonts w:ascii="Book Antiqua" w:hAnsi="Book Antiqua" w:cs="Times New Roman"/>
          <w:sz w:val="24"/>
          <w:szCs w:val="24"/>
        </w:rPr>
        <w:t xml:space="preserve">a prevalence of </w:t>
      </w:r>
      <w:r w:rsidR="00255950" w:rsidRPr="00F80032">
        <w:rPr>
          <w:rFonts w:ascii="Book Antiqua" w:hAnsi="Book Antiqua" w:cs="Times New Roman"/>
          <w:sz w:val="24"/>
          <w:szCs w:val="24"/>
        </w:rPr>
        <w:t>only 11%</w:t>
      </w:r>
      <w:r w:rsidRPr="00F80032">
        <w:rPr>
          <w:rFonts w:ascii="Book Antiqua" w:hAnsi="Book Antiqua" w:cs="Times New Roman"/>
          <w:sz w:val="24"/>
          <w:szCs w:val="24"/>
        </w:rPr>
        <w:t xml:space="preserve"> using </w:t>
      </w:r>
      <w:r w:rsidR="00255950" w:rsidRPr="00F80032">
        <w:rPr>
          <w:rFonts w:ascii="Book Antiqua" w:hAnsi="Book Antiqua" w:cs="Times New Roman"/>
          <w:sz w:val="24"/>
          <w:szCs w:val="24"/>
        </w:rPr>
        <w:t xml:space="preserve">the </w:t>
      </w:r>
      <w:r w:rsidRPr="00F80032">
        <w:rPr>
          <w:rFonts w:ascii="Book Antiqua" w:hAnsi="Book Antiqua" w:cs="Times New Roman"/>
          <w:sz w:val="24"/>
          <w:szCs w:val="24"/>
        </w:rPr>
        <w:t xml:space="preserve">homogeneous mobility shift assay (HMSA). Scarce data </w:t>
      </w:r>
      <w:proofErr w:type="gramStart"/>
      <w:r w:rsidRPr="00F80032">
        <w:rPr>
          <w:rFonts w:ascii="Book Antiqua" w:hAnsi="Book Antiqua" w:cs="Times New Roman"/>
          <w:sz w:val="24"/>
          <w:szCs w:val="24"/>
        </w:rPr>
        <w:t>exist</w:t>
      </w:r>
      <w:r w:rsidR="00255950" w:rsidRPr="00F80032">
        <w:rPr>
          <w:rFonts w:ascii="Book Antiqua" w:hAnsi="Book Antiqua" w:cs="Times New Roman"/>
          <w:sz w:val="24"/>
          <w:szCs w:val="24"/>
        </w:rPr>
        <w:t>s</w:t>
      </w:r>
      <w:proofErr w:type="gramEnd"/>
      <w:r w:rsidRPr="00F80032">
        <w:rPr>
          <w:rFonts w:ascii="Book Antiqua" w:hAnsi="Book Antiqua" w:cs="Times New Roman"/>
          <w:sz w:val="24"/>
          <w:szCs w:val="24"/>
        </w:rPr>
        <w:t xml:space="preserve"> comparing different methods for IFX and ATI level measurement</w:t>
      </w:r>
      <w:r w:rsidR="00057C9A" w:rsidRPr="00F80032">
        <w:rPr>
          <w:rFonts w:ascii="Book Antiqua" w:hAnsi="Book Antiqua" w:cs="Times New Roman"/>
          <w:sz w:val="24"/>
          <w:szCs w:val="24"/>
        </w:rPr>
        <w:t xml:space="preserve">. </w:t>
      </w:r>
      <w:proofErr w:type="spellStart"/>
      <w:r w:rsidR="00057C9A" w:rsidRPr="00F80032">
        <w:rPr>
          <w:rFonts w:ascii="Book Antiqua" w:hAnsi="Book Antiqua" w:cs="Times New Roman"/>
          <w:sz w:val="24"/>
          <w:szCs w:val="24"/>
        </w:rPr>
        <w:t>Steenholdt</w:t>
      </w:r>
      <w:proofErr w:type="spellEnd"/>
      <w:r w:rsidR="00057C9A" w:rsidRPr="00F80032">
        <w:rPr>
          <w:rFonts w:ascii="Book Antiqua" w:hAnsi="Book Antiqua" w:cs="Times New Roman"/>
          <w:sz w:val="24"/>
          <w:szCs w:val="24"/>
        </w:rPr>
        <w:t xml:space="preserve"> </w:t>
      </w:r>
      <w:r w:rsidR="00057C9A" w:rsidRPr="00F80032">
        <w:rPr>
          <w:rFonts w:ascii="Book Antiqua" w:hAnsi="Book Antiqua" w:cs="Times New Roman"/>
          <w:i/>
          <w:sz w:val="24"/>
          <w:szCs w:val="24"/>
        </w:rPr>
        <w:t xml:space="preserve">et </w:t>
      </w:r>
      <w:proofErr w:type="gramStart"/>
      <w:r w:rsidR="00057C9A" w:rsidRPr="00F80032">
        <w:rPr>
          <w:rFonts w:ascii="Book Antiqua" w:hAnsi="Book Antiqua" w:cs="Times New Roman"/>
          <w:i/>
          <w:sz w:val="24"/>
          <w:szCs w:val="24"/>
        </w:rPr>
        <w:t>al</w:t>
      </w:r>
      <w:r w:rsidR="00071436" w:rsidRPr="00F80032">
        <w:rPr>
          <w:rFonts w:ascii="Book Antiqua" w:hAnsi="Book Antiqua" w:cs="Times New Roman" w:hint="eastAsia"/>
          <w:sz w:val="24"/>
          <w:szCs w:val="24"/>
          <w:vertAlign w:val="superscript"/>
          <w:lang w:eastAsia="zh-CN"/>
        </w:rPr>
        <w:t>[</w:t>
      </w:r>
      <w:proofErr w:type="gramEnd"/>
      <w:r w:rsidR="00071436" w:rsidRPr="00F80032">
        <w:rPr>
          <w:rFonts w:ascii="Book Antiqua" w:hAnsi="Book Antiqua" w:cs="Times New Roman"/>
          <w:noProof/>
          <w:sz w:val="24"/>
          <w:szCs w:val="24"/>
          <w:vertAlign w:val="superscript"/>
        </w:rPr>
        <w:t>23</w:t>
      </w:r>
      <w:r w:rsidR="00071436" w:rsidRPr="00F80032">
        <w:rPr>
          <w:rFonts w:ascii="Book Antiqua" w:hAnsi="Book Antiqua" w:cs="Times New Roman" w:hint="eastAsia"/>
          <w:noProof/>
          <w:sz w:val="24"/>
          <w:szCs w:val="24"/>
          <w:vertAlign w:val="superscript"/>
          <w:lang w:eastAsia="zh-CN"/>
        </w:rPr>
        <w:t>]</w:t>
      </w:r>
      <w:r w:rsidR="00057C9A" w:rsidRPr="00F80032">
        <w:rPr>
          <w:rFonts w:ascii="Book Antiqua" w:hAnsi="Book Antiqua" w:cs="Times New Roman"/>
          <w:sz w:val="24"/>
          <w:szCs w:val="24"/>
        </w:rPr>
        <w:t xml:space="preserve"> have recently demonstrated lower detection rate of ATI using double-antigen ELISA</w:t>
      </w:r>
      <w:r w:rsidRPr="00F80032">
        <w:rPr>
          <w:rFonts w:ascii="Book Antiqua" w:hAnsi="Book Antiqua" w:cs="Times New Roman"/>
          <w:sz w:val="24"/>
          <w:szCs w:val="24"/>
        </w:rPr>
        <w:t xml:space="preserve"> </w:t>
      </w:r>
      <w:r w:rsidR="00057C9A" w:rsidRPr="00F80032">
        <w:rPr>
          <w:rFonts w:ascii="Book Antiqua" w:hAnsi="Book Antiqua" w:cs="Times New Roman"/>
          <w:sz w:val="24"/>
          <w:szCs w:val="24"/>
        </w:rPr>
        <w:t>than by other essays.</w:t>
      </w:r>
      <w:r w:rsidRPr="00F80032">
        <w:rPr>
          <w:rFonts w:ascii="Book Antiqua" w:hAnsi="Book Antiqua" w:cs="Times New Roman"/>
          <w:sz w:val="24"/>
          <w:szCs w:val="24"/>
        </w:rPr>
        <w:t xml:space="preserve"> In the current study, double negativity was significantly more prevalent when applying the double antigen ELISA compared to the anti-lambda ELISA (40% </w:t>
      </w:r>
      <w:r w:rsidR="00071436" w:rsidRPr="00F80032">
        <w:rPr>
          <w:rFonts w:ascii="Book Antiqua" w:hAnsi="Book Antiqua" w:cs="Times New Roman"/>
          <w:i/>
          <w:sz w:val="24"/>
          <w:szCs w:val="24"/>
        </w:rPr>
        <w:t>vs</w:t>
      </w:r>
      <w:r w:rsidRPr="00F80032">
        <w:rPr>
          <w:rFonts w:ascii="Book Antiqua" w:hAnsi="Book Antiqua" w:cs="Times New Roman"/>
          <w:sz w:val="24"/>
          <w:szCs w:val="24"/>
        </w:rPr>
        <w:t xml:space="preserve"> 9%, </w:t>
      </w:r>
      <w:r w:rsidR="00F0350D" w:rsidRPr="00F80032">
        <w:rPr>
          <w:rFonts w:ascii="Book Antiqua" w:hAnsi="Book Antiqua" w:cs="Times New Roman"/>
          <w:i/>
          <w:caps/>
          <w:sz w:val="24"/>
          <w:szCs w:val="24"/>
        </w:rPr>
        <w:t xml:space="preserve">p &lt; </w:t>
      </w:r>
      <w:r w:rsidRPr="00F80032">
        <w:rPr>
          <w:rFonts w:ascii="Book Antiqua" w:hAnsi="Book Antiqua" w:cs="Times New Roman"/>
          <w:sz w:val="24"/>
          <w:szCs w:val="24"/>
        </w:rPr>
        <w:t>0.001). Furthermore, when applying anti-lambda ELISA to the sera which were IFX-/ATI- by the double antigen assay, only 6 (22%) remained DN. We assume that the higher frequency of double negativity using double antigen ELISA stems at least partly from false negative detection of IFX or ATI. As IgG4-ATI levels were not higher among the double antigen ELISA DN sera, double negativity cannot be attributed to the technical inability of double antigen ELISA to detect ATI in patients with a predominance of IgG4-ATI.</w:t>
      </w:r>
    </w:p>
    <w:p w:rsidR="001967A2" w:rsidRPr="00F80032" w:rsidRDefault="001967A2" w:rsidP="004F172A">
      <w:pPr>
        <w:adjustRightInd w:val="0"/>
        <w:snapToGrid w:val="0"/>
        <w:spacing w:after="0" w:line="360" w:lineRule="auto"/>
        <w:ind w:firstLineChars="200" w:firstLine="480"/>
        <w:jc w:val="both"/>
        <w:rPr>
          <w:rFonts w:ascii="Book Antiqua" w:hAnsi="Book Antiqua" w:cs="Times New Roman"/>
          <w:sz w:val="24"/>
          <w:szCs w:val="24"/>
        </w:rPr>
      </w:pPr>
      <w:r w:rsidRPr="00F80032">
        <w:rPr>
          <w:rFonts w:ascii="Book Antiqua" w:hAnsi="Book Antiqua" w:cs="Times New Roman"/>
          <w:sz w:val="24"/>
          <w:szCs w:val="24"/>
        </w:rPr>
        <w:t xml:space="preserve">Interestingly, only one serum out of 45 examined with 1:100 dilution </w:t>
      </w:r>
      <w:proofErr w:type="gramStart"/>
      <w:r w:rsidRPr="00F80032">
        <w:rPr>
          <w:rFonts w:ascii="Book Antiqua" w:hAnsi="Book Antiqua" w:cs="Times New Roman"/>
          <w:sz w:val="24"/>
          <w:szCs w:val="24"/>
        </w:rPr>
        <w:t>anti-lambda</w:t>
      </w:r>
      <w:proofErr w:type="gramEnd"/>
      <w:r w:rsidRPr="00F80032">
        <w:rPr>
          <w:rFonts w:ascii="Book Antiqua" w:hAnsi="Book Antiqua" w:cs="Times New Roman"/>
          <w:sz w:val="24"/>
          <w:szCs w:val="24"/>
        </w:rPr>
        <w:t xml:space="preserve"> ELISA retained its double negativity at 1:10 dilution anti-lambda. The other sera became mostly IFX+ATI- or IFX-ATI+.</w:t>
      </w:r>
      <w:r w:rsidRPr="00F80032">
        <w:rPr>
          <w:rFonts w:ascii="Book Antiqua" w:hAnsi="Book Antiqua"/>
          <w:sz w:val="24"/>
          <w:szCs w:val="24"/>
        </w:rPr>
        <w:t xml:space="preserve"> </w:t>
      </w:r>
      <w:r w:rsidRPr="00F80032">
        <w:rPr>
          <w:rFonts w:ascii="Book Antiqua" w:hAnsi="Book Antiqua" w:cs="Times New Roman"/>
          <w:sz w:val="24"/>
          <w:szCs w:val="24"/>
        </w:rPr>
        <w:t xml:space="preserve">The fact that almost all sera "lost" their DN status at 1:10 dilution implies that at least part of this </w:t>
      </w:r>
      <w:r w:rsidRPr="00F80032">
        <w:rPr>
          <w:rFonts w:ascii="Book Antiqua" w:hAnsi="Book Antiqua" w:cs="Times New Roman"/>
          <w:sz w:val="24"/>
          <w:szCs w:val="24"/>
        </w:rPr>
        <w:lastRenderedPageBreak/>
        <w:t xml:space="preserve">phenomenon probably arises from low drug and ATI levels close to the detection threshold of the more sensitive anti-lambda assay. These sera may reflect a transitional state of immunological equilibrium between antibody-mediated IFX clearance and endogenous ATI production, rather than genuine non-immunological drug clearance. Notably, in clinical practice, physicians should be cognizant that some patients may present with DN status at trough merely because of arriving late for a delayed infusion. Such cases were excluded from the present work. </w:t>
      </w:r>
    </w:p>
    <w:p w:rsidR="001967A2" w:rsidRPr="00F80032" w:rsidRDefault="001967A2" w:rsidP="004F172A">
      <w:pPr>
        <w:adjustRightInd w:val="0"/>
        <w:snapToGrid w:val="0"/>
        <w:spacing w:after="0" w:line="360" w:lineRule="auto"/>
        <w:ind w:firstLineChars="200" w:firstLine="480"/>
        <w:jc w:val="both"/>
        <w:rPr>
          <w:rFonts w:ascii="Book Antiqua" w:hAnsi="Book Antiqua" w:cs="Times New Roman"/>
          <w:sz w:val="24"/>
          <w:szCs w:val="24"/>
        </w:rPr>
      </w:pPr>
      <w:r w:rsidRPr="00F80032">
        <w:rPr>
          <w:rFonts w:ascii="Book Antiqua" w:hAnsi="Book Antiqua" w:cs="Times New Roman"/>
          <w:sz w:val="24"/>
          <w:szCs w:val="24"/>
        </w:rPr>
        <w:t xml:space="preserve">Few studies have addressed the question of subsequent ATI development in patients with DN sera. </w:t>
      </w:r>
      <w:proofErr w:type="spellStart"/>
      <w:r w:rsidRPr="00F80032">
        <w:rPr>
          <w:rFonts w:ascii="Book Antiqua" w:hAnsi="Book Antiqua" w:cs="Times New Roman"/>
          <w:sz w:val="24"/>
          <w:szCs w:val="24"/>
        </w:rPr>
        <w:t>Hanauer</w:t>
      </w:r>
      <w:proofErr w:type="spellEnd"/>
      <w:r w:rsidRPr="00F80032">
        <w:rPr>
          <w:rFonts w:ascii="Book Antiqua" w:hAnsi="Book Antiqua" w:cs="Times New Roman"/>
          <w:sz w:val="24"/>
          <w:szCs w:val="24"/>
        </w:rPr>
        <w:t xml:space="preserve"> </w:t>
      </w:r>
      <w:r w:rsidRPr="00F80032">
        <w:rPr>
          <w:rFonts w:ascii="Book Antiqua" w:hAnsi="Book Antiqua" w:cs="Times New Roman"/>
          <w:i/>
          <w:sz w:val="24"/>
          <w:szCs w:val="24"/>
        </w:rPr>
        <w:t xml:space="preserve">et </w:t>
      </w:r>
      <w:proofErr w:type="gramStart"/>
      <w:r w:rsidRPr="00F80032">
        <w:rPr>
          <w:rFonts w:ascii="Book Antiqua" w:hAnsi="Book Antiqua" w:cs="Times New Roman"/>
          <w:i/>
          <w:sz w:val="24"/>
          <w:szCs w:val="24"/>
        </w:rPr>
        <w:t>al</w:t>
      </w:r>
      <w:r w:rsidR="00071436" w:rsidRPr="00F80032">
        <w:rPr>
          <w:rFonts w:ascii="Book Antiqua" w:hAnsi="Book Antiqua" w:cs="Times New Roman"/>
          <w:noProof/>
          <w:sz w:val="24"/>
          <w:szCs w:val="24"/>
          <w:vertAlign w:val="superscript"/>
        </w:rPr>
        <w:t>[</w:t>
      </w:r>
      <w:proofErr w:type="gramEnd"/>
      <w:r w:rsidR="00AB44BF">
        <w:fldChar w:fldCharType="begin"/>
      </w:r>
      <w:r w:rsidR="00AB44BF">
        <w:instrText xml:space="preserve"> HYPERLINK \l "_ENREF_7" \o "Hanauer, 2004 #335" </w:instrText>
      </w:r>
      <w:r w:rsidR="00AB44BF">
        <w:fldChar w:fldCharType="separate"/>
      </w:r>
      <w:r w:rsidR="00071436" w:rsidRPr="00F80032">
        <w:rPr>
          <w:rFonts w:ascii="Book Antiqua" w:hAnsi="Book Antiqua" w:cs="Times New Roman"/>
          <w:noProof/>
          <w:sz w:val="24"/>
          <w:szCs w:val="24"/>
          <w:vertAlign w:val="superscript"/>
        </w:rPr>
        <w:t>7</w:t>
      </w:r>
      <w:r w:rsidR="00AB44BF">
        <w:rPr>
          <w:rFonts w:ascii="Book Antiqua" w:hAnsi="Book Antiqua" w:cs="Times New Roman"/>
          <w:noProof/>
          <w:sz w:val="24"/>
          <w:szCs w:val="24"/>
          <w:vertAlign w:val="superscript"/>
        </w:rPr>
        <w:fldChar w:fldCharType="end"/>
      </w:r>
      <w:r w:rsidR="00071436" w:rsidRPr="00F80032">
        <w:rPr>
          <w:rFonts w:ascii="Book Antiqua" w:hAnsi="Book Antiqua" w:cs="Times New Roman"/>
          <w:noProof/>
          <w:sz w:val="24"/>
          <w:szCs w:val="24"/>
          <w:vertAlign w:val="superscript"/>
        </w:rPr>
        <w:t>]</w:t>
      </w:r>
      <w:r w:rsidRPr="00F80032">
        <w:rPr>
          <w:rFonts w:ascii="Book Antiqua" w:hAnsi="Book Antiqua" w:cs="Times New Roman"/>
          <w:sz w:val="24"/>
          <w:szCs w:val="24"/>
        </w:rPr>
        <w:t xml:space="preserve"> demonstrated that only 2.5% of the DN patients turned ATI+ at week 76, although IFX infusions were halted at week 46</w:t>
      </w:r>
      <w:r w:rsidR="00EF0502" w:rsidRPr="00F80032">
        <w:rPr>
          <w:rFonts w:ascii="Book Antiqua" w:hAnsi="Book Antiqua" w:cs="Times New Roman"/>
          <w:sz w:val="24"/>
          <w:szCs w:val="24"/>
        </w:rPr>
        <w:t xml:space="preserve">. </w:t>
      </w:r>
      <w:r w:rsidRPr="00F80032">
        <w:rPr>
          <w:rFonts w:ascii="Book Antiqua" w:hAnsi="Book Antiqua" w:cs="Times New Roman"/>
          <w:sz w:val="24"/>
          <w:szCs w:val="24"/>
        </w:rPr>
        <w:t xml:space="preserve">In contrast, </w:t>
      </w:r>
      <w:proofErr w:type="spellStart"/>
      <w:r w:rsidRPr="00F80032">
        <w:rPr>
          <w:rFonts w:ascii="Book Antiqua" w:hAnsi="Book Antiqua" w:cs="Times New Roman"/>
          <w:sz w:val="24"/>
          <w:szCs w:val="24"/>
        </w:rPr>
        <w:t>Seow</w:t>
      </w:r>
      <w:proofErr w:type="spellEnd"/>
      <w:r w:rsidRPr="00F80032">
        <w:rPr>
          <w:rFonts w:ascii="Book Antiqua" w:hAnsi="Book Antiqua" w:cs="Times New Roman"/>
          <w:sz w:val="24"/>
          <w:szCs w:val="24"/>
        </w:rPr>
        <w:t xml:space="preserve"> </w:t>
      </w:r>
      <w:r w:rsidRPr="00784BA3">
        <w:rPr>
          <w:rFonts w:ascii="Book Antiqua" w:hAnsi="Book Antiqua" w:cs="Times New Roman"/>
          <w:i/>
          <w:sz w:val="24"/>
          <w:szCs w:val="24"/>
        </w:rPr>
        <w:t xml:space="preserve">et </w:t>
      </w:r>
      <w:proofErr w:type="gramStart"/>
      <w:r w:rsidRPr="00784BA3">
        <w:rPr>
          <w:rFonts w:ascii="Book Antiqua" w:hAnsi="Book Antiqua" w:cs="Times New Roman"/>
          <w:i/>
          <w:sz w:val="24"/>
          <w:szCs w:val="24"/>
        </w:rPr>
        <w:t>al</w:t>
      </w:r>
      <w:r w:rsidR="00784BA3" w:rsidRPr="00F80032">
        <w:rPr>
          <w:rFonts w:ascii="Book Antiqua" w:hAnsi="Book Antiqua" w:cs="Times New Roman"/>
          <w:noProof/>
          <w:sz w:val="24"/>
          <w:szCs w:val="24"/>
          <w:vertAlign w:val="superscript"/>
        </w:rPr>
        <w:t>[</w:t>
      </w:r>
      <w:proofErr w:type="gramEnd"/>
      <w:r w:rsidR="00784BA3" w:rsidRPr="00F80032">
        <w:rPr>
          <w:rFonts w:ascii="Book Antiqua" w:hAnsi="Book Antiqua" w:cs="Times New Roman"/>
          <w:noProof/>
          <w:sz w:val="24"/>
          <w:szCs w:val="24"/>
          <w:vertAlign w:val="superscript"/>
        </w:rPr>
        <w:t>9]</w:t>
      </w:r>
      <w:r w:rsidRPr="00F80032">
        <w:rPr>
          <w:rFonts w:ascii="Book Antiqua" w:hAnsi="Book Antiqua" w:cs="Times New Roman"/>
          <w:sz w:val="24"/>
          <w:szCs w:val="24"/>
        </w:rPr>
        <w:t xml:space="preserve"> have shown that 77% of DN UC patients later develop ATI, regardless of response status. In our study, double negativity was also predictive of future non-transient ATI formation. This re-enforces our conclusion that the DN status is an immunologically-mediated phenomenon, albeit with low titer antibodies close or below the detection level of the assay when employed by certain specifications. As previously demonstrated, transient ATI had little clinical and immunological </w:t>
      </w:r>
      <w:proofErr w:type="gramStart"/>
      <w:r w:rsidRPr="00F80032">
        <w:rPr>
          <w:rFonts w:ascii="Book Antiqua" w:hAnsi="Book Antiqua" w:cs="Times New Roman"/>
          <w:sz w:val="24"/>
          <w:szCs w:val="24"/>
        </w:rPr>
        <w:t>significance</w:t>
      </w:r>
      <w:r w:rsidR="00EF0502" w:rsidRPr="00F80032">
        <w:rPr>
          <w:rFonts w:ascii="Book Antiqua" w:hAnsi="Book Antiqua" w:cs="Times New Roman"/>
          <w:noProof/>
          <w:sz w:val="24"/>
          <w:szCs w:val="24"/>
          <w:vertAlign w:val="superscript"/>
        </w:rPr>
        <w:t>[</w:t>
      </w:r>
      <w:proofErr w:type="gramEnd"/>
      <w:r w:rsidR="00071436" w:rsidRPr="00F80032">
        <w:rPr>
          <w:rFonts w:ascii="Book Antiqua" w:hAnsi="Book Antiqua" w:cs="Times New Roman"/>
          <w:noProof/>
          <w:sz w:val="24"/>
          <w:szCs w:val="24"/>
          <w:vertAlign w:val="superscript"/>
        </w:rPr>
        <w:t>8,12,</w:t>
      </w:r>
      <w:r w:rsidRPr="00F80032">
        <w:rPr>
          <w:rFonts w:ascii="Book Antiqua" w:hAnsi="Book Antiqua" w:cs="Times New Roman"/>
          <w:noProof/>
          <w:sz w:val="24"/>
          <w:szCs w:val="24"/>
          <w:vertAlign w:val="superscript"/>
        </w:rPr>
        <w:t>13</w:t>
      </w:r>
      <w:r w:rsidR="00EF0502" w:rsidRPr="00F80032">
        <w:rPr>
          <w:rFonts w:ascii="Book Antiqua" w:hAnsi="Book Antiqua" w:cs="Times New Roman"/>
          <w:noProof/>
          <w:sz w:val="24"/>
          <w:szCs w:val="24"/>
          <w:vertAlign w:val="superscript"/>
        </w:rPr>
        <w:t>]</w:t>
      </w:r>
      <w:r w:rsidRPr="00F80032">
        <w:rPr>
          <w:rFonts w:ascii="Book Antiqua" w:hAnsi="Book Antiqua" w:cs="Times New Roman"/>
          <w:sz w:val="24"/>
          <w:szCs w:val="24"/>
        </w:rPr>
        <w:t xml:space="preserve">. </w:t>
      </w:r>
    </w:p>
    <w:p w:rsidR="001967A2" w:rsidRPr="00F80032" w:rsidRDefault="001967A2" w:rsidP="004F172A">
      <w:pPr>
        <w:adjustRightInd w:val="0"/>
        <w:snapToGrid w:val="0"/>
        <w:spacing w:after="0" w:line="360" w:lineRule="auto"/>
        <w:ind w:firstLineChars="200" w:firstLine="480"/>
        <w:jc w:val="both"/>
        <w:rPr>
          <w:rFonts w:ascii="Book Antiqua" w:hAnsi="Book Antiqua" w:cs="Times New Roman"/>
          <w:sz w:val="24"/>
          <w:szCs w:val="24"/>
          <w:rtl/>
        </w:rPr>
      </w:pPr>
      <w:r w:rsidRPr="00F80032">
        <w:rPr>
          <w:rFonts w:ascii="Book Antiqua" w:hAnsi="Book Antiqua" w:cs="Times New Roman"/>
          <w:sz w:val="24"/>
          <w:szCs w:val="24"/>
        </w:rPr>
        <w:t>There are several limitations to our study. Primarily, the results were obtained with the double antigen ELISA and the anti-lambda ELISA, but corroborating studies using other assays such as HMSA are pertinent. Secondly, because treating physicians were not kept blinded to the results one cannot exclude that the DN status of the sera analyzed may have influenced clinical management. However, LOR was defined per clinical indexes and constituted only the secondary outcome. Finally, previous events of positive ATI might influence future ATI formation. To neutralize such past effects we performed an analysis incorporating former ATI events as existent</w:t>
      </w:r>
      <w:r w:rsidRPr="00F80032">
        <w:rPr>
          <w:rFonts w:ascii="Book Antiqua" w:hAnsi="Book Antiqua" w:cs="Times New Roman"/>
          <w:sz w:val="24"/>
          <w:szCs w:val="24"/>
          <w:rtl/>
        </w:rPr>
        <w:t xml:space="preserve"> </w:t>
      </w:r>
      <w:r w:rsidRPr="00F80032">
        <w:rPr>
          <w:rFonts w:ascii="Book Antiqua" w:hAnsi="Book Antiqua" w:cs="Times New Roman"/>
          <w:sz w:val="24"/>
          <w:szCs w:val="24"/>
        </w:rPr>
        <w:t xml:space="preserve">at time zero, which yielded similar results. </w:t>
      </w:r>
    </w:p>
    <w:p w:rsidR="005E5B64" w:rsidRPr="00F80032" w:rsidRDefault="001967A2" w:rsidP="004F172A">
      <w:pPr>
        <w:adjustRightInd w:val="0"/>
        <w:snapToGrid w:val="0"/>
        <w:spacing w:after="0" w:line="360" w:lineRule="auto"/>
        <w:ind w:firstLineChars="200" w:firstLine="480"/>
        <w:jc w:val="both"/>
        <w:rPr>
          <w:rFonts w:ascii="Book Antiqua" w:hAnsi="Book Antiqua" w:cs="Times New Roman"/>
          <w:sz w:val="24"/>
          <w:szCs w:val="24"/>
        </w:rPr>
      </w:pPr>
      <w:r w:rsidRPr="00F80032">
        <w:rPr>
          <w:rFonts w:ascii="Book Antiqua" w:hAnsi="Book Antiqua" w:cs="Times New Roman"/>
          <w:sz w:val="24"/>
          <w:szCs w:val="24"/>
        </w:rPr>
        <w:t xml:space="preserve">In conclusion, the </w:t>
      </w:r>
      <w:r w:rsidR="00E55FD6" w:rsidRPr="00F80032">
        <w:rPr>
          <w:rFonts w:ascii="Book Antiqua" w:hAnsi="Book Antiqua" w:cs="Times New Roman"/>
          <w:sz w:val="24"/>
          <w:szCs w:val="24"/>
        </w:rPr>
        <w:t>type of assay employed influences the occurrence of the DN status</w:t>
      </w:r>
      <w:r w:rsidRPr="00F80032">
        <w:rPr>
          <w:rFonts w:ascii="Book Antiqua" w:hAnsi="Book Antiqua" w:cs="Times New Roman"/>
          <w:sz w:val="24"/>
          <w:szCs w:val="24"/>
        </w:rPr>
        <w:t xml:space="preserve">. It is rarely observed when LOR patients' sera are analyzed by </w:t>
      </w:r>
      <w:r w:rsidRPr="00F80032">
        <w:rPr>
          <w:rFonts w:ascii="Book Antiqua" w:hAnsi="Book Antiqua" w:cs="Times New Roman"/>
          <w:sz w:val="24"/>
          <w:szCs w:val="24"/>
        </w:rPr>
        <w:lastRenderedPageBreak/>
        <w:t>the sensitive anti-lambda assay, and in many cases it probably results from low-level immunogenicity rather than elusive non-immunogenic mechanisms.</w:t>
      </w:r>
      <w:r w:rsidR="00F0350D" w:rsidRPr="00F80032">
        <w:rPr>
          <w:rFonts w:ascii="Book Antiqua" w:hAnsi="Book Antiqua" w:cs="Times New Roman"/>
          <w:i/>
          <w:caps/>
          <w:sz w:val="24"/>
          <w:szCs w:val="24"/>
        </w:rPr>
        <w:t xml:space="preserve"> </w:t>
      </w:r>
      <w:r w:rsidRPr="00F80032">
        <w:rPr>
          <w:rFonts w:ascii="Book Antiqua" w:hAnsi="Book Antiqua" w:cs="Times New Roman"/>
          <w:sz w:val="24"/>
          <w:szCs w:val="24"/>
        </w:rPr>
        <w:t xml:space="preserve">Future studies are required to better assess the immunological processes leading to the absence of both drug and ATI, to investigate possible drug clearance pathways and to define appropriate interventions in these patients. </w:t>
      </w:r>
    </w:p>
    <w:p w:rsidR="00BC6F18" w:rsidRPr="00F80032" w:rsidRDefault="00BC6F18" w:rsidP="004F172A">
      <w:pPr>
        <w:adjustRightInd w:val="0"/>
        <w:snapToGrid w:val="0"/>
        <w:spacing w:after="0" w:line="360" w:lineRule="auto"/>
        <w:jc w:val="both"/>
        <w:rPr>
          <w:rFonts w:ascii="Book Antiqua" w:hAnsi="Book Antiqua" w:cs="Times New Roman"/>
          <w:b/>
          <w:bCs/>
          <w:color w:val="000000"/>
          <w:sz w:val="24"/>
          <w:szCs w:val="24"/>
        </w:rPr>
      </w:pPr>
    </w:p>
    <w:p w:rsidR="0037164E" w:rsidRPr="00F80032" w:rsidRDefault="0037164E" w:rsidP="004F172A">
      <w:pPr>
        <w:autoSpaceDE w:val="0"/>
        <w:autoSpaceDN w:val="0"/>
        <w:adjustRightInd w:val="0"/>
        <w:snapToGrid w:val="0"/>
        <w:spacing w:after="0" w:line="360" w:lineRule="auto"/>
        <w:jc w:val="both"/>
        <w:rPr>
          <w:rFonts w:ascii="Book Antiqua" w:hAnsi="Book Antiqua"/>
          <w:b/>
          <w:caps/>
          <w:sz w:val="24"/>
          <w:szCs w:val="24"/>
        </w:rPr>
      </w:pPr>
      <w:r w:rsidRPr="00F80032">
        <w:rPr>
          <w:rFonts w:ascii="Book Antiqua" w:hAnsi="Book Antiqua"/>
          <w:b/>
          <w:caps/>
          <w:sz w:val="24"/>
          <w:szCs w:val="24"/>
        </w:rPr>
        <w:t>comments</w:t>
      </w:r>
    </w:p>
    <w:p w:rsidR="003B140E" w:rsidRPr="00F80032" w:rsidRDefault="003B140E" w:rsidP="004F172A">
      <w:pPr>
        <w:adjustRightInd w:val="0"/>
        <w:snapToGrid w:val="0"/>
        <w:spacing w:after="0" w:line="360" w:lineRule="auto"/>
        <w:jc w:val="both"/>
        <w:rPr>
          <w:rFonts w:ascii="Book Antiqua" w:hAnsi="Book Antiqua" w:cs="Times New Roman"/>
          <w:i/>
          <w:sz w:val="24"/>
          <w:szCs w:val="24"/>
        </w:rPr>
      </w:pPr>
      <w:r w:rsidRPr="00F80032">
        <w:rPr>
          <w:rFonts w:ascii="Book Antiqua" w:hAnsi="Book Antiqua" w:cs="Times New Roman"/>
          <w:b/>
          <w:bCs/>
          <w:i/>
          <w:sz w:val="24"/>
          <w:szCs w:val="24"/>
        </w:rPr>
        <w:t>Background</w:t>
      </w:r>
      <w:r w:rsidRPr="00F80032">
        <w:rPr>
          <w:rFonts w:ascii="Book Antiqua" w:hAnsi="Book Antiqua" w:cs="Times New Roman"/>
          <w:i/>
          <w:sz w:val="24"/>
          <w:szCs w:val="24"/>
        </w:rPr>
        <w:t xml:space="preserve"> </w:t>
      </w:r>
    </w:p>
    <w:p w:rsidR="003B140E" w:rsidRPr="00F80032" w:rsidRDefault="003B140E" w:rsidP="004F172A">
      <w:pPr>
        <w:adjustRightInd w:val="0"/>
        <w:snapToGrid w:val="0"/>
        <w:spacing w:after="0" w:line="360" w:lineRule="auto"/>
        <w:jc w:val="both"/>
        <w:rPr>
          <w:rFonts w:ascii="Book Antiqua" w:hAnsi="Book Antiqua" w:cs="Times New Roman"/>
          <w:sz w:val="24"/>
          <w:szCs w:val="24"/>
        </w:rPr>
      </w:pPr>
      <w:r w:rsidRPr="00F80032">
        <w:rPr>
          <w:rFonts w:ascii="Book Antiqua" w:hAnsi="Book Antiqua" w:cs="Times New Roman"/>
          <w:sz w:val="24"/>
          <w:szCs w:val="24"/>
        </w:rPr>
        <w:t xml:space="preserve">Antibodies to infliximab (ATI) correlate with lower infliximab (IFX) trough levels and loss of response (LOR). However, 10-60% of LOR patients have low IFX levels in the absence of ATI - designated double negative (DN) status. </w:t>
      </w:r>
    </w:p>
    <w:p w:rsidR="00071436" w:rsidRPr="00F80032" w:rsidRDefault="00071436" w:rsidP="004F172A">
      <w:pPr>
        <w:adjustRightInd w:val="0"/>
        <w:snapToGrid w:val="0"/>
        <w:spacing w:after="0" w:line="360" w:lineRule="auto"/>
        <w:jc w:val="both"/>
        <w:rPr>
          <w:rFonts w:ascii="Book Antiqua" w:hAnsi="Book Antiqua" w:cs="Times New Roman"/>
          <w:b/>
          <w:bCs/>
          <w:sz w:val="24"/>
          <w:szCs w:val="24"/>
          <w:lang w:eastAsia="zh-CN"/>
        </w:rPr>
      </w:pPr>
    </w:p>
    <w:p w:rsidR="005B427F" w:rsidRPr="00F80032" w:rsidRDefault="003B140E" w:rsidP="004F172A">
      <w:pPr>
        <w:adjustRightInd w:val="0"/>
        <w:snapToGrid w:val="0"/>
        <w:spacing w:after="0" w:line="360" w:lineRule="auto"/>
        <w:jc w:val="both"/>
        <w:rPr>
          <w:rFonts w:ascii="Book Antiqua" w:hAnsi="Book Antiqua" w:cs="Times New Roman"/>
          <w:i/>
          <w:sz w:val="24"/>
          <w:szCs w:val="24"/>
        </w:rPr>
      </w:pPr>
      <w:r w:rsidRPr="00F80032">
        <w:rPr>
          <w:rFonts w:ascii="Book Antiqua" w:hAnsi="Book Antiqua" w:cs="Times New Roman"/>
          <w:b/>
          <w:bCs/>
          <w:i/>
          <w:sz w:val="24"/>
          <w:szCs w:val="24"/>
        </w:rPr>
        <w:t>Research frontiers</w:t>
      </w:r>
      <w:r w:rsidR="005B427F" w:rsidRPr="00F80032">
        <w:rPr>
          <w:rFonts w:ascii="Book Antiqua" w:hAnsi="Book Antiqua" w:cs="Times New Roman"/>
          <w:b/>
          <w:bCs/>
          <w:i/>
          <w:sz w:val="24"/>
          <w:szCs w:val="24"/>
        </w:rPr>
        <w:t xml:space="preserve"> </w:t>
      </w:r>
    </w:p>
    <w:p w:rsidR="005B427F" w:rsidRPr="00F80032" w:rsidRDefault="005B427F" w:rsidP="004F172A">
      <w:pPr>
        <w:adjustRightInd w:val="0"/>
        <w:snapToGrid w:val="0"/>
        <w:spacing w:after="0" w:line="360" w:lineRule="auto"/>
        <w:jc w:val="both"/>
        <w:rPr>
          <w:rFonts w:ascii="Book Antiqua" w:hAnsi="Book Antiqua" w:cs="Times New Roman"/>
          <w:sz w:val="24"/>
          <w:szCs w:val="24"/>
          <w:lang w:eastAsia="zh-CN"/>
        </w:rPr>
      </w:pPr>
      <w:r w:rsidRPr="00F80032">
        <w:rPr>
          <w:rFonts w:ascii="Book Antiqua" w:hAnsi="Book Antiqua" w:cs="Times New Roman"/>
          <w:sz w:val="24"/>
          <w:szCs w:val="24"/>
        </w:rPr>
        <w:t>The clinical and immunological significance of the DN status is currently unknown.</w:t>
      </w:r>
    </w:p>
    <w:p w:rsidR="00071436" w:rsidRPr="00F80032" w:rsidRDefault="00071436" w:rsidP="004F172A">
      <w:pPr>
        <w:adjustRightInd w:val="0"/>
        <w:snapToGrid w:val="0"/>
        <w:spacing w:after="0" w:line="360" w:lineRule="auto"/>
        <w:jc w:val="both"/>
        <w:rPr>
          <w:rFonts w:ascii="Book Antiqua" w:hAnsi="Book Antiqua" w:cs="Times New Roman"/>
          <w:sz w:val="24"/>
          <w:szCs w:val="24"/>
          <w:lang w:eastAsia="zh-CN"/>
        </w:rPr>
      </w:pPr>
    </w:p>
    <w:p w:rsidR="003B140E" w:rsidRPr="00F80032" w:rsidRDefault="005B427F" w:rsidP="004F172A">
      <w:pPr>
        <w:adjustRightInd w:val="0"/>
        <w:snapToGrid w:val="0"/>
        <w:spacing w:after="0" w:line="360" w:lineRule="auto"/>
        <w:jc w:val="both"/>
        <w:rPr>
          <w:rFonts w:ascii="Book Antiqua" w:hAnsi="Book Antiqua" w:cs="Times New Roman"/>
          <w:b/>
          <w:bCs/>
          <w:i/>
          <w:sz w:val="24"/>
          <w:szCs w:val="24"/>
        </w:rPr>
      </w:pPr>
      <w:r w:rsidRPr="00F80032">
        <w:rPr>
          <w:rFonts w:ascii="Book Antiqua" w:hAnsi="Book Antiqua" w:cs="Times New Roman"/>
          <w:b/>
          <w:bCs/>
          <w:i/>
          <w:sz w:val="24"/>
          <w:szCs w:val="24"/>
        </w:rPr>
        <w:t>Innovations and breakthroughs</w:t>
      </w:r>
    </w:p>
    <w:p w:rsidR="00C52A84" w:rsidRPr="00F80032" w:rsidRDefault="00C52A84" w:rsidP="004F172A">
      <w:pPr>
        <w:autoSpaceDE w:val="0"/>
        <w:autoSpaceDN w:val="0"/>
        <w:adjustRightInd w:val="0"/>
        <w:snapToGrid w:val="0"/>
        <w:spacing w:after="0" w:line="360" w:lineRule="auto"/>
        <w:jc w:val="both"/>
        <w:rPr>
          <w:rFonts w:ascii="Book Antiqua" w:hAnsi="Book Antiqua" w:cs="Times New Roman"/>
          <w:sz w:val="24"/>
          <w:szCs w:val="24"/>
        </w:rPr>
      </w:pPr>
      <w:r w:rsidRPr="00F80032">
        <w:rPr>
          <w:rFonts w:ascii="Book Antiqua" w:hAnsi="Book Antiqua" w:cs="Times New Roman"/>
          <w:sz w:val="24"/>
          <w:szCs w:val="24"/>
        </w:rPr>
        <w:t xml:space="preserve">Only 9% of sera obtained at time of LOR </w:t>
      </w:r>
      <w:r w:rsidR="00B31175" w:rsidRPr="00F80032">
        <w:rPr>
          <w:rFonts w:ascii="Book Antiqua" w:hAnsi="Book Antiqua" w:cs="Times New Roman"/>
          <w:sz w:val="24"/>
          <w:szCs w:val="24"/>
        </w:rPr>
        <w:t>were DN by anti-</w:t>
      </w:r>
      <w:r w:rsidRPr="00F80032">
        <w:rPr>
          <w:rFonts w:ascii="Book Antiqua" w:hAnsi="Book Antiqua" w:cs="Times New Roman"/>
          <w:sz w:val="24"/>
          <w:szCs w:val="24"/>
        </w:rPr>
        <w:t>lambda ELISA compared to</w:t>
      </w:r>
      <w:r w:rsidR="00F0350D" w:rsidRPr="00F80032">
        <w:rPr>
          <w:rFonts w:ascii="Book Antiqua" w:hAnsi="Book Antiqua" w:cs="Times New Roman"/>
          <w:i/>
          <w:caps/>
          <w:sz w:val="24"/>
          <w:szCs w:val="24"/>
        </w:rPr>
        <w:t xml:space="preserve"> </w:t>
      </w:r>
      <w:r w:rsidRPr="00F80032">
        <w:rPr>
          <w:rFonts w:ascii="Book Antiqua" w:hAnsi="Book Antiqua" w:cs="Times New Roman"/>
          <w:sz w:val="24"/>
          <w:szCs w:val="24"/>
        </w:rPr>
        <w:t>40%</w:t>
      </w:r>
      <w:r w:rsidR="00B31175" w:rsidRPr="00F80032">
        <w:rPr>
          <w:rFonts w:ascii="Book Antiqua" w:hAnsi="Book Antiqua" w:cs="Times New Roman"/>
          <w:sz w:val="24"/>
          <w:szCs w:val="24"/>
        </w:rPr>
        <w:t xml:space="preserve"> with double antigen ELISA (</w:t>
      </w:r>
      <w:r w:rsidR="00F0350D" w:rsidRPr="00F80032">
        <w:rPr>
          <w:rFonts w:ascii="Book Antiqua" w:hAnsi="Book Antiqua" w:cs="Times New Roman"/>
          <w:i/>
          <w:caps/>
          <w:sz w:val="24"/>
          <w:szCs w:val="24"/>
        </w:rPr>
        <w:t xml:space="preserve">p &lt; </w:t>
      </w:r>
      <w:r w:rsidR="00B31175" w:rsidRPr="00F80032">
        <w:rPr>
          <w:rFonts w:ascii="Book Antiqua" w:hAnsi="Book Antiqua" w:cs="Times New Roman"/>
          <w:sz w:val="24"/>
          <w:szCs w:val="24"/>
        </w:rPr>
        <w:t>0.001, Fisher Exact t</w:t>
      </w:r>
      <w:r w:rsidRPr="00F80032">
        <w:rPr>
          <w:rFonts w:ascii="Book Antiqua" w:hAnsi="Book Antiqua" w:cs="Times New Roman"/>
          <w:sz w:val="24"/>
          <w:szCs w:val="24"/>
        </w:rPr>
        <w:t xml:space="preserve">est). </w:t>
      </w:r>
      <w:r w:rsidR="00B31175" w:rsidRPr="00F80032">
        <w:rPr>
          <w:rFonts w:ascii="Book Antiqua" w:hAnsi="Book Antiqua" w:cs="Times New Roman"/>
          <w:sz w:val="24"/>
          <w:szCs w:val="24"/>
        </w:rPr>
        <w:t xml:space="preserve">Re-testing with 1:10 dilution converted most DN results into IFX+ and /or ATI+ status. Patients with DN status had shorter survival free of </w:t>
      </w:r>
      <w:proofErr w:type="spellStart"/>
      <w:r w:rsidR="00B31175" w:rsidRPr="00F80032">
        <w:rPr>
          <w:rFonts w:ascii="Book Antiqua" w:hAnsi="Book Antiqua" w:cs="Times New Roman"/>
          <w:sz w:val="24"/>
          <w:szCs w:val="24"/>
        </w:rPr>
        <w:t>non transient</w:t>
      </w:r>
      <w:proofErr w:type="spellEnd"/>
      <w:r w:rsidR="00B31175" w:rsidRPr="00F80032">
        <w:rPr>
          <w:rFonts w:ascii="Book Antiqua" w:hAnsi="Book Antiqua" w:cs="Times New Roman"/>
          <w:sz w:val="24"/>
          <w:szCs w:val="24"/>
        </w:rPr>
        <w:t xml:space="preserve"> ATI compared with </w:t>
      </w:r>
      <w:r w:rsidR="00071436" w:rsidRPr="00F80032">
        <w:rPr>
          <w:rFonts w:ascii="Book Antiqua" w:hAnsi="Book Antiqua" w:cs="Times New Roman"/>
          <w:sz w:val="24"/>
          <w:szCs w:val="24"/>
        </w:rPr>
        <w:t>matched controls (log rank test</w:t>
      </w:r>
      <w:r w:rsidR="00B31175" w:rsidRPr="00F80032">
        <w:rPr>
          <w:rFonts w:ascii="Book Antiqua" w:hAnsi="Book Antiqua" w:cs="Times New Roman"/>
          <w:sz w:val="24"/>
          <w:szCs w:val="24"/>
        </w:rPr>
        <w:t xml:space="preserve">, </w:t>
      </w:r>
      <w:r w:rsidR="00F0350D" w:rsidRPr="00F80032">
        <w:rPr>
          <w:rFonts w:ascii="Book Antiqua" w:hAnsi="Book Antiqua" w:cs="Times New Roman"/>
          <w:i/>
          <w:caps/>
          <w:sz w:val="24"/>
          <w:szCs w:val="24"/>
        </w:rPr>
        <w:t xml:space="preserve">p &lt; </w:t>
      </w:r>
      <w:r w:rsidR="00B31175" w:rsidRPr="00F80032">
        <w:rPr>
          <w:rFonts w:ascii="Book Antiqua" w:hAnsi="Book Antiqua" w:cs="Times New Roman"/>
          <w:sz w:val="24"/>
          <w:szCs w:val="24"/>
        </w:rPr>
        <w:t xml:space="preserve">0.001). </w:t>
      </w:r>
    </w:p>
    <w:p w:rsidR="00071436" w:rsidRPr="00F80032" w:rsidRDefault="00071436" w:rsidP="004F172A">
      <w:pPr>
        <w:autoSpaceDE w:val="0"/>
        <w:autoSpaceDN w:val="0"/>
        <w:adjustRightInd w:val="0"/>
        <w:snapToGrid w:val="0"/>
        <w:spacing w:after="0" w:line="360" w:lineRule="auto"/>
        <w:jc w:val="both"/>
        <w:rPr>
          <w:rFonts w:ascii="Book Antiqua" w:hAnsi="Book Antiqua" w:cs="Times New Roman"/>
          <w:b/>
          <w:bCs/>
          <w:sz w:val="24"/>
          <w:szCs w:val="24"/>
          <w:lang w:eastAsia="zh-CN"/>
        </w:rPr>
      </w:pPr>
    </w:p>
    <w:p w:rsidR="00B31175" w:rsidRPr="00F80032" w:rsidRDefault="00C52A84" w:rsidP="004F172A">
      <w:pPr>
        <w:autoSpaceDE w:val="0"/>
        <w:autoSpaceDN w:val="0"/>
        <w:adjustRightInd w:val="0"/>
        <w:snapToGrid w:val="0"/>
        <w:spacing w:after="0" w:line="360" w:lineRule="auto"/>
        <w:jc w:val="both"/>
        <w:rPr>
          <w:rFonts w:ascii="Book Antiqua" w:hAnsi="Book Antiqua" w:cs="Times New Roman"/>
          <w:b/>
          <w:bCs/>
          <w:i/>
          <w:sz w:val="24"/>
          <w:szCs w:val="24"/>
        </w:rPr>
      </w:pPr>
      <w:r w:rsidRPr="00F80032">
        <w:rPr>
          <w:rFonts w:ascii="Book Antiqua" w:hAnsi="Book Antiqua" w:cs="Times New Roman"/>
          <w:b/>
          <w:bCs/>
          <w:i/>
          <w:sz w:val="24"/>
          <w:szCs w:val="24"/>
        </w:rPr>
        <w:t>Applications</w:t>
      </w:r>
    </w:p>
    <w:p w:rsidR="00C52A84" w:rsidRPr="00F80032" w:rsidRDefault="00C52A84" w:rsidP="004F172A">
      <w:pPr>
        <w:autoSpaceDE w:val="0"/>
        <w:autoSpaceDN w:val="0"/>
        <w:adjustRightInd w:val="0"/>
        <w:snapToGrid w:val="0"/>
        <w:spacing w:after="0" w:line="360" w:lineRule="auto"/>
        <w:jc w:val="both"/>
        <w:rPr>
          <w:rFonts w:ascii="Book Antiqua" w:hAnsi="Book Antiqua"/>
          <w:b/>
          <w:caps/>
          <w:sz w:val="24"/>
          <w:szCs w:val="24"/>
        </w:rPr>
      </w:pPr>
      <w:r w:rsidRPr="00F80032">
        <w:rPr>
          <w:rFonts w:ascii="Book Antiqua" w:hAnsi="Book Antiqua" w:cs="Times New Roman"/>
          <w:sz w:val="24"/>
          <w:szCs w:val="24"/>
        </w:rPr>
        <w:t>The type of assay employed influences the occurrence of the DN status. It is rarely observed when LOR patients' sera are analyzed by the sensitive anti-lambda assay, and in many cases it probably results from low-level immunogenicity rather than non-immunogenic mechanisms.</w:t>
      </w:r>
      <w:r w:rsidR="00F0350D" w:rsidRPr="00F80032">
        <w:rPr>
          <w:rFonts w:ascii="Book Antiqua" w:hAnsi="Book Antiqua" w:cs="Times New Roman"/>
          <w:i/>
          <w:caps/>
          <w:sz w:val="24"/>
          <w:szCs w:val="24"/>
        </w:rPr>
        <w:t xml:space="preserve"> </w:t>
      </w:r>
      <w:r w:rsidRPr="00F80032">
        <w:rPr>
          <w:rFonts w:ascii="Book Antiqua" w:hAnsi="Book Antiqua" w:cs="Times New Roman"/>
          <w:sz w:val="24"/>
          <w:szCs w:val="24"/>
        </w:rPr>
        <w:t xml:space="preserve">Future studies are required to better assess the immunological processes leading to the </w:t>
      </w:r>
      <w:r w:rsidRPr="00F80032">
        <w:rPr>
          <w:rFonts w:ascii="Book Antiqua" w:hAnsi="Book Antiqua" w:cs="Times New Roman"/>
          <w:sz w:val="24"/>
          <w:szCs w:val="24"/>
        </w:rPr>
        <w:lastRenderedPageBreak/>
        <w:t xml:space="preserve">absence of both drug and ATI, to investigate possible drug clearance pathways and to define appropriate interventions in these patients. </w:t>
      </w:r>
    </w:p>
    <w:p w:rsidR="00071436" w:rsidRPr="00F80032" w:rsidRDefault="00071436" w:rsidP="004F172A">
      <w:pPr>
        <w:autoSpaceDE w:val="0"/>
        <w:autoSpaceDN w:val="0"/>
        <w:adjustRightInd w:val="0"/>
        <w:snapToGrid w:val="0"/>
        <w:spacing w:after="0" w:line="360" w:lineRule="auto"/>
        <w:jc w:val="both"/>
        <w:rPr>
          <w:rFonts w:ascii="Book Antiqua" w:hAnsi="Book Antiqua" w:cs="Times New Roman"/>
          <w:b/>
          <w:bCs/>
          <w:sz w:val="24"/>
          <w:szCs w:val="24"/>
          <w:lang w:eastAsia="zh-CN"/>
        </w:rPr>
      </w:pPr>
    </w:p>
    <w:p w:rsidR="00C52A84" w:rsidRPr="00F80032" w:rsidRDefault="00C52A84" w:rsidP="004F172A">
      <w:pPr>
        <w:autoSpaceDE w:val="0"/>
        <w:autoSpaceDN w:val="0"/>
        <w:adjustRightInd w:val="0"/>
        <w:snapToGrid w:val="0"/>
        <w:spacing w:after="0" w:line="360" w:lineRule="auto"/>
        <w:jc w:val="both"/>
        <w:rPr>
          <w:rFonts w:ascii="Book Antiqua" w:hAnsi="Book Antiqua" w:cs="Times New Roman"/>
          <w:b/>
          <w:bCs/>
          <w:i/>
          <w:sz w:val="24"/>
          <w:szCs w:val="24"/>
        </w:rPr>
      </w:pPr>
      <w:r w:rsidRPr="00F80032">
        <w:rPr>
          <w:rFonts w:ascii="Book Antiqua" w:hAnsi="Book Antiqua" w:cs="Times New Roman"/>
          <w:b/>
          <w:bCs/>
          <w:i/>
          <w:sz w:val="24"/>
          <w:szCs w:val="24"/>
        </w:rPr>
        <w:t xml:space="preserve">Terminology </w:t>
      </w:r>
    </w:p>
    <w:p w:rsidR="003C0D96" w:rsidRPr="00F80032" w:rsidRDefault="00C52A84" w:rsidP="004F172A">
      <w:pPr>
        <w:autoSpaceDE w:val="0"/>
        <w:autoSpaceDN w:val="0"/>
        <w:adjustRightInd w:val="0"/>
        <w:snapToGrid w:val="0"/>
        <w:spacing w:after="0" w:line="360" w:lineRule="auto"/>
        <w:jc w:val="both"/>
        <w:rPr>
          <w:rFonts w:ascii="Book Antiqua" w:hAnsi="Book Antiqua" w:cs="Times New Roman"/>
          <w:sz w:val="24"/>
          <w:szCs w:val="24"/>
        </w:rPr>
      </w:pPr>
      <w:r w:rsidRPr="00F80032">
        <w:rPr>
          <w:rFonts w:ascii="Book Antiqua" w:hAnsi="Book Antiqua" w:cs="Times New Roman"/>
          <w:sz w:val="24"/>
          <w:szCs w:val="24"/>
        </w:rPr>
        <w:t xml:space="preserve">DN status: </w:t>
      </w:r>
      <w:r w:rsidRPr="00F80032">
        <w:rPr>
          <w:rFonts w:ascii="Book Antiqua" w:hAnsi="Book Antiqua" w:cs="Times New Roman"/>
          <w:caps/>
          <w:sz w:val="24"/>
          <w:szCs w:val="24"/>
        </w:rPr>
        <w:t>a</w:t>
      </w:r>
      <w:r w:rsidRPr="00F80032">
        <w:rPr>
          <w:rFonts w:ascii="Book Antiqua" w:hAnsi="Book Antiqua" w:cs="Times New Roman"/>
          <w:sz w:val="24"/>
          <w:szCs w:val="24"/>
        </w:rPr>
        <w:t xml:space="preserve"> serum sample which is negative b</w:t>
      </w:r>
      <w:r w:rsidR="003C0D96" w:rsidRPr="00F80032">
        <w:rPr>
          <w:rFonts w:ascii="Book Antiqua" w:hAnsi="Book Antiqua" w:cs="Times New Roman"/>
          <w:sz w:val="24"/>
          <w:szCs w:val="24"/>
        </w:rPr>
        <w:t xml:space="preserve">oth for infliximab and </w:t>
      </w:r>
      <w:r w:rsidRPr="00F80032">
        <w:rPr>
          <w:rFonts w:ascii="Book Antiqua" w:hAnsi="Book Antiqua" w:cs="Times New Roman"/>
          <w:sz w:val="24"/>
          <w:szCs w:val="24"/>
        </w:rPr>
        <w:t>ATI (IFX-ATI).</w:t>
      </w:r>
      <w:r w:rsidR="00071436" w:rsidRPr="00F80032">
        <w:rPr>
          <w:rFonts w:ascii="Book Antiqua" w:hAnsi="Book Antiqua" w:cs="Times New Roman"/>
          <w:i/>
          <w:caps/>
          <w:sz w:val="24"/>
          <w:szCs w:val="24"/>
        </w:rPr>
        <w:t xml:space="preserve"> </w:t>
      </w:r>
      <w:r w:rsidR="003C0D96" w:rsidRPr="00F80032">
        <w:rPr>
          <w:rFonts w:ascii="Book Antiqua" w:hAnsi="Book Antiqua" w:cs="Times New Roman"/>
          <w:sz w:val="24"/>
          <w:szCs w:val="24"/>
        </w:rPr>
        <w:t xml:space="preserve">Double antigen ELISA: </w:t>
      </w:r>
      <w:r w:rsidR="003C0D96" w:rsidRPr="00F80032">
        <w:rPr>
          <w:rFonts w:ascii="Book Antiqua" w:hAnsi="Book Antiqua" w:cs="Times New Roman"/>
          <w:caps/>
          <w:sz w:val="24"/>
          <w:szCs w:val="24"/>
        </w:rPr>
        <w:t>a</w:t>
      </w:r>
      <w:r w:rsidR="003C0D96" w:rsidRPr="00F80032">
        <w:rPr>
          <w:rFonts w:ascii="Book Antiqua" w:hAnsi="Book Antiqua" w:cs="Times New Roman"/>
          <w:sz w:val="24"/>
          <w:szCs w:val="24"/>
        </w:rPr>
        <w:t xml:space="preserve"> commercially available ELISA assay for the detection of ATI, which incorporates infliximab as the detection antibody.</w:t>
      </w:r>
      <w:r w:rsidR="00071436" w:rsidRPr="00F80032">
        <w:rPr>
          <w:rFonts w:ascii="Book Antiqua" w:hAnsi="Book Antiqua" w:cs="Times New Roman"/>
          <w:sz w:val="24"/>
          <w:szCs w:val="24"/>
        </w:rPr>
        <w:t xml:space="preserve"> </w:t>
      </w:r>
      <w:r w:rsidR="003C0D96" w:rsidRPr="00F80032">
        <w:rPr>
          <w:rFonts w:ascii="Book Antiqua" w:hAnsi="Book Antiqua" w:cs="Times New Roman"/>
          <w:sz w:val="24"/>
          <w:szCs w:val="24"/>
        </w:rPr>
        <w:t xml:space="preserve">Anti-lambda ELISA assay: </w:t>
      </w:r>
      <w:r w:rsidR="003C0D96" w:rsidRPr="00F80032">
        <w:rPr>
          <w:rFonts w:ascii="Book Antiqua" w:hAnsi="Book Antiqua" w:cs="Times New Roman"/>
          <w:caps/>
          <w:sz w:val="24"/>
          <w:szCs w:val="24"/>
        </w:rPr>
        <w:t>a</w:t>
      </w:r>
      <w:r w:rsidR="003C0D96" w:rsidRPr="00F80032">
        <w:rPr>
          <w:rFonts w:ascii="Book Antiqua" w:hAnsi="Book Antiqua" w:cs="Times New Roman"/>
          <w:sz w:val="24"/>
          <w:szCs w:val="24"/>
        </w:rPr>
        <w:t>n in-house developed ELISA assay for the detection of ATI, which incorporates anti-human λ chain as the detection antibody</w:t>
      </w:r>
      <w:r w:rsidR="00071436" w:rsidRPr="00F80032">
        <w:rPr>
          <w:rFonts w:ascii="Book Antiqua" w:hAnsi="Book Antiqua" w:cs="Times New Roman" w:hint="eastAsia"/>
          <w:sz w:val="24"/>
          <w:szCs w:val="24"/>
          <w:lang w:eastAsia="zh-CN"/>
        </w:rPr>
        <w:t xml:space="preserve">. </w:t>
      </w:r>
      <w:r w:rsidR="003C0D96" w:rsidRPr="00F80032">
        <w:rPr>
          <w:rFonts w:ascii="Book Antiqua" w:hAnsi="Book Antiqua" w:cs="Times New Roman"/>
          <w:sz w:val="24"/>
          <w:szCs w:val="24"/>
        </w:rPr>
        <w:t xml:space="preserve">LOR: </w:t>
      </w:r>
      <w:r w:rsidR="003C0D96" w:rsidRPr="00F80032">
        <w:rPr>
          <w:rFonts w:ascii="Book Antiqua" w:hAnsi="Book Antiqua" w:cs="Times New Roman"/>
          <w:caps/>
          <w:sz w:val="24"/>
          <w:szCs w:val="24"/>
        </w:rPr>
        <w:t>l</w:t>
      </w:r>
      <w:r w:rsidR="003C0D96" w:rsidRPr="00F80032">
        <w:rPr>
          <w:rFonts w:ascii="Book Antiqua" w:hAnsi="Book Antiqua" w:cs="Times New Roman"/>
          <w:sz w:val="24"/>
          <w:szCs w:val="24"/>
        </w:rPr>
        <w:t>oss of clinical response to infliximab therapy</w:t>
      </w:r>
      <w:r w:rsidR="00071436" w:rsidRPr="00F80032">
        <w:rPr>
          <w:rFonts w:ascii="Book Antiqua" w:hAnsi="Book Antiqua" w:cs="Times New Roman" w:hint="eastAsia"/>
          <w:sz w:val="24"/>
          <w:szCs w:val="24"/>
          <w:lang w:eastAsia="zh-CN"/>
        </w:rPr>
        <w:t>.</w:t>
      </w:r>
    </w:p>
    <w:p w:rsidR="00071436" w:rsidRPr="00F80032" w:rsidRDefault="00071436" w:rsidP="004F172A">
      <w:pPr>
        <w:adjustRightInd w:val="0"/>
        <w:snapToGrid w:val="0"/>
        <w:spacing w:after="0" w:line="360" w:lineRule="auto"/>
        <w:jc w:val="both"/>
        <w:rPr>
          <w:rFonts w:ascii="Book Antiqua" w:hAnsi="Book Antiqua"/>
          <w:b/>
          <w:caps/>
          <w:sz w:val="24"/>
          <w:szCs w:val="24"/>
          <w:lang w:eastAsia="zh-CN"/>
        </w:rPr>
      </w:pPr>
    </w:p>
    <w:p w:rsidR="003C0D96" w:rsidRPr="00F80032" w:rsidRDefault="00071436" w:rsidP="004F172A">
      <w:pPr>
        <w:adjustRightInd w:val="0"/>
        <w:snapToGrid w:val="0"/>
        <w:spacing w:after="0" w:line="360" w:lineRule="auto"/>
        <w:jc w:val="both"/>
        <w:rPr>
          <w:rFonts w:ascii="Book Antiqua" w:hAnsi="Book Antiqua"/>
          <w:b/>
          <w:i/>
          <w:sz w:val="24"/>
          <w:lang w:eastAsia="zh-CN"/>
        </w:rPr>
      </w:pPr>
      <w:r w:rsidRPr="00F80032">
        <w:rPr>
          <w:rFonts w:ascii="Book Antiqua" w:hAnsi="Book Antiqua"/>
          <w:b/>
          <w:i/>
          <w:sz w:val="24"/>
        </w:rPr>
        <w:t>Peer review</w:t>
      </w:r>
    </w:p>
    <w:p w:rsidR="00071436" w:rsidRPr="00F80032" w:rsidRDefault="005C2C0D" w:rsidP="004F172A">
      <w:pPr>
        <w:adjustRightInd w:val="0"/>
        <w:snapToGrid w:val="0"/>
        <w:spacing w:after="0" w:line="360" w:lineRule="auto"/>
        <w:jc w:val="both"/>
        <w:rPr>
          <w:rFonts w:ascii="Book Antiqua" w:hAnsi="Book Antiqua"/>
          <w:caps/>
          <w:sz w:val="24"/>
          <w:szCs w:val="24"/>
          <w:lang w:eastAsia="zh-CN"/>
        </w:rPr>
      </w:pPr>
      <w:r w:rsidRPr="00F80032">
        <w:rPr>
          <w:rFonts w:ascii="Book Antiqua" w:hAnsi="Book Antiqua"/>
          <w:sz w:val="24"/>
          <w:szCs w:val="24"/>
          <w:lang w:eastAsia="zh-CN"/>
        </w:rPr>
        <w:t xml:space="preserve">This manuscript evaluates the prevalence and clinical significance of </w:t>
      </w:r>
      <w:r w:rsidRPr="00F80032">
        <w:rPr>
          <w:rFonts w:ascii="Book Antiqua" w:hAnsi="Book Antiqua"/>
          <w:caps/>
          <w:sz w:val="24"/>
          <w:szCs w:val="24"/>
          <w:lang w:eastAsia="zh-CN"/>
        </w:rPr>
        <w:t>dn</w:t>
      </w:r>
      <w:r w:rsidRPr="00F80032">
        <w:rPr>
          <w:rFonts w:ascii="Book Antiqua" w:hAnsi="Book Antiqua"/>
          <w:sz w:val="24"/>
          <w:szCs w:val="24"/>
          <w:lang w:eastAsia="zh-CN"/>
        </w:rPr>
        <w:t xml:space="preserve"> status among infliximab-treated inflammatory bowel disease patients. </w:t>
      </w:r>
      <w:r w:rsidRPr="00F80032">
        <w:rPr>
          <w:rFonts w:ascii="Book Antiqua" w:hAnsi="Book Antiqua"/>
          <w:caps/>
          <w:sz w:val="24"/>
          <w:szCs w:val="24"/>
          <w:lang w:eastAsia="zh-CN"/>
        </w:rPr>
        <w:t>t</w:t>
      </w:r>
      <w:r w:rsidRPr="00F80032">
        <w:rPr>
          <w:rFonts w:ascii="Book Antiqua" w:hAnsi="Book Antiqua"/>
          <w:sz w:val="24"/>
          <w:szCs w:val="24"/>
          <w:lang w:eastAsia="zh-CN"/>
        </w:rPr>
        <w:t>he article is well written, and suitable to be published.</w:t>
      </w:r>
    </w:p>
    <w:p w:rsidR="005C2C0D" w:rsidRPr="00F80032" w:rsidRDefault="005C2C0D" w:rsidP="004F172A">
      <w:pPr>
        <w:adjustRightInd w:val="0"/>
        <w:snapToGrid w:val="0"/>
        <w:spacing w:after="0" w:line="360" w:lineRule="auto"/>
        <w:jc w:val="both"/>
        <w:rPr>
          <w:rFonts w:ascii="Book Antiqua" w:hAnsi="Book Antiqua"/>
          <w:b/>
          <w:caps/>
          <w:sz w:val="24"/>
          <w:szCs w:val="24"/>
          <w:lang w:eastAsia="zh-CN"/>
        </w:rPr>
      </w:pPr>
    </w:p>
    <w:p w:rsidR="0037164E" w:rsidRPr="00F80032" w:rsidRDefault="0037164E" w:rsidP="004F172A">
      <w:pPr>
        <w:adjustRightInd w:val="0"/>
        <w:snapToGrid w:val="0"/>
        <w:spacing w:after="0" w:line="360" w:lineRule="auto"/>
        <w:jc w:val="both"/>
        <w:rPr>
          <w:rFonts w:ascii="Book Antiqua" w:hAnsi="Book Antiqua"/>
          <w:sz w:val="21"/>
          <w:szCs w:val="24"/>
        </w:rPr>
      </w:pPr>
      <w:r w:rsidRPr="00F80032">
        <w:rPr>
          <w:rFonts w:ascii="Book Antiqua" w:hAnsi="Book Antiqua"/>
          <w:b/>
          <w:sz w:val="21"/>
          <w:szCs w:val="24"/>
        </w:rPr>
        <w:t xml:space="preserve">REFERENCES </w:t>
      </w:r>
    </w:p>
    <w:p w:rsidR="000A5666" w:rsidRPr="002A1AD0" w:rsidRDefault="000A5666" w:rsidP="004F172A">
      <w:pPr>
        <w:adjustRightInd w:val="0"/>
        <w:snapToGrid w:val="0"/>
        <w:spacing w:after="0" w:line="360" w:lineRule="auto"/>
        <w:jc w:val="both"/>
        <w:rPr>
          <w:rFonts w:ascii="Book Antiqua" w:eastAsia="宋体" w:hAnsi="Book Antiqua" w:cs="宋体"/>
          <w:color w:val="000000"/>
          <w:sz w:val="21"/>
          <w:szCs w:val="21"/>
        </w:rPr>
      </w:pPr>
      <w:r w:rsidRPr="002A1AD0">
        <w:rPr>
          <w:rFonts w:ascii="Book Antiqua" w:eastAsia="宋体" w:hAnsi="Book Antiqua" w:cs="宋体"/>
          <w:color w:val="000000"/>
          <w:sz w:val="21"/>
          <w:szCs w:val="21"/>
        </w:rPr>
        <w:t>1</w:t>
      </w:r>
      <w:r w:rsidRPr="00F80032">
        <w:rPr>
          <w:rFonts w:ascii="Book Antiqua" w:eastAsia="宋体" w:hAnsi="Book Antiqua" w:cs="宋体"/>
          <w:color w:val="000000"/>
          <w:sz w:val="21"/>
          <w:szCs w:val="21"/>
        </w:rPr>
        <w:t> </w:t>
      </w:r>
      <w:proofErr w:type="spellStart"/>
      <w:r w:rsidRPr="002A1AD0">
        <w:rPr>
          <w:rFonts w:ascii="Book Antiqua" w:eastAsia="宋体" w:hAnsi="Book Antiqua" w:cs="宋体"/>
          <w:b/>
          <w:bCs/>
          <w:color w:val="000000"/>
          <w:sz w:val="21"/>
          <w:szCs w:val="21"/>
        </w:rPr>
        <w:t>Hanauer</w:t>
      </w:r>
      <w:proofErr w:type="spellEnd"/>
      <w:r w:rsidRPr="002A1AD0">
        <w:rPr>
          <w:rFonts w:ascii="Book Antiqua" w:eastAsia="宋体" w:hAnsi="Book Antiqua" w:cs="宋体"/>
          <w:b/>
          <w:bCs/>
          <w:color w:val="000000"/>
          <w:sz w:val="21"/>
          <w:szCs w:val="21"/>
        </w:rPr>
        <w:t xml:space="preserve"> SB</w:t>
      </w:r>
      <w:r w:rsidRPr="002A1AD0">
        <w:rPr>
          <w:rFonts w:ascii="Book Antiqua" w:eastAsia="宋体" w:hAnsi="Book Antiqua" w:cs="宋体"/>
          <w:color w:val="000000"/>
          <w:sz w:val="21"/>
          <w:szCs w:val="21"/>
        </w:rPr>
        <w:t xml:space="preserve">, </w:t>
      </w:r>
      <w:proofErr w:type="spellStart"/>
      <w:r w:rsidRPr="002A1AD0">
        <w:rPr>
          <w:rFonts w:ascii="Book Antiqua" w:eastAsia="宋体" w:hAnsi="Book Antiqua" w:cs="宋体"/>
          <w:color w:val="000000"/>
          <w:sz w:val="21"/>
          <w:szCs w:val="21"/>
        </w:rPr>
        <w:t>Feagan</w:t>
      </w:r>
      <w:proofErr w:type="spellEnd"/>
      <w:r w:rsidRPr="002A1AD0">
        <w:rPr>
          <w:rFonts w:ascii="Book Antiqua" w:eastAsia="宋体" w:hAnsi="Book Antiqua" w:cs="宋体"/>
          <w:color w:val="000000"/>
          <w:sz w:val="21"/>
          <w:szCs w:val="21"/>
        </w:rPr>
        <w:t xml:space="preserve"> BG, Lichtenstein GR, Mayer LF, Schreiber S, </w:t>
      </w:r>
      <w:proofErr w:type="spellStart"/>
      <w:r w:rsidRPr="002A1AD0">
        <w:rPr>
          <w:rFonts w:ascii="Book Antiqua" w:eastAsia="宋体" w:hAnsi="Book Antiqua" w:cs="宋体"/>
          <w:color w:val="000000"/>
          <w:sz w:val="21"/>
          <w:szCs w:val="21"/>
        </w:rPr>
        <w:t>Colombel</w:t>
      </w:r>
      <w:proofErr w:type="spellEnd"/>
      <w:r w:rsidRPr="002A1AD0">
        <w:rPr>
          <w:rFonts w:ascii="Book Antiqua" w:eastAsia="宋体" w:hAnsi="Book Antiqua" w:cs="宋体"/>
          <w:color w:val="000000"/>
          <w:sz w:val="21"/>
          <w:szCs w:val="21"/>
        </w:rPr>
        <w:t xml:space="preserve"> JF, </w:t>
      </w:r>
      <w:proofErr w:type="spellStart"/>
      <w:r w:rsidRPr="002A1AD0">
        <w:rPr>
          <w:rFonts w:ascii="Book Antiqua" w:eastAsia="宋体" w:hAnsi="Book Antiqua" w:cs="宋体"/>
          <w:color w:val="000000"/>
          <w:sz w:val="21"/>
          <w:szCs w:val="21"/>
        </w:rPr>
        <w:t>Rachmilewitz</w:t>
      </w:r>
      <w:proofErr w:type="spellEnd"/>
      <w:r w:rsidRPr="002A1AD0">
        <w:rPr>
          <w:rFonts w:ascii="Book Antiqua" w:eastAsia="宋体" w:hAnsi="Book Antiqua" w:cs="宋体"/>
          <w:color w:val="000000"/>
          <w:sz w:val="21"/>
          <w:szCs w:val="21"/>
        </w:rPr>
        <w:t xml:space="preserve"> D, Wolf DC, Olson A, </w:t>
      </w:r>
      <w:proofErr w:type="spellStart"/>
      <w:r w:rsidRPr="002A1AD0">
        <w:rPr>
          <w:rFonts w:ascii="Book Antiqua" w:eastAsia="宋体" w:hAnsi="Book Antiqua" w:cs="宋体"/>
          <w:color w:val="000000"/>
          <w:sz w:val="21"/>
          <w:szCs w:val="21"/>
        </w:rPr>
        <w:t>Bao</w:t>
      </w:r>
      <w:proofErr w:type="spellEnd"/>
      <w:r w:rsidRPr="002A1AD0">
        <w:rPr>
          <w:rFonts w:ascii="Book Antiqua" w:eastAsia="宋体" w:hAnsi="Book Antiqua" w:cs="宋体"/>
          <w:color w:val="000000"/>
          <w:sz w:val="21"/>
          <w:szCs w:val="21"/>
        </w:rPr>
        <w:t xml:space="preserve"> W, </w:t>
      </w:r>
      <w:proofErr w:type="spellStart"/>
      <w:r w:rsidRPr="002A1AD0">
        <w:rPr>
          <w:rFonts w:ascii="Book Antiqua" w:eastAsia="宋体" w:hAnsi="Book Antiqua" w:cs="宋体"/>
          <w:color w:val="000000"/>
          <w:sz w:val="21"/>
          <w:szCs w:val="21"/>
        </w:rPr>
        <w:t>Rutgeerts</w:t>
      </w:r>
      <w:proofErr w:type="spellEnd"/>
      <w:r w:rsidRPr="002A1AD0">
        <w:rPr>
          <w:rFonts w:ascii="Book Antiqua" w:eastAsia="宋体" w:hAnsi="Book Antiqua" w:cs="宋体"/>
          <w:color w:val="000000"/>
          <w:sz w:val="21"/>
          <w:szCs w:val="21"/>
        </w:rPr>
        <w:t xml:space="preserve"> P</w:t>
      </w:r>
      <w:r w:rsidRPr="00F80032">
        <w:rPr>
          <w:rFonts w:ascii="Book Antiqua" w:eastAsia="宋体" w:hAnsi="Book Antiqua" w:cs="宋体"/>
          <w:color w:val="000000"/>
          <w:szCs w:val="21"/>
        </w:rPr>
        <w:t>; ACCENT I Study Group.</w:t>
      </w:r>
      <w:r w:rsidRPr="002A1AD0">
        <w:rPr>
          <w:rFonts w:ascii="Book Antiqua" w:eastAsia="宋体" w:hAnsi="Book Antiqua" w:cs="宋体"/>
          <w:color w:val="000000"/>
          <w:sz w:val="21"/>
          <w:szCs w:val="21"/>
        </w:rPr>
        <w:t xml:space="preserve"> Maintenance infliximab for Crohn's disease: the ACCENT I </w:t>
      </w:r>
      <w:proofErr w:type="spellStart"/>
      <w:r w:rsidRPr="002A1AD0">
        <w:rPr>
          <w:rFonts w:ascii="Book Antiqua" w:eastAsia="宋体" w:hAnsi="Book Antiqua" w:cs="宋体"/>
          <w:color w:val="000000"/>
          <w:sz w:val="21"/>
          <w:szCs w:val="21"/>
        </w:rPr>
        <w:t>randomised</w:t>
      </w:r>
      <w:proofErr w:type="spellEnd"/>
      <w:r w:rsidRPr="002A1AD0">
        <w:rPr>
          <w:rFonts w:ascii="Book Antiqua" w:eastAsia="宋体" w:hAnsi="Book Antiqua" w:cs="宋体"/>
          <w:color w:val="000000"/>
          <w:sz w:val="21"/>
          <w:szCs w:val="21"/>
        </w:rPr>
        <w:t xml:space="preserve"> trial.</w:t>
      </w:r>
      <w:r w:rsidRPr="00F80032">
        <w:rPr>
          <w:rFonts w:ascii="Book Antiqua" w:eastAsia="宋体" w:hAnsi="Book Antiqua" w:cs="宋体"/>
          <w:color w:val="000000"/>
          <w:sz w:val="21"/>
          <w:szCs w:val="21"/>
        </w:rPr>
        <w:t> </w:t>
      </w:r>
      <w:r w:rsidRPr="002A1AD0">
        <w:rPr>
          <w:rFonts w:ascii="Book Antiqua" w:eastAsia="宋体" w:hAnsi="Book Antiqua" w:cs="宋体"/>
          <w:i/>
          <w:iCs/>
          <w:color w:val="000000"/>
          <w:sz w:val="21"/>
          <w:szCs w:val="21"/>
        </w:rPr>
        <w:t>Lancet</w:t>
      </w:r>
      <w:r w:rsidRPr="00F80032">
        <w:rPr>
          <w:rFonts w:ascii="Book Antiqua" w:eastAsia="宋体" w:hAnsi="Book Antiqua" w:cs="宋体"/>
          <w:color w:val="000000"/>
          <w:sz w:val="21"/>
          <w:szCs w:val="21"/>
        </w:rPr>
        <w:t> </w:t>
      </w:r>
      <w:r w:rsidRPr="002A1AD0">
        <w:rPr>
          <w:rFonts w:ascii="Book Antiqua" w:eastAsia="宋体" w:hAnsi="Book Antiqua" w:cs="宋体"/>
          <w:color w:val="000000"/>
          <w:sz w:val="21"/>
          <w:szCs w:val="21"/>
        </w:rPr>
        <w:t>2002;</w:t>
      </w:r>
      <w:r w:rsidRPr="00F80032">
        <w:rPr>
          <w:rFonts w:ascii="Book Antiqua" w:eastAsia="宋体" w:hAnsi="Book Antiqua" w:cs="宋体"/>
          <w:color w:val="000000"/>
          <w:sz w:val="21"/>
          <w:szCs w:val="21"/>
        </w:rPr>
        <w:t> </w:t>
      </w:r>
      <w:r w:rsidRPr="002A1AD0">
        <w:rPr>
          <w:rFonts w:ascii="Book Antiqua" w:eastAsia="宋体" w:hAnsi="Book Antiqua" w:cs="宋体"/>
          <w:b/>
          <w:bCs/>
          <w:color w:val="000000"/>
          <w:sz w:val="21"/>
          <w:szCs w:val="21"/>
        </w:rPr>
        <w:t>359</w:t>
      </w:r>
      <w:r w:rsidRPr="002A1AD0">
        <w:rPr>
          <w:rFonts w:ascii="Book Antiqua" w:eastAsia="宋体" w:hAnsi="Book Antiqua" w:cs="宋体"/>
          <w:color w:val="000000"/>
          <w:sz w:val="21"/>
          <w:szCs w:val="21"/>
        </w:rPr>
        <w:t>: 1541-1549 [PMID: 12047962 DOI: 10.1016/S0140-6736(02)08512-4]</w:t>
      </w:r>
    </w:p>
    <w:p w:rsidR="000A5666" w:rsidRPr="002A1AD0" w:rsidRDefault="000A5666" w:rsidP="004F172A">
      <w:pPr>
        <w:adjustRightInd w:val="0"/>
        <w:snapToGrid w:val="0"/>
        <w:spacing w:after="0" w:line="360" w:lineRule="auto"/>
        <w:jc w:val="both"/>
        <w:rPr>
          <w:rFonts w:ascii="Book Antiqua" w:eastAsia="宋体" w:hAnsi="Book Antiqua" w:cs="宋体"/>
          <w:color w:val="000000"/>
          <w:sz w:val="21"/>
          <w:szCs w:val="21"/>
        </w:rPr>
      </w:pPr>
      <w:r w:rsidRPr="002A1AD0">
        <w:rPr>
          <w:rFonts w:ascii="Book Antiqua" w:eastAsia="宋体" w:hAnsi="Book Antiqua" w:cs="宋体"/>
          <w:color w:val="000000"/>
          <w:sz w:val="21"/>
          <w:szCs w:val="21"/>
        </w:rPr>
        <w:t>2</w:t>
      </w:r>
      <w:r w:rsidRPr="00F80032">
        <w:rPr>
          <w:rFonts w:ascii="Book Antiqua" w:eastAsia="宋体" w:hAnsi="Book Antiqua" w:cs="宋体"/>
          <w:color w:val="000000"/>
          <w:sz w:val="21"/>
          <w:szCs w:val="21"/>
        </w:rPr>
        <w:t> </w:t>
      </w:r>
      <w:r w:rsidRPr="002A1AD0">
        <w:rPr>
          <w:rFonts w:ascii="Book Antiqua" w:eastAsia="宋体" w:hAnsi="Book Antiqua" w:cs="宋体"/>
          <w:b/>
          <w:bCs/>
          <w:color w:val="000000"/>
          <w:sz w:val="21"/>
          <w:szCs w:val="21"/>
        </w:rPr>
        <w:t>Sands BE</w:t>
      </w:r>
      <w:r w:rsidRPr="002A1AD0">
        <w:rPr>
          <w:rFonts w:ascii="Book Antiqua" w:eastAsia="宋体" w:hAnsi="Book Antiqua" w:cs="宋体"/>
          <w:color w:val="000000"/>
          <w:sz w:val="21"/>
          <w:szCs w:val="21"/>
        </w:rPr>
        <w:t xml:space="preserve">, Anderson FH, Bernstein CN, </w:t>
      </w:r>
      <w:proofErr w:type="spellStart"/>
      <w:r w:rsidRPr="002A1AD0">
        <w:rPr>
          <w:rFonts w:ascii="Book Antiqua" w:eastAsia="宋体" w:hAnsi="Book Antiqua" w:cs="宋体"/>
          <w:color w:val="000000"/>
          <w:sz w:val="21"/>
          <w:szCs w:val="21"/>
        </w:rPr>
        <w:t>Chey</w:t>
      </w:r>
      <w:proofErr w:type="spellEnd"/>
      <w:r w:rsidRPr="002A1AD0">
        <w:rPr>
          <w:rFonts w:ascii="Book Antiqua" w:eastAsia="宋体" w:hAnsi="Book Antiqua" w:cs="宋体"/>
          <w:color w:val="000000"/>
          <w:sz w:val="21"/>
          <w:szCs w:val="21"/>
        </w:rPr>
        <w:t xml:space="preserve"> WY, </w:t>
      </w:r>
      <w:proofErr w:type="spellStart"/>
      <w:r w:rsidRPr="002A1AD0">
        <w:rPr>
          <w:rFonts w:ascii="Book Antiqua" w:eastAsia="宋体" w:hAnsi="Book Antiqua" w:cs="宋体"/>
          <w:color w:val="000000"/>
          <w:sz w:val="21"/>
          <w:szCs w:val="21"/>
        </w:rPr>
        <w:t>Feagan</w:t>
      </w:r>
      <w:proofErr w:type="spellEnd"/>
      <w:r w:rsidRPr="002A1AD0">
        <w:rPr>
          <w:rFonts w:ascii="Book Antiqua" w:eastAsia="宋体" w:hAnsi="Book Antiqua" w:cs="宋体"/>
          <w:color w:val="000000"/>
          <w:sz w:val="21"/>
          <w:szCs w:val="21"/>
        </w:rPr>
        <w:t xml:space="preserve"> BG, </w:t>
      </w:r>
      <w:proofErr w:type="spellStart"/>
      <w:r w:rsidRPr="002A1AD0">
        <w:rPr>
          <w:rFonts w:ascii="Book Antiqua" w:eastAsia="宋体" w:hAnsi="Book Antiqua" w:cs="宋体"/>
          <w:color w:val="000000"/>
          <w:sz w:val="21"/>
          <w:szCs w:val="21"/>
        </w:rPr>
        <w:t>Fedorak</w:t>
      </w:r>
      <w:proofErr w:type="spellEnd"/>
      <w:r w:rsidRPr="002A1AD0">
        <w:rPr>
          <w:rFonts w:ascii="Book Antiqua" w:eastAsia="宋体" w:hAnsi="Book Antiqua" w:cs="宋体"/>
          <w:color w:val="000000"/>
          <w:sz w:val="21"/>
          <w:szCs w:val="21"/>
        </w:rPr>
        <w:t xml:space="preserve"> RN, </w:t>
      </w:r>
      <w:proofErr w:type="spellStart"/>
      <w:r w:rsidRPr="002A1AD0">
        <w:rPr>
          <w:rFonts w:ascii="Book Antiqua" w:eastAsia="宋体" w:hAnsi="Book Antiqua" w:cs="宋体"/>
          <w:color w:val="000000"/>
          <w:sz w:val="21"/>
          <w:szCs w:val="21"/>
        </w:rPr>
        <w:t>Kamm</w:t>
      </w:r>
      <w:proofErr w:type="spellEnd"/>
      <w:r w:rsidRPr="002A1AD0">
        <w:rPr>
          <w:rFonts w:ascii="Book Antiqua" w:eastAsia="宋体" w:hAnsi="Book Antiqua" w:cs="宋体"/>
          <w:color w:val="000000"/>
          <w:sz w:val="21"/>
          <w:szCs w:val="21"/>
        </w:rPr>
        <w:t xml:space="preserve"> MA, </w:t>
      </w:r>
      <w:proofErr w:type="spellStart"/>
      <w:r w:rsidRPr="002A1AD0">
        <w:rPr>
          <w:rFonts w:ascii="Book Antiqua" w:eastAsia="宋体" w:hAnsi="Book Antiqua" w:cs="宋体"/>
          <w:color w:val="000000"/>
          <w:sz w:val="21"/>
          <w:szCs w:val="21"/>
        </w:rPr>
        <w:t>Korzenik</w:t>
      </w:r>
      <w:proofErr w:type="spellEnd"/>
      <w:r w:rsidRPr="002A1AD0">
        <w:rPr>
          <w:rFonts w:ascii="Book Antiqua" w:eastAsia="宋体" w:hAnsi="Book Antiqua" w:cs="宋体"/>
          <w:color w:val="000000"/>
          <w:sz w:val="21"/>
          <w:szCs w:val="21"/>
        </w:rPr>
        <w:t xml:space="preserve"> JR, </w:t>
      </w:r>
      <w:proofErr w:type="spellStart"/>
      <w:r w:rsidRPr="002A1AD0">
        <w:rPr>
          <w:rFonts w:ascii="Book Antiqua" w:eastAsia="宋体" w:hAnsi="Book Antiqua" w:cs="宋体"/>
          <w:color w:val="000000"/>
          <w:sz w:val="21"/>
          <w:szCs w:val="21"/>
        </w:rPr>
        <w:t>Lashner</w:t>
      </w:r>
      <w:proofErr w:type="spellEnd"/>
      <w:r w:rsidRPr="002A1AD0">
        <w:rPr>
          <w:rFonts w:ascii="Book Antiqua" w:eastAsia="宋体" w:hAnsi="Book Antiqua" w:cs="宋体"/>
          <w:color w:val="000000"/>
          <w:sz w:val="21"/>
          <w:szCs w:val="21"/>
        </w:rPr>
        <w:t xml:space="preserve"> BA, </w:t>
      </w:r>
      <w:proofErr w:type="spellStart"/>
      <w:r w:rsidRPr="002A1AD0">
        <w:rPr>
          <w:rFonts w:ascii="Book Antiqua" w:eastAsia="宋体" w:hAnsi="Book Antiqua" w:cs="宋体"/>
          <w:color w:val="000000"/>
          <w:sz w:val="21"/>
          <w:szCs w:val="21"/>
        </w:rPr>
        <w:t>Onken</w:t>
      </w:r>
      <w:proofErr w:type="spellEnd"/>
      <w:r w:rsidRPr="002A1AD0">
        <w:rPr>
          <w:rFonts w:ascii="Book Antiqua" w:eastAsia="宋体" w:hAnsi="Book Antiqua" w:cs="宋体"/>
          <w:color w:val="000000"/>
          <w:sz w:val="21"/>
          <w:szCs w:val="21"/>
        </w:rPr>
        <w:t xml:space="preserve"> JE, </w:t>
      </w:r>
      <w:proofErr w:type="spellStart"/>
      <w:r w:rsidRPr="002A1AD0">
        <w:rPr>
          <w:rFonts w:ascii="Book Antiqua" w:eastAsia="宋体" w:hAnsi="Book Antiqua" w:cs="宋体"/>
          <w:color w:val="000000"/>
          <w:sz w:val="21"/>
          <w:szCs w:val="21"/>
        </w:rPr>
        <w:t>Rachmilewitz</w:t>
      </w:r>
      <w:proofErr w:type="spellEnd"/>
      <w:r w:rsidRPr="002A1AD0">
        <w:rPr>
          <w:rFonts w:ascii="Book Antiqua" w:eastAsia="宋体" w:hAnsi="Book Antiqua" w:cs="宋体"/>
          <w:color w:val="000000"/>
          <w:sz w:val="21"/>
          <w:szCs w:val="21"/>
        </w:rPr>
        <w:t xml:space="preserve"> D, </w:t>
      </w:r>
      <w:proofErr w:type="spellStart"/>
      <w:r w:rsidRPr="002A1AD0">
        <w:rPr>
          <w:rFonts w:ascii="Book Antiqua" w:eastAsia="宋体" w:hAnsi="Book Antiqua" w:cs="宋体"/>
          <w:color w:val="000000"/>
          <w:sz w:val="21"/>
          <w:szCs w:val="21"/>
        </w:rPr>
        <w:t>Rutgeerts</w:t>
      </w:r>
      <w:proofErr w:type="spellEnd"/>
      <w:r w:rsidRPr="002A1AD0">
        <w:rPr>
          <w:rFonts w:ascii="Book Antiqua" w:eastAsia="宋体" w:hAnsi="Book Antiqua" w:cs="宋体"/>
          <w:color w:val="000000"/>
          <w:sz w:val="21"/>
          <w:szCs w:val="21"/>
        </w:rPr>
        <w:t xml:space="preserve"> P, Wild G, Wolf DC, </w:t>
      </w:r>
      <w:proofErr w:type="spellStart"/>
      <w:r w:rsidRPr="002A1AD0">
        <w:rPr>
          <w:rFonts w:ascii="Book Antiqua" w:eastAsia="宋体" w:hAnsi="Book Antiqua" w:cs="宋体"/>
          <w:color w:val="000000"/>
          <w:sz w:val="21"/>
          <w:szCs w:val="21"/>
        </w:rPr>
        <w:t>Marsters</w:t>
      </w:r>
      <w:proofErr w:type="spellEnd"/>
      <w:r w:rsidRPr="002A1AD0">
        <w:rPr>
          <w:rFonts w:ascii="Book Antiqua" w:eastAsia="宋体" w:hAnsi="Book Antiqua" w:cs="宋体"/>
          <w:color w:val="000000"/>
          <w:sz w:val="21"/>
          <w:szCs w:val="21"/>
        </w:rPr>
        <w:t xml:space="preserve"> PA, Travers SB, Blank MA, van Deventer SJ. </w:t>
      </w:r>
      <w:proofErr w:type="gramStart"/>
      <w:r w:rsidRPr="002A1AD0">
        <w:rPr>
          <w:rFonts w:ascii="Book Antiqua" w:eastAsia="宋体" w:hAnsi="Book Antiqua" w:cs="宋体"/>
          <w:color w:val="000000"/>
          <w:sz w:val="21"/>
          <w:szCs w:val="21"/>
        </w:rPr>
        <w:t xml:space="preserve">Infliximab maintenance therapy for </w:t>
      </w:r>
      <w:proofErr w:type="spellStart"/>
      <w:r w:rsidRPr="002A1AD0">
        <w:rPr>
          <w:rFonts w:ascii="Book Antiqua" w:eastAsia="宋体" w:hAnsi="Book Antiqua" w:cs="宋体"/>
          <w:color w:val="000000"/>
          <w:sz w:val="21"/>
          <w:szCs w:val="21"/>
        </w:rPr>
        <w:t>fistulizing</w:t>
      </w:r>
      <w:proofErr w:type="spellEnd"/>
      <w:r w:rsidRPr="002A1AD0">
        <w:rPr>
          <w:rFonts w:ascii="Book Antiqua" w:eastAsia="宋体" w:hAnsi="Book Antiqua" w:cs="宋体"/>
          <w:color w:val="000000"/>
          <w:sz w:val="21"/>
          <w:szCs w:val="21"/>
        </w:rPr>
        <w:t xml:space="preserve"> </w:t>
      </w:r>
      <w:proofErr w:type="spellStart"/>
      <w:r w:rsidRPr="002A1AD0">
        <w:rPr>
          <w:rFonts w:ascii="Book Antiqua" w:eastAsia="宋体" w:hAnsi="Book Antiqua" w:cs="宋体"/>
          <w:color w:val="000000"/>
          <w:sz w:val="21"/>
          <w:szCs w:val="21"/>
        </w:rPr>
        <w:t>Crohn's</w:t>
      </w:r>
      <w:proofErr w:type="spellEnd"/>
      <w:r w:rsidRPr="002A1AD0">
        <w:rPr>
          <w:rFonts w:ascii="Book Antiqua" w:eastAsia="宋体" w:hAnsi="Book Antiqua" w:cs="宋体"/>
          <w:color w:val="000000"/>
          <w:sz w:val="21"/>
          <w:szCs w:val="21"/>
        </w:rPr>
        <w:t xml:space="preserve"> disease.</w:t>
      </w:r>
      <w:proofErr w:type="gramEnd"/>
      <w:r w:rsidRPr="00F80032">
        <w:rPr>
          <w:rFonts w:ascii="Book Antiqua" w:eastAsia="宋体" w:hAnsi="Book Antiqua" w:cs="宋体"/>
          <w:color w:val="000000"/>
          <w:sz w:val="21"/>
          <w:szCs w:val="21"/>
        </w:rPr>
        <w:t> </w:t>
      </w:r>
      <w:r w:rsidRPr="002A1AD0">
        <w:rPr>
          <w:rFonts w:ascii="Book Antiqua" w:eastAsia="宋体" w:hAnsi="Book Antiqua" w:cs="宋体"/>
          <w:i/>
          <w:iCs/>
          <w:color w:val="000000"/>
          <w:sz w:val="21"/>
          <w:szCs w:val="21"/>
        </w:rPr>
        <w:t xml:space="preserve">N </w:t>
      </w:r>
      <w:proofErr w:type="spellStart"/>
      <w:r w:rsidRPr="002A1AD0">
        <w:rPr>
          <w:rFonts w:ascii="Book Antiqua" w:eastAsia="宋体" w:hAnsi="Book Antiqua" w:cs="宋体"/>
          <w:i/>
          <w:iCs/>
          <w:color w:val="000000"/>
          <w:sz w:val="21"/>
          <w:szCs w:val="21"/>
        </w:rPr>
        <w:t>Engl</w:t>
      </w:r>
      <w:proofErr w:type="spellEnd"/>
      <w:r w:rsidRPr="002A1AD0">
        <w:rPr>
          <w:rFonts w:ascii="Book Antiqua" w:eastAsia="宋体" w:hAnsi="Book Antiqua" w:cs="宋体"/>
          <w:i/>
          <w:iCs/>
          <w:color w:val="000000"/>
          <w:sz w:val="21"/>
          <w:szCs w:val="21"/>
        </w:rPr>
        <w:t xml:space="preserve"> J Med</w:t>
      </w:r>
      <w:r w:rsidRPr="00F80032">
        <w:rPr>
          <w:rFonts w:ascii="Book Antiqua" w:eastAsia="宋体" w:hAnsi="Book Antiqua" w:cs="宋体"/>
          <w:color w:val="000000"/>
          <w:sz w:val="21"/>
          <w:szCs w:val="21"/>
        </w:rPr>
        <w:t> </w:t>
      </w:r>
      <w:r w:rsidRPr="002A1AD0">
        <w:rPr>
          <w:rFonts w:ascii="Book Antiqua" w:eastAsia="宋体" w:hAnsi="Book Antiqua" w:cs="宋体"/>
          <w:color w:val="000000"/>
          <w:sz w:val="21"/>
          <w:szCs w:val="21"/>
        </w:rPr>
        <w:t>2004;</w:t>
      </w:r>
      <w:r w:rsidRPr="00F80032">
        <w:rPr>
          <w:rFonts w:ascii="Book Antiqua" w:eastAsia="宋体" w:hAnsi="Book Antiqua" w:cs="宋体"/>
          <w:color w:val="000000"/>
          <w:sz w:val="21"/>
          <w:szCs w:val="21"/>
        </w:rPr>
        <w:t> </w:t>
      </w:r>
      <w:r w:rsidRPr="002A1AD0">
        <w:rPr>
          <w:rFonts w:ascii="Book Antiqua" w:eastAsia="宋体" w:hAnsi="Book Antiqua" w:cs="宋体"/>
          <w:b/>
          <w:bCs/>
          <w:color w:val="000000"/>
          <w:sz w:val="21"/>
          <w:szCs w:val="21"/>
        </w:rPr>
        <w:t>350</w:t>
      </w:r>
      <w:r w:rsidRPr="002A1AD0">
        <w:rPr>
          <w:rFonts w:ascii="Book Antiqua" w:eastAsia="宋体" w:hAnsi="Book Antiqua" w:cs="宋体"/>
          <w:color w:val="000000"/>
          <w:sz w:val="21"/>
          <w:szCs w:val="21"/>
        </w:rPr>
        <w:t>: 876-885 [PMID: 14985485 DOI: 10.1056/NEJMoa030815]</w:t>
      </w:r>
    </w:p>
    <w:p w:rsidR="000A5666" w:rsidRPr="002A1AD0" w:rsidRDefault="000A5666" w:rsidP="004F172A">
      <w:pPr>
        <w:adjustRightInd w:val="0"/>
        <w:snapToGrid w:val="0"/>
        <w:spacing w:after="0" w:line="360" w:lineRule="auto"/>
        <w:jc w:val="both"/>
        <w:rPr>
          <w:rFonts w:ascii="Book Antiqua" w:eastAsia="宋体" w:hAnsi="Book Antiqua" w:cs="宋体"/>
          <w:color w:val="000000"/>
          <w:sz w:val="21"/>
          <w:szCs w:val="21"/>
        </w:rPr>
      </w:pPr>
      <w:r w:rsidRPr="002A1AD0">
        <w:rPr>
          <w:rFonts w:ascii="Book Antiqua" w:eastAsia="宋体" w:hAnsi="Book Antiqua" w:cs="宋体"/>
          <w:color w:val="000000"/>
          <w:sz w:val="21"/>
          <w:szCs w:val="21"/>
        </w:rPr>
        <w:t>3</w:t>
      </w:r>
      <w:r w:rsidRPr="00F80032">
        <w:rPr>
          <w:rFonts w:ascii="Book Antiqua" w:eastAsia="宋体" w:hAnsi="Book Antiqua" w:cs="宋体"/>
          <w:color w:val="000000"/>
          <w:sz w:val="21"/>
          <w:szCs w:val="21"/>
        </w:rPr>
        <w:t> </w:t>
      </w:r>
      <w:proofErr w:type="spellStart"/>
      <w:r w:rsidRPr="002A1AD0">
        <w:rPr>
          <w:rFonts w:ascii="Book Antiqua" w:eastAsia="宋体" w:hAnsi="Book Antiqua" w:cs="宋体"/>
          <w:b/>
          <w:bCs/>
          <w:color w:val="000000"/>
          <w:sz w:val="21"/>
          <w:szCs w:val="21"/>
        </w:rPr>
        <w:t>Rutgeerts</w:t>
      </w:r>
      <w:proofErr w:type="spellEnd"/>
      <w:r w:rsidRPr="002A1AD0">
        <w:rPr>
          <w:rFonts w:ascii="Book Antiqua" w:eastAsia="宋体" w:hAnsi="Book Antiqua" w:cs="宋体"/>
          <w:b/>
          <w:bCs/>
          <w:color w:val="000000"/>
          <w:sz w:val="21"/>
          <w:szCs w:val="21"/>
        </w:rPr>
        <w:t xml:space="preserve"> P</w:t>
      </w:r>
      <w:r w:rsidRPr="002A1AD0">
        <w:rPr>
          <w:rFonts w:ascii="Book Antiqua" w:eastAsia="宋体" w:hAnsi="Book Antiqua" w:cs="宋体"/>
          <w:color w:val="000000"/>
          <w:sz w:val="21"/>
          <w:szCs w:val="21"/>
        </w:rPr>
        <w:t xml:space="preserve">, </w:t>
      </w:r>
      <w:proofErr w:type="spellStart"/>
      <w:r w:rsidRPr="002A1AD0">
        <w:rPr>
          <w:rFonts w:ascii="Book Antiqua" w:eastAsia="宋体" w:hAnsi="Book Antiqua" w:cs="宋体"/>
          <w:color w:val="000000"/>
          <w:sz w:val="21"/>
          <w:szCs w:val="21"/>
        </w:rPr>
        <w:t>Sandborn</w:t>
      </w:r>
      <w:proofErr w:type="spellEnd"/>
      <w:r w:rsidRPr="002A1AD0">
        <w:rPr>
          <w:rFonts w:ascii="Book Antiqua" w:eastAsia="宋体" w:hAnsi="Book Antiqua" w:cs="宋体"/>
          <w:color w:val="000000"/>
          <w:sz w:val="21"/>
          <w:szCs w:val="21"/>
        </w:rPr>
        <w:t xml:space="preserve"> WJ, </w:t>
      </w:r>
      <w:proofErr w:type="spellStart"/>
      <w:r w:rsidRPr="002A1AD0">
        <w:rPr>
          <w:rFonts w:ascii="Book Antiqua" w:eastAsia="宋体" w:hAnsi="Book Antiqua" w:cs="宋体"/>
          <w:color w:val="000000"/>
          <w:sz w:val="21"/>
          <w:szCs w:val="21"/>
        </w:rPr>
        <w:t>Feagan</w:t>
      </w:r>
      <w:proofErr w:type="spellEnd"/>
      <w:r w:rsidRPr="002A1AD0">
        <w:rPr>
          <w:rFonts w:ascii="Book Antiqua" w:eastAsia="宋体" w:hAnsi="Book Antiqua" w:cs="宋体"/>
          <w:color w:val="000000"/>
          <w:sz w:val="21"/>
          <w:szCs w:val="21"/>
        </w:rPr>
        <w:t xml:space="preserve"> BG, </w:t>
      </w:r>
      <w:proofErr w:type="spellStart"/>
      <w:r w:rsidRPr="002A1AD0">
        <w:rPr>
          <w:rFonts w:ascii="Book Antiqua" w:eastAsia="宋体" w:hAnsi="Book Antiqua" w:cs="宋体"/>
          <w:color w:val="000000"/>
          <w:sz w:val="21"/>
          <w:szCs w:val="21"/>
        </w:rPr>
        <w:t>Reinisch</w:t>
      </w:r>
      <w:proofErr w:type="spellEnd"/>
      <w:r w:rsidRPr="002A1AD0">
        <w:rPr>
          <w:rFonts w:ascii="Book Antiqua" w:eastAsia="宋体" w:hAnsi="Book Antiqua" w:cs="宋体"/>
          <w:color w:val="000000"/>
          <w:sz w:val="21"/>
          <w:szCs w:val="21"/>
        </w:rPr>
        <w:t xml:space="preserve"> W, Olson A, </w:t>
      </w:r>
      <w:proofErr w:type="spellStart"/>
      <w:r w:rsidRPr="002A1AD0">
        <w:rPr>
          <w:rFonts w:ascii="Book Antiqua" w:eastAsia="宋体" w:hAnsi="Book Antiqua" w:cs="宋体"/>
          <w:color w:val="000000"/>
          <w:sz w:val="21"/>
          <w:szCs w:val="21"/>
        </w:rPr>
        <w:t>Johanns</w:t>
      </w:r>
      <w:proofErr w:type="spellEnd"/>
      <w:r w:rsidRPr="002A1AD0">
        <w:rPr>
          <w:rFonts w:ascii="Book Antiqua" w:eastAsia="宋体" w:hAnsi="Book Antiqua" w:cs="宋体"/>
          <w:color w:val="000000"/>
          <w:sz w:val="21"/>
          <w:szCs w:val="21"/>
        </w:rPr>
        <w:t xml:space="preserve"> J, Travers S, </w:t>
      </w:r>
      <w:proofErr w:type="spellStart"/>
      <w:r w:rsidRPr="002A1AD0">
        <w:rPr>
          <w:rFonts w:ascii="Book Antiqua" w:eastAsia="宋体" w:hAnsi="Book Antiqua" w:cs="宋体"/>
          <w:color w:val="000000"/>
          <w:sz w:val="21"/>
          <w:szCs w:val="21"/>
        </w:rPr>
        <w:t>Rachmilewitz</w:t>
      </w:r>
      <w:proofErr w:type="spellEnd"/>
      <w:r w:rsidRPr="002A1AD0">
        <w:rPr>
          <w:rFonts w:ascii="Book Antiqua" w:eastAsia="宋体" w:hAnsi="Book Antiqua" w:cs="宋体"/>
          <w:color w:val="000000"/>
          <w:sz w:val="21"/>
          <w:szCs w:val="21"/>
        </w:rPr>
        <w:t xml:space="preserve"> D, </w:t>
      </w:r>
      <w:proofErr w:type="spellStart"/>
      <w:r w:rsidRPr="002A1AD0">
        <w:rPr>
          <w:rFonts w:ascii="Book Antiqua" w:eastAsia="宋体" w:hAnsi="Book Antiqua" w:cs="宋体"/>
          <w:color w:val="000000"/>
          <w:sz w:val="21"/>
          <w:szCs w:val="21"/>
        </w:rPr>
        <w:t>Hanauer</w:t>
      </w:r>
      <w:proofErr w:type="spellEnd"/>
      <w:r w:rsidRPr="002A1AD0">
        <w:rPr>
          <w:rFonts w:ascii="Book Antiqua" w:eastAsia="宋体" w:hAnsi="Book Antiqua" w:cs="宋体"/>
          <w:color w:val="000000"/>
          <w:sz w:val="21"/>
          <w:szCs w:val="21"/>
        </w:rPr>
        <w:t xml:space="preserve"> SB, Lichtenstein GR, de Villiers WJ, Present D, Sands BE, </w:t>
      </w:r>
      <w:proofErr w:type="spellStart"/>
      <w:r w:rsidRPr="002A1AD0">
        <w:rPr>
          <w:rFonts w:ascii="Book Antiqua" w:eastAsia="宋体" w:hAnsi="Book Antiqua" w:cs="宋体"/>
          <w:color w:val="000000"/>
          <w:sz w:val="21"/>
          <w:szCs w:val="21"/>
        </w:rPr>
        <w:t>Colombel</w:t>
      </w:r>
      <w:proofErr w:type="spellEnd"/>
      <w:r w:rsidRPr="002A1AD0">
        <w:rPr>
          <w:rFonts w:ascii="Book Antiqua" w:eastAsia="宋体" w:hAnsi="Book Antiqua" w:cs="宋体"/>
          <w:color w:val="000000"/>
          <w:sz w:val="21"/>
          <w:szCs w:val="21"/>
        </w:rPr>
        <w:t xml:space="preserve"> JF. </w:t>
      </w:r>
      <w:proofErr w:type="gramStart"/>
      <w:r w:rsidRPr="002A1AD0">
        <w:rPr>
          <w:rFonts w:ascii="Book Antiqua" w:eastAsia="宋体" w:hAnsi="Book Antiqua" w:cs="宋体"/>
          <w:color w:val="000000"/>
          <w:sz w:val="21"/>
          <w:szCs w:val="21"/>
        </w:rPr>
        <w:t>Infliximab for induction and maintenance therapy for ulcerative colitis.</w:t>
      </w:r>
      <w:proofErr w:type="gramEnd"/>
      <w:r w:rsidRPr="00F80032">
        <w:rPr>
          <w:rFonts w:ascii="Book Antiqua" w:eastAsia="宋体" w:hAnsi="Book Antiqua" w:cs="宋体"/>
          <w:color w:val="000000"/>
          <w:sz w:val="21"/>
          <w:szCs w:val="21"/>
        </w:rPr>
        <w:t> </w:t>
      </w:r>
      <w:r w:rsidRPr="002A1AD0">
        <w:rPr>
          <w:rFonts w:ascii="Book Antiqua" w:eastAsia="宋体" w:hAnsi="Book Antiqua" w:cs="宋体"/>
          <w:i/>
          <w:iCs/>
          <w:color w:val="000000"/>
          <w:sz w:val="21"/>
          <w:szCs w:val="21"/>
        </w:rPr>
        <w:t xml:space="preserve">N </w:t>
      </w:r>
      <w:proofErr w:type="spellStart"/>
      <w:r w:rsidRPr="002A1AD0">
        <w:rPr>
          <w:rFonts w:ascii="Book Antiqua" w:eastAsia="宋体" w:hAnsi="Book Antiqua" w:cs="宋体"/>
          <w:i/>
          <w:iCs/>
          <w:color w:val="000000"/>
          <w:sz w:val="21"/>
          <w:szCs w:val="21"/>
        </w:rPr>
        <w:t>Engl</w:t>
      </w:r>
      <w:proofErr w:type="spellEnd"/>
      <w:r w:rsidRPr="002A1AD0">
        <w:rPr>
          <w:rFonts w:ascii="Book Antiqua" w:eastAsia="宋体" w:hAnsi="Book Antiqua" w:cs="宋体"/>
          <w:i/>
          <w:iCs/>
          <w:color w:val="000000"/>
          <w:sz w:val="21"/>
          <w:szCs w:val="21"/>
        </w:rPr>
        <w:t xml:space="preserve"> J Med</w:t>
      </w:r>
      <w:r w:rsidRPr="00F80032">
        <w:rPr>
          <w:rFonts w:ascii="Book Antiqua" w:eastAsia="宋体" w:hAnsi="Book Antiqua" w:cs="宋体"/>
          <w:color w:val="000000"/>
          <w:sz w:val="21"/>
          <w:szCs w:val="21"/>
        </w:rPr>
        <w:t> </w:t>
      </w:r>
      <w:r w:rsidRPr="002A1AD0">
        <w:rPr>
          <w:rFonts w:ascii="Book Antiqua" w:eastAsia="宋体" w:hAnsi="Book Antiqua" w:cs="宋体"/>
          <w:color w:val="000000"/>
          <w:sz w:val="21"/>
          <w:szCs w:val="21"/>
        </w:rPr>
        <w:t>2005;</w:t>
      </w:r>
      <w:r w:rsidRPr="00F80032">
        <w:rPr>
          <w:rFonts w:ascii="Book Antiqua" w:eastAsia="宋体" w:hAnsi="Book Antiqua" w:cs="宋体"/>
          <w:color w:val="000000"/>
          <w:sz w:val="21"/>
          <w:szCs w:val="21"/>
        </w:rPr>
        <w:t> </w:t>
      </w:r>
      <w:r w:rsidRPr="002A1AD0">
        <w:rPr>
          <w:rFonts w:ascii="Book Antiqua" w:eastAsia="宋体" w:hAnsi="Book Antiqua" w:cs="宋体"/>
          <w:b/>
          <w:bCs/>
          <w:color w:val="000000"/>
          <w:sz w:val="21"/>
          <w:szCs w:val="21"/>
        </w:rPr>
        <w:t>353</w:t>
      </w:r>
      <w:r w:rsidRPr="002A1AD0">
        <w:rPr>
          <w:rFonts w:ascii="Book Antiqua" w:eastAsia="宋体" w:hAnsi="Book Antiqua" w:cs="宋体"/>
          <w:color w:val="000000"/>
          <w:sz w:val="21"/>
          <w:szCs w:val="21"/>
        </w:rPr>
        <w:t>: 2462-2476 [PMID: 16339095 DOI: 10.1056/NEJMoa050516]</w:t>
      </w:r>
    </w:p>
    <w:p w:rsidR="000A5666" w:rsidRPr="002A1AD0" w:rsidRDefault="000A5666" w:rsidP="004F172A">
      <w:pPr>
        <w:adjustRightInd w:val="0"/>
        <w:snapToGrid w:val="0"/>
        <w:spacing w:after="0" w:line="360" w:lineRule="auto"/>
        <w:jc w:val="both"/>
        <w:rPr>
          <w:rFonts w:ascii="Book Antiqua" w:eastAsia="宋体" w:hAnsi="Book Antiqua" w:cs="宋体"/>
          <w:color w:val="000000"/>
          <w:sz w:val="21"/>
          <w:szCs w:val="21"/>
        </w:rPr>
      </w:pPr>
      <w:r w:rsidRPr="002A1AD0">
        <w:rPr>
          <w:rFonts w:ascii="Book Antiqua" w:eastAsia="宋体" w:hAnsi="Book Antiqua" w:cs="宋体"/>
          <w:color w:val="000000"/>
          <w:sz w:val="21"/>
          <w:szCs w:val="21"/>
        </w:rPr>
        <w:t>4</w:t>
      </w:r>
      <w:r w:rsidRPr="00F80032">
        <w:rPr>
          <w:rFonts w:ascii="Book Antiqua" w:eastAsia="宋体" w:hAnsi="Book Antiqua" w:cs="宋体"/>
          <w:color w:val="000000"/>
          <w:sz w:val="21"/>
          <w:szCs w:val="21"/>
        </w:rPr>
        <w:t> </w:t>
      </w:r>
      <w:proofErr w:type="spellStart"/>
      <w:r w:rsidRPr="002A1AD0">
        <w:rPr>
          <w:rFonts w:ascii="Book Antiqua" w:eastAsia="宋体" w:hAnsi="Book Antiqua" w:cs="宋体"/>
          <w:b/>
          <w:bCs/>
          <w:color w:val="000000"/>
          <w:sz w:val="21"/>
          <w:szCs w:val="21"/>
        </w:rPr>
        <w:t>Kopylov</w:t>
      </w:r>
      <w:proofErr w:type="spellEnd"/>
      <w:r w:rsidRPr="002A1AD0">
        <w:rPr>
          <w:rFonts w:ascii="Book Antiqua" w:eastAsia="宋体" w:hAnsi="Book Antiqua" w:cs="宋体"/>
          <w:b/>
          <w:bCs/>
          <w:color w:val="000000"/>
          <w:sz w:val="21"/>
          <w:szCs w:val="21"/>
        </w:rPr>
        <w:t xml:space="preserve"> U</w:t>
      </w:r>
      <w:r w:rsidRPr="002A1AD0">
        <w:rPr>
          <w:rFonts w:ascii="Book Antiqua" w:eastAsia="宋体" w:hAnsi="Book Antiqua" w:cs="宋体"/>
          <w:color w:val="000000"/>
          <w:sz w:val="21"/>
          <w:szCs w:val="21"/>
        </w:rPr>
        <w:t xml:space="preserve">, </w:t>
      </w:r>
      <w:proofErr w:type="spellStart"/>
      <w:r w:rsidRPr="002A1AD0">
        <w:rPr>
          <w:rFonts w:ascii="Book Antiqua" w:eastAsia="宋体" w:hAnsi="Book Antiqua" w:cs="宋体"/>
          <w:color w:val="000000"/>
          <w:sz w:val="21"/>
          <w:szCs w:val="21"/>
        </w:rPr>
        <w:t>Mantzaris</w:t>
      </w:r>
      <w:proofErr w:type="spellEnd"/>
      <w:r w:rsidRPr="002A1AD0">
        <w:rPr>
          <w:rFonts w:ascii="Book Antiqua" w:eastAsia="宋体" w:hAnsi="Book Antiqua" w:cs="宋体"/>
          <w:color w:val="000000"/>
          <w:sz w:val="21"/>
          <w:szCs w:val="21"/>
        </w:rPr>
        <w:t xml:space="preserve"> GJ, </w:t>
      </w:r>
      <w:proofErr w:type="spellStart"/>
      <w:r w:rsidRPr="002A1AD0">
        <w:rPr>
          <w:rFonts w:ascii="Book Antiqua" w:eastAsia="宋体" w:hAnsi="Book Antiqua" w:cs="宋体"/>
          <w:color w:val="000000"/>
          <w:sz w:val="21"/>
          <w:szCs w:val="21"/>
        </w:rPr>
        <w:t>Katsanos</w:t>
      </w:r>
      <w:proofErr w:type="spellEnd"/>
      <w:r w:rsidRPr="002A1AD0">
        <w:rPr>
          <w:rFonts w:ascii="Book Antiqua" w:eastAsia="宋体" w:hAnsi="Book Antiqua" w:cs="宋体"/>
          <w:color w:val="000000"/>
          <w:sz w:val="21"/>
          <w:szCs w:val="21"/>
        </w:rPr>
        <w:t xml:space="preserve"> KH, </w:t>
      </w:r>
      <w:proofErr w:type="spellStart"/>
      <w:r w:rsidRPr="002A1AD0">
        <w:rPr>
          <w:rFonts w:ascii="Book Antiqua" w:eastAsia="宋体" w:hAnsi="Book Antiqua" w:cs="宋体"/>
          <w:color w:val="000000"/>
          <w:sz w:val="21"/>
          <w:szCs w:val="21"/>
        </w:rPr>
        <w:t>Reenaers</w:t>
      </w:r>
      <w:proofErr w:type="spellEnd"/>
      <w:r w:rsidRPr="002A1AD0">
        <w:rPr>
          <w:rFonts w:ascii="Book Antiqua" w:eastAsia="宋体" w:hAnsi="Book Antiqua" w:cs="宋体"/>
          <w:color w:val="000000"/>
          <w:sz w:val="21"/>
          <w:szCs w:val="21"/>
        </w:rPr>
        <w:t xml:space="preserve"> C, </w:t>
      </w:r>
      <w:proofErr w:type="spellStart"/>
      <w:r w:rsidRPr="002A1AD0">
        <w:rPr>
          <w:rFonts w:ascii="Book Antiqua" w:eastAsia="宋体" w:hAnsi="Book Antiqua" w:cs="宋体"/>
          <w:color w:val="000000"/>
          <w:sz w:val="21"/>
          <w:szCs w:val="21"/>
        </w:rPr>
        <w:t>Ellul</w:t>
      </w:r>
      <w:proofErr w:type="spellEnd"/>
      <w:r w:rsidRPr="002A1AD0">
        <w:rPr>
          <w:rFonts w:ascii="Book Antiqua" w:eastAsia="宋体" w:hAnsi="Book Antiqua" w:cs="宋体"/>
          <w:color w:val="000000"/>
          <w:sz w:val="21"/>
          <w:szCs w:val="21"/>
        </w:rPr>
        <w:t xml:space="preserve"> P, </w:t>
      </w:r>
      <w:proofErr w:type="spellStart"/>
      <w:r w:rsidRPr="002A1AD0">
        <w:rPr>
          <w:rFonts w:ascii="Book Antiqua" w:eastAsia="宋体" w:hAnsi="Book Antiqua" w:cs="宋体"/>
          <w:color w:val="000000"/>
          <w:sz w:val="21"/>
          <w:szCs w:val="21"/>
        </w:rPr>
        <w:t>Rahier</w:t>
      </w:r>
      <w:proofErr w:type="spellEnd"/>
      <w:r w:rsidRPr="002A1AD0">
        <w:rPr>
          <w:rFonts w:ascii="Book Antiqua" w:eastAsia="宋体" w:hAnsi="Book Antiqua" w:cs="宋体"/>
          <w:color w:val="000000"/>
          <w:sz w:val="21"/>
          <w:szCs w:val="21"/>
        </w:rPr>
        <w:t xml:space="preserve"> JF, Israeli E, </w:t>
      </w:r>
      <w:proofErr w:type="spellStart"/>
      <w:r w:rsidRPr="002A1AD0">
        <w:rPr>
          <w:rFonts w:ascii="Book Antiqua" w:eastAsia="宋体" w:hAnsi="Book Antiqua" w:cs="宋体"/>
          <w:color w:val="000000"/>
          <w:sz w:val="21"/>
          <w:szCs w:val="21"/>
        </w:rPr>
        <w:t>Lakatos</w:t>
      </w:r>
      <w:proofErr w:type="spellEnd"/>
      <w:r w:rsidRPr="002A1AD0">
        <w:rPr>
          <w:rFonts w:ascii="Book Antiqua" w:eastAsia="宋体" w:hAnsi="Book Antiqua" w:cs="宋体"/>
          <w:color w:val="000000"/>
          <w:sz w:val="21"/>
          <w:szCs w:val="21"/>
        </w:rPr>
        <w:t xml:space="preserve"> PL, </w:t>
      </w:r>
      <w:proofErr w:type="spellStart"/>
      <w:r w:rsidRPr="002A1AD0">
        <w:rPr>
          <w:rFonts w:ascii="Book Antiqua" w:eastAsia="宋体" w:hAnsi="Book Antiqua" w:cs="宋体"/>
          <w:color w:val="000000"/>
          <w:sz w:val="21"/>
          <w:szCs w:val="21"/>
        </w:rPr>
        <w:t>Fiorino</w:t>
      </w:r>
      <w:proofErr w:type="spellEnd"/>
      <w:r w:rsidRPr="002A1AD0">
        <w:rPr>
          <w:rFonts w:ascii="Book Antiqua" w:eastAsia="宋体" w:hAnsi="Book Antiqua" w:cs="宋体"/>
          <w:color w:val="000000"/>
          <w:sz w:val="21"/>
          <w:szCs w:val="21"/>
        </w:rPr>
        <w:t xml:space="preserve"> G, </w:t>
      </w:r>
      <w:proofErr w:type="spellStart"/>
      <w:r w:rsidRPr="002A1AD0">
        <w:rPr>
          <w:rFonts w:ascii="Book Antiqua" w:eastAsia="宋体" w:hAnsi="Book Antiqua" w:cs="宋体"/>
          <w:color w:val="000000"/>
          <w:sz w:val="21"/>
          <w:szCs w:val="21"/>
        </w:rPr>
        <w:t>Cesarini</w:t>
      </w:r>
      <w:proofErr w:type="spellEnd"/>
      <w:r w:rsidRPr="002A1AD0">
        <w:rPr>
          <w:rFonts w:ascii="Book Antiqua" w:eastAsia="宋体" w:hAnsi="Book Antiqua" w:cs="宋体"/>
          <w:color w:val="000000"/>
          <w:sz w:val="21"/>
          <w:szCs w:val="21"/>
        </w:rPr>
        <w:t xml:space="preserve"> M, </w:t>
      </w:r>
      <w:proofErr w:type="spellStart"/>
      <w:r w:rsidRPr="002A1AD0">
        <w:rPr>
          <w:rFonts w:ascii="Book Antiqua" w:eastAsia="宋体" w:hAnsi="Book Antiqua" w:cs="宋体"/>
          <w:color w:val="000000"/>
          <w:sz w:val="21"/>
          <w:szCs w:val="21"/>
        </w:rPr>
        <w:t>Tsianos</w:t>
      </w:r>
      <w:proofErr w:type="spellEnd"/>
      <w:r w:rsidRPr="002A1AD0">
        <w:rPr>
          <w:rFonts w:ascii="Book Antiqua" w:eastAsia="宋体" w:hAnsi="Book Antiqua" w:cs="宋体"/>
          <w:color w:val="000000"/>
          <w:sz w:val="21"/>
          <w:szCs w:val="21"/>
        </w:rPr>
        <w:t xml:space="preserve"> EV, Louis E, Ben-</w:t>
      </w:r>
      <w:proofErr w:type="spellStart"/>
      <w:r w:rsidRPr="002A1AD0">
        <w:rPr>
          <w:rFonts w:ascii="Book Antiqua" w:eastAsia="宋体" w:hAnsi="Book Antiqua" w:cs="宋体"/>
          <w:color w:val="000000"/>
          <w:sz w:val="21"/>
          <w:szCs w:val="21"/>
        </w:rPr>
        <w:t>Horin</w:t>
      </w:r>
      <w:proofErr w:type="spellEnd"/>
      <w:r w:rsidRPr="002A1AD0">
        <w:rPr>
          <w:rFonts w:ascii="Book Antiqua" w:eastAsia="宋体" w:hAnsi="Book Antiqua" w:cs="宋体"/>
          <w:color w:val="000000"/>
          <w:sz w:val="21"/>
          <w:szCs w:val="21"/>
        </w:rPr>
        <w:t xml:space="preserve"> S. The efficacy of shortening the dosing interval to once every six weeks in Crohn's patients losing </w:t>
      </w:r>
      <w:r w:rsidRPr="002A1AD0">
        <w:rPr>
          <w:rFonts w:ascii="Book Antiqua" w:eastAsia="宋体" w:hAnsi="Book Antiqua" w:cs="宋体"/>
          <w:color w:val="000000"/>
          <w:sz w:val="21"/>
          <w:szCs w:val="21"/>
        </w:rPr>
        <w:lastRenderedPageBreak/>
        <w:t>response to maintenance dose of infliximab.</w:t>
      </w:r>
      <w:r w:rsidRPr="00F80032">
        <w:rPr>
          <w:rFonts w:ascii="Book Antiqua" w:eastAsia="宋体" w:hAnsi="Book Antiqua" w:cs="宋体"/>
          <w:color w:val="000000"/>
          <w:sz w:val="21"/>
          <w:szCs w:val="21"/>
        </w:rPr>
        <w:t> </w:t>
      </w:r>
      <w:r w:rsidRPr="002A1AD0">
        <w:rPr>
          <w:rFonts w:ascii="Book Antiqua" w:eastAsia="宋体" w:hAnsi="Book Antiqua" w:cs="宋体"/>
          <w:i/>
          <w:iCs/>
          <w:color w:val="000000"/>
          <w:sz w:val="21"/>
          <w:szCs w:val="21"/>
        </w:rPr>
        <w:t xml:space="preserve">Aliment </w:t>
      </w:r>
      <w:proofErr w:type="spellStart"/>
      <w:r w:rsidRPr="002A1AD0">
        <w:rPr>
          <w:rFonts w:ascii="Book Antiqua" w:eastAsia="宋体" w:hAnsi="Book Antiqua" w:cs="宋体"/>
          <w:i/>
          <w:iCs/>
          <w:color w:val="000000"/>
          <w:sz w:val="21"/>
          <w:szCs w:val="21"/>
        </w:rPr>
        <w:t>Pharmacol</w:t>
      </w:r>
      <w:proofErr w:type="spellEnd"/>
      <w:r w:rsidRPr="002A1AD0">
        <w:rPr>
          <w:rFonts w:ascii="Book Antiqua" w:eastAsia="宋体" w:hAnsi="Book Antiqua" w:cs="宋体"/>
          <w:i/>
          <w:iCs/>
          <w:color w:val="000000"/>
          <w:sz w:val="21"/>
          <w:szCs w:val="21"/>
        </w:rPr>
        <w:t xml:space="preserve"> </w:t>
      </w:r>
      <w:proofErr w:type="spellStart"/>
      <w:r w:rsidRPr="002A1AD0">
        <w:rPr>
          <w:rFonts w:ascii="Book Antiqua" w:eastAsia="宋体" w:hAnsi="Book Antiqua" w:cs="宋体"/>
          <w:i/>
          <w:iCs/>
          <w:color w:val="000000"/>
          <w:sz w:val="21"/>
          <w:szCs w:val="21"/>
        </w:rPr>
        <w:t>Ther</w:t>
      </w:r>
      <w:proofErr w:type="spellEnd"/>
      <w:r w:rsidRPr="00F80032">
        <w:rPr>
          <w:rFonts w:ascii="Book Antiqua" w:eastAsia="宋体" w:hAnsi="Book Antiqua" w:cs="宋体"/>
          <w:color w:val="000000"/>
          <w:sz w:val="21"/>
          <w:szCs w:val="21"/>
        </w:rPr>
        <w:t> </w:t>
      </w:r>
      <w:r w:rsidRPr="002A1AD0">
        <w:rPr>
          <w:rFonts w:ascii="Book Antiqua" w:eastAsia="宋体" w:hAnsi="Book Antiqua" w:cs="宋体"/>
          <w:color w:val="000000"/>
          <w:sz w:val="21"/>
          <w:szCs w:val="21"/>
        </w:rPr>
        <w:t>2011;</w:t>
      </w:r>
      <w:r w:rsidRPr="00F80032">
        <w:rPr>
          <w:rFonts w:ascii="Book Antiqua" w:eastAsia="宋体" w:hAnsi="Book Antiqua" w:cs="宋体"/>
          <w:color w:val="000000"/>
          <w:sz w:val="21"/>
          <w:szCs w:val="21"/>
        </w:rPr>
        <w:t> </w:t>
      </w:r>
      <w:r w:rsidRPr="002A1AD0">
        <w:rPr>
          <w:rFonts w:ascii="Book Antiqua" w:eastAsia="宋体" w:hAnsi="Book Antiqua" w:cs="宋体"/>
          <w:b/>
          <w:bCs/>
          <w:color w:val="000000"/>
          <w:sz w:val="21"/>
          <w:szCs w:val="21"/>
        </w:rPr>
        <w:t>33</w:t>
      </w:r>
      <w:r w:rsidRPr="002A1AD0">
        <w:rPr>
          <w:rFonts w:ascii="Book Antiqua" w:eastAsia="宋体" w:hAnsi="Book Antiqua" w:cs="宋体"/>
          <w:color w:val="000000"/>
          <w:sz w:val="21"/>
          <w:szCs w:val="21"/>
        </w:rPr>
        <w:t>: 349-357 [PMID: 21118397 DOI: 10.1111/j.1365-2036.2010]</w:t>
      </w:r>
    </w:p>
    <w:p w:rsidR="000A5666" w:rsidRPr="002A1AD0" w:rsidRDefault="000A5666" w:rsidP="004F172A">
      <w:pPr>
        <w:adjustRightInd w:val="0"/>
        <w:snapToGrid w:val="0"/>
        <w:spacing w:after="0" w:line="360" w:lineRule="auto"/>
        <w:jc w:val="both"/>
        <w:rPr>
          <w:rFonts w:ascii="Book Antiqua" w:eastAsia="宋体" w:hAnsi="Book Antiqua" w:cs="宋体"/>
          <w:color w:val="000000"/>
          <w:sz w:val="21"/>
          <w:szCs w:val="21"/>
        </w:rPr>
      </w:pPr>
      <w:r w:rsidRPr="002A1AD0">
        <w:rPr>
          <w:rFonts w:ascii="Book Antiqua" w:eastAsia="宋体" w:hAnsi="Book Antiqua" w:cs="宋体"/>
          <w:color w:val="000000"/>
          <w:sz w:val="21"/>
          <w:szCs w:val="21"/>
        </w:rPr>
        <w:t>5</w:t>
      </w:r>
      <w:r w:rsidRPr="00F80032">
        <w:rPr>
          <w:rFonts w:ascii="Book Antiqua" w:eastAsia="宋体" w:hAnsi="Book Antiqua" w:cs="宋体"/>
          <w:color w:val="000000"/>
          <w:sz w:val="21"/>
          <w:szCs w:val="21"/>
        </w:rPr>
        <w:t> </w:t>
      </w:r>
      <w:r w:rsidRPr="002A1AD0">
        <w:rPr>
          <w:rFonts w:ascii="Book Antiqua" w:eastAsia="宋体" w:hAnsi="Book Antiqua" w:cs="宋体"/>
          <w:b/>
          <w:bCs/>
          <w:color w:val="000000"/>
          <w:sz w:val="21"/>
          <w:szCs w:val="21"/>
        </w:rPr>
        <w:t>Ben-</w:t>
      </w:r>
      <w:proofErr w:type="spellStart"/>
      <w:r w:rsidRPr="002A1AD0">
        <w:rPr>
          <w:rFonts w:ascii="Book Antiqua" w:eastAsia="宋体" w:hAnsi="Book Antiqua" w:cs="宋体"/>
          <w:b/>
          <w:bCs/>
          <w:color w:val="000000"/>
          <w:sz w:val="21"/>
          <w:szCs w:val="21"/>
        </w:rPr>
        <w:t>Horin</w:t>
      </w:r>
      <w:proofErr w:type="spellEnd"/>
      <w:r w:rsidRPr="002A1AD0">
        <w:rPr>
          <w:rFonts w:ascii="Book Antiqua" w:eastAsia="宋体" w:hAnsi="Book Antiqua" w:cs="宋体"/>
          <w:b/>
          <w:bCs/>
          <w:color w:val="000000"/>
          <w:sz w:val="21"/>
          <w:szCs w:val="21"/>
        </w:rPr>
        <w:t xml:space="preserve"> S</w:t>
      </w:r>
      <w:r w:rsidRPr="002A1AD0">
        <w:rPr>
          <w:rFonts w:ascii="Book Antiqua" w:eastAsia="宋体" w:hAnsi="Book Antiqua" w:cs="宋体"/>
          <w:color w:val="000000"/>
          <w:sz w:val="21"/>
          <w:szCs w:val="21"/>
        </w:rPr>
        <w:t xml:space="preserve">, </w:t>
      </w:r>
      <w:proofErr w:type="spellStart"/>
      <w:r w:rsidRPr="002A1AD0">
        <w:rPr>
          <w:rFonts w:ascii="Book Antiqua" w:eastAsia="宋体" w:hAnsi="Book Antiqua" w:cs="宋体"/>
          <w:color w:val="000000"/>
          <w:sz w:val="21"/>
          <w:szCs w:val="21"/>
        </w:rPr>
        <w:t>Chowers</w:t>
      </w:r>
      <w:proofErr w:type="spellEnd"/>
      <w:r w:rsidRPr="002A1AD0">
        <w:rPr>
          <w:rFonts w:ascii="Book Antiqua" w:eastAsia="宋体" w:hAnsi="Book Antiqua" w:cs="宋体"/>
          <w:color w:val="000000"/>
          <w:sz w:val="21"/>
          <w:szCs w:val="21"/>
        </w:rPr>
        <w:t xml:space="preserve"> Y. Review article: loss of response to anti-TNF treatments in Crohn's disease.</w:t>
      </w:r>
      <w:r w:rsidRPr="00F80032">
        <w:rPr>
          <w:rFonts w:ascii="Book Antiqua" w:eastAsia="宋体" w:hAnsi="Book Antiqua" w:cs="宋体"/>
          <w:color w:val="000000"/>
          <w:sz w:val="21"/>
          <w:szCs w:val="21"/>
        </w:rPr>
        <w:t> </w:t>
      </w:r>
      <w:r w:rsidRPr="002A1AD0">
        <w:rPr>
          <w:rFonts w:ascii="Book Antiqua" w:eastAsia="宋体" w:hAnsi="Book Antiqua" w:cs="宋体"/>
          <w:i/>
          <w:iCs/>
          <w:color w:val="000000"/>
          <w:sz w:val="21"/>
          <w:szCs w:val="21"/>
        </w:rPr>
        <w:t xml:space="preserve">Aliment </w:t>
      </w:r>
      <w:proofErr w:type="spellStart"/>
      <w:r w:rsidRPr="002A1AD0">
        <w:rPr>
          <w:rFonts w:ascii="Book Antiqua" w:eastAsia="宋体" w:hAnsi="Book Antiqua" w:cs="宋体"/>
          <w:i/>
          <w:iCs/>
          <w:color w:val="000000"/>
          <w:sz w:val="21"/>
          <w:szCs w:val="21"/>
        </w:rPr>
        <w:t>Pharmacol</w:t>
      </w:r>
      <w:proofErr w:type="spellEnd"/>
      <w:r w:rsidRPr="002A1AD0">
        <w:rPr>
          <w:rFonts w:ascii="Book Antiqua" w:eastAsia="宋体" w:hAnsi="Book Antiqua" w:cs="宋体"/>
          <w:i/>
          <w:iCs/>
          <w:color w:val="000000"/>
          <w:sz w:val="21"/>
          <w:szCs w:val="21"/>
        </w:rPr>
        <w:t xml:space="preserve"> </w:t>
      </w:r>
      <w:proofErr w:type="spellStart"/>
      <w:r w:rsidRPr="002A1AD0">
        <w:rPr>
          <w:rFonts w:ascii="Book Antiqua" w:eastAsia="宋体" w:hAnsi="Book Antiqua" w:cs="宋体"/>
          <w:i/>
          <w:iCs/>
          <w:color w:val="000000"/>
          <w:sz w:val="21"/>
          <w:szCs w:val="21"/>
        </w:rPr>
        <w:t>Ther</w:t>
      </w:r>
      <w:proofErr w:type="spellEnd"/>
      <w:r w:rsidRPr="00F80032">
        <w:rPr>
          <w:rFonts w:ascii="Book Antiqua" w:eastAsia="宋体" w:hAnsi="Book Antiqua" w:cs="宋体"/>
          <w:color w:val="000000"/>
          <w:sz w:val="21"/>
          <w:szCs w:val="21"/>
        </w:rPr>
        <w:t> </w:t>
      </w:r>
      <w:r w:rsidRPr="002A1AD0">
        <w:rPr>
          <w:rFonts w:ascii="Book Antiqua" w:eastAsia="宋体" w:hAnsi="Book Antiqua" w:cs="宋体"/>
          <w:color w:val="000000"/>
          <w:sz w:val="21"/>
          <w:szCs w:val="21"/>
        </w:rPr>
        <w:t>2011;</w:t>
      </w:r>
      <w:r w:rsidRPr="00F80032">
        <w:rPr>
          <w:rFonts w:ascii="Book Antiqua" w:eastAsia="宋体" w:hAnsi="Book Antiqua" w:cs="宋体"/>
          <w:color w:val="000000"/>
          <w:sz w:val="21"/>
          <w:szCs w:val="21"/>
        </w:rPr>
        <w:t> </w:t>
      </w:r>
      <w:r w:rsidRPr="002A1AD0">
        <w:rPr>
          <w:rFonts w:ascii="Book Antiqua" w:eastAsia="宋体" w:hAnsi="Book Antiqua" w:cs="宋体"/>
          <w:b/>
          <w:bCs/>
          <w:color w:val="000000"/>
          <w:sz w:val="21"/>
          <w:szCs w:val="21"/>
        </w:rPr>
        <w:t>33</w:t>
      </w:r>
      <w:r w:rsidRPr="002A1AD0">
        <w:rPr>
          <w:rFonts w:ascii="Book Antiqua" w:eastAsia="宋体" w:hAnsi="Book Antiqua" w:cs="宋体"/>
          <w:color w:val="000000"/>
          <w:sz w:val="21"/>
          <w:szCs w:val="21"/>
        </w:rPr>
        <w:t>: 987-995 [PMID: 21366636 DOI: 10.1111/j.1365-2036.2011.04612]</w:t>
      </w:r>
    </w:p>
    <w:p w:rsidR="000A5666" w:rsidRPr="002A1AD0" w:rsidRDefault="000A5666" w:rsidP="004F172A">
      <w:pPr>
        <w:adjustRightInd w:val="0"/>
        <w:snapToGrid w:val="0"/>
        <w:spacing w:after="0" w:line="360" w:lineRule="auto"/>
        <w:jc w:val="both"/>
        <w:rPr>
          <w:rFonts w:ascii="Book Antiqua" w:eastAsia="宋体" w:hAnsi="Book Antiqua" w:cs="宋体"/>
          <w:color w:val="000000"/>
          <w:sz w:val="21"/>
          <w:szCs w:val="21"/>
        </w:rPr>
      </w:pPr>
      <w:r w:rsidRPr="002A1AD0">
        <w:rPr>
          <w:rFonts w:ascii="Book Antiqua" w:eastAsia="宋体" w:hAnsi="Book Antiqua" w:cs="宋体"/>
          <w:color w:val="000000"/>
          <w:sz w:val="21"/>
          <w:szCs w:val="21"/>
        </w:rPr>
        <w:t>6</w:t>
      </w:r>
      <w:r w:rsidRPr="00F80032">
        <w:rPr>
          <w:rFonts w:ascii="Book Antiqua" w:eastAsia="宋体" w:hAnsi="Book Antiqua" w:cs="宋体"/>
          <w:color w:val="000000"/>
          <w:sz w:val="21"/>
          <w:szCs w:val="21"/>
        </w:rPr>
        <w:t> </w:t>
      </w:r>
      <w:proofErr w:type="spellStart"/>
      <w:r w:rsidRPr="002A1AD0">
        <w:rPr>
          <w:rFonts w:ascii="Book Antiqua" w:eastAsia="宋体" w:hAnsi="Book Antiqua" w:cs="宋体"/>
          <w:b/>
          <w:bCs/>
          <w:color w:val="000000"/>
          <w:sz w:val="21"/>
          <w:szCs w:val="21"/>
        </w:rPr>
        <w:t>Gisbert</w:t>
      </w:r>
      <w:proofErr w:type="spellEnd"/>
      <w:r w:rsidRPr="002A1AD0">
        <w:rPr>
          <w:rFonts w:ascii="Book Antiqua" w:eastAsia="宋体" w:hAnsi="Book Antiqua" w:cs="宋体"/>
          <w:b/>
          <w:bCs/>
          <w:color w:val="000000"/>
          <w:sz w:val="21"/>
          <w:szCs w:val="21"/>
        </w:rPr>
        <w:t xml:space="preserve"> JP</w:t>
      </w:r>
      <w:r w:rsidRPr="002A1AD0">
        <w:rPr>
          <w:rFonts w:ascii="Book Antiqua" w:eastAsia="宋体" w:hAnsi="Book Antiqua" w:cs="宋体"/>
          <w:color w:val="000000"/>
          <w:sz w:val="21"/>
          <w:szCs w:val="21"/>
        </w:rPr>
        <w:t xml:space="preserve">, </w:t>
      </w:r>
      <w:proofErr w:type="spellStart"/>
      <w:r w:rsidRPr="002A1AD0">
        <w:rPr>
          <w:rFonts w:ascii="Book Antiqua" w:eastAsia="宋体" w:hAnsi="Book Antiqua" w:cs="宋体"/>
          <w:color w:val="000000"/>
          <w:sz w:val="21"/>
          <w:szCs w:val="21"/>
        </w:rPr>
        <w:t>Panés</w:t>
      </w:r>
      <w:proofErr w:type="spellEnd"/>
      <w:r w:rsidRPr="002A1AD0">
        <w:rPr>
          <w:rFonts w:ascii="Book Antiqua" w:eastAsia="宋体" w:hAnsi="Book Antiqua" w:cs="宋体"/>
          <w:color w:val="000000"/>
          <w:sz w:val="21"/>
          <w:szCs w:val="21"/>
        </w:rPr>
        <w:t xml:space="preserve"> J. Loss of response and requirement of infliximab dose intensification in Crohn's disease: a review.</w:t>
      </w:r>
      <w:r w:rsidRPr="00F80032">
        <w:rPr>
          <w:rFonts w:ascii="Book Antiqua" w:eastAsia="宋体" w:hAnsi="Book Antiqua" w:cs="宋体"/>
          <w:color w:val="000000"/>
          <w:sz w:val="21"/>
          <w:szCs w:val="21"/>
        </w:rPr>
        <w:t> </w:t>
      </w:r>
      <w:r w:rsidRPr="002A1AD0">
        <w:rPr>
          <w:rFonts w:ascii="Book Antiqua" w:eastAsia="宋体" w:hAnsi="Book Antiqua" w:cs="宋体"/>
          <w:i/>
          <w:iCs/>
          <w:color w:val="000000"/>
          <w:sz w:val="21"/>
          <w:szCs w:val="21"/>
        </w:rPr>
        <w:t xml:space="preserve">Am J </w:t>
      </w:r>
      <w:proofErr w:type="spellStart"/>
      <w:r w:rsidRPr="002A1AD0">
        <w:rPr>
          <w:rFonts w:ascii="Book Antiqua" w:eastAsia="宋体" w:hAnsi="Book Antiqua" w:cs="宋体"/>
          <w:i/>
          <w:iCs/>
          <w:color w:val="000000"/>
          <w:sz w:val="21"/>
          <w:szCs w:val="21"/>
        </w:rPr>
        <w:t>Gastroenterol</w:t>
      </w:r>
      <w:proofErr w:type="spellEnd"/>
      <w:r w:rsidRPr="00F80032">
        <w:rPr>
          <w:rFonts w:ascii="Book Antiqua" w:eastAsia="宋体" w:hAnsi="Book Antiqua" w:cs="宋体"/>
          <w:color w:val="000000"/>
          <w:sz w:val="21"/>
          <w:szCs w:val="21"/>
        </w:rPr>
        <w:t> </w:t>
      </w:r>
      <w:r w:rsidRPr="002A1AD0">
        <w:rPr>
          <w:rFonts w:ascii="Book Antiqua" w:eastAsia="宋体" w:hAnsi="Book Antiqua" w:cs="宋体"/>
          <w:color w:val="000000"/>
          <w:sz w:val="21"/>
          <w:szCs w:val="21"/>
        </w:rPr>
        <w:t>2009;</w:t>
      </w:r>
      <w:r w:rsidRPr="00F80032">
        <w:rPr>
          <w:rFonts w:ascii="Book Antiqua" w:eastAsia="宋体" w:hAnsi="Book Antiqua" w:cs="宋体"/>
          <w:color w:val="000000"/>
          <w:sz w:val="21"/>
          <w:szCs w:val="21"/>
        </w:rPr>
        <w:t> </w:t>
      </w:r>
      <w:r w:rsidRPr="002A1AD0">
        <w:rPr>
          <w:rFonts w:ascii="Book Antiqua" w:eastAsia="宋体" w:hAnsi="Book Antiqua" w:cs="宋体"/>
          <w:b/>
          <w:bCs/>
          <w:color w:val="000000"/>
          <w:sz w:val="21"/>
          <w:szCs w:val="21"/>
        </w:rPr>
        <w:t>104</w:t>
      </w:r>
      <w:r w:rsidRPr="002A1AD0">
        <w:rPr>
          <w:rFonts w:ascii="Book Antiqua" w:eastAsia="宋体" w:hAnsi="Book Antiqua" w:cs="宋体"/>
          <w:color w:val="000000"/>
          <w:sz w:val="21"/>
          <w:szCs w:val="21"/>
        </w:rPr>
        <w:t>: 760-767 [PMID: 19174781 DOI: 10.1038/ajg.2008.88]</w:t>
      </w:r>
    </w:p>
    <w:p w:rsidR="000A5666" w:rsidRPr="002A1AD0" w:rsidRDefault="000A5666" w:rsidP="004F172A">
      <w:pPr>
        <w:adjustRightInd w:val="0"/>
        <w:snapToGrid w:val="0"/>
        <w:spacing w:after="0" w:line="360" w:lineRule="auto"/>
        <w:jc w:val="both"/>
        <w:rPr>
          <w:rFonts w:ascii="Book Antiqua" w:eastAsia="宋体" w:hAnsi="Book Antiqua" w:cs="宋体"/>
          <w:color w:val="000000"/>
          <w:sz w:val="21"/>
          <w:szCs w:val="21"/>
        </w:rPr>
      </w:pPr>
      <w:r w:rsidRPr="002A1AD0">
        <w:rPr>
          <w:rFonts w:ascii="Book Antiqua" w:eastAsia="宋体" w:hAnsi="Book Antiqua" w:cs="宋体"/>
          <w:color w:val="000000"/>
          <w:sz w:val="21"/>
          <w:szCs w:val="21"/>
        </w:rPr>
        <w:t>7</w:t>
      </w:r>
      <w:r w:rsidRPr="00F80032">
        <w:rPr>
          <w:rFonts w:ascii="Book Antiqua" w:eastAsia="宋体" w:hAnsi="Book Antiqua" w:cs="宋体"/>
          <w:color w:val="000000"/>
          <w:sz w:val="21"/>
          <w:szCs w:val="21"/>
        </w:rPr>
        <w:t> </w:t>
      </w:r>
      <w:proofErr w:type="spellStart"/>
      <w:r w:rsidRPr="002A1AD0">
        <w:rPr>
          <w:rFonts w:ascii="Book Antiqua" w:eastAsia="宋体" w:hAnsi="Book Antiqua" w:cs="宋体"/>
          <w:b/>
          <w:bCs/>
          <w:color w:val="000000"/>
          <w:sz w:val="21"/>
          <w:szCs w:val="21"/>
        </w:rPr>
        <w:t>Hanauer</w:t>
      </w:r>
      <w:proofErr w:type="spellEnd"/>
      <w:r w:rsidRPr="002A1AD0">
        <w:rPr>
          <w:rFonts w:ascii="Book Antiqua" w:eastAsia="宋体" w:hAnsi="Book Antiqua" w:cs="宋体"/>
          <w:b/>
          <w:bCs/>
          <w:color w:val="000000"/>
          <w:sz w:val="21"/>
          <w:szCs w:val="21"/>
        </w:rPr>
        <w:t xml:space="preserve"> SB</w:t>
      </w:r>
      <w:r w:rsidRPr="002A1AD0">
        <w:rPr>
          <w:rFonts w:ascii="Book Antiqua" w:eastAsia="宋体" w:hAnsi="Book Antiqua" w:cs="宋体"/>
          <w:color w:val="000000"/>
          <w:sz w:val="21"/>
          <w:szCs w:val="21"/>
        </w:rPr>
        <w:t xml:space="preserve">, Wagner CL, </w:t>
      </w:r>
      <w:proofErr w:type="spellStart"/>
      <w:r w:rsidRPr="002A1AD0">
        <w:rPr>
          <w:rFonts w:ascii="Book Antiqua" w:eastAsia="宋体" w:hAnsi="Book Antiqua" w:cs="宋体"/>
          <w:color w:val="000000"/>
          <w:sz w:val="21"/>
          <w:szCs w:val="21"/>
        </w:rPr>
        <w:t>Bala</w:t>
      </w:r>
      <w:proofErr w:type="spellEnd"/>
      <w:r w:rsidRPr="002A1AD0">
        <w:rPr>
          <w:rFonts w:ascii="Book Antiqua" w:eastAsia="宋体" w:hAnsi="Book Antiqua" w:cs="宋体"/>
          <w:color w:val="000000"/>
          <w:sz w:val="21"/>
          <w:szCs w:val="21"/>
        </w:rPr>
        <w:t xml:space="preserve"> M, Mayer L, Travers S, Diamond RH, Olson A, </w:t>
      </w:r>
      <w:proofErr w:type="spellStart"/>
      <w:r w:rsidRPr="002A1AD0">
        <w:rPr>
          <w:rFonts w:ascii="Book Antiqua" w:eastAsia="宋体" w:hAnsi="Book Antiqua" w:cs="宋体"/>
          <w:color w:val="000000"/>
          <w:sz w:val="21"/>
          <w:szCs w:val="21"/>
        </w:rPr>
        <w:t>Bao</w:t>
      </w:r>
      <w:proofErr w:type="spellEnd"/>
      <w:r w:rsidRPr="002A1AD0">
        <w:rPr>
          <w:rFonts w:ascii="Book Antiqua" w:eastAsia="宋体" w:hAnsi="Book Antiqua" w:cs="宋体"/>
          <w:color w:val="000000"/>
          <w:sz w:val="21"/>
          <w:szCs w:val="21"/>
        </w:rPr>
        <w:t xml:space="preserve"> W, </w:t>
      </w:r>
      <w:proofErr w:type="spellStart"/>
      <w:r w:rsidRPr="002A1AD0">
        <w:rPr>
          <w:rFonts w:ascii="Book Antiqua" w:eastAsia="宋体" w:hAnsi="Book Antiqua" w:cs="宋体"/>
          <w:color w:val="000000"/>
          <w:sz w:val="21"/>
          <w:szCs w:val="21"/>
        </w:rPr>
        <w:t>Rutgeerts</w:t>
      </w:r>
      <w:proofErr w:type="spellEnd"/>
      <w:r w:rsidRPr="002A1AD0">
        <w:rPr>
          <w:rFonts w:ascii="Book Antiqua" w:eastAsia="宋体" w:hAnsi="Book Antiqua" w:cs="宋体"/>
          <w:color w:val="000000"/>
          <w:sz w:val="21"/>
          <w:szCs w:val="21"/>
        </w:rPr>
        <w:t xml:space="preserve"> P. Incidence and importance of antibody responses to infliximab after maintenance or episodic treatment in Crohn's disease.</w:t>
      </w:r>
      <w:r w:rsidRPr="00F80032">
        <w:rPr>
          <w:rFonts w:ascii="Book Antiqua" w:eastAsia="宋体" w:hAnsi="Book Antiqua" w:cs="宋体"/>
          <w:color w:val="000000"/>
          <w:sz w:val="21"/>
          <w:szCs w:val="21"/>
        </w:rPr>
        <w:t> </w:t>
      </w:r>
      <w:proofErr w:type="spellStart"/>
      <w:r w:rsidRPr="002A1AD0">
        <w:rPr>
          <w:rFonts w:ascii="Book Antiqua" w:eastAsia="宋体" w:hAnsi="Book Antiqua" w:cs="宋体"/>
          <w:i/>
          <w:iCs/>
          <w:color w:val="000000"/>
          <w:sz w:val="21"/>
          <w:szCs w:val="21"/>
        </w:rPr>
        <w:t>Clin</w:t>
      </w:r>
      <w:proofErr w:type="spellEnd"/>
      <w:r w:rsidRPr="002A1AD0">
        <w:rPr>
          <w:rFonts w:ascii="Book Antiqua" w:eastAsia="宋体" w:hAnsi="Book Antiqua" w:cs="宋体"/>
          <w:i/>
          <w:iCs/>
          <w:color w:val="000000"/>
          <w:sz w:val="21"/>
          <w:szCs w:val="21"/>
        </w:rPr>
        <w:t xml:space="preserve"> </w:t>
      </w:r>
      <w:proofErr w:type="spellStart"/>
      <w:r w:rsidRPr="002A1AD0">
        <w:rPr>
          <w:rFonts w:ascii="Book Antiqua" w:eastAsia="宋体" w:hAnsi="Book Antiqua" w:cs="宋体"/>
          <w:i/>
          <w:iCs/>
          <w:color w:val="000000"/>
          <w:sz w:val="21"/>
          <w:szCs w:val="21"/>
        </w:rPr>
        <w:t>Gastroenterol</w:t>
      </w:r>
      <w:proofErr w:type="spellEnd"/>
      <w:r w:rsidRPr="002A1AD0">
        <w:rPr>
          <w:rFonts w:ascii="Book Antiqua" w:eastAsia="宋体" w:hAnsi="Book Antiqua" w:cs="宋体"/>
          <w:i/>
          <w:iCs/>
          <w:color w:val="000000"/>
          <w:sz w:val="21"/>
          <w:szCs w:val="21"/>
        </w:rPr>
        <w:t xml:space="preserve"> </w:t>
      </w:r>
      <w:proofErr w:type="spellStart"/>
      <w:r w:rsidRPr="002A1AD0">
        <w:rPr>
          <w:rFonts w:ascii="Book Antiqua" w:eastAsia="宋体" w:hAnsi="Book Antiqua" w:cs="宋体"/>
          <w:i/>
          <w:iCs/>
          <w:color w:val="000000"/>
          <w:sz w:val="21"/>
          <w:szCs w:val="21"/>
        </w:rPr>
        <w:t>Hepatol</w:t>
      </w:r>
      <w:proofErr w:type="spellEnd"/>
      <w:r w:rsidRPr="00F80032">
        <w:rPr>
          <w:rFonts w:ascii="Book Antiqua" w:eastAsia="宋体" w:hAnsi="Book Antiqua" w:cs="宋体"/>
          <w:color w:val="000000"/>
          <w:sz w:val="21"/>
          <w:szCs w:val="21"/>
        </w:rPr>
        <w:t> </w:t>
      </w:r>
      <w:r w:rsidRPr="002A1AD0">
        <w:rPr>
          <w:rFonts w:ascii="Book Antiqua" w:eastAsia="宋体" w:hAnsi="Book Antiqua" w:cs="宋体"/>
          <w:color w:val="000000"/>
          <w:sz w:val="21"/>
          <w:szCs w:val="21"/>
        </w:rPr>
        <w:t>2004;</w:t>
      </w:r>
      <w:r w:rsidRPr="00F80032">
        <w:rPr>
          <w:rFonts w:ascii="Book Antiqua" w:eastAsia="宋体" w:hAnsi="Book Antiqua" w:cs="宋体"/>
          <w:color w:val="000000"/>
          <w:sz w:val="21"/>
          <w:szCs w:val="21"/>
        </w:rPr>
        <w:t> </w:t>
      </w:r>
      <w:r w:rsidRPr="002A1AD0">
        <w:rPr>
          <w:rFonts w:ascii="Book Antiqua" w:eastAsia="宋体" w:hAnsi="Book Antiqua" w:cs="宋体"/>
          <w:b/>
          <w:bCs/>
          <w:color w:val="000000"/>
          <w:sz w:val="21"/>
          <w:szCs w:val="21"/>
        </w:rPr>
        <w:t>2</w:t>
      </w:r>
      <w:r w:rsidRPr="002A1AD0">
        <w:rPr>
          <w:rFonts w:ascii="Book Antiqua" w:eastAsia="宋体" w:hAnsi="Book Antiqua" w:cs="宋体"/>
          <w:color w:val="000000"/>
          <w:sz w:val="21"/>
          <w:szCs w:val="21"/>
        </w:rPr>
        <w:t>: 542-553 [PMID: 15224278 DOI: 10.1016/S1542-3565(04)00238-1]</w:t>
      </w:r>
    </w:p>
    <w:p w:rsidR="000A5666" w:rsidRPr="002A1AD0" w:rsidRDefault="000A5666" w:rsidP="004F172A">
      <w:pPr>
        <w:adjustRightInd w:val="0"/>
        <w:snapToGrid w:val="0"/>
        <w:spacing w:after="0" w:line="360" w:lineRule="auto"/>
        <w:jc w:val="both"/>
        <w:rPr>
          <w:rFonts w:ascii="Book Antiqua" w:eastAsia="宋体" w:hAnsi="Book Antiqua" w:cs="宋体"/>
          <w:color w:val="000000"/>
          <w:sz w:val="21"/>
          <w:szCs w:val="21"/>
        </w:rPr>
      </w:pPr>
      <w:r w:rsidRPr="002A1AD0">
        <w:rPr>
          <w:rFonts w:ascii="Book Antiqua" w:eastAsia="宋体" w:hAnsi="Book Antiqua" w:cs="宋体"/>
          <w:color w:val="000000"/>
          <w:sz w:val="21"/>
          <w:szCs w:val="21"/>
        </w:rPr>
        <w:t>8</w:t>
      </w:r>
      <w:r w:rsidRPr="00F80032">
        <w:rPr>
          <w:rFonts w:ascii="Book Antiqua" w:eastAsia="宋体" w:hAnsi="Book Antiqua" w:cs="宋体"/>
          <w:color w:val="000000"/>
          <w:sz w:val="21"/>
          <w:szCs w:val="21"/>
        </w:rPr>
        <w:t> </w:t>
      </w:r>
      <w:proofErr w:type="spellStart"/>
      <w:r w:rsidRPr="002A1AD0">
        <w:rPr>
          <w:rFonts w:ascii="Book Antiqua" w:eastAsia="宋体" w:hAnsi="Book Antiqua" w:cs="宋体"/>
          <w:b/>
          <w:bCs/>
          <w:color w:val="000000"/>
          <w:sz w:val="21"/>
          <w:szCs w:val="21"/>
        </w:rPr>
        <w:t>Ungar</w:t>
      </w:r>
      <w:proofErr w:type="spellEnd"/>
      <w:r w:rsidRPr="002A1AD0">
        <w:rPr>
          <w:rFonts w:ascii="Book Antiqua" w:eastAsia="宋体" w:hAnsi="Book Antiqua" w:cs="宋体"/>
          <w:b/>
          <w:bCs/>
          <w:color w:val="000000"/>
          <w:sz w:val="21"/>
          <w:szCs w:val="21"/>
        </w:rPr>
        <w:t xml:space="preserve"> B</w:t>
      </w:r>
      <w:r w:rsidRPr="002A1AD0">
        <w:rPr>
          <w:rFonts w:ascii="Book Antiqua" w:eastAsia="宋体" w:hAnsi="Book Antiqua" w:cs="宋体"/>
          <w:color w:val="000000"/>
          <w:sz w:val="21"/>
          <w:szCs w:val="21"/>
        </w:rPr>
        <w:t xml:space="preserve">, </w:t>
      </w:r>
      <w:proofErr w:type="spellStart"/>
      <w:r w:rsidRPr="002A1AD0">
        <w:rPr>
          <w:rFonts w:ascii="Book Antiqua" w:eastAsia="宋体" w:hAnsi="Book Antiqua" w:cs="宋体"/>
          <w:color w:val="000000"/>
          <w:sz w:val="21"/>
          <w:szCs w:val="21"/>
        </w:rPr>
        <w:t>Chowers</w:t>
      </w:r>
      <w:proofErr w:type="spellEnd"/>
      <w:r w:rsidRPr="002A1AD0">
        <w:rPr>
          <w:rFonts w:ascii="Book Antiqua" w:eastAsia="宋体" w:hAnsi="Book Antiqua" w:cs="宋体"/>
          <w:color w:val="000000"/>
          <w:sz w:val="21"/>
          <w:szCs w:val="21"/>
        </w:rPr>
        <w:t xml:space="preserve"> Y, </w:t>
      </w:r>
      <w:proofErr w:type="spellStart"/>
      <w:r w:rsidRPr="002A1AD0">
        <w:rPr>
          <w:rFonts w:ascii="Book Antiqua" w:eastAsia="宋体" w:hAnsi="Book Antiqua" w:cs="宋体"/>
          <w:color w:val="000000"/>
          <w:sz w:val="21"/>
          <w:szCs w:val="21"/>
        </w:rPr>
        <w:t>Yavzori</w:t>
      </w:r>
      <w:proofErr w:type="spellEnd"/>
      <w:r w:rsidRPr="002A1AD0">
        <w:rPr>
          <w:rFonts w:ascii="Book Antiqua" w:eastAsia="宋体" w:hAnsi="Book Antiqua" w:cs="宋体"/>
          <w:color w:val="000000"/>
          <w:sz w:val="21"/>
          <w:szCs w:val="21"/>
        </w:rPr>
        <w:t xml:space="preserve"> M, Picard O, </w:t>
      </w:r>
      <w:proofErr w:type="spellStart"/>
      <w:r w:rsidRPr="002A1AD0">
        <w:rPr>
          <w:rFonts w:ascii="Book Antiqua" w:eastAsia="宋体" w:hAnsi="Book Antiqua" w:cs="宋体"/>
          <w:color w:val="000000"/>
          <w:sz w:val="21"/>
          <w:szCs w:val="21"/>
        </w:rPr>
        <w:t>Fudim</w:t>
      </w:r>
      <w:proofErr w:type="spellEnd"/>
      <w:r w:rsidRPr="002A1AD0">
        <w:rPr>
          <w:rFonts w:ascii="Book Antiqua" w:eastAsia="宋体" w:hAnsi="Book Antiqua" w:cs="宋体"/>
          <w:color w:val="000000"/>
          <w:sz w:val="21"/>
          <w:szCs w:val="21"/>
        </w:rPr>
        <w:t xml:space="preserve"> E, </w:t>
      </w:r>
      <w:proofErr w:type="spellStart"/>
      <w:r w:rsidRPr="002A1AD0">
        <w:rPr>
          <w:rFonts w:ascii="Book Antiqua" w:eastAsia="宋体" w:hAnsi="Book Antiqua" w:cs="宋体"/>
          <w:color w:val="000000"/>
          <w:sz w:val="21"/>
          <w:szCs w:val="21"/>
        </w:rPr>
        <w:t>Har-Noy</w:t>
      </w:r>
      <w:proofErr w:type="spellEnd"/>
      <w:r w:rsidRPr="002A1AD0">
        <w:rPr>
          <w:rFonts w:ascii="Book Antiqua" w:eastAsia="宋体" w:hAnsi="Book Antiqua" w:cs="宋体"/>
          <w:color w:val="000000"/>
          <w:sz w:val="21"/>
          <w:szCs w:val="21"/>
        </w:rPr>
        <w:t xml:space="preserve"> O, </w:t>
      </w:r>
      <w:proofErr w:type="spellStart"/>
      <w:r w:rsidRPr="002A1AD0">
        <w:rPr>
          <w:rFonts w:ascii="Book Antiqua" w:eastAsia="宋体" w:hAnsi="Book Antiqua" w:cs="宋体"/>
          <w:color w:val="000000"/>
          <w:sz w:val="21"/>
          <w:szCs w:val="21"/>
        </w:rPr>
        <w:t>Kopylov</w:t>
      </w:r>
      <w:proofErr w:type="spellEnd"/>
      <w:r w:rsidRPr="002A1AD0">
        <w:rPr>
          <w:rFonts w:ascii="Book Antiqua" w:eastAsia="宋体" w:hAnsi="Book Antiqua" w:cs="宋体"/>
          <w:color w:val="000000"/>
          <w:sz w:val="21"/>
          <w:szCs w:val="21"/>
        </w:rPr>
        <w:t xml:space="preserve"> U, </w:t>
      </w:r>
      <w:proofErr w:type="spellStart"/>
      <w:r w:rsidRPr="002A1AD0">
        <w:rPr>
          <w:rFonts w:ascii="Book Antiqua" w:eastAsia="宋体" w:hAnsi="Book Antiqua" w:cs="宋体"/>
          <w:color w:val="000000"/>
          <w:sz w:val="21"/>
          <w:szCs w:val="21"/>
        </w:rPr>
        <w:t>Eliakim</w:t>
      </w:r>
      <w:proofErr w:type="spellEnd"/>
      <w:r w:rsidRPr="002A1AD0">
        <w:rPr>
          <w:rFonts w:ascii="Book Antiqua" w:eastAsia="宋体" w:hAnsi="Book Antiqua" w:cs="宋体"/>
          <w:color w:val="000000"/>
          <w:sz w:val="21"/>
          <w:szCs w:val="21"/>
        </w:rPr>
        <w:t xml:space="preserve"> R, Ben-</w:t>
      </w:r>
      <w:proofErr w:type="spellStart"/>
      <w:r w:rsidRPr="002A1AD0">
        <w:rPr>
          <w:rFonts w:ascii="Book Antiqua" w:eastAsia="宋体" w:hAnsi="Book Antiqua" w:cs="宋体"/>
          <w:color w:val="000000"/>
          <w:sz w:val="21"/>
          <w:szCs w:val="21"/>
        </w:rPr>
        <w:t>Horin</w:t>
      </w:r>
      <w:proofErr w:type="spellEnd"/>
      <w:r w:rsidRPr="002A1AD0">
        <w:rPr>
          <w:rFonts w:ascii="Book Antiqua" w:eastAsia="宋体" w:hAnsi="Book Antiqua" w:cs="宋体"/>
          <w:color w:val="000000"/>
          <w:sz w:val="21"/>
          <w:szCs w:val="21"/>
        </w:rPr>
        <w:t xml:space="preserve"> S</w:t>
      </w:r>
      <w:r w:rsidRPr="00F80032">
        <w:rPr>
          <w:rFonts w:ascii="Book Antiqua" w:eastAsia="宋体" w:hAnsi="Book Antiqua" w:cs="宋体"/>
          <w:color w:val="000000"/>
          <w:szCs w:val="21"/>
        </w:rPr>
        <w:t>; ABIRISK consortium.</w:t>
      </w:r>
      <w:r w:rsidRPr="002A1AD0">
        <w:rPr>
          <w:rFonts w:ascii="Book Antiqua" w:eastAsia="宋体" w:hAnsi="Book Antiqua" w:cs="宋体"/>
          <w:color w:val="000000"/>
          <w:sz w:val="21"/>
          <w:szCs w:val="21"/>
        </w:rPr>
        <w:t xml:space="preserve"> The temporal evolution of antidrug antibodies in patients with inflammatory bowel disease treated with infliximab.</w:t>
      </w:r>
      <w:r w:rsidRPr="00F80032">
        <w:rPr>
          <w:rFonts w:ascii="Book Antiqua" w:eastAsia="宋体" w:hAnsi="Book Antiqua" w:cs="宋体"/>
          <w:color w:val="000000"/>
          <w:sz w:val="21"/>
          <w:szCs w:val="21"/>
        </w:rPr>
        <w:t> </w:t>
      </w:r>
      <w:r w:rsidRPr="002A1AD0">
        <w:rPr>
          <w:rFonts w:ascii="Book Antiqua" w:eastAsia="宋体" w:hAnsi="Book Antiqua" w:cs="宋体"/>
          <w:i/>
          <w:iCs/>
          <w:color w:val="000000"/>
          <w:sz w:val="21"/>
          <w:szCs w:val="21"/>
        </w:rPr>
        <w:t>Gut</w:t>
      </w:r>
      <w:r w:rsidRPr="00F80032">
        <w:rPr>
          <w:rFonts w:ascii="Book Antiqua" w:eastAsia="宋体" w:hAnsi="Book Antiqua" w:cs="宋体"/>
          <w:color w:val="000000"/>
          <w:sz w:val="21"/>
          <w:szCs w:val="21"/>
        </w:rPr>
        <w:t> </w:t>
      </w:r>
      <w:r w:rsidRPr="002A1AD0">
        <w:rPr>
          <w:rFonts w:ascii="Book Antiqua" w:eastAsia="宋体" w:hAnsi="Book Antiqua" w:cs="宋体"/>
          <w:color w:val="000000"/>
          <w:sz w:val="21"/>
          <w:szCs w:val="21"/>
        </w:rPr>
        <w:t>2014;</w:t>
      </w:r>
      <w:r w:rsidRPr="00F80032">
        <w:rPr>
          <w:rFonts w:ascii="Book Antiqua" w:eastAsia="宋体" w:hAnsi="Book Antiqua" w:cs="宋体"/>
          <w:color w:val="000000"/>
          <w:sz w:val="21"/>
          <w:szCs w:val="21"/>
        </w:rPr>
        <w:t> </w:t>
      </w:r>
      <w:r w:rsidRPr="002A1AD0">
        <w:rPr>
          <w:rFonts w:ascii="Book Antiqua" w:eastAsia="宋体" w:hAnsi="Book Antiqua" w:cs="宋体"/>
          <w:b/>
          <w:bCs/>
          <w:color w:val="000000"/>
          <w:sz w:val="21"/>
          <w:szCs w:val="21"/>
        </w:rPr>
        <w:t>63</w:t>
      </w:r>
      <w:r w:rsidRPr="002A1AD0">
        <w:rPr>
          <w:rFonts w:ascii="Book Antiqua" w:eastAsia="宋体" w:hAnsi="Book Antiqua" w:cs="宋体"/>
          <w:color w:val="000000"/>
          <w:sz w:val="21"/>
          <w:szCs w:val="21"/>
        </w:rPr>
        <w:t>: 1258-1264 [PMID: 24041539 DOI: 10.1136/gutjnl-2013-305259]</w:t>
      </w:r>
    </w:p>
    <w:p w:rsidR="000A5666" w:rsidRPr="002A1AD0" w:rsidRDefault="000A5666" w:rsidP="004F172A">
      <w:pPr>
        <w:adjustRightInd w:val="0"/>
        <w:snapToGrid w:val="0"/>
        <w:spacing w:after="0" w:line="360" w:lineRule="auto"/>
        <w:jc w:val="both"/>
        <w:rPr>
          <w:rFonts w:ascii="Book Antiqua" w:eastAsia="宋体" w:hAnsi="Book Antiqua" w:cs="宋体"/>
          <w:color w:val="000000"/>
          <w:sz w:val="21"/>
          <w:szCs w:val="21"/>
        </w:rPr>
      </w:pPr>
      <w:r w:rsidRPr="002A1AD0">
        <w:rPr>
          <w:rFonts w:ascii="Book Antiqua" w:eastAsia="宋体" w:hAnsi="Book Antiqua" w:cs="宋体"/>
          <w:color w:val="000000"/>
          <w:sz w:val="21"/>
          <w:szCs w:val="21"/>
        </w:rPr>
        <w:t>9</w:t>
      </w:r>
      <w:r w:rsidRPr="00F80032">
        <w:rPr>
          <w:rFonts w:ascii="Book Antiqua" w:eastAsia="宋体" w:hAnsi="Book Antiqua" w:cs="宋体"/>
          <w:color w:val="000000"/>
          <w:sz w:val="21"/>
          <w:szCs w:val="21"/>
        </w:rPr>
        <w:t> </w:t>
      </w:r>
      <w:proofErr w:type="spellStart"/>
      <w:r w:rsidRPr="002A1AD0">
        <w:rPr>
          <w:rFonts w:ascii="Book Antiqua" w:eastAsia="宋体" w:hAnsi="Book Antiqua" w:cs="宋体"/>
          <w:b/>
          <w:bCs/>
          <w:color w:val="000000"/>
          <w:sz w:val="21"/>
          <w:szCs w:val="21"/>
        </w:rPr>
        <w:t>Seow</w:t>
      </w:r>
      <w:proofErr w:type="spellEnd"/>
      <w:r w:rsidRPr="002A1AD0">
        <w:rPr>
          <w:rFonts w:ascii="Book Antiqua" w:eastAsia="宋体" w:hAnsi="Book Antiqua" w:cs="宋体"/>
          <w:b/>
          <w:bCs/>
          <w:color w:val="000000"/>
          <w:sz w:val="21"/>
          <w:szCs w:val="21"/>
        </w:rPr>
        <w:t xml:space="preserve"> CH</w:t>
      </w:r>
      <w:r w:rsidRPr="002A1AD0">
        <w:rPr>
          <w:rFonts w:ascii="Book Antiqua" w:eastAsia="宋体" w:hAnsi="Book Antiqua" w:cs="宋体"/>
          <w:color w:val="000000"/>
          <w:sz w:val="21"/>
          <w:szCs w:val="21"/>
        </w:rPr>
        <w:t>, Newman A, Irwin SP, Steinhart AH, Silverberg MS, Greenberg GR. Trough serum infliximab: a predictive factor of clinical outcome for infliximab treatment in acute ulcerative colitis.</w:t>
      </w:r>
      <w:r w:rsidRPr="00F80032">
        <w:rPr>
          <w:rFonts w:ascii="Book Antiqua" w:eastAsia="宋体" w:hAnsi="Book Antiqua" w:cs="宋体"/>
          <w:color w:val="000000"/>
          <w:sz w:val="21"/>
          <w:szCs w:val="21"/>
        </w:rPr>
        <w:t> </w:t>
      </w:r>
      <w:r w:rsidRPr="002A1AD0">
        <w:rPr>
          <w:rFonts w:ascii="Book Antiqua" w:eastAsia="宋体" w:hAnsi="Book Antiqua" w:cs="宋体"/>
          <w:i/>
          <w:iCs/>
          <w:color w:val="000000"/>
          <w:sz w:val="21"/>
          <w:szCs w:val="21"/>
        </w:rPr>
        <w:t>Gut</w:t>
      </w:r>
      <w:r w:rsidRPr="00F80032">
        <w:rPr>
          <w:rFonts w:ascii="Book Antiqua" w:eastAsia="宋体" w:hAnsi="Book Antiqua" w:cs="宋体"/>
          <w:color w:val="000000"/>
          <w:sz w:val="21"/>
          <w:szCs w:val="21"/>
        </w:rPr>
        <w:t> </w:t>
      </w:r>
      <w:r w:rsidRPr="002A1AD0">
        <w:rPr>
          <w:rFonts w:ascii="Book Antiqua" w:eastAsia="宋体" w:hAnsi="Book Antiqua" w:cs="宋体"/>
          <w:color w:val="000000"/>
          <w:sz w:val="21"/>
          <w:szCs w:val="21"/>
        </w:rPr>
        <w:t>2010;</w:t>
      </w:r>
      <w:r w:rsidRPr="00F80032">
        <w:rPr>
          <w:rFonts w:ascii="Book Antiqua" w:eastAsia="宋体" w:hAnsi="Book Antiqua" w:cs="宋体"/>
          <w:color w:val="000000"/>
          <w:sz w:val="21"/>
          <w:szCs w:val="21"/>
        </w:rPr>
        <w:t> </w:t>
      </w:r>
      <w:r w:rsidRPr="002A1AD0">
        <w:rPr>
          <w:rFonts w:ascii="Book Antiqua" w:eastAsia="宋体" w:hAnsi="Book Antiqua" w:cs="宋体"/>
          <w:b/>
          <w:bCs/>
          <w:color w:val="000000"/>
          <w:sz w:val="21"/>
          <w:szCs w:val="21"/>
        </w:rPr>
        <w:t>59</w:t>
      </w:r>
      <w:r w:rsidRPr="002A1AD0">
        <w:rPr>
          <w:rFonts w:ascii="Book Antiqua" w:eastAsia="宋体" w:hAnsi="Book Antiqua" w:cs="宋体"/>
          <w:color w:val="000000"/>
          <w:sz w:val="21"/>
          <w:szCs w:val="21"/>
        </w:rPr>
        <w:t>: 49-54 [PMID: 19651627 DOI: 10.1136/gut.2009]</w:t>
      </w:r>
    </w:p>
    <w:p w:rsidR="000A5666" w:rsidRPr="002A1AD0" w:rsidRDefault="000A5666" w:rsidP="004F172A">
      <w:pPr>
        <w:adjustRightInd w:val="0"/>
        <w:snapToGrid w:val="0"/>
        <w:spacing w:after="0" w:line="360" w:lineRule="auto"/>
        <w:jc w:val="both"/>
        <w:rPr>
          <w:rFonts w:ascii="Book Antiqua" w:eastAsia="宋体" w:hAnsi="Book Antiqua" w:cs="宋体"/>
          <w:color w:val="000000"/>
          <w:sz w:val="21"/>
          <w:szCs w:val="21"/>
        </w:rPr>
      </w:pPr>
      <w:r w:rsidRPr="002A1AD0">
        <w:rPr>
          <w:rFonts w:ascii="Book Antiqua" w:eastAsia="宋体" w:hAnsi="Book Antiqua" w:cs="宋体"/>
          <w:color w:val="000000"/>
          <w:sz w:val="21"/>
          <w:szCs w:val="21"/>
        </w:rPr>
        <w:t>10</w:t>
      </w:r>
      <w:r w:rsidRPr="00F80032">
        <w:rPr>
          <w:rFonts w:ascii="Book Antiqua" w:eastAsia="宋体" w:hAnsi="Book Antiqua" w:cs="宋体"/>
          <w:color w:val="000000"/>
          <w:sz w:val="21"/>
          <w:szCs w:val="21"/>
        </w:rPr>
        <w:t> </w:t>
      </w:r>
      <w:proofErr w:type="spellStart"/>
      <w:r w:rsidRPr="002A1AD0">
        <w:rPr>
          <w:rFonts w:ascii="Book Antiqua" w:eastAsia="宋体" w:hAnsi="Book Antiqua" w:cs="宋体"/>
          <w:b/>
          <w:bCs/>
          <w:color w:val="000000"/>
          <w:sz w:val="21"/>
          <w:szCs w:val="21"/>
        </w:rPr>
        <w:t>Colombel</w:t>
      </w:r>
      <w:proofErr w:type="spellEnd"/>
      <w:r w:rsidRPr="002A1AD0">
        <w:rPr>
          <w:rFonts w:ascii="Book Antiqua" w:eastAsia="宋体" w:hAnsi="Book Antiqua" w:cs="宋体"/>
          <w:b/>
          <w:bCs/>
          <w:color w:val="000000"/>
          <w:sz w:val="21"/>
          <w:szCs w:val="21"/>
        </w:rPr>
        <w:t xml:space="preserve"> JF</w:t>
      </w:r>
      <w:r w:rsidRPr="002A1AD0">
        <w:rPr>
          <w:rFonts w:ascii="Book Antiqua" w:eastAsia="宋体" w:hAnsi="Book Antiqua" w:cs="宋体"/>
          <w:color w:val="000000"/>
          <w:sz w:val="21"/>
          <w:szCs w:val="21"/>
        </w:rPr>
        <w:t xml:space="preserve">, </w:t>
      </w:r>
      <w:proofErr w:type="spellStart"/>
      <w:r w:rsidRPr="002A1AD0">
        <w:rPr>
          <w:rFonts w:ascii="Book Antiqua" w:eastAsia="宋体" w:hAnsi="Book Antiqua" w:cs="宋体"/>
          <w:color w:val="000000"/>
          <w:sz w:val="21"/>
          <w:szCs w:val="21"/>
        </w:rPr>
        <w:t>Sandborn</w:t>
      </w:r>
      <w:proofErr w:type="spellEnd"/>
      <w:r w:rsidRPr="002A1AD0">
        <w:rPr>
          <w:rFonts w:ascii="Book Antiqua" w:eastAsia="宋体" w:hAnsi="Book Antiqua" w:cs="宋体"/>
          <w:color w:val="000000"/>
          <w:sz w:val="21"/>
          <w:szCs w:val="21"/>
        </w:rPr>
        <w:t xml:space="preserve"> WJ, </w:t>
      </w:r>
      <w:proofErr w:type="spellStart"/>
      <w:r w:rsidRPr="002A1AD0">
        <w:rPr>
          <w:rFonts w:ascii="Book Antiqua" w:eastAsia="宋体" w:hAnsi="Book Antiqua" w:cs="宋体"/>
          <w:color w:val="000000"/>
          <w:sz w:val="21"/>
          <w:szCs w:val="21"/>
        </w:rPr>
        <w:t>Reinisch</w:t>
      </w:r>
      <w:proofErr w:type="spellEnd"/>
      <w:r w:rsidRPr="002A1AD0">
        <w:rPr>
          <w:rFonts w:ascii="Book Antiqua" w:eastAsia="宋体" w:hAnsi="Book Antiqua" w:cs="宋体"/>
          <w:color w:val="000000"/>
          <w:sz w:val="21"/>
          <w:szCs w:val="21"/>
        </w:rPr>
        <w:t xml:space="preserve"> W, </w:t>
      </w:r>
      <w:proofErr w:type="spellStart"/>
      <w:r w:rsidRPr="002A1AD0">
        <w:rPr>
          <w:rFonts w:ascii="Book Antiqua" w:eastAsia="宋体" w:hAnsi="Book Antiqua" w:cs="宋体"/>
          <w:color w:val="000000"/>
          <w:sz w:val="21"/>
          <w:szCs w:val="21"/>
        </w:rPr>
        <w:t>Mantzaris</w:t>
      </w:r>
      <w:proofErr w:type="spellEnd"/>
      <w:r w:rsidRPr="002A1AD0">
        <w:rPr>
          <w:rFonts w:ascii="Book Antiqua" w:eastAsia="宋体" w:hAnsi="Book Antiqua" w:cs="宋体"/>
          <w:color w:val="000000"/>
          <w:sz w:val="21"/>
          <w:szCs w:val="21"/>
        </w:rPr>
        <w:t xml:space="preserve"> GJ, </w:t>
      </w:r>
      <w:proofErr w:type="spellStart"/>
      <w:r w:rsidRPr="002A1AD0">
        <w:rPr>
          <w:rFonts w:ascii="Book Antiqua" w:eastAsia="宋体" w:hAnsi="Book Antiqua" w:cs="宋体"/>
          <w:color w:val="000000"/>
          <w:sz w:val="21"/>
          <w:szCs w:val="21"/>
        </w:rPr>
        <w:t>Kornbluth</w:t>
      </w:r>
      <w:proofErr w:type="spellEnd"/>
      <w:r w:rsidRPr="002A1AD0">
        <w:rPr>
          <w:rFonts w:ascii="Book Antiqua" w:eastAsia="宋体" w:hAnsi="Book Antiqua" w:cs="宋体"/>
          <w:color w:val="000000"/>
          <w:sz w:val="21"/>
          <w:szCs w:val="21"/>
        </w:rPr>
        <w:t xml:space="preserve"> A, </w:t>
      </w:r>
      <w:proofErr w:type="spellStart"/>
      <w:r w:rsidRPr="002A1AD0">
        <w:rPr>
          <w:rFonts w:ascii="Book Antiqua" w:eastAsia="宋体" w:hAnsi="Book Antiqua" w:cs="宋体"/>
          <w:color w:val="000000"/>
          <w:sz w:val="21"/>
          <w:szCs w:val="21"/>
        </w:rPr>
        <w:t>Rachmilewitz</w:t>
      </w:r>
      <w:proofErr w:type="spellEnd"/>
      <w:r w:rsidRPr="002A1AD0">
        <w:rPr>
          <w:rFonts w:ascii="Book Antiqua" w:eastAsia="宋体" w:hAnsi="Book Antiqua" w:cs="宋体"/>
          <w:color w:val="000000"/>
          <w:sz w:val="21"/>
          <w:szCs w:val="21"/>
        </w:rPr>
        <w:t xml:space="preserve"> D, </w:t>
      </w:r>
      <w:proofErr w:type="spellStart"/>
      <w:r w:rsidRPr="002A1AD0">
        <w:rPr>
          <w:rFonts w:ascii="Book Antiqua" w:eastAsia="宋体" w:hAnsi="Book Antiqua" w:cs="宋体"/>
          <w:color w:val="000000"/>
          <w:sz w:val="21"/>
          <w:szCs w:val="21"/>
        </w:rPr>
        <w:t>Lichtiger</w:t>
      </w:r>
      <w:proofErr w:type="spellEnd"/>
      <w:r w:rsidRPr="002A1AD0">
        <w:rPr>
          <w:rFonts w:ascii="Book Antiqua" w:eastAsia="宋体" w:hAnsi="Book Antiqua" w:cs="宋体"/>
          <w:color w:val="000000"/>
          <w:sz w:val="21"/>
          <w:szCs w:val="21"/>
        </w:rPr>
        <w:t xml:space="preserve"> S, </w:t>
      </w:r>
      <w:proofErr w:type="spellStart"/>
      <w:r w:rsidRPr="002A1AD0">
        <w:rPr>
          <w:rFonts w:ascii="Book Antiqua" w:eastAsia="宋体" w:hAnsi="Book Antiqua" w:cs="宋体"/>
          <w:color w:val="000000"/>
          <w:sz w:val="21"/>
          <w:szCs w:val="21"/>
        </w:rPr>
        <w:t>D'Haens</w:t>
      </w:r>
      <w:proofErr w:type="spellEnd"/>
      <w:r w:rsidRPr="002A1AD0">
        <w:rPr>
          <w:rFonts w:ascii="Book Antiqua" w:eastAsia="宋体" w:hAnsi="Book Antiqua" w:cs="宋体"/>
          <w:color w:val="000000"/>
          <w:sz w:val="21"/>
          <w:szCs w:val="21"/>
        </w:rPr>
        <w:t xml:space="preserve"> G, Diamond RH, Broussard DL, Tang KL, van der </w:t>
      </w:r>
      <w:proofErr w:type="spellStart"/>
      <w:r w:rsidRPr="002A1AD0">
        <w:rPr>
          <w:rFonts w:ascii="Book Antiqua" w:eastAsia="宋体" w:hAnsi="Book Antiqua" w:cs="宋体"/>
          <w:color w:val="000000"/>
          <w:sz w:val="21"/>
          <w:szCs w:val="21"/>
        </w:rPr>
        <w:t>Woude</w:t>
      </w:r>
      <w:proofErr w:type="spellEnd"/>
      <w:r w:rsidRPr="002A1AD0">
        <w:rPr>
          <w:rFonts w:ascii="Book Antiqua" w:eastAsia="宋体" w:hAnsi="Book Antiqua" w:cs="宋体"/>
          <w:color w:val="000000"/>
          <w:sz w:val="21"/>
          <w:szCs w:val="21"/>
        </w:rPr>
        <w:t xml:space="preserve"> CJ, </w:t>
      </w:r>
      <w:proofErr w:type="spellStart"/>
      <w:r w:rsidRPr="002A1AD0">
        <w:rPr>
          <w:rFonts w:ascii="Book Antiqua" w:eastAsia="宋体" w:hAnsi="Book Antiqua" w:cs="宋体"/>
          <w:color w:val="000000"/>
          <w:sz w:val="21"/>
          <w:szCs w:val="21"/>
        </w:rPr>
        <w:t>Rutgeerts</w:t>
      </w:r>
      <w:proofErr w:type="spellEnd"/>
      <w:r w:rsidRPr="002A1AD0">
        <w:rPr>
          <w:rFonts w:ascii="Book Antiqua" w:eastAsia="宋体" w:hAnsi="Book Antiqua" w:cs="宋体"/>
          <w:color w:val="000000"/>
          <w:sz w:val="21"/>
          <w:szCs w:val="21"/>
        </w:rPr>
        <w:t xml:space="preserve"> P. Infliximab, azathioprine, or combination therapy for Crohn's disease.</w:t>
      </w:r>
      <w:r w:rsidRPr="00F80032">
        <w:rPr>
          <w:rFonts w:ascii="Book Antiqua" w:eastAsia="宋体" w:hAnsi="Book Antiqua" w:cs="宋体"/>
          <w:color w:val="000000"/>
          <w:sz w:val="21"/>
          <w:szCs w:val="21"/>
        </w:rPr>
        <w:t> </w:t>
      </w:r>
      <w:r w:rsidRPr="002A1AD0">
        <w:rPr>
          <w:rFonts w:ascii="Book Antiqua" w:eastAsia="宋体" w:hAnsi="Book Antiqua" w:cs="宋体"/>
          <w:i/>
          <w:iCs/>
          <w:color w:val="000000"/>
          <w:sz w:val="21"/>
          <w:szCs w:val="21"/>
        </w:rPr>
        <w:t xml:space="preserve">N </w:t>
      </w:r>
      <w:proofErr w:type="spellStart"/>
      <w:r w:rsidRPr="002A1AD0">
        <w:rPr>
          <w:rFonts w:ascii="Book Antiqua" w:eastAsia="宋体" w:hAnsi="Book Antiqua" w:cs="宋体"/>
          <w:i/>
          <w:iCs/>
          <w:color w:val="000000"/>
          <w:sz w:val="21"/>
          <w:szCs w:val="21"/>
        </w:rPr>
        <w:t>Engl</w:t>
      </w:r>
      <w:proofErr w:type="spellEnd"/>
      <w:r w:rsidRPr="002A1AD0">
        <w:rPr>
          <w:rFonts w:ascii="Book Antiqua" w:eastAsia="宋体" w:hAnsi="Book Antiqua" w:cs="宋体"/>
          <w:i/>
          <w:iCs/>
          <w:color w:val="000000"/>
          <w:sz w:val="21"/>
          <w:szCs w:val="21"/>
        </w:rPr>
        <w:t xml:space="preserve"> J Med</w:t>
      </w:r>
      <w:r w:rsidRPr="00F80032">
        <w:rPr>
          <w:rFonts w:ascii="Book Antiqua" w:eastAsia="宋体" w:hAnsi="Book Antiqua" w:cs="宋体"/>
          <w:color w:val="000000"/>
          <w:sz w:val="21"/>
          <w:szCs w:val="21"/>
        </w:rPr>
        <w:t> </w:t>
      </w:r>
      <w:r w:rsidRPr="002A1AD0">
        <w:rPr>
          <w:rFonts w:ascii="Book Antiqua" w:eastAsia="宋体" w:hAnsi="Book Antiqua" w:cs="宋体"/>
          <w:color w:val="000000"/>
          <w:sz w:val="21"/>
          <w:szCs w:val="21"/>
        </w:rPr>
        <w:t>2010;</w:t>
      </w:r>
      <w:r w:rsidRPr="00F80032">
        <w:rPr>
          <w:rFonts w:ascii="Book Antiqua" w:eastAsia="宋体" w:hAnsi="Book Antiqua" w:cs="宋体"/>
          <w:color w:val="000000"/>
          <w:sz w:val="21"/>
          <w:szCs w:val="21"/>
        </w:rPr>
        <w:t> </w:t>
      </w:r>
      <w:r w:rsidRPr="002A1AD0">
        <w:rPr>
          <w:rFonts w:ascii="Book Antiqua" w:eastAsia="宋体" w:hAnsi="Book Antiqua" w:cs="宋体"/>
          <w:b/>
          <w:bCs/>
          <w:color w:val="000000"/>
          <w:sz w:val="21"/>
          <w:szCs w:val="21"/>
        </w:rPr>
        <w:t>362</w:t>
      </w:r>
      <w:r w:rsidRPr="002A1AD0">
        <w:rPr>
          <w:rFonts w:ascii="Book Antiqua" w:eastAsia="宋体" w:hAnsi="Book Antiqua" w:cs="宋体"/>
          <w:color w:val="000000"/>
          <w:sz w:val="21"/>
          <w:szCs w:val="21"/>
        </w:rPr>
        <w:t>: 1383-1395 [PMID: 20393175 DOI: 10.1056/NEJMoa0904492]</w:t>
      </w:r>
    </w:p>
    <w:p w:rsidR="000A5666" w:rsidRPr="002A1AD0" w:rsidRDefault="000A5666" w:rsidP="004F172A">
      <w:pPr>
        <w:adjustRightInd w:val="0"/>
        <w:snapToGrid w:val="0"/>
        <w:spacing w:after="0" w:line="360" w:lineRule="auto"/>
        <w:jc w:val="both"/>
        <w:rPr>
          <w:rFonts w:ascii="Book Antiqua" w:eastAsia="宋体" w:hAnsi="Book Antiqua" w:cs="宋体"/>
          <w:color w:val="000000"/>
          <w:sz w:val="21"/>
          <w:szCs w:val="21"/>
        </w:rPr>
      </w:pPr>
      <w:r w:rsidRPr="002A1AD0">
        <w:rPr>
          <w:rFonts w:ascii="Book Antiqua" w:eastAsia="宋体" w:hAnsi="Book Antiqua" w:cs="宋体"/>
          <w:color w:val="000000"/>
          <w:sz w:val="21"/>
          <w:szCs w:val="21"/>
        </w:rPr>
        <w:t>11</w:t>
      </w:r>
      <w:r w:rsidRPr="00F80032">
        <w:rPr>
          <w:rFonts w:ascii="Book Antiqua" w:eastAsia="宋体" w:hAnsi="Book Antiqua" w:cs="宋体"/>
          <w:color w:val="000000"/>
          <w:sz w:val="21"/>
          <w:szCs w:val="21"/>
        </w:rPr>
        <w:t> </w:t>
      </w:r>
      <w:proofErr w:type="spellStart"/>
      <w:r w:rsidRPr="002A1AD0">
        <w:rPr>
          <w:rFonts w:ascii="Book Antiqua" w:eastAsia="宋体" w:hAnsi="Book Antiqua" w:cs="宋体"/>
          <w:b/>
          <w:bCs/>
          <w:color w:val="000000"/>
          <w:sz w:val="21"/>
          <w:szCs w:val="21"/>
        </w:rPr>
        <w:t>Kopylov</w:t>
      </w:r>
      <w:proofErr w:type="spellEnd"/>
      <w:r w:rsidRPr="002A1AD0">
        <w:rPr>
          <w:rFonts w:ascii="Book Antiqua" w:eastAsia="宋体" w:hAnsi="Book Antiqua" w:cs="宋体"/>
          <w:b/>
          <w:bCs/>
          <w:color w:val="000000"/>
          <w:sz w:val="21"/>
          <w:szCs w:val="21"/>
        </w:rPr>
        <w:t xml:space="preserve"> U</w:t>
      </w:r>
      <w:r w:rsidRPr="002A1AD0">
        <w:rPr>
          <w:rFonts w:ascii="Book Antiqua" w:eastAsia="宋体" w:hAnsi="Book Antiqua" w:cs="宋体"/>
          <w:color w:val="000000"/>
          <w:sz w:val="21"/>
          <w:szCs w:val="21"/>
        </w:rPr>
        <w:t xml:space="preserve">, </w:t>
      </w:r>
      <w:proofErr w:type="spellStart"/>
      <w:r w:rsidRPr="002A1AD0">
        <w:rPr>
          <w:rFonts w:ascii="Book Antiqua" w:eastAsia="宋体" w:hAnsi="Book Antiqua" w:cs="宋体"/>
          <w:color w:val="000000"/>
          <w:sz w:val="21"/>
          <w:szCs w:val="21"/>
        </w:rPr>
        <w:t>Mazor</w:t>
      </w:r>
      <w:proofErr w:type="spellEnd"/>
      <w:r w:rsidRPr="002A1AD0">
        <w:rPr>
          <w:rFonts w:ascii="Book Antiqua" w:eastAsia="宋体" w:hAnsi="Book Antiqua" w:cs="宋体"/>
          <w:color w:val="000000"/>
          <w:sz w:val="21"/>
          <w:szCs w:val="21"/>
        </w:rPr>
        <w:t xml:space="preserve"> Y, </w:t>
      </w:r>
      <w:proofErr w:type="spellStart"/>
      <w:r w:rsidRPr="002A1AD0">
        <w:rPr>
          <w:rFonts w:ascii="Book Antiqua" w:eastAsia="宋体" w:hAnsi="Book Antiqua" w:cs="宋体"/>
          <w:color w:val="000000"/>
          <w:sz w:val="21"/>
          <w:szCs w:val="21"/>
        </w:rPr>
        <w:t>Yavzori</w:t>
      </w:r>
      <w:proofErr w:type="spellEnd"/>
      <w:r w:rsidRPr="002A1AD0">
        <w:rPr>
          <w:rFonts w:ascii="Book Antiqua" w:eastAsia="宋体" w:hAnsi="Book Antiqua" w:cs="宋体"/>
          <w:color w:val="000000"/>
          <w:sz w:val="21"/>
          <w:szCs w:val="21"/>
        </w:rPr>
        <w:t xml:space="preserve"> M, </w:t>
      </w:r>
      <w:proofErr w:type="spellStart"/>
      <w:r w:rsidRPr="002A1AD0">
        <w:rPr>
          <w:rFonts w:ascii="Book Antiqua" w:eastAsia="宋体" w:hAnsi="Book Antiqua" w:cs="宋体"/>
          <w:color w:val="000000"/>
          <w:sz w:val="21"/>
          <w:szCs w:val="21"/>
        </w:rPr>
        <w:t>Fudim</w:t>
      </w:r>
      <w:proofErr w:type="spellEnd"/>
      <w:r w:rsidRPr="002A1AD0">
        <w:rPr>
          <w:rFonts w:ascii="Book Antiqua" w:eastAsia="宋体" w:hAnsi="Book Antiqua" w:cs="宋体"/>
          <w:color w:val="000000"/>
          <w:sz w:val="21"/>
          <w:szCs w:val="21"/>
        </w:rPr>
        <w:t xml:space="preserve"> E, Katz L, </w:t>
      </w:r>
      <w:proofErr w:type="spellStart"/>
      <w:r w:rsidRPr="002A1AD0">
        <w:rPr>
          <w:rFonts w:ascii="Book Antiqua" w:eastAsia="宋体" w:hAnsi="Book Antiqua" w:cs="宋体"/>
          <w:color w:val="000000"/>
          <w:sz w:val="21"/>
          <w:szCs w:val="21"/>
        </w:rPr>
        <w:t>Coscas</w:t>
      </w:r>
      <w:proofErr w:type="spellEnd"/>
      <w:r w:rsidRPr="002A1AD0">
        <w:rPr>
          <w:rFonts w:ascii="Book Antiqua" w:eastAsia="宋体" w:hAnsi="Book Antiqua" w:cs="宋体"/>
          <w:color w:val="000000"/>
          <w:sz w:val="21"/>
          <w:szCs w:val="21"/>
        </w:rPr>
        <w:t xml:space="preserve"> D, Picard O, </w:t>
      </w:r>
      <w:proofErr w:type="spellStart"/>
      <w:r w:rsidRPr="002A1AD0">
        <w:rPr>
          <w:rFonts w:ascii="Book Antiqua" w:eastAsia="宋体" w:hAnsi="Book Antiqua" w:cs="宋体"/>
          <w:color w:val="000000"/>
          <w:sz w:val="21"/>
          <w:szCs w:val="21"/>
        </w:rPr>
        <w:t>Chowers</w:t>
      </w:r>
      <w:proofErr w:type="spellEnd"/>
      <w:r w:rsidRPr="002A1AD0">
        <w:rPr>
          <w:rFonts w:ascii="Book Antiqua" w:eastAsia="宋体" w:hAnsi="Book Antiqua" w:cs="宋体"/>
          <w:color w:val="000000"/>
          <w:sz w:val="21"/>
          <w:szCs w:val="21"/>
        </w:rPr>
        <w:t xml:space="preserve"> Y, </w:t>
      </w:r>
      <w:proofErr w:type="spellStart"/>
      <w:r w:rsidRPr="002A1AD0">
        <w:rPr>
          <w:rFonts w:ascii="Book Antiqua" w:eastAsia="宋体" w:hAnsi="Book Antiqua" w:cs="宋体"/>
          <w:color w:val="000000"/>
          <w:sz w:val="21"/>
          <w:szCs w:val="21"/>
        </w:rPr>
        <w:t>Eliakim</w:t>
      </w:r>
      <w:proofErr w:type="spellEnd"/>
      <w:r w:rsidRPr="002A1AD0">
        <w:rPr>
          <w:rFonts w:ascii="Book Antiqua" w:eastAsia="宋体" w:hAnsi="Book Antiqua" w:cs="宋体"/>
          <w:color w:val="000000"/>
          <w:sz w:val="21"/>
          <w:szCs w:val="21"/>
        </w:rPr>
        <w:t xml:space="preserve"> R, Ben-</w:t>
      </w:r>
      <w:proofErr w:type="spellStart"/>
      <w:r w:rsidRPr="002A1AD0">
        <w:rPr>
          <w:rFonts w:ascii="Book Antiqua" w:eastAsia="宋体" w:hAnsi="Book Antiqua" w:cs="宋体"/>
          <w:color w:val="000000"/>
          <w:sz w:val="21"/>
          <w:szCs w:val="21"/>
        </w:rPr>
        <w:t>Horin</w:t>
      </w:r>
      <w:proofErr w:type="spellEnd"/>
      <w:r w:rsidRPr="002A1AD0">
        <w:rPr>
          <w:rFonts w:ascii="Book Antiqua" w:eastAsia="宋体" w:hAnsi="Book Antiqua" w:cs="宋体"/>
          <w:color w:val="000000"/>
          <w:sz w:val="21"/>
          <w:szCs w:val="21"/>
        </w:rPr>
        <w:t xml:space="preserve"> S. Clinical utility of antihuman lambda chain-based enzyme-linked </w:t>
      </w:r>
      <w:proofErr w:type="spellStart"/>
      <w:r w:rsidRPr="002A1AD0">
        <w:rPr>
          <w:rFonts w:ascii="Book Antiqua" w:eastAsia="宋体" w:hAnsi="Book Antiqua" w:cs="宋体"/>
          <w:color w:val="000000"/>
          <w:sz w:val="21"/>
          <w:szCs w:val="21"/>
        </w:rPr>
        <w:t>immunosorbent</w:t>
      </w:r>
      <w:proofErr w:type="spellEnd"/>
      <w:r w:rsidRPr="002A1AD0">
        <w:rPr>
          <w:rFonts w:ascii="Book Antiqua" w:eastAsia="宋体" w:hAnsi="Book Antiqua" w:cs="宋体"/>
          <w:color w:val="000000"/>
          <w:sz w:val="21"/>
          <w:szCs w:val="21"/>
        </w:rPr>
        <w:t xml:space="preserve"> assay (ELISA) versus double antigen ELISA for the detection of anti-infliximab antibodies.</w:t>
      </w:r>
      <w:r w:rsidRPr="00F80032">
        <w:rPr>
          <w:rFonts w:ascii="Book Antiqua" w:eastAsia="宋体" w:hAnsi="Book Antiqua" w:cs="宋体"/>
          <w:color w:val="000000"/>
          <w:sz w:val="21"/>
          <w:szCs w:val="21"/>
        </w:rPr>
        <w:t> </w:t>
      </w:r>
      <w:proofErr w:type="spellStart"/>
      <w:r w:rsidRPr="002A1AD0">
        <w:rPr>
          <w:rFonts w:ascii="Book Antiqua" w:eastAsia="宋体" w:hAnsi="Book Antiqua" w:cs="宋体"/>
          <w:i/>
          <w:iCs/>
          <w:color w:val="000000"/>
          <w:sz w:val="21"/>
          <w:szCs w:val="21"/>
        </w:rPr>
        <w:t>Inflamm</w:t>
      </w:r>
      <w:proofErr w:type="spellEnd"/>
      <w:r w:rsidRPr="002A1AD0">
        <w:rPr>
          <w:rFonts w:ascii="Book Antiqua" w:eastAsia="宋体" w:hAnsi="Book Antiqua" w:cs="宋体"/>
          <w:i/>
          <w:iCs/>
          <w:color w:val="000000"/>
          <w:sz w:val="21"/>
          <w:szCs w:val="21"/>
        </w:rPr>
        <w:t xml:space="preserve"> Bowel Dis</w:t>
      </w:r>
      <w:r w:rsidRPr="00F80032">
        <w:rPr>
          <w:rFonts w:ascii="Book Antiqua" w:eastAsia="宋体" w:hAnsi="Book Antiqua" w:cs="宋体"/>
          <w:color w:val="000000"/>
          <w:sz w:val="21"/>
          <w:szCs w:val="21"/>
        </w:rPr>
        <w:t> </w:t>
      </w:r>
      <w:r w:rsidRPr="002A1AD0">
        <w:rPr>
          <w:rFonts w:ascii="Book Antiqua" w:eastAsia="宋体" w:hAnsi="Book Antiqua" w:cs="宋体"/>
          <w:color w:val="000000"/>
          <w:sz w:val="21"/>
          <w:szCs w:val="21"/>
        </w:rPr>
        <w:t>2012;</w:t>
      </w:r>
      <w:r w:rsidRPr="00F80032">
        <w:rPr>
          <w:rFonts w:ascii="Book Antiqua" w:eastAsia="宋体" w:hAnsi="Book Antiqua" w:cs="宋体"/>
          <w:color w:val="000000"/>
          <w:sz w:val="21"/>
          <w:szCs w:val="21"/>
        </w:rPr>
        <w:t> </w:t>
      </w:r>
      <w:r w:rsidRPr="002A1AD0">
        <w:rPr>
          <w:rFonts w:ascii="Book Antiqua" w:eastAsia="宋体" w:hAnsi="Book Antiqua" w:cs="宋体"/>
          <w:b/>
          <w:bCs/>
          <w:color w:val="000000"/>
          <w:sz w:val="21"/>
          <w:szCs w:val="21"/>
        </w:rPr>
        <w:t>18</w:t>
      </w:r>
      <w:r w:rsidRPr="002A1AD0">
        <w:rPr>
          <w:rFonts w:ascii="Book Antiqua" w:eastAsia="宋体" w:hAnsi="Book Antiqua" w:cs="宋体"/>
          <w:color w:val="000000"/>
          <w:sz w:val="21"/>
          <w:szCs w:val="21"/>
        </w:rPr>
        <w:t>: 1628-1633 [PMID: 22038899 DOI: 10.1002/ibd.21919]</w:t>
      </w:r>
    </w:p>
    <w:p w:rsidR="000A5666" w:rsidRPr="002A1AD0" w:rsidRDefault="000A5666" w:rsidP="004F172A">
      <w:pPr>
        <w:adjustRightInd w:val="0"/>
        <w:snapToGrid w:val="0"/>
        <w:spacing w:after="0" w:line="360" w:lineRule="auto"/>
        <w:jc w:val="both"/>
        <w:rPr>
          <w:rFonts w:ascii="Book Antiqua" w:eastAsia="宋体" w:hAnsi="Book Antiqua" w:cs="宋体"/>
          <w:color w:val="000000"/>
          <w:sz w:val="21"/>
          <w:szCs w:val="21"/>
        </w:rPr>
      </w:pPr>
      <w:r w:rsidRPr="002A1AD0">
        <w:rPr>
          <w:rFonts w:ascii="Book Antiqua" w:eastAsia="宋体" w:hAnsi="Book Antiqua" w:cs="宋体"/>
          <w:color w:val="000000"/>
          <w:sz w:val="21"/>
          <w:szCs w:val="21"/>
        </w:rPr>
        <w:t>12</w:t>
      </w:r>
      <w:r w:rsidRPr="00F80032">
        <w:rPr>
          <w:rFonts w:ascii="Book Antiqua" w:eastAsia="宋体" w:hAnsi="Book Antiqua" w:cs="宋体"/>
          <w:color w:val="000000"/>
          <w:sz w:val="21"/>
          <w:szCs w:val="21"/>
        </w:rPr>
        <w:t> </w:t>
      </w:r>
      <w:proofErr w:type="spellStart"/>
      <w:r w:rsidRPr="002A1AD0">
        <w:rPr>
          <w:rFonts w:ascii="Book Antiqua" w:eastAsia="宋体" w:hAnsi="Book Antiqua" w:cs="宋体"/>
          <w:b/>
          <w:bCs/>
          <w:color w:val="000000"/>
          <w:sz w:val="21"/>
          <w:szCs w:val="21"/>
        </w:rPr>
        <w:t>Vande</w:t>
      </w:r>
      <w:proofErr w:type="spellEnd"/>
      <w:r w:rsidRPr="002A1AD0">
        <w:rPr>
          <w:rFonts w:ascii="Book Antiqua" w:eastAsia="宋体" w:hAnsi="Book Antiqua" w:cs="宋体"/>
          <w:b/>
          <w:bCs/>
          <w:color w:val="000000"/>
          <w:sz w:val="21"/>
          <w:szCs w:val="21"/>
        </w:rPr>
        <w:t xml:space="preserve"> </w:t>
      </w:r>
      <w:proofErr w:type="spellStart"/>
      <w:r w:rsidRPr="002A1AD0">
        <w:rPr>
          <w:rFonts w:ascii="Book Antiqua" w:eastAsia="宋体" w:hAnsi="Book Antiqua" w:cs="宋体"/>
          <w:b/>
          <w:bCs/>
          <w:color w:val="000000"/>
          <w:sz w:val="21"/>
          <w:szCs w:val="21"/>
        </w:rPr>
        <w:t>Casteele</w:t>
      </w:r>
      <w:proofErr w:type="spellEnd"/>
      <w:r w:rsidRPr="002A1AD0">
        <w:rPr>
          <w:rFonts w:ascii="Book Antiqua" w:eastAsia="宋体" w:hAnsi="Book Antiqua" w:cs="宋体"/>
          <w:b/>
          <w:bCs/>
          <w:color w:val="000000"/>
          <w:sz w:val="21"/>
          <w:szCs w:val="21"/>
        </w:rPr>
        <w:t xml:space="preserve"> N</w:t>
      </w:r>
      <w:r w:rsidRPr="002A1AD0">
        <w:rPr>
          <w:rFonts w:ascii="Book Antiqua" w:eastAsia="宋体" w:hAnsi="Book Antiqua" w:cs="宋体"/>
          <w:color w:val="000000"/>
          <w:sz w:val="21"/>
          <w:szCs w:val="21"/>
        </w:rPr>
        <w:t xml:space="preserve">, Gils A, Singh S, </w:t>
      </w:r>
      <w:proofErr w:type="spellStart"/>
      <w:r w:rsidRPr="002A1AD0">
        <w:rPr>
          <w:rFonts w:ascii="Book Antiqua" w:eastAsia="宋体" w:hAnsi="Book Antiqua" w:cs="宋体"/>
          <w:color w:val="000000"/>
          <w:sz w:val="21"/>
          <w:szCs w:val="21"/>
        </w:rPr>
        <w:t>Ohrmund</w:t>
      </w:r>
      <w:proofErr w:type="spellEnd"/>
      <w:r w:rsidRPr="002A1AD0">
        <w:rPr>
          <w:rFonts w:ascii="Book Antiqua" w:eastAsia="宋体" w:hAnsi="Book Antiqua" w:cs="宋体"/>
          <w:color w:val="000000"/>
          <w:sz w:val="21"/>
          <w:szCs w:val="21"/>
        </w:rPr>
        <w:t xml:space="preserve"> L, </w:t>
      </w:r>
      <w:proofErr w:type="spellStart"/>
      <w:r w:rsidRPr="002A1AD0">
        <w:rPr>
          <w:rFonts w:ascii="Book Antiqua" w:eastAsia="宋体" w:hAnsi="Book Antiqua" w:cs="宋体"/>
          <w:color w:val="000000"/>
          <w:sz w:val="21"/>
          <w:szCs w:val="21"/>
        </w:rPr>
        <w:t>Hauenstein</w:t>
      </w:r>
      <w:proofErr w:type="spellEnd"/>
      <w:r w:rsidRPr="002A1AD0">
        <w:rPr>
          <w:rFonts w:ascii="Book Antiqua" w:eastAsia="宋体" w:hAnsi="Book Antiqua" w:cs="宋体"/>
          <w:color w:val="000000"/>
          <w:sz w:val="21"/>
          <w:szCs w:val="21"/>
        </w:rPr>
        <w:t xml:space="preserve"> S, </w:t>
      </w:r>
      <w:proofErr w:type="spellStart"/>
      <w:r w:rsidRPr="002A1AD0">
        <w:rPr>
          <w:rFonts w:ascii="Book Antiqua" w:eastAsia="宋体" w:hAnsi="Book Antiqua" w:cs="宋体"/>
          <w:color w:val="000000"/>
          <w:sz w:val="21"/>
          <w:szCs w:val="21"/>
        </w:rPr>
        <w:t>Rutgeerts</w:t>
      </w:r>
      <w:proofErr w:type="spellEnd"/>
      <w:r w:rsidRPr="002A1AD0">
        <w:rPr>
          <w:rFonts w:ascii="Book Antiqua" w:eastAsia="宋体" w:hAnsi="Book Antiqua" w:cs="宋体"/>
          <w:color w:val="000000"/>
          <w:sz w:val="21"/>
          <w:szCs w:val="21"/>
        </w:rPr>
        <w:t xml:space="preserve"> P, </w:t>
      </w:r>
      <w:proofErr w:type="spellStart"/>
      <w:r w:rsidRPr="002A1AD0">
        <w:rPr>
          <w:rFonts w:ascii="Book Antiqua" w:eastAsia="宋体" w:hAnsi="Book Antiqua" w:cs="宋体"/>
          <w:color w:val="000000"/>
          <w:sz w:val="21"/>
          <w:szCs w:val="21"/>
        </w:rPr>
        <w:t>Vermeire</w:t>
      </w:r>
      <w:proofErr w:type="spellEnd"/>
      <w:r w:rsidRPr="002A1AD0">
        <w:rPr>
          <w:rFonts w:ascii="Book Antiqua" w:eastAsia="宋体" w:hAnsi="Book Antiqua" w:cs="宋体"/>
          <w:color w:val="000000"/>
          <w:sz w:val="21"/>
          <w:szCs w:val="21"/>
        </w:rPr>
        <w:t xml:space="preserve"> S. Antibody response to infliximab and its impact on pharmacokinetics can be transient.</w:t>
      </w:r>
      <w:r w:rsidRPr="00F80032">
        <w:rPr>
          <w:rFonts w:ascii="Book Antiqua" w:eastAsia="宋体" w:hAnsi="Book Antiqua" w:cs="宋体"/>
          <w:color w:val="000000"/>
          <w:sz w:val="21"/>
          <w:szCs w:val="21"/>
        </w:rPr>
        <w:t> </w:t>
      </w:r>
      <w:r w:rsidRPr="002A1AD0">
        <w:rPr>
          <w:rFonts w:ascii="Book Antiqua" w:eastAsia="宋体" w:hAnsi="Book Antiqua" w:cs="宋体"/>
          <w:i/>
          <w:iCs/>
          <w:color w:val="000000"/>
          <w:sz w:val="21"/>
          <w:szCs w:val="21"/>
        </w:rPr>
        <w:t xml:space="preserve">Am J </w:t>
      </w:r>
      <w:proofErr w:type="spellStart"/>
      <w:r w:rsidRPr="002A1AD0">
        <w:rPr>
          <w:rFonts w:ascii="Book Antiqua" w:eastAsia="宋体" w:hAnsi="Book Antiqua" w:cs="宋体"/>
          <w:i/>
          <w:iCs/>
          <w:color w:val="000000"/>
          <w:sz w:val="21"/>
          <w:szCs w:val="21"/>
        </w:rPr>
        <w:t>Gastroenterol</w:t>
      </w:r>
      <w:proofErr w:type="spellEnd"/>
      <w:r w:rsidRPr="00F80032">
        <w:rPr>
          <w:rFonts w:ascii="Book Antiqua" w:eastAsia="宋体" w:hAnsi="Book Antiqua" w:cs="宋体"/>
          <w:color w:val="000000"/>
          <w:sz w:val="21"/>
          <w:szCs w:val="21"/>
        </w:rPr>
        <w:t> </w:t>
      </w:r>
      <w:r w:rsidRPr="002A1AD0">
        <w:rPr>
          <w:rFonts w:ascii="Book Antiqua" w:eastAsia="宋体" w:hAnsi="Book Antiqua" w:cs="宋体"/>
          <w:color w:val="000000"/>
          <w:sz w:val="21"/>
          <w:szCs w:val="21"/>
        </w:rPr>
        <w:t>2013;</w:t>
      </w:r>
      <w:r w:rsidRPr="00F80032">
        <w:rPr>
          <w:rFonts w:ascii="Book Antiqua" w:eastAsia="宋体" w:hAnsi="Book Antiqua" w:cs="宋体"/>
          <w:color w:val="000000"/>
          <w:sz w:val="21"/>
          <w:szCs w:val="21"/>
        </w:rPr>
        <w:t> </w:t>
      </w:r>
      <w:r w:rsidRPr="002A1AD0">
        <w:rPr>
          <w:rFonts w:ascii="Book Antiqua" w:eastAsia="宋体" w:hAnsi="Book Antiqua" w:cs="宋体"/>
          <w:b/>
          <w:bCs/>
          <w:color w:val="000000"/>
          <w:sz w:val="21"/>
          <w:szCs w:val="21"/>
        </w:rPr>
        <w:t>108</w:t>
      </w:r>
      <w:r w:rsidRPr="002A1AD0">
        <w:rPr>
          <w:rFonts w:ascii="Book Antiqua" w:eastAsia="宋体" w:hAnsi="Book Antiqua" w:cs="宋体"/>
          <w:color w:val="000000"/>
          <w:sz w:val="21"/>
          <w:szCs w:val="21"/>
        </w:rPr>
        <w:t>: 962-971 [PMID: 23419382 DOI: 10.1038/ajg.2013.12]</w:t>
      </w:r>
    </w:p>
    <w:p w:rsidR="000A5666" w:rsidRPr="002A1AD0" w:rsidRDefault="000A5666" w:rsidP="004F172A">
      <w:pPr>
        <w:adjustRightInd w:val="0"/>
        <w:snapToGrid w:val="0"/>
        <w:spacing w:after="0" w:line="360" w:lineRule="auto"/>
        <w:jc w:val="both"/>
        <w:rPr>
          <w:rFonts w:ascii="Book Antiqua" w:eastAsia="宋体" w:hAnsi="Book Antiqua" w:cs="宋体"/>
          <w:color w:val="000000"/>
          <w:sz w:val="21"/>
          <w:szCs w:val="21"/>
        </w:rPr>
      </w:pPr>
      <w:r w:rsidRPr="002A1AD0">
        <w:rPr>
          <w:rFonts w:ascii="Book Antiqua" w:eastAsia="宋体" w:hAnsi="Book Antiqua" w:cs="宋体"/>
          <w:color w:val="000000"/>
          <w:sz w:val="21"/>
          <w:szCs w:val="21"/>
        </w:rPr>
        <w:t>13</w:t>
      </w:r>
      <w:r w:rsidRPr="00F80032">
        <w:rPr>
          <w:rFonts w:ascii="Book Antiqua" w:eastAsia="宋体" w:hAnsi="Book Antiqua" w:cs="宋体"/>
          <w:color w:val="000000"/>
          <w:sz w:val="21"/>
          <w:szCs w:val="21"/>
        </w:rPr>
        <w:t> </w:t>
      </w:r>
      <w:proofErr w:type="spellStart"/>
      <w:r w:rsidRPr="002A1AD0">
        <w:rPr>
          <w:rFonts w:ascii="Book Antiqua" w:eastAsia="宋体" w:hAnsi="Book Antiqua" w:cs="宋体"/>
          <w:b/>
          <w:bCs/>
          <w:color w:val="000000"/>
          <w:sz w:val="21"/>
          <w:szCs w:val="21"/>
        </w:rPr>
        <w:t>Steenholdt</w:t>
      </w:r>
      <w:proofErr w:type="spellEnd"/>
      <w:r w:rsidRPr="002A1AD0">
        <w:rPr>
          <w:rFonts w:ascii="Book Antiqua" w:eastAsia="宋体" w:hAnsi="Book Antiqua" w:cs="宋体"/>
          <w:b/>
          <w:bCs/>
          <w:color w:val="000000"/>
          <w:sz w:val="21"/>
          <w:szCs w:val="21"/>
        </w:rPr>
        <w:t xml:space="preserve"> C</w:t>
      </w:r>
      <w:r w:rsidRPr="002A1AD0">
        <w:rPr>
          <w:rFonts w:ascii="Book Antiqua" w:eastAsia="宋体" w:hAnsi="Book Antiqua" w:cs="宋体"/>
          <w:color w:val="000000"/>
          <w:sz w:val="21"/>
          <w:szCs w:val="21"/>
        </w:rPr>
        <w:t>, Al-</w:t>
      </w:r>
      <w:proofErr w:type="spellStart"/>
      <w:r w:rsidRPr="002A1AD0">
        <w:rPr>
          <w:rFonts w:ascii="Book Antiqua" w:eastAsia="宋体" w:hAnsi="Book Antiqua" w:cs="宋体"/>
          <w:color w:val="000000"/>
          <w:sz w:val="21"/>
          <w:szCs w:val="21"/>
        </w:rPr>
        <w:t>khalaf</w:t>
      </w:r>
      <w:proofErr w:type="spellEnd"/>
      <w:r w:rsidRPr="002A1AD0">
        <w:rPr>
          <w:rFonts w:ascii="Book Antiqua" w:eastAsia="宋体" w:hAnsi="Book Antiqua" w:cs="宋体"/>
          <w:color w:val="000000"/>
          <w:sz w:val="21"/>
          <w:szCs w:val="21"/>
        </w:rPr>
        <w:t xml:space="preserve"> M, </w:t>
      </w:r>
      <w:proofErr w:type="spellStart"/>
      <w:r w:rsidRPr="002A1AD0">
        <w:rPr>
          <w:rFonts w:ascii="Book Antiqua" w:eastAsia="宋体" w:hAnsi="Book Antiqua" w:cs="宋体"/>
          <w:color w:val="000000"/>
          <w:sz w:val="21"/>
          <w:szCs w:val="21"/>
        </w:rPr>
        <w:t>Brynskov</w:t>
      </w:r>
      <w:proofErr w:type="spellEnd"/>
      <w:r w:rsidRPr="002A1AD0">
        <w:rPr>
          <w:rFonts w:ascii="Book Antiqua" w:eastAsia="宋体" w:hAnsi="Book Antiqua" w:cs="宋体"/>
          <w:color w:val="000000"/>
          <w:sz w:val="21"/>
          <w:szCs w:val="21"/>
        </w:rPr>
        <w:t xml:space="preserve"> J, </w:t>
      </w:r>
      <w:proofErr w:type="spellStart"/>
      <w:r w:rsidRPr="002A1AD0">
        <w:rPr>
          <w:rFonts w:ascii="Book Antiqua" w:eastAsia="宋体" w:hAnsi="Book Antiqua" w:cs="宋体"/>
          <w:color w:val="000000"/>
          <w:sz w:val="21"/>
          <w:szCs w:val="21"/>
        </w:rPr>
        <w:t>Bendtzen</w:t>
      </w:r>
      <w:proofErr w:type="spellEnd"/>
      <w:r w:rsidRPr="002A1AD0">
        <w:rPr>
          <w:rFonts w:ascii="Book Antiqua" w:eastAsia="宋体" w:hAnsi="Book Antiqua" w:cs="宋体"/>
          <w:color w:val="000000"/>
          <w:sz w:val="21"/>
          <w:szCs w:val="21"/>
        </w:rPr>
        <w:t xml:space="preserve"> K, Thomsen OØ, Ainsworth MA. </w:t>
      </w:r>
      <w:proofErr w:type="gramStart"/>
      <w:r w:rsidRPr="002A1AD0">
        <w:rPr>
          <w:rFonts w:ascii="Book Antiqua" w:eastAsia="宋体" w:hAnsi="Book Antiqua" w:cs="宋体"/>
          <w:color w:val="000000"/>
          <w:sz w:val="21"/>
          <w:szCs w:val="21"/>
        </w:rPr>
        <w:t xml:space="preserve">Clinical implications of variations in anti-infliximab antibody levels in patients with </w:t>
      </w:r>
      <w:r w:rsidRPr="002A1AD0">
        <w:rPr>
          <w:rFonts w:ascii="Book Antiqua" w:eastAsia="宋体" w:hAnsi="Book Antiqua" w:cs="宋体"/>
          <w:color w:val="000000"/>
          <w:sz w:val="21"/>
          <w:szCs w:val="21"/>
        </w:rPr>
        <w:lastRenderedPageBreak/>
        <w:t>inflammatory bowel disease.</w:t>
      </w:r>
      <w:proofErr w:type="gramEnd"/>
      <w:r w:rsidRPr="00F80032">
        <w:rPr>
          <w:rFonts w:ascii="Book Antiqua" w:eastAsia="宋体" w:hAnsi="Book Antiqua" w:cs="宋体"/>
          <w:color w:val="000000"/>
          <w:sz w:val="21"/>
          <w:szCs w:val="21"/>
        </w:rPr>
        <w:t> </w:t>
      </w:r>
      <w:proofErr w:type="spellStart"/>
      <w:r w:rsidRPr="002A1AD0">
        <w:rPr>
          <w:rFonts w:ascii="Book Antiqua" w:eastAsia="宋体" w:hAnsi="Book Antiqua" w:cs="宋体"/>
          <w:i/>
          <w:iCs/>
          <w:color w:val="000000"/>
          <w:sz w:val="21"/>
          <w:szCs w:val="21"/>
        </w:rPr>
        <w:t>Inflamm</w:t>
      </w:r>
      <w:proofErr w:type="spellEnd"/>
      <w:r w:rsidRPr="002A1AD0">
        <w:rPr>
          <w:rFonts w:ascii="Book Antiqua" w:eastAsia="宋体" w:hAnsi="Book Antiqua" w:cs="宋体"/>
          <w:i/>
          <w:iCs/>
          <w:color w:val="000000"/>
          <w:sz w:val="21"/>
          <w:szCs w:val="21"/>
        </w:rPr>
        <w:t xml:space="preserve"> Bowel Dis</w:t>
      </w:r>
      <w:r w:rsidRPr="00F80032">
        <w:rPr>
          <w:rFonts w:ascii="Book Antiqua" w:eastAsia="宋体" w:hAnsi="Book Antiqua" w:cs="宋体"/>
          <w:color w:val="000000"/>
          <w:sz w:val="21"/>
          <w:szCs w:val="21"/>
        </w:rPr>
        <w:t> </w:t>
      </w:r>
      <w:r w:rsidRPr="002A1AD0">
        <w:rPr>
          <w:rFonts w:ascii="Book Antiqua" w:eastAsia="宋体" w:hAnsi="Book Antiqua" w:cs="宋体"/>
          <w:color w:val="000000"/>
          <w:sz w:val="21"/>
          <w:szCs w:val="21"/>
        </w:rPr>
        <w:t>2012;</w:t>
      </w:r>
      <w:r w:rsidRPr="00F80032">
        <w:rPr>
          <w:rFonts w:ascii="Book Antiqua" w:eastAsia="宋体" w:hAnsi="Book Antiqua" w:cs="宋体"/>
          <w:color w:val="000000"/>
          <w:sz w:val="21"/>
          <w:szCs w:val="21"/>
        </w:rPr>
        <w:t> </w:t>
      </w:r>
      <w:r w:rsidRPr="002A1AD0">
        <w:rPr>
          <w:rFonts w:ascii="Book Antiqua" w:eastAsia="宋体" w:hAnsi="Book Antiqua" w:cs="宋体"/>
          <w:b/>
          <w:bCs/>
          <w:color w:val="000000"/>
          <w:sz w:val="21"/>
          <w:szCs w:val="21"/>
        </w:rPr>
        <w:t>18</w:t>
      </w:r>
      <w:r w:rsidRPr="002A1AD0">
        <w:rPr>
          <w:rFonts w:ascii="Book Antiqua" w:eastAsia="宋体" w:hAnsi="Book Antiqua" w:cs="宋体"/>
          <w:color w:val="000000"/>
          <w:sz w:val="21"/>
          <w:szCs w:val="21"/>
        </w:rPr>
        <w:t>: 2209-2217 [PMID: 22344964 DOI: 10.1002/ibd.22910]</w:t>
      </w:r>
    </w:p>
    <w:p w:rsidR="000A5666" w:rsidRPr="002A1AD0" w:rsidRDefault="000A5666" w:rsidP="004F172A">
      <w:pPr>
        <w:adjustRightInd w:val="0"/>
        <w:snapToGrid w:val="0"/>
        <w:spacing w:after="0" w:line="360" w:lineRule="auto"/>
        <w:jc w:val="both"/>
        <w:rPr>
          <w:rFonts w:ascii="Book Antiqua" w:eastAsia="宋体" w:hAnsi="Book Antiqua" w:cs="宋体"/>
          <w:color w:val="000000"/>
          <w:sz w:val="21"/>
          <w:szCs w:val="21"/>
        </w:rPr>
      </w:pPr>
      <w:r w:rsidRPr="002A1AD0">
        <w:rPr>
          <w:rFonts w:ascii="Book Antiqua" w:eastAsia="宋体" w:hAnsi="Book Antiqua" w:cs="宋体"/>
          <w:color w:val="000000"/>
          <w:sz w:val="21"/>
          <w:szCs w:val="21"/>
        </w:rPr>
        <w:t>14</w:t>
      </w:r>
      <w:r w:rsidRPr="00F80032">
        <w:rPr>
          <w:rFonts w:ascii="Book Antiqua" w:eastAsia="宋体" w:hAnsi="Book Antiqua" w:cs="宋体"/>
          <w:color w:val="000000"/>
          <w:sz w:val="21"/>
          <w:szCs w:val="21"/>
        </w:rPr>
        <w:t> </w:t>
      </w:r>
      <w:r w:rsidRPr="002A1AD0">
        <w:rPr>
          <w:rFonts w:ascii="Book Antiqua" w:eastAsia="宋体" w:hAnsi="Book Antiqua" w:cs="宋体"/>
          <w:b/>
          <w:bCs/>
          <w:color w:val="000000"/>
          <w:sz w:val="21"/>
          <w:szCs w:val="21"/>
        </w:rPr>
        <w:t>Higgins PD</w:t>
      </w:r>
      <w:r w:rsidRPr="002A1AD0">
        <w:rPr>
          <w:rFonts w:ascii="Book Antiqua" w:eastAsia="宋体" w:hAnsi="Book Antiqua" w:cs="宋体"/>
          <w:color w:val="000000"/>
          <w:sz w:val="21"/>
          <w:szCs w:val="21"/>
        </w:rPr>
        <w:t xml:space="preserve">, Schwartz M, </w:t>
      </w:r>
      <w:proofErr w:type="spellStart"/>
      <w:r w:rsidRPr="002A1AD0">
        <w:rPr>
          <w:rFonts w:ascii="Book Antiqua" w:eastAsia="宋体" w:hAnsi="Book Antiqua" w:cs="宋体"/>
          <w:color w:val="000000"/>
          <w:sz w:val="21"/>
          <w:szCs w:val="21"/>
        </w:rPr>
        <w:t>Mapili</w:t>
      </w:r>
      <w:proofErr w:type="spellEnd"/>
      <w:r w:rsidRPr="002A1AD0">
        <w:rPr>
          <w:rFonts w:ascii="Book Antiqua" w:eastAsia="宋体" w:hAnsi="Book Antiqua" w:cs="宋体"/>
          <w:color w:val="000000"/>
          <w:sz w:val="21"/>
          <w:szCs w:val="21"/>
        </w:rPr>
        <w:t xml:space="preserve"> J, </w:t>
      </w:r>
      <w:proofErr w:type="spellStart"/>
      <w:r w:rsidRPr="002A1AD0">
        <w:rPr>
          <w:rFonts w:ascii="Book Antiqua" w:eastAsia="宋体" w:hAnsi="Book Antiqua" w:cs="宋体"/>
          <w:color w:val="000000"/>
          <w:sz w:val="21"/>
          <w:szCs w:val="21"/>
        </w:rPr>
        <w:t>Krokos</w:t>
      </w:r>
      <w:proofErr w:type="spellEnd"/>
      <w:r w:rsidRPr="002A1AD0">
        <w:rPr>
          <w:rFonts w:ascii="Book Antiqua" w:eastAsia="宋体" w:hAnsi="Book Antiqua" w:cs="宋体"/>
          <w:color w:val="000000"/>
          <w:sz w:val="21"/>
          <w:szCs w:val="21"/>
        </w:rPr>
        <w:t xml:space="preserve"> I, Leung J, Zimmermann EM. Patient defined dichotomous end points for remission and clinical improvement in ulcerative colitis.</w:t>
      </w:r>
      <w:r w:rsidRPr="00F80032">
        <w:rPr>
          <w:rFonts w:ascii="Book Antiqua" w:eastAsia="宋体" w:hAnsi="Book Antiqua" w:cs="宋体"/>
          <w:color w:val="000000"/>
          <w:sz w:val="21"/>
          <w:szCs w:val="21"/>
        </w:rPr>
        <w:t> </w:t>
      </w:r>
      <w:r w:rsidRPr="002A1AD0">
        <w:rPr>
          <w:rFonts w:ascii="Book Antiqua" w:eastAsia="宋体" w:hAnsi="Book Antiqua" w:cs="宋体"/>
          <w:i/>
          <w:iCs/>
          <w:color w:val="000000"/>
          <w:sz w:val="21"/>
          <w:szCs w:val="21"/>
        </w:rPr>
        <w:t>Gut</w:t>
      </w:r>
      <w:r w:rsidRPr="00F80032">
        <w:rPr>
          <w:rFonts w:ascii="Book Antiqua" w:eastAsia="宋体" w:hAnsi="Book Antiqua" w:cs="宋体"/>
          <w:color w:val="000000"/>
          <w:sz w:val="21"/>
          <w:szCs w:val="21"/>
        </w:rPr>
        <w:t> </w:t>
      </w:r>
      <w:r w:rsidRPr="002A1AD0">
        <w:rPr>
          <w:rFonts w:ascii="Book Antiqua" w:eastAsia="宋体" w:hAnsi="Book Antiqua" w:cs="宋体"/>
          <w:color w:val="000000"/>
          <w:sz w:val="21"/>
          <w:szCs w:val="21"/>
        </w:rPr>
        <w:t>2005;</w:t>
      </w:r>
      <w:r w:rsidRPr="00F80032">
        <w:rPr>
          <w:rFonts w:ascii="Book Antiqua" w:eastAsia="宋体" w:hAnsi="Book Antiqua" w:cs="宋体"/>
          <w:color w:val="000000"/>
          <w:sz w:val="21"/>
          <w:szCs w:val="21"/>
        </w:rPr>
        <w:t> </w:t>
      </w:r>
      <w:r w:rsidRPr="002A1AD0">
        <w:rPr>
          <w:rFonts w:ascii="Book Antiqua" w:eastAsia="宋体" w:hAnsi="Book Antiqua" w:cs="宋体"/>
          <w:b/>
          <w:bCs/>
          <w:color w:val="000000"/>
          <w:sz w:val="21"/>
          <w:szCs w:val="21"/>
        </w:rPr>
        <w:t>54</w:t>
      </w:r>
      <w:r w:rsidRPr="002A1AD0">
        <w:rPr>
          <w:rFonts w:ascii="Book Antiqua" w:eastAsia="宋体" w:hAnsi="Book Antiqua" w:cs="宋体"/>
          <w:color w:val="000000"/>
          <w:sz w:val="21"/>
          <w:szCs w:val="21"/>
        </w:rPr>
        <w:t>: 782-788 [PMID: 15888785 DOI: 10.1136/gut.2004.056358]</w:t>
      </w:r>
    </w:p>
    <w:p w:rsidR="000A5666" w:rsidRPr="002A1AD0" w:rsidRDefault="000A5666" w:rsidP="004F172A">
      <w:pPr>
        <w:adjustRightInd w:val="0"/>
        <w:snapToGrid w:val="0"/>
        <w:spacing w:after="0" w:line="360" w:lineRule="auto"/>
        <w:jc w:val="both"/>
        <w:rPr>
          <w:rFonts w:ascii="Book Antiqua" w:eastAsia="宋体" w:hAnsi="Book Antiqua" w:cs="宋体"/>
          <w:color w:val="000000"/>
          <w:sz w:val="21"/>
          <w:szCs w:val="21"/>
        </w:rPr>
      </w:pPr>
      <w:proofErr w:type="gramStart"/>
      <w:r w:rsidRPr="002A1AD0">
        <w:rPr>
          <w:rFonts w:ascii="Book Antiqua" w:eastAsia="宋体" w:hAnsi="Book Antiqua" w:cs="宋体"/>
          <w:color w:val="000000"/>
          <w:sz w:val="21"/>
          <w:szCs w:val="21"/>
        </w:rPr>
        <w:t>15</w:t>
      </w:r>
      <w:r w:rsidRPr="00F80032">
        <w:rPr>
          <w:rFonts w:ascii="Book Antiqua" w:eastAsia="宋体" w:hAnsi="Book Antiqua" w:cs="宋体"/>
          <w:color w:val="000000"/>
          <w:sz w:val="21"/>
          <w:szCs w:val="21"/>
        </w:rPr>
        <w:t> </w:t>
      </w:r>
      <w:r w:rsidRPr="002A1AD0">
        <w:rPr>
          <w:rFonts w:ascii="Book Antiqua" w:eastAsia="宋体" w:hAnsi="Book Antiqua" w:cs="宋体"/>
          <w:b/>
          <w:bCs/>
          <w:color w:val="000000"/>
          <w:sz w:val="21"/>
          <w:szCs w:val="21"/>
        </w:rPr>
        <w:t>Harvey RF</w:t>
      </w:r>
      <w:r w:rsidRPr="002A1AD0">
        <w:rPr>
          <w:rFonts w:ascii="Book Antiqua" w:eastAsia="宋体" w:hAnsi="Book Antiqua" w:cs="宋体"/>
          <w:color w:val="000000"/>
          <w:sz w:val="21"/>
          <w:szCs w:val="21"/>
        </w:rPr>
        <w:t>, Bradshaw JM.</w:t>
      </w:r>
      <w:proofErr w:type="gramEnd"/>
      <w:r w:rsidRPr="002A1AD0">
        <w:rPr>
          <w:rFonts w:ascii="Book Antiqua" w:eastAsia="宋体" w:hAnsi="Book Antiqua" w:cs="宋体"/>
          <w:color w:val="000000"/>
          <w:sz w:val="21"/>
          <w:szCs w:val="21"/>
        </w:rPr>
        <w:t xml:space="preserve"> </w:t>
      </w:r>
      <w:proofErr w:type="gramStart"/>
      <w:r w:rsidRPr="002A1AD0">
        <w:rPr>
          <w:rFonts w:ascii="Book Antiqua" w:eastAsia="宋体" w:hAnsi="Book Antiqua" w:cs="宋体"/>
          <w:color w:val="000000"/>
          <w:sz w:val="21"/>
          <w:szCs w:val="21"/>
        </w:rPr>
        <w:t>A simple index of Crohn's-disease activity.</w:t>
      </w:r>
      <w:proofErr w:type="gramEnd"/>
      <w:r w:rsidRPr="00F80032">
        <w:rPr>
          <w:rFonts w:ascii="Book Antiqua" w:eastAsia="宋体" w:hAnsi="Book Antiqua" w:cs="宋体"/>
          <w:color w:val="000000"/>
          <w:sz w:val="21"/>
          <w:szCs w:val="21"/>
        </w:rPr>
        <w:t> </w:t>
      </w:r>
      <w:r w:rsidRPr="002A1AD0">
        <w:rPr>
          <w:rFonts w:ascii="Book Antiqua" w:eastAsia="宋体" w:hAnsi="Book Antiqua" w:cs="宋体"/>
          <w:i/>
          <w:iCs/>
          <w:color w:val="000000"/>
          <w:sz w:val="21"/>
          <w:szCs w:val="21"/>
        </w:rPr>
        <w:t>Lancet</w:t>
      </w:r>
      <w:r w:rsidRPr="00F80032">
        <w:rPr>
          <w:rFonts w:ascii="Book Antiqua" w:eastAsia="宋体" w:hAnsi="Book Antiqua" w:cs="宋体"/>
          <w:color w:val="000000"/>
          <w:sz w:val="21"/>
          <w:szCs w:val="21"/>
        </w:rPr>
        <w:t> </w:t>
      </w:r>
      <w:r w:rsidRPr="002A1AD0">
        <w:rPr>
          <w:rFonts w:ascii="Book Antiqua" w:eastAsia="宋体" w:hAnsi="Book Antiqua" w:cs="宋体"/>
          <w:color w:val="000000"/>
          <w:sz w:val="21"/>
          <w:szCs w:val="21"/>
        </w:rPr>
        <w:t>1980;</w:t>
      </w:r>
      <w:r w:rsidRPr="00F80032">
        <w:rPr>
          <w:rFonts w:ascii="Book Antiqua" w:eastAsia="宋体" w:hAnsi="Book Antiqua" w:cs="宋体"/>
          <w:color w:val="000000"/>
          <w:sz w:val="21"/>
          <w:szCs w:val="21"/>
        </w:rPr>
        <w:t> </w:t>
      </w:r>
      <w:r w:rsidRPr="002A1AD0">
        <w:rPr>
          <w:rFonts w:ascii="Book Antiqua" w:eastAsia="宋体" w:hAnsi="Book Antiqua" w:cs="宋体"/>
          <w:b/>
          <w:bCs/>
          <w:color w:val="000000"/>
          <w:sz w:val="21"/>
          <w:szCs w:val="21"/>
        </w:rPr>
        <w:t>1</w:t>
      </w:r>
      <w:r w:rsidRPr="002A1AD0">
        <w:rPr>
          <w:rFonts w:ascii="Book Antiqua" w:eastAsia="宋体" w:hAnsi="Book Antiqua" w:cs="宋体"/>
          <w:color w:val="000000"/>
          <w:sz w:val="21"/>
          <w:szCs w:val="21"/>
        </w:rPr>
        <w:t>: 514 [PMID: 6102236 DOI: 10.1016/S0140-6736(80)92767-1]</w:t>
      </w:r>
    </w:p>
    <w:p w:rsidR="000A5666" w:rsidRPr="002A1AD0" w:rsidRDefault="000A5666" w:rsidP="004F172A">
      <w:pPr>
        <w:adjustRightInd w:val="0"/>
        <w:snapToGrid w:val="0"/>
        <w:spacing w:after="0" w:line="360" w:lineRule="auto"/>
        <w:jc w:val="both"/>
        <w:rPr>
          <w:rFonts w:ascii="Book Antiqua" w:eastAsia="宋体" w:hAnsi="Book Antiqua" w:cs="宋体"/>
          <w:color w:val="000000"/>
          <w:sz w:val="21"/>
          <w:szCs w:val="21"/>
        </w:rPr>
      </w:pPr>
      <w:r w:rsidRPr="002A1AD0">
        <w:rPr>
          <w:rFonts w:ascii="Book Antiqua" w:eastAsia="宋体" w:hAnsi="Book Antiqua" w:cs="宋体"/>
          <w:color w:val="000000"/>
          <w:sz w:val="21"/>
          <w:szCs w:val="21"/>
        </w:rPr>
        <w:t>16</w:t>
      </w:r>
      <w:r w:rsidRPr="00F80032">
        <w:rPr>
          <w:rFonts w:ascii="Book Antiqua" w:eastAsia="宋体" w:hAnsi="Book Antiqua" w:cs="宋体"/>
          <w:color w:val="000000"/>
          <w:sz w:val="21"/>
          <w:szCs w:val="21"/>
        </w:rPr>
        <w:t> </w:t>
      </w:r>
      <w:proofErr w:type="spellStart"/>
      <w:r w:rsidRPr="002A1AD0">
        <w:rPr>
          <w:rFonts w:ascii="Book Antiqua" w:eastAsia="宋体" w:hAnsi="Book Antiqua" w:cs="宋体"/>
          <w:b/>
          <w:bCs/>
          <w:color w:val="000000"/>
          <w:sz w:val="21"/>
          <w:szCs w:val="21"/>
        </w:rPr>
        <w:t>Vermeire</w:t>
      </w:r>
      <w:proofErr w:type="spellEnd"/>
      <w:r w:rsidRPr="002A1AD0">
        <w:rPr>
          <w:rFonts w:ascii="Book Antiqua" w:eastAsia="宋体" w:hAnsi="Book Antiqua" w:cs="宋体"/>
          <w:b/>
          <w:bCs/>
          <w:color w:val="000000"/>
          <w:sz w:val="21"/>
          <w:szCs w:val="21"/>
        </w:rPr>
        <w:t xml:space="preserve"> S</w:t>
      </w:r>
      <w:r w:rsidRPr="002A1AD0">
        <w:rPr>
          <w:rFonts w:ascii="Book Antiqua" w:eastAsia="宋体" w:hAnsi="Book Antiqua" w:cs="宋体"/>
          <w:color w:val="000000"/>
          <w:sz w:val="21"/>
          <w:szCs w:val="21"/>
        </w:rPr>
        <w:t xml:space="preserve">, Schreiber S, </w:t>
      </w:r>
      <w:proofErr w:type="spellStart"/>
      <w:r w:rsidRPr="002A1AD0">
        <w:rPr>
          <w:rFonts w:ascii="Book Antiqua" w:eastAsia="宋体" w:hAnsi="Book Antiqua" w:cs="宋体"/>
          <w:color w:val="000000"/>
          <w:sz w:val="21"/>
          <w:szCs w:val="21"/>
        </w:rPr>
        <w:t>Sandborn</w:t>
      </w:r>
      <w:proofErr w:type="spellEnd"/>
      <w:r w:rsidRPr="002A1AD0">
        <w:rPr>
          <w:rFonts w:ascii="Book Antiqua" w:eastAsia="宋体" w:hAnsi="Book Antiqua" w:cs="宋体"/>
          <w:color w:val="000000"/>
          <w:sz w:val="21"/>
          <w:szCs w:val="21"/>
        </w:rPr>
        <w:t xml:space="preserve"> WJ, Dubois C, </w:t>
      </w:r>
      <w:proofErr w:type="spellStart"/>
      <w:r w:rsidRPr="002A1AD0">
        <w:rPr>
          <w:rFonts w:ascii="Book Antiqua" w:eastAsia="宋体" w:hAnsi="Book Antiqua" w:cs="宋体"/>
          <w:color w:val="000000"/>
          <w:sz w:val="21"/>
          <w:szCs w:val="21"/>
        </w:rPr>
        <w:t>Rutgeerts</w:t>
      </w:r>
      <w:proofErr w:type="spellEnd"/>
      <w:r w:rsidRPr="002A1AD0">
        <w:rPr>
          <w:rFonts w:ascii="Book Antiqua" w:eastAsia="宋体" w:hAnsi="Book Antiqua" w:cs="宋体"/>
          <w:color w:val="000000"/>
          <w:sz w:val="21"/>
          <w:szCs w:val="21"/>
        </w:rPr>
        <w:t xml:space="preserve"> P. Correlation between the Crohn's disease activity and Harvey-Bradshaw indices in assessing Crohn's disease severity.</w:t>
      </w:r>
      <w:r w:rsidRPr="00F80032">
        <w:rPr>
          <w:rFonts w:ascii="Book Antiqua" w:eastAsia="宋体" w:hAnsi="Book Antiqua" w:cs="宋体"/>
          <w:color w:val="000000"/>
          <w:sz w:val="21"/>
          <w:szCs w:val="21"/>
        </w:rPr>
        <w:t> </w:t>
      </w:r>
      <w:proofErr w:type="spellStart"/>
      <w:r w:rsidRPr="002A1AD0">
        <w:rPr>
          <w:rFonts w:ascii="Book Antiqua" w:eastAsia="宋体" w:hAnsi="Book Antiqua" w:cs="宋体"/>
          <w:i/>
          <w:iCs/>
          <w:color w:val="000000"/>
          <w:sz w:val="21"/>
          <w:szCs w:val="21"/>
        </w:rPr>
        <w:t>Clin</w:t>
      </w:r>
      <w:proofErr w:type="spellEnd"/>
      <w:r w:rsidRPr="002A1AD0">
        <w:rPr>
          <w:rFonts w:ascii="Book Antiqua" w:eastAsia="宋体" w:hAnsi="Book Antiqua" w:cs="宋体"/>
          <w:i/>
          <w:iCs/>
          <w:color w:val="000000"/>
          <w:sz w:val="21"/>
          <w:szCs w:val="21"/>
        </w:rPr>
        <w:t xml:space="preserve"> </w:t>
      </w:r>
      <w:proofErr w:type="spellStart"/>
      <w:r w:rsidRPr="002A1AD0">
        <w:rPr>
          <w:rFonts w:ascii="Book Antiqua" w:eastAsia="宋体" w:hAnsi="Book Antiqua" w:cs="宋体"/>
          <w:i/>
          <w:iCs/>
          <w:color w:val="000000"/>
          <w:sz w:val="21"/>
          <w:szCs w:val="21"/>
        </w:rPr>
        <w:t>Gastroenterol</w:t>
      </w:r>
      <w:proofErr w:type="spellEnd"/>
      <w:r w:rsidRPr="002A1AD0">
        <w:rPr>
          <w:rFonts w:ascii="Book Antiqua" w:eastAsia="宋体" w:hAnsi="Book Antiqua" w:cs="宋体"/>
          <w:i/>
          <w:iCs/>
          <w:color w:val="000000"/>
          <w:sz w:val="21"/>
          <w:szCs w:val="21"/>
        </w:rPr>
        <w:t xml:space="preserve"> </w:t>
      </w:r>
      <w:proofErr w:type="spellStart"/>
      <w:r w:rsidRPr="002A1AD0">
        <w:rPr>
          <w:rFonts w:ascii="Book Antiqua" w:eastAsia="宋体" w:hAnsi="Book Antiqua" w:cs="宋体"/>
          <w:i/>
          <w:iCs/>
          <w:color w:val="000000"/>
          <w:sz w:val="21"/>
          <w:szCs w:val="21"/>
        </w:rPr>
        <w:t>Hepatol</w:t>
      </w:r>
      <w:proofErr w:type="spellEnd"/>
      <w:r w:rsidRPr="00F80032">
        <w:rPr>
          <w:rFonts w:ascii="Book Antiqua" w:eastAsia="宋体" w:hAnsi="Book Antiqua" w:cs="宋体"/>
          <w:color w:val="000000"/>
          <w:sz w:val="21"/>
          <w:szCs w:val="21"/>
        </w:rPr>
        <w:t> </w:t>
      </w:r>
      <w:r w:rsidRPr="002A1AD0">
        <w:rPr>
          <w:rFonts w:ascii="Book Antiqua" w:eastAsia="宋体" w:hAnsi="Book Antiqua" w:cs="宋体"/>
          <w:color w:val="000000"/>
          <w:sz w:val="21"/>
          <w:szCs w:val="21"/>
        </w:rPr>
        <w:t>2010;</w:t>
      </w:r>
      <w:r w:rsidRPr="00F80032">
        <w:rPr>
          <w:rFonts w:ascii="Book Antiqua" w:eastAsia="宋体" w:hAnsi="Book Antiqua" w:cs="宋体"/>
          <w:color w:val="000000"/>
          <w:sz w:val="21"/>
          <w:szCs w:val="21"/>
        </w:rPr>
        <w:t> </w:t>
      </w:r>
      <w:r w:rsidRPr="002A1AD0">
        <w:rPr>
          <w:rFonts w:ascii="Book Antiqua" w:eastAsia="宋体" w:hAnsi="Book Antiqua" w:cs="宋体"/>
          <w:b/>
          <w:bCs/>
          <w:color w:val="000000"/>
          <w:sz w:val="21"/>
          <w:szCs w:val="21"/>
        </w:rPr>
        <w:t>8</w:t>
      </w:r>
      <w:r w:rsidRPr="002A1AD0">
        <w:rPr>
          <w:rFonts w:ascii="Book Antiqua" w:eastAsia="宋体" w:hAnsi="Book Antiqua" w:cs="宋体"/>
          <w:color w:val="000000"/>
          <w:sz w:val="21"/>
          <w:szCs w:val="21"/>
        </w:rPr>
        <w:t>: 357-363 [PMID: 20096379 DOI: 10.1016/j.cgh.2010.01.001]</w:t>
      </w:r>
    </w:p>
    <w:p w:rsidR="000A5666" w:rsidRPr="002A1AD0" w:rsidRDefault="000A5666" w:rsidP="004F172A">
      <w:pPr>
        <w:adjustRightInd w:val="0"/>
        <w:snapToGrid w:val="0"/>
        <w:spacing w:after="0" w:line="360" w:lineRule="auto"/>
        <w:jc w:val="both"/>
        <w:rPr>
          <w:rFonts w:ascii="Book Antiqua" w:eastAsia="宋体" w:hAnsi="Book Antiqua" w:cs="宋体"/>
          <w:color w:val="000000"/>
          <w:sz w:val="21"/>
          <w:szCs w:val="21"/>
        </w:rPr>
      </w:pPr>
      <w:r w:rsidRPr="002A1AD0">
        <w:rPr>
          <w:rFonts w:ascii="Book Antiqua" w:eastAsia="宋体" w:hAnsi="Book Antiqua" w:cs="宋体"/>
          <w:color w:val="000000"/>
          <w:sz w:val="21"/>
          <w:szCs w:val="21"/>
        </w:rPr>
        <w:t>17</w:t>
      </w:r>
      <w:r w:rsidRPr="00F80032">
        <w:rPr>
          <w:rFonts w:ascii="Book Antiqua" w:eastAsia="宋体" w:hAnsi="Book Antiqua" w:cs="宋体"/>
          <w:color w:val="000000"/>
          <w:sz w:val="21"/>
          <w:szCs w:val="21"/>
        </w:rPr>
        <w:t> </w:t>
      </w:r>
      <w:r w:rsidRPr="002A1AD0">
        <w:rPr>
          <w:rFonts w:ascii="Book Antiqua" w:eastAsia="宋体" w:hAnsi="Book Antiqua" w:cs="宋体"/>
          <w:b/>
          <w:bCs/>
          <w:color w:val="000000"/>
          <w:sz w:val="21"/>
          <w:szCs w:val="21"/>
        </w:rPr>
        <w:t>Ben-</w:t>
      </w:r>
      <w:proofErr w:type="spellStart"/>
      <w:r w:rsidRPr="002A1AD0">
        <w:rPr>
          <w:rFonts w:ascii="Book Antiqua" w:eastAsia="宋体" w:hAnsi="Book Antiqua" w:cs="宋体"/>
          <w:b/>
          <w:bCs/>
          <w:color w:val="000000"/>
          <w:sz w:val="21"/>
          <w:szCs w:val="21"/>
        </w:rPr>
        <w:t>Horin</w:t>
      </w:r>
      <w:proofErr w:type="spellEnd"/>
      <w:r w:rsidRPr="002A1AD0">
        <w:rPr>
          <w:rFonts w:ascii="Book Antiqua" w:eastAsia="宋体" w:hAnsi="Book Antiqua" w:cs="宋体"/>
          <w:b/>
          <w:bCs/>
          <w:color w:val="000000"/>
          <w:sz w:val="21"/>
          <w:szCs w:val="21"/>
        </w:rPr>
        <w:t xml:space="preserve"> S</w:t>
      </w:r>
      <w:r w:rsidRPr="002A1AD0">
        <w:rPr>
          <w:rFonts w:ascii="Book Antiqua" w:eastAsia="宋体" w:hAnsi="Book Antiqua" w:cs="宋体"/>
          <w:color w:val="000000"/>
          <w:sz w:val="21"/>
          <w:szCs w:val="21"/>
        </w:rPr>
        <w:t xml:space="preserve">, </w:t>
      </w:r>
      <w:proofErr w:type="spellStart"/>
      <w:r w:rsidRPr="002A1AD0">
        <w:rPr>
          <w:rFonts w:ascii="Book Antiqua" w:eastAsia="宋体" w:hAnsi="Book Antiqua" w:cs="宋体"/>
          <w:color w:val="000000"/>
          <w:sz w:val="21"/>
          <w:szCs w:val="21"/>
        </w:rPr>
        <w:t>Yavzori</w:t>
      </w:r>
      <w:proofErr w:type="spellEnd"/>
      <w:r w:rsidRPr="002A1AD0">
        <w:rPr>
          <w:rFonts w:ascii="Book Antiqua" w:eastAsia="宋体" w:hAnsi="Book Antiqua" w:cs="宋体"/>
          <w:color w:val="000000"/>
          <w:sz w:val="21"/>
          <w:szCs w:val="21"/>
        </w:rPr>
        <w:t xml:space="preserve"> M, Katz L, </w:t>
      </w:r>
      <w:proofErr w:type="spellStart"/>
      <w:r w:rsidRPr="002A1AD0">
        <w:rPr>
          <w:rFonts w:ascii="Book Antiqua" w:eastAsia="宋体" w:hAnsi="Book Antiqua" w:cs="宋体"/>
          <w:color w:val="000000"/>
          <w:sz w:val="21"/>
          <w:szCs w:val="21"/>
        </w:rPr>
        <w:t>Kopylov</w:t>
      </w:r>
      <w:proofErr w:type="spellEnd"/>
      <w:r w:rsidRPr="002A1AD0">
        <w:rPr>
          <w:rFonts w:ascii="Book Antiqua" w:eastAsia="宋体" w:hAnsi="Book Antiqua" w:cs="宋体"/>
          <w:color w:val="000000"/>
          <w:sz w:val="21"/>
          <w:szCs w:val="21"/>
        </w:rPr>
        <w:t xml:space="preserve"> U, Picard O, </w:t>
      </w:r>
      <w:proofErr w:type="spellStart"/>
      <w:r w:rsidRPr="002A1AD0">
        <w:rPr>
          <w:rFonts w:ascii="Book Antiqua" w:eastAsia="宋体" w:hAnsi="Book Antiqua" w:cs="宋体"/>
          <w:color w:val="000000"/>
          <w:sz w:val="21"/>
          <w:szCs w:val="21"/>
        </w:rPr>
        <w:t>Fudim</w:t>
      </w:r>
      <w:proofErr w:type="spellEnd"/>
      <w:r w:rsidRPr="002A1AD0">
        <w:rPr>
          <w:rFonts w:ascii="Book Antiqua" w:eastAsia="宋体" w:hAnsi="Book Antiqua" w:cs="宋体"/>
          <w:color w:val="000000"/>
          <w:sz w:val="21"/>
          <w:szCs w:val="21"/>
        </w:rPr>
        <w:t xml:space="preserve"> E, </w:t>
      </w:r>
      <w:proofErr w:type="spellStart"/>
      <w:r w:rsidRPr="002A1AD0">
        <w:rPr>
          <w:rFonts w:ascii="Book Antiqua" w:eastAsia="宋体" w:hAnsi="Book Antiqua" w:cs="宋体"/>
          <w:color w:val="000000"/>
          <w:sz w:val="21"/>
          <w:szCs w:val="21"/>
        </w:rPr>
        <w:t>Coscas</w:t>
      </w:r>
      <w:proofErr w:type="spellEnd"/>
      <w:r w:rsidRPr="002A1AD0">
        <w:rPr>
          <w:rFonts w:ascii="Book Antiqua" w:eastAsia="宋体" w:hAnsi="Book Antiqua" w:cs="宋体"/>
          <w:color w:val="000000"/>
          <w:sz w:val="21"/>
          <w:szCs w:val="21"/>
        </w:rPr>
        <w:t xml:space="preserve"> D, Bar-Meir S, Goldstein I, </w:t>
      </w:r>
      <w:proofErr w:type="spellStart"/>
      <w:r w:rsidRPr="002A1AD0">
        <w:rPr>
          <w:rFonts w:ascii="Book Antiqua" w:eastAsia="宋体" w:hAnsi="Book Antiqua" w:cs="宋体"/>
          <w:color w:val="000000"/>
          <w:sz w:val="21"/>
          <w:szCs w:val="21"/>
        </w:rPr>
        <w:t>Chowers</w:t>
      </w:r>
      <w:proofErr w:type="spellEnd"/>
      <w:r w:rsidRPr="002A1AD0">
        <w:rPr>
          <w:rFonts w:ascii="Book Antiqua" w:eastAsia="宋体" w:hAnsi="Book Antiqua" w:cs="宋体"/>
          <w:color w:val="000000"/>
          <w:sz w:val="21"/>
          <w:szCs w:val="21"/>
        </w:rPr>
        <w:t xml:space="preserve"> Y. The immunogenic part of infliximab is the </w:t>
      </w:r>
      <w:proofErr w:type="gramStart"/>
      <w:r w:rsidRPr="002A1AD0">
        <w:rPr>
          <w:rFonts w:ascii="Book Antiqua" w:eastAsia="宋体" w:hAnsi="Book Antiqua" w:cs="宋体"/>
          <w:color w:val="000000"/>
          <w:sz w:val="21"/>
          <w:szCs w:val="21"/>
        </w:rPr>
        <w:t>F(</w:t>
      </w:r>
      <w:proofErr w:type="gramEnd"/>
      <w:r w:rsidRPr="002A1AD0">
        <w:rPr>
          <w:rFonts w:ascii="Book Antiqua" w:eastAsia="宋体" w:hAnsi="Book Antiqua" w:cs="宋体"/>
          <w:color w:val="000000"/>
          <w:sz w:val="21"/>
          <w:szCs w:val="21"/>
        </w:rPr>
        <w:t>ab')2, but measuring antibodies to the intact infliximab molecule is more clinically useful.</w:t>
      </w:r>
      <w:r w:rsidRPr="00F80032">
        <w:rPr>
          <w:rFonts w:ascii="Book Antiqua" w:eastAsia="宋体" w:hAnsi="Book Antiqua" w:cs="宋体"/>
          <w:color w:val="000000"/>
          <w:sz w:val="21"/>
          <w:szCs w:val="21"/>
        </w:rPr>
        <w:t> </w:t>
      </w:r>
      <w:r w:rsidRPr="002A1AD0">
        <w:rPr>
          <w:rFonts w:ascii="Book Antiqua" w:eastAsia="宋体" w:hAnsi="Book Antiqua" w:cs="宋体"/>
          <w:i/>
          <w:iCs/>
          <w:color w:val="000000"/>
          <w:sz w:val="21"/>
          <w:szCs w:val="21"/>
        </w:rPr>
        <w:t>Gut</w:t>
      </w:r>
      <w:r w:rsidRPr="00F80032">
        <w:rPr>
          <w:rFonts w:ascii="Book Antiqua" w:eastAsia="宋体" w:hAnsi="Book Antiqua" w:cs="宋体"/>
          <w:color w:val="000000"/>
          <w:sz w:val="21"/>
          <w:szCs w:val="21"/>
        </w:rPr>
        <w:t> </w:t>
      </w:r>
      <w:r w:rsidRPr="002A1AD0">
        <w:rPr>
          <w:rFonts w:ascii="Book Antiqua" w:eastAsia="宋体" w:hAnsi="Book Antiqua" w:cs="宋体"/>
          <w:color w:val="000000"/>
          <w:sz w:val="21"/>
          <w:szCs w:val="21"/>
        </w:rPr>
        <w:t>2011;</w:t>
      </w:r>
      <w:r w:rsidRPr="00F80032">
        <w:rPr>
          <w:rFonts w:ascii="Book Antiqua" w:eastAsia="宋体" w:hAnsi="Book Antiqua" w:cs="宋体"/>
          <w:color w:val="000000"/>
          <w:sz w:val="21"/>
          <w:szCs w:val="21"/>
        </w:rPr>
        <w:t> </w:t>
      </w:r>
      <w:r w:rsidRPr="002A1AD0">
        <w:rPr>
          <w:rFonts w:ascii="Book Antiqua" w:eastAsia="宋体" w:hAnsi="Book Antiqua" w:cs="宋体"/>
          <w:b/>
          <w:bCs/>
          <w:color w:val="000000"/>
          <w:sz w:val="21"/>
          <w:szCs w:val="21"/>
        </w:rPr>
        <w:t>60</w:t>
      </w:r>
      <w:r w:rsidRPr="002A1AD0">
        <w:rPr>
          <w:rFonts w:ascii="Book Antiqua" w:eastAsia="宋体" w:hAnsi="Book Antiqua" w:cs="宋体"/>
          <w:color w:val="000000"/>
          <w:sz w:val="21"/>
          <w:szCs w:val="21"/>
        </w:rPr>
        <w:t>: 41-48 [PMID: 20519742 DOI: 10.1136/gut.2009.201533]</w:t>
      </w:r>
    </w:p>
    <w:p w:rsidR="000A5666" w:rsidRPr="002A1AD0" w:rsidRDefault="000A5666" w:rsidP="004F172A">
      <w:pPr>
        <w:adjustRightInd w:val="0"/>
        <w:snapToGrid w:val="0"/>
        <w:spacing w:after="0" w:line="360" w:lineRule="auto"/>
        <w:jc w:val="both"/>
        <w:rPr>
          <w:rFonts w:ascii="Book Antiqua" w:eastAsia="宋体" w:hAnsi="Book Antiqua" w:cs="宋体"/>
          <w:color w:val="000000"/>
          <w:sz w:val="21"/>
          <w:szCs w:val="21"/>
        </w:rPr>
      </w:pPr>
      <w:r w:rsidRPr="002A1AD0">
        <w:rPr>
          <w:rFonts w:ascii="Book Antiqua" w:eastAsia="宋体" w:hAnsi="Book Antiqua" w:cs="宋体"/>
          <w:color w:val="000000"/>
          <w:sz w:val="21"/>
          <w:szCs w:val="21"/>
        </w:rPr>
        <w:t>18</w:t>
      </w:r>
      <w:r w:rsidRPr="00F80032">
        <w:rPr>
          <w:rFonts w:ascii="Book Antiqua" w:eastAsia="宋体" w:hAnsi="Book Antiqua" w:cs="宋体"/>
          <w:color w:val="000000"/>
          <w:sz w:val="21"/>
          <w:szCs w:val="21"/>
        </w:rPr>
        <w:t> </w:t>
      </w:r>
      <w:proofErr w:type="spellStart"/>
      <w:r w:rsidRPr="002A1AD0">
        <w:rPr>
          <w:rFonts w:ascii="Book Antiqua" w:eastAsia="宋体" w:hAnsi="Book Antiqua" w:cs="宋体"/>
          <w:b/>
          <w:bCs/>
          <w:color w:val="000000"/>
          <w:sz w:val="21"/>
          <w:szCs w:val="21"/>
        </w:rPr>
        <w:t>Nirula</w:t>
      </w:r>
      <w:proofErr w:type="spellEnd"/>
      <w:r w:rsidRPr="002A1AD0">
        <w:rPr>
          <w:rFonts w:ascii="Book Antiqua" w:eastAsia="宋体" w:hAnsi="Book Antiqua" w:cs="宋体"/>
          <w:b/>
          <w:bCs/>
          <w:color w:val="000000"/>
          <w:sz w:val="21"/>
          <w:szCs w:val="21"/>
        </w:rPr>
        <w:t xml:space="preserve"> A</w:t>
      </w:r>
      <w:r w:rsidRPr="002A1AD0">
        <w:rPr>
          <w:rFonts w:ascii="Book Antiqua" w:eastAsia="宋体" w:hAnsi="Book Antiqua" w:cs="宋体"/>
          <w:color w:val="000000"/>
          <w:sz w:val="21"/>
          <w:szCs w:val="21"/>
        </w:rPr>
        <w:t xml:space="preserve">, Glaser SM, </w:t>
      </w:r>
      <w:proofErr w:type="spellStart"/>
      <w:r w:rsidRPr="002A1AD0">
        <w:rPr>
          <w:rFonts w:ascii="Book Antiqua" w:eastAsia="宋体" w:hAnsi="Book Antiqua" w:cs="宋体"/>
          <w:color w:val="000000"/>
          <w:sz w:val="21"/>
          <w:szCs w:val="21"/>
        </w:rPr>
        <w:t>Kalled</w:t>
      </w:r>
      <w:proofErr w:type="spellEnd"/>
      <w:r w:rsidRPr="002A1AD0">
        <w:rPr>
          <w:rFonts w:ascii="Book Antiqua" w:eastAsia="宋体" w:hAnsi="Book Antiqua" w:cs="宋体"/>
          <w:color w:val="000000"/>
          <w:sz w:val="21"/>
          <w:szCs w:val="21"/>
        </w:rPr>
        <w:t xml:space="preserve"> SL, Taylor FR. What is IgG4? </w:t>
      </w:r>
      <w:proofErr w:type="gramStart"/>
      <w:r w:rsidRPr="002A1AD0">
        <w:rPr>
          <w:rFonts w:ascii="Book Antiqua" w:eastAsia="宋体" w:hAnsi="Book Antiqua" w:cs="宋体"/>
          <w:color w:val="000000"/>
          <w:sz w:val="21"/>
          <w:szCs w:val="21"/>
        </w:rPr>
        <w:t>A review of the biology of a unique immunoglobulin subtype.</w:t>
      </w:r>
      <w:proofErr w:type="gramEnd"/>
      <w:r w:rsidRPr="00F80032">
        <w:rPr>
          <w:rFonts w:ascii="Book Antiqua" w:eastAsia="宋体" w:hAnsi="Book Antiqua" w:cs="宋体"/>
          <w:color w:val="000000"/>
          <w:sz w:val="21"/>
          <w:szCs w:val="21"/>
        </w:rPr>
        <w:t> </w:t>
      </w:r>
      <w:proofErr w:type="spellStart"/>
      <w:r w:rsidRPr="002A1AD0">
        <w:rPr>
          <w:rFonts w:ascii="Book Antiqua" w:eastAsia="宋体" w:hAnsi="Book Antiqua" w:cs="宋体"/>
          <w:i/>
          <w:iCs/>
          <w:color w:val="000000"/>
          <w:sz w:val="21"/>
          <w:szCs w:val="21"/>
        </w:rPr>
        <w:t>Curr</w:t>
      </w:r>
      <w:proofErr w:type="spellEnd"/>
      <w:r w:rsidRPr="002A1AD0">
        <w:rPr>
          <w:rFonts w:ascii="Book Antiqua" w:eastAsia="宋体" w:hAnsi="Book Antiqua" w:cs="宋体"/>
          <w:i/>
          <w:iCs/>
          <w:color w:val="000000"/>
          <w:sz w:val="21"/>
          <w:szCs w:val="21"/>
        </w:rPr>
        <w:t xml:space="preserve"> </w:t>
      </w:r>
      <w:proofErr w:type="spellStart"/>
      <w:r w:rsidRPr="002A1AD0">
        <w:rPr>
          <w:rFonts w:ascii="Book Antiqua" w:eastAsia="宋体" w:hAnsi="Book Antiqua" w:cs="宋体"/>
          <w:i/>
          <w:iCs/>
          <w:color w:val="000000"/>
          <w:sz w:val="21"/>
          <w:szCs w:val="21"/>
        </w:rPr>
        <w:t>Opin</w:t>
      </w:r>
      <w:proofErr w:type="spellEnd"/>
      <w:r w:rsidRPr="002A1AD0">
        <w:rPr>
          <w:rFonts w:ascii="Book Antiqua" w:eastAsia="宋体" w:hAnsi="Book Antiqua" w:cs="宋体"/>
          <w:i/>
          <w:iCs/>
          <w:color w:val="000000"/>
          <w:sz w:val="21"/>
          <w:szCs w:val="21"/>
        </w:rPr>
        <w:t xml:space="preserve"> </w:t>
      </w:r>
      <w:proofErr w:type="spellStart"/>
      <w:r w:rsidRPr="002A1AD0">
        <w:rPr>
          <w:rFonts w:ascii="Book Antiqua" w:eastAsia="宋体" w:hAnsi="Book Antiqua" w:cs="宋体"/>
          <w:i/>
          <w:iCs/>
          <w:color w:val="000000"/>
          <w:sz w:val="21"/>
          <w:szCs w:val="21"/>
        </w:rPr>
        <w:t>Rheumatol</w:t>
      </w:r>
      <w:proofErr w:type="spellEnd"/>
      <w:r w:rsidRPr="00F80032">
        <w:rPr>
          <w:rFonts w:ascii="Book Antiqua" w:eastAsia="宋体" w:hAnsi="Book Antiqua" w:cs="宋体"/>
          <w:color w:val="000000"/>
          <w:sz w:val="21"/>
          <w:szCs w:val="21"/>
        </w:rPr>
        <w:t> </w:t>
      </w:r>
      <w:r w:rsidRPr="002A1AD0">
        <w:rPr>
          <w:rFonts w:ascii="Book Antiqua" w:eastAsia="宋体" w:hAnsi="Book Antiqua" w:cs="宋体"/>
          <w:color w:val="000000"/>
          <w:sz w:val="21"/>
          <w:szCs w:val="21"/>
        </w:rPr>
        <w:t>2011;</w:t>
      </w:r>
      <w:r w:rsidRPr="00F80032">
        <w:rPr>
          <w:rFonts w:ascii="Book Antiqua" w:eastAsia="宋体" w:hAnsi="Book Antiqua" w:cs="宋体"/>
          <w:color w:val="000000"/>
          <w:sz w:val="21"/>
          <w:szCs w:val="21"/>
        </w:rPr>
        <w:t> </w:t>
      </w:r>
      <w:r w:rsidRPr="002A1AD0">
        <w:rPr>
          <w:rFonts w:ascii="Book Antiqua" w:eastAsia="宋体" w:hAnsi="Book Antiqua" w:cs="宋体"/>
          <w:b/>
          <w:bCs/>
          <w:color w:val="000000"/>
          <w:sz w:val="21"/>
          <w:szCs w:val="21"/>
        </w:rPr>
        <w:t>23</w:t>
      </w:r>
      <w:r w:rsidRPr="002A1AD0">
        <w:rPr>
          <w:rFonts w:ascii="Book Antiqua" w:eastAsia="宋体" w:hAnsi="Book Antiqua" w:cs="宋体"/>
          <w:color w:val="000000"/>
          <w:sz w:val="21"/>
          <w:szCs w:val="21"/>
        </w:rPr>
        <w:t>: 119-124 [PMID: 21124094 DOI: 10.1097/BOR.0b013e3283412fd4]</w:t>
      </w:r>
    </w:p>
    <w:p w:rsidR="000A5666" w:rsidRPr="002A1AD0" w:rsidRDefault="000A5666" w:rsidP="004F172A">
      <w:pPr>
        <w:adjustRightInd w:val="0"/>
        <w:snapToGrid w:val="0"/>
        <w:spacing w:after="0" w:line="360" w:lineRule="auto"/>
        <w:jc w:val="both"/>
        <w:rPr>
          <w:rFonts w:ascii="Book Antiqua" w:eastAsia="宋体" w:hAnsi="Book Antiqua" w:cs="宋体"/>
          <w:color w:val="000000"/>
          <w:sz w:val="21"/>
          <w:szCs w:val="21"/>
        </w:rPr>
      </w:pPr>
      <w:r w:rsidRPr="002A1AD0">
        <w:rPr>
          <w:rFonts w:ascii="Book Antiqua" w:eastAsia="宋体" w:hAnsi="Book Antiqua" w:cs="宋体"/>
          <w:color w:val="000000"/>
          <w:sz w:val="21"/>
          <w:szCs w:val="21"/>
        </w:rPr>
        <w:t>19</w:t>
      </w:r>
      <w:r w:rsidRPr="00F80032">
        <w:rPr>
          <w:rFonts w:ascii="Book Antiqua" w:eastAsia="宋体" w:hAnsi="Book Antiqua" w:cs="宋体"/>
          <w:color w:val="000000"/>
          <w:sz w:val="21"/>
          <w:szCs w:val="21"/>
        </w:rPr>
        <w:t> </w:t>
      </w:r>
      <w:proofErr w:type="spellStart"/>
      <w:r w:rsidRPr="002A1AD0">
        <w:rPr>
          <w:rFonts w:ascii="Book Antiqua" w:eastAsia="宋体" w:hAnsi="Book Antiqua" w:cs="宋体"/>
          <w:b/>
          <w:bCs/>
          <w:color w:val="000000"/>
          <w:sz w:val="21"/>
          <w:szCs w:val="21"/>
        </w:rPr>
        <w:t>Afif</w:t>
      </w:r>
      <w:proofErr w:type="spellEnd"/>
      <w:r w:rsidRPr="002A1AD0">
        <w:rPr>
          <w:rFonts w:ascii="Book Antiqua" w:eastAsia="宋体" w:hAnsi="Book Antiqua" w:cs="宋体"/>
          <w:b/>
          <w:bCs/>
          <w:color w:val="000000"/>
          <w:sz w:val="21"/>
          <w:szCs w:val="21"/>
        </w:rPr>
        <w:t xml:space="preserve"> W</w:t>
      </w:r>
      <w:r w:rsidRPr="002A1AD0">
        <w:rPr>
          <w:rFonts w:ascii="Book Antiqua" w:eastAsia="宋体" w:hAnsi="Book Antiqua" w:cs="宋体"/>
          <w:color w:val="000000"/>
          <w:sz w:val="21"/>
          <w:szCs w:val="21"/>
        </w:rPr>
        <w:t xml:space="preserve">, Loftus EV, </w:t>
      </w:r>
      <w:proofErr w:type="spellStart"/>
      <w:r w:rsidRPr="002A1AD0">
        <w:rPr>
          <w:rFonts w:ascii="Book Antiqua" w:eastAsia="宋体" w:hAnsi="Book Antiqua" w:cs="宋体"/>
          <w:color w:val="000000"/>
          <w:sz w:val="21"/>
          <w:szCs w:val="21"/>
        </w:rPr>
        <w:t>Faubion</w:t>
      </w:r>
      <w:proofErr w:type="spellEnd"/>
      <w:r w:rsidRPr="002A1AD0">
        <w:rPr>
          <w:rFonts w:ascii="Book Antiqua" w:eastAsia="宋体" w:hAnsi="Book Antiqua" w:cs="宋体"/>
          <w:color w:val="000000"/>
          <w:sz w:val="21"/>
          <w:szCs w:val="21"/>
        </w:rPr>
        <w:t xml:space="preserve"> WA, Kane SV, </w:t>
      </w:r>
      <w:proofErr w:type="spellStart"/>
      <w:r w:rsidRPr="002A1AD0">
        <w:rPr>
          <w:rFonts w:ascii="Book Antiqua" w:eastAsia="宋体" w:hAnsi="Book Antiqua" w:cs="宋体"/>
          <w:color w:val="000000"/>
          <w:sz w:val="21"/>
          <w:szCs w:val="21"/>
        </w:rPr>
        <w:t>Bruining</w:t>
      </w:r>
      <w:proofErr w:type="spellEnd"/>
      <w:r w:rsidRPr="002A1AD0">
        <w:rPr>
          <w:rFonts w:ascii="Book Antiqua" w:eastAsia="宋体" w:hAnsi="Book Antiqua" w:cs="宋体"/>
          <w:color w:val="000000"/>
          <w:sz w:val="21"/>
          <w:szCs w:val="21"/>
        </w:rPr>
        <w:t xml:space="preserve"> DH, Hanson KA, </w:t>
      </w:r>
      <w:proofErr w:type="spellStart"/>
      <w:r w:rsidRPr="002A1AD0">
        <w:rPr>
          <w:rFonts w:ascii="Book Antiqua" w:eastAsia="宋体" w:hAnsi="Book Antiqua" w:cs="宋体"/>
          <w:color w:val="000000"/>
          <w:sz w:val="21"/>
          <w:szCs w:val="21"/>
        </w:rPr>
        <w:t>Sandborn</w:t>
      </w:r>
      <w:proofErr w:type="spellEnd"/>
      <w:r w:rsidRPr="002A1AD0">
        <w:rPr>
          <w:rFonts w:ascii="Book Antiqua" w:eastAsia="宋体" w:hAnsi="Book Antiqua" w:cs="宋体"/>
          <w:color w:val="000000"/>
          <w:sz w:val="21"/>
          <w:szCs w:val="21"/>
        </w:rPr>
        <w:t xml:space="preserve"> WJ. </w:t>
      </w:r>
      <w:proofErr w:type="gramStart"/>
      <w:r w:rsidRPr="002A1AD0">
        <w:rPr>
          <w:rFonts w:ascii="Book Antiqua" w:eastAsia="宋体" w:hAnsi="Book Antiqua" w:cs="宋体"/>
          <w:color w:val="000000"/>
          <w:sz w:val="21"/>
          <w:szCs w:val="21"/>
        </w:rPr>
        <w:t>Clinical utility of measuring infliximab and human anti-chimeric antibody concentrations in patients with inflammatory bowel disease.</w:t>
      </w:r>
      <w:proofErr w:type="gramEnd"/>
      <w:r w:rsidRPr="00F80032">
        <w:rPr>
          <w:rFonts w:ascii="Book Antiqua" w:eastAsia="宋体" w:hAnsi="Book Antiqua" w:cs="宋体"/>
          <w:color w:val="000000"/>
          <w:sz w:val="21"/>
          <w:szCs w:val="21"/>
        </w:rPr>
        <w:t> </w:t>
      </w:r>
      <w:r w:rsidRPr="002A1AD0">
        <w:rPr>
          <w:rFonts w:ascii="Book Antiqua" w:eastAsia="宋体" w:hAnsi="Book Antiqua" w:cs="宋体"/>
          <w:i/>
          <w:iCs/>
          <w:color w:val="000000"/>
          <w:sz w:val="21"/>
          <w:szCs w:val="21"/>
        </w:rPr>
        <w:t xml:space="preserve">Am J </w:t>
      </w:r>
      <w:proofErr w:type="spellStart"/>
      <w:r w:rsidRPr="002A1AD0">
        <w:rPr>
          <w:rFonts w:ascii="Book Antiqua" w:eastAsia="宋体" w:hAnsi="Book Antiqua" w:cs="宋体"/>
          <w:i/>
          <w:iCs/>
          <w:color w:val="000000"/>
          <w:sz w:val="21"/>
          <w:szCs w:val="21"/>
        </w:rPr>
        <w:t>Gastroenterol</w:t>
      </w:r>
      <w:proofErr w:type="spellEnd"/>
      <w:r w:rsidRPr="00F80032">
        <w:rPr>
          <w:rFonts w:ascii="Book Antiqua" w:eastAsia="宋体" w:hAnsi="Book Antiqua" w:cs="宋体"/>
          <w:color w:val="000000"/>
          <w:sz w:val="21"/>
          <w:szCs w:val="21"/>
        </w:rPr>
        <w:t> </w:t>
      </w:r>
      <w:r w:rsidRPr="002A1AD0">
        <w:rPr>
          <w:rFonts w:ascii="Book Antiqua" w:eastAsia="宋体" w:hAnsi="Book Antiqua" w:cs="宋体"/>
          <w:color w:val="000000"/>
          <w:sz w:val="21"/>
          <w:szCs w:val="21"/>
        </w:rPr>
        <w:t>2010;</w:t>
      </w:r>
      <w:r w:rsidRPr="00F80032">
        <w:rPr>
          <w:rFonts w:ascii="Book Antiqua" w:eastAsia="宋体" w:hAnsi="Book Antiqua" w:cs="宋体"/>
          <w:color w:val="000000"/>
          <w:sz w:val="21"/>
          <w:szCs w:val="21"/>
        </w:rPr>
        <w:t> </w:t>
      </w:r>
      <w:r w:rsidRPr="002A1AD0">
        <w:rPr>
          <w:rFonts w:ascii="Book Antiqua" w:eastAsia="宋体" w:hAnsi="Book Antiqua" w:cs="宋体"/>
          <w:b/>
          <w:bCs/>
          <w:color w:val="000000"/>
          <w:sz w:val="21"/>
          <w:szCs w:val="21"/>
        </w:rPr>
        <w:t>105</w:t>
      </w:r>
      <w:r w:rsidRPr="002A1AD0">
        <w:rPr>
          <w:rFonts w:ascii="Book Antiqua" w:eastAsia="宋体" w:hAnsi="Book Antiqua" w:cs="宋体"/>
          <w:color w:val="000000"/>
          <w:sz w:val="21"/>
          <w:szCs w:val="21"/>
        </w:rPr>
        <w:t>: 1133-1139 [PMID: 20145610 DOI: 10.1038/ajg.2010.9]</w:t>
      </w:r>
    </w:p>
    <w:p w:rsidR="000A5666" w:rsidRPr="002A1AD0" w:rsidRDefault="000A5666" w:rsidP="004F172A">
      <w:pPr>
        <w:adjustRightInd w:val="0"/>
        <w:snapToGrid w:val="0"/>
        <w:spacing w:after="0" w:line="360" w:lineRule="auto"/>
        <w:jc w:val="both"/>
        <w:rPr>
          <w:rFonts w:ascii="Book Antiqua" w:eastAsia="宋体" w:hAnsi="Book Antiqua" w:cs="宋体"/>
          <w:color w:val="000000"/>
          <w:sz w:val="21"/>
          <w:szCs w:val="21"/>
        </w:rPr>
      </w:pPr>
      <w:r w:rsidRPr="002A1AD0">
        <w:rPr>
          <w:rFonts w:ascii="Book Antiqua" w:eastAsia="宋体" w:hAnsi="Book Antiqua" w:cs="宋体"/>
          <w:color w:val="000000"/>
          <w:sz w:val="21"/>
          <w:szCs w:val="21"/>
        </w:rPr>
        <w:t>20</w:t>
      </w:r>
      <w:r w:rsidRPr="00F80032">
        <w:rPr>
          <w:rFonts w:ascii="Book Antiqua" w:eastAsia="宋体" w:hAnsi="Book Antiqua" w:cs="宋体"/>
          <w:color w:val="000000"/>
          <w:sz w:val="21"/>
          <w:szCs w:val="21"/>
        </w:rPr>
        <w:t> </w:t>
      </w:r>
      <w:proofErr w:type="spellStart"/>
      <w:r w:rsidRPr="002A1AD0">
        <w:rPr>
          <w:rFonts w:ascii="Book Antiqua" w:eastAsia="宋体" w:hAnsi="Book Antiqua" w:cs="宋体"/>
          <w:b/>
          <w:bCs/>
          <w:color w:val="000000"/>
          <w:sz w:val="21"/>
          <w:szCs w:val="21"/>
        </w:rPr>
        <w:t>Ordás</w:t>
      </w:r>
      <w:proofErr w:type="spellEnd"/>
      <w:r w:rsidRPr="002A1AD0">
        <w:rPr>
          <w:rFonts w:ascii="Book Antiqua" w:eastAsia="宋体" w:hAnsi="Book Antiqua" w:cs="宋体"/>
          <w:b/>
          <w:bCs/>
          <w:color w:val="000000"/>
          <w:sz w:val="21"/>
          <w:szCs w:val="21"/>
        </w:rPr>
        <w:t xml:space="preserve"> I</w:t>
      </w:r>
      <w:r w:rsidRPr="002A1AD0">
        <w:rPr>
          <w:rFonts w:ascii="Book Antiqua" w:eastAsia="宋体" w:hAnsi="Book Antiqua" w:cs="宋体"/>
          <w:color w:val="000000"/>
          <w:sz w:val="21"/>
          <w:szCs w:val="21"/>
        </w:rPr>
        <w:t xml:space="preserve">, </w:t>
      </w:r>
      <w:proofErr w:type="spellStart"/>
      <w:r w:rsidRPr="002A1AD0">
        <w:rPr>
          <w:rFonts w:ascii="Book Antiqua" w:eastAsia="宋体" w:hAnsi="Book Antiqua" w:cs="宋体"/>
          <w:color w:val="000000"/>
          <w:sz w:val="21"/>
          <w:szCs w:val="21"/>
        </w:rPr>
        <w:t>Feagan</w:t>
      </w:r>
      <w:proofErr w:type="spellEnd"/>
      <w:r w:rsidRPr="002A1AD0">
        <w:rPr>
          <w:rFonts w:ascii="Book Antiqua" w:eastAsia="宋体" w:hAnsi="Book Antiqua" w:cs="宋体"/>
          <w:color w:val="000000"/>
          <w:sz w:val="21"/>
          <w:szCs w:val="21"/>
        </w:rPr>
        <w:t xml:space="preserve"> BG, </w:t>
      </w:r>
      <w:proofErr w:type="spellStart"/>
      <w:r w:rsidRPr="002A1AD0">
        <w:rPr>
          <w:rFonts w:ascii="Book Antiqua" w:eastAsia="宋体" w:hAnsi="Book Antiqua" w:cs="宋体"/>
          <w:color w:val="000000"/>
          <w:sz w:val="21"/>
          <w:szCs w:val="21"/>
        </w:rPr>
        <w:t>Sandborn</w:t>
      </w:r>
      <w:proofErr w:type="spellEnd"/>
      <w:r w:rsidRPr="002A1AD0">
        <w:rPr>
          <w:rFonts w:ascii="Book Antiqua" w:eastAsia="宋体" w:hAnsi="Book Antiqua" w:cs="宋体"/>
          <w:color w:val="000000"/>
          <w:sz w:val="21"/>
          <w:szCs w:val="21"/>
        </w:rPr>
        <w:t xml:space="preserve"> WJ. </w:t>
      </w:r>
      <w:proofErr w:type="gramStart"/>
      <w:r w:rsidRPr="002A1AD0">
        <w:rPr>
          <w:rFonts w:ascii="Book Antiqua" w:eastAsia="宋体" w:hAnsi="Book Antiqua" w:cs="宋体"/>
          <w:color w:val="000000"/>
          <w:sz w:val="21"/>
          <w:szCs w:val="21"/>
        </w:rPr>
        <w:t>Therapeutic drug monitoring of tumor necrosis factor antagonists in inflammatory bowel disease.</w:t>
      </w:r>
      <w:proofErr w:type="gramEnd"/>
      <w:r w:rsidRPr="00F80032">
        <w:rPr>
          <w:rFonts w:ascii="Book Antiqua" w:eastAsia="宋体" w:hAnsi="Book Antiqua" w:cs="宋体"/>
          <w:color w:val="000000"/>
          <w:sz w:val="21"/>
          <w:szCs w:val="21"/>
        </w:rPr>
        <w:t> </w:t>
      </w:r>
      <w:proofErr w:type="spellStart"/>
      <w:r w:rsidRPr="002A1AD0">
        <w:rPr>
          <w:rFonts w:ascii="Book Antiqua" w:eastAsia="宋体" w:hAnsi="Book Antiqua" w:cs="宋体"/>
          <w:i/>
          <w:iCs/>
          <w:color w:val="000000"/>
          <w:sz w:val="21"/>
          <w:szCs w:val="21"/>
        </w:rPr>
        <w:t>Clin</w:t>
      </w:r>
      <w:proofErr w:type="spellEnd"/>
      <w:r w:rsidRPr="002A1AD0">
        <w:rPr>
          <w:rFonts w:ascii="Book Antiqua" w:eastAsia="宋体" w:hAnsi="Book Antiqua" w:cs="宋体"/>
          <w:i/>
          <w:iCs/>
          <w:color w:val="000000"/>
          <w:sz w:val="21"/>
          <w:szCs w:val="21"/>
        </w:rPr>
        <w:t xml:space="preserve"> </w:t>
      </w:r>
      <w:proofErr w:type="spellStart"/>
      <w:r w:rsidRPr="002A1AD0">
        <w:rPr>
          <w:rFonts w:ascii="Book Antiqua" w:eastAsia="宋体" w:hAnsi="Book Antiqua" w:cs="宋体"/>
          <w:i/>
          <w:iCs/>
          <w:color w:val="000000"/>
          <w:sz w:val="21"/>
          <w:szCs w:val="21"/>
        </w:rPr>
        <w:t>Gastroenterol</w:t>
      </w:r>
      <w:proofErr w:type="spellEnd"/>
      <w:r w:rsidRPr="002A1AD0">
        <w:rPr>
          <w:rFonts w:ascii="Book Antiqua" w:eastAsia="宋体" w:hAnsi="Book Antiqua" w:cs="宋体"/>
          <w:i/>
          <w:iCs/>
          <w:color w:val="000000"/>
          <w:sz w:val="21"/>
          <w:szCs w:val="21"/>
        </w:rPr>
        <w:t xml:space="preserve"> </w:t>
      </w:r>
      <w:proofErr w:type="spellStart"/>
      <w:r w:rsidRPr="002A1AD0">
        <w:rPr>
          <w:rFonts w:ascii="Book Antiqua" w:eastAsia="宋体" w:hAnsi="Book Antiqua" w:cs="宋体"/>
          <w:i/>
          <w:iCs/>
          <w:color w:val="000000"/>
          <w:sz w:val="21"/>
          <w:szCs w:val="21"/>
        </w:rPr>
        <w:t>Hepatol</w:t>
      </w:r>
      <w:proofErr w:type="spellEnd"/>
      <w:r w:rsidRPr="00F80032">
        <w:rPr>
          <w:rFonts w:ascii="Book Antiqua" w:eastAsia="宋体" w:hAnsi="Book Antiqua" w:cs="宋体"/>
          <w:color w:val="000000"/>
          <w:sz w:val="21"/>
          <w:szCs w:val="21"/>
        </w:rPr>
        <w:t> </w:t>
      </w:r>
      <w:r w:rsidRPr="002A1AD0">
        <w:rPr>
          <w:rFonts w:ascii="Book Antiqua" w:eastAsia="宋体" w:hAnsi="Book Antiqua" w:cs="宋体"/>
          <w:color w:val="000000"/>
          <w:sz w:val="21"/>
          <w:szCs w:val="21"/>
        </w:rPr>
        <w:t>2012;</w:t>
      </w:r>
      <w:r w:rsidRPr="00F80032">
        <w:rPr>
          <w:rFonts w:ascii="Book Antiqua" w:eastAsia="宋体" w:hAnsi="Book Antiqua" w:cs="宋体"/>
          <w:color w:val="000000"/>
          <w:sz w:val="21"/>
          <w:szCs w:val="21"/>
        </w:rPr>
        <w:t> </w:t>
      </w:r>
      <w:r w:rsidRPr="002A1AD0">
        <w:rPr>
          <w:rFonts w:ascii="Book Antiqua" w:eastAsia="宋体" w:hAnsi="Book Antiqua" w:cs="宋体"/>
          <w:b/>
          <w:bCs/>
          <w:color w:val="000000"/>
          <w:sz w:val="21"/>
          <w:szCs w:val="21"/>
        </w:rPr>
        <w:t>10</w:t>
      </w:r>
      <w:r w:rsidRPr="00F80032">
        <w:rPr>
          <w:rFonts w:ascii="Book Antiqua" w:eastAsia="宋体" w:hAnsi="Book Antiqua" w:cs="宋体"/>
          <w:color w:val="000000"/>
          <w:sz w:val="21"/>
          <w:szCs w:val="21"/>
        </w:rPr>
        <w:t>: 1079-187; quiz 1079-187</w:t>
      </w:r>
      <w:r w:rsidRPr="002A1AD0">
        <w:rPr>
          <w:rFonts w:ascii="Book Antiqua" w:eastAsia="宋体" w:hAnsi="Book Antiqua" w:cs="宋体"/>
          <w:color w:val="000000"/>
          <w:sz w:val="21"/>
          <w:szCs w:val="21"/>
        </w:rPr>
        <w:t xml:space="preserve"> [PMID: 22813440 DOI: 10.1016/j.cgh.2012.06.032]</w:t>
      </w:r>
    </w:p>
    <w:p w:rsidR="000A5666" w:rsidRPr="002A1AD0" w:rsidRDefault="000A5666" w:rsidP="004F172A">
      <w:pPr>
        <w:adjustRightInd w:val="0"/>
        <w:snapToGrid w:val="0"/>
        <w:spacing w:after="0" w:line="360" w:lineRule="auto"/>
        <w:jc w:val="both"/>
        <w:rPr>
          <w:rFonts w:ascii="Book Antiqua" w:eastAsia="宋体" w:hAnsi="Book Antiqua" w:cs="宋体"/>
          <w:color w:val="000000"/>
          <w:sz w:val="21"/>
          <w:szCs w:val="21"/>
        </w:rPr>
      </w:pPr>
      <w:r w:rsidRPr="002A1AD0">
        <w:rPr>
          <w:rFonts w:ascii="Book Antiqua" w:eastAsia="宋体" w:hAnsi="Book Antiqua" w:cs="宋体"/>
          <w:color w:val="000000"/>
          <w:sz w:val="21"/>
          <w:szCs w:val="21"/>
        </w:rPr>
        <w:t>21</w:t>
      </w:r>
      <w:r w:rsidRPr="00F80032">
        <w:rPr>
          <w:rFonts w:ascii="Book Antiqua" w:eastAsia="宋体" w:hAnsi="Book Antiqua" w:cs="宋体"/>
          <w:color w:val="000000"/>
          <w:sz w:val="21"/>
          <w:szCs w:val="21"/>
        </w:rPr>
        <w:t> </w:t>
      </w:r>
      <w:r w:rsidRPr="002A1AD0">
        <w:rPr>
          <w:rFonts w:ascii="Book Antiqua" w:eastAsia="宋体" w:hAnsi="Book Antiqua" w:cs="宋体"/>
          <w:b/>
          <w:bCs/>
          <w:color w:val="000000"/>
          <w:sz w:val="21"/>
          <w:szCs w:val="21"/>
        </w:rPr>
        <w:t>Maser EA</w:t>
      </w:r>
      <w:r w:rsidRPr="002A1AD0">
        <w:rPr>
          <w:rFonts w:ascii="Book Antiqua" w:eastAsia="宋体" w:hAnsi="Book Antiqua" w:cs="宋体"/>
          <w:color w:val="000000"/>
          <w:sz w:val="21"/>
          <w:szCs w:val="21"/>
        </w:rPr>
        <w:t xml:space="preserve">, </w:t>
      </w:r>
      <w:proofErr w:type="spellStart"/>
      <w:r w:rsidRPr="002A1AD0">
        <w:rPr>
          <w:rFonts w:ascii="Book Antiqua" w:eastAsia="宋体" w:hAnsi="Book Antiqua" w:cs="宋体"/>
          <w:color w:val="000000"/>
          <w:sz w:val="21"/>
          <w:szCs w:val="21"/>
        </w:rPr>
        <w:t>Villela</w:t>
      </w:r>
      <w:proofErr w:type="spellEnd"/>
      <w:r w:rsidRPr="002A1AD0">
        <w:rPr>
          <w:rFonts w:ascii="Book Antiqua" w:eastAsia="宋体" w:hAnsi="Book Antiqua" w:cs="宋体"/>
          <w:color w:val="000000"/>
          <w:sz w:val="21"/>
          <w:szCs w:val="21"/>
        </w:rPr>
        <w:t xml:space="preserve"> R, Silverberg MS, Greenberg GR. Association of trough serum infliximab to clinical outcome after scheduled maintenance treatment for Crohn's disease.</w:t>
      </w:r>
      <w:r w:rsidRPr="00F80032">
        <w:rPr>
          <w:rFonts w:ascii="Book Antiqua" w:eastAsia="宋体" w:hAnsi="Book Antiqua" w:cs="宋体"/>
          <w:color w:val="000000"/>
          <w:sz w:val="21"/>
          <w:szCs w:val="21"/>
        </w:rPr>
        <w:t> </w:t>
      </w:r>
      <w:proofErr w:type="spellStart"/>
      <w:r w:rsidRPr="002A1AD0">
        <w:rPr>
          <w:rFonts w:ascii="Book Antiqua" w:eastAsia="宋体" w:hAnsi="Book Antiqua" w:cs="宋体"/>
          <w:i/>
          <w:iCs/>
          <w:color w:val="000000"/>
          <w:sz w:val="21"/>
          <w:szCs w:val="21"/>
        </w:rPr>
        <w:t>Clin</w:t>
      </w:r>
      <w:proofErr w:type="spellEnd"/>
      <w:r w:rsidRPr="002A1AD0">
        <w:rPr>
          <w:rFonts w:ascii="Book Antiqua" w:eastAsia="宋体" w:hAnsi="Book Antiqua" w:cs="宋体"/>
          <w:i/>
          <w:iCs/>
          <w:color w:val="000000"/>
          <w:sz w:val="21"/>
          <w:szCs w:val="21"/>
        </w:rPr>
        <w:t xml:space="preserve"> </w:t>
      </w:r>
      <w:proofErr w:type="spellStart"/>
      <w:r w:rsidRPr="002A1AD0">
        <w:rPr>
          <w:rFonts w:ascii="Book Antiqua" w:eastAsia="宋体" w:hAnsi="Book Antiqua" w:cs="宋体"/>
          <w:i/>
          <w:iCs/>
          <w:color w:val="000000"/>
          <w:sz w:val="21"/>
          <w:szCs w:val="21"/>
        </w:rPr>
        <w:t>Gastroenterol</w:t>
      </w:r>
      <w:proofErr w:type="spellEnd"/>
      <w:r w:rsidRPr="002A1AD0">
        <w:rPr>
          <w:rFonts w:ascii="Book Antiqua" w:eastAsia="宋体" w:hAnsi="Book Antiqua" w:cs="宋体"/>
          <w:i/>
          <w:iCs/>
          <w:color w:val="000000"/>
          <w:sz w:val="21"/>
          <w:szCs w:val="21"/>
        </w:rPr>
        <w:t xml:space="preserve"> </w:t>
      </w:r>
      <w:proofErr w:type="spellStart"/>
      <w:r w:rsidRPr="002A1AD0">
        <w:rPr>
          <w:rFonts w:ascii="Book Antiqua" w:eastAsia="宋体" w:hAnsi="Book Antiqua" w:cs="宋体"/>
          <w:i/>
          <w:iCs/>
          <w:color w:val="000000"/>
          <w:sz w:val="21"/>
          <w:szCs w:val="21"/>
        </w:rPr>
        <w:t>Hepatol</w:t>
      </w:r>
      <w:proofErr w:type="spellEnd"/>
      <w:r w:rsidRPr="00F80032">
        <w:rPr>
          <w:rFonts w:ascii="Book Antiqua" w:eastAsia="宋体" w:hAnsi="Book Antiqua" w:cs="宋体"/>
          <w:color w:val="000000"/>
          <w:sz w:val="21"/>
          <w:szCs w:val="21"/>
        </w:rPr>
        <w:t> </w:t>
      </w:r>
      <w:r w:rsidRPr="002A1AD0">
        <w:rPr>
          <w:rFonts w:ascii="Book Antiqua" w:eastAsia="宋体" w:hAnsi="Book Antiqua" w:cs="宋体"/>
          <w:color w:val="000000"/>
          <w:sz w:val="21"/>
          <w:szCs w:val="21"/>
        </w:rPr>
        <w:t>2006;</w:t>
      </w:r>
      <w:r w:rsidRPr="00F80032">
        <w:rPr>
          <w:rFonts w:ascii="Book Antiqua" w:eastAsia="宋体" w:hAnsi="Book Antiqua" w:cs="宋体"/>
          <w:color w:val="000000"/>
          <w:sz w:val="21"/>
          <w:szCs w:val="21"/>
        </w:rPr>
        <w:t> </w:t>
      </w:r>
      <w:r w:rsidRPr="002A1AD0">
        <w:rPr>
          <w:rFonts w:ascii="Book Antiqua" w:eastAsia="宋体" w:hAnsi="Book Antiqua" w:cs="宋体"/>
          <w:b/>
          <w:bCs/>
          <w:color w:val="000000"/>
          <w:sz w:val="21"/>
          <w:szCs w:val="21"/>
        </w:rPr>
        <w:t>4</w:t>
      </w:r>
      <w:r w:rsidRPr="002A1AD0">
        <w:rPr>
          <w:rFonts w:ascii="Book Antiqua" w:eastAsia="宋体" w:hAnsi="Book Antiqua" w:cs="宋体"/>
          <w:color w:val="000000"/>
          <w:sz w:val="21"/>
          <w:szCs w:val="21"/>
        </w:rPr>
        <w:t>: 1248-1254 [PMID: 16931170 DOI: 10.1016/j.cgh.2006.06.025]</w:t>
      </w:r>
    </w:p>
    <w:p w:rsidR="000A5666" w:rsidRPr="002A1AD0" w:rsidRDefault="000A5666" w:rsidP="004F172A">
      <w:pPr>
        <w:adjustRightInd w:val="0"/>
        <w:snapToGrid w:val="0"/>
        <w:spacing w:after="0" w:line="360" w:lineRule="auto"/>
        <w:jc w:val="both"/>
        <w:rPr>
          <w:rFonts w:ascii="Book Antiqua" w:eastAsia="宋体" w:hAnsi="Book Antiqua" w:cs="宋体"/>
          <w:color w:val="000000"/>
          <w:sz w:val="21"/>
          <w:szCs w:val="21"/>
        </w:rPr>
      </w:pPr>
      <w:r w:rsidRPr="002A1AD0">
        <w:rPr>
          <w:rFonts w:ascii="Book Antiqua" w:eastAsia="宋体" w:hAnsi="Book Antiqua" w:cs="宋体"/>
          <w:color w:val="000000"/>
          <w:sz w:val="21"/>
          <w:szCs w:val="21"/>
        </w:rPr>
        <w:t>22</w:t>
      </w:r>
      <w:r w:rsidRPr="00F80032">
        <w:rPr>
          <w:rFonts w:ascii="Book Antiqua" w:eastAsia="宋体" w:hAnsi="Book Antiqua" w:cs="宋体"/>
          <w:color w:val="000000"/>
          <w:sz w:val="21"/>
          <w:szCs w:val="21"/>
        </w:rPr>
        <w:t> </w:t>
      </w:r>
      <w:proofErr w:type="spellStart"/>
      <w:r w:rsidRPr="002A1AD0">
        <w:rPr>
          <w:rFonts w:ascii="Book Antiqua" w:eastAsia="宋体" w:hAnsi="Book Antiqua" w:cs="宋体"/>
          <w:b/>
          <w:bCs/>
          <w:color w:val="000000"/>
          <w:sz w:val="21"/>
          <w:szCs w:val="21"/>
        </w:rPr>
        <w:t>Pariente</w:t>
      </w:r>
      <w:proofErr w:type="spellEnd"/>
      <w:r w:rsidRPr="002A1AD0">
        <w:rPr>
          <w:rFonts w:ascii="Book Antiqua" w:eastAsia="宋体" w:hAnsi="Book Antiqua" w:cs="宋体"/>
          <w:b/>
          <w:bCs/>
          <w:color w:val="000000"/>
          <w:sz w:val="21"/>
          <w:szCs w:val="21"/>
        </w:rPr>
        <w:t xml:space="preserve"> B</w:t>
      </w:r>
      <w:r w:rsidRPr="002A1AD0">
        <w:rPr>
          <w:rFonts w:ascii="Book Antiqua" w:eastAsia="宋体" w:hAnsi="Book Antiqua" w:cs="宋体"/>
          <w:color w:val="000000"/>
          <w:sz w:val="21"/>
          <w:szCs w:val="21"/>
        </w:rPr>
        <w:t xml:space="preserve">, </w:t>
      </w:r>
      <w:proofErr w:type="spellStart"/>
      <w:r w:rsidRPr="002A1AD0">
        <w:rPr>
          <w:rFonts w:ascii="Book Antiqua" w:eastAsia="宋体" w:hAnsi="Book Antiqua" w:cs="宋体"/>
          <w:color w:val="000000"/>
          <w:sz w:val="21"/>
          <w:szCs w:val="21"/>
        </w:rPr>
        <w:t>Pineton</w:t>
      </w:r>
      <w:proofErr w:type="spellEnd"/>
      <w:r w:rsidRPr="002A1AD0">
        <w:rPr>
          <w:rFonts w:ascii="Book Antiqua" w:eastAsia="宋体" w:hAnsi="Book Antiqua" w:cs="宋体"/>
          <w:color w:val="000000"/>
          <w:sz w:val="21"/>
          <w:szCs w:val="21"/>
        </w:rPr>
        <w:t xml:space="preserve"> de </w:t>
      </w:r>
      <w:proofErr w:type="spellStart"/>
      <w:r w:rsidRPr="002A1AD0">
        <w:rPr>
          <w:rFonts w:ascii="Book Antiqua" w:eastAsia="宋体" w:hAnsi="Book Antiqua" w:cs="宋体"/>
          <w:color w:val="000000"/>
          <w:sz w:val="21"/>
          <w:szCs w:val="21"/>
        </w:rPr>
        <w:t>Chambrun</w:t>
      </w:r>
      <w:proofErr w:type="spellEnd"/>
      <w:r w:rsidRPr="002A1AD0">
        <w:rPr>
          <w:rFonts w:ascii="Book Antiqua" w:eastAsia="宋体" w:hAnsi="Book Antiqua" w:cs="宋体"/>
          <w:color w:val="000000"/>
          <w:sz w:val="21"/>
          <w:szCs w:val="21"/>
        </w:rPr>
        <w:t xml:space="preserve"> G, </w:t>
      </w:r>
      <w:proofErr w:type="spellStart"/>
      <w:r w:rsidRPr="002A1AD0">
        <w:rPr>
          <w:rFonts w:ascii="Book Antiqua" w:eastAsia="宋体" w:hAnsi="Book Antiqua" w:cs="宋体"/>
          <w:color w:val="000000"/>
          <w:sz w:val="21"/>
          <w:szCs w:val="21"/>
        </w:rPr>
        <w:t>Krzysiek</w:t>
      </w:r>
      <w:proofErr w:type="spellEnd"/>
      <w:r w:rsidRPr="002A1AD0">
        <w:rPr>
          <w:rFonts w:ascii="Book Antiqua" w:eastAsia="宋体" w:hAnsi="Book Antiqua" w:cs="宋体"/>
          <w:color w:val="000000"/>
          <w:sz w:val="21"/>
          <w:szCs w:val="21"/>
        </w:rPr>
        <w:t xml:space="preserve"> R, </w:t>
      </w:r>
      <w:proofErr w:type="spellStart"/>
      <w:r w:rsidRPr="002A1AD0">
        <w:rPr>
          <w:rFonts w:ascii="Book Antiqua" w:eastAsia="宋体" w:hAnsi="Book Antiqua" w:cs="宋体"/>
          <w:color w:val="000000"/>
          <w:sz w:val="21"/>
          <w:szCs w:val="21"/>
        </w:rPr>
        <w:t>Desroches</w:t>
      </w:r>
      <w:proofErr w:type="spellEnd"/>
      <w:r w:rsidRPr="002A1AD0">
        <w:rPr>
          <w:rFonts w:ascii="Book Antiqua" w:eastAsia="宋体" w:hAnsi="Book Antiqua" w:cs="宋体"/>
          <w:color w:val="000000"/>
          <w:sz w:val="21"/>
          <w:szCs w:val="21"/>
        </w:rPr>
        <w:t xml:space="preserve"> M, Louis G, De </w:t>
      </w:r>
      <w:proofErr w:type="spellStart"/>
      <w:r w:rsidRPr="002A1AD0">
        <w:rPr>
          <w:rFonts w:ascii="Book Antiqua" w:eastAsia="宋体" w:hAnsi="Book Antiqua" w:cs="宋体"/>
          <w:color w:val="000000"/>
          <w:sz w:val="21"/>
          <w:szCs w:val="21"/>
        </w:rPr>
        <w:t>Cassan</w:t>
      </w:r>
      <w:proofErr w:type="spellEnd"/>
      <w:r w:rsidRPr="002A1AD0">
        <w:rPr>
          <w:rFonts w:ascii="Book Antiqua" w:eastAsia="宋体" w:hAnsi="Book Antiqua" w:cs="宋体"/>
          <w:color w:val="000000"/>
          <w:sz w:val="21"/>
          <w:szCs w:val="21"/>
        </w:rPr>
        <w:t xml:space="preserve"> C, </w:t>
      </w:r>
      <w:proofErr w:type="spellStart"/>
      <w:r w:rsidRPr="002A1AD0">
        <w:rPr>
          <w:rFonts w:ascii="Book Antiqua" w:eastAsia="宋体" w:hAnsi="Book Antiqua" w:cs="宋体"/>
          <w:color w:val="000000"/>
          <w:sz w:val="21"/>
          <w:szCs w:val="21"/>
        </w:rPr>
        <w:t>Baudry</w:t>
      </w:r>
      <w:proofErr w:type="spellEnd"/>
      <w:r w:rsidRPr="002A1AD0">
        <w:rPr>
          <w:rFonts w:ascii="Book Antiqua" w:eastAsia="宋体" w:hAnsi="Book Antiqua" w:cs="宋体"/>
          <w:color w:val="000000"/>
          <w:sz w:val="21"/>
          <w:szCs w:val="21"/>
        </w:rPr>
        <w:t xml:space="preserve"> C, </w:t>
      </w:r>
      <w:proofErr w:type="spellStart"/>
      <w:r w:rsidRPr="002A1AD0">
        <w:rPr>
          <w:rFonts w:ascii="Book Antiqua" w:eastAsia="宋体" w:hAnsi="Book Antiqua" w:cs="宋体"/>
          <w:color w:val="000000"/>
          <w:sz w:val="21"/>
          <w:szCs w:val="21"/>
        </w:rPr>
        <w:t>Gornet</w:t>
      </w:r>
      <w:proofErr w:type="spellEnd"/>
      <w:r w:rsidRPr="002A1AD0">
        <w:rPr>
          <w:rFonts w:ascii="Book Antiqua" w:eastAsia="宋体" w:hAnsi="Book Antiqua" w:cs="宋体"/>
          <w:color w:val="000000"/>
          <w:sz w:val="21"/>
          <w:szCs w:val="21"/>
        </w:rPr>
        <w:t xml:space="preserve"> JM, </w:t>
      </w:r>
      <w:proofErr w:type="spellStart"/>
      <w:r w:rsidRPr="002A1AD0">
        <w:rPr>
          <w:rFonts w:ascii="Book Antiqua" w:eastAsia="宋体" w:hAnsi="Book Antiqua" w:cs="宋体"/>
          <w:color w:val="000000"/>
          <w:sz w:val="21"/>
          <w:szCs w:val="21"/>
        </w:rPr>
        <w:t>Desreumaux</w:t>
      </w:r>
      <w:proofErr w:type="spellEnd"/>
      <w:r w:rsidRPr="002A1AD0">
        <w:rPr>
          <w:rFonts w:ascii="Book Antiqua" w:eastAsia="宋体" w:hAnsi="Book Antiqua" w:cs="宋体"/>
          <w:color w:val="000000"/>
          <w:sz w:val="21"/>
          <w:szCs w:val="21"/>
        </w:rPr>
        <w:t xml:space="preserve"> P, Emilie D, </w:t>
      </w:r>
      <w:proofErr w:type="spellStart"/>
      <w:r w:rsidRPr="002A1AD0">
        <w:rPr>
          <w:rFonts w:ascii="Book Antiqua" w:eastAsia="宋体" w:hAnsi="Book Antiqua" w:cs="宋体"/>
          <w:color w:val="000000"/>
          <w:sz w:val="21"/>
          <w:szCs w:val="21"/>
        </w:rPr>
        <w:t>Colombel</w:t>
      </w:r>
      <w:proofErr w:type="spellEnd"/>
      <w:r w:rsidRPr="002A1AD0">
        <w:rPr>
          <w:rFonts w:ascii="Book Antiqua" w:eastAsia="宋体" w:hAnsi="Book Antiqua" w:cs="宋体"/>
          <w:color w:val="000000"/>
          <w:sz w:val="21"/>
          <w:szCs w:val="21"/>
        </w:rPr>
        <w:t xml:space="preserve"> JF, </w:t>
      </w:r>
      <w:proofErr w:type="spellStart"/>
      <w:r w:rsidRPr="002A1AD0">
        <w:rPr>
          <w:rFonts w:ascii="Book Antiqua" w:eastAsia="宋体" w:hAnsi="Book Antiqua" w:cs="宋体"/>
          <w:color w:val="000000"/>
          <w:sz w:val="21"/>
          <w:szCs w:val="21"/>
        </w:rPr>
        <w:t>Allez</w:t>
      </w:r>
      <w:proofErr w:type="spellEnd"/>
      <w:r w:rsidRPr="002A1AD0">
        <w:rPr>
          <w:rFonts w:ascii="Book Antiqua" w:eastAsia="宋体" w:hAnsi="Book Antiqua" w:cs="宋体"/>
          <w:color w:val="000000"/>
          <w:sz w:val="21"/>
          <w:szCs w:val="21"/>
        </w:rPr>
        <w:t xml:space="preserve"> M. Trough levels and antibodies to infliximab may not predict response to intensification of infliximab therapy in patients with inflammatory bowel disease.</w:t>
      </w:r>
      <w:r w:rsidRPr="00F80032">
        <w:rPr>
          <w:rFonts w:ascii="Book Antiqua" w:eastAsia="宋体" w:hAnsi="Book Antiqua" w:cs="宋体"/>
          <w:color w:val="000000"/>
          <w:sz w:val="21"/>
          <w:szCs w:val="21"/>
        </w:rPr>
        <w:t> </w:t>
      </w:r>
      <w:proofErr w:type="spellStart"/>
      <w:r w:rsidRPr="002A1AD0">
        <w:rPr>
          <w:rFonts w:ascii="Book Antiqua" w:eastAsia="宋体" w:hAnsi="Book Antiqua" w:cs="宋体"/>
          <w:i/>
          <w:iCs/>
          <w:color w:val="000000"/>
          <w:sz w:val="21"/>
          <w:szCs w:val="21"/>
        </w:rPr>
        <w:t>Inflamm</w:t>
      </w:r>
      <w:proofErr w:type="spellEnd"/>
      <w:r w:rsidRPr="002A1AD0">
        <w:rPr>
          <w:rFonts w:ascii="Book Antiqua" w:eastAsia="宋体" w:hAnsi="Book Antiqua" w:cs="宋体"/>
          <w:i/>
          <w:iCs/>
          <w:color w:val="000000"/>
          <w:sz w:val="21"/>
          <w:szCs w:val="21"/>
        </w:rPr>
        <w:t xml:space="preserve"> Bowel Dis</w:t>
      </w:r>
      <w:r w:rsidRPr="00F80032">
        <w:rPr>
          <w:rFonts w:ascii="Book Antiqua" w:eastAsia="宋体" w:hAnsi="Book Antiqua" w:cs="宋体"/>
          <w:color w:val="000000"/>
          <w:sz w:val="21"/>
          <w:szCs w:val="21"/>
        </w:rPr>
        <w:t> </w:t>
      </w:r>
      <w:r w:rsidRPr="002A1AD0">
        <w:rPr>
          <w:rFonts w:ascii="Book Antiqua" w:eastAsia="宋体" w:hAnsi="Book Antiqua" w:cs="宋体"/>
          <w:color w:val="000000"/>
          <w:sz w:val="21"/>
          <w:szCs w:val="21"/>
        </w:rPr>
        <w:t>2012;</w:t>
      </w:r>
      <w:r w:rsidRPr="00F80032">
        <w:rPr>
          <w:rFonts w:ascii="Book Antiqua" w:eastAsia="宋体" w:hAnsi="Book Antiqua" w:cs="宋体"/>
          <w:color w:val="000000"/>
          <w:sz w:val="21"/>
          <w:szCs w:val="21"/>
        </w:rPr>
        <w:t> </w:t>
      </w:r>
      <w:r w:rsidRPr="002A1AD0">
        <w:rPr>
          <w:rFonts w:ascii="Book Antiqua" w:eastAsia="宋体" w:hAnsi="Book Antiqua" w:cs="宋体"/>
          <w:b/>
          <w:bCs/>
          <w:color w:val="000000"/>
          <w:sz w:val="21"/>
          <w:szCs w:val="21"/>
        </w:rPr>
        <w:t>18</w:t>
      </w:r>
      <w:r w:rsidRPr="002A1AD0">
        <w:rPr>
          <w:rFonts w:ascii="Book Antiqua" w:eastAsia="宋体" w:hAnsi="Book Antiqua" w:cs="宋体"/>
          <w:color w:val="000000"/>
          <w:sz w:val="21"/>
          <w:szCs w:val="21"/>
        </w:rPr>
        <w:t>: 1199-1206 [PMID: 22127789 DOI: 10.1002/ibd.21839]</w:t>
      </w:r>
    </w:p>
    <w:p w:rsidR="000A5666" w:rsidRPr="00F80032" w:rsidRDefault="000A5666" w:rsidP="004F172A">
      <w:pPr>
        <w:adjustRightInd w:val="0"/>
        <w:snapToGrid w:val="0"/>
        <w:spacing w:after="0" w:line="360" w:lineRule="auto"/>
        <w:jc w:val="both"/>
        <w:rPr>
          <w:rFonts w:ascii="Book Antiqua" w:eastAsia="宋体" w:hAnsi="Book Antiqua" w:cs="宋体"/>
          <w:color w:val="000000"/>
          <w:sz w:val="21"/>
          <w:szCs w:val="21"/>
        </w:rPr>
      </w:pPr>
      <w:r w:rsidRPr="002A1AD0">
        <w:rPr>
          <w:rFonts w:ascii="Book Antiqua" w:eastAsia="宋体" w:hAnsi="Book Antiqua" w:cs="宋体"/>
          <w:color w:val="000000"/>
          <w:sz w:val="21"/>
          <w:szCs w:val="21"/>
        </w:rPr>
        <w:lastRenderedPageBreak/>
        <w:t>23</w:t>
      </w:r>
      <w:r w:rsidRPr="00F80032">
        <w:rPr>
          <w:rFonts w:ascii="Book Antiqua" w:eastAsia="宋体" w:hAnsi="Book Antiqua" w:cs="宋体"/>
          <w:color w:val="000000"/>
          <w:sz w:val="21"/>
          <w:szCs w:val="21"/>
        </w:rPr>
        <w:t> </w:t>
      </w:r>
      <w:proofErr w:type="spellStart"/>
      <w:r w:rsidRPr="002A1AD0">
        <w:rPr>
          <w:rFonts w:ascii="Book Antiqua" w:eastAsia="宋体" w:hAnsi="Book Antiqua" w:cs="宋体"/>
          <w:b/>
          <w:bCs/>
          <w:color w:val="000000"/>
          <w:sz w:val="21"/>
          <w:szCs w:val="21"/>
        </w:rPr>
        <w:t>Steenholdt</w:t>
      </w:r>
      <w:proofErr w:type="spellEnd"/>
      <w:r w:rsidRPr="002A1AD0">
        <w:rPr>
          <w:rFonts w:ascii="Book Antiqua" w:eastAsia="宋体" w:hAnsi="Book Antiqua" w:cs="宋体"/>
          <w:b/>
          <w:bCs/>
          <w:color w:val="000000"/>
          <w:sz w:val="21"/>
          <w:szCs w:val="21"/>
        </w:rPr>
        <w:t xml:space="preserve"> C</w:t>
      </w:r>
      <w:r w:rsidRPr="002A1AD0">
        <w:rPr>
          <w:rFonts w:ascii="Book Antiqua" w:eastAsia="宋体" w:hAnsi="Book Antiqua" w:cs="宋体"/>
          <w:color w:val="000000"/>
          <w:sz w:val="21"/>
          <w:szCs w:val="21"/>
        </w:rPr>
        <w:t xml:space="preserve">, Ainsworth MA, </w:t>
      </w:r>
      <w:proofErr w:type="spellStart"/>
      <w:r w:rsidRPr="002A1AD0">
        <w:rPr>
          <w:rFonts w:ascii="Book Antiqua" w:eastAsia="宋体" w:hAnsi="Book Antiqua" w:cs="宋体"/>
          <w:color w:val="000000"/>
          <w:sz w:val="21"/>
          <w:szCs w:val="21"/>
        </w:rPr>
        <w:t>Tovey</w:t>
      </w:r>
      <w:proofErr w:type="spellEnd"/>
      <w:r w:rsidRPr="002A1AD0">
        <w:rPr>
          <w:rFonts w:ascii="Book Antiqua" w:eastAsia="宋体" w:hAnsi="Book Antiqua" w:cs="宋体"/>
          <w:color w:val="000000"/>
          <w:sz w:val="21"/>
          <w:szCs w:val="21"/>
        </w:rPr>
        <w:t xml:space="preserve"> M, </w:t>
      </w:r>
      <w:proofErr w:type="spellStart"/>
      <w:r w:rsidRPr="002A1AD0">
        <w:rPr>
          <w:rFonts w:ascii="Book Antiqua" w:eastAsia="宋体" w:hAnsi="Book Antiqua" w:cs="宋体"/>
          <w:color w:val="000000"/>
          <w:sz w:val="21"/>
          <w:szCs w:val="21"/>
        </w:rPr>
        <w:t>Klausen</w:t>
      </w:r>
      <w:proofErr w:type="spellEnd"/>
      <w:r w:rsidRPr="002A1AD0">
        <w:rPr>
          <w:rFonts w:ascii="Book Antiqua" w:eastAsia="宋体" w:hAnsi="Book Antiqua" w:cs="宋体"/>
          <w:color w:val="000000"/>
          <w:sz w:val="21"/>
          <w:szCs w:val="21"/>
        </w:rPr>
        <w:t xml:space="preserve"> TW, Thomsen OO, </w:t>
      </w:r>
      <w:proofErr w:type="spellStart"/>
      <w:r w:rsidRPr="002A1AD0">
        <w:rPr>
          <w:rFonts w:ascii="Book Antiqua" w:eastAsia="宋体" w:hAnsi="Book Antiqua" w:cs="宋体"/>
          <w:color w:val="000000"/>
          <w:sz w:val="21"/>
          <w:szCs w:val="21"/>
        </w:rPr>
        <w:t>Brynskov</w:t>
      </w:r>
      <w:proofErr w:type="spellEnd"/>
      <w:r w:rsidRPr="002A1AD0">
        <w:rPr>
          <w:rFonts w:ascii="Book Antiqua" w:eastAsia="宋体" w:hAnsi="Book Antiqua" w:cs="宋体"/>
          <w:color w:val="000000"/>
          <w:sz w:val="21"/>
          <w:szCs w:val="21"/>
        </w:rPr>
        <w:t xml:space="preserve"> J, </w:t>
      </w:r>
      <w:proofErr w:type="spellStart"/>
      <w:r w:rsidRPr="002A1AD0">
        <w:rPr>
          <w:rFonts w:ascii="Book Antiqua" w:eastAsia="宋体" w:hAnsi="Book Antiqua" w:cs="宋体"/>
          <w:color w:val="000000"/>
          <w:sz w:val="21"/>
          <w:szCs w:val="21"/>
        </w:rPr>
        <w:t>Bendtzen</w:t>
      </w:r>
      <w:proofErr w:type="spellEnd"/>
      <w:r w:rsidRPr="002A1AD0">
        <w:rPr>
          <w:rFonts w:ascii="Book Antiqua" w:eastAsia="宋体" w:hAnsi="Book Antiqua" w:cs="宋体"/>
          <w:color w:val="000000"/>
          <w:sz w:val="21"/>
          <w:szCs w:val="21"/>
        </w:rPr>
        <w:t xml:space="preserve"> K. Comparison of techniques for monitoring infliximab and antibodies against infliximab in Crohn's disease.</w:t>
      </w:r>
      <w:r w:rsidRPr="00F80032">
        <w:rPr>
          <w:rFonts w:ascii="Book Antiqua" w:eastAsia="宋体" w:hAnsi="Book Antiqua" w:cs="宋体"/>
          <w:color w:val="000000"/>
          <w:sz w:val="21"/>
          <w:szCs w:val="21"/>
        </w:rPr>
        <w:t> </w:t>
      </w:r>
      <w:proofErr w:type="spellStart"/>
      <w:r w:rsidRPr="002A1AD0">
        <w:rPr>
          <w:rFonts w:ascii="Book Antiqua" w:eastAsia="宋体" w:hAnsi="Book Antiqua" w:cs="宋体"/>
          <w:i/>
          <w:iCs/>
          <w:color w:val="000000"/>
          <w:sz w:val="21"/>
          <w:szCs w:val="21"/>
        </w:rPr>
        <w:t>Ther</w:t>
      </w:r>
      <w:proofErr w:type="spellEnd"/>
      <w:r w:rsidRPr="002A1AD0">
        <w:rPr>
          <w:rFonts w:ascii="Book Antiqua" w:eastAsia="宋体" w:hAnsi="Book Antiqua" w:cs="宋体"/>
          <w:i/>
          <w:iCs/>
          <w:color w:val="000000"/>
          <w:sz w:val="21"/>
          <w:szCs w:val="21"/>
        </w:rPr>
        <w:t xml:space="preserve"> Drug </w:t>
      </w:r>
      <w:proofErr w:type="spellStart"/>
      <w:r w:rsidRPr="002A1AD0">
        <w:rPr>
          <w:rFonts w:ascii="Book Antiqua" w:eastAsia="宋体" w:hAnsi="Book Antiqua" w:cs="宋体"/>
          <w:i/>
          <w:iCs/>
          <w:color w:val="000000"/>
          <w:sz w:val="21"/>
          <w:szCs w:val="21"/>
        </w:rPr>
        <w:t>Monit</w:t>
      </w:r>
      <w:proofErr w:type="spellEnd"/>
      <w:r w:rsidRPr="00F80032">
        <w:rPr>
          <w:rFonts w:ascii="Book Antiqua" w:eastAsia="宋体" w:hAnsi="Book Antiqua" w:cs="宋体"/>
          <w:color w:val="000000"/>
          <w:sz w:val="21"/>
          <w:szCs w:val="21"/>
        </w:rPr>
        <w:t> </w:t>
      </w:r>
      <w:r w:rsidRPr="002A1AD0">
        <w:rPr>
          <w:rFonts w:ascii="Book Antiqua" w:eastAsia="宋体" w:hAnsi="Book Antiqua" w:cs="宋体"/>
          <w:color w:val="000000"/>
          <w:sz w:val="21"/>
          <w:szCs w:val="21"/>
        </w:rPr>
        <w:t>2013;</w:t>
      </w:r>
      <w:r w:rsidRPr="00F80032">
        <w:rPr>
          <w:rFonts w:ascii="Book Antiqua" w:eastAsia="宋体" w:hAnsi="Book Antiqua" w:cs="宋体"/>
          <w:color w:val="000000"/>
          <w:sz w:val="21"/>
          <w:szCs w:val="21"/>
        </w:rPr>
        <w:t> </w:t>
      </w:r>
      <w:r w:rsidRPr="002A1AD0">
        <w:rPr>
          <w:rFonts w:ascii="Book Antiqua" w:eastAsia="宋体" w:hAnsi="Book Antiqua" w:cs="宋体"/>
          <w:b/>
          <w:bCs/>
          <w:color w:val="000000"/>
          <w:sz w:val="21"/>
          <w:szCs w:val="21"/>
        </w:rPr>
        <w:t>35</w:t>
      </w:r>
      <w:r w:rsidRPr="002A1AD0">
        <w:rPr>
          <w:rFonts w:ascii="Book Antiqua" w:eastAsia="宋体" w:hAnsi="Book Antiqua" w:cs="宋体"/>
          <w:color w:val="000000"/>
          <w:sz w:val="21"/>
          <w:szCs w:val="21"/>
        </w:rPr>
        <w:t>: 530-538 [PMID: 23765033 DOI: 10.1097/FTD.0b013e31828d23c3]</w:t>
      </w:r>
    </w:p>
    <w:p w:rsidR="001967A2" w:rsidRPr="00F80032" w:rsidRDefault="001967A2" w:rsidP="004F172A">
      <w:pPr>
        <w:adjustRightInd w:val="0"/>
        <w:snapToGrid w:val="0"/>
        <w:spacing w:after="0" w:line="360" w:lineRule="auto"/>
        <w:jc w:val="both"/>
        <w:rPr>
          <w:rFonts w:ascii="Book Antiqua" w:hAnsi="Book Antiqua" w:cs="Times New Roman"/>
          <w:noProof/>
          <w:color w:val="000000"/>
          <w:sz w:val="24"/>
          <w:szCs w:val="24"/>
          <w:lang w:eastAsia="zh-CN"/>
        </w:rPr>
      </w:pPr>
    </w:p>
    <w:p w:rsidR="00013037" w:rsidRPr="0074357E" w:rsidRDefault="00013037" w:rsidP="0074357E">
      <w:pPr>
        <w:adjustRightInd w:val="0"/>
        <w:snapToGrid w:val="0"/>
        <w:spacing w:after="0" w:line="360" w:lineRule="auto"/>
        <w:ind w:left="316" w:hangingChars="150" w:hanging="316"/>
        <w:jc w:val="right"/>
        <w:rPr>
          <w:rFonts w:ascii="Book Antiqua" w:hAnsi="Book Antiqua"/>
          <w:sz w:val="21"/>
          <w:szCs w:val="21"/>
        </w:rPr>
      </w:pPr>
      <w:r w:rsidRPr="0074357E">
        <w:rPr>
          <w:rFonts w:ascii="Book Antiqua" w:hAnsi="Book Antiqua"/>
          <w:b/>
          <w:bCs/>
          <w:sz w:val="21"/>
          <w:szCs w:val="21"/>
        </w:rPr>
        <w:t>P-Reviewer</w:t>
      </w:r>
      <w:r w:rsidRPr="0074357E">
        <w:rPr>
          <w:rFonts w:ascii="Book Antiqua" w:hAnsi="Book Antiqua" w:hint="eastAsia"/>
          <w:b/>
          <w:bCs/>
          <w:sz w:val="21"/>
          <w:szCs w:val="21"/>
        </w:rPr>
        <w:t>:</w:t>
      </w:r>
      <w:r w:rsidRPr="0074357E">
        <w:rPr>
          <w:rFonts w:ascii="Book Antiqua" w:hAnsi="Book Antiqua"/>
          <w:b/>
          <w:bCs/>
          <w:sz w:val="21"/>
          <w:szCs w:val="21"/>
        </w:rPr>
        <w:t xml:space="preserve"> </w:t>
      </w:r>
      <w:r w:rsidRPr="0074357E">
        <w:rPr>
          <w:rFonts w:ascii="Book Antiqua" w:hAnsi="Book Antiqua"/>
          <w:bCs/>
          <w:sz w:val="21"/>
          <w:szCs w:val="21"/>
        </w:rPr>
        <w:t xml:space="preserve">De Silva AP, </w:t>
      </w:r>
      <w:proofErr w:type="spellStart"/>
      <w:r w:rsidRPr="0074357E">
        <w:rPr>
          <w:rFonts w:ascii="Book Antiqua" w:hAnsi="Book Antiqua"/>
          <w:bCs/>
          <w:sz w:val="21"/>
          <w:szCs w:val="21"/>
        </w:rPr>
        <w:t>Trifan</w:t>
      </w:r>
      <w:proofErr w:type="spellEnd"/>
      <w:r w:rsidRPr="0074357E">
        <w:rPr>
          <w:rFonts w:ascii="Book Antiqua" w:hAnsi="Book Antiqua"/>
          <w:bCs/>
          <w:sz w:val="21"/>
          <w:szCs w:val="21"/>
        </w:rPr>
        <w:t xml:space="preserve"> A</w:t>
      </w:r>
      <w:r w:rsidRPr="0074357E">
        <w:rPr>
          <w:rFonts w:ascii="Book Antiqua" w:hAnsi="Book Antiqua" w:hint="eastAsia"/>
          <w:b/>
          <w:bCs/>
          <w:sz w:val="21"/>
          <w:szCs w:val="21"/>
          <w:lang w:eastAsia="zh-CN"/>
        </w:rPr>
        <w:t xml:space="preserve"> </w:t>
      </w:r>
      <w:r w:rsidRPr="0074357E">
        <w:rPr>
          <w:rFonts w:ascii="Book Antiqua" w:hAnsi="Book Antiqua"/>
          <w:b/>
          <w:bCs/>
          <w:sz w:val="21"/>
          <w:szCs w:val="21"/>
        </w:rPr>
        <w:t>S-Editor</w:t>
      </w:r>
      <w:r w:rsidRPr="0074357E">
        <w:rPr>
          <w:rFonts w:ascii="Book Antiqua" w:hAnsi="Book Antiqua" w:hint="eastAsia"/>
          <w:b/>
          <w:bCs/>
          <w:sz w:val="21"/>
          <w:szCs w:val="21"/>
        </w:rPr>
        <w:t>:</w:t>
      </w:r>
      <w:r w:rsidRPr="0074357E">
        <w:rPr>
          <w:rFonts w:ascii="Book Antiqua" w:hAnsi="Book Antiqua"/>
          <w:sz w:val="21"/>
          <w:szCs w:val="21"/>
        </w:rPr>
        <w:t xml:space="preserve"> </w:t>
      </w:r>
      <w:r w:rsidRPr="0074357E">
        <w:rPr>
          <w:rFonts w:ascii="Book Antiqua" w:hAnsi="Book Antiqua" w:hint="eastAsia"/>
          <w:sz w:val="21"/>
          <w:szCs w:val="21"/>
          <w:lang w:eastAsia="zh-CN"/>
        </w:rPr>
        <w:t>Ma YJ</w:t>
      </w:r>
      <w:r w:rsidRPr="0074357E">
        <w:rPr>
          <w:rFonts w:ascii="Book Antiqua" w:hAnsi="Book Antiqua"/>
          <w:sz w:val="21"/>
          <w:szCs w:val="21"/>
        </w:rPr>
        <w:t xml:space="preserve"> </w:t>
      </w:r>
      <w:r w:rsidRPr="0074357E">
        <w:rPr>
          <w:rFonts w:ascii="Book Antiqua" w:hAnsi="Book Antiqua"/>
          <w:b/>
          <w:bCs/>
          <w:sz w:val="21"/>
          <w:szCs w:val="21"/>
        </w:rPr>
        <w:t>L-Editor</w:t>
      </w:r>
      <w:r w:rsidRPr="0074357E">
        <w:rPr>
          <w:rFonts w:ascii="Book Antiqua" w:hAnsi="Book Antiqua" w:hint="eastAsia"/>
          <w:b/>
          <w:bCs/>
          <w:sz w:val="21"/>
          <w:szCs w:val="21"/>
        </w:rPr>
        <w:t>:</w:t>
      </w:r>
      <w:r w:rsidRPr="0074357E">
        <w:rPr>
          <w:rFonts w:ascii="Book Antiqua" w:hAnsi="Book Antiqua"/>
          <w:sz w:val="21"/>
          <w:szCs w:val="21"/>
        </w:rPr>
        <w:t xml:space="preserve">  </w:t>
      </w:r>
      <w:r w:rsidRPr="0074357E">
        <w:rPr>
          <w:rFonts w:ascii="Book Antiqua" w:hAnsi="Book Antiqua"/>
          <w:b/>
          <w:bCs/>
          <w:sz w:val="21"/>
          <w:szCs w:val="21"/>
        </w:rPr>
        <w:t>E-Editor</w:t>
      </w:r>
      <w:r w:rsidRPr="0074357E">
        <w:rPr>
          <w:rFonts w:ascii="Book Antiqua" w:hAnsi="Book Antiqua" w:hint="eastAsia"/>
          <w:b/>
          <w:bCs/>
          <w:sz w:val="21"/>
          <w:szCs w:val="21"/>
        </w:rPr>
        <w:t>:</w:t>
      </w:r>
    </w:p>
    <w:p w:rsidR="00013037" w:rsidRPr="00F80032" w:rsidRDefault="00013037" w:rsidP="004F172A">
      <w:pPr>
        <w:adjustRightInd w:val="0"/>
        <w:snapToGrid w:val="0"/>
        <w:spacing w:after="0" w:line="360" w:lineRule="auto"/>
        <w:rPr>
          <w:rFonts w:ascii="Book Antiqua" w:hAnsi="Book Antiqua"/>
          <w:b/>
          <w:sz w:val="24"/>
        </w:rPr>
      </w:pPr>
    </w:p>
    <w:p w:rsidR="001967A2" w:rsidRPr="00F80032" w:rsidRDefault="001967A2" w:rsidP="004F172A">
      <w:pPr>
        <w:adjustRightInd w:val="0"/>
        <w:snapToGrid w:val="0"/>
        <w:spacing w:after="0" w:line="360" w:lineRule="auto"/>
        <w:jc w:val="both"/>
        <w:rPr>
          <w:rFonts w:ascii="Book Antiqua" w:hAnsi="Book Antiqua" w:cs="Times New Roman"/>
          <w:noProof/>
          <w:color w:val="000000"/>
          <w:sz w:val="24"/>
          <w:szCs w:val="24"/>
          <w:lang w:val="de-DE"/>
        </w:rPr>
      </w:pPr>
    </w:p>
    <w:p w:rsidR="001967A2" w:rsidRPr="00F80032" w:rsidRDefault="001967A2" w:rsidP="004F172A">
      <w:pPr>
        <w:adjustRightInd w:val="0"/>
        <w:snapToGrid w:val="0"/>
        <w:spacing w:after="0" w:line="360" w:lineRule="auto"/>
        <w:jc w:val="both"/>
        <w:rPr>
          <w:rFonts w:ascii="Book Antiqua" w:hAnsi="Book Antiqua" w:cs="Times New Roman"/>
          <w:color w:val="000000"/>
          <w:sz w:val="24"/>
          <w:szCs w:val="24"/>
        </w:rPr>
      </w:pPr>
      <w:r w:rsidRPr="00F80032">
        <w:rPr>
          <w:rFonts w:ascii="Book Antiqua" w:hAnsi="Book Antiqua" w:cs="Times New Roman"/>
          <w:noProof/>
          <w:sz w:val="24"/>
          <w:szCs w:val="24"/>
        </w:rPr>
        <w:t xml:space="preserve"> </w:t>
      </w:r>
    </w:p>
    <w:p w:rsidR="006704EF" w:rsidRPr="00F80032" w:rsidRDefault="006704EF" w:rsidP="004F172A">
      <w:pPr>
        <w:adjustRightInd w:val="0"/>
        <w:snapToGrid w:val="0"/>
        <w:spacing w:after="0" w:line="360" w:lineRule="auto"/>
        <w:jc w:val="both"/>
        <w:rPr>
          <w:rFonts w:ascii="Book Antiqua" w:hAnsi="Book Antiqua"/>
          <w:sz w:val="24"/>
          <w:szCs w:val="24"/>
        </w:rPr>
      </w:pPr>
      <w:r w:rsidRPr="00F80032">
        <w:rPr>
          <w:rFonts w:ascii="Book Antiqua" w:hAnsi="Book Antiqua"/>
          <w:sz w:val="24"/>
          <w:szCs w:val="24"/>
        </w:rPr>
        <w:br w:type="page"/>
      </w:r>
    </w:p>
    <w:p w:rsidR="00BC6F18" w:rsidRPr="00F80032" w:rsidRDefault="00BC6F18" w:rsidP="004F172A">
      <w:pPr>
        <w:adjustRightInd w:val="0"/>
        <w:snapToGrid w:val="0"/>
        <w:spacing w:after="0" w:line="360" w:lineRule="auto"/>
        <w:jc w:val="both"/>
        <w:rPr>
          <w:rFonts w:ascii="Book Antiqua" w:hAnsi="Book Antiqua" w:cs="Times New Roman"/>
          <w:sz w:val="24"/>
          <w:szCs w:val="24"/>
          <w:lang w:eastAsia="zh-CN"/>
        </w:rPr>
      </w:pPr>
      <w:r w:rsidRPr="00F80032">
        <w:rPr>
          <w:rFonts w:ascii="Book Antiqua" w:hAnsi="Book Antiqua" w:cs="Times New Roman"/>
          <w:b/>
          <w:bCs/>
          <w:sz w:val="24"/>
          <w:szCs w:val="24"/>
        </w:rPr>
        <w:lastRenderedPageBreak/>
        <w:t>T</w:t>
      </w:r>
      <w:r w:rsidR="00111CC4" w:rsidRPr="00F80032">
        <w:rPr>
          <w:rFonts w:ascii="Book Antiqua" w:hAnsi="Book Antiqua" w:cs="Times New Roman"/>
          <w:b/>
          <w:bCs/>
          <w:sz w:val="24"/>
          <w:szCs w:val="24"/>
        </w:rPr>
        <w:t>able</w:t>
      </w:r>
      <w:r w:rsidRPr="00F80032">
        <w:rPr>
          <w:rFonts w:ascii="Book Antiqua" w:hAnsi="Book Antiqua" w:cs="Times New Roman"/>
          <w:b/>
          <w:bCs/>
          <w:sz w:val="24"/>
          <w:szCs w:val="24"/>
        </w:rPr>
        <w:t xml:space="preserve"> 1 Background disposition and clinical characteristics</w:t>
      </w:r>
      <w:r w:rsidR="00111CC4" w:rsidRPr="00F80032">
        <w:rPr>
          <w:rFonts w:ascii="Book Antiqua" w:hAnsi="Book Antiqua" w:cs="Times New Roman" w:hint="eastAsia"/>
          <w:b/>
          <w:bCs/>
          <w:sz w:val="24"/>
          <w:szCs w:val="24"/>
          <w:lang w:eastAsia="zh-CN"/>
        </w:rPr>
        <w:t xml:space="preserve"> </w:t>
      </w:r>
      <w:r w:rsidR="00111CC4" w:rsidRPr="00F80032">
        <w:rPr>
          <w:rFonts w:ascii="Book Antiqua" w:hAnsi="Book Antiqua" w:cs="Times New Roman" w:hint="eastAsia"/>
          <w:b/>
          <w:bCs/>
          <w:i/>
          <w:sz w:val="24"/>
          <w:szCs w:val="24"/>
          <w:lang w:eastAsia="zh-CN"/>
        </w:rPr>
        <w:t>n</w:t>
      </w:r>
      <w:r w:rsidR="00111CC4" w:rsidRPr="00F80032">
        <w:rPr>
          <w:rFonts w:ascii="Book Antiqua" w:hAnsi="Book Antiqua" w:cs="Times New Roman" w:hint="eastAsia"/>
          <w:b/>
          <w:bCs/>
          <w:sz w:val="24"/>
          <w:szCs w:val="24"/>
          <w:lang w:eastAsia="zh-CN"/>
        </w:rPr>
        <w:t xml:space="preserve"> (%)</w:t>
      </w:r>
    </w:p>
    <w:tbl>
      <w:tblPr>
        <w:tblW w:w="9923" w:type="dxa"/>
        <w:tblInd w:w="-601" w:type="dxa"/>
        <w:tblBorders>
          <w:top w:val="single" w:sz="4" w:space="0" w:color="auto"/>
          <w:bottom w:val="single" w:sz="4" w:space="0" w:color="auto"/>
        </w:tblBorders>
        <w:tblLook w:val="00A0" w:firstRow="1" w:lastRow="0" w:firstColumn="1" w:lastColumn="0" w:noHBand="0" w:noVBand="0"/>
      </w:tblPr>
      <w:tblGrid>
        <w:gridCol w:w="2977"/>
        <w:gridCol w:w="1560"/>
        <w:gridCol w:w="1275"/>
        <w:gridCol w:w="1378"/>
        <w:gridCol w:w="1032"/>
        <w:gridCol w:w="1701"/>
      </w:tblGrid>
      <w:tr w:rsidR="00D06F40" w:rsidRPr="00F80032" w:rsidTr="00111CC4">
        <w:trPr>
          <w:trHeight w:val="480"/>
        </w:trPr>
        <w:tc>
          <w:tcPr>
            <w:tcW w:w="4537" w:type="dxa"/>
            <w:gridSpan w:val="2"/>
            <w:tcBorders>
              <w:top w:val="single" w:sz="4" w:space="0" w:color="auto"/>
              <w:bottom w:val="single" w:sz="4" w:space="0" w:color="auto"/>
            </w:tcBorders>
            <w:shd w:val="clear" w:color="auto" w:fill="auto"/>
            <w:noWrap/>
            <w:vAlign w:val="center"/>
          </w:tcPr>
          <w:p w:rsidR="00D06F40" w:rsidRPr="00F80032" w:rsidRDefault="00D06F40" w:rsidP="004F172A">
            <w:pPr>
              <w:adjustRightInd w:val="0"/>
              <w:snapToGrid w:val="0"/>
              <w:spacing w:after="0" w:line="360" w:lineRule="auto"/>
              <w:jc w:val="both"/>
              <w:rPr>
                <w:rFonts w:ascii="Book Antiqua" w:hAnsi="Book Antiqua" w:cs="Times New Roman"/>
                <w:b/>
                <w:color w:val="000000"/>
                <w:sz w:val="24"/>
                <w:szCs w:val="24"/>
              </w:rPr>
            </w:pPr>
            <w:r w:rsidRPr="00F80032">
              <w:rPr>
                <w:rFonts w:ascii="Book Antiqua" w:hAnsi="Book Antiqua" w:cs="Times New Roman"/>
                <w:b/>
                <w:color w:val="000000"/>
                <w:sz w:val="24"/>
                <w:szCs w:val="24"/>
              </w:rPr>
              <w:t>Parameter</w:t>
            </w:r>
          </w:p>
        </w:tc>
        <w:tc>
          <w:tcPr>
            <w:tcW w:w="1275" w:type="dxa"/>
            <w:tcBorders>
              <w:top w:val="single" w:sz="4" w:space="0" w:color="auto"/>
              <w:bottom w:val="single" w:sz="4" w:space="0" w:color="auto"/>
            </w:tcBorders>
            <w:shd w:val="clear" w:color="auto" w:fill="auto"/>
            <w:noWrap/>
            <w:vAlign w:val="center"/>
          </w:tcPr>
          <w:p w:rsidR="00D06F40" w:rsidRPr="00F80032" w:rsidRDefault="00111CC4" w:rsidP="004F172A">
            <w:pPr>
              <w:adjustRightInd w:val="0"/>
              <w:snapToGrid w:val="0"/>
              <w:spacing w:after="0" w:line="360" w:lineRule="auto"/>
              <w:jc w:val="both"/>
              <w:rPr>
                <w:rFonts w:ascii="Book Antiqua" w:hAnsi="Book Antiqua" w:cs="Times New Roman"/>
                <w:b/>
                <w:color w:val="222222"/>
                <w:sz w:val="24"/>
                <w:szCs w:val="24"/>
              </w:rPr>
            </w:pPr>
            <w:r w:rsidRPr="00F80032">
              <w:rPr>
                <w:rFonts w:ascii="Book Antiqua" w:hAnsi="Book Antiqua" w:cs="Times New Roman"/>
                <w:b/>
                <w:color w:val="222222"/>
                <w:sz w:val="24"/>
                <w:szCs w:val="24"/>
              </w:rPr>
              <w:t>Cases</w:t>
            </w:r>
          </w:p>
        </w:tc>
        <w:tc>
          <w:tcPr>
            <w:tcW w:w="1378" w:type="dxa"/>
            <w:tcBorders>
              <w:top w:val="single" w:sz="4" w:space="0" w:color="auto"/>
              <w:bottom w:val="single" w:sz="4" w:space="0" w:color="auto"/>
            </w:tcBorders>
            <w:shd w:val="clear" w:color="auto" w:fill="auto"/>
            <w:noWrap/>
            <w:vAlign w:val="center"/>
          </w:tcPr>
          <w:p w:rsidR="00D06F40" w:rsidRPr="00F80032" w:rsidRDefault="00111CC4" w:rsidP="004F172A">
            <w:pPr>
              <w:adjustRightInd w:val="0"/>
              <w:snapToGrid w:val="0"/>
              <w:spacing w:after="0" w:line="360" w:lineRule="auto"/>
              <w:jc w:val="both"/>
              <w:rPr>
                <w:rFonts w:ascii="Book Antiqua" w:hAnsi="Book Antiqua" w:cs="Times New Roman"/>
                <w:b/>
                <w:color w:val="222222"/>
                <w:sz w:val="24"/>
                <w:szCs w:val="24"/>
              </w:rPr>
            </w:pPr>
            <w:r w:rsidRPr="00F80032">
              <w:rPr>
                <w:rFonts w:ascii="Book Antiqua" w:hAnsi="Book Antiqua" w:cs="Times New Roman"/>
                <w:b/>
                <w:color w:val="222222"/>
                <w:sz w:val="24"/>
                <w:szCs w:val="24"/>
              </w:rPr>
              <w:t>Controls</w:t>
            </w:r>
          </w:p>
        </w:tc>
        <w:tc>
          <w:tcPr>
            <w:tcW w:w="1032" w:type="dxa"/>
            <w:tcBorders>
              <w:top w:val="single" w:sz="4" w:space="0" w:color="auto"/>
              <w:bottom w:val="single" w:sz="4" w:space="0" w:color="auto"/>
            </w:tcBorders>
            <w:shd w:val="clear" w:color="auto" w:fill="auto"/>
            <w:noWrap/>
            <w:vAlign w:val="center"/>
          </w:tcPr>
          <w:p w:rsidR="00D06F40" w:rsidRPr="00F80032" w:rsidRDefault="00D06F40" w:rsidP="004F172A">
            <w:pPr>
              <w:adjustRightInd w:val="0"/>
              <w:snapToGrid w:val="0"/>
              <w:spacing w:after="0" w:line="360" w:lineRule="auto"/>
              <w:jc w:val="both"/>
              <w:rPr>
                <w:rFonts w:ascii="Book Antiqua" w:hAnsi="Book Antiqua" w:cs="Times New Roman"/>
                <w:b/>
                <w:color w:val="000000"/>
                <w:sz w:val="24"/>
                <w:szCs w:val="24"/>
              </w:rPr>
            </w:pPr>
            <w:r w:rsidRPr="00F80032">
              <w:rPr>
                <w:rFonts w:ascii="Book Antiqua" w:hAnsi="Book Antiqua" w:cs="Times New Roman"/>
                <w:b/>
                <w:i/>
                <w:color w:val="000000"/>
                <w:sz w:val="24"/>
                <w:szCs w:val="24"/>
              </w:rPr>
              <w:t>P</w:t>
            </w:r>
            <w:r w:rsidR="00111CC4" w:rsidRPr="00F80032">
              <w:rPr>
                <w:rFonts w:ascii="Book Antiqua" w:hAnsi="Book Antiqua" w:cs="Times New Roman" w:hint="eastAsia"/>
                <w:b/>
                <w:color w:val="000000"/>
                <w:sz w:val="24"/>
                <w:szCs w:val="24"/>
                <w:lang w:eastAsia="zh-CN"/>
              </w:rPr>
              <w:t>-</w:t>
            </w:r>
            <w:r w:rsidRPr="00F80032">
              <w:rPr>
                <w:rFonts w:ascii="Book Antiqua" w:hAnsi="Book Antiqua" w:cs="Times New Roman"/>
                <w:b/>
                <w:color w:val="000000"/>
                <w:sz w:val="24"/>
                <w:szCs w:val="24"/>
              </w:rPr>
              <w:t xml:space="preserve"> </w:t>
            </w:r>
            <w:r w:rsidR="00111CC4" w:rsidRPr="00F80032">
              <w:rPr>
                <w:rFonts w:ascii="Book Antiqua" w:hAnsi="Book Antiqua" w:cs="Times New Roman"/>
                <w:b/>
                <w:color w:val="000000"/>
                <w:sz w:val="24"/>
                <w:szCs w:val="24"/>
              </w:rPr>
              <w:t>v</w:t>
            </w:r>
            <w:r w:rsidRPr="00F80032">
              <w:rPr>
                <w:rFonts w:ascii="Book Antiqua" w:hAnsi="Book Antiqua" w:cs="Times New Roman"/>
                <w:b/>
                <w:color w:val="000000"/>
                <w:sz w:val="24"/>
                <w:szCs w:val="24"/>
              </w:rPr>
              <w:t>alue</w:t>
            </w:r>
          </w:p>
        </w:tc>
        <w:tc>
          <w:tcPr>
            <w:tcW w:w="1701" w:type="dxa"/>
            <w:tcBorders>
              <w:top w:val="single" w:sz="4" w:space="0" w:color="auto"/>
              <w:bottom w:val="single" w:sz="4" w:space="0" w:color="auto"/>
            </w:tcBorders>
            <w:shd w:val="clear" w:color="auto" w:fill="auto"/>
            <w:noWrap/>
            <w:vAlign w:val="center"/>
          </w:tcPr>
          <w:p w:rsidR="00D06F40" w:rsidRPr="00F80032" w:rsidRDefault="00D06F40" w:rsidP="004F172A">
            <w:pPr>
              <w:adjustRightInd w:val="0"/>
              <w:snapToGrid w:val="0"/>
              <w:spacing w:after="0" w:line="360" w:lineRule="auto"/>
              <w:jc w:val="both"/>
              <w:rPr>
                <w:rFonts w:ascii="Book Antiqua" w:hAnsi="Book Antiqua" w:cs="Times New Roman"/>
                <w:b/>
                <w:color w:val="000000"/>
                <w:sz w:val="24"/>
                <w:szCs w:val="24"/>
              </w:rPr>
            </w:pPr>
            <w:r w:rsidRPr="00F80032">
              <w:rPr>
                <w:rFonts w:ascii="Book Antiqua" w:hAnsi="Book Antiqua" w:cs="Times New Roman"/>
                <w:b/>
                <w:color w:val="000000"/>
                <w:sz w:val="24"/>
                <w:szCs w:val="24"/>
              </w:rPr>
              <w:t>OR (</w:t>
            </w:r>
            <w:r w:rsidR="00111CC4" w:rsidRPr="00F80032">
              <w:rPr>
                <w:rFonts w:ascii="Book Antiqua" w:hAnsi="Book Antiqua" w:cs="Times New Roman"/>
                <w:b/>
                <w:color w:val="000000"/>
                <w:sz w:val="24"/>
                <w:szCs w:val="24"/>
              </w:rPr>
              <w:t>95%CI</w:t>
            </w:r>
            <w:r w:rsidRPr="00F80032">
              <w:rPr>
                <w:rFonts w:ascii="Book Antiqua" w:hAnsi="Book Antiqua" w:cs="Times New Roman"/>
                <w:b/>
                <w:color w:val="000000"/>
                <w:sz w:val="24"/>
                <w:szCs w:val="24"/>
              </w:rPr>
              <w:t>)</w:t>
            </w:r>
          </w:p>
        </w:tc>
      </w:tr>
      <w:tr w:rsidR="00D06F40" w:rsidRPr="00F80032" w:rsidTr="00111CC4">
        <w:trPr>
          <w:trHeight w:val="300"/>
        </w:trPr>
        <w:tc>
          <w:tcPr>
            <w:tcW w:w="2977" w:type="dxa"/>
            <w:tcBorders>
              <w:top w:val="single" w:sz="4" w:space="0" w:color="auto"/>
            </w:tcBorders>
            <w:noWrap/>
            <w:vAlign w:val="center"/>
          </w:tcPr>
          <w:p w:rsidR="00D06F40" w:rsidRPr="00F80032" w:rsidRDefault="00D06F40" w:rsidP="004F172A">
            <w:pPr>
              <w:adjustRightInd w:val="0"/>
              <w:snapToGrid w:val="0"/>
              <w:spacing w:after="0" w:line="360" w:lineRule="auto"/>
              <w:jc w:val="both"/>
              <w:rPr>
                <w:rFonts w:ascii="Book Antiqua" w:hAnsi="Book Antiqua" w:cs="Times New Roman"/>
                <w:color w:val="000000"/>
                <w:sz w:val="24"/>
                <w:szCs w:val="24"/>
              </w:rPr>
            </w:pPr>
            <w:r w:rsidRPr="00F80032">
              <w:rPr>
                <w:rFonts w:ascii="Book Antiqua" w:hAnsi="Book Antiqua" w:cs="Times New Roman"/>
                <w:color w:val="000000"/>
                <w:sz w:val="24"/>
                <w:szCs w:val="24"/>
              </w:rPr>
              <w:t>Gender</w:t>
            </w:r>
          </w:p>
        </w:tc>
        <w:tc>
          <w:tcPr>
            <w:tcW w:w="1560" w:type="dxa"/>
            <w:tcBorders>
              <w:top w:val="single" w:sz="4" w:space="0" w:color="auto"/>
            </w:tcBorders>
            <w:noWrap/>
            <w:vAlign w:val="center"/>
          </w:tcPr>
          <w:p w:rsidR="00D06F40" w:rsidRPr="00F80032" w:rsidRDefault="00D06F40" w:rsidP="004F172A">
            <w:pPr>
              <w:adjustRightInd w:val="0"/>
              <w:snapToGrid w:val="0"/>
              <w:spacing w:after="0" w:line="360" w:lineRule="auto"/>
              <w:jc w:val="both"/>
              <w:rPr>
                <w:rFonts w:ascii="Book Antiqua" w:hAnsi="Book Antiqua" w:cs="Times New Roman"/>
                <w:color w:val="000000"/>
                <w:sz w:val="24"/>
                <w:szCs w:val="24"/>
              </w:rPr>
            </w:pPr>
            <w:r w:rsidRPr="00F80032">
              <w:rPr>
                <w:rFonts w:ascii="Book Antiqua" w:hAnsi="Book Antiqua" w:cs="Times New Roman"/>
                <w:caps/>
                <w:color w:val="000000"/>
                <w:sz w:val="24"/>
                <w:szCs w:val="24"/>
              </w:rPr>
              <w:t>m</w:t>
            </w:r>
            <w:r w:rsidRPr="00F80032">
              <w:rPr>
                <w:rFonts w:ascii="Book Antiqua" w:hAnsi="Book Antiqua" w:cs="Times New Roman"/>
                <w:color w:val="000000"/>
                <w:sz w:val="24"/>
                <w:szCs w:val="24"/>
              </w:rPr>
              <w:t>ale</w:t>
            </w:r>
          </w:p>
        </w:tc>
        <w:tc>
          <w:tcPr>
            <w:tcW w:w="1275" w:type="dxa"/>
            <w:tcBorders>
              <w:top w:val="single" w:sz="4" w:space="0" w:color="auto"/>
            </w:tcBorders>
            <w:noWrap/>
            <w:vAlign w:val="center"/>
          </w:tcPr>
          <w:p w:rsidR="00D06F40" w:rsidRPr="00F80032" w:rsidRDefault="00D06F40" w:rsidP="004F172A">
            <w:pPr>
              <w:adjustRightInd w:val="0"/>
              <w:snapToGrid w:val="0"/>
              <w:spacing w:after="0" w:line="360" w:lineRule="auto"/>
              <w:jc w:val="both"/>
              <w:rPr>
                <w:rFonts w:ascii="Book Antiqua" w:hAnsi="Book Antiqua" w:cs="Times New Roman"/>
                <w:color w:val="000000"/>
                <w:sz w:val="24"/>
                <w:szCs w:val="24"/>
              </w:rPr>
            </w:pPr>
            <w:r w:rsidRPr="00F80032">
              <w:rPr>
                <w:rFonts w:ascii="Book Antiqua" w:hAnsi="Book Antiqua" w:cs="Times New Roman"/>
                <w:color w:val="000000"/>
                <w:sz w:val="24"/>
                <w:szCs w:val="24"/>
              </w:rPr>
              <w:t>15 (50)</w:t>
            </w:r>
          </w:p>
        </w:tc>
        <w:tc>
          <w:tcPr>
            <w:tcW w:w="1378" w:type="dxa"/>
            <w:tcBorders>
              <w:top w:val="single" w:sz="4" w:space="0" w:color="auto"/>
            </w:tcBorders>
            <w:noWrap/>
            <w:vAlign w:val="center"/>
          </w:tcPr>
          <w:p w:rsidR="00D06F40" w:rsidRPr="00F80032" w:rsidRDefault="00D06F40" w:rsidP="004F172A">
            <w:pPr>
              <w:adjustRightInd w:val="0"/>
              <w:snapToGrid w:val="0"/>
              <w:spacing w:after="0" w:line="360" w:lineRule="auto"/>
              <w:jc w:val="both"/>
              <w:rPr>
                <w:rFonts w:ascii="Book Antiqua" w:hAnsi="Book Antiqua" w:cs="Times New Roman"/>
                <w:color w:val="000000"/>
                <w:sz w:val="24"/>
                <w:szCs w:val="24"/>
              </w:rPr>
            </w:pPr>
            <w:r w:rsidRPr="00F80032">
              <w:rPr>
                <w:rFonts w:ascii="Book Antiqua" w:hAnsi="Book Antiqua" w:cs="Times New Roman"/>
                <w:color w:val="000000"/>
                <w:sz w:val="24"/>
                <w:szCs w:val="24"/>
              </w:rPr>
              <w:t>10 (33.3)</w:t>
            </w:r>
          </w:p>
        </w:tc>
        <w:tc>
          <w:tcPr>
            <w:tcW w:w="1032" w:type="dxa"/>
            <w:vMerge w:val="restart"/>
            <w:tcBorders>
              <w:top w:val="single" w:sz="4" w:space="0" w:color="auto"/>
            </w:tcBorders>
            <w:noWrap/>
            <w:vAlign w:val="center"/>
          </w:tcPr>
          <w:p w:rsidR="00D06F40" w:rsidRPr="00F80032" w:rsidRDefault="00D06F40" w:rsidP="004F172A">
            <w:pPr>
              <w:adjustRightInd w:val="0"/>
              <w:snapToGrid w:val="0"/>
              <w:spacing w:after="0" w:line="360" w:lineRule="auto"/>
              <w:jc w:val="both"/>
              <w:rPr>
                <w:rFonts w:ascii="Book Antiqua" w:hAnsi="Book Antiqua" w:cs="Times New Roman"/>
                <w:color w:val="000000"/>
                <w:sz w:val="24"/>
                <w:szCs w:val="24"/>
              </w:rPr>
            </w:pPr>
            <w:r w:rsidRPr="00F80032">
              <w:rPr>
                <w:rFonts w:ascii="Book Antiqua" w:hAnsi="Book Antiqua" w:cs="Times New Roman"/>
                <w:color w:val="000000"/>
                <w:sz w:val="24"/>
                <w:szCs w:val="24"/>
              </w:rPr>
              <w:t>0.19</w:t>
            </w:r>
          </w:p>
        </w:tc>
        <w:tc>
          <w:tcPr>
            <w:tcW w:w="1701" w:type="dxa"/>
            <w:vMerge w:val="restart"/>
            <w:tcBorders>
              <w:top w:val="single" w:sz="4" w:space="0" w:color="auto"/>
            </w:tcBorders>
            <w:noWrap/>
            <w:vAlign w:val="center"/>
          </w:tcPr>
          <w:p w:rsidR="00D06F40" w:rsidRPr="00F80032" w:rsidRDefault="00D06F40" w:rsidP="004F172A">
            <w:pPr>
              <w:adjustRightInd w:val="0"/>
              <w:snapToGrid w:val="0"/>
              <w:spacing w:after="0" w:line="360" w:lineRule="auto"/>
              <w:jc w:val="both"/>
              <w:rPr>
                <w:rFonts w:ascii="Book Antiqua" w:hAnsi="Book Antiqua" w:cs="Times New Roman"/>
                <w:color w:val="000000"/>
                <w:sz w:val="24"/>
                <w:szCs w:val="24"/>
              </w:rPr>
            </w:pPr>
            <w:r w:rsidRPr="00F80032">
              <w:rPr>
                <w:rFonts w:ascii="Book Antiqua" w:hAnsi="Book Antiqua" w:cs="Times New Roman"/>
                <w:color w:val="000000"/>
                <w:sz w:val="24"/>
                <w:szCs w:val="24"/>
              </w:rPr>
              <w:t>2.0 (0.70-5.70)</w:t>
            </w:r>
          </w:p>
        </w:tc>
      </w:tr>
      <w:tr w:rsidR="00D06F40" w:rsidRPr="00F80032" w:rsidTr="00111CC4">
        <w:trPr>
          <w:trHeight w:val="300"/>
        </w:trPr>
        <w:tc>
          <w:tcPr>
            <w:tcW w:w="2977" w:type="dxa"/>
            <w:noWrap/>
            <w:vAlign w:val="center"/>
          </w:tcPr>
          <w:p w:rsidR="00D06F40" w:rsidRPr="00F80032" w:rsidRDefault="00D06F40" w:rsidP="004F172A">
            <w:pPr>
              <w:adjustRightInd w:val="0"/>
              <w:snapToGrid w:val="0"/>
              <w:spacing w:after="0" w:line="360" w:lineRule="auto"/>
              <w:jc w:val="both"/>
              <w:rPr>
                <w:rFonts w:ascii="Book Antiqua" w:hAnsi="Book Antiqua" w:cs="Times New Roman"/>
                <w:color w:val="000000"/>
                <w:sz w:val="24"/>
                <w:szCs w:val="24"/>
              </w:rPr>
            </w:pPr>
          </w:p>
        </w:tc>
        <w:tc>
          <w:tcPr>
            <w:tcW w:w="1560" w:type="dxa"/>
            <w:noWrap/>
            <w:vAlign w:val="center"/>
          </w:tcPr>
          <w:p w:rsidR="00D06F40" w:rsidRPr="00F80032" w:rsidRDefault="00D06F40" w:rsidP="004F172A">
            <w:pPr>
              <w:adjustRightInd w:val="0"/>
              <w:snapToGrid w:val="0"/>
              <w:spacing w:after="0" w:line="360" w:lineRule="auto"/>
              <w:jc w:val="both"/>
              <w:rPr>
                <w:rFonts w:ascii="Book Antiqua" w:hAnsi="Book Antiqua" w:cs="Times New Roman"/>
                <w:color w:val="000000"/>
                <w:sz w:val="24"/>
                <w:szCs w:val="24"/>
              </w:rPr>
            </w:pPr>
            <w:r w:rsidRPr="00F80032">
              <w:rPr>
                <w:rFonts w:ascii="Book Antiqua" w:hAnsi="Book Antiqua" w:cs="Times New Roman"/>
                <w:caps/>
                <w:color w:val="000000"/>
                <w:sz w:val="24"/>
                <w:szCs w:val="24"/>
              </w:rPr>
              <w:t>f</w:t>
            </w:r>
            <w:r w:rsidRPr="00F80032">
              <w:rPr>
                <w:rFonts w:ascii="Book Antiqua" w:hAnsi="Book Antiqua" w:cs="Times New Roman"/>
                <w:color w:val="000000"/>
                <w:sz w:val="24"/>
                <w:szCs w:val="24"/>
              </w:rPr>
              <w:t>emale</w:t>
            </w:r>
          </w:p>
        </w:tc>
        <w:tc>
          <w:tcPr>
            <w:tcW w:w="1275" w:type="dxa"/>
            <w:noWrap/>
            <w:vAlign w:val="center"/>
          </w:tcPr>
          <w:p w:rsidR="00D06F40" w:rsidRPr="00F80032" w:rsidRDefault="00D06F40" w:rsidP="004F172A">
            <w:pPr>
              <w:adjustRightInd w:val="0"/>
              <w:snapToGrid w:val="0"/>
              <w:spacing w:after="0" w:line="360" w:lineRule="auto"/>
              <w:jc w:val="both"/>
              <w:rPr>
                <w:rFonts w:ascii="Book Antiqua" w:hAnsi="Book Antiqua" w:cs="Times New Roman"/>
                <w:color w:val="000000"/>
                <w:sz w:val="24"/>
                <w:szCs w:val="24"/>
              </w:rPr>
            </w:pPr>
            <w:r w:rsidRPr="00F80032">
              <w:rPr>
                <w:rFonts w:ascii="Book Antiqua" w:hAnsi="Book Antiqua" w:cs="Times New Roman"/>
                <w:color w:val="000000"/>
                <w:sz w:val="24"/>
                <w:szCs w:val="24"/>
              </w:rPr>
              <w:t>15 (50)</w:t>
            </w:r>
          </w:p>
        </w:tc>
        <w:tc>
          <w:tcPr>
            <w:tcW w:w="1378" w:type="dxa"/>
            <w:noWrap/>
            <w:vAlign w:val="center"/>
          </w:tcPr>
          <w:p w:rsidR="00D06F40" w:rsidRPr="00F80032" w:rsidRDefault="00D06F40" w:rsidP="004F172A">
            <w:pPr>
              <w:adjustRightInd w:val="0"/>
              <w:snapToGrid w:val="0"/>
              <w:spacing w:after="0" w:line="360" w:lineRule="auto"/>
              <w:jc w:val="both"/>
              <w:rPr>
                <w:rFonts w:ascii="Book Antiqua" w:hAnsi="Book Antiqua" w:cs="Times New Roman"/>
                <w:color w:val="000000"/>
                <w:sz w:val="24"/>
                <w:szCs w:val="24"/>
              </w:rPr>
            </w:pPr>
            <w:r w:rsidRPr="00F80032">
              <w:rPr>
                <w:rFonts w:ascii="Book Antiqua" w:hAnsi="Book Antiqua" w:cs="Times New Roman"/>
                <w:color w:val="000000"/>
                <w:sz w:val="24"/>
                <w:szCs w:val="24"/>
              </w:rPr>
              <w:t>20 (66.6)</w:t>
            </w:r>
          </w:p>
        </w:tc>
        <w:tc>
          <w:tcPr>
            <w:tcW w:w="1032" w:type="dxa"/>
            <w:vMerge/>
            <w:noWrap/>
            <w:vAlign w:val="center"/>
          </w:tcPr>
          <w:p w:rsidR="00D06F40" w:rsidRPr="00F80032" w:rsidRDefault="00D06F40" w:rsidP="004F172A">
            <w:pPr>
              <w:adjustRightInd w:val="0"/>
              <w:snapToGrid w:val="0"/>
              <w:spacing w:after="0" w:line="360" w:lineRule="auto"/>
              <w:jc w:val="both"/>
              <w:rPr>
                <w:rFonts w:ascii="Book Antiqua" w:hAnsi="Book Antiqua" w:cs="Times New Roman"/>
                <w:color w:val="000000"/>
                <w:sz w:val="24"/>
                <w:szCs w:val="24"/>
              </w:rPr>
            </w:pPr>
          </w:p>
        </w:tc>
        <w:tc>
          <w:tcPr>
            <w:tcW w:w="1701" w:type="dxa"/>
            <w:vMerge/>
            <w:noWrap/>
            <w:vAlign w:val="center"/>
          </w:tcPr>
          <w:p w:rsidR="00D06F40" w:rsidRPr="00F80032" w:rsidRDefault="00D06F40" w:rsidP="004F172A">
            <w:pPr>
              <w:adjustRightInd w:val="0"/>
              <w:snapToGrid w:val="0"/>
              <w:spacing w:after="0" w:line="360" w:lineRule="auto"/>
              <w:jc w:val="both"/>
              <w:rPr>
                <w:rFonts w:ascii="Book Antiqua" w:hAnsi="Book Antiqua" w:cs="Times New Roman"/>
                <w:color w:val="000000"/>
                <w:sz w:val="24"/>
                <w:szCs w:val="24"/>
              </w:rPr>
            </w:pPr>
          </w:p>
        </w:tc>
      </w:tr>
      <w:tr w:rsidR="00D06F40" w:rsidRPr="00F80032" w:rsidTr="00111CC4">
        <w:trPr>
          <w:trHeight w:val="300"/>
        </w:trPr>
        <w:tc>
          <w:tcPr>
            <w:tcW w:w="2977" w:type="dxa"/>
            <w:vMerge w:val="restart"/>
            <w:noWrap/>
            <w:vAlign w:val="center"/>
          </w:tcPr>
          <w:p w:rsidR="00D06F40" w:rsidRPr="00F80032" w:rsidRDefault="00111CC4" w:rsidP="004F172A">
            <w:pPr>
              <w:adjustRightInd w:val="0"/>
              <w:snapToGrid w:val="0"/>
              <w:spacing w:after="0" w:line="360" w:lineRule="auto"/>
              <w:jc w:val="both"/>
              <w:rPr>
                <w:rFonts w:ascii="Book Antiqua" w:hAnsi="Book Antiqua" w:cs="Times New Roman"/>
                <w:color w:val="000000"/>
                <w:sz w:val="24"/>
                <w:szCs w:val="24"/>
                <w:lang w:eastAsia="zh-CN"/>
              </w:rPr>
            </w:pPr>
            <w:r w:rsidRPr="00F80032">
              <w:rPr>
                <w:rFonts w:ascii="Book Antiqua" w:hAnsi="Book Antiqua" w:cs="Times New Roman"/>
                <w:color w:val="000000"/>
                <w:sz w:val="24"/>
                <w:szCs w:val="24"/>
              </w:rPr>
              <w:t>Type of IBD</w:t>
            </w:r>
          </w:p>
          <w:p w:rsidR="00D06F40" w:rsidRPr="00F80032" w:rsidRDefault="00D06F40" w:rsidP="004F172A">
            <w:pPr>
              <w:adjustRightInd w:val="0"/>
              <w:snapToGrid w:val="0"/>
              <w:spacing w:after="0" w:line="360" w:lineRule="auto"/>
              <w:jc w:val="both"/>
              <w:rPr>
                <w:rFonts w:ascii="Book Antiqua" w:hAnsi="Book Antiqua" w:cs="Times New Roman"/>
                <w:color w:val="000000"/>
                <w:sz w:val="24"/>
                <w:szCs w:val="24"/>
              </w:rPr>
            </w:pPr>
          </w:p>
        </w:tc>
        <w:tc>
          <w:tcPr>
            <w:tcW w:w="1560" w:type="dxa"/>
            <w:noWrap/>
            <w:vAlign w:val="center"/>
          </w:tcPr>
          <w:p w:rsidR="00D06F40" w:rsidRPr="00F80032" w:rsidRDefault="00D06F40" w:rsidP="004F172A">
            <w:pPr>
              <w:adjustRightInd w:val="0"/>
              <w:snapToGrid w:val="0"/>
              <w:spacing w:after="0" w:line="360" w:lineRule="auto"/>
              <w:jc w:val="both"/>
              <w:rPr>
                <w:rFonts w:ascii="Book Antiqua" w:hAnsi="Book Antiqua" w:cs="Times New Roman"/>
                <w:color w:val="000000"/>
                <w:sz w:val="24"/>
                <w:szCs w:val="24"/>
              </w:rPr>
            </w:pPr>
            <w:r w:rsidRPr="00F80032">
              <w:rPr>
                <w:rFonts w:ascii="Book Antiqua" w:hAnsi="Book Antiqua" w:cs="Times New Roman"/>
                <w:color w:val="000000"/>
                <w:sz w:val="24"/>
                <w:szCs w:val="24"/>
              </w:rPr>
              <w:t>CD</w:t>
            </w:r>
          </w:p>
        </w:tc>
        <w:tc>
          <w:tcPr>
            <w:tcW w:w="1275" w:type="dxa"/>
            <w:noWrap/>
            <w:vAlign w:val="center"/>
          </w:tcPr>
          <w:p w:rsidR="00D06F40" w:rsidRPr="00F80032" w:rsidRDefault="00D06F40" w:rsidP="004F172A">
            <w:pPr>
              <w:adjustRightInd w:val="0"/>
              <w:snapToGrid w:val="0"/>
              <w:spacing w:after="0" w:line="360" w:lineRule="auto"/>
              <w:jc w:val="both"/>
              <w:rPr>
                <w:rFonts w:ascii="Book Antiqua" w:hAnsi="Book Antiqua" w:cs="Times New Roman"/>
                <w:color w:val="000000"/>
                <w:sz w:val="24"/>
                <w:szCs w:val="24"/>
              </w:rPr>
            </w:pPr>
            <w:r w:rsidRPr="00F80032">
              <w:rPr>
                <w:rFonts w:ascii="Book Antiqua" w:hAnsi="Book Antiqua" w:cs="Times New Roman"/>
                <w:color w:val="000000"/>
                <w:sz w:val="24"/>
                <w:szCs w:val="24"/>
              </w:rPr>
              <w:t>25 (83.3)</w:t>
            </w:r>
          </w:p>
        </w:tc>
        <w:tc>
          <w:tcPr>
            <w:tcW w:w="1378" w:type="dxa"/>
            <w:noWrap/>
            <w:vAlign w:val="center"/>
          </w:tcPr>
          <w:p w:rsidR="00D06F40" w:rsidRPr="00F80032" w:rsidRDefault="00D06F40" w:rsidP="004F172A">
            <w:pPr>
              <w:adjustRightInd w:val="0"/>
              <w:snapToGrid w:val="0"/>
              <w:spacing w:after="0" w:line="360" w:lineRule="auto"/>
              <w:jc w:val="both"/>
              <w:rPr>
                <w:rFonts w:ascii="Book Antiqua" w:hAnsi="Book Antiqua" w:cs="Times New Roman"/>
                <w:color w:val="000000"/>
                <w:sz w:val="24"/>
                <w:szCs w:val="24"/>
              </w:rPr>
            </w:pPr>
            <w:r w:rsidRPr="00F80032">
              <w:rPr>
                <w:rFonts w:ascii="Book Antiqua" w:hAnsi="Book Antiqua" w:cs="Times New Roman"/>
                <w:color w:val="000000"/>
                <w:sz w:val="24"/>
                <w:szCs w:val="24"/>
              </w:rPr>
              <w:t>27 (90)</w:t>
            </w:r>
          </w:p>
        </w:tc>
        <w:tc>
          <w:tcPr>
            <w:tcW w:w="1032" w:type="dxa"/>
            <w:vMerge w:val="restart"/>
            <w:noWrap/>
            <w:vAlign w:val="center"/>
          </w:tcPr>
          <w:p w:rsidR="00D06F40" w:rsidRPr="00F80032" w:rsidRDefault="00D06F40" w:rsidP="004F172A">
            <w:pPr>
              <w:adjustRightInd w:val="0"/>
              <w:snapToGrid w:val="0"/>
              <w:spacing w:after="0" w:line="360" w:lineRule="auto"/>
              <w:jc w:val="both"/>
              <w:rPr>
                <w:rFonts w:ascii="Book Antiqua" w:hAnsi="Book Antiqua" w:cs="Times New Roman"/>
                <w:color w:val="000000"/>
                <w:sz w:val="24"/>
                <w:szCs w:val="24"/>
              </w:rPr>
            </w:pPr>
            <w:r w:rsidRPr="00F80032">
              <w:rPr>
                <w:rFonts w:ascii="Book Antiqua" w:hAnsi="Book Antiqua" w:cs="Times New Roman"/>
                <w:color w:val="000000"/>
                <w:sz w:val="24"/>
                <w:szCs w:val="24"/>
              </w:rPr>
              <w:t>0.45</w:t>
            </w:r>
          </w:p>
        </w:tc>
        <w:tc>
          <w:tcPr>
            <w:tcW w:w="1701" w:type="dxa"/>
            <w:vMerge w:val="restart"/>
            <w:noWrap/>
            <w:vAlign w:val="center"/>
          </w:tcPr>
          <w:p w:rsidR="00D06F40" w:rsidRPr="00F80032" w:rsidRDefault="00D06F40" w:rsidP="004F172A">
            <w:pPr>
              <w:adjustRightInd w:val="0"/>
              <w:snapToGrid w:val="0"/>
              <w:spacing w:after="0" w:line="360" w:lineRule="auto"/>
              <w:jc w:val="both"/>
              <w:rPr>
                <w:rFonts w:ascii="Book Antiqua" w:hAnsi="Book Antiqua" w:cs="Times New Roman"/>
                <w:color w:val="000000"/>
                <w:sz w:val="24"/>
                <w:szCs w:val="24"/>
              </w:rPr>
            </w:pPr>
            <w:r w:rsidRPr="00F80032">
              <w:rPr>
                <w:rFonts w:ascii="Book Antiqua" w:hAnsi="Book Antiqua" w:cs="Times New Roman"/>
                <w:color w:val="000000"/>
                <w:sz w:val="24"/>
                <w:szCs w:val="24"/>
              </w:rPr>
              <w:t>0.56 (0.12-2.57)</w:t>
            </w:r>
          </w:p>
        </w:tc>
      </w:tr>
      <w:tr w:rsidR="00D06F40" w:rsidRPr="00F80032" w:rsidTr="00111CC4">
        <w:trPr>
          <w:trHeight w:val="300"/>
        </w:trPr>
        <w:tc>
          <w:tcPr>
            <w:tcW w:w="2977" w:type="dxa"/>
            <w:vMerge/>
            <w:noWrap/>
            <w:vAlign w:val="center"/>
          </w:tcPr>
          <w:p w:rsidR="00D06F40" w:rsidRPr="00F80032" w:rsidRDefault="00D06F40" w:rsidP="004F172A">
            <w:pPr>
              <w:adjustRightInd w:val="0"/>
              <w:snapToGrid w:val="0"/>
              <w:spacing w:after="0" w:line="360" w:lineRule="auto"/>
              <w:jc w:val="both"/>
              <w:rPr>
                <w:rFonts w:ascii="Book Antiqua" w:hAnsi="Book Antiqua" w:cs="Times New Roman"/>
                <w:color w:val="000000"/>
                <w:sz w:val="24"/>
                <w:szCs w:val="24"/>
              </w:rPr>
            </w:pPr>
          </w:p>
        </w:tc>
        <w:tc>
          <w:tcPr>
            <w:tcW w:w="1560" w:type="dxa"/>
            <w:noWrap/>
            <w:vAlign w:val="center"/>
          </w:tcPr>
          <w:p w:rsidR="00D06F40" w:rsidRPr="00F80032" w:rsidRDefault="00D06F40" w:rsidP="004F172A">
            <w:pPr>
              <w:adjustRightInd w:val="0"/>
              <w:snapToGrid w:val="0"/>
              <w:spacing w:after="0" w:line="360" w:lineRule="auto"/>
              <w:jc w:val="both"/>
              <w:rPr>
                <w:rFonts w:ascii="Book Antiqua" w:hAnsi="Book Antiqua" w:cs="Times New Roman"/>
                <w:color w:val="000000"/>
                <w:sz w:val="24"/>
                <w:szCs w:val="24"/>
              </w:rPr>
            </w:pPr>
            <w:r w:rsidRPr="00F80032">
              <w:rPr>
                <w:rFonts w:ascii="Book Antiqua" w:hAnsi="Book Antiqua" w:cs="Times New Roman"/>
                <w:color w:val="000000"/>
                <w:sz w:val="24"/>
                <w:szCs w:val="24"/>
              </w:rPr>
              <w:t>UC</w:t>
            </w:r>
          </w:p>
        </w:tc>
        <w:tc>
          <w:tcPr>
            <w:tcW w:w="1275" w:type="dxa"/>
            <w:noWrap/>
            <w:vAlign w:val="center"/>
          </w:tcPr>
          <w:p w:rsidR="00D06F40" w:rsidRPr="00F80032" w:rsidRDefault="00D06F40" w:rsidP="004F172A">
            <w:pPr>
              <w:adjustRightInd w:val="0"/>
              <w:snapToGrid w:val="0"/>
              <w:spacing w:after="0" w:line="360" w:lineRule="auto"/>
              <w:jc w:val="both"/>
              <w:rPr>
                <w:rFonts w:ascii="Book Antiqua" w:hAnsi="Book Antiqua" w:cs="Times New Roman"/>
                <w:color w:val="000000"/>
                <w:sz w:val="24"/>
                <w:szCs w:val="24"/>
              </w:rPr>
            </w:pPr>
            <w:r w:rsidRPr="00F80032">
              <w:rPr>
                <w:rFonts w:ascii="Book Antiqua" w:hAnsi="Book Antiqua" w:cs="Times New Roman"/>
                <w:color w:val="000000"/>
                <w:sz w:val="24"/>
                <w:szCs w:val="24"/>
              </w:rPr>
              <w:t>5 (16.7)</w:t>
            </w:r>
          </w:p>
        </w:tc>
        <w:tc>
          <w:tcPr>
            <w:tcW w:w="1378" w:type="dxa"/>
            <w:noWrap/>
            <w:vAlign w:val="center"/>
          </w:tcPr>
          <w:p w:rsidR="00D06F40" w:rsidRPr="00F80032" w:rsidRDefault="00D06F40" w:rsidP="004F172A">
            <w:pPr>
              <w:adjustRightInd w:val="0"/>
              <w:snapToGrid w:val="0"/>
              <w:spacing w:after="0" w:line="360" w:lineRule="auto"/>
              <w:jc w:val="both"/>
              <w:rPr>
                <w:rFonts w:ascii="Book Antiqua" w:hAnsi="Book Antiqua" w:cs="Times New Roman"/>
                <w:color w:val="000000"/>
                <w:sz w:val="24"/>
                <w:szCs w:val="24"/>
              </w:rPr>
            </w:pPr>
            <w:r w:rsidRPr="00F80032">
              <w:rPr>
                <w:rFonts w:ascii="Book Antiqua" w:hAnsi="Book Antiqua" w:cs="Times New Roman"/>
                <w:color w:val="000000"/>
                <w:sz w:val="24"/>
                <w:szCs w:val="24"/>
              </w:rPr>
              <w:t>3 (10)</w:t>
            </w:r>
          </w:p>
        </w:tc>
        <w:tc>
          <w:tcPr>
            <w:tcW w:w="1032" w:type="dxa"/>
            <w:vMerge/>
            <w:noWrap/>
            <w:vAlign w:val="center"/>
          </w:tcPr>
          <w:p w:rsidR="00D06F40" w:rsidRPr="00F80032" w:rsidRDefault="00D06F40" w:rsidP="004F172A">
            <w:pPr>
              <w:adjustRightInd w:val="0"/>
              <w:snapToGrid w:val="0"/>
              <w:spacing w:after="0" w:line="360" w:lineRule="auto"/>
              <w:jc w:val="both"/>
              <w:rPr>
                <w:rFonts w:ascii="Book Antiqua" w:hAnsi="Book Antiqua" w:cs="Times New Roman"/>
                <w:color w:val="000000"/>
                <w:sz w:val="24"/>
                <w:szCs w:val="24"/>
              </w:rPr>
            </w:pPr>
          </w:p>
        </w:tc>
        <w:tc>
          <w:tcPr>
            <w:tcW w:w="1701" w:type="dxa"/>
            <w:vMerge/>
            <w:noWrap/>
            <w:vAlign w:val="center"/>
          </w:tcPr>
          <w:p w:rsidR="00D06F40" w:rsidRPr="00F80032" w:rsidRDefault="00D06F40" w:rsidP="004F172A">
            <w:pPr>
              <w:adjustRightInd w:val="0"/>
              <w:snapToGrid w:val="0"/>
              <w:spacing w:after="0" w:line="360" w:lineRule="auto"/>
              <w:jc w:val="both"/>
              <w:rPr>
                <w:rFonts w:ascii="Book Antiqua" w:hAnsi="Book Antiqua" w:cs="Times New Roman"/>
                <w:color w:val="000000"/>
                <w:sz w:val="24"/>
                <w:szCs w:val="24"/>
              </w:rPr>
            </w:pPr>
          </w:p>
        </w:tc>
      </w:tr>
      <w:tr w:rsidR="00D06F40" w:rsidRPr="00F80032" w:rsidTr="00111CC4">
        <w:trPr>
          <w:trHeight w:val="447"/>
        </w:trPr>
        <w:tc>
          <w:tcPr>
            <w:tcW w:w="2977" w:type="dxa"/>
            <w:noWrap/>
            <w:vAlign w:val="center"/>
          </w:tcPr>
          <w:p w:rsidR="00D06F40" w:rsidRPr="00F80032" w:rsidRDefault="00D06F40" w:rsidP="004F172A">
            <w:pPr>
              <w:adjustRightInd w:val="0"/>
              <w:snapToGrid w:val="0"/>
              <w:spacing w:after="0" w:line="360" w:lineRule="auto"/>
              <w:jc w:val="both"/>
              <w:rPr>
                <w:rFonts w:ascii="Book Antiqua" w:hAnsi="Book Antiqua" w:cs="Times New Roman"/>
                <w:color w:val="000000"/>
                <w:sz w:val="24"/>
                <w:szCs w:val="24"/>
              </w:rPr>
            </w:pPr>
            <w:r w:rsidRPr="00F80032">
              <w:rPr>
                <w:rFonts w:ascii="Book Antiqua" w:hAnsi="Book Antiqua" w:cs="Times New Roman"/>
                <w:color w:val="000000"/>
                <w:sz w:val="24"/>
                <w:szCs w:val="24"/>
              </w:rPr>
              <w:t>Duration of IFX therapy</w:t>
            </w:r>
            <w:r w:rsidR="00111CC4" w:rsidRPr="00F80032">
              <w:rPr>
                <w:rFonts w:ascii="Book Antiqua" w:hAnsi="Book Antiqua" w:cs="Times New Roman" w:hint="eastAsia"/>
                <w:color w:val="000000"/>
                <w:sz w:val="24"/>
                <w:szCs w:val="24"/>
                <w:vertAlign w:val="superscript"/>
                <w:lang w:eastAsia="zh-CN"/>
              </w:rPr>
              <w:t>1</w:t>
            </w:r>
            <w:r w:rsidRPr="00F80032">
              <w:rPr>
                <w:rFonts w:ascii="Book Antiqua" w:hAnsi="Book Antiqua" w:cs="Times New Roman"/>
                <w:color w:val="000000"/>
                <w:sz w:val="24"/>
                <w:szCs w:val="24"/>
              </w:rPr>
              <w:t xml:space="preserve"> (</w:t>
            </w:r>
            <w:proofErr w:type="spellStart"/>
            <w:r w:rsidRPr="00F80032">
              <w:rPr>
                <w:rFonts w:ascii="Book Antiqua" w:hAnsi="Book Antiqua" w:cs="Times New Roman"/>
                <w:color w:val="000000"/>
                <w:sz w:val="24"/>
                <w:szCs w:val="24"/>
              </w:rPr>
              <w:t>mo</w:t>
            </w:r>
            <w:proofErr w:type="spellEnd"/>
            <w:r w:rsidRPr="00F80032">
              <w:rPr>
                <w:rFonts w:ascii="Book Antiqua" w:hAnsi="Book Antiqua" w:cs="Times New Roman"/>
                <w:color w:val="000000"/>
                <w:sz w:val="24"/>
                <w:szCs w:val="24"/>
              </w:rPr>
              <w:t>)</w:t>
            </w:r>
          </w:p>
        </w:tc>
        <w:tc>
          <w:tcPr>
            <w:tcW w:w="1560" w:type="dxa"/>
            <w:noWrap/>
            <w:vAlign w:val="center"/>
          </w:tcPr>
          <w:p w:rsidR="00D06F40" w:rsidRPr="00F80032" w:rsidRDefault="00D06F40" w:rsidP="004F172A">
            <w:pPr>
              <w:adjustRightInd w:val="0"/>
              <w:snapToGrid w:val="0"/>
              <w:spacing w:after="0" w:line="360" w:lineRule="auto"/>
              <w:jc w:val="both"/>
              <w:rPr>
                <w:rFonts w:ascii="Book Antiqua" w:hAnsi="Book Antiqua" w:cs="Times New Roman"/>
                <w:color w:val="000000"/>
                <w:sz w:val="24"/>
                <w:szCs w:val="24"/>
              </w:rPr>
            </w:pPr>
          </w:p>
        </w:tc>
        <w:tc>
          <w:tcPr>
            <w:tcW w:w="1275" w:type="dxa"/>
            <w:noWrap/>
            <w:vAlign w:val="center"/>
          </w:tcPr>
          <w:p w:rsidR="00D06F40" w:rsidRPr="00F80032" w:rsidRDefault="00D06F40" w:rsidP="004F172A">
            <w:pPr>
              <w:adjustRightInd w:val="0"/>
              <w:snapToGrid w:val="0"/>
              <w:spacing w:after="0" w:line="360" w:lineRule="auto"/>
              <w:jc w:val="both"/>
              <w:rPr>
                <w:rFonts w:ascii="Book Antiqua" w:hAnsi="Book Antiqua" w:cs="Times New Roman"/>
                <w:color w:val="000000"/>
                <w:sz w:val="24"/>
                <w:szCs w:val="24"/>
              </w:rPr>
            </w:pPr>
            <w:r w:rsidRPr="00F80032">
              <w:rPr>
                <w:rFonts w:ascii="Book Antiqua" w:hAnsi="Book Antiqua" w:cs="Times New Roman"/>
                <w:color w:val="000000"/>
                <w:sz w:val="24"/>
                <w:szCs w:val="24"/>
              </w:rPr>
              <w:t>21 ± 25.1</w:t>
            </w:r>
          </w:p>
        </w:tc>
        <w:tc>
          <w:tcPr>
            <w:tcW w:w="1378" w:type="dxa"/>
            <w:noWrap/>
            <w:vAlign w:val="center"/>
          </w:tcPr>
          <w:p w:rsidR="00D06F40" w:rsidRPr="00F80032" w:rsidRDefault="00D06F40" w:rsidP="004F172A">
            <w:pPr>
              <w:adjustRightInd w:val="0"/>
              <w:snapToGrid w:val="0"/>
              <w:spacing w:after="0" w:line="360" w:lineRule="auto"/>
              <w:jc w:val="both"/>
              <w:rPr>
                <w:rFonts w:ascii="Book Antiqua" w:hAnsi="Book Antiqua" w:cs="Times New Roman"/>
                <w:color w:val="000000"/>
                <w:sz w:val="24"/>
                <w:szCs w:val="24"/>
              </w:rPr>
            </w:pPr>
            <w:r w:rsidRPr="00F80032">
              <w:rPr>
                <w:rFonts w:ascii="Book Antiqua" w:hAnsi="Book Antiqua" w:cs="Times New Roman"/>
                <w:color w:val="000000"/>
                <w:sz w:val="24"/>
                <w:szCs w:val="24"/>
              </w:rPr>
              <w:t>20.75 ± 25.5</w:t>
            </w:r>
          </w:p>
        </w:tc>
        <w:tc>
          <w:tcPr>
            <w:tcW w:w="1032" w:type="dxa"/>
            <w:noWrap/>
            <w:vAlign w:val="center"/>
          </w:tcPr>
          <w:p w:rsidR="00D06F40" w:rsidRPr="00F80032" w:rsidRDefault="00D06F40" w:rsidP="004F172A">
            <w:pPr>
              <w:adjustRightInd w:val="0"/>
              <w:snapToGrid w:val="0"/>
              <w:spacing w:after="0" w:line="360" w:lineRule="auto"/>
              <w:jc w:val="both"/>
              <w:rPr>
                <w:rFonts w:ascii="Book Antiqua" w:hAnsi="Book Antiqua" w:cs="Times New Roman"/>
                <w:color w:val="000000"/>
                <w:sz w:val="24"/>
                <w:szCs w:val="24"/>
              </w:rPr>
            </w:pPr>
            <w:r w:rsidRPr="00F80032">
              <w:rPr>
                <w:rFonts w:ascii="Book Antiqua" w:hAnsi="Book Antiqua" w:cs="Times New Roman"/>
                <w:color w:val="000000"/>
                <w:sz w:val="24"/>
                <w:szCs w:val="24"/>
              </w:rPr>
              <w:t>0.97</w:t>
            </w:r>
          </w:p>
        </w:tc>
        <w:tc>
          <w:tcPr>
            <w:tcW w:w="1701" w:type="dxa"/>
            <w:noWrap/>
            <w:vAlign w:val="center"/>
          </w:tcPr>
          <w:p w:rsidR="00D06F40" w:rsidRPr="00F80032" w:rsidRDefault="00D06F40" w:rsidP="004F172A">
            <w:pPr>
              <w:adjustRightInd w:val="0"/>
              <w:snapToGrid w:val="0"/>
              <w:spacing w:after="0" w:line="360" w:lineRule="auto"/>
              <w:jc w:val="both"/>
              <w:rPr>
                <w:rFonts w:ascii="Book Antiqua" w:hAnsi="Book Antiqua" w:cs="Times New Roman"/>
                <w:color w:val="000000"/>
                <w:sz w:val="24"/>
                <w:szCs w:val="24"/>
              </w:rPr>
            </w:pPr>
          </w:p>
        </w:tc>
      </w:tr>
      <w:tr w:rsidR="00D06F40" w:rsidRPr="00F80032" w:rsidTr="00111CC4">
        <w:trPr>
          <w:trHeight w:val="300"/>
        </w:trPr>
        <w:tc>
          <w:tcPr>
            <w:tcW w:w="2977" w:type="dxa"/>
            <w:noWrap/>
            <w:vAlign w:val="center"/>
          </w:tcPr>
          <w:p w:rsidR="00D06F40" w:rsidRPr="00F80032" w:rsidRDefault="00D06F40" w:rsidP="004F172A">
            <w:pPr>
              <w:adjustRightInd w:val="0"/>
              <w:snapToGrid w:val="0"/>
              <w:spacing w:after="0" w:line="360" w:lineRule="auto"/>
              <w:jc w:val="both"/>
              <w:rPr>
                <w:rFonts w:ascii="Book Antiqua" w:hAnsi="Book Antiqua" w:cs="Times New Roman"/>
                <w:color w:val="000000"/>
                <w:sz w:val="24"/>
                <w:szCs w:val="24"/>
              </w:rPr>
            </w:pPr>
            <w:r w:rsidRPr="00F80032">
              <w:rPr>
                <w:rFonts w:ascii="Book Antiqua" w:hAnsi="Book Antiqua" w:cs="Times New Roman"/>
                <w:color w:val="000000"/>
                <w:sz w:val="24"/>
                <w:szCs w:val="24"/>
              </w:rPr>
              <w:t>Concomitant therapy</w:t>
            </w:r>
          </w:p>
        </w:tc>
        <w:tc>
          <w:tcPr>
            <w:tcW w:w="1560" w:type="dxa"/>
            <w:noWrap/>
            <w:vAlign w:val="center"/>
          </w:tcPr>
          <w:p w:rsidR="00D06F40" w:rsidRPr="00F80032" w:rsidRDefault="00D06F40" w:rsidP="004F172A">
            <w:pPr>
              <w:adjustRightInd w:val="0"/>
              <w:snapToGrid w:val="0"/>
              <w:spacing w:after="0" w:line="360" w:lineRule="auto"/>
              <w:jc w:val="both"/>
              <w:rPr>
                <w:rFonts w:ascii="Book Antiqua" w:hAnsi="Book Antiqua" w:cs="Times New Roman"/>
                <w:color w:val="000000"/>
                <w:sz w:val="24"/>
                <w:szCs w:val="24"/>
              </w:rPr>
            </w:pPr>
          </w:p>
        </w:tc>
        <w:tc>
          <w:tcPr>
            <w:tcW w:w="1275" w:type="dxa"/>
            <w:noWrap/>
            <w:vAlign w:val="center"/>
          </w:tcPr>
          <w:p w:rsidR="00D06F40" w:rsidRPr="00F80032" w:rsidRDefault="00D06F40" w:rsidP="004F172A">
            <w:pPr>
              <w:adjustRightInd w:val="0"/>
              <w:snapToGrid w:val="0"/>
              <w:spacing w:after="0" w:line="360" w:lineRule="auto"/>
              <w:jc w:val="both"/>
              <w:rPr>
                <w:rFonts w:ascii="Book Antiqua" w:hAnsi="Book Antiqua" w:cs="Times New Roman"/>
                <w:color w:val="000000"/>
                <w:sz w:val="24"/>
                <w:szCs w:val="24"/>
              </w:rPr>
            </w:pPr>
            <w:r w:rsidRPr="00F80032">
              <w:rPr>
                <w:rFonts w:ascii="Book Antiqua" w:hAnsi="Book Antiqua" w:cs="Times New Roman"/>
                <w:color w:val="000000"/>
                <w:sz w:val="24"/>
                <w:szCs w:val="24"/>
              </w:rPr>
              <w:t>11 (36.7)</w:t>
            </w:r>
          </w:p>
        </w:tc>
        <w:tc>
          <w:tcPr>
            <w:tcW w:w="1378" w:type="dxa"/>
            <w:noWrap/>
            <w:vAlign w:val="center"/>
          </w:tcPr>
          <w:p w:rsidR="00D06F40" w:rsidRPr="00F80032" w:rsidRDefault="00D06F40" w:rsidP="004F172A">
            <w:pPr>
              <w:adjustRightInd w:val="0"/>
              <w:snapToGrid w:val="0"/>
              <w:spacing w:after="0" w:line="360" w:lineRule="auto"/>
              <w:jc w:val="both"/>
              <w:rPr>
                <w:rFonts w:ascii="Book Antiqua" w:hAnsi="Book Antiqua" w:cs="Times New Roman"/>
                <w:color w:val="000000"/>
                <w:sz w:val="24"/>
                <w:szCs w:val="24"/>
              </w:rPr>
            </w:pPr>
            <w:r w:rsidRPr="00F80032">
              <w:rPr>
                <w:rFonts w:ascii="Book Antiqua" w:hAnsi="Book Antiqua" w:cs="Times New Roman"/>
                <w:color w:val="000000"/>
                <w:sz w:val="24"/>
                <w:szCs w:val="24"/>
              </w:rPr>
              <w:t>11 (36.7)</w:t>
            </w:r>
          </w:p>
        </w:tc>
        <w:tc>
          <w:tcPr>
            <w:tcW w:w="1032" w:type="dxa"/>
            <w:noWrap/>
            <w:vAlign w:val="center"/>
          </w:tcPr>
          <w:p w:rsidR="00D06F40" w:rsidRPr="00F80032" w:rsidRDefault="00D06F40" w:rsidP="004F172A">
            <w:pPr>
              <w:adjustRightInd w:val="0"/>
              <w:snapToGrid w:val="0"/>
              <w:spacing w:after="0" w:line="360" w:lineRule="auto"/>
              <w:jc w:val="both"/>
              <w:rPr>
                <w:rFonts w:ascii="Book Antiqua" w:hAnsi="Book Antiqua" w:cs="Times New Roman"/>
                <w:color w:val="000000"/>
                <w:sz w:val="24"/>
                <w:szCs w:val="24"/>
              </w:rPr>
            </w:pPr>
            <w:r w:rsidRPr="00F80032">
              <w:rPr>
                <w:rFonts w:ascii="Book Antiqua" w:hAnsi="Book Antiqua" w:cs="Times New Roman"/>
                <w:color w:val="000000"/>
                <w:sz w:val="24"/>
                <w:szCs w:val="24"/>
              </w:rPr>
              <w:t>1.0</w:t>
            </w:r>
          </w:p>
        </w:tc>
        <w:tc>
          <w:tcPr>
            <w:tcW w:w="1701" w:type="dxa"/>
            <w:noWrap/>
            <w:vAlign w:val="center"/>
          </w:tcPr>
          <w:p w:rsidR="00D06F40" w:rsidRPr="00F80032" w:rsidRDefault="00D06F40" w:rsidP="004F172A">
            <w:pPr>
              <w:adjustRightInd w:val="0"/>
              <w:snapToGrid w:val="0"/>
              <w:spacing w:after="0" w:line="360" w:lineRule="auto"/>
              <w:jc w:val="both"/>
              <w:rPr>
                <w:rFonts w:ascii="Book Antiqua" w:hAnsi="Book Antiqua" w:cs="Times New Roman"/>
                <w:color w:val="000000"/>
                <w:sz w:val="24"/>
                <w:szCs w:val="24"/>
              </w:rPr>
            </w:pPr>
            <w:r w:rsidRPr="00F80032">
              <w:rPr>
                <w:rFonts w:ascii="Book Antiqua" w:hAnsi="Book Antiqua" w:cs="Times New Roman"/>
                <w:color w:val="000000"/>
                <w:sz w:val="24"/>
                <w:szCs w:val="24"/>
              </w:rPr>
              <w:t>1 (0.35-2.86)</w:t>
            </w:r>
          </w:p>
        </w:tc>
      </w:tr>
      <w:tr w:rsidR="00D06F40" w:rsidRPr="00F80032" w:rsidTr="00111CC4">
        <w:trPr>
          <w:trHeight w:val="300"/>
        </w:trPr>
        <w:tc>
          <w:tcPr>
            <w:tcW w:w="2977" w:type="dxa"/>
            <w:noWrap/>
            <w:vAlign w:val="center"/>
          </w:tcPr>
          <w:p w:rsidR="00D06F40" w:rsidRPr="00F80032" w:rsidRDefault="00D06F40" w:rsidP="004F172A">
            <w:pPr>
              <w:adjustRightInd w:val="0"/>
              <w:snapToGrid w:val="0"/>
              <w:spacing w:after="0" w:line="360" w:lineRule="auto"/>
              <w:jc w:val="both"/>
              <w:rPr>
                <w:rFonts w:ascii="Book Antiqua" w:hAnsi="Book Antiqua" w:cs="Times New Roman"/>
                <w:color w:val="000000"/>
                <w:sz w:val="24"/>
                <w:szCs w:val="24"/>
              </w:rPr>
            </w:pPr>
            <w:r w:rsidRPr="00F80032">
              <w:rPr>
                <w:rFonts w:ascii="Book Antiqua" w:hAnsi="Book Antiqua" w:cs="Times New Roman"/>
                <w:color w:val="000000"/>
                <w:sz w:val="24"/>
                <w:szCs w:val="24"/>
              </w:rPr>
              <w:t>Episodic therapy</w:t>
            </w:r>
          </w:p>
        </w:tc>
        <w:tc>
          <w:tcPr>
            <w:tcW w:w="1560" w:type="dxa"/>
            <w:noWrap/>
            <w:vAlign w:val="center"/>
          </w:tcPr>
          <w:p w:rsidR="00D06F40" w:rsidRPr="00F80032" w:rsidRDefault="00D06F40" w:rsidP="004F172A">
            <w:pPr>
              <w:adjustRightInd w:val="0"/>
              <w:snapToGrid w:val="0"/>
              <w:spacing w:after="0" w:line="360" w:lineRule="auto"/>
              <w:jc w:val="both"/>
              <w:rPr>
                <w:rFonts w:ascii="Book Antiqua" w:hAnsi="Book Antiqua" w:cs="Times New Roman"/>
                <w:color w:val="000000"/>
                <w:sz w:val="24"/>
                <w:szCs w:val="24"/>
              </w:rPr>
            </w:pPr>
          </w:p>
        </w:tc>
        <w:tc>
          <w:tcPr>
            <w:tcW w:w="1275" w:type="dxa"/>
            <w:noWrap/>
            <w:vAlign w:val="center"/>
          </w:tcPr>
          <w:p w:rsidR="00D06F40" w:rsidRPr="00F80032" w:rsidRDefault="00D06F40" w:rsidP="004F172A">
            <w:pPr>
              <w:adjustRightInd w:val="0"/>
              <w:snapToGrid w:val="0"/>
              <w:spacing w:after="0" w:line="360" w:lineRule="auto"/>
              <w:jc w:val="both"/>
              <w:rPr>
                <w:rFonts w:ascii="Book Antiqua" w:hAnsi="Book Antiqua" w:cs="Times New Roman"/>
                <w:color w:val="000000"/>
                <w:sz w:val="24"/>
                <w:szCs w:val="24"/>
              </w:rPr>
            </w:pPr>
            <w:r w:rsidRPr="00F80032">
              <w:rPr>
                <w:rFonts w:ascii="Book Antiqua" w:hAnsi="Book Antiqua" w:cs="Times New Roman"/>
                <w:color w:val="000000"/>
                <w:sz w:val="24"/>
                <w:szCs w:val="24"/>
              </w:rPr>
              <w:t>6 (20)</w:t>
            </w:r>
          </w:p>
        </w:tc>
        <w:tc>
          <w:tcPr>
            <w:tcW w:w="1378" w:type="dxa"/>
            <w:noWrap/>
            <w:vAlign w:val="center"/>
          </w:tcPr>
          <w:p w:rsidR="00D06F40" w:rsidRPr="00F80032" w:rsidRDefault="00D06F40" w:rsidP="004F172A">
            <w:pPr>
              <w:adjustRightInd w:val="0"/>
              <w:snapToGrid w:val="0"/>
              <w:spacing w:after="0" w:line="360" w:lineRule="auto"/>
              <w:jc w:val="both"/>
              <w:rPr>
                <w:rFonts w:ascii="Book Antiqua" w:hAnsi="Book Antiqua" w:cs="Times New Roman"/>
                <w:color w:val="000000"/>
                <w:sz w:val="24"/>
                <w:szCs w:val="24"/>
              </w:rPr>
            </w:pPr>
            <w:r w:rsidRPr="00F80032">
              <w:rPr>
                <w:rFonts w:ascii="Book Antiqua" w:hAnsi="Book Antiqua" w:cs="Times New Roman"/>
                <w:color w:val="000000"/>
                <w:sz w:val="24"/>
                <w:szCs w:val="24"/>
              </w:rPr>
              <w:t>6 (20)</w:t>
            </w:r>
          </w:p>
        </w:tc>
        <w:tc>
          <w:tcPr>
            <w:tcW w:w="1032" w:type="dxa"/>
            <w:noWrap/>
            <w:vAlign w:val="center"/>
          </w:tcPr>
          <w:p w:rsidR="00D06F40" w:rsidRPr="00F80032" w:rsidRDefault="00D06F40" w:rsidP="004F172A">
            <w:pPr>
              <w:adjustRightInd w:val="0"/>
              <w:snapToGrid w:val="0"/>
              <w:spacing w:after="0" w:line="360" w:lineRule="auto"/>
              <w:jc w:val="both"/>
              <w:rPr>
                <w:rFonts w:ascii="Book Antiqua" w:hAnsi="Book Antiqua" w:cs="Times New Roman"/>
                <w:color w:val="000000"/>
                <w:sz w:val="24"/>
                <w:szCs w:val="24"/>
              </w:rPr>
            </w:pPr>
            <w:r w:rsidRPr="00F80032">
              <w:rPr>
                <w:rFonts w:ascii="Book Antiqua" w:hAnsi="Book Antiqua" w:cs="Times New Roman"/>
                <w:color w:val="000000"/>
                <w:sz w:val="24"/>
                <w:szCs w:val="24"/>
              </w:rPr>
              <w:t>1.0</w:t>
            </w:r>
          </w:p>
        </w:tc>
        <w:tc>
          <w:tcPr>
            <w:tcW w:w="1701" w:type="dxa"/>
            <w:noWrap/>
            <w:vAlign w:val="center"/>
          </w:tcPr>
          <w:p w:rsidR="00D06F40" w:rsidRPr="00F80032" w:rsidRDefault="00D06F40" w:rsidP="004F172A">
            <w:pPr>
              <w:adjustRightInd w:val="0"/>
              <w:snapToGrid w:val="0"/>
              <w:spacing w:after="0" w:line="360" w:lineRule="auto"/>
              <w:jc w:val="both"/>
              <w:rPr>
                <w:rFonts w:ascii="Book Antiqua" w:hAnsi="Book Antiqua" w:cs="Times New Roman"/>
                <w:color w:val="000000"/>
                <w:sz w:val="24"/>
                <w:szCs w:val="24"/>
              </w:rPr>
            </w:pPr>
            <w:r w:rsidRPr="00F80032">
              <w:rPr>
                <w:rFonts w:ascii="Book Antiqua" w:hAnsi="Book Antiqua" w:cs="Times New Roman"/>
                <w:color w:val="000000"/>
                <w:sz w:val="24"/>
                <w:szCs w:val="24"/>
              </w:rPr>
              <w:t>1 (0.28-3.54)</w:t>
            </w:r>
          </w:p>
        </w:tc>
      </w:tr>
      <w:tr w:rsidR="00D06F40" w:rsidRPr="00F80032" w:rsidTr="00111CC4">
        <w:trPr>
          <w:trHeight w:val="300"/>
        </w:trPr>
        <w:tc>
          <w:tcPr>
            <w:tcW w:w="2977" w:type="dxa"/>
            <w:noWrap/>
            <w:vAlign w:val="center"/>
          </w:tcPr>
          <w:p w:rsidR="00D06F40" w:rsidRPr="00F80032" w:rsidRDefault="00D06F40" w:rsidP="004F172A">
            <w:pPr>
              <w:adjustRightInd w:val="0"/>
              <w:snapToGrid w:val="0"/>
              <w:spacing w:after="0" w:line="360" w:lineRule="auto"/>
              <w:jc w:val="both"/>
              <w:rPr>
                <w:rFonts w:ascii="Book Antiqua" w:hAnsi="Book Antiqua" w:cs="Times New Roman"/>
                <w:color w:val="000000"/>
                <w:sz w:val="24"/>
                <w:szCs w:val="24"/>
              </w:rPr>
            </w:pPr>
            <w:r w:rsidRPr="00F80032">
              <w:rPr>
                <w:rFonts w:ascii="Book Antiqua" w:hAnsi="Book Antiqua" w:cs="Times New Roman"/>
                <w:color w:val="000000"/>
                <w:sz w:val="24"/>
                <w:szCs w:val="24"/>
              </w:rPr>
              <w:t>Median age (</w:t>
            </w:r>
            <w:proofErr w:type="spellStart"/>
            <w:r w:rsidRPr="00F80032">
              <w:rPr>
                <w:rFonts w:ascii="Book Antiqua" w:hAnsi="Book Antiqua" w:cs="Times New Roman"/>
                <w:color w:val="000000"/>
                <w:sz w:val="24"/>
                <w:szCs w:val="24"/>
              </w:rPr>
              <w:t>y</w:t>
            </w:r>
            <w:r w:rsidR="00111CC4" w:rsidRPr="00F80032">
              <w:rPr>
                <w:rFonts w:ascii="Book Antiqua" w:hAnsi="Book Antiqua" w:cs="Times New Roman"/>
                <w:color w:val="000000"/>
                <w:sz w:val="24"/>
                <w:szCs w:val="24"/>
              </w:rPr>
              <w:t>r</w:t>
            </w:r>
            <w:proofErr w:type="spellEnd"/>
            <w:r w:rsidRPr="00F80032">
              <w:rPr>
                <w:rFonts w:ascii="Book Antiqua" w:hAnsi="Book Antiqua" w:cs="Times New Roman"/>
                <w:color w:val="000000"/>
                <w:sz w:val="24"/>
                <w:szCs w:val="24"/>
              </w:rPr>
              <w:t>)</w:t>
            </w:r>
          </w:p>
        </w:tc>
        <w:tc>
          <w:tcPr>
            <w:tcW w:w="1560" w:type="dxa"/>
            <w:noWrap/>
            <w:vAlign w:val="center"/>
          </w:tcPr>
          <w:p w:rsidR="00D06F40" w:rsidRPr="00F80032" w:rsidRDefault="00D06F40" w:rsidP="004F172A">
            <w:pPr>
              <w:adjustRightInd w:val="0"/>
              <w:snapToGrid w:val="0"/>
              <w:spacing w:after="0" w:line="360" w:lineRule="auto"/>
              <w:jc w:val="both"/>
              <w:rPr>
                <w:rFonts w:ascii="Book Antiqua" w:hAnsi="Book Antiqua" w:cs="Times New Roman"/>
                <w:color w:val="000000"/>
                <w:sz w:val="24"/>
                <w:szCs w:val="24"/>
              </w:rPr>
            </w:pPr>
          </w:p>
        </w:tc>
        <w:tc>
          <w:tcPr>
            <w:tcW w:w="1275" w:type="dxa"/>
            <w:noWrap/>
            <w:vAlign w:val="center"/>
          </w:tcPr>
          <w:p w:rsidR="00D06F40" w:rsidRPr="00F80032" w:rsidRDefault="00D06F40" w:rsidP="004F172A">
            <w:pPr>
              <w:adjustRightInd w:val="0"/>
              <w:snapToGrid w:val="0"/>
              <w:spacing w:after="0" w:line="360" w:lineRule="auto"/>
              <w:jc w:val="both"/>
              <w:rPr>
                <w:rFonts w:ascii="Book Antiqua" w:hAnsi="Book Antiqua" w:cs="Times New Roman"/>
                <w:color w:val="000000"/>
                <w:sz w:val="24"/>
                <w:szCs w:val="24"/>
              </w:rPr>
            </w:pPr>
            <w:r w:rsidRPr="00F80032">
              <w:rPr>
                <w:rFonts w:ascii="Book Antiqua" w:hAnsi="Book Antiqua" w:cs="Times New Roman"/>
                <w:color w:val="000000"/>
                <w:sz w:val="24"/>
                <w:szCs w:val="24"/>
              </w:rPr>
              <w:t>33 ± 15.2</w:t>
            </w:r>
          </w:p>
        </w:tc>
        <w:tc>
          <w:tcPr>
            <w:tcW w:w="1378" w:type="dxa"/>
            <w:noWrap/>
            <w:vAlign w:val="center"/>
          </w:tcPr>
          <w:p w:rsidR="00D06F40" w:rsidRPr="00F80032" w:rsidRDefault="00D06F40" w:rsidP="004F172A">
            <w:pPr>
              <w:adjustRightInd w:val="0"/>
              <w:snapToGrid w:val="0"/>
              <w:spacing w:after="0" w:line="360" w:lineRule="auto"/>
              <w:jc w:val="both"/>
              <w:rPr>
                <w:rFonts w:ascii="Book Antiqua" w:hAnsi="Book Antiqua" w:cs="Times New Roman"/>
                <w:color w:val="000000"/>
                <w:sz w:val="24"/>
                <w:szCs w:val="24"/>
              </w:rPr>
            </w:pPr>
            <w:r w:rsidRPr="00F80032">
              <w:rPr>
                <w:rFonts w:ascii="Book Antiqua" w:hAnsi="Book Antiqua" w:cs="Times New Roman"/>
                <w:color w:val="000000"/>
                <w:sz w:val="24"/>
                <w:szCs w:val="24"/>
              </w:rPr>
              <w:t>28.5 ± 10.7</w:t>
            </w:r>
          </w:p>
        </w:tc>
        <w:tc>
          <w:tcPr>
            <w:tcW w:w="1032" w:type="dxa"/>
            <w:noWrap/>
            <w:vAlign w:val="center"/>
          </w:tcPr>
          <w:p w:rsidR="00D06F40" w:rsidRPr="00F80032" w:rsidRDefault="00D06F40" w:rsidP="004F172A">
            <w:pPr>
              <w:adjustRightInd w:val="0"/>
              <w:snapToGrid w:val="0"/>
              <w:spacing w:after="0" w:line="360" w:lineRule="auto"/>
              <w:jc w:val="both"/>
              <w:rPr>
                <w:rFonts w:ascii="Book Antiqua" w:hAnsi="Book Antiqua" w:cs="Times New Roman"/>
                <w:color w:val="000000"/>
                <w:sz w:val="24"/>
                <w:szCs w:val="24"/>
              </w:rPr>
            </w:pPr>
            <w:r w:rsidRPr="00F80032">
              <w:rPr>
                <w:rFonts w:ascii="Book Antiqua" w:hAnsi="Book Antiqua" w:cs="Times New Roman"/>
                <w:color w:val="000000"/>
                <w:sz w:val="24"/>
                <w:szCs w:val="24"/>
              </w:rPr>
              <w:t>0.24</w:t>
            </w:r>
          </w:p>
        </w:tc>
        <w:tc>
          <w:tcPr>
            <w:tcW w:w="1701" w:type="dxa"/>
            <w:noWrap/>
            <w:vAlign w:val="center"/>
          </w:tcPr>
          <w:p w:rsidR="00D06F40" w:rsidRPr="00F80032" w:rsidRDefault="00D06F40" w:rsidP="004F172A">
            <w:pPr>
              <w:adjustRightInd w:val="0"/>
              <w:snapToGrid w:val="0"/>
              <w:spacing w:after="0" w:line="360" w:lineRule="auto"/>
              <w:jc w:val="both"/>
              <w:rPr>
                <w:rFonts w:ascii="Book Antiqua" w:hAnsi="Book Antiqua" w:cs="Times New Roman"/>
                <w:color w:val="000000"/>
                <w:sz w:val="24"/>
                <w:szCs w:val="24"/>
              </w:rPr>
            </w:pPr>
          </w:p>
        </w:tc>
      </w:tr>
      <w:tr w:rsidR="00D06F40" w:rsidRPr="00F80032" w:rsidTr="00111CC4">
        <w:trPr>
          <w:trHeight w:val="300"/>
        </w:trPr>
        <w:tc>
          <w:tcPr>
            <w:tcW w:w="2977" w:type="dxa"/>
            <w:noWrap/>
            <w:vAlign w:val="center"/>
          </w:tcPr>
          <w:p w:rsidR="00D06F40" w:rsidRPr="00F80032" w:rsidRDefault="00D06F40" w:rsidP="004F172A">
            <w:pPr>
              <w:adjustRightInd w:val="0"/>
              <w:snapToGrid w:val="0"/>
              <w:spacing w:after="0" w:line="360" w:lineRule="auto"/>
              <w:jc w:val="both"/>
              <w:rPr>
                <w:rFonts w:ascii="Book Antiqua" w:hAnsi="Book Antiqua" w:cs="Times New Roman"/>
                <w:color w:val="000000"/>
                <w:sz w:val="24"/>
                <w:szCs w:val="24"/>
              </w:rPr>
            </w:pPr>
            <w:r w:rsidRPr="00F80032">
              <w:rPr>
                <w:rFonts w:ascii="Book Antiqua" w:hAnsi="Book Antiqua" w:cs="Times New Roman"/>
                <w:color w:val="000000"/>
                <w:sz w:val="24"/>
                <w:szCs w:val="24"/>
              </w:rPr>
              <w:t>Median disease duration (</w:t>
            </w:r>
            <w:proofErr w:type="spellStart"/>
            <w:r w:rsidRPr="00F80032">
              <w:rPr>
                <w:rFonts w:ascii="Book Antiqua" w:hAnsi="Book Antiqua" w:cs="Times New Roman"/>
                <w:color w:val="000000"/>
                <w:sz w:val="24"/>
                <w:szCs w:val="24"/>
              </w:rPr>
              <w:t>y</w:t>
            </w:r>
            <w:r w:rsidR="00111CC4" w:rsidRPr="00F80032">
              <w:rPr>
                <w:rFonts w:ascii="Book Antiqua" w:hAnsi="Book Antiqua" w:cs="Times New Roman"/>
                <w:color w:val="000000"/>
                <w:sz w:val="24"/>
                <w:szCs w:val="24"/>
              </w:rPr>
              <w:t>r</w:t>
            </w:r>
            <w:proofErr w:type="spellEnd"/>
            <w:r w:rsidRPr="00F80032">
              <w:rPr>
                <w:rFonts w:ascii="Book Antiqua" w:hAnsi="Book Antiqua" w:cs="Times New Roman"/>
                <w:color w:val="000000"/>
                <w:sz w:val="24"/>
                <w:szCs w:val="24"/>
              </w:rPr>
              <w:t>)</w:t>
            </w:r>
          </w:p>
        </w:tc>
        <w:tc>
          <w:tcPr>
            <w:tcW w:w="1560" w:type="dxa"/>
            <w:noWrap/>
            <w:vAlign w:val="center"/>
          </w:tcPr>
          <w:p w:rsidR="00D06F40" w:rsidRPr="00F80032" w:rsidRDefault="00D06F40" w:rsidP="004F172A">
            <w:pPr>
              <w:adjustRightInd w:val="0"/>
              <w:snapToGrid w:val="0"/>
              <w:spacing w:after="0" w:line="360" w:lineRule="auto"/>
              <w:jc w:val="both"/>
              <w:rPr>
                <w:rFonts w:ascii="Book Antiqua" w:hAnsi="Book Antiqua" w:cs="Times New Roman"/>
                <w:color w:val="000000"/>
                <w:sz w:val="24"/>
                <w:szCs w:val="24"/>
              </w:rPr>
            </w:pPr>
          </w:p>
        </w:tc>
        <w:tc>
          <w:tcPr>
            <w:tcW w:w="1275" w:type="dxa"/>
            <w:noWrap/>
            <w:vAlign w:val="center"/>
          </w:tcPr>
          <w:p w:rsidR="00D06F40" w:rsidRPr="00F80032" w:rsidRDefault="00D06F40" w:rsidP="004F172A">
            <w:pPr>
              <w:adjustRightInd w:val="0"/>
              <w:snapToGrid w:val="0"/>
              <w:spacing w:after="0" w:line="360" w:lineRule="auto"/>
              <w:jc w:val="both"/>
              <w:rPr>
                <w:rFonts w:ascii="Book Antiqua" w:hAnsi="Book Antiqua" w:cs="Times New Roman"/>
                <w:color w:val="000000"/>
                <w:sz w:val="24"/>
                <w:szCs w:val="24"/>
              </w:rPr>
            </w:pPr>
            <w:r w:rsidRPr="00F80032">
              <w:rPr>
                <w:rFonts w:ascii="Book Antiqua" w:hAnsi="Book Antiqua" w:cs="Times New Roman"/>
                <w:color w:val="000000"/>
                <w:sz w:val="24"/>
                <w:szCs w:val="24"/>
              </w:rPr>
              <w:t>10.5 ± 9</w:t>
            </w:r>
          </w:p>
        </w:tc>
        <w:tc>
          <w:tcPr>
            <w:tcW w:w="1378" w:type="dxa"/>
            <w:noWrap/>
            <w:vAlign w:val="center"/>
          </w:tcPr>
          <w:p w:rsidR="00D06F40" w:rsidRPr="00F80032" w:rsidRDefault="00D06F40" w:rsidP="004F172A">
            <w:pPr>
              <w:adjustRightInd w:val="0"/>
              <w:snapToGrid w:val="0"/>
              <w:spacing w:after="0" w:line="360" w:lineRule="auto"/>
              <w:jc w:val="both"/>
              <w:rPr>
                <w:rFonts w:ascii="Book Antiqua" w:hAnsi="Book Antiqua" w:cs="Times New Roman"/>
                <w:color w:val="000000"/>
                <w:sz w:val="24"/>
                <w:szCs w:val="24"/>
              </w:rPr>
            </w:pPr>
            <w:r w:rsidRPr="00F80032">
              <w:rPr>
                <w:rFonts w:ascii="Book Antiqua" w:hAnsi="Book Antiqua" w:cs="Times New Roman"/>
                <w:color w:val="000000"/>
                <w:sz w:val="24"/>
                <w:szCs w:val="24"/>
              </w:rPr>
              <w:t>9 ± 7.7</w:t>
            </w:r>
          </w:p>
        </w:tc>
        <w:tc>
          <w:tcPr>
            <w:tcW w:w="1032" w:type="dxa"/>
            <w:noWrap/>
            <w:vAlign w:val="center"/>
          </w:tcPr>
          <w:p w:rsidR="00D06F40" w:rsidRPr="00F80032" w:rsidRDefault="00D06F40" w:rsidP="004F172A">
            <w:pPr>
              <w:adjustRightInd w:val="0"/>
              <w:snapToGrid w:val="0"/>
              <w:spacing w:after="0" w:line="360" w:lineRule="auto"/>
              <w:jc w:val="both"/>
              <w:rPr>
                <w:rFonts w:ascii="Book Antiqua" w:hAnsi="Book Antiqua" w:cs="Times New Roman"/>
                <w:color w:val="000000"/>
                <w:sz w:val="24"/>
                <w:szCs w:val="24"/>
              </w:rPr>
            </w:pPr>
            <w:r w:rsidRPr="00F80032">
              <w:rPr>
                <w:rFonts w:ascii="Book Antiqua" w:hAnsi="Book Antiqua" w:cs="Times New Roman"/>
                <w:color w:val="000000"/>
                <w:sz w:val="24"/>
                <w:szCs w:val="24"/>
              </w:rPr>
              <w:t>0.65</w:t>
            </w:r>
          </w:p>
        </w:tc>
        <w:tc>
          <w:tcPr>
            <w:tcW w:w="1701" w:type="dxa"/>
            <w:noWrap/>
            <w:vAlign w:val="center"/>
          </w:tcPr>
          <w:p w:rsidR="00D06F40" w:rsidRPr="00F80032" w:rsidRDefault="00D06F40" w:rsidP="004F172A">
            <w:pPr>
              <w:adjustRightInd w:val="0"/>
              <w:snapToGrid w:val="0"/>
              <w:spacing w:after="0" w:line="360" w:lineRule="auto"/>
              <w:jc w:val="both"/>
              <w:rPr>
                <w:rFonts w:ascii="Book Antiqua" w:hAnsi="Book Antiqua" w:cs="Times New Roman"/>
                <w:color w:val="000000"/>
                <w:sz w:val="24"/>
                <w:szCs w:val="24"/>
              </w:rPr>
            </w:pPr>
          </w:p>
        </w:tc>
      </w:tr>
      <w:tr w:rsidR="00D06F40" w:rsidRPr="00F80032" w:rsidTr="00111CC4">
        <w:trPr>
          <w:trHeight w:val="300"/>
        </w:trPr>
        <w:tc>
          <w:tcPr>
            <w:tcW w:w="2977" w:type="dxa"/>
            <w:noWrap/>
            <w:vAlign w:val="center"/>
          </w:tcPr>
          <w:p w:rsidR="00D06F40" w:rsidRPr="00F80032" w:rsidRDefault="00D06F40" w:rsidP="004F172A">
            <w:pPr>
              <w:adjustRightInd w:val="0"/>
              <w:snapToGrid w:val="0"/>
              <w:spacing w:after="0" w:line="360" w:lineRule="auto"/>
              <w:jc w:val="both"/>
              <w:rPr>
                <w:rFonts w:ascii="Book Antiqua" w:hAnsi="Book Antiqua" w:cs="Times New Roman"/>
                <w:color w:val="000000"/>
                <w:sz w:val="24"/>
                <w:szCs w:val="24"/>
              </w:rPr>
            </w:pPr>
            <w:r w:rsidRPr="00F80032">
              <w:rPr>
                <w:rFonts w:ascii="Book Antiqua" w:hAnsi="Book Antiqua" w:cs="Times New Roman"/>
                <w:color w:val="000000"/>
                <w:sz w:val="24"/>
                <w:szCs w:val="24"/>
              </w:rPr>
              <w:t>Median age at diagnosis (</w:t>
            </w:r>
            <w:proofErr w:type="spellStart"/>
            <w:r w:rsidRPr="00F80032">
              <w:rPr>
                <w:rFonts w:ascii="Book Antiqua" w:hAnsi="Book Antiqua" w:cs="Times New Roman"/>
                <w:color w:val="000000"/>
                <w:sz w:val="24"/>
                <w:szCs w:val="24"/>
              </w:rPr>
              <w:t>y</w:t>
            </w:r>
            <w:r w:rsidR="00111CC4" w:rsidRPr="00F80032">
              <w:rPr>
                <w:rFonts w:ascii="Book Antiqua" w:hAnsi="Book Antiqua" w:cs="Times New Roman"/>
                <w:color w:val="000000"/>
                <w:sz w:val="24"/>
                <w:szCs w:val="24"/>
              </w:rPr>
              <w:t>r</w:t>
            </w:r>
            <w:proofErr w:type="spellEnd"/>
            <w:r w:rsidRPr="00F80032">
              <w:rPr>
                <w:rFonts w:ascii="Book Antiqua" w:hAnsi="Book Antiqua" w:cs="Times New Roman"/>
                <w:color w:val="000000"/>
                <w:sz w:val="24"/>
                <w:szCs w:val="24"/>
              </w:rPr>
              <w:t>)</w:t>
            </w:r>
          </w:p>
        </w:tc>
        <w:tc>
          <w:tcPr>
            <w:tcW w:w="1560" w:type="dxa"/>
            <w:noWrap/>
            <w:vAlign w:val="center"/>
          </w:tcPr>
          <w:p w:rsidR="00D06F40" w:rsidRPr="00F80032" w:rsidRDefault="00D06F40" w:rsidP="004F172A">
            <w:pPr>
              <w:adjustRightInd w:val="0"/>
              <w:snapToGrid w:val="0"/>
              <w:spacing w:after="0" w:line="360" w:lineRule="auto"/>
              <w:jc w:val="both"/>
              <w:rPr>
                <w:rFonts w:ascii="Book Antiqua" w:hAnsi="Book Antiqua" w:cs="Times New Roman"/>
                <w:color w:val="000000"/>
                <w:sz w:val="24"/>
                <w:szCs w:val="24"/>
              </w:rPr>
            </w:pPr>
          </w:p>
        </w:tc>
        <w:tc>
          <w:tcPr>
            <w:tcW w:w="1275" w:type="dxa"/>
            <w:noWrap/>
            <w:vAlign w:val="center"/>
          </w:tcPr>
          <w:p w:rsidR="00D06F40" w:rsidRPr="00F80032" w:rsidRDefault="00D06F40" w:rsidP="004F172A">
            <w:pPr>
              <w:adjustRightInd w:val="0"/>
              <w:snapToGrid w:val="0"/>
              <w:spacing w:after="0" w:line="360" w:lineRule="auto"/>
              <w:jc w:val="both"/>
              <w:rPr>
                <w:rFonts w:ascii="Book Antiqua" w:hAnsi="Book Antiqua" w:cs="Times New Roman"/>
                <w:color w:val="000000"/>
                <w:sz w:val="24"/>
                <w:szCs w:val="24"/>
              </w:rPr>
            </w:pPr>
            <w:r w:rsidRPr="00F80032">
              <w:rPr>
                <w:rFonts w:ascii="Book Antiqua" w:hAnsi="Book Antiqua" w:cs="Times New Roman"/>
                <w:color w:val="000000"/>
                <w:sz w:val="24"/>
                <w:szCs w:val="24"/>
              </w:rPr>
              <w:t>22 ± 12.4</w:t>
            </w:r>
          </w:p>
        </w:tc>
        <w:tc>
          <w:tcPr>
            <w:tcW w:w="1378" w:type="dxa"/>
            <w:noWrap/>
            <w:vAlign w:val="center"/>
          </w:tcPr>
          <w:p w:rsidR="00D06F40" w:rsidRPr="00F80032" w:rsidRDefault="00D06F40" w:rsidP="004F172A">
            <w:pPr>
              <w:adjustRightInd w:val="0"/>
              <w:snapToGrid w:val="0"/>
              <w:spacing w:after="0" w:line="360" w:lineRule="auto"/>
              <w:jc w:val="both"/>
              <w:rPr>
                <w:rFonts w:ascii="Book Antiqua" w:hAnsi="Book Antiqua" w:cs="Times New Roman"/>
                <w:color w:val="000000"/>
                <w:sz w:val="24"/>
                <w:szCs w:val="24"/>
              </w:rPr>
            </w:pPr>
            <w:r w:rsidRPr="00F80032">
              <w:rPr>
                <w:rFonts w:ascii="Book Antiqua" w:hAnsi="Book Antiqua" w:cs="Times New Roman"/>
                <w:color w:val="000000"/>
                <w:sz w:val="24"/>
                <w:szCs w:val="24"/>
              </w:rPr>
              <w:t>20 ± 9.7</w:t>
            </w:r>
          </w:p>
        </w:tc>
        <w:tc>
          <w:tcPr>
            <w:tcW w:w="1032" w:type="dxa"/>
            <w:noWrap/>
            <w:vAlign w:val="center"/>
          </w:tcPr>
          <w:p w:rsidR="00D06F40" w:rsidRPr="00F80032" w:rsidRDefault="00D06F40" w:rsidP="004F172A">
            <w:pPr>
              <w:adjustRightInd w:val="0"/>
              <w:snapToGrid w:val="0"/>
              <w:spacing w:after="0" w:line="360" w:lineRule="auto"/>
              <w:jc w:val="both"/>
              <w:rPr>
                <w:rFonts w:ascii="Book Antiqua" w:hAnsi="Book Antiqua" w:cs="Times New Roman"/>
                <w:color w:val="000000"/>
                <w:sz w:val="24"/>
                <w:szCs w:val="24"/>
              </w:rPr>
            </w:pPr>
            <w:r w:rsidRPr="00F80032">
              <w:rPr>
                <w:rFonts w:ascii="Book Antiqua" w:hAnsi="Book Antiqua" w:cs="Times New Roman"/>
                <w:color w:val="000000"/>
                <w:sz w:val="24"/>
                <w:szCs w:val="24"/>
              </w:rPr>
              <w:t>0.19</w:t>
            </w:r>
          </w:p>
        </w:tc>
        <w:tc>
          <w:tcPr>
            <w:tcW w:w="1701" w:type="dxa"/>
            <w:noWrap/>
            <w:vAlign w:val="center"/>
          </w:tcPr>
          <w:p w:rsidR="00D06F40" w:rsidRPr="00F80032" w:rsidRDefault="00D06F40" w:rsidP="004F172A">
            <w:pPr>
              <w:adjustRightInd w:val="0"/>
              <w:snapToGrid w:val="0"/>
              <w:spacing w:after="0" w:line="360" w:lineRule="auto"/>
              <w:jc w:val="both"/>
              <w:rPr>
                <w:rFonts w:ascii="Book Antiqua" w:hAnsi="Book Antiqua" w:cs="Times New Roman"/>
                <w:color w:val="000000"/>
                <w:sz w:val="24"/>
                <w:szCs w:val="24"/>
              </w:rPr>
            </w:pPr>
          </w:p>
        </w:tc>
      </w:tr>
      <w:tr w:rsidR="00D06F40" w:rsidRPr="00F80032" w:rsidTr="00111CC4">
        <w:trPr>
          <w:trHeight w:val="300"/>
        </w:trPr>
        <w:tc>
          <w:tcPr>
            <w:tcW w:w="2977" w:type="dxa"/>
            <w:noWrap/>
            <w:vAlign w:val="center"/>
          </w:tcPr>
          <w:p w:rsidR="00D06F40" w:rsidRPr="00F80032" w:rsidRDefault="00D06F40" w:rsidP="004F172A">
            <w:pPr>
              <w:adjustRightInd w:val="0"/>
              <w:snapToGrid w:val="0"/>
              <w:spacing w:after="0" w:line="360" w:lineRule="auto"/>
              <w:jc w:val="both"/>
              <w:rPr>
                <w:rFonts w:ascii="Book Antiqua" w:hAnsi="Book Antiqua" w:cs="Times New Roman"/>
                <w:color w:val="000000"/>
                <w:sz w:val="24"/>
                <w:szCs w:val="24"/>
              </w:rPr>
            </w:pPr>
            <w:r w:rsidRPr="00F80032">
              <w:rPr>
                <w:rFonts w:ascii="Book Antiqua" w:hAnsi="Book Antiqua" w:cs="Times New Roman"/>
                <w:color w:val="000000"/>
                <w:sz w:val="24"/>
                <w:szCs w:val="24"/>
              </w:rPr>
              <w:t>CD - disease location</w:t>
            </w:r>
          </w:p>
        </w:tc>
        <w:tc>
          <w:tcPr>
            <w:tcW w:w="1560" w:type="dxa"/>
            <w:noWrap/>
            <w:vAlign w:val="center"/>
          </w:tcPr>
          <w:p w:rsidR="00D06F40" w:rsidRPr="00F80032" w:rsidRDefault="00D06F40" w:rsidP="004F172A">
            <w:pPr>
              <w:adjustRightInd w:val="0"/>
              <w:snapToGrid w:val="0"/>
              <w:spacing w:after="0" w:line="360" w:lineRule="auto"/>
              <w:jc w:val="both"/>
              <w:rPr>
                <w:rFonts w:ascii="Book Antiqua" w:hAnsi="Book Antiqua" w:cs="Times New Roman"/>
                <w:color w:val="000000"/>
                <w:sz w:val="24"/>
                <w:szCs w:val="24"/>
              </w:rPr>
            </w:pPr>
            <w:proofErr w:type="spellStart"/>
            <w:r w:rsidRPr="00F80032">
              <w:rPr>
                <w:rFonts w:ascii="Book Antiqua" w:hAnsi="Book Antiqua" w:cs="Times New Roman"/>
                <w:caps/>
                <w:color w:val="000000"/>
                <w:sz w:val="24"/>
                <w:szCs w:val="24"/>
              </w:rPr>
              <w:t>i</w:t>
            </w:r>
            <w:r w:rsidRPr="00F80032">
              <w:rPr>
                <w:rFonts w:ascii="Book Antiqua" w:hAnsi="Book Antiqua" w:cs="Times New Roman"/>
                <w:color w:val="000000"/>
                <w:sz w:val="24"/>
                <w:szCs w:val="24"/>
              </w:rPr>
              <w:t>leal</w:t>
            </w:r>
            <w:proofErr w:type="spellEnd"/>
          </w:p>
        </w:tc>
        <w:tc>
          <w:tcPr>
            <w:tcW w:w="1275" w:type="dxa"/>
            <w:noWrap/>
            <w:vAlign w:val="center"/>
          </w:tcPr>
          <w:p w:rsidR="00D06F40" w:rsidRPr="00F80032" w:rsidRDefault="00D06F40" w:rsidP="004F172A">
            <w:pPr>
              <w:adjustRightInd w:val="0"/>
              <w:snapToGrid w:val="0"/>
              <w:spacing w:after="0" w:line="360" w:lineRule="auto"/>
              <w:jc w:val="both"/>
              <w:rPr>
                <w:rFonts w:ascii="Book Antiqua" w:hAnsi="Book Antiqua" w:cs="Times New Roman"/>
                <w:color w:val="000000"/>
                <w:sz w:val="24"/>
                <w:szCs w:val="24"/>
              </w:rPr>
            </w:pPr>
            <w:r w:rsidRPr="00F80032">
              <w:rPr>
                <w:rFonts w:ascii="Book Antiqua" w:hAnsi="Book Antiqua" w:cs="Times New Roman"/>
                <w:color w:val="000000"/>
                <w:sz w:val="24"/>
                <w:szCs w:val="24"/>
              </w:rPr>
              <w:t>9 (36)</w:t>
            </w:r>
          </w:p>
        </w:tc>
        <w:tc>
          <w:tcPr>
            <w:tcW w:w="1378" w:type="dxa"/>
            <w:noWrap/>
            <w:vAlign w:val="center"/>
          </w:tcPr>
          <w:p w:rsidR="00D06F40" w:rsidRPr="00F80032" w:rsidRDefault="00D06F40" w:rsidP="004F172A">
            <w:pPr>
              <w:adjustRightInd w:val="0"/>
              <w:snapToGrid w:val="0"/>
              <w:spacing w:after="0" w:line="360" w:lineRule="auto"/>
              <w:jc w:val="both"/>
              <w:rPr>
                <w:rFonts w:ascii="Book Antiqua" w:hAnsi="Book Antiqua" w:cs="Times New Roman"/>
                <w:color w:val="000000"/>
                <w:sz w:val="24"/>
                <w:szCs w:val="24"/>
              </w:rPr>
            </w:pPr>
            <w:r w:rsidRPr="00F80032">
              <w:rPr>
                <w:rFonts w:ascii="Book Antiqua" w:hAnsi="Book Antiqua" w:cs="Times New Roman"/>
                <w:color w:val="000000"/>
                <w:sz w:val="24"/>
                <w:szCs w:val="24"/>
              </w:rPr>
              <w:t>8 (29.7)</w:t>
            </w:r>
          </w:p>
        </w:tc>
        <w:tc>
          <w:tcPr>
            <w:tcW w:w="1032" w:type="dxa"/>
            <w:noWrap/>
            <w:vAlign w:val="center"/>
          </w:tcPr>
          <w:p w:rsidR="00D06F40" w:rsidRPr="00F80032" w:rsidRDefault="00D06F40" w:rsidP="004F172A">
            <w:pPr>
              <w:adjustRightInd w:val="0"/>
              <w:snapToGrid w:val="0"/>
              <w:spacing w:after="0" w:line="360" w:lineRule="auto"/>
              <w:jc w:val="both"/>
              <w:rPr>
                <w:rFonts w:ascii="Book Antiqua" w:hAnsi="Book Antiqua" w:cs="Times New Roman"/>
                <w:color w:val="000000"/>
                <w:sz w:val="24"/>
                <w:szCs w:val="24"/>
              </w:rPr>
            </w:pPr>
            <w:r w:rsidRPr="00F80032">
              <w:rPr>
                <w:rFonts w:ascii="Book Antiqua" w:hAnsi="Book Antiqua" w:cs="Times New Roman"/>
                <w:color w:val="000000"/>
                <w:sz w:val="24"/>
                <w:szCs w:val="24"/>
              </w:rPr>
              <w:t>0.62</w:t>
            </w:r>
          </w:p>
        </w:tc>
        <w:tc>
          <w:tcPr>
            <w:tcW w:w="1701" w:type="dxa"/>
            <w:noWrap/>
            <w:vAlign w:val="center"/>
          </w:tcPr>
          <w:p w:rsidR="00D06F40" w:rsidRPr="00F80032" w:rsidRDefault="00D06F40" w:rsidP="004F172A">
            <w:pPr>
              <w:adjustRightInd w:val="0"/>
              <w:snapToGrid w:val="0"/>
              <w:spacing w:after="0" w:line="360" w:lineRule="auto"/>
              <w:jc w:val="both"/>
              <w:rPr>
                <w:rFonts w:ascii="Book Antiqua" w:hAnsi="Book Antiqua" w:cs="Times New Roman"/>
                <w:color w:val="000000"/>
                <w:sz w:val="24"/>
                <w:szCs w:val="24"/>
              </w:rPr>
            </w:pPr>
            <w:r w:rsidRPr="00F80032">
              <w:rPr>
                <w:rFonts w:ascii="Book Antiqua" w:hAnsi="Book Antiqua" w:cs="Times New Roman"/>
                <w:color w:val="000000"/>
                <w:sz w:val="24"/>
                <w:szCs w:val="24"/>
              </w:rPr>
              <w:t>1.30 (0.41-4.30)</w:t>
            </w:r>
          </w:p>
        </w:tc>
      </w:tr>
      <w:tr w:rsidR="00D06F40" w:rsidRPr="00F80032" w:rsidTr="00111CC4">
        <w:trPr>
          <w:trHeight w:val="300"/>
        </w:trPr>
        <w:tc>
          <w:tcPr>
            <w:tcW w:w="2977" w:type="dxa"/>
            <w:noWrap/>
            <w:vAlign w:val="center"/>
          </w:tcPr>
          <w:p w:rsidR="00D06F40" w:rsidRPr="00F80032" w:rsidRDefault="00D06F40" w:rsidP="004F172A">
            <w:pPr>
              <w:adjustRightInd w:val="0"/>
              <w:snapToGrid w:val="0"/>
              <w:spacing w:after="0" w:line="360" w:lineRule="auto"/>
              <w:jc w:val="both"/>
              <w:rPr>
                <w:rFonts w:ascii="Book Antiqua" w:hAnsi="Book Antiqua" w:cs="Times New Roman"/>
                <w:color w:val="000000"/>
                <w:sz w:val="24"/>
                <w:szCs w:val="24"/>
              </w:rPr>
            </w:pPr>
          </w:p>
        </w:tc>
        <w:tc>
          <w:tcPr>
            <w:tcW w:w="1560" w:type="dxa"/>
            <w:noWrap/>
            <w:vAlign w:val="center"/>
          </w:tcPr>
          <w:p w:rsidR="00D06F40" w:rsidRPr="00F80032" w:rsidRDefault="00D06F40" w:rsidP="004F172A">
            <w:pPr>
              <w:adjustRightInd w:val="0"/>
              <w:snapToGrid w:val="0"/>
              <w:spacing w:after="0" w:line="360" w:lineRule="auto"/>
              <w:jc w:val="both"/>
              <w:rPr>
                <w:rFonts w:ascii="Book Antiqua" w:hAnsi="Book Antiqua" w:cs="Times New Roman"/>
                <w:color w:val="000000"/>
                <w:sz w:val="24"/>
                <w:szCs w:val="24"/>
              </w:rPr>
            </w:pPr>
            <w:proofErr w:type="spellStart"/>
            <w:r w:rsidRPr="00F80032">
              <w:rPr>
                <w:rFonts w:ascii="Book Antiqua" w:hAnsi="Book Antiqua" w:cs="Times New Roman"/>
                <w:caps/>
                <w:color w:val="000000"/>
                <w:sz w:val="24"/>
                <w:szCs w:val="24"/>
              </w:rPr>
              <w:t>i</w:t>
            </w:r>
            <w:r w:rsidRPr="00F80032">
              <w:rPr>
                <w:rFonts w:ascii="Book Antiqua" w:hAnsi="Book Antiqua" w:cs="Times New Roman"/>
                <w:color w:val="000000"/>
                <w:sz w:val="24"/>
                <w:szCs w:val="24"/>
              </w:rPr>
              <w:t>leo</w:t>
            </w:r>
            <w:proofErr w:type="spellEnd"/>
            <w:r w:rsidRPr="00F80032">
              <w:rPr>
                <w:rFonts w:ascii="Book Antiqua" w:hAnsi="Book Antiqua" w:cs="Times New Roman"/>
                <w:color w:val="000000"/>
                <w:sz w:val="24"/>
                <w:szCs w:val="24"/>
              </w:rPr>
              <w:t>-colonic</w:t>
            </w:r>
          </w:p>
        </w:tc>
        <w:tc>
          <w:tcPr>
            <w:tcW w:w="1275" w:type="dxa"/>
            <w:noWrap/>
            <w:vAlign w:val="center"/>
          </w:tcPr>
          <w:p w:rsidR="00D06F40" w:rsidRPr="00F80032" w:rsidRDefault="00D06F40" w:rsidP="004F172A">
            <w:pPr>
              <w:adjustRightInd w:val="0"/>
              <w:snapToGrid w:val="0"/>
              <w:spacing w:after="0" w:line="360" w:lineRule="auto"/>
              <w:jc w:val="both"/>
              <w:rPr>
                <w:rFonts w:ascii="Book Antiqua" w:hAnsi="Book Antiqua" w:cs="Times New Roman"/>
                <w:color w:val="000000"/>
                <w:sz w:val="24"/>
                <w:szCs w:val="24"/>
              </w:rPr>
            </w:pPr>
            <w:r w:rsidRPr="00F80032">
              <w:rPr>
                <w:rFonts w:ascii="Book Antiqua" w:hAnsi="Book Antiqua" w:cs="Times New Roman"/>
                <w:color w:val="000000"/>
                <w:sz w:val="24"/>
                <w:szCs w:val="24"/>
              </w:rPr>
              <w:t>8 (32)</w:t>
            </w:r>
          </w:p>
        </w:tc>
        <w:tc>
          <w:tcPr>
            <w:tcW w:w="1378" w:type="dxa"/>
            <w:noWrap/>
            <w:vAlign w:val="center"/>
          </w:tcPr>
          <w:p w:rsidR="00D06F40" w:rsidRPr="00F80032" w:rsidRDefault="00D06F40" w:rsidP="004F172A">
            <w:pPr>
              <w:adjustRightInd w:val="0"/>
              <w:snapToGrid w:val="0"/>
              <w:spacing w:after="0" w:line="360" w:lineRule="auto"/>
              <w:jc w:val="both"/>
              <w:rPr>
                <w:rFonts w:ascii="Book Antiqua" w:hAnsi="Book Antiqua" w:cs="Times New Roman"/>
                <w:color w:val="000000"/>
                <w:sz w:val="24"/>
                <w:szCs w:val="24"/>
              </w:rPr>
            </w:pPr>
            <w:r w:rsidRPr="00F80032">
              <w:rPr>
                <w:rFonts w:ascii="Book Antiqua" w:hAnsi="Book Antiqua" w:cs="Times New Roman"/>
                <w:color w:val="000000"/>
                <w:sz w:val="24"/>
                <w:szCs w:val="24"/>
              </w:rPr>
              <w:t>11 (40.7)</w:t>
            </w:r>
          </w:p>
        </w:tc>
        <w:tc>
          <w:tcPr>
            <w:tcW w:w="1032" w:type="dxa"/>
            <w:noWrap/>
            <w:vAlign w:val="center"/>
          </w:tcPr>
          <w:p w:rsidR="00D06F40" w:rsidRPr="00F80032" w:rsidRDefault="00D06F40" w:rsidP="004F172A">
            <w:pPr>
              <w:adjustRightInd w:val="0"/>
              <w:snapToGrid w:val="0"/>
              <w:spacing w:after="0" w:line="360" w:lineRule="auto"/>
              <w:jc w:val="both"/>
              <w:rPr>
                <w:rFonts w:ascii="Book Antiqua" w:hAnsi="Book Antiqua" w:cs="Times New Roman"/>
                <w:color w:val="000000"/>
                <w:sz w:val="24"/>
                <w:szCs w:val="24"/>
              </w:rPr>
            </w:pPr>
            <w:r w:rsidRPr="00F80032">
              <w:rPr>
                <w:rFonts w:ascii="Book Antiqua" w:hAnsi="Book Antiqua" w:cs="Times New Roman"/>
                <w:color w:val="000000"/>
                <w:sz w:val="24"/>
                <w:szCs w:val="24"/>
              </w:rPr>
              <w:t>0.51</w:t>
            </w:r>
          </w:p>
        </w:tc>
        <w:tc>
          <w:tcPr>
            <w:tcW w:w="1701" w:type="dxa"/>
            <w:noWrap/>
            <w:vAlign w:val="center"/>
          </w:tcPr>
          <w:p w:rsidR="00D06F40" w:rsidRPr="00F80032" w:rsidRDefault="00D06F40" w:rsidP="004F172A">
            <w:pPr>
              <w:adjustRightInd w:val="0"/>
              <w:snapToGrid w:val="0"/>
              <w:spacing w:after="0" w:line="360" w:lineRule="auto"/>
              <w:jc w:val="both"/>
              <w:rPr>
                <w:rFonts w:ascii="Book Antiqua" w:hAnsi="Book Antiqua" w:cs="Times New Roman"/>
                <w:color w:val="000000"/>
                <w:sz w:val="24"/>
                <w:szCs w:val="24"/>
              </w:rPr>
            </w:pPr>
            <w:r w:rsidRPr="00F80032">
              <w:rPr>
                <w:rFonts w:ascii="Book Antiqua" w:hAnsi="Book Antiqua" w:cs="Times New Roman"/>
                <w:color w:val="000000"/>
                <w:sz w:val="24"/>
                <w:szCs w:val="24"/>
              </w:rPr>
              <w:t>0.68 (0.22-2.10)</w:t>
            </w:r>
          </w:p>
        </w:tc>
      </w:tr>
      <w:tr w:rsidR="00D06F40" w:rsidRPr="00F80032" w:rsidTr="00111CC4">
        <w:trPr>
          <w:trHeight w:val="300"/>
        </w:trPr>
        <w:tc>
          <w:tcPr>
            <w:tcW w:w="2977" w:type="dxa"/>
            <w:noWrap/>
            <w:vAlign w:val="center"/>
          </w:tcPr>
          <w:p w:rsidR="00D06F40" w:rsidRPr="00F80032" w:rsidRDefault="00D06F40" w:rsidP="004F172A">
            <w:pPr>
              <w:adjustRightInd w:val="0"/>
              <w:snapToGrid w:val="0"/>
              <w:spacing w:after="0" w:line="360" w:lineRule="auto"/>
              <w:jc w:val="both"/>
              <w:rPr>
                <w:rFonts w:ascii="Book Antiqua" w:hAnsi="Book Antiqua" w:cs="Times New Roman"/>
                <w:color w:val="000000"/>
                <w:sz w:val="24"/>
                <w:szCs w:val="24"/>
              </w:rPr>
            </w:pPr>
          </w:p>
        </w:tc>
        <w:tc>
          <w:tcPr>
            <w:tcW w:w="1560" w:type="dxa"/>
            <w:noWrap/>
            <w:vAlign w:val="center"/>
          </w:tcPr>
          <w:p w:rsidR="00D06F40" w:rsidRPr="00F80032" w:rsidRDefault="00D06F40" w:rsidP="004F172A">
            <w:pPr>
              <w:adjustRightInd w:val="0"/>
              <w:snapToGrid w:val="0"/>
              <w:spacing w:after="0" w:line="360" w:lineRule="auto"/>
              <w:jc w:val="both"/>
              <w:rPr>
                <w:rFonts w:ascii="Book Antiqua" w:hAnsi="Book Antiqua" w:cs="Times New Roman"/>
                <w:color w:val="000000"/>
                <w:sz w:val="24"/>
                <w:szCs w:val="24"/>
              </w:rPr>
            </w:pPr>
            <w:r w:rsidRPr="00F80032">
              <w:rPr>
                <w:rFonts w:ascii="Book Antiqua" w:hAnsi="Book Antiqua" w:cs="Times New Roman"/>
                <w:caps/>
                <w:color w:val="000000"/>
                <w:sz w:val="24"/>
                <w:szCs w:val="24"/>
              </w:rPr>
              <w:t>c</w:t>
            </w:r>
            <w:r w:rsidRPr="00F80032">
              <w:rPr>
                <w:rFonts w:ascii="Book Antiqua" w:hAnsi="Book Antiqua" w:cs="Times New Roman"/>
                <w:color w:val="000000"/>
                <w:sz w:val="24"/>
                <w:szCs w:val="24"/>
              </w:rPr>
              <w:t>olonic</w:t>
            </w:r>
          </w:p>
        </w:tc>
        <w:tc>
          <w:tcPr>
            <w:tcW w:w="1275" w:type="dxa"/>
            <w:noWrap/>
            <w:vAlign w:val="center"/>
          </w:tcPr>
          <w:p w:rsidR="00D06F40" w:rsidRPr="00F80032" w:rsidRDefault="00D06F40" w:rsidP="004F172A">
            <w:pPr>
              <w:adjustRightInd w:val="0"/>
              <w:snapToGrid w:val="0"/>
              <w:spacing w:after="0" w:line="360" w:lineRule="auto"/>
              <w:jc w:val="both"/>
              <w:rPr>
                <w:rFonts w:ascii="Book Antiqua" w:hAnsi="Book Antiqua" w:cs="Times New Roman"/>
                <w:color w:val="000000"/>
                <w:sz w:val="24"/>
                <w:szCs w:val="24"/>
              </w:rPr>
            </w:pPr>
            <w:r w:rsidRPr="00F80032">
              <w:rPr>
                <w:rFonts w:ascii="Book Antiqua" w:hAnsi="Book Antiqua" w:cs="Times New Roman"/>
                <w:color w:val="000000"/>
                <w:sz w:val="24"/>
                <w:szCs w:val="24"/>
              </w:rPr>
              <w:t>8 (32)</w:t>
            </w:r>
          </w:p>
        </w:tc>
        <w:tc>
          <w:tcPr>
            <w:tcW w:w="1378" w:type="dxa"/>
            <w:noWrap/>
            <w:vAlign w:val="center"/>
          </w:tcPr>
          <w:p w:rsidR="00D06F40" w:rsidRPr="00F80032" w:rsidRDefault="00D06F40" w:rsidP="004F172A">
            <w:pPr>
              <w:adjustRightInd w:val="0"/>
              <w:snapToGrid w:val="0"/>
              <w:spacing w:after="0" w:line="360" w:lineRule="auto"/>
              <w:jc w:val="both"/>
              <w:rPr>
                <w:rFonts w:ascii="Book Antiqua" w:hAnsi="Book Antiqua" w:cs="Times New Roman"/>
                <w:color w:val="000000"/>
                <w:sz w:val="24"/>
                <w:szCs w:val="24"/>
              </w:rPr>
            </w:pPr>
            <w:r w:rsidRPr="00F80032">
              <w:rPr>
                <w:rFonts w:ascii="Book Antiqua" w:hAnsi="Book Antiqua" w:cs="Times New Roman"/>
                <w:color w:val="000000"/>
                <w:sz w:val="24"/>
                <w:szCs w:val="24"/>
              </w:rPr>
              <w:t>8 (29.6)</w:t>
            </w:r>
          </w:p>
        </w:tc>
        <w:tc>
          <w:tcPr>
            <w:tcW w:w="1032" w:type="dxa"/>
            <w:noWrap/>
            <w:vAlign w:val="center"/>
          </w:tcPr>
          <w:p w:rsidR="00D06F40" w:rsidRPr="00F80032" w:rsidRDefault="00D06F40" w:rsidP="004F172A">
            <w:pPr>
              <w:adjustRightInd w:val="0"/>
              <w:snapToGrid w:val="0"/>
              <w:spacing w:after="0" w:line="360" w:lineRule="auto"/>
              <w:jc w:val="both"/>
              <w:rPr>
                <w:rFonts w:ascii="Book Antiqua" w:hAnsi="Book Antiqua" w:cs="Times New Roman"/>
                <w:color w:val="000000"/>
                <w:sz w:val="24"/>
                <w:szCs w:val="24"/>
              </w:rPr>
            </w:pPr>
            <w:r w:rsidRPr="00F80032">
              <w:rPr>
                <w:rFonts w:ascii="Book Antiqua" w:hAnsi="Book Antiqua" w:cs="Times New Roman"/>
                <w:color w:val="000000"/>
                <w:sz w:val="24"/>
                <w:szCs w:val="24"/>
              </w:rPr>
              <w:t>0.85</w:t>
            </w:r>
          </w:p>
        </w:tc>
        <w:tc>
          <w:tcPr>
            <w:tcW w:w="1701" w:type="dxa"/>
            <w:noWrap/>
            <w:vAlign w:val="center"/>
          </w:tcPr>
          <w:p w:rsidR="00D06F40" w:rsidRPr="00F80032" w:rsidRDefault="00D06F40" w:rsidP="004F172A">
            <w:pPr>
              <w:adjustRightInd w:val="0"/>
              <w:snapToGrid w:val="0"/>
              <w:spacing w:after="0" w:line="360" w:lineRule="auto"/>
              <w:jc w:val="both"/>
              <w:rPr>
                <w:rFonts w:ascii="Book Antiqua" w:hAnsi="Book Antiqua" w:cs="Times New Roman"/>
                <w:color w:val="000000"/>
                <w:sz w:val="24"/>
                <w:szCs w:val="24"/>
              </w:rPr>
            </w:pPr>
            <w:r w:rsidRPr="00F80032">
              <w:rPr>
                <w:rFonts w:ascii="Book Antiqua" w:hAnsi="Book Antiqua" w:cs="Times New Roman"/>
                <w:color w:val="000000"/>
                <w:sz w:val="24"/>
                <w:szCs w:val="24"/>
              </w:rPr>
              <w:t>1.10 (0.34-3.63)</w:t>
            </w:r>
          </w:p>
        </w:tc>
      </w:tr>
      <w:tr w:rsidR="00D06F40" w:rsidRPr="00F80032" w:rsidTr="00111CC4">
        <w:trPr>
          <w:trHeight w:val="300"/>
        </w:trPr>
        <w:tc>
          <w:tcPr>
            <w:tcW w:w="2977" w:type="dxa"/>
            <w:noWrap/>
            <w:vAlign w:val="center"/>
          </w:tcPr>
          <w:p w:rsidR="00D06F40" w:rsidRPr="00F80032" w:rsidRDefault="00D06F40" w:rsidP="004F172A">
            <w:pPr>
              <w:adjustRightInd w:val="0"/>
              <w:snapToGrid w:val="0"/>
              <w:spacing w:after="0" w:line="360" w:lineRule="auto"/>
              <w:jc w:val="both"/>
              <w:rPr>
                <w:rFonts w:ascii="Book Antiqua" w:hAnsi="Book Antiqua" w:cs="Times New Roman"/>
                <w:color w:val="000000"/>
                <w:sz w:val="24"/>
                <w:szCs w:val="24"/>
              </w:rPr>
            </w:pPr>
            <w:r w:rsidRPr="00F80032">
              <w:rPr>
                <w:rFonts w:ascii="Book Antiqua" w:hAnsi="Book Antiqua" w:cs="Times New Roman"/>
                <w:color w:val="000000"/>
                <w:sz w:val="24"/>
                <w:szCs w:val="24"/>
              </w:rPr>
              <w:t>Upper GI involvement</w:t>
            </w:r>
          </w:p>
        </w:tc>
        <w:tc>
          <w:tcPr>
            <w:tcW w:w="1560" w:type="dxa"/>
            <w:noWrap/>
            <w:vAlign w:val="center"/>
          </w:tcPr>
          <w:p w:rsidR="00D06F40" w:rsidRPr="00F80032" w:rsidRDefault="00D06F40" w:rsidP="004F172A">
            <w:pPr>
              <w:adjustRightInd w:val="0"/>
              <w:snapToGrid w:val="0"/>
              <w:spacing w:after="0" w:line="360" w:lineRule="auto"/>
              <w:jc w:val="both"/>
              <w:rPr>
                <w:rFonts w:ascii="Book Antiqua" w:hAnsi="Book Antiqua" w:cs="Times New Roman"/>
                <w:color w:val="000000"/>
                <w:sz w:val="24"/>
                <w:szCs w:val="24"/>
              </w:rPr>
            </w:pPr>
          </w:p>
        </w:tc>
        <w:tc>
          <w:tcPr>
            <w:tcW w:w="1275" w:type="dxa"/>
            <w:noWrap/>
            <w:vAlign w:val="center"/>
          </w:tcPr>
          <w:p w:rsidR="00D06F40" w:rsidRPr="00F80032" w:rsidRDefault="00D06F40" w:rsidP="004F172A">
            <w:pPr>
              <w:adjustRightInd w:val="0"/>
              <w:snapToGrid w:val="0"/>
              <w:spacing w:after="0" w:line="360" w:lineRule="auto"/>
              <w:jc w:val="both"/>
              <w:rPr>
                <w:rFonts w:ascii="Book Antiqua" w:hAnsi="Book Antiqua" w:cs="Times New Roman"/>
                <w:color w:val="000000"/>
                <w:sz w:val="24"/>
                <w:szCs w:val="24"/>
              </w:rPr>
            </w:pPr>
            <w:r w:rsidRPr="00F80032">
              <w:rPr>
                <w:rFonts w:ascii="Book Antiqua" w:hAnsi="Book Antiqua" w:cs="Times New Roman"/>
                <w:color w:val="000000"/>
                <w:sz w:val="24"/>
                <w:szCs w:val="24"/>
              </w:rPr>
              <w:t>2 (8)</w:t>
            </w:r>
          </w:p>
        </w:tc>
        <w:tc>
          <w:tcPr>
            <w:tcW w:w="1378" w:type="dxa"/>
            <w:noWrap/>
            <w:vAlign w:val="center"/>
          </w:tcPr>
          <w:p w:rsidR="00D06F40" w:rsidRPr="00F80032" w:rsidRDefault="00D06F40" w:rsidP="004F172A">
            <w:pPr>
              <w:adjustRightInd w:val="0"/>
              <w:snapToGrid w:val="0"/>
              <w:spacing w:after="0" w:line="360" w:lineRule="auto"/>
              <w:jc w:val="both"/>
              <w:rPr>
                <w:rFonts w:ascii="Book Antiqua" w:hAnsi="Book Antiqua" w:cs="Times New Roman"/>
                <w:color w:val="000000"/>
                <w:sz w:val="24"/>
                <w:szCs w:val="24"/>
              </w:rPr>
            </w:pPr>
            <w:r w:rsidRPr="00F80032">
              <w:rPr>
                <w:rFonts w:ascii="Book Antiqua" w:hAnsi="Book Antiqua" w:cs="Times New Roman"/>
                <w:color w:val="000000"/>
                <w:sz w:val="24"/>
                <w:szCs w:val="24"/>
              </w:rPr>
              <w:t>2 (7.4)</w:t>
            </w:r>
          </w:p>
        </w:tc>
        <w:tc>
          <w:tcPr>
            <w:tcW w:w="1032" w:type="dxa"/>
            <w:noWrap/>
            <w:vAlign w:val="center"/>
          </w:tcPr>
          <w:p w:rsidR="00D06F40" w:rsidRPr="00F80032" w:rsidRDefault="00D06F40" w:rsidP="004F172A">
            <w:pPr>
              <w:adjustRightInd w:val="0"/>
              <w:snapToGrid w:val="0"/>
              <w:spacing w:after="0" w:line="360" w:lineRule="auto"/>
              <w:jc w:val="both"/>
              <w:rPr>
                <w:rFonts w:ascii="Book Antiqua" w:hAnsi="Book Antiqua" w:cs="Times New Roman"/>
                <w:color w:val="000000"/>
                <w:sz w:val="24"/>
                <w:szCs w:val="24"/>
              </w:rPr>
            </w:pPr>
            <w:r w:rsidRPr="00F80032">
              <w:rPr>
                <w:rFonts w:ascii="Book Antiqua" w:hAnsi="Book Antiqua" w:cs="Times New Roman"/>
                <w:color w:val="000000"/>
                <w:sz w:val="24"/>
                <w:szCs w:val="24"/>
              </w:rPr>
              <w:t>0.93</w:t>
            </w:r>
          </w:p>
        </w:tc>
        <w:tc>
          <w:tcPr>
            <w:tcW w:w="1701" w:type="dxa"/>
            <w:noWrap/>
            <w:vAlign w:val="center"/>
          </w:tcPr>
          <w:p w:rsidR="00D06F40" w:rsidRPr="00F80032" w:rsidRDefault="00D06F40" w:rsidP="004F172A">
            <w:pPr>
              <w:adjustRightInd w:val="0"/>
              <w:snapToGrid w:val="0"/>
              <w:spacing w:after="0" w:line="360" w:lineRule="auto"/>
              <w:jc w:val="both"/>
              <w:rPr>
                <w:rFonts w:ascii="Book Antiqua" w:hAnsi="Book Antiqua" w:cs="Times New Roman"/>
                <w:color w:val="000000"/>
                <w:sz w:val="24"/>
                <w:szCs w:val="24"/>
              </w:rPr>
            </w:pPr>
            <w:r w:rsidRPr="00F80032">
              <w:rPr>
                <w:rFonts w:ascii="Book Antiqua" w:hAnsi="Book Antiqua" w:cs="Times New Roman"/>
                <w:color w:val="000000"/>
                <w:sz w:val="24"/>
                <w:szCs w:val="24"/>
              </w:rPr>
              <w:t>1.08 (0.14-8.40)</w:t>
            </w:r>
          </w:p>
        </w:tc>
      </w:tr>
      <w:tr w:rsidR="00D06F40" w:rsidRPr="00F80032" w:rsidTr="00111CC4">
        <w:trPr>
          <w:trHeight w:val="300"/>
        </w:trPr>
        <w:tc>
          <w:tcPr>
            <w:tcW w:w="2977" w:type="dxa"/>
            <w:noWrap/>
            <w:vAlign w:val="center"/>
          </w:tcPr>
          <w:p w:rsidR="00D06F40" w:rsidRPr="00F80032" w:rsidRDefault="00C34B38" w:rsidP="004F172A">
            <w:pPr>
              <w:adjustRightInd w:val="0"/>
              <w:snapToGrid w:val="0"/>
              <w:spacing w:after="0" w:line="360" w:lineRule="auto"/>
              <w:jc w:val="both"/>
              <w:rPr>
                <w:rFonts w:ascii="Book Antiqua" w:hAnsi="Book Antiqua" w:cs="Times New Roman"/>
                <w:color w:val="000000"/>
                <w:sz w:val="24"/>
                <w:szCs w:val="24"/>
              </w:rPr>
            </w:pPr>
            <w:r w:rsidRPr="00F80032">
              <w:rPr>
                <w:rFonts w:ascii="Book Antiqua" w:hAnsi="Book Antiqua" w:cs="Times New Roman"/>
                <w:color w:val="000000"/>
                <w:sz w:val="24"/>
                <w:szCs w:val="24"/>
              </w:rPr>
              <w:t>Anal/</w:t>
            </w:r>
            <w:r w:rsidR="00D06F40" w:rsidRPr="00F80032">
              <w:rPr>
                <w:rFonts w:ascii="Book Antiqua" w:hAnsi="Book Antiqua" w:cs="Times New Roman"/>
                <w:color w:val="000000"/>
                <w:sz w:val="24"/>
                <w:szCs w:val="24"/>
              </w:rPr>
              <w:t>perianal involvement</w:t>
            </w:r>
          </w:p>
        </w:tc>
        <w:tc>
          <w:tcPr>
            <w:tcW w:w="1560" w:type="dxa"/>
            <w:noWrap/>
            <w:vAlign w:val="center"/>
          </w:tcPr>
          <w:p w:rsidR="00D06F40" w:rsidRPr="00F80032" w:rsidRDefault="00D06F40" w:rsidP="004F172A">
            <w:pPr>
              <w:adjustRightInd w:val="0"/>
              <w:snapToGrid w:val="0"/>
              <w:spacing w:after="0" w:line="360" w:lineRule="auto"/>
              <w:jc w:val="both"/>
              <w:rPr>
                <w:rFonts w:ascii="Book Antiqua" w:hAnsi="Book Antiqua" w:cs="Times New Roman"/>
                <w:color w:val="000000"/>
                <w:sz w:val="24"/>
                <w:szCs w:val="24"/>
              </w:rPr>
            </w:pPr>
          </w:p>
        </w:tc>
        <w:tc>
          <w:tcPr>
            <w:tcW w:w="1275" w:type="dxa"/>
            <w:noWrap/>
            <w:vAlign w:val="center"/>
          </w:tcPr>
          <w:p w:rsidR="00D06F40" w:rsidRPr="00F80032" w:rsidRDefault="00D06F40" w:rsidP="004F172A">
            <w:pPr>
              <w:adjustRightInd w:val="0"/>
              <w:snapToGrid w:val="0"/>
              <w:spacing w:after="0" w:line="360" w:lineRule="auto"/>
              <w:jc w:val="both"/>
              <w:rPr>
                <w:rFonts w:ascii="Book Antiqua" w:hAnsi="Book Antiqua" w:cs="Times New Roman"/>
                <w:color w:val="000000"/>
                <w:sz w:val="24"/>
                <w:szCs w:val="24"/>
              </w:rPr>
            </w:pPr>
            <w:r w:rsidRPr="00F80032">
              <w:rPr>
                <w:rFonts w:ascii="Book Antiqua" w:hAnsi="Book Antiqua" w:cs="Times New Roman"/>
                <w:color w:val="000000"/>
                <w:sz w:val="24"/>
                <w:szCs w:val="24"/>
              </w:rPr>
              <w:t>13 (52)</w:t>
            </w:r>
          </w:p>
        </w:tc>
        <w:tc>
          <w:tcPr>
            <w:tcW w:w="1378" w:type="dxa"/>
            <w:noWrap/>
            <w:vAlign w:val="center"/>
          </w:tcPr>
          <w:p w:rsidR="00D06F40" w:rsidRPr="00F80032" w:rsidRDefault="00D06F40" w:rsidP="004F172A">
            <w:pPr>
              <w:adjustRightInd w:val="0"/>
              <w:snapToGrid w:val="0"/>
              <w:spacing w:after="0" w:line="360" w:lineRule="auto"/>
              <w:jc w:val="both"/>
              <w:rPr>
                <w:rFonts w:ascii="Book Antiqua" w:hAnsi="Book Antiqua" w:cs="Times New Roman"/>
                <w:color w:val="000000"/>
                <w:sz w:val="24"/>
                <w:szCs w:val="24"/>
              </w:rPr>
            </w:pPr>
            <w:r w:rsidRPr="00F80032">
              <w:rPr>
                <w:rFonts w:ascii="Book Antiqua" w:hAnsi="Book Antiqua" w:cs="Times New Roman"/>
                <w:color w:val="000000"/>
                <w:sz w:val="24"/>
                <w:szCs w:val="24"/>
              </w:rPr>
              <w:t>14 (51.8)</w:t>
            </w:r>
          </w:p>
        </w:tc>
        <w:tc>
          <w:tcPr>
            <w:tcW w:w="1032" w:type="dxa"/>
            <w:noWrap/>
            <w:vAlign w:val="center"/>
          </w:tcPr>
          <w:p w:rsidR="00D06F40" w:rsidRPr="00F80032" w:rsidRDefault="00D06F40" w:rsidP="004F172A">
            <w:pPr>
              <w:adjustRightInd w:val="0"/>
              <w:snapToGrid w:val="0"/>
              <w:spacing w:after="0" w:line="360" w:lineRule="auto"/>
              <w:jc w:val="both"/>
              <w:rPr>
                <w:rFonts w:ascii="Book Antiqua" w:hAnsi="Book Antiqua" w:cs="Times New Roman"/>
                <w:color w:val="000000"/>
                <w:sz w:val="24"/>
                <w:szCs w:val="24"/>
              </w:rPr>
            </w:pPr>
            <w:r w:rsidRPr="00F80032">
              <w:rPr>
                <w:rFonts w:ascii="Book Antiqua" w:hAnsi="Book Antiqua" w:cs="Times New Roman"/>
                <w:color w:val="000000"/>
                <w:sz w:val="24"/>
                <w:szCs w:val="24"/>
              </w:rPr>
              <w:t>0.99</w:t>
            </w:r>
          </w:p>
        </w:tc>
        <w:tc>
          <w:tcPr>
            <w:tcW w:w="1701" w:type="dxa"/>
            <w:noWrap/>
            <w:vAlign w:val="center"/>
          </w:tcPr>
          <w:p w:rsidR="00D06F40" w:rsidRPr="00F80032" w:rsidRDefault="00D06F40" w:rsidP="004F172A">
            <w:pPr>
              <w:adjustRightInd w:val="0"/>
              <w:snapToGrid w:val="0"/>
              <w:spacing w:after="0" w:line="360" w:lineRule="auto"/>
              <w:jc w:val="both"/>
              <w:rPr>
                <w:rFonts w:ascii="Book Antiqua" w:hAnsi="Book Antiqua" w:cs="Times New Roman"/>
                <w:color w:val="000000"/>
                <w:sz w:val="24"/>
                <w:szCs w:val="24"/>
              </w:rPr>
            </w:pPr>
            <w:r w:rsidRPr="00F80032">
              <w:rPr>
                <w:rFonts w:ascii="Book Antiqua" w:hAnsi="Book Antiqua" w:cs="Times New Roman"/>
                <w:color w:val="000000"/>
                <w:sz w:val="24"/>
                <w:szCs w:val="24"/>
              </w:rPr>
              <w:t>1.00 (0.34-3.00)</w:t>
            </w:r>
          </w:p>
        </w:tc>
      </w:tr>
      <w:tr w:rsidR="00D06F40" w:rsidRPr="00F80032" w:rsidTr="00111CC4">
        <w:trPr>
          <w:trHeight w:val="300"/>
        </w:trPr>
        <w:tc>
          <w:tcPr>
            <w:tcW w:w="2977" w:type="dxa"/>
            <w:noWrap/>
            <w:vAlign w:val="center"/>
          </w:tcPr>
          <w:p w:rsidR="00D06F40" w:rsidRPr="00F80032" w:rsidRDefault="00D06F40" w:rsidP="004F172A">
            <w:pPr>
              <w:adjustRightInd w:val="0"/>
              <w:snapToGrid w:val="0"/>
              <w:spacing w:after="0" w:line="360" w:lineRule="auto"/>
              <w:jc w:val="both"/>
              <w:rPr>
                <w:rFonts w:ascii="Book Antiqua" w:hAnsi="Book Antiqua" w:cs="Times New Roman"/>
                <w:color w:val="000000"/>
                <w:sz w:val="24"/>
                <w:szCs w:val="24"/>
              </w:rPr>
            </w:pPr>
            <w:r w:rsidRPr="00F80032">
              <w:rPr>
                <w:rFonts w:ascii="Book Antiqua" w:hAnsi="Book Antiqua" w:cs="Times New Roman"/>
                <w:color w:val="000000"/>
                <w:sz w:val="24"/>
                <w:szCs w:val="24"/>
              </w:rPr>
              <w:t>CD - disease behavior</w:t>
            </w:r>
          </w:p>
        </w:tc>
        <w:tc>
          <w:tcPr>
            <w:tcW w:w="1560" w:type="dxa"/>
            <w:noWrap/>
            <w:vAlign w:val="center"/>
          </w:tcPr>
          <w:p w:rsidR="00D06F40" w:rsidRPr="00F80032" w:rsidRDefault="00C34B38" w:rsidP="004F172A">
            <w:pPr>
              <w:adjustRightInd w:val="0"/>
              <w:snapToGrid w:val="0"/>
              <w:spacing w:after="0" w:line="360" w:lineRule="auto"/>
              <w:jc w:val="both"/>
              <w:rPr>
                <w:rFonts w:ascii="Book Antiqua" w:hAnsi="Book Antiqua" w:cs="Times New Roman"/>
                <w:color w:val="000000"/>
                <w:sz w:val="24"/>
                <w:szCs w:val="24"/>
              </w:rPr>
            </w:pPr>
            <w:r w:rsidRPr="00F80032">
              <w:rPr>
                <w:rFonts w:ascii="Book Antiqua" w:hAnsi="Book Antiqua" w:cs="Times New Roman"/>
                <w:color w:val="000000"/>
                <w:sz w:val="24"/>
                <w:szCs w:val="24"/>
              </w:rPr>
              <w:t xml:space="preserve">non </w:t>
            </w:r>
            <w:proofErr w:type="spellStart"/>
            <w:r w:rsidRPr="00F80032">
              <w:rPr>
                <w:rFonts w:ascii="Book Antiqua" w:hAnsi="Book Antiqua" w:cs="Times New Roman"/>
                <w:color w:val="000000"/>
                <w:sz w:val="24"/>
                <w:szCs w:val="24"/>
              </w:rPr>
              <w:t>stricturing</w:t>
            </w:r>
            <w:proofErr w:type="spellEnd"/>
            <w:r w:rsidR="00D06F40" w:rsidRPr="00F80032">
              <w:rPr>
                <w:rFonts w:ascii="Book Antiqua" w:hAnsi="Book Antiqua" w:cs="Times New Roman"/>
                <w:color w:val="000000"/>
                <w:sz w:val="24"/>
                <w:szCs w:val="24"/>
              </w:rPr>
              <w:t xml:space="preserve"> non penetrating</w:t>
            </w:r>
          </w:p>
        </w:tc>
        <w:tc>
          <w:tcPr>
            <w:tcW w:w="1275" w:type="dxa"/>
            <w:noWrap/>
            <w:vAlign w:val="center"/>
          </w:tcPr>
          <w:p w:rsidR="00D06F40" w:rsidRPr="00F80032" w:rsidRDefault="00D06F40" w:rsidP="004F172A">
            <w:pPr>
              <w:adjustRightInd w:val="0"/>
              <w:snapToGrid w:val="0"/>
              <w:spacing w:after="0" w:line="360" w:lineRule="auto"/>
              <w:jc w:val="both"/>
              <w:rPr>
                <w:rFonts w:ascii="Book Antiqua" w:hAnsi="Book Antiqua" w:cs="Times New Roman"/>
                <w:color w:val="000000"/>
                <w:sz w:val="24"/>
                <w:szCs w:val="24"/>
              </w:rPr>
            </w:pPr>
            <w:r w:rsidRPr="00F80032">
              <w:rPr>
                <w:rFonts w:ascii="Book Antiqua" w:hAnsi="Book Antiqua" w:cs="Times New Roman"/>
                <w:color w:val="000000"/>
                <w:sz w:val="24"/>
                <w:szCs w:val="24"/>
              </w:rPr>
              <w:t>12 (48)</w:t>
            </w:r>
          </w:p>
        </w:tc>
        <w:tc>
          <w:tcPr>
            <w:tcW w:w="1378" w:type="dxa"/>
            <w:noWrap/>
            <w:vAlign w:val="center"/>
          </w:tcPr>
          <w:p w:rsidR="00D06F40" w:rsidRPr="00F80032" w:rsidRDefault="00D06F40" w:rsidP="004F172A">
            <w:pPr>
              <w:adjustRightInd w:val="0"/>
              <w:snapToGrid w:val="0"/>
              <w:spacing w:after="0" w:line="360" w:lineRule="auto"/>
              <w:jc w:val="both"/>
              <w:rPr>
                <w:rFonts w:ascii="Book Antiqua" w:hAnsi="Book Antiqua" w:cs="Times New Roman"/>
                <w:color w:val="000000"/>
                <w:sz w:val="24"/>
                <w:szCs w:val="24"/>
              </w:rPr>
            </w:pPr>
            <w:r w:rsidRPr="00F80032">
              <w:rPr>
                <w:rFonts w:ascii="Book Antiqua" w:hAnsi="Book Antiqua" w:cs="Times New Roman"/>
                <w:color w:val="000000"/>
                <w:sz w:val="24"/>
                <w:szCs w:val="24"/>
              </w:rPr>
              <w:t>12 (44.5)</w:t>
            </w:r>
          </w:p>
        </w:tc>
        <w:tc>
          <w:tcPr>
            <w:tcW w:w="1032" w:type="dxa"/>
            <w:noWrap/>
            <w:vAlign w:val="center"/>
          </w:tcPr>
          <w:p w:rsidR="00D06F40" w:rsidRPr="00F80032" w:rsidRDefault="00D06F40" w:rsidP="004F172A">
            <w:pPr>
              <w:adjustRightInd w:val="0"/>
              <w:snapToGrid w:val="0"/>
              <w:spacing w:after="0" w:line="360" w:lineRule="auto"/>
              <w:jc w:val="both"/>
              <w:rPr>
                <w:rFonts w:ascii="Book Antiqua" w:hAnsi="Book Antiqua" w:cs="Times New Roman"/>
                <w:color w:val="000000"/>
                <w:sz w:val="24"/>
                <w:szCs w:val="24"/>
              </w:rPr>
            </w:pPr>
            <w:r w:rsidRPr="00F80032">
              <w:rPr>
                <w:rFonts w:ascii="Book Antiqua" w:hAnsi="Book Antiqua" w:cs="Times New Roman"/>
                <w:color w:val="000000"/>
                <w:sz w:val="24"/>
                <w:szCs w:val="24"/>
              </w:rPr>
              <w:t>0.79</w:t>
            </w:r>
          </w:p>
        </w:tc>
        <w:tc>
          <w:tcPr>
            <w:tcW w:w="1701" w:type="dxa"/>
            <w:noWrap/>
            <w:vAlign w:val="center"/>
          </w:tcPr>
          <w:p w:rsidR="00D06F40" w:rsidRPr="00F80032" w:rsidRDefault="00D06F40" w:rsidP="004F172A">
            <w:pPr>
              <w:adjustRightInd w:val="0"/>
              <w:snapToGrid w:val="0"/>
              <w:spacing w:after="0" w:line="360" w:lineRule="auto"/>
              <w:jc w:val="both"/>
              <w:rPr>
                <w:rFonts w:ascii="Book Antiqua" w:hAnsi="Book Antiqua" w:cs="Times New Roman"/>
                <w:color w:val="000000"/>
                <w:sz w:val="24"/>
                <w:szCs w:val="24"/>
              </w:rPr>
            </w:pPr>
            <w:r w:rsidRPr="00F80032">
              <w:rPr>
                <w:rFonts w:ascii="Book Antiqua" w:hAnsi="Book Antiqua" w:cs="Times New Roman"/>
                <w:color w:val="000000"/>
                <w:sz w:val="24"/>
                <w:szCs w:val="24"/>
              </w:rPr>
              <w:t>1.15 (0.38-3.43)</w:t>
            </w:r>
          </w:p>
        </w:tc>
      </w:tr>
      <w:tr w:rsidR="00D06F40" w:rsidRPr="00F80032" w:rsidTr="00111CC4">
        <w:trPr>
          <w:trHeight w:val="300"/>
        </w:trPr>
        <w:tc>
          <w:tcPr>
            <w:tcW w:w="2977" w:type="dxa"/>
            <w:noWrap/>
            <w:vAlign w:val="center"/>
          </w:tcPr>
          <w:p w:rsidR="00D06F40" w:rsidRPr="00F80032" w:rsidRDefault="00D06F40" w:rsidP="004F172A">
            <w:pPr>
              <w:adjustRightInd w:val="0"/>
              <w:snapToGrid w:val="0"/>
              <w:spacing w:after="0" w:line="360" w:lineRule="auto"/>
              <w:jc w:val="both"/>
              <w:rPr>
                <w:rFonts w:ascii="Book Antiqua" w:hAnsi="Book Antiqua" w:cs="Times New Roman"/>
                <w:color w:val="000000"/>
                <w:sz w:val="24"/>
                <w:szCs w:val="24"/>
              </w:rPr>
            </w:pPr>
          </w:p>
        </w:tc>
        <w:tc>
          <w:tcPr>
            <w:tcW w:w="1560" w:type="dxa"/>
            <w:noWrap/>
            <w:vAlign w:val="center"/>
          </w:tcPr>
          <w:p w:rsidR="00D06F40" w:rsidRPr="00F80032" w:rsidRDefault="00D06F40" w:rsidP="004F172A">
            <w:pPr>
              <w:adjustRightInd w:val="0"/>
              <w:snapToGrid w:val="0"/>
              <w:spacing w:after="0" w:line="360" w:lineRule="auto"/>
              <w:jc w:val="both"/>
              <w:rPr>
                <w:rFonts w:ascii="Book Antiqua" w:hAnsi="Book Antiqua" w:cs="Times New Roman"/>
                <w:color w:val="000000"/>
                <w:sz w:val="24"/>
                <w:szCs w:val="24"/>
              </w:rPr>
            </w:pPr>
            <w:proofErr w:type="spellStart"/>
            <w:r w:rsidRPr="00F80032">
              <w:rPr>
                <w:rFonts w:ascii="Book Antiqua" w:hAnsi="Book Antiqua" w:cs="Times New Roman"/>
                <w:color w:val="000000"/>
                <w:sz w:val="24"/>
                <w:szCs w:val="24"/>
              </w:rPr>
              <w:t>stricturing</w:t>
            </w:r>
            <w:proofErr w:type="spellEnd"/>
          </w:p>
        </w:tc>
        <w:tc>
          <w:tcPr>
            <w:tcW w:w="1275" w:type="dxa"/>
            <w:noWrap/>
            <w:vAlign w:val="center"/>
          </w:tcPr>
          <w:p w:rsidR="00D06F40" w:rsidRPr="00F80032" w:rsidRDefault="00D06F40" w:rsidP="004F172A">
            <w:pPr>
              <w:adjustRightInd w:val="0"/>
              <w:snapToGrid w:val="0"/>
              <w:spacing w:after="0" w:line="360" w:lineRule="auto"/>
              <w:jc w:val="both"/>
              <w:rPr>
                <w:rFonts w:ascii="Book Antiqua" w:hAnsi="Book Antiqua" w:cs="Times New Roman"/>
                <w:color w:val="000000"/>
                <w:sz w:val="24"/>
                <w:szCs w:val="24"/>
              </w:rPr>
            </w:pPr>
            <w:r w:rsidRPr="00F80032">
              <w:rPr>
                <w:rFonts w:ascii="Book Antiqua" w:hAnsi="Book Antiqua" w:cs="Times New Roman"/>
                <w:color w:val="000000"/>
                <w:sz w:val="24"/>
                <w:szCs w:val="24"/>
              </w:rPr>
              <w:t>8 (32)</w:t>
            </w:r>
          </w:p>
        </w:tc>
        <w:tc>
          <w:tcPr>
            <w:tcW w:w="1378" w:type="dxa"/>
            <w:noWrap/>
            <w:vAlign w:val="center"/>
          </w:tcPr>
          <w:p w:rsidR="00D06F40" w:rsidRPr="00F80032" w:rsidRDefault="00D06F40" w:rsidP="004F172A">
            <w:pPr>
              <w:adjustRightInd w:val="0"/>
              <w:snapToGrid w:val="0"/>
              <w:spacing w:after="0" w:line="360" w:lineRule="auto"/>
              <w:jc w:val="both"/>
              <w:rPr>
                <w:rFonts w:ascii="Book Antiqua" w:hAnsi="Book Antiqua" w:cs="Times New Roman"/>
                <w:color w:val="000000"/>
                <w:sz w:val="24"/>
                <w:szCs w:val="24"/>
              </w:rPr>
            </w:pPr>
            <w:r w:rsidRPr="00F80032">
              <w:rPr>
                <w:rFonts w:ascii="Book Antiqua" w:hAnsi="Book Antiqua" w:cs="Times New Roman"/>
                <w:color w:val="000000"/>
                <w:sz w:val="24"/>
                <w:szCs w:val="24"/>
              </w:rPr>
              <w:t>10 (37)</w:t>
            </w:r>
          </w:p>
        </w:tc>
        <w:tc>
          <w:tcPr>
            <w:tcW w:w="1032" w:type="dxa"/>
            <w:noWrap/>
            <w:vAlign w:val="center"/>
          </w:tcPr>
          <w:p w:rsidR="00D06F40" w:rsidRPr="00F80032" w:rsidRDefault="00D06F40" w:rsidP="004F172A">
            <w:pPr>
              <w:adjustRightInd w:val="0"/>
              <w:snapToGrid w:val="0"/>
              <w:spacing w:after="0" w:line="360" w:lineRule="auto"/>
              <w:jc w:val="both"/>
              <w:rPr>
                <w:rFonts w:ascii="Book Antiqua" w:hAnsi="Book Antiqua" w:cs="Times New Roman"/>
                <w:color w:val="000000"/>
                <w:sz w:val="24"/>
                <w:szCs w:val="24"/>
              </w:rPr>
            </w:pPr>
            <w:r w:rsidRPr="00F80032">
              <w:rPr>
                <w:rFonts w:ascii="Book Antiqua" w:hAnsi="Book Antiqua" w:cs="Times New Roman"/>
                <w:color w:val="000000"/>
                <w:sz w:val="24"/>
                <w:szCs w:val="24"/>
              </w:rPr>
              <w:t>0.70</w:t>
            </w:r>
          </w:p>
        </w:tc>
        <w:tc>
          <w:tcPr>
            <w:tcW w:w="1701" w:type="dxa"/>
            <w:noWrap/>
            <w:vAlign w:val="center"/>
          </w:tcPr>
          <w:p w:rsidR="00D06F40" w:rsidRPr="00F80032" w:rsidRDefault="00D06F40" w:rsidP="004F172A">
            <w:pPr>
              <w:adjustRightInd w:val="0"/>
              <w:snapToGrid w:val="0"/>
              <w:spacing w:after="0" w:line="360" w:lineRule="auto"/>
              <w:jc w:val="both"/>
              <w:rPr>
                <w:rFonts w:ascii="Book Antiqua" w:hAnsi="Book Antiqua" w:cs="Times New Roman"/>
                <w:color w:val="000000"/>
                <w:sz w:val="24"/>
                <w:szCs w:val="24"/>
              </w:rPr>
            </w:pPr>
            <w:r w:rsidRPr="00F80032">
              <w:rPr>
                <w:rFonts w:ascii="Book Antiqua" w:hAnsi="Book Antiqua" w:cs="Times New Roman"/>
                <w:color w:val="000000"/>
                <w:sz w:val="24"/>
                <w:szCs w:val="24"/>
              </w:rPr>
              <w:t>0.80 (0.25-</w:t>
            </w:r>
            <w:r w:rsidRPr="00F80032">
              <w:rPr>
                <w:rFonts w:ascii="Book Antiqua" w:hAnsi="Book Antiqua" w:cs="Times New Roman"/>
                <w:color w:val="000000"/>
                <w:sz w:val="24"/>
                <w:szCs w:val="24"/>
              </w:rPr>
              <w:lastRenderedPageBreak/>
              <w:t>2.50)</w:t>
            </w:r>
          </w:p>
        </w:tc>
      </w:tr>
      <w:tr w:rsidR="00D06F40" w:rsidRPr="00F80032" w:rsidTr="00111CC4">
        <w:trPr>
          <w:trHeight w:val="300"/>
        </w:trPr>
        <w:tc>
          <w:tcPr>
            <w:tcW w:w="2977" w:type="dxa"/>
            <w:noWrap/>
            <w:vAlign w:val="center"/>
          </w:tcPr>
          <w:p w:rsidR="00D06F40" w:rsidRPr="00F80032" w:rsidRDefault="00D06F40" w:rsidP="004F172A">
            <w:pPr>
              <w:adjustRightInd w:val="0"/>
              <w:snapToGrid w:val="0"/>
              <w:spacing w:after="0" w:line="360" w:lineRule="auto"/>
              <w:jc w:val="both"/>
              <w:rPr>
                <w:rFonts w:ascii="Book Antiqua" w:hAnsi="Book Antiqua" w:cs="Times New Roman"/>
                <w:color w:val="000000"/>
                <w:sz w:val="24"/>
                <w:szCs w:val="24"/>
              </w:rPr>
            </w:pPr>
          </w:p>
        </w:tc>
        <w:tc>
          <w:tcPr>
            <w:tcW w:w="1560" w:type="dxa"/>
            <w:noWrap/>
            <w:vAlign w:val="center"/>
          </w:tcPr>
          <w:p w:rsidR="00D06F40" w:rsidRPr="00F80032" w:rsidRDefault="00D06F40" w:rsidP="004F172A">
            <w:pPr>
              <w:adjustRightInd w:val="0"/>
              <w:snapToGrid w:val="0"/>
              <w:spacing w:after="0" w:line="360" w:lineRule="auto"/>
              <w:jc w:val="both"/>
              <w:rPr>
                <w:rFonts w:ascii="Book Antiqua" w:hAnsi="Book Antiqua" w:cs="Times New Roman"/>
                <w:color w:val="000000"/>
                <w:sz w:val="24"/>
                <w:szCs w:val="24"/>
              </w:rPr>
            </w:pPr>
            <w:r w:rsidRPr="00F80032">
              <w:rPr>
                <w:rFonts w:ascii="Book Antiqua" w:hAnsi="Book Antiqua" w:cs="Times New Roman"/>
                <w:color w:val="000000"/>
                <w:sz w:val="24"/>
                <w:szCs w:val="24"/>
              </w:rPr>
              <w:t>penetrating</w:t>
            </w:r>
          </w:p>
        </w:tc>
        <w:tc>
          <w:tcPr>
            <w:tcW w:w="1275" w:type="dxa"/>
            <w:noWrap/>
            <w:vAlign w:val="center"/>
          </w:tcPr>
          <w:p w:rsidR="00D06F40" w:rsidRPr="00F80032" w:rsidRDefault="00D06F40" w:rsidP="004F172A">
            <w:pPr>
              <w:adjustRightInd w:val="0"/>
              <w:snapToGrid w:val="0"/>
              <w:spacing w:after="0" w:line="360" w:lineRule="auto"/>
              <w:jc w:val="both"/>
              <w:rPr>
                <w:rFonts w:ascii="Book Antiqua" w:hAnsi="Book Antiqua" w:cs="Times New Roman"/>
                <w:color w:val="000000"/>
                <w:sz w:val="24"/>
                <w:szCs w:val="24"/>
              </w:rPr>
            </w:pPr>
            <w:r w:rsidRPr="00F80032">
              <w:rPr>
                <w:rFonts w:ascii="Book Antiqua" w:hAnsi="Book Antiqua" w:cs="Times New Roman"/>
                <w:color w:val="000000"/>
                <w:sz w:val="24"/>
                <w:szCs w:val="24"/>
              </w:rPr>
              <w:t>5 (20)</w:t>
            </w:r>
          </w:p>
        </w:tc>
        <w:tc>
          <w:tcPr>
            <w:tcW w:w="1378" w:type="dxa"/>
            <w:noWrap/>
            <w:vAlign w:val="center"/>
          </w:tcPr>
          <w:p w:rsidR="00D06F40" w:rsidRPr="00F80032" w:rsidRDefault="00D06F40" w:rsidP="004F172A">
            <w:pPr>
              <w:adjustRightInd w:val="0"/>
              <w:snapToGrid w:val="0"/>
              <w:spacing w:after="0" w:line="360" w:lineRule="auto"/>
              <w:jc w:val="both"/>
              <w:rPr>
                <w:rFonts w:ascii="Book Antiqua" w:hAnsi="Book Antiqua" w:cs="Times New Roman"/>
                <w:color w:val="000000"/>
                <w:sz w:val="24"/>
                <w:szCs w:val="24"/>
              </w:rPr>
            </w:pPr>
            <w:r w:rsidRPr="00F80032">
              <w:rPr>
                <w:rFonts w:ascii="Book Antiqua" w:hAnsi="Book Antiqua" w:cs="Times New Roman"/>
                <w:color w:val="000000"/>
                <w:sz w:val="24"/>
                <w:szCs w:val="24"/>
              </w:rPr>
              <w:t>5 (18.5)</w:t>
            </w:r>
          </w:p>
        </w:tc>
        <w:tc>
          <w:tcPr>
            <w:tcW w:w="1032" w:type="dxa"/>
            <w:noWrap/>
            <w:vAlign w:val="center"/>
          </w:tcPr>
          <w:p w:rsidR="00D06F40" w:rsidRPr="00F80032" w:rsidRDefault="00D06F40" w:rsidP="004F172A">
            <w:pPr>
              <w:adjustRightInd w:val="0"/>
              <w:snapToGrid w:val="0"/>
              <w:spacing w:after="0" w:line="360" w:lineRule="auto"/>
              <w:jc w:val="both"/>
              <w:rPr>
                <w:rFonts w:ascii="Book Antiqua" w:hAnsi="Book Antiqua" w:cs="Times New Roman"/>
                <w:color w:val="000000"/>
                <w:sz w:val="24"/>
                <w:szCs w:val="24"/>
              </w:rPr>
            </w:pPr>
            <w:r w:rsidRPr="00F80032">
              <w:rPr>
                <w:rFonts w:ascii="Book Antiqua" w:hAnsi="Book Antiqua" w:cs="Times New Roman"/>
                <w:color w:val="000000"/>
                <w:sz w:val="24"/>
                <w:szCs w:val="24"/>
              </w:rPr>
              <w:t>0.89</w:t>
            </w:r>
          </w:p>
        </w:tc>
        <w:tc>
          <w:tcPr>
            <w:tcW w:w="1701" w:type="dxa"/>
            <w:noWrap/>
            <w:vAlign w:val="center"/>
          </w:tcPr>
          <w:p w:rsidR="00D06F40" w:rsidRPr="00F80032" w:rsidRDefault="00D06F40" w:rsidP="004F172A">
            <w:pPr>
              <w:adjustRightInd w:val="0"/>
              <w:snapToGrid w:val="0"/>
              <w:spacing w:after="0" w:line="360" w:lineRule="auto"/>
              <w:jc w:val="both"/>
              <w:rPr>
                <w:rFonts w:ascii="Book Antiqua" w:hAnsi="Book Antiqua" w:cs="Times New Roman"/>
                <w:color w:val="000000"/>
                <w:sz w:val="24"/>
                <w:szCs w:val="24"/>
              </w:rPr>
            </w:pPr>
            <w:r w:rsidRPr="00F80032">
              <w:rPr>
                <w:rFonts w:ascii="Book Antiqua" w:hAnsi="Book Antiqua" w:cs="Times New Roman"/>
                <w:color w:val="000000"/>
                <w:sz w:val="24"/>
                <w:szCs w:val="24"/>
              </w:rPr>
              <w:t>1.1 (0.28-4.40)</w:t>
            </w:r>
          </w:p>
        </w:tc>
      </w:tr>
      <w:tr w:rsidR="00D06F40" w:rsidRPr="00F80032" w:rsidTr="00111CC4">
        <w:trPr>
          <w:trHeight w:val="300"/>
        </w:trPr>
        <w:tc>
          <w:tcPr>
            <w:tcW w:w="2977" w:type="dxa"/>
            <w:noWrap/>
            <w:vAlign w:val="center"/>
          </w:tcPr>
          <w:p w:rsidR="00D06F40" w:rsidRPr="00F80032" w:rsidRDefault="00D06F40" w:rsidP="004F172A">
            <w:pPr>
              <w:adjustRightInd w:val="0"/>
              <w:snapToGrid w:val="0"/>
              <w:spacing w:after="0" w:line="360" w:lineRule="auto"/>
              <w:jc w:val="both"/>
              <w:rPr>
                <w:rFonts w:ascii="Book Antiqua" w:hAnsi="Book Antiqua" w:cs="Times New Roman"/>
                <w:color w:val="000000"/>
                <w:sz w:val="24"/>
                <w:szCs w:val="24"/>
              </w:rPr>
            </w:pPr>
            <w:r w:rsidRPr="00F80032">
              <w:rPr>
                <w:rFonts w:ascii="Book Antiqua" w:hAnsi="Book Antiqua" w:cs="Times New Roman"/>
                <w:color w:val="000000"/>
                <w:sz w:val="24"/>
                <w:szCs w:val="24"/>
              </w:rPr>
              <w:t>UC - disease location</w:t>
            </w:r>
          </w:p>
        </w:tc>
        <w:tc>
          <w:tcPr>
            <w:tcW w:w="1560" w:type="dxa"/>
            <w:noWrap/>
            <w:vAlign w:val="center"/>
          </w:tcPr>
          <w:p w:rsidR="00D06F40" w:rsidRPr="00F80032" w:rsidRDefault="00C34B38" w:rsidP="004F172A">
            <w:pPr>
              <w:adjustRightInd w:val="0"/>
              <w:snapToGrid w:val="0"/>
              <w:spacing w:after="0" w:line="360" w:lineRule="auto"/>
              <w:jc w:val="both"/>
              <w:rPr>
                <w:rFonts w:ascii="Book Antiqua" w:hAnsi="Book Antiqua" w:cs="Times New Roman"/>
                <w:color w:val="000000"/>
                <w:sz w:val="24"/>
                <w:szCs w:val="24"/>
              </w:rPr>
            </w:pPr>
            <w:proofErr w:type="spellStart"/>
            <w:r w:rsidRPr="00F80032">
              <w:rPr>
                <w:rFonts w:ascii="Book Antiqua" w:hAnsi="Book Antiqua" w:cs="Times New Roman"/>
                <w:color w:val="000000"/>
                <w:sz w:val="24"/>
                <w:szCs w:val="24"/>
              </w:rPr>
              <w:t>p</w:t>
            </w:r>
            <w:r w:rsidR="00D06F40" w:rsidRPr="00F80032">
              <w:rPr>
                <w:rFonts w:ascii="Book Antiqua" w:hAnsi="Book Antiqua" w:cs="Times New Roman"/>
                <w:color w:val="000000"/>
                <w:sz w:val="24"/>
                <w:szCs w:val="24"/>
              </w:rPr>
              <w:t>roctitis</w:t>
            </w:r>
            <w:proofErr w:type="spellEnd"/>
          </w:p>
        </w:tc>
        <w:tc>
          <w:tcPr>
            <w:tcW w:w="1275" w:type="dxa"/>
            <w:noWrap/>
            <w:vAlign w:val="center"/>
          </w:tcPr>
          <w:p w:rsidR="00D06F40" w:rsidRPr="00F80032" w:rsidRDefault="00D06F40" w:rsidP="004F172A">
            <w:pPr>
              <w:adjustRightInd w:val="0"/>
              <w:snapToGrid w:val="0"/>
              <w:spacing w:after="0" w:line="360" w:lineRule="auto"/>
              <w:jc w:val="both"/>
              <w:rPr>
                <w:rFonts w:ascii="Book Antiqua" w:hAnsi="Book Antiqua" w:cs="Times New Roman"/>
                <w:color w:val="000000"/>
                <w:sz w:val="24"/>
                <w:szCs w:val="24"/>
              </w:rPr>
            </w:pPr>
            <w:r w:rsidRPr="00F80032">
              <w:rPr>
                <w:rFonts w:ascii="Book Antiqua" w:hAnsi="Book Antiqua" w:cs="Times New Roman"/>
                <w:color w:val="000000"/>
                <w:sz w:val="24"/>
                <w:szCs w:val="24"/>
              </w:rPr>
              <w:t>0</w:t>
            </w:r>
          </w:p>
        </w:tc>
        <w:tc>
          <w:tcPr>
            <w:tcW w:w="1378" w:type="dxa"/>
            <w:noWrap/>
            <w:vAlign w:val="center"/>
          </w:tcPr>
          <w:p w:rsidR="00D06F40" w:rsidRPr="00F80032" w:rsidRDefault="00D06F40" w:rsidP="004F172A">
            <w:pPr>
              <w:adjustRightInd w:val="0"/>
              <w:snapToGrid w:val="0"/>
              <w:spacing w:after="0" w:line="360" w:lineRule="auto"/>
              <w:jc w:val="both"/>
              <w:rPr>
                <w:rFonts w:ascii="Book Antiqua" w:hAnsi="Book Antiqua" w:cs="Times New Roman"/>
                <w:color w:val="000000"/>
                <w:sz w:val="24"/>
                <w:szCs w:val="24"/>
              </w:rPr>
            </w:pPr>
            <w:r w:rsidRPr="00F80032">
              <w:rPr>
                <w:rFonts w:ascii="Book Antiqua" w:hAnsi="Book Antiqua" w:cs="Times New Roman"/>
                <w:color w:val="000000"/>
                <w:sz w:val="24"/>
                <w:szCs w:val="24"/>
              </w:rPr>
              <w:t>0</w:t>
            </w:r>
          </w:p>
        </w:tc>
        <w:tc>
          <w:tcPr>
            <w:tcW w:w="1032" w:type="dxa"/>
            <w:noWrap/>
            <w:vAlign w:val="center"/>
          </w:tcPr>
          <w:p w:rsidR="00D06F40" w:rsidRPr="00F80032" w:rsidRDefault="00D06F40" w:rsidP="004F172A">
            <w:pPr>
              <w:adjustRightInd w:val="0"/>
              <w:snapToGrid w:val="0"/>
              <w:spacing w:after="0" w:line="360" w:lineRule="auto"/>
              <w:jc w:val="both"/>
              <w:rPr>
                <w:rFonts w:ascii="Book Antiqua" w:hAnsi="Book Antiqua" w:cs="Times New Roman"/>
                <w:color w:val="000000"/>
                <w:sz w:val="24"/>
                <w:szCs w:val="24"/>
              </w:rPr>
            </w:pPr>
          </w:p>
        </w:tc>
        <w:tc>
          <w:tcPr>
            <w:tcW w:w="1701" w:type="dxa"/>
            <w:noWrap/>
            <w:vAlign w:val="center"/>
          </w:tcPr>
          <w:p w:rsidR="00D06F40" w:rsidRPr="00F80032" w:rsidRDefault="00D06F40" w:rsidP="004F172A">
            <w:pPr>
              <w:adjustRightInd w:val="0"/>
              <w:snapToGrid w:val="0"/>
              <w:spacing w:after="0" w:line="360" w:lineRule="auto"/>
              <w:jc w:val="both"/>
              <w:rPr>
                <w:rFonts w:ascii="Book Antiqua" w:hAnsi="Book Antiqua" w:cs="Times New Roman"/>
                <w:color w:val="000000"/>
                <w:sz w:val="24"/>
                <w:szCs w:val="24"/>
              </w:rPr>
            </w:pPr>
          </w:p>
        </w:tc>
      </w:tr>
      <w:tr w:rsidR="00D06F40" w:rsidRPr="00F80032" w:rsidTr="00111CC4">
        <w:trPr>
          <w:trHeight w:val="300"/>
        </w:trPr>
        <w:tc>
          <w:tcPr>
            <w:tcW w:w="2977" w:type="dxa"/>
            <w:noWrap/>
            <w:vAlign w:val="center"/>
          </w:tcPr>
          <w:p w:rsidR="00D06F40" w:rsidRPr="00F80032" w:rsidRDefault="00D06F40" w:rsidP="004F172A">
            <w:pPr>
              <w:adjustRightInd w:val="0"/>
              <w:snapToGrid w:val="0"/>
              <w:spacing w:after="0" w:line="360" w:lineRule="auto"/>
              <w:jc w:val="both"/>
              <w:rPr>
                <w:rFonts w:ascii="Book Antiqua" w:hAnsi="Book Antiqua" w:cs="Times New Roman"/>
                <w:color w:val="000000"/>
                <w:sz w:val="24"/>
                <w:szCs w:val="24"/>
              </w:rPr>
            </w:pPr>
          </w:p>
        </w:tc>
        <w:tc>
          <w:tcPr>
            <w:tcW w:w="1560" w:type="dxa"/>
            <w:noWrap/>
            <w:vAlign w:val="center"/>
          </w:tcPr>
          <w:p w:rsidR="00D06F40" w:rsidRPr="00F80032" w:rsidRDefault="00D06F40" w:rsidP="004F172A">
            <w:pPr>
              <w:adjustRightInd w:val="0"/>
              <w:snapToGrid w:val="0"/>
              <w:spacing w:after="0" w:line="360" w:lineRule="auto"/>
              <w:jc w:val="both"/>
              <w:rPr>
                <w:rFonts w:ascii="Book Antiqua" w:hAnsi="Book Antiqua" w:cs="Times New Roman"/>
                <w:color w:val="000000"/>
                <w:sz w:val="24"/>
                <w:szCs w:val="24"/>
              </w:rPr>
            </w:pPr>
            <w:r w:rsidRPr="00F80032">
              <w:rPr>
                <w:rFonts w:ascii="Book Antiqua" w:hAnsi="Book Antiqua" w:cs="Times New Roman"/>
                <w:color w:val="000000"/>
                <w:sz w:val="24"/>
                <w:szCs w:val="24"/>
              </w:rPr>
              <w:t>left sided colitis</w:t>
            </w:r>
          </w:p>
        </w:tc>
        <w:tc>
          <w:tcPr>
            <w:tcW w:w="1275" w:type="dxa"/>
            <w:noWrap/>
            <w:vAlign w:val="center"/>
          </w:tcPr>
          <w:p w:rsidR="00D06F40" w:rsidRPr="00F80032" w:rsidRDefault="00D06F40" w:rsidP="004F172A">
            <w:pPr>
              <w:adjustRightInd w:val="0"/>
              <w:snapToGrid w:val="0"/>
              <w:spacing w:after="0" w:line="360" w:lineRule="auto"/>
              <w:jc w:val="both"/>
              <w:rPr>
                <w:rFonts w:ascii="Book Antiqua" w:hAnsi="Book Antiqua" w:cs="Times New Roman"/>
                <w:color w:val="000000"/>
                <w:sz w:val="24"/>
                <w:szCs w:val="24"/>
              </w:rPr>
            </w:pPr>
            <w:r w:rsidRPr="00F80032">
              <w:rPr>
                <w:rFonts w:ascii="Book Antiqua" w:hAnsi="Book Antiqua" w:cs="Times New Roman"/>
                <w:color w:val="000000"/>
                <w:sz w:val="24"/>
                <w:szCs w:val="24"/>
              </w:rPr>
              <w:t>2 (40)</w:t>
            </w:r>
          </w:p>
        </w:tc>
        <w:tc>
          <w:tcPr>
            <w:tcW w:w="1378" w:type="dxa"/>
            <w:noWrap/>
            <w:vAlign w:val="center"/>
          </w:tcPr>
          <w:p w:rsidR="00D06F40" w:rsidRPr="00F80032" w:rsidRDefault="00D06F40" w:rsidP="004F172A">
            <w:pPr>
              <w:adjustRightInd w:val="0"/>
              <w:snapToGrid w:val="0"/>
              <w:spacing w:after="0" w:line="360" w:lineRule="auto"/>
              <w:jc w:val="both"/>
              <w:rPr>
                <w:rFonts w:ascii="Book Antiqua" w:hAnsi="Book Antiqua" w:cs="Times New Roman"/>
                <w:color w:val="000000"/>
                <w:sz w:val="24"/>
                <w:szCs w:val="24"/>
              </w:rPr>
            </w:pPr>
            <w:r w:rsidRPr="00F80032">
              <w:rPr>
                <w:rFonts w:ascii="Book Antiqua" w:hAnsi="Book Antiqua" w:cs="Times New Roman"/>
                <w:color w:val="000000"/>
                <w:sz w:val="24"/>
                <w:szCs w:val="24"/>
              </w:rPr>
              <w:t>1 (33.3)</w:t>
            </w:r>
          </w:p>
        </w:tc>
        <w:tc>
          <w:tcPr>
            <w:tcW w:w="1032" w:type="dxa"/>
            <w:noWrap/>
            <w:vAlign w:val="center"/>
          </w:tcPr>
          <w:p w:rsidR="00D06F40" w:rsidRPr="00F80032" w:rsidRDefault="00D06F40" w:rsidP="004F172A">
            <w:pPr>
              <w:adjustRightInd w:val="0"/>
              <w:snapToGrid w:val="0"/>
              <w:spacing w:after="0" w:line="360" w:lineRule="auto"/>
              <w:jc w:val="both"/>
              <w:rPr>
                <w:rFonts w:ascii="Book Antiqua" w:hAnsi="Book Antiqua" w:cs="Times New Roman"/>
                <w:color w:val="000000"/>
                <w:sz w:val="24"/>
                <w:szCs w:val="24"/>
              </w:rPr>
            </w:pPr>
          </w:p>
        </w:tc>
        <w:tc>
          <w:tcPr>
            <w:tcW w:w="1701" w:type="dxa"/>
            <w:noWrap/>
            <w:vAlign w:val="center"/>
          </w:tcPr>
          <w:p w:rsidR="00D06F40" w:rsidRPr="00F80032" w:rsidRDefault="00D06F40" w:rsidP="004F172A">
            <w:pPr>
              <w:adjustRightInd w:val="0"/>
              <w:snapToGrid w:val="0"/>
              <w:spacing w:after="0" w:line="360" w:lineRule="auto"/>
              <w:jc w:val="both"/>
              <w:rPr>
                <w:rFonts w:ascii="Book Antiqua" w:hAnsi="Book Antiqua" w:cs="Times New Roman"/>
                <w:color w:val="000000"/>
                <w:sz w:val="24"/>
                <w:szCs w:val="24"/>
              </w:rPr>
            </w:pPr>
          </w:p>
        </w:tc>
      </w:tr>
      <w:tr w:rsidR="00D06F40" w:rsidRPr="00F80032" w:rsidTr="00111CC4">
        <w:trPr>
          <w:trHeight w:val="300"/>
        </w:trPr>
        <w:tc>
          <w:tcPr>
            <w:tcW w:w="2977" w:type="dxa"/>
            <w:noWrap/>
            <w:vAlign w:val="center"/>
          </w:tcPr>
          <w:p w:rsidR="00D06F40" w:rsidRPr="00F80032" w:rsidRDefault="00D06F40" w:rsidP="004F172A">
            <w:pPr>
              <w:adjustRightInd w:val="0"/>
              <w:snapToGrid w:val="0"/>
              <w:spacing w:after="0" w:line="360" w:lineRule="auto"/>
              <w:jc w:val="both"/>
              <w:rPr>
                <w:rFonts w:ascii="Book Antiqua" w:hAnsi="Book Antiqua" w:cs="Times New Roman"/>
                <w:color w:val="000000"/>
                <w:sz w:val="24"/>
                <w:szCs w:val="24"/>
              </w:rPr>
            </w:pPr>
          </w:p>
        </w:tc>
        <w:tc>
          <w:tcPr>
            <w:tcW w:w="1560" w:type="dxa"/>
            <w:noWrap/>
            <w:vAlign w:val="center"/>
          </w:tcPr>
          <w:p w:rsidR="00D06F40" w:rsidRPr="00F80032" w:rsidRDefault="00D06F40" w:rsidP="004F172A">
            <w:pPr>
              <w:adjustRightInd w:val="0"/>
              <w:snapToGrid w:val="0"/>
              <w:spacing w:after="0" w:line="360" w:lineRule="auto"/>
              <w:jc w:val="both"/>
              <w:rPr>
                <w:rFonts w:ascii="Book Antiqua" w:hAnsi="Book Antiqua" w:cs="Times New Roman"/>
                <w:color w:val="000000"/>
                <w:sz w:val="24"/>
                <w:szCs w:val="24"/>
              </w:rPr>
            </w:pPr>
            <w:r w:rsidRPr="00F80032">
              <w:rPr>
                <w:rFonts w:ascii="Book Antiqua" w:hAnsi="Book Antiqua" w:cs="Times New Roman"/>
                <w:color w:val="000000"/>
                <w:sz w:val="24"/>
                <w:szCs w:val="24"/>
              </w:rPr>
              <w:t>extensive colitis</w:t>
            </w:r>
          </w:p>
        </w:tc>
        <w:tc>
          <w:tcPr>
            <w:tcW w:w="1275" w:type="dxa"/>
            <w:noWrap/>
            <w:vAlign w:val="center"/>
          </w:tcPr>
          <w:p w:rsidR="00D06F40" w:rsidRPr="00F80032" w:rsidRDefault="00D06F40" w:rsidP="004F172A">
            <w:pPr>
              <w:adjustRightInd w:val="0"/>
              <w:snapToGrid w:val="0"/>
              <w:spacing w:after="0" w:line="360" w:lineRule="auto"/>
              <w:jc w:val="both"/>
              <w:rPr>
                <w:rFonts w:ascii="Book Antiqua" w:hAnsi="Book Antiqua" w:cs="Times New Roman"/>
                <w:color w:val="000000"/>
                <w:sz w:val="24"/>
                <w:szCs w:val="24"/>
              </w:rPr>
            </w:pPr>
            <w:r w:rsidRPr="00F80032">
              <w:rPr>
                <w:rFonts w:ascii="Book Antiqua" w:hAnsi="Book Antiqua" w:cs="Times New Roman"/>
                <w:color w:val="000000"/>
                <w:sz w:val="24"/>
                <w:szCs w:val="24"/>
              </w:rPr>
              <w:t>3 (60)</w:t>
            </w:r>
          </w:p>
        </w:tc>
        <w:tc>
          <w:tcPr>
            <w:tcW w:w="1378" w:type="dxa"/>
            <w:noWrap/>
            <w:vAlign w:val="center"/>
          </w:tcPr>
          <w:p w:rsidR="00D06F40" w:rsidRPr="00F80032" w:rsidRDefault="00D06F40" w:rsidP="004F172A">
            <w:pPr>
              <w:adjustRightInd w:val="0"/>
              <w:snapToGrid w:val="0"/>
              <w:spacing w:after="0" w:line="360" w:lineRule="auto"/>
              <w:jc w:val="both"/>
              <w:rPr>
                <w:rFonts w:ascii="Book Antiqua" w:hAnsi="Book Antiqua" w:cs="Times New Roman"/>
                <w:color w:val="000000"/>
                <w:sz w:val="24"/>
                <w:szCs w:val="24"/>
              </w:rPr>
            </w:pPr>
            <w:r w:rsidRPr="00F80032">
              <w:rPr>
                <w:rFonts w:ascii="Book Antiqua" w:hAnsi="Book Antiqua" w:cs="Times New Roman"/>
                <w:color w:val="000000"/>
                <w:sz w:val="24"/>
                <w:szCs w:val="24"/>
              </w:rPr>
              <w:t>2 (66.7)</w:t>
            </w:r>
          </w:p>
        </w:tc>
        <w:tc>
          <w:tcPr>
            <w:tcW w:w="1032" w:type="dxa"/>
            <w:noWrap/>
            <w:vAlign w:val="center"/>
          </w:tcPr>
          <w:p w:rsidR="00D06F40" w:rsidRPr="00F80032" w:rsidRDefault="00D06F40" w:rsidP="004F172A">
            <w:pPr>
              <w:adjustRightInd w:val="0"/>
              <w:snapToGrid w:val="0"/>
              <w:spacing w:after="0" w:line="360" w:lineRule="auto"/>
              <w:jc w:val="both"/>
              <w:rPr>
                <w:rFonts w:ascii="Book Antiqua" w:hAnsi="Book Antiqua" w:cs="Times New Roman"/>
                <w:color w:val="000000"/>
                <w:sz w:val="24"/>
                <w:szCs w:val="24"/>
              </w:rPr>
            </w:pPr>
          </w:p>
        </w:tc>
        <w:tc>
          <w:tcPr>
            <w:tcW w:w="1701" w:type="dxa"/>
            <w:noWrap/>
            <w:vAlign w:val="center"/>
          </w:tcPr>
          <w:p w:rsidR="00D06F40" w:rsidRPr="00F80032" w:rsidRDefault="00D06F40" w:rsidP="004F172A">
            <w:pPr>
              <w:adjustRightInd w:val="0"/>
              <w:snapToGrid w:val="0"/>
              <w:spacing w:after="0" w:line="360" w:lineRule="auto"/>
              <w:jc w:val="both"/>
              <w:rPr>
                <w:rFonts w:ascii="Book Antiqua" w:hAnsi="Book Antiqua" w:cs="Times New Roman"/>
                <w:color w:val="000000"/>
                <w:sz w:val="24"/>
                <w:szCs w:val="24"/>
              </w:rPr>
            </w:pPr>
          </w:p>
        </w:tc>
      </w:tr>
      <w:tr w:rsidR="00D06F40" w:rsidRPr="00F80032" w:rsidTr="00111CC4">
        <w:trPr>
          <w:trHeight w:val="300"/>
        </w:trPr>
        <w:tc>
          <w:tcPr>
            <w:tcW w:w="2977" w:type="dxa"/>
            <w:noWrap/>
            <w:vAlign w:val="center"/>
          </w:tcPr>
          <w:p w:rsidR="00D06F40" w:rsidRPr="00F80032" w:rsidRDefault="00D06F40" w:rsidP="004F172A">
            <w:pPr>
              <w:adjustRightInd w:val="0"/>
              <w:snapToGrid w:val="0"/>
              <w:spacing w:after="0" w:line="360" w:lineRule="auto"/>
              <w:jc w:val="both"/>
              <w:rPr>
                <w:rFonts w:ascii="Book Antiqua" w:hAnsi="Book Antiqua" w:cs="Times New Roman"/>
                <w:color w:val="000000"/>
                <w:sz w:val="24"/>
                <w:szCs w:val="24"/>
              </w:rPr>
            </w:pPr>
            <w:r w:rsidRPr="00F80032">
              <w:rPr>
                <w:rFonts w:ascii="Book Antiqua" w:hAnsi="Book Antiqua" w:cs="Times New Roman"/>
                <w:color w:val="000000"/>
                <w:sz w:val="24"/>
                <w:szCs w:val="24"/>
              </w:rPr>
              <w:t>Extra-intestinal manifestations</w:t>
            </w:r>
          </w:p>
        </w:tc>
        <w:tc>
          <w:tcPr>
            <w:tcW w:w="1560" w:type="dxa"/>
            <w:noWrap/>
            <w:vAlign w:val="center"/>
          </w:tcPr>
          <w:p w:rsidR="00D06F40" w:rsidRPr="00F80032" w:rsidRDefault="00D06F40" w:rsidP="004F172A">
            <w:pPr>
              <w:adjustRightInd w:val="0"/>
              <w:snapToGrid w:val="0"/>
              <w:spacing w:after="0" w:line="360" w:lineRule="auto"/>
              <w:jc w:val="both"/>
              <w:rPr>
                <w:rFonts w:ascii="Book Antiqua" w:hAnsi="Book Antiqua" w:cs="Times New Roman"/>
                <w:color w:val="000000"/>
                <w:sz w:val="24"/>
                <w:szCs w:val="24"/>
              </w:rPr>
            </w:pPr>
          </w:p>
        </w:tc>
        <w:tc>
          <w:tcPr>
            <w:tcW w:w="1275" w:type="dxa"/>
            <w:noWrap/>
            <w:vAlign w:val="center"/>
          </w:tcPr>
          <w:p w:rsidR="00D06F40" w:rsidRPr="00F80032" w:rsidRDefault="00D06F40" w:rsidP="004F172A">
            <w:pPr>
              <w:adjustRightInd w:val="0"/>
              <w:snapToGrid w:val="0"/>
              <w:spacing w:after="0" w:line="360" w:lineRule="auto"/>
              <w:jc w:val="both"/>
              <w:rPr>
                <w:rFonts w:ascii="Book Antiqua" w:hAnsi="Book Antiqua" w:cs="Times New Roman"/>
                <w:color w:val="000000"/>
                <w:sz w:val="24"/>
                <w:szCs w:val="24"/>
              </w:rPr>
            </w:pPr>
            <w:r w:rsidRPr="00F80032">
              <w:rPr>
                <w:rFonts w:ascii="Book Antiqua" w:hAnsi="Book Antiqua" w:cs="Times New Roman"/>
                <w:color w:val="000000"/>
                <w:sz w:val="24"/>
                <w:szCs w:val="24"/>
              </w:rPr>
              <w:t>15 (50)</w:t>
            </w:r>
          </w:p>
        </w:tc>
        <w:tc>
          <w:tcPr>
            <w:tcW w:w="1378" w:type="dxa"/>
            <w:noWrap/>
            <w:vAlign w:val="center"/>
          </w:tcPr>
          <w:p w:rsidR="00D06F40" w:rsidRPr="00F80032" w:rsidRDefault="00D06F40" w:rsidP="004F172A">
            <w:pPr>
              <w:adjustRightInd w:val="0"/>
              <w:snapToGrid w:val="0"/>
              <w:spacing w:after="0" w:line="360" w:lineRule="auto"/>
              <w:jc w:val="both"/>
              <w:rPr>
                <w:rFonts w:ascii="Book Antiqua" w:hAnsi="Book Antiqua" w:cs="Times New Roman"/>
                <w:color w:val="000000"/>
                <w:sz w:val="24"/>
                <w:szCs w:val="24"/>
              </w:rPr>
            </w:pPr>
            <w:r w:rsidRPr="00F80032">
              <w:rPr>
                <w:rFonts w:ascii="Book Antiqua" w:hAnsi="Book Antiqua" w:cs="Times New Roman"/>
                <w:color w:val="000000"/>
                <w:sz w:val="24"/>
                <w:szCs w:val="24"/>
              </w:rPr>
              <w:t>15 (50)</w:t>
            </w:r>
          </w:p>
        </w:tc>
        <w:tc>
          <w:tcPr>
            <w:tcW w:w="1032" w:type="dxa"/>
            <w:noWrap/>
            <w:vAlign w:val="center"/>
          </w:tcPr>
          <w:p w:rsidR="00D06F40" w:rsidRPr="00F80032" w:rsidRDefault="00D06F40" w:rsidP="004F172A">
            <w:pPr>
              <w:adjustRightInd w:val="0"/>
              <w:snapToGrid w:val="0"/>
              <w:spacing w:after="0" w:line="360" w:lineRule="auto"/>
              <w:jc w:val="both"/>
              <w:rPr>
                <w:rFonts w:ascii="Book Antiqua" w:hAnsi="Book Antiqua" w:cs="Times New Roman"/>
                <w:color w:val="000000"/>
                <w:sz w:val="24"/>
                <w:szCs w:val="24"/>
              </w:rPr>
            </w:pPr>
            <w:r w:rsidRPr="00F80032">
              <w:rPr>
                <w:rFonts w:ascii="Book Antiqua" w:hAnsi="Book Antiqua" w:cs="Times New Roman"/>
                <w:color w:val="000000"/>
                <w:sz w:val="24"/>
                <w:szCs w:val="24"/>
              </w:rPr>
              <w:t>1.0</w:t>
            </w:r>
          </w:p>
        </w:tc>
        <w:tc>
          <w:tcPr>
            <w:tcW w:w="1701" w:type="dxa"/>
            <w:noWrap/>
            <w:vAlign w:val="center"/>
          </w:tcPr>
          <w:p w:rsidR="00D06F40" w:rsidRPr="00F80032" w:rsidRDefault="00D06F40" w:rsidP="004F172A">
            <w:pPr>
              <w:adjustRightInd w:val="0"/>
              <w:snapToGrid w:val="0"/>
              <w:spacing w:after="0" w:line="360" w:lineRule="auto"/>
              <w:jc w:val="both"/>
              <w:rPr>
                <w:rFonts w:ascii="Book Antiqua" w:hAnsi="Book Antiqua" w:cs="Times New Roman"/>
                <w:color w:val="000000"/>
                <w:sz w:val="24"/>
                <w:szCs w:val="24"/>
              </w:rPr>
            </w:pPr>
            <w:r w:rsidRPr="00F80032">
              <w:rPr>
                <w:rFonts w:ascii="Book Antiqua" w:hAnsi="Book Antiqua" w:cs="Times New Roman"/>
                <w:color w:val="000000"/>
                <w:sz w:val="24"/>
                <w:szCs w:val="24"/>
              </w:rPr>
              <w:t>1 (0.36-2.75)</w:t>
            </w:r>
          </w:p>
        </w:tc>
      </w:tr>
      <w:tr w:rsidR="00D06F40" w:rsidRPr="00F80032" w:rsidTr="00111CC4">
        <w:trPr>
          <w:trHeight w:val="300"/>
        </w:trPr>
        <w:tc>
          <w:tcPr>
            <w:tcW w:w="2977" w:type="dxa"/>
            <w:noWrap/>
            <w:vAlign w:val="center"/>
          </w:tcPr>
          <w:p w:rsidR="00D06F40" w:rsidRPr="00F80032" w:rsidRDefault="00D06F40" w:rsidP="004F172A">
            <w:pPr>
              <w:adjustRightInd w:val="0"/>
              <w:snapToGrid w:val="0"/>
              <w:spacing w:after="0" w:line="360" w:lineRule="auto"/>
              <w:jc w:val="both"/>
              <w:rPr>
                <w:rFonts w:ascii="Book Antiqua" w:hAnsi="Book Antiqua" w:cs="Times New Roman"/>
                <w:color w:val="000000"/>
                <w:sz w:val="24"/>
                <w:szCs w:val="24"/>
              </w:rPr>
            </w:pPr>
            <w:r w:rsidRPr="00F80032">
              <w:rPr>
                <w:rFonts w:ascii="Book Antiqua" w:hAnsi="Book Antiqua" w:cs="Times New Roman"/>
                <w:color w:val="000000"/>
                <w:sz w:val="24"/>
                <w:szCs w:val="24"/>
              </w:rPr>
              <w:t>Smoking</w:t>
            </w:r>
          </w:p>
        </w:tc>
        <w:tc>
          <w:tcPr>
            <w:tcW w:w="1560" w:type="dxa"/>
            <w:noWrap/>
            <w:vAlign w:val="center"/>
          </w:tcPr>
          <w:p w:rsidR="00D06F40" w:rsidRPr="00F80032" w:rsidRDefault="00D06F40" w:rsidP="004F172A">
            <w:pPr>
              <w:adjustRightInd w:val="0"/>
              <w:snapToGrid w:val="0"/>
              <w:spacing w:after="0" w:line="360" w:lineRule="auto"/>
              <w:jc w:val="both"/>
              <w:rPr>
                <w:rFonts w:ascii="Book Antiqua" w:hAnsi="Book Antiqua" w:cs="Times New Roman"/>
                <w:color w:val="000000"/>
                <w:sz w:val="24"/>
                <w:szCs w:val="24"/>
              </w:rPr>
            </w:pPr>
          </w:p>
        </w:tc>
        <w:tc>
          <w:tcPr>
            <w:tcW w:w="1275" w:type="dxa"/>
            <w:noWrap/>
            <w:vAlign w:val="center"/>
          </w:tcPr>
          <w:p w:rsidR="00D06F40" w:rsidRPr="00F80032" w:rsidRDefault="00D06F40" w:rsidP="004F172A">
            <w:pPr>
              <w:adjustRightInd w:val="0"/>
              <w:snapToGrid w:val="0"/>
              <w:spacing w:after="0" w:line="360" w:lineRule="auto"/>
              <w:jc w:val="both"/>
              <w:rPr>
                <w:rFonts w:ascii="Book Antiqua" w:hAnsi="Book Antiqua" w:cs="Times New Roman"/>
                <w:color w:val="000000"/>
                <w:sz w:val="24"/>
                <w:szCs w:val="24"/>
              </w:rPr>
            </w:pPr>
            <w:r w:rsidRPr="00F80032">
              <w:rPr>
                <w:rFonts w:ascii="Book Antiqua" w:hAnsi="Book Antiqua" w:cs="Times New Roman"/>
                <w:color w:val="000000"/>
                <w:sz w:val="24"/>
                <w:szCs w:val="24"/>
              </w:rPr>
              <w:t>2 (6.7)</w:t>
            </w:r>
          </w:p>
        </w:tc>
        <w:tc>
          <w:tcPr>
            <w:tcW w:w="1378" w:type="dxa"/>
            <w:noWrap/>
            <w:vAlign w:val="center"/>
          </w:tcPr>
          <w:p w:rsidR="00D06F40" w:rsidRPr="00F80032" w:rsidRDefault="00D06F40" w:rsidP="004F172A">
            <w:pPr>
              <w:adjustRightInd w:val="0"/>
              <w:snapToGrid w:val="0"/>
              <w:spacing w:after="0" w:line="360" w:lineRule="auto"/>
              <w:jc w:val="both"/>
              <w:rPr>
                <w:rFonts w:ascii="Book Antiqua" w:hAnsi="Book Antiqua" w:cs="Times New Roman"/>
                <w:color w:val="000000"/>
                <w:sz w:val="24"/>
                <w:szCs w:val="24"/>
              </w:rPr>
            </w:pPr>
            <w:r w:rsidRPr="00F80032">
              <w:rPr>
                <w:rFonts w:ascii="Book Antiqua" w:hAnsi="Book Antiqua" w:cs="Times New Roman"/>
                <w:color w:val="000000"/>
                <w:sz w:val="24"/>
                <w:szCs w:val="24"/>
              </w:rPr>
              <w:t>5 (16.7)</w:t>
            </w:r>
          </w:p>
        </w:tc>
        <w:tc>
          <w:tcPr>
            <w:tcW w:w="1032" w:type="dxa"/>
            <w:noWrap/>
            <w:vAlign w:val="center"/>
          </w:tcPr>
          <w:p w:rsidR="00D06F40" w:rsidRPr="00F80032" w:rsidRDefault="00D06F40" w:rsidP="004F172A">
            <w:pPr>
              <w:adjustRightInd w:val="0"/>
              <w:snapToGrid w:val="0"/>
              <w:spacing w:after="0" w:line="360" w:lineRule="auto"/>
              <w:jc w:val="both"/>
              <w:rPr>
                <w:rFonts w:ascii="Book Antiqua" w:hAnsi="Book Antiqua" w:cs="Times New Roman"/>
                <w:color w:val="000000"/>
                <w:sz w:val="24"/>
                <w:szCs w:val="24"/>
              </w:rPr>
            </w:pPr>
            <w:r w:rsidRPr="00F80032">
              <w:rPr>
                <w:rFonts w:ascii="Book Antiqua" w:hAnsi="Book Antiqua" w:cs="Times New Roman"/>
                <w:color w:val="000000"/>
                <w:sz w:val="24"/>
                <w:szCs w:val="24"/>
              </w:rPr>
              <w:t>0.24</w:t>
            </w:r>
          </w:p>
        </w:tc>
        <w:tc>
          <w:tcPr>
            <w:tcW w:w="1701" w:type="dxa"/>
            <w:noWrap/>
            <w:vAlign w:val="center"/>
          </w:tcPr>
          <w:p w:rsidR="00D06F40" w:rsidRPr="00F80032" w:rsidRDefault="00D06F40" w:rsidP="004F172A">
            <w:pPr>
              <w:adjustRightInd w:val="0"/>
              <w:snapToGrid w:val="0"/>
              <w:spacing w:after="0" w:line="360" w:lineRule="auto"/>
              <w:jc w:val="both"/>
              <w:rPr>
                <w:rFonts w:ascii="Book Antiqua" w:hAnsi="Book Antiqua" w:cs="Times New Roman"/>
                <w:color w:val="000000"/>
                <w:sz w:val="24"/>
                <w:szCs w:val="24"/>
              </w:rPr>
            </w:pPr>
            <w:r w:rsidRPr="00F80032">
              <w:rPr>
                <w:rFonts w:ascii="Book Antiqua" w:hAnsi="Book Antiqua" w:cs="Times New Roman"/>
                <w:color w:val="000000"/>
                <w:sz w:val="24"/>
                <w:szCs w:val="24"/>
              </w:rPr>
              <w:t>0.3 (0.06-2.00)</w:t>
            </w:r>
          </w:p>
        </w:tc>
      </w:tr>
      <w:tr w:rsidR="00D06F40" w:rsidRPr="00F80032" w:rsidTr="00111CC4">
        <w:trPr>
          <w:trHeight w:val="300"/>
        </w:trPr>
        <w:tc>
          <w:tcPr>
            <w:tcW w:w="2977" w:type="dxa"/>
            <w:noWrap/>
            <w:vAlign w:val="center"/>
          </w:tcPr>
          <w:p w:rsidR="00D06F40" w:rsidRPr="00F80032" w:rsidRDefault="00D06F40" w:rsidP="004F172A">
            <w:pPr>
              <w:adjustRightInd w:val="0"/>
              <w:snapToGrid w:val="0"/>
              <w:spacing w:after="0" w:line="360" w:lineRule="auto"/>
              <w:jc w:val="both"/>
              <w:rPr>
                <w:rFonts w:ascii="Book Antiqua" w:hAnsi="Book Antiqua" w:cs="Times New Roman"/>
                <w:color w:val="000000"/>
                <w:sz w:val="24"/>
                <w:szCs w:val="24"/>
                <w:lang w:val="pt-BR"/>
              </w:rPr>
            </w:pPr>
            <w:r w:rsidRPr="00F80032">
              <w:rPr>
                <w:rFonts w:ascii="Book Antiqua" w:hAnsi="Book Antiqua" w:cs="Times New Roman"/>
                <w:color w:val="000000"/>
                <w:sz w:val="24"/>
                <w:szCs w:val="24"/>
                <w:lang w:val="pt-BR"/>
              </w:rPr>
              <w:t xml:space="preserve">Immunomodulator therapy prior to infliximab tx </w:t>
            </w:r>
          </w:p>
        </w:tc>
        <w:tc>
          <w:tcPr>
            <w:tcW w:w="1560" w:type="dxa"/>
            <w:noWrap/>
            <w:vAlign w:val="center"/>
          </w:tcPr>
          <w:p w:rsidR="00D06F40" w:rsidRPr="00F80032" w:rsidRDefault="00D06F40" w:rsidP="004F172A">
            <w:pPr>
              <w:adjustRightInd w:val="0"/>
              <w:snapToGrid w:val="0"/>
              <w:spacing w:after="0" w:line="360" w:lineRule="auto"/>
              <w:jc w:val="both"/>
              <w:rPr>
                <w:rFonts w:ascii="Book Antiqua" w:hAnsi="Book Antiqua" w:cs="Times New Roman"/>
                <w:color w:val="000000"/>
                <w:sz w:val="24"/>
                <w:szCs w:val="24"/>
                <w:lang w:val="pt-BR"/>
              </w:rPr>
            </w:pPr>
          </w:p>
        </w:tc>
        <w:tc>
          <w:tcPr>
            <w:tcW w:w="1275" w:type="dxa"/>
            <w:noWrap/>
            <w:vAlign w:val="center"/>
          </w:tcPr>
          <w:p w:rsidR="00D06F40" w:rsidRPr="00F80032" w:rsidRDefault="00D06F40" w:rsidP="004F172A">
            <w:pPr>
              <w:adjustRightInd w:val="0"/>
              <w:snapToGrid w:val="0"/>
              <w:spacing w:after="0" w:line="360" w:lineRule="auto"/>
              <w:jc w:val="both"/>
              <w:rPr>
                <w:rFonts w:ascii="Book Antiqua" w:hAnsi="Book Antiqua" w:cs="Times New Roman"/>
                <w:color w:val="000000"/>
                <w:sz w:val="24"/>
                <w:szCs w:val="24"/>
              </w:rPr>
            </w:pPr>
            <w:r w:rsidRPr="00F80032">
              <w:rPr>
                <w:rFonts w:ascii="Book Antiqua" w:hAnsi="Book Antiqua" w:cs="Times New Roman"/>
                <w:color w:val="000000"/>
                <w:sz w:val="24"/>
                <w:szCs w:val="24"/>
              </w:rPr>
              <w:t>26 (86.7)</w:t>
            </w:r>
          </w:p>
        </w:tc>
        <w:tc>
          <w:tcPr>
            <w:tcW w:w="1378" w:type="dxa"/>
            <w:noWrap/>
            <w:vAlign w:val="center"/>
          </w:tcPr>
          <w:p w:rsidR="00D06F40" w:rsidRPr="00F80032" w:rsidRDefault="00D06F40" w:rsidP="004F172A">
            <w:pPr>
              <w:adjustRightInd w:val="0"/>
              <w:snapToGrid w:val="0"/>
              <w:spacing w:after="0" w:line="360" w:lineRule="auto"/>
              <w:jc w:val="both"/>
              <w:rPr>
                <w:rFonts w:ascii="Book Antiqua" w:hAnsi="Book Antiqua" w:cs="Times New Roman"/>
                <w:color w:val="000000"/>
                <w:sz w:val="24"/>
                <w:szCs w:val="24"/>
              </w:rPr>
            </w:pPr>
            <w:r w:rsidRPr="00F80032">
              <w:rPr>
                <w:rFonts w:ascii="Book Antiqua" w:hAnsi="Book Antiqua" w:cs="Times New Roman"/>
                <w:color w:val="000000"/>
                <w:sz w:val="24"/>
                <w:szCs w:val="24"/>
              </w:rPr>
              <w:t>23 (76.7)</w:t>
            </w:r>
          </w:p>
        </w:tc>
        <w:tc>
          <w:tcPr>
            <w:tcW w:w="1032" w:type="dxa"/>
            <w:noWrap/>
            <w:vAlign w:val="center"/>
          </w:tcPr>
          <w:p w:rsidR="00D06F40" w:rsidRPr="00F80032" w:rsidRDefault="00D06F40" w:rsidP="004F172A">
            <w:pPr>
              <w:adjustRightInd w:val="0"/>
              <w:snapToGrid w:val="0"/>
              <w:spacing w:after="0" w:line="360" w:lineRule="auto"/>
              <w:jc w:val="both"/>
              <w:rPr>
                <w:rFonts w:ascii="Book Antiqua" w:hAnsi="Book Antiqua" w:cs="Times New Roman"/>
                <w:color w:val="000000"/>
                <w:sz w:val="24"/>
                <w:szCs w:val="24"/>
              </w:rPr>
            </w:pPr>
            <w:r w:rsidRPr="00F80032">
              <w:rPr>
                <w:rFonts w:ascii="Book Antiqua" w:hAnsi="Book Antiqua" w:cs="Times New Roman"/>
                <w:color w:val="000000"/>
                <w:sz w:val="24"/>
                <w:szCs w:val="24"/>
              </w:rPr>
              <w:t>0.32</w:t>
            </w:r>
          </w:p>
        </w:tc>
        <w:tc>
          <w:tcPr>
            <w:tcW w:w="1701" w:type="dxa"/>
            <w:noWrap/>
            <w:vAlign w:val="center"/>
          </w:tcPr>
          <w:p w:rsidR="00D06F40" w:rsidRPr="00F80032" w:rsidRDefault="00D06F40" w:rsidP="004F172A">
            <w:pPr>
              <w:adjustRightInd w:val="0"/>
              <w:snapToGrid w:val="0"/>
              <w:spacing w:after="0" w:line="360" w:lineRule="auto"/>
              <w:jc w:val="both"/>
              <w:rPr>
                <w:rFonts w:ascii="Book Antiqua" w:hAnsi="Book Antiqua" w:cs="Times New Roman"/>
                <w:color w:val="000000"/>
                <w:sz w:val="24"/>
                <w:szCs w:val="24"/>
              </w:rPr>
            </w:pPr>
            <w:r w:rsidRPr="00F80032">
              <w:rPr>
                <w:rFonts w:ascii="Book Antiqua" w:hAnsi="Book Antiqua" w:cs="Times New Roman"/>
                <w:color w:val="000000"/>
                <w:sz w:val="24"/>
                <w:szCs w:val="24"/>
              </w:rPr>
              <w:t>1.97 (0.51-7.63)</w:t>
            </w:r>
          </w:p>
        </w:tc>
      </w:tr>
      <w:tr w:rsidR="00D06F40" w:rsidRPr="00F80032" w:rsidTr="00111CC4">
        <w:trPr>
          <w:trHeight w:val="300"/>
        </w:trPr>
        <w:tc>
          <w:tcPr>
            <w:tcW w:w="2977" w:type="dxa"/>
            <w:noWrap/>
            <w:vAlign w:val="center"/>
          </w:tcPr>
          <w:p w:rsidR="00D06F40" w:rsidRPr="00F80032" w:rsidRDefault="00D06F40" w:rsidP="004F172A">
            <w:pPr>
              <w:adjustRightInd w:val="0"/>
              <w:snapToGrid w:val="0"/>
              <w:spacing w:after="0" w:line="360" w:lineRule="auto"/>
              <w:jc w:val="both"/>
              <w:rPr>
                <w:rFonts w:ascii="Book Antiqua" w:hAnsi="Book Antiqua" w:cs="Times New Roman"/>
                <w:color w:val="000000"/>
                <w:sz w:val="24"/>
                <w:szCs w:val="24"/>
                <w:lang w:val="pt-BR"/>
              </w:rPr>
            </w:pPr>
            <w:r w:rsidRPr="00F80032">
              <w:rPr>
                <w:rFonts w:ascii="Book Antiqua" w:hAnsi="Book Antiqua" w:cs="Times New Roman"/>
                <w:color w:val="000000"/>
                <w:sz w:val="24"/>
                <w:szCs w:val="24"/>
                <w:lang w:val="pt-BR"/>
              </w:rPr>
              <w:t>Adalimumab therapy prior to infliximab tx</w:t>
            </w:r>
          </w:p>
        </w:tc>
        <w:tc>
          <w:tcPr>
            <w:tcW w:w="1560" w:type="dxa"/>
            <w:noWrap/>
            <w:vAlign w:val="center"/>
          </w:tcPr>
          <w:p w:rsidR="00D06F40" w:rsidRPr="00F80032" w:rsidRDefault="00D06F40" w:rsidP="004F172A">
            <w:pPr>
              <w:adjustRightInd w:val="0"/>
              <w:snapToGrid w:val="0"/>
              <w:spacing w:after="0" w:line="360" w:lineRule="auto"/>
              <w:jc w:val="both"/>
              <w:rPr>
                <w:rFonts w:ascii="Book Antiqua" w:hAnsi="Book Antiqua" w:cs="Times New Roman"/>
                <w:color w:val="000000"/>
                <w:sz w:val="24"/>
                <w:szCs w:val="24"/>
                <w:lang w:val="pt-BR"/>
              </w:rPr>
            </w:pPr>
          </w:p>
        </w:tc>
        <w:tc>
          <w:tcPr>
            <w:tcW w:w="1275" w:type="dxa"/>
            <w:noWrap/>
            <w:vAlign w:val="center"/>
          </w:tcPr>
          <w:p w:rsidR="00D06F40" w:rsidRPr="00F80032" w:rsidRDefault="00D06F40" w:rsidP="004F172A">
            <w:pPr>
              <w:adjustRightInd w:val="0"/>
              <w:snapToGrid w:val="0"/>
              <w:spacing w:after="0" w:line="360" w:lineRule="auto"/>
              <w:jc w:val="both"/>
              <w:rPr>
                <w:rFonts w:ascii="Book Antiqua" w:hAnsi="Book Antiqua" w:cs="Times New Roman"/>
                <w:color w:val="000000"/>
                <w:sz w:val="24"/>
                <w:szCs w:val="24"/>
              </w:rPr>
            </w:pPr>
            <w:r w:rsidRPr="00F80032">
              <w:rPr>
                <w:rFonts w:ascii="Book Antiqua" w:hAnsi="Book Antiqua" w:cs="Times New Roman"/>
                <w:color w:val="000000"/>
                <w:sz w:val="24"/>
                <w:szCs w:val="24"/>
              </w:rPr>
              <w:t>4 (13.3)</w:t>
            </w:r>
          </w:p>
        </w:tc>
        <w:tc>
          <w:tcPr>
            <w:tcW w:w="1378" w:type="dxa"/>
            <w:noWrap/>
            <w:vAlign w:val="center"/>
          </w:tcPr>
          <w:p w:rsidR="00D06F40" w:rsidRPr="00F80032" w:rsidRDefault="00D06F40" w:rsidP="004F172A">
            <w:pPr>
              <w:adjustRightInd w:val="0"/>
              <w:snapToGrid w:val="0"/>
              <w:spacing w:after="0" w:line="360" w:lineRule="auto"/>
              <w:jc w:val="both"/>
              <w:rPr>
                <w:rFonts w:ascii="Book Antiqua" w:hAnsi="Book Antiqua" w:cs="Times New Roman"/>
                <w:color w:val="000000"/>
                <w:sz w:val="24"/>
                <w:szCs w:val="24"/>
              </w:rPr>
            </w:pPr>
            <w:r w:rsidRPr="00F80032">
              <w:rPr>
                <w:rFonts w:ascii="Book Antiqua" w:hAnsi="Book Antiqua" w:cs="Times New Roman"/>
                <w:color w:val="000000"/>
                <w:sz w:val="24"/>
                <w:szCs w:val="24"/>
              </w:rPr>
              <w:t>0</w:t>
            </w:r>
          </w:p>
        </w:tc>
        <w:tc>
          <w:tcPr>
            <w:tcW w:w="1032" w:type="dxa"/>
            <w:noWrap/>
            <w:vAlign w:val="center"/>
          </w:tcPr>
          <w:p w:rsidR="00D06F40" w:rsidRPr="00F80032" w:rsidRDefault="00D06F40" w:rsidP="004F172A">
            <w:pPr>
              <w:adjustRightInd w:val="0"/>
              <w:snapToGrid w:val="0"/>
              <w:spacing w:after="0" w:line="360" w:lineRule="auto"/>
              <w:jc w:val="both"/>
              <w:rPr>
                <w:rFonts w:ascii="Book Antiqua" w:hAnsi="Book Antiqua" w:cs="Times New Roman"/>
                <w:color w:val="000000"/>
                <w:sz w:val="24"/>
                <w:szCs w:val="24"/>
              </w:rPr>
            </w:pPr>
            <w:r w:rsidRPr="00F80032">
              <w:rPr>
                <w:rFonts w:ascii="Book Antiqua" w:hAnsi="Book Antiqua" w:cs="Times New Roman"/>
                <w:color w:val="000000"/>
                <w:sz w:val="24"/>
                <w:szCs w:val="24"/>
              </w:rPr>
              <w:t>0.12</w:t>
            </w:r>
          </w:p>
        </w:tc>
        <w:tc>
          <w:tcPr>
            <w:tcW w:w="1701" w:type="dxa"/>
            <w:noWrap/>
            <w:vAlign w:val="center"/>
          </w:tcPr>
          <w:p w:rsidR="00D06F40" w:rsidRPr="00F80032" w:rsidRDefault="00D06F40" w:rsidP="004F172A">
            <w:pPr>
              <w:adjustRightInd w:val="0"/>
              <w:snapToGrid w:val="0"/>
              <w:spacing w:after="0" w:line="360" w:lineRule="auto"/>
              <w:jc w:val="both"/>
              <w:rPr>
                <w:rFonts w:ascii="Book Antiqua" w:hAnsi="Book Antiqua" w:cs="Times New Roman"/>
                <w:color w:val="000000"/>
                <w:sz w:val="24"/>
                <w:szCs w:val="24"/>
              </w:rPr>
            </w:pPr>
            <w:r w:rsidRPr="00F80032">
              <w:rPr>
                <w:rFonts w:ascii="Book Antiqua" w:hAnsi="Book Antiqua" w:cs="Times New Roman"/>
                <w:color w:val="000000"/>
                <w:sz w:val="24"/>
                <w:szCs w:val="24"/>
              </w:rPr>
              <w:t>10.30 (0.53-201.00)</w:t>
            </w:r>
          </w:p>
        </w:tc>
      </w:tr>
      <w:tr w:rsidR="00D06F40" w:rsidRPr="00F80032" w:rsidTr="00111CC4">
        <w:trPr>
          <w:trHeight w:val="300"/>
        </w:trPr>
        <w:tc>
          <w:tcPr>
            <w:tcW w:w="2977" w:type="dxa"/>
            <w:noWrap/>
            <w:vAlign w:val="center"/>
          </w:tcPr>
          <w:p w:rsidR="00D06F40" w:rsidRPr="00F80032" w:rsidRDefault="00D06F40" w:rsidP="004F172A">
            <w:pPr>
              <w:adjustRightInd w:val="0"/>
              <w:snapToGrid w:val="0"/>
              <w:spacing w:after="0" w:line="360" w:lineRule="auto"/>
              <w:jc w:val="both"/>
              <w:rPr>
                <w:rFonts w:ascii="Book Antiqua" w:hAnsi="Book Antiqua" w:cs="Times New Roman"/>
                <w:color w:val="000000"/>
                <w:sz w:val="24"/>
                <w:szCs w:val="24"/>
                <w:lang w:val="pt-BR"/>
              </w:rPr>
            </w:pPr>
            <w:r w:rsidRPr="00F80032">
              <w:rPr>
                <w:rFonts w:ascii="Book Antiqua" w:hAnsi="Book Antiqua" w:cs="Times New Roman"/>
                <w:color w:val="000000"/>
                <w:sz w:val="24"/>
                <w:szCs w:val="24"/>
                <w:lang w:val="pt-BR"/>
              </w:rPr>
              <w:t>Surgery prior to infliximab therapy</w:t>
            </w:r>
          </w:p>
        </w:tc>
        <w:tc>
          <w:tcPr>
            <w:tcW w:w="1560" w:type="dxa"/>
            <w:noWrap/>
            <w:vAlign w:val="center"/>
          </w:tcPr>
          <w:p w:rsidR="00D06F40" w:rsidRPr="00F80032" w:rsidRDefault="00D06F40" w:rsidP="004F172A">
            <w:pPr>
              <w:adjustRightInd w:val="0"/>
              <w:snapToGrid w:val="0"/>
              <w:spacing w:after="0" w:line="360" w:lineRule="auto"/>
              <w:jc w:val="both"/>
              <w:rPr>
                <w:rFonts w:ascii="Book Antiqua" w:hAnsi="Book Antiqua" w:cs="Times New Roman"/>
                <w:color w:val="000000"/>
                <w:sz w:val="24"/>
                <w:szCs w:val="24"/>
                <w:lang w:val="pt-BR"/>
              </w:rPr>
            </w:pPr>
          </w:p>
        </w:tc>
        <w:tc>
          <w:tcPr>
            <w:tcW w:w="1275" w:type="dxa"/>
            <w:noWrap/>
            <w:vAlign w:val="center"/>
          </w:tcPr>
          <w:p w:rsidR="00D06F40" w:rsidRPr="00F80032" w:rsidRDefault="00D06F40" w:rsidP="004F172A">
            <w:pPr>
              <w:adjustRightInd w:val="0"/>
              <w:snapToGrid w:val="0"/>
              <w:spacing w:after="0" w:line="360" w:lineRule="auto"/>
              <w:jc w:val="both"/>
              <w:rPr>
                <w:rFonts w:ascii="Book Antiqua" w:hAnsi="Book Antiqua" w:cs="Times New Roman"/>
                <w:color w:val="000000"/>
                <w:sz w:val="24"/>
                <w:szCs w:val="24"/>
              </w:rPr>
            </w:pPr>
            <w:r w:rsidRPr="00F80032">
              <w:rPr>
                <w:rFonts w:ascii="Book Antiqua" w:hAnsi="Book Antiqua" w:cs="Times New Roman"/>
                <w:color w:val="000000"/>
                <w:sz w:val="24"/>
                <w:szCs w:val="24"/>
              </w:rPr>
              <w:t>8 (26.7)</w:t>
            </w:r>
          </w:p>
        </w:tc>
        <w:tc>
          <w:tcPr>
            <w:tcW w:w="1378" w:type="dxa"/>
            <w:noWrap/>
            <w:vAlign w:val="center"/>
          </w:tcPr>
          <w:p w:rsidR="00D06F40" w:rsidRPr="00F80032" w:rsidRDefault="00D06F40" w:rsidP="004F172A">
            <w:pPr>
              <w:adjustRightInd w:val="0"/>
              <w:snapToGrid w:val="0"/>
              <w:spacing w:after="0" w:line="360" w:lineRule="auto"/>
              <w:jc w:val="both"/>
              <w:rPr>
                <w:rFonts w:ascii="Book Antiqua" w:hAnsi="Book Antiqua" w:cs="Times New Roman"/>
                <w:color w:val="000000"/>
                <w:sz w:val="24"/>
                <w:szCs w:val="24"/>
              </w:rPr>
            </w:pPr>
            <w:r w:rsidRPr="00F80032">
              <w:rPr>
                <w:rFonts w:ascii="Book Antiqua" w:hAnsi="Book Antiqua" w:cs="Times New Roman"/>
                <w:color w:val="000000"/>
                <w:sz w:val="24"/>
                <w:szCs w:val="24"/>
              </w:rPr>
              <w:t>7 (23.3)</w:t>
            </w:r>
          </w:p>
        </w:tc>
        <w:tc>
          <w:tcPr>
            <w:tcW w:w="1032" w:type="dxa"/>
            <w:noWrap/>
            <w:vAlign w:val="center"/>
          </w:tcPr>
          <w:p w:rsidR="00D06F40" w:rsidRPr="00F80032" w:rsidRDefault="00D06F40" w:rsidP="004F172A">
            <w:pPr>
              <w:adjustRightInd w:val="0"/>
              <w:snapToGrid w:val="0"/>
              <w:spacing w:after="0" w:line="360" w:lineRule="auto"/>
              <w:jc w:val="both"/>
              <w:rPr>
                <w:rFonts w:ascii="Book Antiqua" w:hAnsi="Book Antiqua" w:cs="Times New Roman"/>
                <w:color w:val="000000"/>
                <w:sz w:val="24"/>
                <w:szCs w:val="24"/>
              </w:rPr>
            </w:pPr>
            <w:r w:rsidRPr="00F80032">
              <w:rPr>
                <w:rFonts w:ascii="Book Antiqua" w:hAnsi="Book Antiqua" w:cs="Times New Roman"/>
                <w:color w:val="000000"/>
                <w:sz w:val="24"/>
                <w:szCs w:val="24"/>
              </w:rPr>
              <w:t>0.76</w:t>
            </w:r>
          </w:p>
        </w:tc>
        <w:tc>
          <w:tcPr>
            <w:tcW w:w="1701" w:type="dxa"/>
            <w:noWrap/>
            <w:vAlign w:val="center"/>
          </w:tcPr>
          <w:p w:rsidR="00D06F40" w:rsidRPr="00F80032" w:rsidRDefault="00D06F40" w:rsidP="004F172A">
            <w:pPr>
              <w:adjustRightInd w:val="0"/>
              <w:snapToGrid w:val="0"/>
              <w:spacing w:after="0" w:line="360" w:lineRule="auto"/>
              <w:jc w:val="both"/>
              <w:rPr>
                <w:rFonts w:ascii="Book Antiqua" w:hAnsi="Book Antiqua" w:cs="Times New Roman"/>
                <w:color w:val="000000"/>
                <w:sz w:val="24"/>
                <w:szCs w:val="24"/>
              </w:rPr>
            </w:pPr>
            <w:r w:rsidRPr="00F80032">
              <w:rPr>
                <w:rFonts w:ascii="Book Antiqua" w:hAnsi="Book Antiqua" w:cs="Times New Roman"/>
                <w:color w:val="000000"/>
                <w:sz w:val="24"/>
                <w:szCs w:val="24"/>
              </w:rPr>
              <w:t>1.19 (0.37-3.85)</w:t>
            </w:r>
          </w:p>
        </w:tc>
      </w:tr>
    </w:tbl>
    <w:p w:rsidR="00B0285B" w:rsidRPr="00F80032" w:rsidRDefault="00111CC4" w:rsidP="004F172A">
      <w:pPr>
        <w:pStyle w:val="a9"/>
        <w:adjustRightInd w:val="0"/>
        <w:snapToGrid w:val="0"/>
        <w:spacing w:after="0" w:line="360" w:lineRule="auto"/>
        <w:ind w:left="0"/>
        <w:contextualSpacing w:val="0"/>
        <w:jc w:val="both"/>
        <w:rPr>
          <w:rFonts w:ascii="Book Antiqua" w:hAnsi="Book Antiqua" w:cs="Times New Roman"/>
          <w:b/>
          <w:bCs/>
          <w:color w:val="000000"/>
          <w:sz w:val="24"/>
          <w:szCs w:val="24"/>
        </w:rPr>
      </w:pPr>
      <w:r w:rsidRPr="00F80032">
        <w:rPr>
          <w:rFonts w:ascii="Book Antiqua" w:hAnsi="Book Antiqua" w:cs="Times New Roman" w:hint="eastAsia"/>
          <w:color w:val="000000"/>
          <w:sz w:val="24"/>
          <w:szCs w:val="24"/>
          <w:vertAlign w:val="superscript"/>
          <w:lang w:eastAsia="zh-CN"/>
        </w:rPr>
        <w:t>1</w:t>
      </w:r>
      <w:r w:rsidR="00BC6F18" w:rsidRPr="00F80032">
        <w:rPr>
          <w:rFonts w:ascii="Book Antiqua" w:hAnsi="Book Antiqua" w:cs="Times New Roman"/>
          <w:sz w:val="24"/>
          <w:szCs w:val="24"/>
        </w:rPr>
        <w:t>All patients received infliximab infusions at a standard protocol of 5 mg/ kg at 0,</w:t>
      </w:r>
      <w:r w:rsidRPr="00F80032">
        <w:rPr>
          <w:rFonts w:ascii="Book Antiqua" w:hAnsi="Book Antiqua" w:cs="Times New Roman" w:hint="eastAsia"/>
          <w:sz w:val="24"/>
          <w:szCs w:val="24"/>
          <w:lang w:eastAsia="zh-CN"/>
        </w:rPr>
        <w:t xml:space="preserve"> </w:t>
      </w:r>
      <w:r w:rsidR="00BC6F18" w:rsidRPr="00F80032">
        <w:rPr>
          <w:rFonts w:ascii="Book Antiqua" w:hAnsi="Book Antiqua" w:cs="Times New Roman"/>
          <w:sz w:val="24"/>
          <w:szCs w:val="24"/>
        </w:rPr>
        <w:t>2,</w:t>
      </w:r>
      <w:r w:rsidRPr="00F80032">
        <w:rPr>
          <w:rFonts w:ascii="Book Antiqua" w:hAnsi="Book Antiqua" w:cs="Times New Roman" w:hint="eastAsia"/>
          <w:sz w:val="24"/>
          <w:szCs w:val="24"/>
          <w:lang w:eastAsia="zh-CN"/>
        </w:rPr>
        <w:t xml:space="preserve"> </w:t>
      </w:r>
      <w:r w:rsidR="00BC6F18" w:rsidRPr="00F80032">
        <w:rPr>
          <w:rFonts w:ascii="Book Antiqua" w:hAnsi="Book Antiqua" w:cs="Times New Roman"/>
          <w:sz w:val="24"/>
          <w:szCs w:val="24"/>
        </w:rPr>
        <w:t>6 and every 8 w</w:t>
      </w:r>
      <w:r w:rsidRPr="00F80032">
        <w:rPr>
          <w:rFonts w:ascii="Book Antiqua" w:hAnsi="Book Antiqua" w:cs="Times New Roman"/>
          <w:sz w:val="24"/>
          <w:szCs w:val="24"/>
        </w:rPr>
        <w:t>k</w:t>
      </w:r>
      <w:r w:rsidR="00BC6F18" w:rsidRPr="00F80032">
        <w:rPr>
          <w:rFonts w:ascii="Book Antiqua" w:hAnsi="Book Antiqua" w:cs="Times New Roman"/>
          <w:sz w:val="24"/>
          <w:szCs w:val="24"/>
        </w:rPr>
        <w:t>. IBD</w:t>
      </w:r>
      <w:r w:rsidRPr="00F80032">
        <w:rPr>
          <w:rFonts w:ascii="Book Antiqua" w:hAnsi="Book Antiqua" w:cs="Times New Roman" w:hint="eastAsia"/>
          <w:sz w:val="24"/>
          <w:szCs w:val="24"/>
          <w:lang w:eastAsia="zh-CN"/>
        </w:rPr>
        <w:t>:</w:t>
      </w:r>
      <w:r w:rsidR="00BC6F18" w:rsidRPr="00F80032">
        <w:rPr>
          <w:rFonts w:ascii="Book Antiqua" w:hAnsi="Book Antiqua" w:cs="Times New Roman"/>
          <w:sz w:val="24"/>
          <w:szCs w:val="24"/>
        </w:rPr>
        <w:t xml:space="preserve"> </w:t>
      </w:r>
      <w:r w:rsidRPr="00F80032">
        <w:rPr>
          <w:rFonts w:ascii="Book Antiqua" w:hAnsi="Book Antiqua" w:cs="Times New Roman"/>
          <w:sz w:val="24"/>
          <w:szCs w:val="24"/>
        </w:rPr>
        <w:t xml:space="preserve">Inflammatory </w:t>
      </w:r>
      <w:r w:rsidR="00BC6F18" w:rsidRPr="00F80032">
        <w:rPr>
          <w:rFonts w:ascii="Book Antiqua" w:hAnsi="Book Antiqua" w:cs="Times New Roman"/>
          <w:sz w:val="24"/>
          <w:szCs w:val="24"/>
        </w:rPr>
        <w:t>bowel disease</w:t>
      </w:r>
      <w:r w:rsidRPr="00F80032">
        <w:rPr>
          <w:rFonts w:ascii="Book Antiqua" w:hAnsi="Book Antiqua" w:cs="Times New Roman" w:hint="eastAsia"/>
          <w:sz w:val="24"/>
          <w:szCs w:val="24"/>
          <w:lang w:eastAsia="zh-CN"/>
        </w:rPr>
        <w:t>;</w:t>
      </w:r>
      <w:r w:rsidR="00BC6F18" w:rsidRPr="00F80032">
        <w:rPr>
          <w:rFonts w:ascii="Book Antiqua" w:hAnsi="Book Antiqua" w:cs="Times New Roman"/>
          <w:sz w:val="24"/>
          <w:szCs w:val="24"/>
        </w:rPr>
        <w:t xml:space="preserve"> CD</w:t>
      </w:r>
      <w:r w:rsidRPr="00F80032">
        <w:rPr>
          <w:rFonts w:ascii="Book Antiqua" w:hAnsi="Book Antiqua" w:cs="Times New Roman" w:hint="eastAsia"/>
          <w:sz w:val="24"/>
          <w:szCs w:val="24"/>
          <w:lang w:eastAsia="zh-CN"/>
        </w:rPr>
        <w:t>:</w:t>
      </w:r>
      <w:r w:rsidR="00BC6F18" w:rsidRPr="00F80032">
        <w:rPr>
          <w:rFonts w:ascii="Book Antiqua" w:hAnsi="Book Antiqua" w:cs="Times New Roman"/>
          <w:sz w:val="24"/>
          <w:szCs w:val="24"/>
        </w:rPr>
        <w:t xml:space="preserve"> Crohn's </w:t>
      </w:r>
      <w:r w:rsidRPr="00F80032">
        <w:rPr>
          <w:rFonts w:ascii="Book Antiqua" w:hAnsi="Book Antiqua" w:cs="Times New Roman"/>
          <w:sz w:val="24"/>
          <w:szCs w:val="24"/>
        </w:rPr>
        <w:t>disease;</w:t>
      </w:r>
      <w:r w:rsidRPr="00F80032">
        <w:rPr>
          <w:rFonts w:ascii="Book Antiqua" w:hAnsi="Book Antiqua" w:cs="Times New Roman" w:hint="eastAsia"/>
          <w:sz w:val="24"/>
          <w:szCs w:val="24"/>
          <w:lang w:eastAsia="zh-CN"/>
        </w:rPr>
        <w:t xml:space="preserve"> </w:t>
      </w:r>
      <w:r w:rsidRPr="00F80032">
        <w:rPr>
          <w:rFonts w:ascii="Book Antiqua" w:hAnsi="Book Antiqua" w:cs="Times New Roman"/>
          <w:sz w:val="24"/>
          <w:szCs w:val="24"/>
        </w:rPr>
        <w:t xml:space="preserve">UC: Ulcerative colitis; GI: </w:t>
      </w:r>
      <w:r w:rsidRPr="00F80032">
        <w:rPr>
          <w:rFonts w:ascii="Book Antiqua" w:hAnsi="Book Antiqua" w:cs="Times New Roman"/>
          <w:caps/>
          <w:sz w:val="24"/>
          <w:szCs w:val="24"/>
        </w:rPr>
        <w:t>g</w:t>
      </w:r>
      <w:r w:rsidRPr="00F80032">
        <w:rPr>
          <w:rFonts w:ascii="Book Antiqua" w:hAnsi="Book Antiqua" w:cs="Times New Roman"/>
          <w:sz w:val="24"/>
          <w:szCs w:val="24"/>
        </w:rPr>
        <w:t>astro-intestinal.</w:t>
      </w:r>
      <w:r w:rsidR="002F10B5" w:rsidRPr="00F80032">
        <w:rPr>
          <w:rFonts w:ascii="Book Antiqua" w:eastAsia="宋体" w:hAnsi="Book Antiqua" w:cs="Times New Roman"/>
          <w:sz w:val="24"/>
          <w:szCs w:val="24"/>
          <w:lang w:eastAsia="zh-CN"/>
        </w:rPr>
        <w:br w:type="page"/>
      </w:r>
    </w:p>
    <w:p w:rsidR="00D06409" w:rsidRPr="00F80032" w:rsidRDefault="00F80032" w:rsidP="004F172A">
      <w:pPr>
        <w:adjustRightInd w:val="0"/>
        <w:snapToGrid w:val="0"/>
        <w:spacing w:after="0" w:line="360" w:lineRule="auto"/>
        <w:jc w:val="both"/>
        <w:rPr>
          <w:rFonts w:ascii="Book Antiqua" w:hAnsi="Book Antiqua" w:cs="Times New Roman"/>
          <w:b/>
          <w:bCs/>
          <w:color w:val="000000"/>
          <w:sz w:val="24"/>
          <w:szCs w:val="24"/>
          <w:lang w:eastAsia="zh-CN"/>
        </w:rPr>
      </w:pPr>
      <w:r w:rsidRPr="00F80032">
        <w:rPr>
          <w:noProof/>
          <w:lang w:eastAsia="zh-CN" w:bidi="ar-SA"/>
        </w:rPr>
        <w:lastRenderedPageBreak/>
        <w:drawing>
          <wp:inline distT="0" distB="0" distL="0" distR="0" wp14:anchorId="78EC3886" wp14:editId="19416923">
            <wp:extent cx="1264024" cy="92519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264759" cy="925733"/>
                    </a:xfrm>
                    <a:prstGeom prst="rect">
                      <a:avLst/>
                    </a:prstGeom>
                  </pic:spPr>
                </pic:pic>
              </a:graphicData>
            </a:graphic>
          </wp:inline>
        </w:drawing>
      </w:r>
    </w:p>
    <w:p w:rsidR="00B0285B" w:rsidRPr="00F80032" w:rsidRDefault="009B5797" w:rsidP="004F172A">
      <w:pPr>
        <w:adjustRightInd w:val="0"/>
        <w:snapToGrid w:val="0"/>
        <w:spacing w:after="0" w:line="360" w:lineRule="auto"/>
        <w:jc w:val="both"/>
        <w:rPr>
          <w:rFonts w:ascii="Book Antiqua" w:hAnsi="Book Antiqua" w:cs="Times New Roman"/>
          <w:color w:val="000000"/>
          <w:sz w:val="24"/>
          <w:szCs w:val="24"/>
          <w:lang w:eastAsia="zh-CN"/>
        </w:rPr>
      </w:pPr>
      <w:r w:rsidRPr="00F80032">
        <w:rPr>
          <w:rFonts w:ascii="Book Antiqua" w:hAnsi="Book Antiqua" w:cs="Times New Roman"/>
          <w:b/>
          <w:bCs/>
          <w:color w:val="000000"/>
          <w:sz w:val="24"/>
          <w:szCs w:val="24"/>
        </w:rPr>
        <w:t>Figure 1</w:t>
      </w:r>
      <w:r w:rsidRPr="00F80032">
        <w:rPr>
          <w:rFonts w:ascii="Book Antiqua" w:hAnsi="Book Antiqua" w:cs="Times New Roman"/>
          <w:color w:val="000000"/>
          <w:sz w:val="24"/>
          <w:szCs w:val="24"/>
        </w:rPr>
        <w:t xml:space="preserve"> </w:t>
      </w:r>
      <w:r w:rsidRPr="00F80032">
        <w:rPr>
          <w:rFonts w:ascii="Book Antiqua" w:hAnsi="Book Antiqua" w:cs="Times New Roman"/>
          <w:b/>
          <w:color w:val="000000"/>
          <w:sz w:val="24"/>
          <w:szCs w:val="24"/>
        </w:rPr>
        <w:t xml:space="preserve">Flow chart of the patients included in the two parts of this study: The analytical part (dashed lines) which comprised comparison of two different assays and of two different serum dilutions; and the clinical part (solid lines) which followed up in a case-control study </w:t>
      </w:r>
      <w:r w:rsidR="00F80032" w:rsidRPr="00F80032">
        <w:rPr>
          <w:rFonts w:ascii="Book Antiqua" w:hAnsi="Book Antiqua" w:cs="Times New Roman"/>
          <w:b/>
          <w:color w:val="000000"/>
          <w:sz w:val="24"/>
          <w:szCs w:val="24"/>
        </w:rPr>
        <w:t xml:space="preserve">double negative </w:t>
      </w:r>
      <w:r w:rsidRPr="00F80032">
        <w:rPr>
          <w:rFonts w:ascii="Book Antiqua" w:hAnsi="Book Antiqua" w:cs="Times New Roman"/>
          <w:b/>
          <w:color w:val="000000"/>
          <w:sz w:val="24"/>
          <w:szCs w:val="24"/>
        </w:rPr>
        <w:t xml:space="preserve">patients versus patients with adequate </w:t>
      </w:r>
      <w:r w:rsidR="00F80032" w:rsidRPr="00F80032">
        <w:rPr>
          <w:rFonts w:ascii="Book Antiqua" w:hAnsi="Book Antiqua" w:cs="Times New Roman"/>
          <w:b/>
          <w:color w:val="000000"/>
          <w:sz w:val="24"/>
          <w:szCs w:val="24"/>
        </w:rPr>
        <w:t xml:space="preserve">infliximab </w:t>
      </w:r>
      <w:r w:rsidRPr="00F80032">
        <w:rPr>
          <w:rFonts w:ascii="Book Antiqua" w:hAnsi="Book Antiqua" w:cs="Times New Roman"/>
          <w:b/>
          <w:color w:val="000000"/>
          <w:sz w:val="24"/>
          <w:szCs w:val="24"/>
        </w:rPr>
        <w:t xml:space="preserve">levels for subsequent </w:t>
      </w:r>
      <w:r w:rsidR="00F80032" w:rsidRPr="00F80032">
        <w:rPr>
          <w:rFonts w:ascii="Book Antiqua" w:hAnsi="Book Antiqua" w:cs="Times New Roman"/>
          <w:b/>
          <w:color w:val="000000"/>
          <w:sz w:val="24"/>
          <w:szCs w:val="24"/>
        </w:rPr>
        <w:t xml:space="preserve">antibodies to infliximab </w:t>
      </w:r>
      <w:r w:rsidRPr="00F80032">
        <w:rPr>
          <w:rFonts w:ascii="Book Antiqua" w:hAnsi="Book Antiqua" w:cs="Times New Roman"/>
          <w:b/>
          <w:color w:val="000000"/>
          <w:sz w:val="24"/>
          <w:szCs w:val="24"/>
        </w:rPr>
        <w:t>formation and clinical outcome.</w:t>
      </w:r>
      <w:r w:rsidR="00D06F40" w:rsidRPr="00F80032">
        <w:rPr>
          <w:rFonts w:ascii="Book Antiqua" w:hAnsi="Book Antiqua" w:cs="Times New Roman"/>
          <w:b/>
          <w:color w:val="000000"/>
          <w:sz w:val="24"/>
          <w:szCs w:val="24"/>
        </w:rPr>
        <w:t xml:space="preserve"> </w:t>
      </w:r>
      <w:r w:rsidR="00D06F40" w:rsidRPr="00F80032">
        <w:rPr>
          <w:rFonts w:ascii="Book Antiqua" w:hAnsi="Book Antiqua" w:cs="Times New Roman"/>
          <w:color w:val="000000"/>
          <w:sz w:val="24"/>
          <w:szCs w:val="24"/>
        </w:rPr>
        <w:t>DN</w:t>
      </w:r>
      <w:r w:rsidR="00F80032" w:rsidRPr="00F80032">
        <w:rPr>
          <w:rFonts w:ascii="Book Antiqua" w:hAnsi="Book Antiqua" w:cs="Times New Roman" w:hint="eastAsia"/>
          <w:color w:val="000000"/>
          <w:sz w:val="24"/>
          <w:szCs w:val="24"/>
          <w:lang w:eastAsia="zh-CN"/>
        </w:rPr>
        <w:t xml:space="preserve">: </w:t>
      </w:r>
      <w:r w:rsidR="00F80032" w:rsidRPr="00F80032">
        <w:rPr>
          <w:rFonts w:ascii="Book Antiqua" w:hAnsi="Book Antiqua" w:cs="Times New Roman"/>
          <w:color w:val="000000"/>
          <w:sz w:val="24"/>
          <w:szCs w:val="24"/>
        </w:rPr>
        <w:t xml:space="preserve">Double </w:t>
      </w:r>
      <w:r w:rsidR="00D06F40" w:rsidRPr="00F80032">
        <w:rPr>
          <w:rFonts w:ascii="Book Antiqua" w:hAnsi="Book Antiqua" w:cs="Times New Roman"/>
          <w:color w:val="000000"/>
          <w:sz w:val="24"/>
          <w:szCs w:val="24"/>
        </w:rPr>
        <w:t>negative</w:t>
      </w:r>
      <w:r w:rsidR="00F80032" w:rsidRPr="00F80032">
        <w:rPr>
          <w:rFonts w:ascii="Book Antiqua" w:hAnsi="Book Antiqua" w:cs="Times New Roman" w:hint="eastAsia"/>
          <w:color w:val="000000"/>
          <w:sz w:val="24"/>
          <w:szCs w:val="24"/>
          <w:lang w:eastAsia="zh-CN"/>
        </w:rPr>
        <w:t>;</w:t>
      </w:r>
      <w:r w:rsidR="00D06F40" w:rsidRPr="00F80032">
        <w:rPr>
          <w:rFonts w:ascii="Book Antiqua" w:hAnsi="Book Antiqua" w:cs="Times New Roman"/>
          <w:color w:val="000000"/>
          <w:sz w:val="24"/>
          <w:szCs w:val="24"/>
        </w:rPr>
        <w:t xml:space="preserve"> LOR</w:t>
      </w:r>
      <w:r w:rsidR="00F80032" w:rsidRPr="00F80032">
        <w:rPr>
          <w:rFonts w:ascii="Book Antiqua" w:hAnsi="Book Antiqua" w:cs="Times New Roman" w:hint="eastAsia"/>
          <w:color w:val="000000"/>
          <w:sz w:val="24"/>
          <w:szCs w:val="24"/>
          <w:lang w:eastAsia="zh-CN"/>
        </w:rPr>
        <w:t>:</w:t>
      </w:r>
      <w:r w:rsidR="00D06F40" w:rsidRPr="00F80032">
        <w:rPr>
          <w:rFonts w:ascii="Book Antiqua" w:hAnsi="Book Antiqua" w:cs="Times New Roman"/>
          <w:color w:val="000000"/>
          <w:sz w:val="24"/>
          <w:szCs w:val="24"/>
        </w:rPr>
        <w:t xml:space="preserve"> </w:t>
      </w:r>
      <w:r w:rsidR="00F80032" w:rsidRPr="00F80032">
        <w:rPr>
          <w:rFonts w:ascii="Book Antiqua" w:hAnsi="Book Antiqua" w:cs="Times New Roman"/>
          <w:color w:val="000000"/>
          <w:sz w:val="24"/>
          <w:szCs w:val="24"/>
        </w:rPr>
        <w:t xml:space="preserve">Loss </w:t>
      </w:r>
      <w:r w:rsidR="00D06F40" w:rsidRPr="00F80032">
        <w:rPr>
          <w:rFonts w:ascii="Book Antiqua" w:hAnsi="Book Antiqua" w:cs="Times New Roman"/>
          <w:color w:val="000000"/>
          <w:sz w:val="24"/>
          <w:szCs w:val="24"/>
        </w:rPr>
        <w:t>of response</w:t>
      </w:r>
      <w:r w:rsidR="00F80032" w:rsidRPr="00F80032">
        <w:rPr>
          <w:rFonts w:ascii="Book Antiqua" w:hAnsi="Book Antiqua" w:cs="Times New Roman" w:hint="eastAsia"/>
          <w:color w:val="000000"/>
          <w:sz w:val="24"/>
          <w:szCs w:val="24"/>
          <w:lang w:eastAsia="zh-CN"/>
        </w:rPr>
        <w:t>;</w:t>
      </w:r>
      <w:r w:rsidR="00D06F40" w:rsidRPr="00F80032">
        <w:rPr>
          <w:rFonts w:ascii="Book Antiqua" w:hAnsi="Book Antiqua" w:cs="Times New Roman"/>
          <w:color w:val="000000"/>
          <w:sz w:val="24"/>
          <w:szCs w:val="24"/>
        </w:rPr>
        <w:t xml:space="preserve"> AL</w:t>
      </w:r>
      <w:r w:rsidR="00F80032" w:rsidRPr="00F80032">
        <w:rPr>
          <w:rFonts w:ascii="Book Antiqua" w:hAnsi="Book Antiqua" w:cs="Times New Roman" w:hint="eastAsia"/>
          <w:color w:val="000000"/>
          <w:sz w:val="24"/>
          <w:szCs w:val="24"/>
          <w:lang w:eastAsia="zh-CN"/>
        </w:rPr>
        <w:t>:</w:t>
      </w:r>
      <w:r w:rsidR="00D06F40" w:rsidRPr="00F80032">
        <w:rPr>
          <w:rFonts w:ascii="Book Antiqua" w:hAnsi="Book Antiqua" w:cs="Times New Roman"/>
          <w:color w:val="000000"/>
          <w:sz w:val="24"/>
          <w:szCs w:val="24"/>
        </w:rPr>
        <w:t xml:space="preserve"> </w:t>
      </w:r>
      <w:r w:rsidR="00F80032" w:rsidRPr="00F80032">
        <w:rPr>
          <w:rFonts w:ascii="Book Antiqua" w:hAnsi="Book Antiqua" w:cs="Times New Roman"/>
          <w:color w:val="000000"/>
          <w:sz w:val="24"/>
          <w:szCs w:val="24"/>
        </w:rPr>
        <w:t>Anti</w:t>
      </w:r>
      <w:r w:rsidR="00D06F40" w:rsidRPr="00F80032">
        <w:rPr>
          <w:rFonts w:ascii="Book Antiqua" w:hAnsi="Book Antiqua" w:cs="Times New Roman"/>
          <w:color w:val="000000"/>
          <w:sz w:val="24"/>
          <w:szCs w:val="24"/>
        </w:rPr>
        <w:t>-lambda</w:t>
      </w:r>
      <w:r w:rsidR="00F80032" w:rsidRPr="00F80032">
        <w:rPr>
          <w:rFonts w:ascii="Book Antiqua" w:hAnsi="Book Antiqua" w:cs="Times New Roman" w:hint="eastAsia"/>
          <w:color w:val="000000"/>
          <w:sz w:val="24"/>
          <w:szCs w:val="24"/>
          <w:lang w:eastAsia="zh-CN"/>
        </w:rPr>
        <w:t>;</w:t>
      </w:r>
      <w:r w:rsidR="00D06F40" w:rsidRPr="00F80032">
        <w:rPr>
          <w:rFonts w:ascii="Book Antiqua" w:hAnsi="Book Antiqua" w:cs="Times New Roman"/>
          <w:color w:val="000000"/>
          <w:sz w:val="24"/>
          <w:szCs w:val="24"/>
        </w:rPr>
        <w:t xml:space="preserve"> DA</w:t>
      </w:r>
      <w:r w:rsidR="00F80032" w:rsidRPr="00F80032">
        <w:rPr>
          <w:rFonts w:ascii="Book Antiqua" w:hAnsi="Book Antiqua" w:cs="Times New Roman" w:hint="eastAsia"/>
          <w:color w:val="000000"/>
          <w:sz w:val="24"/>
          <w:szCs w:val="24"/>
          <w:lang w:eastAsia="zh-CN"/>
        </w:rPr>
        <w:t>:</w:t>
      </w:r>
      <w:r w:rsidR="00D06F40" w:rsidRPr="00F80032">
        <w:rPr>
          <w:rFonts w:ascii="Book Antiqua" w:hAnsi="Book Antiqua" w:cs="Times New Roman"/>
          <w:color w:val="000000"/>
          <w:sz w:val="24"/>
          <w:szCs w:val="24"/>
        </w:rPr>
        <w:t xml:space="preserve"> </w:t>
      </w:r>
      <w:r w:rsidR="00F80032" w:rsidRPr="00F80032">
        <w:rPr>
          <w:rFonts w:ascii="Book Antiqua" w:hAnsi="Book Antiqua" w:cs="Times New Roman"/>
          <w:color w:val="000000"/>
          <w:sz w:val="24"/>
          <w:szCs w:val="24"/>
        </w:rPr>
        <w:t>Double</w:t>
      </w:r>
      <w:r w:rsidR="00D06F40" w:rsidRPr="00F80032">
        <w:rPr>
          <w:rFonts w:ascii="Book Antiqua" w:hAnsi="Book Antiqua" w:cs="Times New Roman"/>
          <w:color w:val="000000"/>
          <w:sz w:val="24"/>
          <w:szCs w:val="24"/>
        </w:rPr>
        <w:t>-antigen</w:t>
      </w:r>
      <w:r w:rsidR="00F80032" w:rsidRPr="00F80032">
        <w:rPr>
          <w:rFonts w:ascii="Book Antiqua" w:hAnsi="Book Antiqua" w:cs="Times New Roman" w:hint="eastAsia"/>
          <w:color w:val="000000"/>
          <w:sz w:val="24"/>
          <w:szCs w:val="24"/>
          <w:lang w:eastAsia="zh-CN"/>
        </w:rPr>
        <w:t xml:space="preserve">; </w:t>
      </w:r>
      <w:r w:rsidR="00D06F40" w:rsidRPr="00F80032">
        <w:rPr>
          <w:rFonts w:ascii="Book Antiqua" w:hAnsi="Book Antiqua" w:cs="Times New Roman"/>
          <w:color w:val="000000"/>
          <w:sz w:val="24"/>
          <w:szCs w:val="24"/>
        </w:rPr>
        <w:t>IFX</w:t>
      </w:r>
      <w:r w:rsidR="00F80032" w:rsidRPr="00F80032">
        <w:rPr>
          <w:rFonts w:ascii="Book Antiqua" w:hAnsi="Book Antiqua" w:cs="Times New Roman" w:hint="eastAsia"/>
          <w:color w:val="000000"/>
          <w:sz w:val="24"/>
          <w:szCs w:val="24"/>
          <w:lang w:eastAsia="zh-CN"/>
        </w:rPr>
        <w:t>:</w:t>
      </w:r>
      <w:r w:rsidR="00D06F40" w:rsidRPr="00F80032">
        <w:rPr>
          <w:rFonts w:ascii="Book Antiqua" w:hAnsi="Book Antiqua" w:cs="Times New Roman"/>
          <w:color w:val="000000"/>
          <w:sz w:val="24"/>
          <w:szCs w:val="24"/>
        </w:rPr>
        <w:t xml:space="preserve"> </w:t>
      </w:r>
      <w:r w:rsidR="00F80032" w:rsidRPr="00F80032">
        <w:rPr>
          <w:rFonts w:ascii="Book Antiqua" w:hAnsi="Book Antiqua" w:cs="Times New Roman"/>
          <w:color w:val="000000"/>
          <w:sz w:val="24"/>
          <w:szCs w:val="24"/>
        </w:rPr>
        <w:t>Infliximab</w:t>
      </w:r>
      <w:r w:rsidR="00F80032" w:rsidRPr="00F80032">
        <w:rPr>
          <w:rFonts w:ascii="Book Antiqua" w:hAnsi="Book Antiqua" w:cs="Times New Roman" w:hint="eastAsia"/>
          <w:color w:val="000000"/>
          <w:sz w:val="24"/>
          <w:szCs w:val="24"/>
          <w:lang w:eastAsia="zh-CN"/>
        </w:rPr>
        <w:t>;</w:t>
      </w:r>
      <w:r w:rsidR="00D06F40" w:rsidRPr="00F80032">
        <w:rPr>
          <w:rFonts w:ascii="Book Antiqua" w:hAnsi="Book Antiqua" w:cs="Times New Roman"/>
          <w:color w:val="000000"/>
          <w:sz w:val="24"/>
          <w:szCs w:val="24"/>
        </w:rPr>
        <w:t xml:space="preserve"> ATI</w:t>
      </w:r>
      <w:r w:rsidR="00F80032" w:rsidRPr="00F80032">
        <w:rPr>
          <w:rFonts w:ascii="Book Antiqua" w:hAnsi="Book Antiqua" w:cs="Times New Roman" w:hint="eastAsia"/>
          <w:color w:val="000000"/>
          <w:sz w:val="24"/>
          <w:szCs w:val="24"/>
          <w:lang w:eastAsia="zh-CN"/>
        </w:rPr>
        <w:t>:</w:t>
      </w:r>
      <w:r w:rsidR="00F80032" w:rsidRPr="00F80032">
        <w:rPr>
          <w:rFonts w:ascii="Book Antiqua" w:hAnsi="Book Antiqua" w:cs="Times New Roman"/>
          <w:color w:val="000000"/>
          <w:sz w:val="24"/>
          <w:szCs w:val="24"/>
        </w:rPr>
        <w:t xml:space="preserve"> Antibodies to infliximab</w:t>
      </w:r>
      <w:r w:rsidR="00F80032" w:rsidRPr="00F80032">
        <w:rPr>
          <w:rFonts w:ascii="Book Antiqua" w:hAnsi="Book Antiqua" w:cs="Times New Roman" w:hint="eastAsia"/>
          <w:color w:val="000000"/>
          <w:sz w:val="24"/>
          <w:szCs w:val="24"/>
          <w:lang w:eastAsia="zh-CN"/>
        </w:rPr>
        <w:t>.</w:t>
      </w:r>
    </w:p>
    <w:p w:rsidR="00F80032" w:rsidRDefault="00F80032" w:rsidP="004F172A">
      <w:pPr>
        <w:adjustRightInd w:val="0"/>
        <w:snapToGrid w:val="0"/>
        <w:spacing w:after="0" w:line="360" w:lineRule="auto"/>
        <w:jc w:val="both"/>
        <w:rPr>
          <w:rFonts w:ascii="Book Antiqua" w:hAnsi="Book Antiqua" w:cs="Times New Roman"/>
          <w:color w:val="000000"/>
          <w:sz w:val="24"/>
          <w:szCs w:val="24"/>
          <w:lang w:eastAsia="zh-CN"/>
        </w:rPr>
      </w:pPr>
    </w:p>
    <w:p w:rsidR="00F80032" w:rsidRPr="00F80032" w:rsidRDefault="00F80032" w:rsidP="004F172A">
      <w:pPr>
        <w:adjustRightInd w:val="0"/>
        <w:snapToGrid w:val="0"/>
        <w:spacing w:after="0" w:line="360" w:lineRule="auto"/>
        <w:jc w:val="both"/>
        <w:rPr>
          <w:rFonts w:ascii="Book Antiqua" w:hAnsi="Book Antiqua" w:cs="Times New Roman"/>
          <w:color w:val="000000"/>
          <w:sz w:val="24"/>
          <w:szCs w:val="24"/>
          <w:lang w:eastAsia="zh-CN"/>
        </w:rPr>
      </w:pPr>
      <w:r>
        <w:rPr>
          <w:noProof/>
          <w:lang w:eastAsia="zh-CN" w:bidi="ar-SA"/>
        </w:rPr>
        <w:drawing>
          <wp:inline distT="0" distB="0" distL="0" distR="0" wp14:anchorId="7D6B3250" wp14:editId="147615A9">
            <wp:extent cx="1559859" cy="1034851"/>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561143" cy="1035703"/>
                    </a:xfrm>
                    <a:prstGeom prst="rect">
                      <a:avLst/>
                    </a:prstGeom>
                  </pic:spPr>
                </pic:pic>
              </a:graphicData>
            </a:graphic>
          </wp:inline>
        </w:drawing>
      </w:r>
    </w:p>
    <w:p w:rsidR="00F80032" w:rsidRDefault="00D06F40" w:rsidP="004F172A">
      <w:pPr>
        <w:adjustRightInd w:val="0"/>
        <w:snapToGrid w:val="0"/>
        <w:spacing w:after="0" w:line="360" w:lineRule="auto"/>
        <w:jc w:val="both"/>
        <w:rPr>
          <w:rFonts w:ascii="Book Antiqua" w:hAnsi="Book Antiqua" w:cs="Times New Roman"/>
          <w:color w:val="000000"/>
          <w:sz w:val="24"/>
          <w:szCs w:val="24"/>
          <w:lang w:eastAsia="zh-CN"/>
        </w:rPr>
      </w:pPr>
      <w:r w:rsidRPr="00F80032">
        <w:rPr>
          <w:rFonts w:ascii="Book Antiqua" w:hAnsi="Book Antiqua" w:cs="Times New Roman"/>
          <w:b/>
          <w:bCs/>
          <w:color w:val="000000"/>
          <w:sz w:val="24"/>
          <w:szCs w:val="24"/>
        </w:rPr>
        <w:t xml:space="preserve">Figure 2 </w:t>
      </w:r>
      <w:r w:rsidRPr="00F80032">
        <w:rPr>
          <w:rFonts w:ascii="Book Antiqua" w:hAnsi="Book Antiqua" w:cs="Times New Roman"/>
          <w:b/>
          <w:color w:val="000000"/>
          <w:sz w:val="24"/>
          <w:szCs w:val="24"/>
        </w:rPr>
        <w:t xml:space="preserve">Out of 67 patients with </w:t>
      </w:r>
      <w:r w:rsidR="00F80032" w:rsidRPr="00F80032">
        <w:rPr>
          <w:rFonts w:ascii="Book Antiqua" w:hAnsi="Book Antiqua" w:cs="Times New Roman"/>
          <w:b/>
          <w:color w:val="000000"/>
          <w:sz w:val="24"/>
          <w:szCs w:val="24"/>
        </w:rPr>
        <w:t>loss of response</w:t>
      </w:r>
      <w:r w:rsidRPr="00F80032">
        <w:rPr>
          <w:rFonts w:ascii="Book Antiqua" w:hAnsi="Book Antiqua" w:cs="Times New Roman"/>
          <w:b/>
          <w:color w:val="000000"/>
          <w:sz w:val="24"/>
          <w:szCs w:val="24"/>
        </w:rPr>
        <w:t xml:space="preserve">, 27 (40%) were </w:t>
      </w:r>
      <w:r w:rsidR="00F80032" w:rsidRPr="00F80032">
        <w:rPr>
          <w:rFonts w:ascii="Book Antiqua" w:hAnsi="Book Antiqua" w:cs="Times New Roman"/>
          <w:b/>
          <w:color w:val="000000"/>
          <w:sz w:val="24"/>
          <w:szCs w:val="24"/>
        </w:rPr>
        <w:t xml:space="preserve">double negative </w:t>
      </w:r>
      <w:r w:rsidRPr="00F80032">
        <w:rPr>
          <w:rFonts w:ascii="Book Antiqua" w:hAnsi="Book Antiqua" w:cs="Times New Roman"/>
          <w:b/>
          <w:color w:val="000000"/>
          <w:sz w:val="24"/>
          <w:szCs w:val="24"/>
        </w:rPr>
        <w:t xml:space="preserve">with double antigen ELISA. </w:t>
      </w:r>
      <w:r w:rsidRPr="00F80032">
        <w:rPr>
          <w:rFonts w:ascii="Book Antiqua" w:hAnsi="Book Antiqua" w:cs="Times New Roman"/>
          <w:color w:val="000000"/>
          <w:sz w:val="24"/>
          <w:szCs w:val="24"/>
        </w:rPr>
        <w:t>Of those, only 6 (9%) we</w:t>
      </w:r>
      <w:r w:rsidR="00BB2C89" w:rsidRPr="00F80032">
        <w:rPr>
          <w:rFonts w:ascii="Book Antiqua" w:hAnsi="Book Antiqua"/>
          <w:noProof/>
          <w:sz w:val="24"/>
          <w:szCs w:val="24"/>
        </w:rPr>
        <w:t>re</w:t>
      </w:r>
      <w:r w:rsidRPr="00F80032">
        <w:rPr>
          <w:rFonts w:ascii="Book Antiqua" w:hAnsi="Book Antiqua" w:cs="Times New Roman"/>
          <w:color w:val="000000"/>
          <w:sz w:val="24"/>
          <w:szCs w:val="24"/>
        </w:rPr>
        <w:t xml:space="preserve"> DN using anti-lambda ELISA.</w:t>
      </w:r>
      <w:r w:rsidR="00F80032">
        <w:rPr>
          <w:rFonts w:ascii="Book Antiqua" w:hAnsi="Book Antiqua" w:cs="Times New Roman" w:hint="eastAsia"/>
          <w:color w:val="000000"/>
          <w:sz w:val="24"/>
          <w:szCs w:val="24"/>
          <w:lang w:eastAsia="zh-CN"/>
        </w:rPr>
        <w:t xml:space="preserve"> </w:t>
      </w:r>
      <w:r w:rsidRPr="00F80032">
        <w:rPr>
          <w:rFonts w:ascii="Book Antiqua" w:hAnsi="Book Antiqua" w:cs="Times New Roman"/>
          <w:color w:val="000000"/>
          <w:sz w:val="24"/>
          <w:szCs w:val="24"/>
        </w:rPr>
        <w:t>LOR</w:t>
      </w:r>
      <w:r w:rsidR="00F80032">
        <w:rPr>
          <w:rFonts w:ascii="Book Antiqua" w:hAnsi="Book Antiqua" w:cs="Times New Roman" w:hint="eastAsia"/>
          <w:color w:val="000000"/>
          <w:sz w:val="24"/>
          <w:szCs w:val="24"/>
          <w:lang w:eastAsia="zh-CN"/>
        </w:rPr>
        <w:t>:</w:t>
      </w:r>
      <w:r w:rsidRPr="00F80032">
        <w:rPr>
          <w:rFonts w:ascii="Book Antiqua" w:hAnsi="Book Antiqua" w:cs="Times New Roman"/>
          <w:color w:val="000000"/>
          <w:sz w:val="24"/>
          <w:szCs w:val="24"/>
        </w:rPr>
        <w:t xml:space="preserve"> </w:t>
      </w:r>
      <w:r w:rsidR="00F80032" w:rsidRPr="00F80032">
        <w:rPr>
          <w:rFonts w:ascii="Book Antiqua" w:hAnsi="Book Antiqua" w:cs="Times New Roman"/>
          <w:color w:val="000000"/>
          <w:sz w:val="24"/>
          <w:szCs w:val="24"/>
        </w:rPr>
        <w:t xml:space="preserve">Loss </w:t>
      </w:r>
      <w:r w:rsidRPr="00F80032">
        <w:rPr>
          <w:rFonts w:ascii="Book Antiqua" w:hAnsi="Book Antiqua" w:cs="Times New Roman"/>
          <w:color w:val="000000"/>
          <w:sz w:val="24"/>
          <w:szCs w:val="24"/>
        </w:rPr>
        <w:t>of response</w:t>
      </w:r>
      <w:r w:rsidR="00F80032">
        <w:rPr>
          <w:rFonts w:ascii="Book Antiqua" w:hAnsi="Book Antiqua" w:cs="Times New Roman" w:hint="eastAsia"/>
          <w:color w:val="000000"/>
          <w:sz w:val="24"/>
          <w:szCs w:val="24"/>
          <w:lang w:eastAsia="zh-CN"/>
        </w:rPr>
        <w:t>;</w:t>
      </w:r>
      <w:r w:rsidRPr="00F80032">
        <w:rPr>
          <w:rFonts w:ascii="Book Antiqua" w:hAnsi="Book Antiqua" w:cs="Times New Roman"/>
          <w:color w:val="000000"/>
          <w:sz w:val="24"/>
          <w:szCs w:val="24"/>
        </w:rPr>
        <w:t xml:space="preserve"> DN</w:t>
      </w:r>
      <w:r w:rsidR="00F80032">
        <w:rPr>
          <w:rFonts w:ascii="Book Antiqua" w:hAnsi="Book Antiqua" w:cs="Times New Roman" w:hint="eastAsia"/>
          <w:color w:val="000000"/>
          <w:sz w:val="24"/>
          <w:szCs w:val="24"/>
          <w:lang w:eastAsia="zh-CN"/>
        </w:rPr>
        <w:t>:</w:t>
      </w:r>
      <w:r w:rsidRPr="00F80032">
        <w:rPr>
          <w:rFonts w:ascii="Book Antiqua" w:hAnsi="Book Antiqua" w:cs="Times New Roman"/>
          <w:color w:val="000000"/>
          <w:sz w:val="24"/>
          <w:szCs w:val="24"/>
        </w:rPr>
        <w:t xml:space="preserve"> </w:t>
      </w:r>
      <w:r w:rsidR="00F80032" w:rsidRPr="00F80032">
        <w:rPr>
          <w:rFonts w:ascii="Book Antiqua" w:hAnsi="Book Antiqua" w:cs="Times New Roman"/>
          <w:color w:val="000000"/>
          <w:sz w:val="24"/>
          <w:szCs w:val="24"/>
        </w:rPr>
        <w:t xml:space="preserve">Double </w:t>
      </w:r>
      <w:r w:rsidRPr="00F80032">
        <w:rPr>
          <w:rFonts w:ascii="Book Antiqua" w:hAnsi="Book Antiqua" w:cs="Times New Roman"/>
          <w:color w:val="000000"/>
          <w:sz w:val="24"/>
          <w:szCs w:val="24"/>
        </w:rPr>
        <w:t>negative</w:t>
      </w:r>
      <w:r w:rsidR="00F80032">
        <w:rPr>
          <w:rFonts w:ascii="Book Antiqua" w:hAnsi="Book Antiqua" w:cs="Times New Roman" w:hint="eastAsia"/>
          <w:color w:val="000000"/>
          <w:sz w:val="24"/>
          <w:szCs w:val="24"/>
          <w:lang w:eastAsia="zh-CN"/>
        </w:rPr>
        <w:t>;</w:t>
      </w:r>
      <w:r w:rsidRPr="00F80032">
        <w:rPr>
          <w:rFonts w:ascii="Book Antiqua" w:hAnsi="Book Antiqua" w:cs="Times New Roman"/>
          <w:color w:val="000000"/>
          <w:sz w:val="24"/>
          <w:szCs w:val="24"/>
        </w:rPr>
        <w:t xml:space="preserve"> IFX</w:t>
      </w:r>
      <w:r w:rsidR="00F80032">
        <w:rPr>
          <w:rFonts w:ascii="Book Antiqua" w:hAnsi="Book Antiqua" w:cs="Times New Roman" w:hint="eastAsia"/>
          <w:color w:val="000000"/>
          <w:sz w:val="24"/>
          <w:szCs w:val="24"/>
          <w:lang w:eastAsia="zh-CN"/>
        </w:rPr>
        <w:t>:</w:t>
      </w:r>
      <w:r w:rsidRPr="00F80032">
        <w:rPr>
          <w:rFonts w:ascii="Book Antiqua" w:hAnsi="Book Antiqua" w:cs="Times New Roman"/>
          <w:color w:val="000000"/>
          <w:sz w:val="24"/>
          <w:szCs w:val="24"/>
        </w:rPr>
        <w:t xml:space="preserve"> </w:t>
      </w:r>
      <w:r w:rsidR="00F80032" w:rsidRPr="00F80032">
        <w:rPr>
          <w:rFonts w:ascii="Book Antiqua" w:hAnsi="Book Antiqua" w:cs="Times New Roman"/>
          <w:color w:val="000000"/>
          <w:sz w:val="24"/>
          <w:szCs w:val="24"/>
        </w:rPr>
        <w:t>Infliximab</w:t>
      </w:r>
      <w:r w:rsidR="00F80032">
        <w:rPr>
          <w:rFonts w:ascii="Book Antiqua" w:hAnsi="Book Antiqua" w:cs="Times New Roman" w:hint="eastAsia"/>
          <w:color w:val="000000"/>
          <w:sz w:val="24"/>
          <w:szCs w:val="24"/>
          <w:lang w:eastAsia="zh-CN"/>
        </w:rPr>
        <w:t>;</w:t>
      </w:r>
      <w:r w:rsidRPr="00F80032">
        <w:rPr>
          <w:rFonts w:ascii="Book Antiqua" w:hAnsi="Book Antiqua" w:cs="Times New Roman"/>
          <w:color w:val="000000"/>
          <w:sz w:val="24"/>
          <w:szCs w:val="24"/>
        </w:rPr>
        <w:t xml:space="preserve"> ATI</w:t>
      </w:r>
      <w:r w:rsidR="00F80032">
        <w:rPr>
          <w:rFonts w:ascii="Book Antiqua" w:hAnsi="Book Antiqua" w:cs="Times New Roman" w:hint="eastAsia"/>
          <w:color w:val="000000"/>
          <w:sz w:val="24"/>
          <w:szCs w:val="24"/>
          <w:lang w:eastAsia="zh-CN"/>
        </w:rPr>
        <w:t>:</w:t>
      </w:r>
      <w:r w:rsidRPr="00F80032">
        <w:rPr>
          <w:rFonts w:ascii="Book Antiqua" w:hAnsi="Book Antiqua" w:cs="Times New Roman"/>
          <w:color w:val="000000"/>
          <w:sz w:val="24"/>
          <w:szCs w:val="24"/>
        </w:rPr>
        <w:t xml:space="preserve"> </w:t>
      </w:r>
      <w:r w:rsidR="00F80032" w:rsidRPr="00F80032">
        <w:rPr>
          <w:rFonts w:ascii="Book Antiqua" w:hAnsi="Book Antiqua" w:cs="Times New Roman"/>
          <w:color w:val="000000"/>
          <w:sz w:val="24"/>
          <w:szCs w:val="24"/>
        </w:rPr>
        <w:t xml:space="preserve">Antibodies </w:t>
      </w:r>
      <w:r w:rsidRPr="00F80032">
        <w:rPr>
          <w:rFonts w:ascii="Book Antiqua" w:hAnsi="Book Antiqua" w:cs="Times New Roman"/>
          <w:color w:val="000000"/>
          <w:sz w:val="24"/>
          <w:szCs w:val="24"/>
        </w:rPr>
        <w:t>to infliximab</w:t>
      </w:r>
      <w:r w:rsidR="00F80032">
        <w:rPr>
          <w:rFonts w:ascii="Book Antiqua" w:hAnsi="Book Antiqua" w:cs="Times New Roman" w:hint="eastAsia"/>
          <w:color w:val="000000"/>
          <w:sz w:val="24"/>
          <w:szCs w:val="24"/>
          <w:lang w:eastAsia="zh-CN"/>
        </w:rPr>
        <w:t>.</w:t>
      </w:r>
    </w:p>
    <w:p w:rsidR="0027702C" w:rsidRDefault="0027702C" w:rsidP="004F172A">
      <w:pPr>
        <w:adjustRightInd w:val="0"/>
        <w:snapToGrid w:val="0"/>
        <w:spacing w:after="0" w:line="360" w:lineRule="auto"/>
        <w:jc w:val="both"/>
        <w:rPr>
          <w:rFonts w:ascii="Book Antiqua" w:hAnsi="Book Antiqua" w:cs="Times New Roman"/>
          <w:b/>
          <w:bCs/>
          <w:color w:val="000000"/>
          <w:sz w:val="24"/>
          <w:szCs w:val="24"/>
          <w:lang w:eastAsia="zh-CN"/>
        </w:rPr>
      </w:pPr>
    </w:p>
    <w:p w:rsidR="00F17513" w:rsidRPr="00D06409" w:rsidRDefault="00D06409" w:rsidP="004F172A">
      <w:pPr>
        <w:adjustRightInd w:val="0"/>
        <w:snapToGrid w:val="0"/>
        <w:spacing w:after="0" w:line="360" w:lineRule="auto"/>
        <w:jc w:val="both"/>
        <w:rPr>
          <w:rFonts w:ascii="Book Antiqua" w:hAnsi="Book Antiqua" w:cs="Times New Roman"/>
          <w:bCs/>
          <w:color w:val="000000"/>
          <w:sz w:val="24"/>
          <w:szCs w:val="24"/>
          <w:lang w:eastAsia="zh-CN"/>
        </w:rPr>
      </w:pPr>
      <w:r w:rsidRPr="00D06409">
        <w:rPr>
          <w:noProof/>
          <w:lang w:eastAsia="zh-CN" w:bidi="ar-SA"/>
        </w:rPr>
        <w:drawing>
          <wp:inline distT="0" distB="0" distL="0" distR="0" wp14:anchorId="1129ABC5" wp14:editId="06AF60F6">
            <wp:extent cx="929375" cy="584947"/>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929915" cy="585287"/>
                    </a:xfrm>
                    <a:prstGeom prst="rect">
                      <a:avLst/>
                    </a:prstGeom>
                  </pic:spPr>
                </pic:pic>
              </a:graphicData>
            </a:graphic>
          </wp:inline>
        </w:drawing>
      </w:r>
      <w:r w:rsidRPr="00D06409">
        <w:rPr>
          <w:rFonts w:ascii="Book Antiqua" w:hAnsi="Book Antiqua" w:cs="Times New Roman" w:hint="eastAsia"/>
          <w:bCs/>
          <w:color w:val="000000"/>
          <w:sz w:val="24"/>
          <w:szCs w:val="24"/>
          <w:lang w:eastAsia="zh-CN"/>
        </w:rPr>
        <w:t xml:space="preserve">  </w:t>
      </w:r>
      <w:r w:rsidRPr="00D06409">
        <w:rPr>
          <w:noProof/>
          <w:lang w:eastAsia="zh-CN" w:bidi="ar-SA"/>
        </w:rPr>
        <w:drawing>
          <wp:inline distT="0" distB="0" distL="0" distR="0" wp14:anchorId="11278048" wp14:editId="33710580">
            <wp:extent cx="941294" cy="58711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941845" cy="587453"/>
                    </a:xfrm>
                    <a:prstGeom prst="rect">
                      <a:avLst/>
                    </a:prstGeom>
                  </pic:spPr>
                </pic:pic>
              </a:graphicData>
            </a:graphic>
          </wp:inline>
        </w:drawing>
      </w:r>
    </w:p>
    <w:p w:rsidR="00D06409" w:rsidRPr="00D06409" w:rsidRDefault="00D06409" w:rsidP="004F172A">
      <w:pPr>
        <w:adjustRightInd w:val="0"/>
        <w:snapToGrid w:val="0"/>
        <w:spacing w:after="0" w:line="360" w:lineRule="auto"/>
        <w:jc w:val="both"/>
        <w:rPr>
          <w:rFonts w:ascii="Book Antiqua" w:hAnsi="Book Antiqua" w:cs="Times New Roman"/>
          <w:bCs/>
          <w:color w:val="000000"/>
          <w:sz w:val="24"/>
          <w:szCs w:val="24"/>
          <w:lang w:eastAsia="zh-CN"/>
        </w:rPr>
      </w:pPr>
      <w:r w:rsidRPr="00D06409">
        <w:rPr>
          <w:rFonts w:ascii="Book Antiqua" w:hAnsi="Book Antiqua" w:cs="Times New Roman" w:hint="eastAsia"/>
          <w:bCs/>
          <w:color w:val="000000"/>
          <w:sz w:val="24"/>
          <w:szCs w:val="24"/>
          <w:lang w:eastAsia="zh-CN"/>
        </w:rPr>
        <w:t>A                        B</w:t>
      </w:r>
    </w:p>
    <w:p w:rsidR="00327574" w:rsidRPr="00F80032" w:rsidRDefault="0027702C" w:rsidP="004F172A">
      <w:pPr>
        <w:adjustRightInd w:val="0"/>
        <w:snapToGrid w:val="0"/>
        <w:spacing w:after="0" w:line="360" w:lineRule="auto"/>
        <w:jc w:val="both"/>
        <w:rPr>
          <w:rFonts w:ascii="Book Antiqua" w:hAnsi="Book Antiqua" w:cs="Times New Roman"/>
          <w:color w:val="000000"/>
          <w:sz w:val="24"/>
          <w:szCs w:val="24"/>
          <w:rtl/>
          <w:lang w:eastAsia="zh-CN"/>
        </w:rPr>
      </w:pPr>
      <w:r>
        <w:rPr>
          <w:rFonts w:ascii="Book Antiqua" w:hAnsi="Book Antiqua" w:cs="Times New Roman" w:hint="eastAsia"/>
          <w:b/>
          <w:bCs/>
          <w:color w:val="000000"/>
          <w:sz w:val="24"/>
          <w:szCs w:val="24"/>
          <w:lang w:eastAsia="zh-CN"/>
        </w:rPr>
        <w:t xml:space="preserve">Figure 3 </w:t>
      </w:r>
      <w:proofErr w:type="gramStart"/>
      <w:r w:rsidRPr="00F17513">
        <w:rPr>
          <w:rFonts w:ascii="Book Antiqua" w:hAnsi="Book Antiqua" w:cs="Times New Roman"/>
          <w:b/>
          <w:sz w:val="24"/>
          <w:szCs w:val="24"/>
        </w:rPr>
        <w:t>To</w:t>
      </w:r>
      <w:proofErr w:type="gramEnd"/>
      <w:r w:rsidRPr="00F17513">
        <w:rPr>
          <w:rFonts w:ascii="Book Antiqua" w:hAnsi="Book Antiqua" w:cs="Times New Roman"/>
          <w:b/>
          <w:sz w:val="24"/>
          <w:szCs w:val="24"/>
        </w:rPr>
        <w:t xml:space="preserve"> examine whether some of these </w:t>
      </w:r>
      <w:r w:rsidR="00F17513" w:rsidRPr="00F17513">
        <w:rPr>
          <w:rFonts w:ascii="Book Antiqua" w:hAnsi="Book Antiqua" w:cs="Times New Roman"/>
          <w:b/>
          <w:color w:val="000000"/>
          <w:sz w:val="24"/>
          <w:szCs w:val="24"/>
        </w:rPr>
        <w:t>double negative</w:t>
      </w:r>
      <w:r w:rsidR="00F17513" w:rsidRPr="00F17513">
        <w:rPr>
          <w:rFonts w:ascii="Book Antiqua" w:hAnsi="Book Antiqua" w:cs="Times New Roman"/>
          <w:b/>
          <w:sz w:val="24"/>
          <w:szCs w:val="24"/>
        </w:rPr>
        <w:t xml:space="preserve"> </w:t>
      </w:r>
      <w:r w:rsidRPr="00F17513">
        <w:rPr>
          <w:rFonts w:ascii="Book Antiqua" w:hAnsi="Book Antiqua" w:cs="Times New Roman"/>
          <w:b/>
          <w:sz w:val="24"/>
          <w:szCs w:val="24"/>
        </w:rPr>
        <w:t xml:space="preserve">sera may in fact represent low-titer </w:t>
      </w:r>
      <w:r w:rsidR="00F17513" w:rsidRPr="00F17513">
        <w:rPr>
          <w:rFonts w:ascii="Book Antiqua" w:hAnsi="Book Antiqua" w:cs="Times New Roman"/>
          <w:b/>
          <w:color w:val="000000"/>
          <w:sz w:val="24"/>
          <w:szCs w:val="24"/>
        </w:rPr>
        <w:t>antibodies to infliximab</w:t>
      </w:r>
      <w:r w:rsidR="00F17513" w:rsidRPr="00F17513">
        <w:rPr>
          <w:rFonts w:ascii="Book Antiqua" w:hAnsi="Book Antiqua" w:cs="Times New Roman"/>
          <w:b/>
          <w:sz w:val="24"/>
          <w:szCs w:val="24"/>
        </w:rPr>
        <w:t xml:space="preserve"> or low level infliximab </w:t>
      </w:r>
      <w:r w:rsidRPr="00F17513">
        <w:rPr>
          <w:rFonts w:ascii="Book Antiqua" w:hAnsi="Book Antiqua" w:cs="Times New Roman"/>
          <w:b/>
          <w:sz w:val="24"/>
          <w:szCs w:val="24"/>
        </w:rPr>
        <w:t xml:space="preserve">we randomly selected 45 </w:t>
      </w:r>
      <w:r w:rsidR="00F17513" w:rsidRPr="00F17513">
        <w:rPr>
          <w:rFonts w:ascii="Book Antiqua" w:hAnsi="Book Antiqua" w:cs="Times New Roman"/>
          <w:b/>
          <w:sz w:val="24"/>
          <w:szCs w:val="24"/>
        </w:rPr>
        <w:t xml:space="preserve">double negative </w:t>
      </w:r>
      <w:r w:rsidRPr="00F17513">
        <w:rPr>
          <w:rFonts w:ascii="Book Antiqua" w:hAnsi="Book Antiqua" w:cs="Times New Roman"/>
          <w:b/>
          <w:sz w:val="24"/>
          <w:szCs w:val="24"/>
        </w:rPr>
        <w:t>sera and re-tested them at a 1:10 dilution to increase analytical sensitivity (compared to standard anti-lambda testing using 1:100 serum dilution).</w:t>
      </w:r>
      <w:r w:rsidRPr="00F17513">
        <w:rPr>
          <w:rFonts w:ascii="Book Antiqua" w:hAnsi="Book Antiqua" w:cs="Times New Roman" w:hint="eastAsia"/>
          <w:b/>
          <w:sz w:val="24"/>
          <w:szCs w:val="24"/>
          <w:lang w:eastAsia="zh-CN"/>
        </w:rPr>
        <w:t xml:space="preserve"> </w:t>
      </w:r>
      <w:r w:rsidRPr="0027702C">
        <w:rPr>
          <w:rFonts w:ascii="Book Antiqua" w:hAnsi="Book Antiqua" w:cs="Times New Roman" w:hint="eastAsia"/>
          <w:bCs/>
          <w:color w:val="000000"/>
          <w:sz w:val="24"/>
          <w:szCs w:val="24"/>
          <w:lang w:eastAsia="zh-CN"/>
        </w:rPr>
        <w:t>A:</w:t>
      </w:r>
      <w:r>
        <w:rPr>
          <w:rFonts w:ascii="Book Antiqua" w:hAnsi="Book Antiqua" w:cs="Times New Roman" w:hint="eastAsia"/>
          <w:b/>
          <w:bCs/>
          <w:color w:val="000000"/>
          <w:sz w:val="24"/>
          <w:szCs w:val="24"/>
          <w:lang w:eastAsia="zh-CN"/>
        </w:rPr>
        <w:t xml:space="preserve"> </w:t>
      </w:r>
      <w:r w:rsidRPr="00F80032">
        <w:rPr>
          <w:rFonts w:ascii="Book Antiqua" w:hAnsi="Book Antiqua" w:cs="Times New Roman"/>
          <w:color w:val="000000"/>
          <w:sz w:val="24"/>
          <w:szCs w:val="24"/>
        </w:rPr>
        <w:t>IFX</w:t>
      </w:r>
      <w:r>
        <w:rPr>
          <w:rFonts w:ascii="Book Antiqua" w:hAnsi="Book Antiqua" w:cs="Times New Roman" w:hint="eastAsia"/>
          <w:color w:val="000000"/>
          <w:sz w:val="24"/>
          <w:szCs w:val="24"/>
          <w:lang w:eastAsia="zh-CN"/>
        </w:rPr>
        <w:t xml:space="preserve"> </w:t>
      </w:r>
      <w:r w:rsidR="00327574" w:rsidRPr="00F80032">
        <w:rPr>
          <w:rFonts w:ascii="Book Antiqua" w:hAnsi="Book Antiqua" w:cs="Times New Roman"/>
          <w:color w:val="000000"/>
          <w:sz w:val="24"/>
          <w:szCs w:val="24"/>
        </w:rPr>
        <w:t xml:space="preserve">and </w:t>
      </w:r>
      <w:r w:rsidRPr="00F80032">
        <w:rPr>
          <w:rFonts w:ascii="Book Antiqua" w:hAnsi="Book Antiqua" w:cs="Times New Roman"/>
          <w:color w:val="000000"/>
          <w:sz w:val="24"/>
          <w:szCs w:val="24"/>
        </w:rPr>
        <w:t>ATI values of double negative</w:t>
      </w:r>
      <w:r w:rsidRPr="00F80032">
        <w:rPr>
          <w:rFonts w:ascii="Book Antiqua" w:hAnsi="Book Antiqua" w:cs="Times New Roman"/>
          <w:i/>
          <w:color w:val="000000"/>
          <w:sz w:val="24"/>
          <w:szCs w:val="24"/>
        </w:rPr>
        <w:t xml:space="preserve"> </w:t>
      </w:r>
      <w:r w:rsidR="00327574" w:rsidRPr="00F80032">
        <w:rPr>
          <w:rFonts w:ascii="Book Antiqua" w:hAnsi="Book Antiqua" w:cs="Times New Roman"/>
          <w:i/>
          <w:color w:val="000000"/>
          <w:sz w:val="24"/>
          <w:szCs w:val="24"/>
        </w:rPr>
        <w:t>vs</w:t>
      </w:r>
      <w:r w:rsidR="00327574" w:rsidRPr="00F80032">
        <w:rPr>
          <w:rFonts w:ascii="Book Antiqua" w:hAnsi="Book Antiqua" w:cs="Times New Roman"/>
          <w:color w:val="000000"/>
          <w:sz w:val="24"/>
          <w:szCs w:val="24"/>
        </w:rPr>
        <w:t xml:space="preserve"> healthy controls’ sera, analyzed at 1:100 dilution anti-lambda </w:t>
      </w:r>
      <w:r w:rsidR="00327574" w:rsidRPr="00F80032">
        <w:rPr>
          <w:rFonts w:ascii="Book Antiqua" w:hAnsi="Book Antiqua" w:cs="Times New Roman"/>
          <w:color w:val="000000"/>
          <w:sz w:val="24"/>
          <w:szCs w:val="24"/>
        </w:rPr>
        <w:lastRenderedPageBreak/>
        <w:t>ELISA. Cut off values for double negativity: IFX</w:t>
      </w:r>
      <w:r>
        <w:rPr>
          <w:rFonts w:ascii="Book Antiqua" w:hAnsi="Book Antiqua" w:cs="Times New Roman" w:hint="eastAsia"/>
          <w:color w:val="000000"/>
          <w:sz w:val="24"/>
          <w:szCs w:val="24"/>
          <w:lang w:eastAsia="zh-CN"/>
        </w:rPr>
        <w:t xml:space="preserve"> </w:t>
      </w:r>
      <w:r w:rsidR="00327574" w:rsidRPr="00F80032">
        <w:rPr>
          <w:rFonts w:ascii="Book Antiqua" w:hAnsi="Book Antiqua" w:cs="Times New Roman"/>
          <w:color w:val="000000"/>
          <w:sz w:val="24"/>
          <w:szCs w:val="24"/>
        </w:rPr>
        <w:t>&lt;</w:t>
      </w:r>
      <w:r>
        <w:rPr>
          <w:rFonts w:ascii="Book Antiqua" w:hAnsi="Book Antiqua" w:cs="Times New Roman" w:hint="eastAsia"/>
          <w:color w:val="000000"/>
          <w:sz w:val="24"/>
          <w:szCs w:val="24"/>
          <w:lang w:eastAsia="zh-CN"/>
        </w:rPr>
        <w:t xml:space="preserve"> </w:t>
      </w:r>
      <w:r w:rsidR="00327574" w:rsidRPr="00F80032">
        <w:rPr>
          <w:rFonts w:ascii="Book Antiqua" w:hAnsi="Book Antiqua" w:cs="Times New Roman"/>
          <w:color w:val="000000"/>
          <w:sz w:val="24"/>
          <w:szCs w:val="24"/>
        </w:rPr>
        <w:t>1 µg/m</w:t>
      </w:r>
      <w:r w:rsidR="00327574" w:rsidRPr="0027702C">
        <w:rPr>
          <w:rFonts w:ascii="Book Antiqua" w:hAnsi="Book Antiqua" w:cs="Times New Roman"/>
          <w:caps/>
          <w:color w:val="000000"/>
          <w:sz w:val="24"/>
          <w:szCs w:val="24"/>
        </w:rPr>
        <w:t>l</w:t>
      </w:r>
      <w:r w:rsidR="00327574" w:rsidRPr="00F80032">
        <w:rPr>
          <w:rFonts w:ascii="Book Antiqua" w:hAnsi="Book Antiqua" w:cs="Times New Roman"/>
          <w:color w:val="000000"/>
          <w:sz w:val="24"/>
          <w:szCs w:val="24"/>
        </w:rPr>
        <w:t>, ATI</w:t>
      </w:r>
      <w:r>
        <w:rPr>
          <w:rFonts w:ascii="Book Antiqua" w:hAnsi="Book Antiqua" w:cs="Times New Roman" w:hint="eastAsia"/>
          <w:color w:val="000000"/>
          <w:sz w:val="24"/>
          <w:szCs w:val="24"/>
          <w:lang w:eastAsia="zh-CN"/>
        </w:rPr>
        <w:t xml:space="preserve"> </w:t>
      </w:r>
      <w:r w:rsidR="00327574" w:rsidRPr="00F80032">
        <w:rPr>
          <w:rFonts w:ascii="Book Antiqua" w:hAnsi="Book Antiqua" w:cs="Times New Roman"/>
          <w:color w:val="000000"/>
          <w:sz w:val="24"/>
          <w:szCs w:val="24"/>
        </w:rPr>
        <w:t>&lt;</w:t>
      </w:r>
      <w:r>
        <w:rPr>
          <w:rFonts w:ascii="Book Antiqua" w:hAnsi="Book Antiqua" w:cs="Times New Roman" w:hint="eastAsia"/>
          <w:color w:val="000000"/>
          <w:sz w:val="24"/>
          <w:szCs w:val="24"/>
          <w:lang w:eastAsia="zh-CN"/>
        </w:rPr>
        <w:t xml:space="preserve"> </w:t>
      </w:r>
      <w:r w:rsidR="00327574" w:rsidRPr="00F80032">
        <w:rPr>
          <w:rFonts w:ascii="Book Antiqua" w:hAnsi="Book Antiqua" w:cs="Times New Roman"/>
          <w:color w:val="000000"/>
          <w:sz w:val="24"/>
          <w:szCs w:val="24"/>
        </w:rPr>
        <w:t>2.1 µg/m</w:t>
      </w:r>
      <w:r w:rsidR="00327574" w:rsidRPr="0027702C">
        <w:rPr>
          <w:rFonts w:ascii="Book Antiqua" w:hAnsi="Book Antiqua" w:cs="Times New Roman"/>
          <w:caps/>
          <w:color w:val="000000"/>
          <w:sz w:val="24"/>
          <w:szCs w:val="24"/>
        </w:rPr>
        <w:t>l</w:t>
      </w:r>
      <w:r>
        <w:rPr>
          <w:rFonts w:ascii="Book Antiqua" w:hAnsi="Book Antiqua" w:cs="Times New Roman"/>
          <w:color w:val="000000"/>
          <w:sz w:val="24"/>
          <w:szCs w:val="24"/>
        </w:rPr>
        <w:t>-eq</w:t>
      </w:r>
      <w:r>
        <w:rPr>
          <w:rFonts w:ascii="Book Antiqua" w:hAnsi="Book Antiqua" w:cs="Times New Roman" w:hint="eastAsia"/>
          <w:color w:val="000000"/>
          <w:sz w:val="24"/>
          <w:szCs w:val="24"/>
          <w:lang w:eastAsia="zh-CN"/>
        </w:rPr>
        <w:t xml:space="preserve">. </w:t>
      </w:r>
      <w:r w:rsidR="00327574" w:rsidRPr="00F80032">
        <w:rPr>
          <w:rFonts w:ascii="Book Antiqua" w:hAnsi="Book Antiqua" w:cs="Times New Roman"/>
          <w:color w:val="000000"/>
          <w:sz w:val="24"/>
          <w:szCs w:val="24"/>
        </w:rPr>
        <w:t>DN sera - black squares, healthy controls - gray circles</w:t>
      </w:r>
      <w:r>
        <w:rPr>
          <w:rFonts w:ascii="Book Antiqua" w:hAnsi="Book Antiqua" w:cs="Times New Roman" w:hint="eastAsia"/>
          <w:color w:val="000000"/>
          <w:sz w:val="24"/>
          <w:szCs w:val="24"/>
          <w:lang w:eastAsia="zh-CN"/>
        </w:rPr>
        <w:t xml:space="preserve">; B: </w:t>
      </w:r>
      <w:r w:rsidRPr="0027702C">
        <w:rPr>
          <w:rFonts w:ascii="Book Antiqua" w:hAnsi="Book Antiqua" w:cs="Times New Roman"/>
          <w:color w:val="000000"/>
          <w:sz w:val="24"/>
          <w:szCs w:val="24"/>
          <w:lang w:eastAsia="zh-CN"/>
        </w:rPr>
        <w:t>IFX and ATI values of sera DN on 1:100 dilution vs healthy controls analyzed at 1:10 dilution anti-lambda ELISA. Cut off values for double negativity: IF</w:t>
      </w:r>
      <w:r>
        <w:rPr>
          <w:rFonts w:ascii="Book Antiqua" w:hAnsi="Book Antiqua" w:cs="Times New Roman"/>
          <w:color w:val="000000"/>
          <w:sz w:val="24"/>
          <w:szCs w:val="24"/>
          <w:lang w:eastAsia="zh-CN"/>
        </w:rPr>
        <w:t>X</w:t>
      </w:r>
      <w:r>
        <w:rPr>
          <w:rFonts w:ascii="Book Antiqua" w:hAnsi="Book Antiqua" w:cs="Times New Roman" w:hint="eastAsia"/>
          <w:color w:val="000000"/>
          <w:sz w:val="24"/>
          <w:szCs w:val="24"/>
          <w:lang w:eastAsia="zh-CN"/>
        </w:rPr>
        <w:t xml:space="preserve"> </w:t>
      </w:r>
      <w:r>
        <w:rPr>
          <w:rFonts w:ascii="Book Antiqua" w:hAnsi="Book Antiqua" w:cs="Times New Roman"/>
          <w:color w:val="000000"/>
          <w:sz w:val="24"/>
          <w:szCs w:val="24"/>
          <w:lang w:eastAsia="zh-CN"/>
        </w:rPr>
        <w:t>&lt;</w:t>
      </w:r>
      <w:r>
        <w:rPr>
          <w:rFonts w:ascii="Book Antiqua" w:hAnsi="Book Antiqua" w:cs="Times New Roman" w:hint="eastAsia"/>
          <w:color w:val="000000"/>
          <w:sz w:val="24"/>
          <w:szCs w:val="24"/>
          <w:lang w:eastAsia="zh-CN"/>
        </w:rPr>
        <w:t xml:space="preserve"> </w:t>
      </w:r>
      <w:r>
        <w:rPr>
          <w:rFonts w:ascii="Book Antiqua" w:hAnsi="Book Antiqua" w:cs="Times New Roman"/>
          <w:color w:val="000000"/>
          <w:sz w:val="24"/>
          <w:szCs w:val="24"/>
          <w:lang w:eastAsia="zh-CN"/>
        </w:rPr>
        <w:t>0.04 µg/m</w:t>
      </w:r>
      <w:r w:rsidRPr="0027702C">
        <w:rPr>
          <w:rFonts w:ascii="Book Antiqua" w:hAnsi="Book Antiqua" w:cs="Times New Roman"/>
          <w:caps/>
          <w:color w:val="000000"/>
          <w:sz w:val="24"/>
          <w:szCs w:val="24"/>
          <w:lang w:eastAsia="zh-CN"/>
        </w:rPr>
        <w:t>l</w:t>
      </w:r>
      <w:r>
        <w:rPr>
          <w:rFonts w:ascii="Book Antiqua" w:hAnsi="Book Antiqua" w:cs="Times New Roman"/>
          <w:color w:val="000000"/>
          <w:sz w:val="24"/>
          <w:szCs w:val="24"/>
          <w:lang w:eastAsia="zh-CN"/>
        </w:rPr>
        <w:t>, ATI</w:t>
      </w:r>
      <w:r>
        <w:rPr>
          <w:rFonts w:ascii="Book Antiqua" w:hAnsi="Book Antiqua" w:cs="Times New Roman" w:hint="eastAsia"/>
          <w:color w:val="000000"/>
          <w:sz w:val="24"/>
          <w:szCs w:val="24"/>
          <w:lang w:eastAsia="zh-CN"/>
        </w:rPr>
        <w:t xml:space="preserve"> </w:t>
      </w:r>
      <w:r>
        <w:rPr>
          <w:rFonts w:ascii="Book Antiqua" w:hAnsi="Book Antiqua" w:cs="Times New Roman"/>
          <w:color w:val="000000"/>
          <w:sz w:val="24"/>
          <w:szCs w:val="24"/>
          <w:lang w:eastAsia="zh-CN"/>
        </w:rPr>
        <w:t>&lt;</w:t>
      </w:r>
      <w:r>
        <w:rPr>
          <w:rFonts w:ascii="Book Antiqua" w:hAnsi="Book Antiqua" w:cs="Times New Roman" w:hint="eastAsia"/>
          <w:color w:val="000000"/>
          <w:sz w:val="24"/>
          <w:szCs w:val="24"/>
          <w:lang w:eastAsia="zh-CN"/>
        </w:rPr>
        <w:t xml:space="preserve"> </w:t>
      </w:r>
      <w:r>
        <w:rPr>
          <w:rFonts w:ascii="Book Antiqua" w:hAnsi="Book Antiqua" w:cs="Times New Roman"/>
          <w:color w:val="000000"/>
          <w:sz w:val="24"/>
          <w:szCs w:val="24"/>
          <w:lang w:eastAsia="zh-CN"/>
        </w:rPr>
        <w:t>0.6 µg/m</w:t>
      </w:r>
      <w:r w:rsidRPr="0027702C">
        <w:rPr>
          <w:rFonts w:ascii="Book Antiqua" w:hAnsi="Book Antiqua" w:cs="Times New Roman"/>
          <w:caps/>
          <w:color w:val="000000"/>
          <w:sz w:val="24"/>
          <w:szCs w:val="24"/>
          <w:lang w:eastAsia="zh-CN"/>
        </w:rPr>
        <w:t>l</w:t>
      </w:r>
      <w:r>
        <w:rPr>
          <w:rFonts w:ascii="Book Antiqua" w:hAnsi="Book Antiqua" w:cs="Times New Roman"/>
          <w:color w:val="000000"/>
          <w:sz w:val="24"/>
          <w:szCs w:val="24"/>
          <w:lang w:eastAsia="zh-CN"/>
        </w:rPr>
        <w:t>-eq.</w:t>
      </w:r>
      <w:r>
        <w:rPr>
          <w:rFonts w:ascii="Book Antiqua" w:hAnsi="Book Antiqua" w:cs="Times New Roman" w:hint="eastAsia"/>
          <w:color w:val="000000"/>
          <w:sz w:val="24"/>
          <w:szCs w:val="24"/>
          <w:lang w:eastAsia="zh-CN"/>
        </w:rPr>
        <w:t xml:space="preserve"> </w:t>
      </w:r>
      <w:r w:rsidRPr="0027702C">
        <w:rPr>
          <w:rFonts w:ascii="Book Antiqua" w:hAnsi="Book Antiqua" w:cs="Times New Roman"/>
          <w:color w:val="000000"/>
          <w:sz w:val="24"/>
          <w:szCs w:val="24"/>
          <w:lang w:eastAsia="zh-CN"/>
        </w:rPr>
        <w:t>Previously DN sera (on 1:100 dilution) - black squares, healthy controls - gray circles</w:t>
      </w:r>
      <w:r>
        <w:rPr>
          <w:rFonts w:ascii="Book Antiqua" w:hAnsi="Book Antiqua" w:cs="Times New Roman" w:hint="eastAsia"/>
          <w:color w:val="000000"/>
          <w:sz w:val="24"/>
          <w:szCs w:val="24"/>
          <w:lang w:eastAsia="zh-CN"/>
        </w:rPr>
        <w:t xml:space="preserve">. </w:t>
      </w:r>
      <w:r w:rsidR="00327574" w:rsidRPr="00F80032">
        <w:rPr>
          <w:rFonts w:ascii="Book Antiqua" w:hAnsi="Book Antiqua" w:cs="Times New Roman"/>
          <w:color w:val="000000"/>
          <w:sz w:val="24"/>
          <w:szCs w:val="24"/>
        </w:rPr>
        <w:t>DN</w:t>
      </w:r>
      <w:r>
        <w:rPr>
          <w:rFonts w:ascii="Book Antiqua" w:hAnsi="Book Antiqua" w:cs="Times New Roman" w:hint="eastAsia"/>
          <w:color w:val="000000"/>
          <w:sz w:val="24"/>
          <w:szCs w:val="24"/>
          <w:lang w:eastAsia="zh-CN"/>
        </w:rPr>
        <w:t>:</w:t>
      </w:r>
      <w:r w:rsidR="00327574" w:rsidRPr="00F80032">
        <w:rPr>
          <w:rFonts w:ascii="Book Antiqua" w:hAnsi="Book Antiqua" w:cs="Times New Roman"/>
          <w:color w:val="000000"/>
          <w:sz w:val="24"/>
          <w:szCs w:val="24"/>
        </w:rPr>
        <w:t xml:space="preserve"> </w:t>
      </w:r>
      <w:r w:rsidRPr="00F80032">
        <w:rPr>
          <w:rFonts w:ascii="Book Antiqua" w:hAnsi="Book Antiqua" w:cs="Times New Roman"/>
          <w:color w:val="000000"/>
          <w:sz w:val="24"/>
          <w:szCs w:val="24"/>
        </w:rPr>
        <w:t xml:space="preserve">Double </w:t>
      </w:r>
      <w:r w:rsidR="00327574" w:rsidRPr="00F80032">
        <w:rPr>
          <w:rFonts w:ascii="Book Antiqua" w:hAnsi="Book Antiqua" w:cs="Times New Roman"/>
          <w:color w:val="000000"/>
          <w:sz w:val="24"/>
          <w:szCs w:val="24"/>
        </w:rPr>
        <w:t>negative</w:t>
      </w:r>
      <w:r>
        <w:rPr>
          <w:rFonts w:ascii="Book Antiqua" w:hAnsi="Book Antiqua" w:cs="Times New Roman" w:hint="eastAsia"/>
          <w:color w:val="000000"/>
          <w:sz w:val="24"/>
          <w:szCs w:val="24"/>
          <w:lang w:eastAsia="zh-CN"/>
        </w:rPr>
        <w:t>;</w:t>
      </w:r>
      <w:r w:rsidR="00327574" w:rsidRPr="00F80032">
        <w:rPr>
          <w:rFonts w:ascii="Book Antiqua" w:hAnsi="Book Antiqua" w:cs="Times New Roman"/>
          <w:color w:val="000000"/>
          <w:sz w:val="24"/>
          <w:szCs w:val="24"/>
        </w:rPr>
        <w:t xml:space="preserve"> IFX</w:t>
      </w:r>
      <w:r>
        <w:rPr>
          <w:rFonts w:ascii="Book Antiqua" w:hAnsi="Book Antiqua" w:cs="Times New Roman" w:hint="eastAsia"/>
          <w:color w:val="000000"/>
          <w:sz w:val="24"/>
          <w:szCs w:val="24"/>
          <w:lang w:eastAsia="zh-CN"/>
        </w:rPr>
        <w:t>:</w:t>
      </w:r>
      <w:r w:rsidR="00327574" w:rsidRPr="00F80032">
        <w:rPr>
          <w:rFonts w:ascii="Book Antiqua" w:hAnsi="Book Antiqua" w:cs="Times New Roman"/>
          <w:color w:val="000000"/>
          <w:sz w:val="24"/>
          <w:szCs w:val="24"/>
        </w:rPr>
        <w:t xml:space="preserve"> </w:t>
      </w:r>
      <w:r w:rsidRPr="00F80032">
        <w:rPr>
          <w:rFonts w:ascii="Book Antiqua" w:hAnsi="Book Antiqua" w:cs="Times New Roman"/>
          <w:color w:val="000000"/>
          <w:sz w:val="24"/>
          <w:szCs w:val="24"/>
        </w:rPr>
        <w:t>Infliximab</w:t>
      </w:r>
      <w:r>
        <w:rPr>
          <w:rFonts w:ascii="Book Antiqua" w:hAnsi="Book Antiqua" w:cs="Times New Roman" w:hint="eastAsia"/>
          <w:color w:val="000000"/>
          <w:sz w:val="24"/>
          <w:szCs w:val="24"/>
          <w:lang w:eastAsia="zh-CN"/>
        </w:rPr>
        <w:t>;</w:t>
      </w:r>
      <w:r w:rsidR="00327574" w:rsidRPr="00F80032">
        <w:rPr>
          <w:rFonts w:ascii="Book Antiqua" w:hAnsi="Book Antiqua" w:cs="Times New Roman"/>
          <w:color w:val="000000"/>
          <w:sz w:val="24"/>
          <w:szCs w:val="24"/>
        </w:rPr>
        <w:t xml:space="preserve"> ATI</w:t>
      </w:r>
      <w:r>
        <w:rPr>
          <w:rFonts w:ascii="Book Antiqua" w:hAnsi="Book Antiqua" w:cs="Times New Roman" w:hint="eastAsia"/>
          <w:color w:val="000000"/>
          <w:sz w:val="24"/>
          <w:szCs w:val="24"/>
          <w:lang w:eastAsia="zh-CN"/>
        </w:rPr>
        <w:t>:</w:t>
      </w:r>
      <w:r w:rsidR="00327574" w:rsidRPr="00F80032">
        <w:rPr>
          <w:rFonts w:ascii="Book Antiqua" w:hAnsi="Book Antiqua" w:cs="Times New Roman"/>
          <w:color w:val="000000"/>
          <w:sz w:val="24"/>
          <w:szCs w:val="24"/>
        </w:rPr>
        <w:t xml:space="preserve"> </w:t>
      </w:r>
      <w:r w:rsidRPr="00F80032">
        <w:rPr>
          <w:rFonts w:ascii="Book Antiqua" w:hAnsi="Book Antiqua" w:cs="Times New Roman"/>
          <w:color w:val="000000"/>
          <w:sz w:val="24"/>
          <w:szCs w:val="24"/>
        </w:rPr>
        <w:t xml:space="preserve">Antibodies </w:t>
      </w:r>
      <w:r w:rsidR="00327574" w:rsidRPr="00F80032">
        <w:rPr>
          <w:rFonts w:ascii="Book Antiqua" w:hAnsi="Book Antiqua" w:cs="Times New Roman"/>
          <w:color w:val="000000"/>
          <w:sz w:val="24"/>
          <w:szCs w:val="24"/>
        </w:rPr>
        <w:t>to infliximab</w:t>
      </w:r>
      <w:r>
        <w:rPr>
          <w:rFonts w:ascii="Book Antiqua" w:hAnsi="Book Antiqua" w:cs="Times New Roman" w:hint="eastAsia"/>
          <w:color w:val="000000"/>
          <w:sz w:val="24"/>
          <w:szCs w:val="24"/>
          <w:lang w:eastAsia="zh-CN"/>
        </w:rPr>
        <w:t>.</w:t>
      </w:r>
      <w:r w:rsidR="00327574" w:rsidRPr="00F80032">
        <w:rPr>
          <w:rFonts w:ascii="Book Antiqua" w:hAnsi="Book Antiqua" w:cs="Times New Roman"/>
          <w:color w:val="000000"/>
          <w:sz w:val="24"/>
          <w:szCs w:val="24"/>
        </w:rPr>
        <w:t xml:space="preserve"> </w:t>
      </w:r>
    </w:p>
    <w:p w:rsidR="00327574" w:rsidRPr="00327574" w:rsidRDefault="00327574" w:rsidP="004F172A">
      <w:pPr>
        <w:adjustRightInd w:val="0"/>
        <w:snapToGrid w:val="0"/>
        <w:spacing w:after="0" w:line="360" w:lineRule="auto"/>
        <w:jc w:val="both"/>
        <w:rPr>
          <w:rFonts w:ascii="Book Antiqua" w:hAnsi="Book Antiqua" w:cs="Times New Roman"/>
          <w:color w:val="000000"/>
          <w:sz w:val="24"/>
          <w:szCs w:val="24"/>
          <w:lang w:eastAsia="zh-CN"/>
        </w:rPr>
      </w:pPr>
    </w:p>
    <w:p w:rsidR="00F80032" w:rsidRDefault="00F80032" w:rsidP="004F172A">
      <w:pPr>
        <w:adjustRightInd w:val="0"/>
        <w:snapToGrid w:val="0"/>
        <w:spacing w:after="0" w:line="360" w:lineRule="auto"/>
        <w:jc w:val="both"/>
        <w:rPr>
          <w:rFonts w:ascii="Book Antiqua" w:hAnsi="Book Antiqua" w:cs="Times New Roman"/>
          <w:color w:val="000000"/>
          <w:sz w:val="24"/>
          <w:szCs w:val="24"/>
          <w:lang w:eastAsia="zh-CN"/>
        </w:rPr>
      </w:pPr>
      <w:r>
        <w:rPr>
          <w:noProof/>
          <w:lang w:eastAsia="zh-CN" w:bidi="ar-SA"/>
        </w:rPr>
        <w:drawing>
          <wp:inline distT="0" distB="0" distL="0" distR="0" wp14:anchorId="11ECD3F3" wp14:editId="458BB997">
            <wp:extent cx="1553135" cy="991022"/>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554826" cy="992101"/>
                    </a:xfrm>
                    <a:prstGeom prst="rect">
                      <a:avLst/>
                    </a:prstGeom>
                  </pic:spPr>
                </pic:pic>
              </a:graphicData>
            </a:graphic>
          </wp:inline>
        </w:drawing>
      </w:r>
    </w:p>
    <w:p w:rsidR="00C83799" w:rsidRPr="00F80032" w:rsidRDefault="00D06F40" w:rsidP="004F172A">
      <w:pPr>
        <w:adjustRightInd w:val="0"/>
        <w:snapToGrid w:val="0"/>
        <w:spacing w:after="0" w:line="360" w:lineRule="auto"/>
        <w:jc w:val="both"/>
        <w:rPr>
          <w:rFonts w:ascii="Book Antiqua" w:hAnsi="Book Antiqua" w:cs="Times New Roman"/>
          <w:color w:val="000000"/>
          <w:sz w:val="24"/>
          <w:szCs w:val="24"/>
        </w:rPr>
      </w:pPr>
      <w:r w:rsidRPr="00F80032">
        <w:rPr>
          <w:rFonts w:ascii="Book Antiqua" w:hAnsi="Book Antiqua" w:cs="Times New Roman"/>
          <w:b/>
          <w:bCs/>
          <w:color w:val="000000"/>
          <w:sz w:val="24"/>
          <w:szCs w:val="24"/>
        </w:rPr>
        <w:t xml:space="preserve">Figure </w:t>
      </w:r>
      <w:r w:rsidR="00327574">
        <w:rPr>
          <w:rFonts w:ascii="Book Antiqua" w:hAnsi="Book Antiqua" w:cs="Times New Roman" w:hint="eastAsia"/>
          <w:b/>
          <w:bCs/>
          <w:color w:val="000000"/>
          <w:sz w:val="24"/>
          <w:szCs w:val="24"/>
          <w:lang w:eastAsia="zh-CN"/>
        </w:rPr>
        <w:t>4</w:t>
      </w:r>
      <w:r w:rsidR="00327574" w:rsidRPr="00F80032">
        <w:rPr>
          <w:rFonts w:ascii="Book Antiqua" w:hAnsi="Book Antiqua" w:cs="Times New Roman"/>
          <w:color w:val="000000"/>
          <w:sz w:val="24"/>
          <w:szCs w:val="24"/>
        </w:rPr>
        <w:t xml:space="preserve"> </w:t>
      </w:r>
      <w:r w:rsidRPr="00F80032">
        <w:rPr>
          <w:rFonts w:ascii="Book Antiqua" w:hAnsi="Book Antiqua" w:cs="Times New Roman"/>
          <w:b/>
          <w:color w:val="000000"/>
          <w:sz w:val="24"/>
          <w:szCs w:val="24"/>
        </w:rPr>
        <w:t xml:space="preserve">Temporal formation of </w:t>
      </w:r>
      <w:r w:rsidR="00F80032" w:rsidRPr="00F80032">
        <w:rPr>
          <w:rFonts w:ascii="Book Antiqua" w:hAnsi="Book Antiqua" w:cs="Times New Roman"/>
          <w:b/>
          <w:color w:val="000000"/>
          <w:sz w:val="24"/>
          <w:szCs w:val="24"/>
        </w:rPr>
        <w:t xml:space="preserve">antibodies to infliximab </w:t>
      </w:r>
      <w:r w:rsidRPr="00F80032">
        <w:rPr>
          <w:rFonts w:ascii="Book Antiqua" w:hAnsi="Book Antiqua" w:cs="Times New Roman"/>
          <w:b/>
          <w:color w:val="000000"/>
          <w:sz w:val="24"/>
          <w:szCs w:val="24"/>
        </w:rPr>
        <w:t xml:space="preserve">in 9 patients in whom </w:t>
      </w:r>
      <w:r w:rsidR="00F80032" w:rsidRPr="00F80032">
        <w:rPr>
          <w:rFonts w:ascii="Book Antiqua" w:hAnsi="Book Antiqua" w:cs="Times New Roman"/>
          <w:b/>
          <w:color w:val="000000"/>
          <w:sz w:val="24"/>
          <w:szCs w:val="24"/>
        </w:rPr>
        <w:t xml:space="preserve">antibodies to infliximab </w:t>
      </w:r>
      <w:r w:rsidRPr="00F80032">
        <w:rPr>
          <w:rFonts w:ascii="Book Antiqua" w:hAnsi="Book Antiqua" w:cs="Times New Roman"/>
          <w:b/>
          <w:color w:val="000000"/>
          <w:sz w:val="24"/>
          <w:szCs w:val="24"/>
        </w:rPr>
        <w:t xml:space="preserve">positive sera preceded </w:t>
      </w:r>
      <w:r w:rsidR="00F80032" w:rsidRPr="00F80032">
        <w:rPr>
          <w:rFonts w:ascii="Book Antiqua" w:hAnsi="Book Antiqua" w:cs="Times New Roman"/>
          <w:b/>
          <w:color w:val="000000"/>
          <w:sz w:val="24"/>
          <w:szCs w:val="24"/>
        </w:rPr>
        <w:t xml:space="preserve">double negative </w:t>
      </w:r>
      <w:r w:rsidRPr="00F80032">
        <w:rPr>
          <w:rFonts w:ascii="Book Antiqua" w:hAnsi="Book Antiqua" w:cs="Times New Roman"/>
          <w:b/>
          <w:color w:val="000000"/>
          <w:sz w:val="24"/>
          <w:szCs w:val="24"/>
        </w:rPr>
        <w:t xml:space="preserve">sera. </w:t>
      </w:r>
    </w:p>
    <w:p w:rsidR="00D06F40" w:rsidRPr="00F80032" w:rsidRDefault="00D06F40" w:rsidP="004F172A">
      <w:pPr>
        <w:adjustRightInd w:val="0"/>
        <w:snapToGrid w:val="0"/>
        <w:spacing w:after="0" w:line="360" w:lineRule="auto"/>
        <w:jc w:val="both"/>
        <w:rPr>
          <w:rFonts w:ascii="Book Antiqua" w:hAnsi="Book Antiqua" w:cs="Times New Roman"/>
          <w:color w:val="000000"/>
          <w:sz w:val="24"/>
          <w:szCs w:val="24"/>
          <w:lang w:eastAsia="zh-CN"/>
        </w:rPr>
      </w:pPr>
      <w:proofErr w:type="gramStart"/>
      <w:r w:rsidRPr="00F80032">
        <w:rPr>
          <w:rFonts w:ascii="Book Antiqua" w:hAnsi="Book Antiqua" w:cs="Times New Roman"/>
          <w:color w:val="000000"/>
          <w:sz w:val="24"/>
          <w:szCs w:val="24"/>
        </w:rPr>
        <w:t xml:space="preserve">ATI formation before DN event </w:t>
      </w:r>
      <w:r w:rsidR="00F80032">
        <w:rPr>
          <w:rFonts w:ascii="Book Antiqua" w:hAnsi="Book Antiqua" w:cs="Times New Roman" w:hint="eastAsia"/>
          <w:color w:val="000000"/>
          <w:sz w:val="24"/>
          <w:szCs w:val="24"/>
          <w:lang w:eastAsia="zh-CN"/>
        </w:rPr>
        <w:t>(</w:t>
      </w:r>
      <w:r w:rsidRPr="00F80032">
        <w:rPr>
          <w:rFonts w:ascii="Book Antiqua" w:hAnsi="Book Antiqua" w:cs="Times New Roman"/>
          <w:color w:val="000000"/>
          <w:sz w:val="24"/>
          <w:szCs w:val="24"/>
        </w:rPr>
        <w:t>black triangles</w:t>
      </w:r>
      <w:r w:rsidR="00F80032">
        <w:rPr>
          <w:rFonts w:ascii="Book Antiqua" w:hAnsi="Book Antiqua" w:cs="Times New Roman" w:hint="eastAsia"/>
          <w:color w:val="000000"/>
          <w:sz w:val="24"/>
          <w:szCs w:val="24"/>
          <w:lang w:eastAsia="zh-CN"/>
        </w:rPr>
        <w:t>)</w:t>
      </w:r>
      <w:r w:rsidRPr="00F80032">
        <w:rPr>
          <w:rFonts w:ascii="Book Antiqua" w:hAnsi="Book Antiqua" w:cs="Times New Roman"/>
          <w:color w:val="000000"/>
          <w:sz w:val="24"/>
          <w:szCs w:val="24"/>
        </w:rPr>
        <w:t xml:space="preserve">, ATI formation after DN event </w:t>
      </w:r>
      <w:r w:rsidR="00F80032">
        <w:rPr>
          <w:rFonts w:ascii="Book Antiqua" w:hAnsi="Book Antiqua" w:cs="Times New Roman" w:hint="eastAsia"/>
          <w:color w:val="000000"/>
          <w:sz w:val="24"/>
          <w:szCs w:val="24"/>
          <w:lang w:eastAsia="zh-CN"/>
        </w:rPr>
        <w:t>(</w:t>
      </w:r>
      <w:r w:rsidRPr="00F80032">
        <w:rPr>
          <w:rFonts w:ascii="Book Antiqua" w:hAnsi="Book Antiqua" w:cs="Times New Roman"/>
          <w:color w:val="000000"/>
          <w:sz w:val="24"/>
          <w:szCs w:val="24"/>
        </w:rPr>
        <w:t>gray circles</w:t>
      </w:r>
      <w:r w:rsidR="00F80032">
        <w:rPr>
          <w:rFonts w:ascii="Book Antiqua" w:hAnsi="Book Antiqua" w:cs="Times New Roman" w:hint="eastAsia"/>
          <w:color w:val="000000"/>
          <w:sz w:val="24"/>
          <w:szCs w:val="24"/>
          <w:lang w:eastAsia="zh-CN"/>
        </w:rPr>
        <w:t>).</w:t>
      </w:r>
      <w:proofErr w:type="gramEnd"/>
      <w:r w:rsidR="00F80032">
        <w:rPr>
          <w:rFonts w:ascii="Book Antiqua" w:hAnsi="Book Antiqua" w:cs="Times New Roman"/>
          <w:color w:val="000000"/>
          <w:sz w:val="24"/>
          <w:szCs w:val="24"/>
        </w:rPr>
        <w:t xml:space="preserve"> ATI</w:t>
      </w:r>
      <w:r w:rsidR="00F80032">
        <w:rPr>
          <w:rFonts w:ascii="Book Antiqua" w:hAnsi="Book Antiqua" w:cs="Times New Roman" w:hint="eastAsia"/>
          <w:color w:val="000000"/>
          <w:sz w:val="24"/>
          <w:szCs w:val="24"/>
          <w:lang w:eastAsia="zh-CN"/>
        </w:rPr>
        <w:t>:</w:t>
      </w:r>
      <w:r w:rsidRPr="00F80032">
        <w:rPr>
          <w:rFonts w:ascii="Book Antiqua" w:hAnsi="Book Antiqua" w:cs="Times New Roman"/>
          <w:color w:val="000000"/>
          <w:sz w:val="24"/>
          <w:szCs w:val="24"/>
        </w:rPr>
        <w:t xml:space="preserve"> </w:t>
      </w:r>
      <w:r w:rsidR="00F80032" w:rsidRPr="00F80032">
        <w:rPr>
          <w:rFonts w:ascii="Book Antiqua" w:hAnsi="Book Antiqua" w:cs="Times New Roman"/>
          <w:color w:val="000000"/>
          <w:sz w:val="24"/>
          <w:szCs w:val="24"/>
        </w:rPr>
        <w:t xml:space="preserve">Antibodies </w:t>
      </w:r>
      <w:r w:rsidRPr="00F80032">
        <w:rPr>
          <w:rFonts w:ascii="Book Antiqua" w:hAnsi="Book Antiqua" w:cs="Times New Roman"/>
          <w:color w:val="000000"/>
          <w:sz w:val="24"/>
          <w:szCs w:val="24"/>
        </w:rPr>
        <w:t>to infliximab</w:t>
      </w:r>
      <w:r w:rsidR="00F80032">
        <w:rPr>
          <w:rFonts w:ascii="Book Antiqua" w:hAnsi="Book Antiqua" w:cs="Times New Roman" w:hint="eastAsia"/>
          <w:color w:val="000000"/>
          <w:sz w:val="24"/>
          <w:szCs w:val="24"/>
          <w:lang w:eastAsia="zh-CN"/>
        </w:rPr>
        <w:t>;</w:t>
      </w:r>
      <w:r w:rsidR="00F80032">
        <w:rPr>
          <w:rFonts w:ascii="Book Antiqua" w:hAnsi="Book Antiqua" w:cs="Times New Roman"/>
          <w:color w:val="000000"/>
          <w:sz w:val="24"/>
          <w:szCs w:val="24"/>
        </w:rPr>
        <w:t xml:space="preserve"> DN</w:t>
      </w:r>
      <w:r w:rsidR="00F80032">
        <w:rPr>
          <w:rFonts w:ascii="Book Antiqua" w:hAnsi="Book Antiqua" w:cs="Times New Roman" w:hint="eastAsia"/>
          <w:color w:val="000000"/>
          <w:sz w:val="24"/>
          <w:szCs w:val="24"/>
          <w:lang w:eastAsia="zh-CN"/>
        </w:rPr>
        <w:t>:</w:t>
      </w:r>
      <w:r w:rsidRPr="00F80032">
        <w:rPr>
          <w:rFonts w:ascii="Book Antiqua" w:hAnsi="Book Antiqua" w:cs="Times New Roman"/>
          <w:color w:val="000000"/>
          <w:sz w:val="24"/>
          <w:szCs w:val="24"/>
        </w:rPr>
        <w:t xml:space="preserve"> </w:t>
      </w:r>
      <w:r w:rsidR="00F80032" w:rsidRPr="00F80032">
        <w:rPr>
          <w:rFonts w:ascii="Book Antiqua" w:hAnsi="Book Antiqua" w:cs="Times New Roman"/>
          <w:color w:val="000000"/>
          <w:sz w:val="24"/>
          <w:szCs w:val="24"/>
        </w:rPr>
        <w:t xml:space="preserve">Double </w:t>
      </w:r>
      <w:r w:rsidRPr="00F80032">
        <w:rPr>
          <w:rFonts w:ascii="Book Antiqua" w:hAnsi="Book Antiqua" w:cs="Times New Roman"/>
          <w:color w:val="000000"/>
          <w:sz w:val="24"/>
          <w:szCs w:val="24"/>
        </w:rPr>
        <w:t>negative</w:t>
      </w:r>
      <w:r w:rsidR="00F80032">
        <w:rPr>
          <w:rFonts w:ascii="Book Antiqua" w:hAnsi="Book Antiqua" w:cs="Times New Roman" w:hint="eastAsia"/>
          <w:color w:val="000000"/>
          <w:sz w:val="24"/>
          <w:szCs w:val="24"/>
          <w:lang w:eastAsia="zh-CN"/>
        </w:rPr>
        <w:t>.</w:t>
      </w:r>
    </w:p>
    <w:p w:rsidR="00F80032" w:rsidRDefault="00F80032" w:rsidP="004F172A">
      <w:pPr>
        <w:adjustRightInd w:val="0"/>
        <w:snapToGrid w:val="0"/>
        <w:spacing w:after="0" w:line="360" w:lineRule="auto"/>
        <w:jc w:val="both"/>
        <w:rPr>
          <w:rFonts w:ascii="Book Antiqua" w:hAnsi="Book Antiqua" w:cs="Times New Roman"/>
          <w:b/>
          <w:bCs/>
          <w:color w:val="000000"/>
          <w:sz w:val="24"/>
          <w:szCs w:val="24"/>
          <w:lang w:eastAsia="zh-CN"/>
        </w:rPr>
      </w:pPr>
    </w:p>
    <w:p w:rsidR="00F80032" w:rsidRDefault="00F80032" w:rsidP="004F172A">
      <w:pPr>
        <w:adjustRightInd w:val="0"/>
        <w:snapToGrid w:val="0"/>
        <w:spacing w:after="0" w:line="360" w:lineRule="auto"/>
        <w:jc w:val="both"/>
        <w:rPr>
          <w:rFonts w:ascii="Book Antiqua" w:hAnsi="Book Antiqua" w:cs="Times New Roman"/>
          <w:b/>
          <w:bCs/>
          <w:color w:val="000000"/>
          <w:sz w:val="24"/>
          <w:szCs w:val="24"/>
          <w:lang w:eastAsia="zh-CN"/>
        </w:rPr>
      </w:pPr>
    </w:p>
    <w:p w:rsidR="00F80032" w:rsidRDefault="00F80032" w:rsidP="004F172A">
      <w:pPr>
        <w:adjustRightInd w:val="0"/>
        <w:snapToGrid w:val="0"/>
        <w:spacing w:after="0" w:line="360" w:lineRule="auto"/>
        <w:jc w:val="both"/>
        <w:rPr>
          <w:rFonts w:ascii="Book Antiqua" w:hAnsi="Book Antiqua" w:cs="Times New Roman"/>
          <w:b/>
          <w:bCs/>
          <w:color w:val="000000"/>
          <w:sz w:val="24"/>
          <w:szCs w:val="24"/>
          <w:lang w:eastAsia="zh-CN"/>
        </w:rPr>
      </w:pPr>
      <w:r>
        <w:rPr>
          <w:noProof/>
          <w:lang w:eastAsia="zh-CN" w:bidi="ar-SA"/>
        </w:rPr>
        <w:drawing>
          <wp:inline distT="0" distB="0" distL="0" distR="0" wp14:anchorId="1C5BA50F" wp14:editId="02D7E3B4">
            <wp:extent cx="1391771" cy="944922"/>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391799" cy="944941"/>
                    </a:xfrm>
                    <a:prstGeom prst="rect">
                      <a:avLst/>
                    </a:prstGeom>
                  </pic:spPr>
                </pic:pic>
              </a:graphicData>
            </a:graphic>
          </wp:inline>
        </w:drawing>
      </w:r>
      <w:r w:rsidRPr="00F80032">
        <w:rPr>
          <w:rFonts w:ascii="Book Antiqua" w:hAnsi="Book Antiqua" w:cs="Times New Roman"/>
          <w:b/>
          <w:bCs/>
          <w:color w:val="000000"/>
          <w:sz w:val="24"/>
          <w:szCs w:val="24"/>
        </w:rPr>
        <w:t xml:space="preserve"> </w:t>
      </w:r>
      <w:r w:rsidR="00327574">
        <w:rPr>
          <w:rFonts w:ascii="Book Antiqua" w:hAnsi="Book Antiqua" w:cs="Times New Roman" w:hint="eastAsia"/>
          <w:b/>
          <w:bCs/>
          <w:color w:val="000000"/>
          <w:sz w:val="24"/>
          <w:szCs w:val="24"/>
          <w:lang w:eastAsia="zh-CN"/>
        </w:rPr>
        <w:t xml:space="preserve">   </w:t>
      </w:r>
      <w:r w:rsidR="00327574">
        <w:rPr>
          <w:noProof/>
          <w:lang w:eastAsia="zh-CN" w:bidi="ar-SA"/>
        </w:rPr>
        <w:drawing>
          <wp:inline distT="0" distB="0" distL="0" distR="0" wp14:anchorId="2F472D29" wp14:editId="589C3D49">
            <wp:extent cx="1291829" cy="945397"/>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291308" cy="945016"/>
                    </a:xfrm>
                    <a:prstGeom prst="rect">
                      <a:avLst/>
                    </a:prstGeom>
                  </pic:spPr>
                </pic:pic>
              </a:graphicData>
            </a:graphic>
          </wp:inline>
        </w:drawing>
      </w:r>
    </w:p>
    <w:p w:rsidR="00327574" w:rsidRDefault="00327574" w:rsidP="004F172A">
      <w:pPr>
        <w:adjustRightInd w:val="0"/>
        <w:snapToGrid w:val="0"/>
        <w:spacing w:after="0" w:line="360" w:lineRule="auto"/>
        <w:jc w:val="both"/>
        <w:rPr>
          <w:rFonts w:ascii="Book Antiqua" w:hAnsi="Book Antiqua" w:cs="Times New Roman"/>
          <w:b/>
          <w:bCs/>
          <w:color w:val="000000"/>
          <w:sz w:val="24"/>
          <w:szCs w:val="24"/>
          <w:lang w:eastAsia="zh-CN"/>
        </w:rPr>
      </w:pPr>
      <w:r>
        <w:rPr>
          <w:rFonts w:ascii="Book Antiqua" w:hAnsi="Book Antiqua" w:cs="Times New Roman" w:hint="eastAsia"/>
          <w:b/>
          <w:bCs/>
          <w:color w:val="000000"/>
          <w:sz w:val="24"/>
          <w:szCs w:val="24"/>
          <w:lang w:eastAsia="zh-CN"/>
        </w:rPr>
        <w:t>A                                      B</w:t>
      </w:r>
    </w:p>
    <w:p w:rsidR="00D06F40" w:rsidRDefault="00D06F40" w:rsidP="004F172A">
      <w:pPr>
        <w:adjustRightInd w:val="0"/>
        <w:snapToGrid w:val="0"/>
        <w:spacing w:after="0" w:line="360" w:lineRule="auto"/>
        <w:jc w:val="both"/>
        <w:rPr>
          <w:rFonts w:ascii="Book Antiqua" w:hAnsi="Book Antiqua" w:cs="Times New Roman"/>
          <w:color w:val="000000"/>
          <w:sz w:val="24"/>
          <w:szCs w:val="24"/>
          <w:lang w:eastAsia="zh-CN"/>
        </w:rPr>
      </w:pPr>
      <w:r w:rsidRPr="00F80032">
        <w:rPr>
          <w:rFonts w:ascii="Book Antiqua" w:hAnsi="Book Antiqua" w:cs="Times New Roman"/>
          <w:b/>
          <w:bCs/>
          <w:color w:val="000000"/>
          <w:sz w:val="24"/>
          <w:szCs w:val="24"/>
        </w:rPr>
        <w:t xml:space="preserve">Figure </w:t>
      </w:r>
      <w:r w:rsidR="00327574">
        <w:rPr>
          <w:rFonts w:ascii="Book Antiqua" w:hAnsi="Book Antiqua" w:cs="Times New Roman" w:hint="eastAsia"/>
          <w:b/>
          <w:bCs/>
          <w:color w:val="000000"/>
          <w:sz w:val="24"/>
          <w:szCs w:val="24"/>
          <w:lang w:eastAsia="zh-CN"/>
        </w:rPr>
        <w:t>5</w:t>
      </w:r>
      <w:r w:rsidR="00327574" w:rsidRPr="00F80032">
        <w:rPr>
          <w:rFonts w:ascii="Book Antiqua" w:hAnsi="Book Antiqua" w:cs="Times New Roman"/>
          <w:color w:val="000000"/>
          <w:sz w:val="24"/>
          <w:szCs w:val="24"/>
        </w:rPr>
        <w:t xml:space="preserve"> </w:t>
      </w:r>
      <w:r w:rsidRPr="00F80032">
        <w:rPr>
          <w:rFonts w:ascii="Book Antiqua" w:hAnsi="Book Antiqua" w:cs="Times New Roman"/>
          <w:b/>
          <w:color w:val="000000"/>
          <w:sz w:val="24"/>
          <w:szCs w:val="24"/>
        </w:rPr>
        <w:t>Survival free</w:t>
      </w:r>
      <w:r w:rsidR="005A273D">
        <w:rPr>
          <w:rFonts w:ascii="Book Antiqua" w:hAnsi="Book Antiqua" w:cs="Times New Roman" w:hint="eastAsia"/>
          <w:b/>
          <w:color w:val="000000"/>
          <w:sz w:val="24"/>
          <w:szCs w:val="24"/>
          <w:lang w:eastAsia="zh-CN"/>
        </w:rPr>
        <w:t>.</w:t>
      </w:r>
      <w:r w:rsidRPr="00F80032">
        <w:rPr>
          <w:rFonts w:ascii="Book Antiqua" w:hAnsi="Book Antiqua" w:cs="Times New Roman"/>
          <w:b/>
          <w:color w:val="000000"/>
          <w:sz w:val="24"/>
          <w:szCs w:val="24"/>
        </w:rPr>
        <w:t xml:space="preserve"> </w:t>
      </w:r>
      <w:r w:rsidR="005A273D" w:rsidRPr="005A273D">
        <w:rPr>
          <w:rFonts w:ascii="Book Antiqua" w:hAnsi="Book Antiqua" w:cs="Times New Roman" w:hint="eastAsia"/>
          <w:color w:val="000000"/>
          <w:sz w:val="24"/>
          <w:szCs w:val="24"/>
          <w:lang w:eastAsia="zh-CN"/>
        </w:rPr>
        <w:t>A:</w:t>
      </w:r>
      <w:r w:rsidR="00F0350D" w:rsidRPr="005A273D">
        <w:rPr>
          <w:rFonts w:ascii="Book Antiqua" w:hAnsi="Book Antiqua" w:cs="Times New Roman"/>
          <w:i/>
          <w:caps/>
          <w:color w:val="000000"/>
          <w:sz w:val="24"/>
          <w:szCs w:val="24"/>
        </w:rPr>
        <w:t xml:space="preserve"> </w:t>
      </w:r>
      <w:r w:rsidR="00F80032" w:rsidRPr="005A273D">
        <w:rPr>
          <w:rFonts w:ascii="Book Antiqua" w:hAnsi="Book Antiqua" w:cs="Times New Roman"/>
          <w:caps/>
          <w:color w:val="000000"/>
          <w:sz w:val="24"/>
          <w:szCs w:val="24"/>
        </w:rPr>
        <w:t>a</w:t>
      </w:r>
      <w:r w:rsidR="00F80032" w:rsidRPr="005A273D">
        <w:rPr>
          <w:rFonts w:ascii="Book Antiqua" w:hAnsi="Book Antiqua" w:cs="Times New Roman"/>
          <w:color w:val="000000"/>
          <w:sz w:val="24"/>
          <w:szCs w:val="24"/>
        </w:rPr>
        <w:t xml:space="preserve">ntibodies to infliximab </w:t>
      </w:r>
      <w:r w:rsidRPr="005A273D">
        <w:rPr>
          <w:rFonts w:ascii="Book Antiqua" w:hAnsi="Book Antiqua" w:cs="Times New Roman"/>
          <w:color w:val="000000"/>
          <w:sz w:val="24"/>
          <w:szCs w:val="24"/>
        </w:rPr>
        <w:t xml:space="preserve">development in cases </w:t>
      </w:r>
      <w:r w:rsidR="00071436" w:rsidRPr="005A273D">
        <w:rPr>
          <w:rFonts w:ascii="Book Antiqua" w:hAnsi="Book Antiqua" w:cs="Times New Roman"/>
          <w:i/>
          <w:color w:val="000000"/>
          <w:sz w:val="24"/>
          <w:szCs w:val="24"/>
        </w:rPr>
        <w:t>vs</w:t>
      </w:r>
      <w:r w:rsidR="005A273D" w:rsidRPr="005A273D">
        <w:rPr>
          <w:rFonts w:ascii="Book Antiqua" w:hAnsi="Book Antiqua" w:cs="Times New Roman"/>
          <w:color w:val="000000"/>
          <w:sz w:val="24"/>
          <w:szCs w:val="24"/>
        </w:rPr>
        <w:t xml:space="preserve"> controls</w:t>
      </w:r>
      <w:r w:rsidR="005A273D" w:rsidRPr="005A273D">
        <w:rPr>
          <w:rFonts w:ascii="Book Antiqua" w:hAnsi="Book Antiqua" w:cs="Times New Roman" w:hint="eastAsia"/>
          <w:color w:val="000000"/>
          <w:sz w:val="24"/>
          <w:szCs w:val="24"/>
          <w:lang w:eastAsia="zh-CN"/>
        </w:rPr>
        <w:t xml:space="preserve">; B: </w:t>
      </w:r>
      <w:r w:rsidR="005A273D" w:rsidRPr="005A273D">
        <w:rPr>
          <w:rFonts w:ascii="Book Antiqua" w:hAnsi="Book Antiqua" w:cs="Times New Roman"/>
          <w:caps/>
          <w:color w:val="000000"/>
          <w:sz w:val="24"/>
          <w:szCs w:val="24"/>
        </w:rPr>
        <w:t>s</w:t>
      </w:r>
      <w:r w:rsidR="005A273D" w:rsidRPr="005A273D">
        <w:rPr>
          <w:rFonts w:ascii="Book Antiqua" w:hAnsi="Book Antiqua" w:cs="Times New Roman"/>
          <w:color w:val="000000"/>
          <w:sz w:val="24"/>
          <w:szCs w:val="24"/>
        </w:rPr>
        <w:t xml:space="preserve">econdary loss of response in cases </w:t>
      </w:r>
      <w:r w:rsidR="005A273D" w:rsidRPr="005A273D">
        <w:rPr>
          <w:rFonts w:ascii="Book Antiqua" w:hAnsi="Book Antiqua" w:cs="Times New Roman"/>
          <w:i/>
          <w:color w:val="000000"/>
          <w:sz w:val="24"/>
          <w:szCs w:val="24"/>
        </w:rPr>
        <w:t>vs</w:t>
      </w:r>
      <w:r w:rsidR="005A273D" w:rsidRPr="005A273D">
        <w:rPr>
          <w:rFonts w:ascii="Book Antiqua" w:hAnsi="Book Antiqua" w:cs="Times New Roman"/>
          <w:color w:val="000000"/>
          <w:sz w:val="24"/>
          <w:szCs w:val="24"/>
        </w:rPr>
        <w:t xml:space="preserve"> controls.</w:t>
      </w:r>
      <w:r w:rsidR="005A273D" w:rsidRPr="00F80032">
        <w:rPr>
          <w:rFonts w:ascii="Book Antiqua" w:hAnsi="Book Antiqua" w:cs="Times New Roman"/>
          <w:color w:val="000000"/>
          <w:sz w:val="24"/>
          <w:szCs w:val="24"/>
        </w:rPr>
        <w:t xml:space="preserve"> </w:t>
      </w:r>
      <w:r w:rsidR="005A273D" w:rsidRPr="005A273D">
        <w:rPr>
          <w:rFonts w:ascii="Book Antiqua" w:hAnsi="Book Antiqua" w:cs="Times New Roman"/>
          <w:color w:val="000000"/>
          <w:sz w:val="24"/>
          <w:szCs w:val="24"/>
        </w:rPr>
        <w:t xml:space="preserve">The asterisk </w:t>
      </w:r>
      <w:r w:rsidR="005A273D">
        <w:rPr>
          <w:rFonts w:ascii="Book Antiqua" w:hAnsi="Book Antiqua" w:cs="Times New Roman" w:hint="eastAsia"/>
          <w:color w:val="000000"/>
          <w:sz w:val="24"/>
          <w:szCs w:val="24"/>
          <w:lang w:eastAsia="zh-CN"/>
        </w:rPr>
        <w:t>shows that f</w:t>
      </w:r>
      <w:r w:rsidR="005A273D" w:rsidRPr="00F80032">
        <w:rPr>
          <w:rFonts w:ascii="Book Antiqua" w:hAnsi="Book Antiqua" w:cs="Times New Roman"/>
          <w:color w:val="000000"/>
          <w:sz w:val="24"/>
          <w:szCs w:val="24"/>
        </w:rPr>
        <w:t>ive of the controls experienced secondary LOR at a time-point comparable to the double negative event.</w:t>
      </w:r>
      <w:r w:rsidR="005A273D">
        <w:rPr>
          <w:rFonts w:ascii="Book Antiqua" w:hAnsi="Book Antiqua" w:cs="Times New Roman" w:hint="eastAsia"/>
          <w:color w:val="000000"/>
          <w:sz w:val="24"/>
          <w:szCs w:val="24"/>
          <w:lang w:eastAsia="zh-CN"/>
        </w:rPr>
        <w:t xml:space="preserve"> </w:t>
      </w:r>
      <w:r w:rsidR="005A273D" w:rsidRPr="00F80032">
        <w:rPr>
          <w:rFonts w:ascii="Book Antiqua" w:hAnsi="Book Antiqua" w:cs="Times New Roman"/>
          <w:color w:val="000000"/>
          <w:sz w:val="24"/>
          <w:szCs w:val="24"/>
        </w:rPr>
        <w:t>ATI</w:t>
      </w:r>
      <w:r w:rsidR="005A273D">
        <w:rPr>
          <w:rFonts w:ascii="Book Antiqua" w:hAnsi="Book Antiqua" w:cs="Times New Roman" w:hint="eastAsia"/>
          <w:color w:val="000000"/>
          <w:sz w:val="24"/>
          <w:szCs w:val="24"/>
          <w:lang w:eastAsia="zh-CN"/>
        </w:rPr>
        <w:t>:</w:t>
      </w:r>
      <w:r w:rsidR="005A273D" w:rsidRPr="00F80032">
        <w:rPr>
          <w:rFonts w:ascii="Book Antiqua" w:hAnsi="Book Antiqua" w:cs="Times New Roman"/>
          <w:color w:val="000000"/>
          <w:sz w:val="24"/>
          <w:szCs w:val="24"/>
        </w:rPr>
        <w:t xml:space="preserve"> </w:t>
      </w:r>
      <w:r w:rsidR="005A273D" w:rsidRPr="00F80032">
        <w:rPr>
          <w:rFonts w:ascii="Book Antiqua" w:hAnsi="Book Antiqua" w:cs="Times New Roman"/>
          <w:caps/>
          <w:color w:val="000000"/>
          <w:sz w:val="24"/>
          <w:szCs w:val="24"/>
        </w:rPr>
        <w:t>a</w:t>
      </w:r>
      <w:r w:rsidR="005A273D">
        <w:rPr>
          <w:rFonts w:ascii="Book Antiqua" w:hAnsi="Book Antiqua" w:cs="Times New Roman"/>
          <w:color w:val="000000"/>
          <w:sz w:val="24"/>
          <w:szCs w:val="24"/>
        </w:rPr>
        <w:t>ntibodies to infliximab</w:t>
      </w:r>
      <w:r w:rsidR="005A273D">
        <w:rPr>
          <w:rFonts w:ascii="Book Antiqua" w:hAnsi="Book Antiqua" w:cs="Times New Roman" w:hint="eastAsia"/>
          <w:color w:val="000000"/>
          <w:sz w:val="24"/>
          <w:szCs w:val="24"/>
          <w:lang w:eastAsia="zh-CN"/>
        </w:rPr>
        <w:t xml:space="preserve">; </w:t>
      </w:r>
      <w:r w:rsidR="005A273D">
        <w:rPr>
          <w:rFonts w:ascii="Book Antiqua" w:hAnsi="Book Antiqua" w:cs="Times New Roman"/>
          <w:color w:val="000000"/>
          <w:sz w:val="24"/>
          <w:szCs w:val="24"/>
        </w:rPr>
        <w:t>LOR</w:t>
      </w:r>
      <w:r w:rsidR="005A273D">
        <w:rPr>
          <w:rFonts w:ascii="Book Antiqua" w:hAnsi="Book Antiqua" w:cs="Times New Roman" w:hint="eastAsia"/>
          <w:color w:val="000000"/>
          <w:sz w:val="24"/>
          <w:szCs w:val="24"/>
          <w:lang w:eastAsia="zh-CN"/>
        </w:rPr>
        <w:t>:</w:t>
      </w:r>
      <w:r w:rsidR="005A273D" w:rsidRPr="00F80032">
        <w:rPr>
          <w:rFonts w:ascii="Book Antiqua" w:hAnsi="Book Antiqua" w:cs="Times New Roman"/>
          <w:color w:val="000000"/>
          <w:sz w:val="24"/>
          <w:szCs w:val="24"/>
        </w:rPr>
        <w:t xml:space="preserve"> </w:t>
      </w:r>
      <w:r w:rsidR="005A273D" w:rsidRPr="005A273D">
        <w:rPr>
          <w:rFonts w:ascii="Book Antiqua" w:hAnsi="Book Antiqua" w:cs="Times New Roman"/>
          <w:caps/>
          <w:color w:val="000000"/>
          <w:sz w:val="24"/>
          <w:szCs w:val="24"/>
        </w:rPr>
        <w:t>l</w:t>
      </w:r>
      <w:r w:rsidR="005A273D" w:rsidRPr="00F80032">
        <w:rPr>
          <w:rFonts w:ascii="Book Antiqua" w:hAnsi="Book Antiqua" w:cs="Times New Roman"/>
          <w:color w:val="000000"/>
          <w:sz w:val="24"/>
          <w:szCs w:val="24"/>
        </w:rPr>
        <w:t>oss of response</w:t>
      </w:r>
      <w:r w:rsidR="005A273D">
        <w:rPr>
          <w:rFonts w:ascii="Book Antiqua" w:hAnsi="Book Antiqua" w:cs="Times New Roman" w:hint="eastAsia"/>
          <w:color w:val="000000"/>
          <w:sz w:val="24"/>
          <w:szCs w:val="24"/>
          <w:lang w:eastAsia="zh-CN"/>
        </w:rPr>
        <w:t>.</w:t>
      </w:r>
    </w:p>
    <w:p w:rsidR="00F80032" w:rsidRDefault="00F80032" w:rsidP="004F172A">
      <w:pPr>
        <w:adjustRightInd w:val="0"/>
        <w:snapToGrid w:val="0"/>
        <w:spacing w:after="0" w:line="360" w:lineRule="auto"/>
        <w:jc w:val="both"/>
        <w:rPr>
          <w:rFonts w:ascii="Book Antiqua" w:eastAsia="宋体" w:hAnsi="Book Antiqua" w:cs="Times New Roman"/>
          <w:noProof/>
          <w:sz w:val="24"/>
          <w:szCs w:val="24"/>
          <w:lang w:eastAsia="zh-CN"/>
        </w:rPr>
      </w:pPr>
    </w:p>
    <w:p w:rsidR="00D06F40" w:rsidRPr="005A273D" w:rsidRDefault="00D06F40" w:rsidP="004F172A">
      <w:pPr>
        <w:adjustRightInd w:val="0"/>
        <w:snapToGrid w:val="0"/>
        <w:spacing w:after="0" w:line="360" w:lineRule="auto"/>
        <w:jc w:val="both"/>
        <w:rPr>
          <w:rFonts w:ascii="Book Antiqua" w:eastAsia="宋体" w:hAnsi="Book Antiqua" w:cs="Times New Roman"/>
          <w:noProof/>
          <w:sz w:val="24"/>
          <w:szCs w:val="24"/>
          <w:lang w:eastAsia="zh-CN"/>
        </w:rPr>
      </w:pPr>
    </w:p>
    <w:p w:rsidR="0004369A" w:rsidRPr="00F80032" w:rsidRDefault="0004369A" w:rsidP="004F172A">
      <w:pPr>
        <w:adjustRightInd w:val="0"/>
        <w:snapToGrid w:val="0"/>
        <w:spacing w:after="0" w:line="360" w:lineRule="auto"/>
        <w:jc w:val="both"/>
        <w:rPr>
          <w:rFonts w:ascii="Book Antiqua" w:hAnsi="Book Antiqua" w:cs="Times New Roman"/>
          <w:b/>
          <w:bCs/>
          <w:color w:val="000000"/>
          <w:sz w:val="24"/>
          <w:szCs w:val="24"/>
          <w:lang w:eastAsia="zh-CN"/>
        </w:rPr>
      </w:pPr>
    </w:p>
    <w:sectPr w:rsidR="0004369A" w:rsidRPr="00F80032" w:rsidSect="002479C2">
      <w:footerReference w:type="default" r:id="rId14"/>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C23" w:rsidRDefault="00EF7C23" w:rsidP="00E1432A">
      <w:pPr>
        <w:spacing w:after="0" w:line="240" w:lineRule="auto"/>
      </w:pPr>
      <w:r>
        <w:separator/>
      </w:r>
    </w:p>
  </w:endnote>
  <w:endnote w:type="continuationSeparator" w:id="0">
    <w:p w:rsidR="00EF7C23" w:rsidRDefault="00EF7C23" w:rsidP="00E14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0EB" w:rsidRDefault="008766A6">
    <w:pPr>
      <w:pStyle w:val="a8"/>
      <w:jc w:val="center"/>
    </w:pPr>
    <w:r>
      <w:fldChar w:fldCharType="begin"/>
    </w:r>
    <w:r w:rsidR="00C400EB">
      <w:instrText xml:space="preserve"> PAGE   \* MERGEFORMAT </w:instrText>
    </w:r>
    <w:r>
      <w:fldChar w:fldCharType="separate"/>
    </w:r>
    <w:r w:rsidR="006874C0" w:rsidRPr="006874C0">
      <w:rPr>
        <w:rFonts w:cs="Calibri"/>
        <w:noProof/>
        <w:lang w:val="he-IL"/>
      </w:rPr>
      <w:t>21</w:t>
    </w:r>
    <w:r>
      <w:rPr>
        <w:rFonts w:cs="Calibri"/>
        <w:noProof/>
        <w:lang w:val="he-IL"/>
      </w:rPr>
      <w:fldChar w:fldCharType="end"/>
    </w:r>
  </w:p>
  <w:p w:rsidR="00C400EB" w:rsidRDefault="00C400E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C23" w:rsidRDefault="00EF7C23" w:rsidP="00E1432A">
      <w:pPr>
        <w:spacing w:after="0" w:line="240" w:lineRule="auto"/>
      </w:pPr>
      <w:r>
        <w:separator/>
      </w:r>
    </w:p>
  </w:footnote>
  <w:footnote w:type="continuationSeparator" w:id="0">
    <w:p w:rsidR="00EF7C23" w:rsidRDefault="00EF7C23" w:rsidP="00E1432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bordersDoNotSurroundHeader/>
  <w:bordersDoNotSurroundFooter/>
  <w:activeWritingStyle w:appName="MSWord" w:lang="en-US" w:vendorID="64" w:dllVersion="131078" w:nlCheck="1" w:checkStyle="1"/>
  <w:activeWritingStyle w:appName="MSWord" w:lang="zh-CN" w:vendorID="64" w:dllVersion="131077"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B13DFC"/>
    <w:rsid w:val="0000066C"/>
    <w:rsid w:val="00001CDB"/>
    <w:rsid w:val="00002E21"/>
    <w:rsid w:val="00003B21"/>
    <w:rsid w:val="0000451E"/>
    <w:rsid w:val="000058B5"/>
    <w:rsid w:val="00005BAB"/>
    <w:rsid w:val="00006566"/>
    <w:rsid w:val="000068F1"/>
    <w:rsid w:val="000125BD"/>
    <w:rsid w:val="00013037"/>
    <w:rsid w:val="00014901"/>
    <w:rsid w:val="0001491A"/>
    <w:rsid w:val="000166BC"/>
    <w:rsid w:val="00023778"/>
    <w:rsid w:val="0002382F"/>
    <w:rsid w:val="000257CD"/>
    <w:rsid w:val="0002752B"/>
    <w:rsid w:val="000308D2"/>
    <w:rsid w:val="00031F3A"/>
    <w:rsid w:val="00034682"/>
    <w:rsid w:val="00036B41"/>
    <w:rsid w:val="000422C1"/>
    <w:rsid w:val="0004369A"/>
    <w:rsid w:val="000446B1"/>
    <w:rsid w:val="00044831"/>
    <w:rsid w:val="00047F25"/>
    <w:rsid w:val="00050021"/>
    <w:rsid w:val="00051E9B"/>
    <w:rsid w:val="000524E7"/>
    <w:rsid w:val="000539F3"/>
    <w:rsid w:val="000574AF"/>
    <w:rsid w:val="00057C9A"/>
    <w:rsid w:val="00061489"/>
    <w:rsid w:val="00062B2C"/>
    <w:rsid w:val="0007059F"/>
    <w:rsid w:val="00071436"/>
    <w:rsid w:val="000728F9"/>
    <w:rsid w:val="00076E4D"/>
    <w:rsid w:val="00081936"/>
    <w:rsid w:val="000857E8"/>
    <w:rsid w:val="000948A0"/>
    <w:rsid w:val="000A0D59"/>
    <w:rsid w:val="000A5666"/>
    <w:rsid w:val="000A663A"/>
    <w:rsid w:val="000A77A3"/>
    <w:rsid w:val="000B084E"/>
    <w:rsid w:val="000B1399"/>
    <w:rsid w:val="000B6539"/>
    <w:rsid w:val="000B7EF0"/>
    <w:rsid w:val="000C2B39"/>
    <w:rsid w:val="000C3DA3"/>
    <w:rsid w:val="000D02D2"/>
    <w:rsid w:val="000D0C49"/>
    <w:rsid w:val="000D5515"/>
    <w:rsid w:val="000E2F32"/>
    <w:rsid w:val="000E37D2"/>
    <w:rsid w:val="000F1B21"/>
    <w:rsid w:val="000F4880"/>
    <w:rsid w:val="000F7C43"/>
    <w:rsid w:val="001046D0"/>
    <w:rsid w:val="00106E86"/>
    <w:rsid w:val="001108F1"/>
    <w:rsid w:val="00111CC4"/>
    <w:rsid w:val="00117065"/>
    <w:rsid w:val="00120125"/>
    <w:rsid w:val="001223E6"/>
    <w:rsid w:val="00124AD5"/>
    <w:rsid w:val="00126398"/>
    <w:rsid w:val="00126C97"/>
    <w:rsid w:val="001313C7"/>
    <w:rsid w:val="00135C39"/>
    <w:rsid w:val="0014054B"/>
    <w:rsid w:val="001405E4"/>
    <w:rsid w:val="0014072F"/>
    <w:rsid w:val="00141471"/>
    <w:rsid w:val="00142A6A"/>
    <w:rsid w:val="0015004E"/>
    <w:rsid w:val="001510FB"/>
    <w:rsid w:val="0015110B"/>
    <w:rsid w:val="0015287A"/>
    <w:rsid w:val="001547E7"/>
    <w:rsid w:val="0016142C"/>
    <w:rsid w:val="00161753"/>
    <w:rsid w:val="001619AE"/>
    <w:rsid w:val="00161AB7"/>
    <w:rsid w:val="00163319"/>
    <w:rsid w:val="0016421D"/>
    <w:rsid w:val="00164532"/>
    <w:rsid w:val="0016521E"/>
    <w:rsid w:val="0017297A"/>
    <w:rsid w:val="00172DD5"/>
    <w:rsid w:val="00173D64"/>
    <w:rsid w:val="0017485C"/>
    <w:rsid w:val="00177075"/>
    <w:rsid w:val="001829DB"/>
    <w:rsid w:val="00190028"/>
    <w:rsid w:val="0019235F"/>
    <w:rsid w:val="00192A80"/>
    <w:rsid w:val="0019342C"/>
    <w:rsid w:val="00194D66"/>
    <w:rsid w:val="001967A2"/>
    <w:rsid w:val="00196BA3"/>
    <w:rsid w:val="001972D5"/>
    <w:rsid w:val="001A0A55"/>
    <w:rsid w:val="001A0F59"/>
    <w:rsid w:val="001A2335"/>
    <w:rsid w:val="001A77A9"/>
    <w:rsid w:val="001B150D"/>
    <w:rsid w:val="001B40B3"/>
    <w:rsid w:val="001B4E05"/>
    <w:rsid w:val="001B5096"/>
    <w:rsid w:val="001B5567"/>
    <w:rsid w:val="001B5BC4"/>
    <w:rsid w:val="001B5DE8"/>
    <w:rsid w:val="001B70CF"/>
    <w:rsid w:val="001B7691"/>
    <w:rsid w:val="001B78E9"/>
    <w:rsid w:val="001B7F75"/>
    <w:rsid w:val="001C1827"/>
    <w:rsid w:val="001C49FB"/>
    <w:rsid w:val="001D060F"/>
    <w:rsid w:val="001D0E77"/>
    <w:rsid w:val="001D64CE"/>
    <w:rsid w:val="001E79BA"/>
    <w:rsid w:val="001F2870"/>
    <w:rsid w:val="001F3C19"/>
    <w:rsid w:val="001F52B9"/>
    <w:rsid w:val="001F77AD"/>
    <w:rsid w:val="00200441"/>
    <w:rsid w:val="00200D4F"/>
    <w:rsid w:val="00200E64"/>
    <w:rsid w:val="00201371"/>
    <w:rsid w:val="0020370D"/>
    <w:rsid w:val="002042F0"/>
    <w:rsid w:val="0020700B"/>
    <w:rsid w:val="00210293"/>
    <w:rsid w:val="0021077C"/>
    <w:rsid w:val="002113E1"/>
    <w:rsid w:val="0021638D"/>
    <w:rsid w:val="00216767"/>
    <w:rsid w:val="002177C1"/>
    <w:rsid w:val="00230D38"/>
    <w:rsid w:val="002311E8"/>
    <w:rsid w:val="0023176E"/>
    <w:rsid w:val="00231F3B"/>
    <w:rsid w:val="002347B0"/>
    <w:rsid w:val="0023585E"/>
    <w:rsid w:val="002423FF"/>
    <w:rsid w:val="00242485"/>
    <w:rsid w:val="002427D6"/>
    <w:rsid w:val="002450A7"/>
    <w:rsid w:val="002479C2"/>
    <w:rsid w:val="002526FE"/>
    <w:rsid w:val="00252EAC"/>
    <w:rsid w:val="00254554"/>
    <w:rsid w:val="00255950"/>
    <w:rsid w:val="002626F2"/>
    <w:rsid w:val="002633EF"/>
    <w:rsid w:val="00263412"/>
    <w:rsid w:val="0026398E"/>
    <w:rsid w:val="00265664"/>
    <w:rsid w:val="002717F4"/>
    <w:rsid w:val="0027458D"/>
    <w:rsid w:val="0027702C"/>
    <w:rsid w:val="002805F1"/>
    <w:rsid w:val="00287486"/>
    <w:rsid w:val="00287ED6"/>
    <w:rsid w:val="002918C9"/>
    <w:rsid w:val="00292C6D"/>
    <w:rsid w:val="00292E42"/>
    <w:rsid w:val="002961F4"/>
    <w:rsid w:val="002A22E9"/>
    <w:rsid w:val="002A24D6"/>
    <w:rsid w:val="002A4A8E"/>
    <w:rsid w:val="002A4F54"/>
    <w:rsid w:val="002B432B"/>
    <w:rsid w:val="002C3053"/>
    <w:rsid w:val="002C4B77"/>
    <w:rsid w:val="002C4F39"/>
    <w:rsid w:val="002C54F0"/>
    <w:rsid w:val="002C5AC1"/>
    <w:rsid w:val="002C751B"/>
    <w:rsid w:val="002D2157"/>
    <w:rsid w:val="002D77A7"/>
    <w:rsid w:val="002E1AFF"/>
    <w:rsid w:val="002E5CE2"/>
    <w:rsid w:val="002E62D1"/>
    <w:rsid w:val="002E65AA"/>
    <w:rsid w:val="002E6C46"/>
    <w:rsid w:val="002E6FA4"/>
    <w:rsid w:val="002E74AF"/>
    <w:rsid w:val="002F10B5"/>
    <w:rsid w:val="002F1C4D"/>
    <w:rsid w:val="002F39C0"/>
    <w:rsid w:val="003008FE"/>
    <w:rsid w:val="0030589F"/>
    <w:rsid w:val="003062BF"/>
    <w:rsid w:val="00312088"/>
    <w:rsid w:val="00312310"/>
    <w:rsid w:val="003124FF"/>
    <w:rsid w:val="003128BD"/>
    <w:rsid w:val="003161E8"/>
    <w:rsid w:val="00321132"/>
    <w:rsid w:val="003249C0"/>
    <w:rsid w:val="00325A2F"/>
    <w:rsid w:val="00325AF5"/>
    <w:rsid w:val="00327574"/>
    <w:rsid w:val="00330548"/>
    <w:rsid w:val="0033540E"/>
    <w:rsid w:val="0033551F"/>
    <w:rsid w:val="00337490"/>
    <w:rsid w:val="00337DCB"/>
    <w:rsid w:val="00337E34"/>
    <w:rsid w:val="00340822"/>
    <w:rsid w:val="0034663F"/>
    <w:rsid w:val="0035133B"/>
    <w:rsid w:val="003514C9"/>
    <w:rsid w:val="00353A5A"/>
    <w:rsid w:val="00353BAA"/>
    <w:rsid w:val="003556BE"/>
    <w:rsid w:val="00357B3A"/>
    <w:rsid w:val="00360DF1"/>
    <w:rsid w:val="00362C9A"/>
    <w:rsid w:val="00363133"/>
    <w:rsid w:val="00363A5B"/>
    <w:rsid w:val="00365D47"/>
    <w:rsid w:val="0036624A"/>
    <w:rsid w:val="003662E6"/>
    <w:rsid w:val="003714B8"/>
    <w:rsid w:val="0037164E"/>
    <w:rsid w:val="00371C0D"/>
    <w:rsid w:val="00373095"/>
    <w:rsid w:val="00373730"/>
    <w:rsid w:val="003738D5"/>
    <w:rsid w:val="00374661"/>
    <w:rsid w:val="00374D18"/>
    <w:rsid w:val="00374DF8"/>
    <w:rsid w:val="00375907"/>
    <w:rsid w:val="003770E6"/>
    <w:rsid w:val="00377E05"/>
    <w:rsid w:val="00380251"/>
    <w:rsid w:val="00381399"/>
    <w:rsid w:val="00386631"/>
    <w:rsid w:val="00395647"/>
    <w:rsid w:val="003A0601"/>
    <w:rsid w:val="003A4365"/>
    <w:rsid w:val="003A675B"/>
    <w:rsid w:val="003B0DCE"/>
    <w:rsid w:val="003B140E"/>
    <w:rsid w:val="003B2C40"/>
    <w:rsid w:val="003B6184"/>
    <w:rsid w:val="003C0D96"/>
    <w:rsid w:val="003C1729"/>
    <w:rsid w:val="003C3A82"/>
    <w:rsid w:val="003D0489"/>
    <w:rsid w:val="003D5264"/>
    <w:rsid w:val="003E070B"/>
    <w:rsid w:val="003E146F"/>
    <w:rsid w:val="003E1C1A"/>
    <w:rsid w:val="003E257E"/>
    <w:rsid w:val="003E4849"/>
    <w:rsid w:val="003E7DB6"/>
    <w:rsid w:val="003F1C8A"/>
    <w:rsid w:val="003F285F"/>
    <w:rsid w:val="003F2B49"/>
    <w:rsid w:val="003F53CE"/>
    <w:rsid w:val="00402AC1"/>
    <w:rsid w:val="00402AFA"/>
    <w:rsid w:val="00403410"/>
    <w:rsid w:val="00403E64"/>
    <w:rsid w:val="00407848"/>
    <w:rsid w:val="004120FE"/>
    <w:rsid w:val="00412122"/>
    <w:rsid w:val="004121B4"/>
    <w:rsid w:val="0041446C"/>
    <w:rsid w:val="0041496B"/>
    <w:rsid w:val="00417043"/>
    <w:rsid w:val="00421CE1"/>
    <w:rsid w:val="00424018"/>
    <w:rsid w:val="00430E32"/>
    <w:rsid w:val="00433766"/>
    <w:rsid w:val="00436452"/>
    <w:rsid w:val="00440DCA"/>
    <w:rsid w:val="00453DD5"/>
    <w:rsid w:val="0045769D"/>
    <w:rsid w:val="004601E7"/>
    <w:rsid w:val="00467264"/>
    <w:rsid w:val="00470032"/>
    <w:rsid w:val="004716AC"/>
    <w:rsid w:val="00471E42"/>
    <w:rsid w:val="00474D5E"/>
    <w:rsid w:val="0047530F"/>
    <w:rsid w:val="00476578"/>
    <w:rsid w:val="00480F7D"/>
    <w:rsid w:val="00481E0A"/>
    <w:rsid w:val="0048302B"/>
    <w:rsid w:val="0048405D"/>
    <w:rsid w:val="004866C8"/>
    <w:rsid w:val="00487EFF"/>
    <w:rsid w:val="004916D7"/>
    <w:rsid w:val="00494526"/>
    <w:rsid w:val="00494C03"/>
    <w:rsid w:val="004A0E06"/>
    <w:rsid w:val="004A2357"/>
    <w:rsid w:val="004A4B1D"/>
    <w:rsid w:val="004A5924"/>
    <w:rsid w:val="004A743A"/>
    <w:rsid w:val="004B19D0"/>
    <w:rsid w:val="004B236F"/>
    <w:rsid w:val="004B44E3"/>
    <w:rsid w:val="004B5F81"/>
    <w:rsid w:val="004B6918"/>
    <w:rsid w:val="004C5230"/>
    <w:rsid w:val="004C54F8"/>
    <w:rsid w:val="004C5C4C"/>
    <w:rsid w:val="004C614D"/>
    <w:rsid w:val="004D1059"/>
    <w:rsid w:val="004D30DA"/>
    <w:rsid w:val="004D3147"/>
    <w:rsid w:val="004D3F45"/>
    <w:rsid w:val="004D5DD5"/>
    <w:rsid w:val="004E0476"/>
    <w:rsid w:val="004E1265"/>
    <w:rsid w:val="004E3667"/>
    <w:rsid w:val="004E52B9"/>
    <w:rsid w:val="004E5A8B"/>
    <w:rsid w:val="004E65FC"/>
    <w:rsid w:val="004F0572"/>
    <w:rsid w:val="004F0B4D"/>
    <w:rsid w:val="004F172A"/>
    <w:rsid w:val="004F29CE"/>
    <w:rsid w:val="004F2D94"/>
    <w:rsid w:val="004F3A96"/>
    <w:rsid w:val="004F4CAA"/>
    <w:rsid w:val="004F59EF"/>
    <w:rsid w:val="004F7AE7"/>
    <w:rsid w:val="004F7B45"/>
    <w:rsid w:val="005013A7"/>
    <w:rsid w:val="00502F55"/>
    <w:rsid w:val="005039EF"/>
    <w:rsid w:val="00507FC1"/>
    <w:rsid w:val="0051114A"/>
    <w:rsid w:val="005116AA"/>
    <w:rsid w:val="0051790E"/>
    <w:rsid w:val="00520554"/>
    <w:rsid w:val="00521197"/>
    <w:rsid w:val="0052122E"/>
    <w:rsid w:val="005236E9"/>
    <w:rsid w:val="00523A36"/>
    <w:rsid w:val="00524CEA"/>
    <w:rsid w:val="0052524A"/>
    <w:rsid w:val="005266D5"/>
    <w:rsid w:val="00531466"/>
    <w:rsid w:val="00532447"/>
    <w:rsid w:val="00532A9E"/>
    <w:rsid w:val="00535926"/>
    <w:rsid w:val="00537ABD"/>
    <w:rsid w:val="00542FB2"/>
    <w:rsid w:val="00545FCD"/>
    <w:rsid w:val="00547C8F"/>
    <w:rsid w:val="00547E25"/>
    <w:rsid w:val="00550CC5"/>
    <w:rsid w:val="00551D38"/>
    <w:rsid w:val="005525DE"/>
    <w:rsid w:val="00554B82"/>
    <w:rsid w:val="00562BDE"/>
    <w:rsid w:val="005646C9"/>
    <w:rsid w:val="00571265"/>
    <w:rsid w:val="00572380"/>
    <w:rsid w:val="00575964"/>
    <w:rsid w:val="0057646C"/>
    <w:rsid w:val="0058045B"/>
    <w:rsid w:val="00580565"/>
    <w:rsid w:val="0058114F"/>
    <w:rsid w:val="00581FD4"/>
    <w:rsid w:val="00582961"/>
    <w:rsid w:val="00584592"/>
    <w:rsid w:val="0058560B"/>
    <w:rsid w:val="00586E2E"/>
    <w:rsid w:val="0058780F"/>
    <w:rsid w:val="00590F2F"/>
    <w:rsid w:val="00591D25"/>
    <w:rsid w:val="00592C38"/>
    <w:rsid w:val="00593FE0"/>
    <w:rsid w:val="005951E5"/>
    <w:rsid w:val="00595204"/>
    <w:rsid w:val="005971D9"/>
    <w:rsid w:val="00597304"/>
    <w:rsid w:val="005A273D"/>
    <w:rsid w:val="005B265E"/>
    <w:rsid w:val="005B427F"/>
    <w:rsid w:val="005B4BD5"/>
    <w:rsid w:val="005B7817"/>
    <w:rsid w:val="005B7FC7"/>
    <w:rsid w:val="005C2C0D"/>
    <w:rsid w:val="005C3533"/>
    <w:rsid w:val="005C39B2"/>
    <w:rsid w:val="005C3A45"/>
    <w:rsid w:val="005C3B05"/>
    <w:rsid w:val="005C6BF6"/>
    <w:rsid w:val="005D16E4"/>
    <w:rsid w:val="005D2D6D"/>
    <w:rsid w:val="005D3387"/>
    <w:rsid w:val="005D5615"/>
    <w:rsid w:val="005D6129"/>
    <w:rsid w:val="005E36C3"/>
    <w:rsid w:val="005E3B3B"/>
    <w:rsid w:val="005E52B4"/>
    <w:rsid w:val="005E5B64"/>
    <w:rsid w:val="005F1EFF"/>
    <w:rsid w:val="005F2902"/>
    <w:rsid w:val="005F3C2E"/>
    <w:rsid w:val="005F47E1"/>
    <w:rsid w:val="005F54D3"/>
    <w:rsid w:val="00605F36"/>
    <w:rsid w:val="0061017C"/>
    <w:rsid w:val="0061293A"/>
    <w:rsid w:val="00615552"/>
    <w:rsid w:val="00616F19"/>
    <w:rsid w:val="0062093A"/>
    <w:rsid w:val="00622563"/>
    <w:rsid w:val="006249A5"/>
    <w:rsid w:val="006307EF"/>
    <w:rsid w:val="00631EFD"/>
    <w:rsid w:val="0063269A"/>
    <w:rsid w:val="00634D8A"/>
    <w:rsid w:val="00635056"/>
    <w:rsid w:val="00640C9E"/>
    <w:rsid w:val="00641873"/>
    <w:rsid w:val="00643750"/>
    <w:rsid w:val="00645DF3"/>
    <w:rsid w:val="00646076"/>
    <w:rsid w:val="006462AF"/>
    <w:rsid w:val="006510AC"/>
    <w:rsid w:val="0065439B"/>
    <w:rsid w:val="006570BA"/>
    <w:rsid w:val="00657475"/>
    <w:rsid w:val="00665E97"/>
    <w:rsid w:val="00666432"/>
    <w:rsid w:val="006673A9"/>
    <w:rsid w:val="00667DA8"/>
    <w:rsid w:val="006704EF"/>
    <w:rsid w:val="006716A5"/>
    <w:rsid w:val="00671914"/>
    <w:rsid w:val="00672786"/>
    <w:rsid w:val="0067614F"/>
    <w:rsid w:val="0067624A"/>
    <w:rsid w:val="006803B4"/>
    <w:rsid w:val="006812E8"/>
    <w:rsid w:val="00681443"/>
    <w:rsid w:val="00683FA2"/>
    <w:rsid w:val="00685A73"/>
    <w:rsid w:val="00686DE9"/>
    <w:rsid w:val="006870EF"/>
    <w:rsid w:val="006874C0"/>
    <w:rsid w:val="0069158D"/>
    <w:rsid w:val="00693959"/>
    <w:rsid w:val="006956E7"/>
    <w:rsid w:val="00695C0F"/>
    <w:rsid w:val="006969ED"/>
    <w:rsid w:val="006A156E"/>
    <w:rsid w:val="006A3279"/>
    <w:rsid w:val="006B0886"/>
    <w:rsid w:val="006B09D8"/>
    <w:rsid w:val="006B11E4"/>
    <w:rsid w:val="006B2B37"/>
    <w:rsid w:val="006B3EE4"/>
    <w:rsid w:val="006B59EA"/>
    <w:rsid w:val="006B62B6"/>
    <w:rsid w:val="006B6850"/>
    <w:rsid w:val="006C50E8"/>
    <w:rsid w:val="006C58E7"/>
    <w:rsid w:val="006D00D9"/>
    <w:rsid w:val="006D1203"/>
    <w:rsid w:val="006D30CF"/>
    <w:rsid w:val="006D4A39"/>
    <w:rsid w:val="006D5089"/>
    <w:rsid w:val="006D635D"/>
    <w:rsid w:val="006E19AB"/>
    <w:rsid w:val="006E245C"/>
    <w:rsid w:val="006E36A0"/>
    <w:rsid w:val="006E5D63"/>
    <w:rsid w:val="006E727F"/>
    <w:rsid w:val="006F0BC1"/>
    <w:rsid w:val="006F2738"/>
    <w:rsid w:val="006F29BC"/>
    <w:rsid w:val="006F2F19"/>
    <w:rsid w:val="006F3901"/>
    <w:rsid w:val="006F3EE2"/>
    <w:rsid w:val="006F480F"/>
    <w:rsid w:val="006F557E"/>
    <w:rsid w:val="006F7764"/>
    <w:rsid w:val="0070101D"/>
    <w:rsid w:val="00701207"/>
    <w:rsid w:val="007017A1"/>
    <w:rsid w:val="00706CA8"/>
    <w:rsid w:val="0071030F"/>
    <w:rsid w:val="00722324"/>
    <w:rsid w:val="00723364"/>
    <w:rsid w:val="007243ED"/>
    <w:rsid w:val="00725DDC"/>
    <w:rsid w:val="00725ECD"/>
    <w:rsid w:val="0072646B"/>
    <w:rsid w:val="0072654F"/>
    <w:rsid w:val="00727111"/>
    <w:rsid w:val="00727374"/>
    <w:rsid w:val="00727B12"/>
    <w:rsid w:val="0073290A"/>
    <w:rsid w:val="007338BC"/>
    <w:rsid w:val="007343D7"/>
    <w:rsid w:val="0073730A"/>
    <w:rsid w:val="007374F3"/>
    <w:rsid w:val="00737C95"/>
    <w:rsid w:val="00742594"/>
    <w:rsid w:val="0074357E"/>
    <w:rsid w:val="00743F80"/>
    <w:rsid w:val="007441C6"/>
    <w:rsid w:val="00751A00"/>
    <w:rsid w:val="0075348E"/>
    <w:rsid w:val="0075496E"/>
    <w:rsid w:val="00761A9D"/>
    <w:rsid w:val="0076334C"/>
    <w:rsid w:val="0076544D"/>
    <w:rsid w:val="007659C3"/>
    <w:rsid w:val="007708FE"/>
    <w:rsid w:val="007715C3"/>
    <w:rsid w:val="00773C50"/>
    <w:rsid w:val="00776D8F"/>
    <w:rsid w:val="0078072D"/>
    <w:rsid w:val="0078154B"/>
    <w:rsid w:val="00781AA6"/>
    <w:rsid w:val="007849BE"/>
    <w:rsid w:val="00784BA3"/>
    <w:rsid w:val="00784C53"/>
    <w:rsid w:val="00785733"/>
    <w:rsid w:val="00785FF8"/>
    <w:rsid w:val="007865C2"/>
    <w:rsid w:val="0079376B"/>
    <w:rsid w:val="007A0F20"/>
    <w:rsid w:val="007A1278"/>
    <w:rsid w:val="007A39AF"/>
    <w:rsid w:val="007A5168"/>
    <w:rsid w:val="007A548D"/>
    <w:rsid w:val="007A6C77"/>
    <w:rsid w:val="007A76E8"/>
    <w:rsid w:val="007B163E"/>
    <w:rsid w:val="007B4DE3"/>
    <w:rsid w:val="007B5557"/>
    <w:rsid w:val="007C005B"/>
    <w:rsid w:val="007C02B6"/>
    <w:rsid w:val="007C2F1F"/>
    <w:rsid w:val="007C4D22"/>
    <w:rsid w:val="007C6CD1"/>
    <w:rsid w:val="007C72E1"/>
    <w:rsid w:val="007C7F15"/>
    <w:rsid w:val="007D04A3"/>
    <w:rsid w:val="007D37D1"/>
    <w:rsid w:val="007E363A"/>
    <w:rsid w:val="007E3953"/>
    <w:rsid w:val="007E3BE5"/>
    <w:rsid w:val="007E641D"/>
    <w:rsid w:val="007F10B3"/>
    <w:rsid w:val="007F20F8"/>
    <w:rsid w:val="007F2F0B"/>
    <w:rsid w:val="007F47A5"/>
    <w:rsid w:val="008008F1"/>
    <w:rsid w:val="00802652"/>
    <w:rsid w:val="0080613D"/>
    <w:rsid w:val="00806352"/>
    <w:rsid w:val="00807AE5"/>
    <w:rsid w:val="00807E9A"/>
    <w:rsid w:val="00821D20"/>
    <w:rsid w:val="0082272E"/>
    <w:rsid w:val="00822AB3"/>
    <w:rsid w:val="00825AFB"/>
    <w:rsid w:val="0083048D"/>
    <w:rsid w:val="00830B09"/>
    <w:rsid w:val="00831654"/>
    <w:rsid w:val="00841BF1"/>
    <w:rsid w:val="00842CE4"/>
    <w:rsid w:val="008460D4"/>
    <w:rsid w:val="00846986"/>
    <w:rsid w:val="00850A8A"/>
    <w:rsid w:val="00850EF1"/>
    <w:rsid w:val="00852E2F"/>
    <w:rsid w:val="0085330E"/>
    <w:rsid w:val="00854272"/>
    <w:rsid w:val="00854D85"/>
    <w:rsid w:val="00854EEB"/>
    <w:rsid w:val="0086433C"/>
    <w:rsid w:val="00864FA3"/>
    <w:rsid w:val="008657F3"/>
    <w:rsid w:val="00866087"/>
    <w:rsid w:val="008714FC"/>
    <w:rsid w:val="008715AD"/>
    <w:rsid w:val="00875D70"/>
    <w:rsid w:val="008766A6"/>
    <w:rsid w:val="008802BD"/>
    <w:rsid w:val="00882A8E"/>
    <w:rsid w:val="00883898"/>
    <w:rsid w:val="00884413"/>
    <w:rsid w:val="00884A45"/>
    <w:rsid w:val="00886301"/>
    <w:rsid w:val="008875CD"/>
    <w:rsid w:val="00890450"/>
    <w:rsid w:val="00891772"/>
    <w:rsid w:val="00894CCC"/>
    <w:rsid w:val="00895348"/>
    <w:rsid w:val="00896350"/>
    <w:rsid w:val="008A0E73"/>
    <w:rsid w:val="008A2029"/>
    <w:rsid w:val="008A59A8"/>
    <w:rsid w:val="008A72C1"/>
    <w:rsid w:val="008A7619"/>
    <w:rsid w:val="008B02C0"/>
    <w:rsid w:val="008B0AA7"/>
    <w:rsid w:val="008B0ED6"/>
    <w:rsid w:val="008B4590"/>
    <w:rsid w:val="008B45F4"/>
    <w:rsid w:val="008B52FD"/>
    <w:rsid w:val="008B55D6"/>
    <w:rsid w:val="008B6552"/>
    <w:rsid w:val="008B77E1"/>
    <w:rsid w:val="008C1661"/>
    <w:rsid w:val="008C1F6C"/>
    <w:rsid w:val="008C2256"/>
    <w:rsid w:val="008C7992"/>
    <w:rsid w:val="008D3D5E"/>
    <w:rsid w:val="008D4577"/>
    <w:rsid w:val="008D464B"/>
    <w:rsid w:val="008D6004"/>
    <w:rsid w:val="008E4936"/>
    <w:rsid w:val="008E5107"/>
    <w:rsid w:val="008E5457"/>
    <w:rsid w:val="008E570B"/>
    <w:rsid w:val="008E703C"/>
    <w:rsid w:val="008F017E"/>
    <w:rsid w:val="008F04F5"/>
    <w:rsid w:val="008F5168"/>
    <w:rsid w:val="008F6516"/>
    <w:rsid w:val="009028A3"/>
    <w:rsid w:val="00904707"/>
    <w:rsid w:val="00905C7B"/>
    <w:rsid w:val="00906D1D"/>
    <w:rsid w:val="0090751A"/>
    <w:rsid w:val="009105E4"/>
    <w:rsid w:val="00910771"/>
    <w:rsid w:val="00914C49"/>
    <w:rsid w:val="00915115"/>
    <w:rsid w:val="0091589A"/>
    <w:rsid w:val="009175D8"/>
    <w:rsid w:val="00922917"/>
    <w:rsid w:val="00923AFE"/>
    <w:rsid w:val="0092550C"/>
    <w:rsid w:val="00925CE4"/>
    <w:rsid w:val="0092614A"/>
    <w:rsid w:val="00927B61"/>
    <w:rsid w:val="009326BF"/>
    <w:rsid w:val="009410A7"/>
    <w:rsid w:val="00942180"/>
    <w:rsid w:val="00942C3F"/>
    <w:rsid w:val="00943D03"/>
    <w:rsid w:val="0094781C"/>
    <w:rsid w:val="00950697"/>
    <w:rsid w:val="00953967"/>
    <w:rsid w:val="009577F5"/>
    <w:rsid w:val="00957A89"/>
    <w:rsid w:val="009602B9"/>
    <w:rsid w:val="009623E4"/>
    <w:rsid w:val="00962C87"/>
    <w:rsid w:val="00964257"/>
    <w:rsid w:val="00966BFE"/>
    <w:rsid w:val="00974094"/>
    <w:rsid w:val="0097431B"/>
    <w:rsid w:val="00974666"/>
    <w:rsid w:val="00974923"/>
    <w:rsid w:val="00975C9D"/>
    <w:rsid w:val="00975D55"/>
    <w:rsid w:val="00977DEB"/>
    <w:rsid w:val="009830A4"/>
    <w:rsid w:val="00984F06"/>
    <w:rsid w:val="00986EBC"/>
    <w:rsid w:val="009903B2"/>
    <w:rsid w:val="009913DF"/>
    <w:rsid w:val="009941C7"/>
    <w:rsid w:val="009947FF"/>
    <w:rsid w:val="00994A4B"/>
    <w:rsid w:val="00997B76"/>
    <w:rsid w:val="009A0703"/>
    <w:rsid w:val="009A200B"/>
    <w:rsid w:val="009A3990"/>
    <w:rsid w:val="009A3B17"/>
    <w:rsid w:val="009A6B99"/>
    <w:rsid w:val="009B15C4"/>
    <w:rsid w:val="009B23CD"/>
    <w:rsid w:val="009B378A"/>
    <w:rsid w:val="009B39C8"/>
    <w:rsid w:val="009B4FF9"/>
    <w:rsid w:val="009B5077"/>
    <w:rsid w:val="009B5797"/>
    <w:rsid w:val="009B7E5F"/>
    <w:rsid w:val="009B7F8B"/>
    <w:rsid w:val="009C18AE"/>
    <w:rsid w:val="009C18B7"/>
    <w:rsid w:val="009C268A"/>
    <w:rsid w:val="009C5D32"/>
    <w:rsid w:val="009C7F49"/>
    <w:rsid w:val="009D2235"/>
    <w:rsid w:val="009D2446"/>
    <w:rsid w:val="009D6E82"/>
    <w:rsid w:val="009D77AB"/>
    <w:rsid w:val="009E10DA"/>
    <w:rsid w:val="009E16D6"/>
    <w:rsid w:val="009F3EA2"/>
    <w:rsid w:val="009F5ABB"/>
    <w:rsid w:val="009F7858"/>
    <w:rsid w:val="00A01469"/>
    <w:rsid w:val="00A03981"/>
    <w:rsid w:val="00A0526F"/>
    <w:rsid w:val="00A0584A"/>
    <w:rsid w:val="00A072E6"/>
    <w:rsid w:val="00A13E4A"/>
    <w:rsid w:val="00A14BEE"/>
    <w:rsid w:val="00A173D9"/>
    <w:rsid w:val="00A20190"/>
    <w:rsid w:val="00A20218"/>
    <w:rsid w:val="00A20922"/>
    <w:rsid w:val="00A20A94"/>
    <w:rsid w:val="00A21195"/>
    <w:rsid w:val="00A23F8C"/>
    <w:rsid w:val="00A24A64"/>
    <w:rsid w:val="00A26B7C"/>
    <w:rsid w:val="00A300BC"/>
    <w:rsid w:val="00A31695"/>
    <w:rsid w:val="00A31F54"/>
    <w:rsid w:val="00A322E2"/>
    <w:rsid w:val="00A35362"/>
    <w:rsid w:val="00A4034C"/>
    <w:rsid w:val="00A41A35"/>
    <w:rsid w:val="00A420E6"/>
    <w:rsid w:val="00A46797"/>
    <w:rsid w:val="00A4694E"/>
    <w:rsid w:val="00A52F39"/>
    <w:rsid w:val="00A54518"/>
    <w:rsid w:val="00A55F35"/>
    <w:rsid w:val="00A55FDB"/>
    <w:rsid w:val="00A56106"/>
    <w:rsid w:val="00A611BD"/>
    <w:rsid w:val="00A612E9"/>
    <w:rsid w:val="00A63268"/>
    <w:rsid w:val="00A637CC"/>
    <w:rsid w:val="00A638C5"/>
    <w:rsid w:val="00A64A26"/>
    <w:rsid w:val="00A64CA4"/>
    <w:rsid w:val="00A6623F"/>
    <w:rsid w:val="00A706C9"/>
    <w:rsid w:val="00A7134A"/>
    <w:rsid w:val="00A720EE"/>
    <w:rsid w:val="00A72D10"/>
    <w:rsid w:val="00A73DC1"/>
    <w:rsid w:val="00A74E83"/>
    <w:rsid w:val="00A75ECA"/>
    <w:rsid w:val="00A81CE4"/>
    <w:rsid w:val="00A82B9C"/>
    <w:rsid w:val="00A840DB"/>
    <w:rsid w:val="00A85CC5"/>
    <w:rsid w:val="00A86A98"/>
    <w:rsid w:val="00A905B0"/>
    <w:rsid w:val="00A920A1"/>
    <w:rsid w:val="00A93168"/>
    <w:rsid w:val="00A94E02"/>
    <w:rsid w:val="00A95740"/>
    <w:rsid w:val="00AB0630"/>
    <w:rsid w:val="00AB1436"/>
    <w:rsid w:val="00AB214F"/>
    <w:rsid w:val="00AB336D"/>
    <w:rsid w:val="00AB44BF"/>
    <w:rsid w:val="00AB6151"/>
    <w:rsid w:val="00AC1443"/>
    <w:rsid w:val="00AC4443"/>
    <w:rsid w:val="00AC5DB0"/>
    <w:rsid w:val="00AC7402"/>
    <w:rsid w:val="00AC7970"/>
    <w:rsid w:val="00AD199E"/>
    <w:rsid w:val="00AD271F"/>
    <w:rsid w:val="00AD37AF"/>
    <w:rsid w:val="00AD3AA8"/>
    <w:rsid w:val="00AD6BD9"/>
    <w:rsid w:val="00AE0332"/>
    <w:rsid w:val="00AE1AB7"/>
    <w:rsid w:val="00AE4472"/>
    <w:rsid w:val="00AE450F"/>
    <w:rsid w:val="00AE66E2"/>
    <w:rsid w:val="00AF1E70"/>
    <w:rsid w:val="00AF1F06"/>
    <w:rsid w:val="00AF4DF7"/>
    <w:rsid w:val="00AF715E"/>
    <w:rsid w:val="00B0285B"/>
    <w:rsid w:val="00B02CC5"/>
    <w:rsid w:val="00B03E52"/>
    <w:rsid w:val="00B06DDF"/>
    <w:rsid w:val="00B07C78"/>
    <w:rsid w:val="00B07ED4"/>
    <w:rsid w:val="00B105B0"/>
    <w:rsid w:val="00B1185F"/>
    <w:rsid w:val="00B131A2"/>
    <w:rsid w:val="00B13DFC"/>
    <w:rsid w:val="00B1405C"/>
    <w:rsid w:val="00B16328"/>
    <w:rsid w:val="00B2103D"/>
    <w:rsid w:val="00B22594"/>
    <w:rsid w:val="00B24035"/>
    <w:rsid w:val="00B27A21"/>
    <w:rsid w:val="00B27AFE"/>
    <w:rsid w:val="00B31175"/>
    <w:rsid w:val="00B324D1"/>
    <w:rsid w:val="00B3346C"/>
    <w:rsid w:val="00B33867"/>
    <w:rsid w:val="00B35920"/>
    <w:rsid w:val="00B35924"/>
    <w:rsid w:val="00B37AAC"/>
    <w:rsid w:val="00B401E7"/>
    <w:rsid w:val="00B423CB"/>
    <w:rsid w:val="00B43941"/>
    <w:rsid w:val="00B43CBE"/>
    <w:rsid w:val="00B460D6"/>
    <w:rsid w:val="00B463C0"/>
    <w:rsid w:val="00B508A5"/>
    <w:rsid w:val="00B510C3"/>
    <w:rsid w:val="00B5119A"/>
    <w:rsid w:val="00B513C3"/>
    <w:rsid w:val="00B52311"/>
    <w:rsid w:val="00B56FD2"/>
    <w:rsid w:val="00B57434"/>
    <w:rsid w:val="00B61022"/>
    <w:rsid w:val="00B612AE"/>
    <w:rsid w:val="00B64AE3"/>
    <w:rsid w:val="00B71B85"/>
    <w:rsid w:val="00B808A4"/>
    <w:rsid w:val="00B82F92"/>
    <w:rsid w:val="00B83EA9"/>
    <w:rsid w:val="00B85152"/>
    <w:rsid w:val="00B85E8A"/>
    <w:rsid w:val="00B86582"/>
    <w:rsid w:val="00B87713"/>
    <w:rsid w:val="00B87762"/>
    <w:rsid w:val="00B9281B"/>
    <w:rsid w:val="00B93043"/>
    <w:rsid w:val="00B93911"/>
    <w:rsid w:val="00B946A0"/>
    <w:rsid w:val="00B972CC"/>
    <w:rsid w:val="00BA008F"/>
    <w:rsid w:val="00BA0C36"/>
    <w:rsid w:val="00BA1C44"/>
    <w:rsid w:val="00BA475F"/>
    <w:rsid w:val="00BA5DFB"/>
    <w:rsid w:val="00BA792B"/>
    <w:rsid w:val="00BB21AF"/>
    <w:rsid w:val="00BB2C89"/>
    <w:rsid w:val="00BB6C1C"/>
    <w:rsid w:val="00BC115F"/>
    <w:rsid w:val="00BC1CAC"/>
    <w:rsid w:val="00BC50DF"/>
    <w:rsid w:val="00BC6773"/>
    <w:rsid w:val="00BC6F18"/>
    <w:rsid w:val="00BC71D5"/>
    <w:rsid w:val="00BD3D6A"/>
    <w:rsid w:val="00BD42B5"/>
    <w:rsid w:val="00BD6078"/>
    <w:rsid w:val="00BD694F"/>
    <w:rsid w:val="00BE0A72"/>
    <w:rsid w:val="00BE1CCA"/>
    <w:rsid w:val="00BE1FB6"/>
    <w:rsid w:val="00BE2E1A"/>
    <w:rsid w:val="00BE3753"/>
    <w:rsid w:val="00BE440D"/>
    <w:rsid w:val="00BE5E2E"/>
    <w:rsid w:val="00BE79F0"/>
    <w:rsid w:val="00BF3022"/>
    <w:rsid w:val="00BF4AFD"/>
    <w:rsid w:val="00BF5033"/>
    <w:rsid w:val="00BF69D7"/>
    <w:rsid w:val="00BF6AA1"/>
    <w:rsid w:val="00BF7FA7"/>
    <w:rsid w:val="00C0141D"/>
    <w:rsid w:val="00C02EBB"/>
    <w:rsid w:val="00C0366D"/>
    <w:rsid w:val="00C0477E"/>
    <w:rsid w:val="00C0783C"/>
    <w:rsid w:val="00C07B6E"/>
    <w:rsid w:val="00C10D05"/>
    <w:rsid w:val="00C10D99"/>
    <w:rsid w:val="00C113C4"/>
    <w:rsid w:val="00C12C6B"/>
    <w:rsid w:val="00C12FDA"/>
    <w:rsid w:val="00C15EDB"/>
    <w:rsid w:val="00C204E6"/>
    <w:rsid w:val="00C217A4"/>
    <w:rsid w:val="00C23C67"/>
    <w:rsid w:val="00C2482B"/>
    <w:rsid w:val="00C26C2D"/>
    <w:rsid w:val="00C31F43"/>
    <w:rsid w:val="00C34831"/>
    <w:rsid w:val="00C34B38"/>
    <w:rsid w:val="00C400EB"/>
    <w:rsid w:val="00C40C82"/>
    <w:rsid w:val="00C413AC"/>
    <w:rsid w:val="00C416FD"/>
    <w:rsid w:val="00C42390"/>
    <w:rsid w:val="00C423D9"/>
    <w:rsid w:val="00C44E2C"/>
    <w:rsid w:val="00C456FD"/>
    <w:rsid w:val="00C472ED"/>
    <w:rsid w:val="00C50F52"/>
    <w:rsid w:val="00C5158F"/>
    <w:rsid w:val="00C52A84"/>
    <w:rsid w:val="00C61ED8"/>
    <w:rsid w:val="00C633E1"/>
    <w:rsid w:val="00C63B71"/>
    <w:rsid w:val="00C63E83"/>
    <w:rsid w:val="00C66BEA"/>
    <w:rsid w:val="00C67E1E"/>
    <w:rsid w:val="00C72CF2"/>
    <w:rsid w:val="00C73472"/>
    <w:rsid w:val="00C7451C"/>
    <w:rsid w:val="00C749FB"/>
    <w:rsid w:val="00C750AB"/>
    <w:rsid w:val="00C77154"/>
    <w:rsid w:val="00C81920"/>
    <w:rsid w:val="00C83799"/>
    <w:rsid w:val="00C87BF3"/>
    <w:rsid w:val="00C907B6"/>
    <w:rsid w:val="00C90915"/>
    <w:rsid w:val="00C91B37"/>
    <w:rsid w:val="00C92E60"/>
    <w:rsid w:val="00C96146"/>
    <w:rsid w:val="00CA1BF8"/>
    <w:rsid w:val="00CA2050"/>
    <w:rsid w:val="00CA399C"/>
    <w:rsid w:val="00CA6486"/>
    <w:rsid w:val="00CA6E49"/>
    <w:rsid w:val="00CA6F83"/>
    <w:rsid w:val="00CB0D3B"/>
    <w:rsid w:val="00CB31FB"/>
    <w:rsid w:val="00CB644B"/>
    <w:rsid w:val="00CC4148"/>
    <w:rsid w:val="00CC421B"/>
    <w:rsid w:val="00CC4B91"/>
    <w:rsid w:val="00CC527F"/>
    <w:rsid w:val="00CC6872"/>
    <w:rsid w:val="00CD0F7E"/>
    <w:rsid w:val="00CD44FA"/>
    <w:rsid w:val="00CE134E"/>
    <w:rsid w:val="00CE33E7"/>
    <w:rsid w:val="00CE6F72"/>
    <w:rsid w:val="00CF1F60"/>
    <w:rsid w:val="00CF23E8"/>
    <w:rsid w:val="00CF4D29"/>
    <w:rsid w:val="00CF5503"/>
    <w:rsid w:val="00CF6823"/>
    <w:rsid w:val="00D009BE"/>
    <w:rsid w:val="00D03839"/>
    <w:rsid w:val="00D04406"/>
    <w:rsid w:val="00D0584A"/>
    <w:rsid w:val="00D06409"/>
    <w:rsid w:val="00D06F40"/>
    <w:rsid w:val="00D1022F"/>
    <w:rsid w:val="00D10960"/>
    <w:rsid w:val="00D126B0"/>
    <w:rsid w:val="00D134F4"/>
    <w:rsid w:val="00D14E07"/>
    <w:rsid w:val="00D15CB4"/>
    <w:rsid w:val="00D165BD"/>
    <w:rsid w:val="00D16F8F"/>
    <w:rsid w:val="00D21AAE"/>
    <w:rsid w:val="00D2243A"/>
    <w:rsid w:val="00D23FA3"/>
    <w:rsid w:val="00D25EC6"/>
    <w:rsid w:val="00D25F54"/>
    <w:rsid w:val="00D264E2"/>
    <w:rsid w:val="00D27CBA"/>
    <w:rsid w:val="00D31DD0"/>
    <w:rsid w:val="00D34EA3"/>
    <w:rsid w:val="00D414F2"/>
    <w:rsid w:val="00D44BC9"/>
    <w:rsid w:val="00D44BEE"/>
    <w:rsid w:val="00D457A4"/>
    <w:rsid w:val="00D45EFA"/>
    <w:rsid w:val="00D5104A"/>
    <w:rsid w:val="00D61A11"/>
    <w:rsid w:val="00D63B46"/>
    <w:rsid w:val="00D65620"/>
    <w:rsid w:val="00D6770A"/>
    <w:rsid w:val="00D70ADF"/>
    <w:rsid w:val="00D70DCD"/>
    <w:rsid w:val="00D72759"/>
    <w:rsid w:val="00D74128"/>
    <w:rsid w:val="00D816F8"/>
    <w:rsid w:val="00D83C3A"/>
    <w:rsid w:val="00D84EC4"/>
    <w:rsid w:val="00D850E7"/>
    <w:rsid w:val="00D868C8"/>
    <w:rsid w:val="00D87206"/>
    <w:rsid w:val="00D872A9"/>
    <w:rsid w:val="00D90175"/>
    <w:rsid w:val="00D92177"/>
    <w:rsid w:val="00D925A2"/>
    <w:rsid w:val="00D93368"/>
    <w:rsid w:val="00D93433"/>
    <w:rsid w:val="00D939D0"/>
    <w:rsid w:val="00D93DFE"/>
    <w:rsid w:val="00DA0D1B"/>
    <w:rsid w:val="00DA2D94"/>
    <w:rsid w:val="00DA4813"/>
    <w:rsid w:val="00DA49DD"/>
    <w:rsid w:val="00DA6273"/>
    <w:rsid w:val="00DA6AB5"/>
    <w:rsid w:val="00DA6F0F"/>
    <w:rsid w:val="00DA77BC"/>
    <w:rsid w:val="00DB1EBC"/>
    <w:rsid w:val="00DB47BC"/>
    <w:rsid w:val="00DC0984"/>
    <w:rsid w:val="00DC25C4"/>
    <w:rsid w:val="00DC4172"/>
    <w:rsid w:val="00DC4AF1"/>
    <w:rsid w:val="00DD08BE"/>
    <w:rsid w:val="00DD159B"/>
    <w:rsid w:val="00DD19A0"/>
    <w:rsid w:val="00DD21BA"/>
    <w:rsid w:val="00DD33FD"/>
    <w:rsid w:val="00DD391A"/>
    <w:rsid w:val="00DD73FA"/>
    <w:rsid w:val="00DD746D"/>
    <w:rsid w:val="00DE665D"/>
    <w:rsid w:val="00DE6A3E"/>
    <w:rsid w:val="00DF0DBA"/>
    <w:rsid w:val="00DF159E"/>
    <w:rsid w:val="00DF2122"/>
    <w:rsid w:val="00DF229E"/>
    <w:rsid w:val="00DF2574"/>
    <w:rsid w:val="00DF3EC0"/>
    <w:rsid w:val="00DF3F73"/>
    <w:rsid w:val="00DF4D01"/>
    <w:rsid w:val="00DF614D"/>
    <w:rsid w:val="00E01F63"/>
    <w:rsid w:val="00E0238E"/>
    <w:rsid w:val="00E02573"/>
    <w:rsid w:val="00E03113"/>
    <w:rsid w:val="00E06C55"/>
    <w:rsid w:val="00E10241"/>
    <w:rsid w:val="00E10580"/>
    <w:rsid w:val="00E11809"/>
    <w:rsid w:val="00E12755"/>
    <w:rsid w:val="00E1432A"/>
    <w:rsid w:val="00E15007"/>
    <w:rsid w:val="00E1530F"/>
    <w:rsid w:val="00E1624C"/>
    <w:rsid w:val="00E24C2B"/>
    <w:rsid w:val="00E269C0"/>
    <w:rsid w:val="00E27BE9"/>
    <w:rsid w:val="00E27F95"/>
    <w:rsid w:val="00E3305C"/>
    <w:rsid w:val="00E36CD5"/>
    <w:rsid w:val="00E42693"/>
    <w:rsid w:val="00E447C1"/>
    <w:rsid w:val="00E46D78"/>
    <w:rsid w:val="00E510F8"/>
    <w:rsid w:val="00E55FD6"/>
    <w:rsid w:val="00E57236"/>
    <w:rsid w:val="00E574D4"/>
    <w:rsid w:val="00E62D16"/>
    <w:rsid w:val="00E63149"/>
    <w:rsid w:val="00E64962"/>
    <w:rsid w:val="00E64F8E"/>
    <w:rsid w:val="00E6596E"/>
    <w:rsid w:val="00E67180"/>
    <w:rsid w:val="00E6758D"/>
    <w:rsid w:val="00E6771B"/>
    <w:rsid w:val="00E70F82"/>
    <w:rsid w:val="00E72575"/>
    <w:rsid w:val="00E75676"/>
    <w:rsid w:val="00E75CA2"/>
    <w:rsid w:val="00E776E0"/>
    <w:rsid w:val="00E776E4"/>
    <w:rsid w:val="00E86519"/>
    <w:rsid w:val="00E86C2E"/>
    <w:rsid w:val="00E870D3"/>
    <w:rsid w:val="00E90F48"/>
    <w:rsid w:val="00E925A3"/>
    <w:rsid w:val="00E930F3"/>
    <w:rsid w:val="00E936EB"/>
    <w:rsid w:val="00E94B78"/>
    <w:rsid w:val="00E9681D"/>
    <w:rsid w:val="00EA0893"/>
    <w:rsid w:val="00EA1C7E"/>
    <w:rsid w:val="00EB500F"/>
    <w:rsid w:val="00EB5C97"/>
    <w:rsid w:val="00EB7018"/>
    <w:rsid w:val="00EB74AC"/>
    <w:rsid w:val="00EB7E8F"/>
    <w:rsid w:val="00EC097A"/>
    <w:rsid w:val="00EC6C2E"/>
    <w:rsid w:val="00ED0A88"/>
    <w:rsid w:val="00ED147E"/>
    <w:rsid w:val="00ED18A8"/>
    <w:rsid w:val="00ED419E"/>
    <w:rsid w:val="00ED69AF"/>
    <w:rsid w:val="00ED71EC"/>
    <w:rsid w:val="00EE51F3"/>
    <w:rsid w:val="00EE60F4"/>
    <w:rsid w:val="00EF00A5"/>
    <w:rsid w:val="00EF0502"/>
    <w:rsid w:val="00EF1402"/>
    <w:rsid w:val="00EF1C9C"/>
    <w:rsid w:val="00EF21D5"/>
    <w:rsid w:val="00EF4866"/>
    <w:rsid w:val="00EF4B0B"/>
    <w:rsid w:val="00EF7A22"/>
    <w:rsid w:val="00EF7C23"/>
    <w:rsid w:val="00F00CEB"/>
    <w:rsid w:val="00F0350D"/>
    <w:rsid w:val="00F03E8C"/>
    <w:rsid w:val="00F06F89"/>
    <w:rsid w:val="00F10769"/>
    <w:rsid w:val="00F11256"/>
    <w:rsid w:val="00F141FB"/>
    <w:rsid w:val="00F146EF"/>
    <w:rsid w:val="00F17513"/>
    <w:rsid w:val="00F25C8A"/>
    <w:rsid w:val="00F26BE9"/>
    <w:rsid w:val="00F31C46"/>
    <w:rsid w:val="00F336A4"/>
    <w:rsid w:val="00F337B4"/>
    <w:rsid w:val="00F33DD0"/>
    <w:rsid w:val="00F341E6"/>
    <w:rsid w:val="00F367DC"/>
    <w:rsid w:val="00F37466"/>
    <w:rsid w:val="00F410C3"/>
    <w:rsid w:val="00F41E48"/>
    <w:rsid w:val="00F431CC"/>
    <w:rsid w:val="00F4327A"/>
    <w:rsid w:val="00F4355A"/>
    <w:rsid w:val="00F437B3"/>
    <w:rsid w:val="00F50FE5"/>
    <w:rsid w:val="00F5258B"/>
    <w:rsid w:val="00F635CB"/>
    <w:rsid w:val="00F63DD1"/>
    <w:rsid w:val="00F66B8C"/>
    <w:rsid w:val="00F66F1D"/>
    <w:rsid w:val="00F70050"/>
    <w:rsid w:val="00F72BB8"/>
    <w:rsid w:val="00F80032"/>
    <w:rsid w:val="00F81FD9"/>
    <w:rsid w:val="00F82905"/>
    <w:rsid w:val="00F83B0D"/>
    <w:rsid w:val="00F84852"/>
    <w:rsid w:val="00F84D9D"/>
    <w:rsid w:val="00F93160"/>
    <w:rsid w:val="00F93223"/>
    <w:rsid w:val="00F94B66"/>
    <w:rsid w:val="00FA13F2"/>
    <w:rsid w:val="00FA3CB2"/>
    <w:rsid w:val="00FA592F"/>
    <w:rsid w:val="00FB3D67"/>
    <w:rsid w:val="00FB75B2"/>
    <w:rsid w:val="00FC21A9"/>
    <w:rsid w:val="00FC77CE"/>
    <w:rsid w:val="00FC7850"/>
    <w:rsid w:val="00FD551D"/>
    <w:rsid w:val="00FD5870"/>
    <w:rsid w:val="00FD5D88"/>
    <w:rsid w:val="00FD6136"/>
    <w:rsid w:val="00FD6FAA"/>
    <w:rsid w:val="00FD79BD"/>
    <w:rsid w:val="00FE1327"/>
    <w:rsid w:val="00FE6857"/>
    <w:rsid w:val="00FF2E27"/>
    <w:rsid w:val="00FF5B87"/>
    <w:rsid w:val="00FF6518"/>
    <w:rsid w:val="00FF7291"/>
    <w:rsid w:val="00FF78BA"/>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DFC"/>
    <w:pPr>
      <w:spacing w:after="200" w:line="276" w:lineRule="auto"/>
    </w:pPr>
  </w:style>
  <w:style w:type="paragraph" w:styleId="1">
    <w:name w:val="heading 1"/>
    <w:basedOn w:val="a"/>
    <w:link w:val="Heading1Char"/>
    <w:uiPriority w:val="99"/>
    <w:qFormat/>
    <w:rsid w:val="00B13DFC"/>
    <w:pPr>
      <w:spacing w:before="120" w:beforeAutospacing="1" w:after="120" w:afterAutospacing="1" w:line="480" w:lineRule="auto"/>
      <w:outlineLvl w:val="0"/>
    </w:pPr>
    <w:rPr>
      <w:rFonts w:ascii="Times New Roman" w:eastAsia="Times New Roman" w:hAnsi="Times New Roman" w:cs="Times New Roman"/>
      <w:bCs/>
      <w:kern w:val="36"/>
      <w:sz w:val="36"/>
      <w:szCs w:val="48"/>
    </w:rPr>
  </w:style>
  <w:style w:type="paragraph" w:styleId="2">
    <w:name w:val="heading 2"/>
    <w:basedOn w:val="a"/>
    <w:next w:val="a"/>
    <w:link w:val="Heading2Char"/>
    <w:uiPriority w:val="99"/>
    <w:qFormat/>
    <w:rsid w:val="00B13DFC"/>
    <w:pPr>
      <w:keepNext/>
      <w:keepLines/>
      <w:spacing w:before="200" w:after="0"/>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link w:val="1"/>
    <w:uiPriority w:val="99"/>
    <w:locked/>
    <w:rsid w:val="00B13DFC"/>
    <w:rPr>
      <w:rFonts w:ascii="Times New Roman" w:hAnsi="Times New Roman" w:cs="Times New Roman"/>
      <w:bCs/>
      <w:kern w:val="36"/>
      <w:sz w:val="48"/>
      <w:szCs w:val="48"/>
    </w:rPr>
  </w:style>
  <w:style w:type="character" w:customStyle="1" w:styleId="Heading2Char">
    <w:name w:val="Heading 2 Char"/>
    <w:basedOn w:val="a0"/>
    <w:link w:val="2"/>
    <w:uiPriority w:val="99"/>
    <w:locked/>
    <w:rsid w:val="00B13DFC"/>
    <w:rPr>
      <w:rFonts w:ascii="Cambria" w:hAnsi="Cambria" w:cs="Times New Roman"/>
      <w:b/>
      <w:bCs/>
      <w:color w:val="4F81BD"/>
      <w:sz w:val="26"/>
      <w:szCs w:val="26"/>
    </w:rPr>
  </w:style>
  <w:style w:type="character" w:styleId="a3">
    <w:name w:val="annotation reference"/>
    <w:basedOn w:val="a0"/>
    <w:rsid w:val="00B13DFC"/>
    <w:rPr>
      <w:rFonts w:cs="Times New Roman"/>
      <w:sz w:val="16"/>
      <w:szCs w:val="16"/>
    </w:rPr>
  </w:style>
  <w:style w:type="paragraph" w:styleId="a4">
    <w:name w:val="annotation text"/>
    <w:basedOn w:val="a"/>
    <w:link w:val="CommentTextChar"/>
    <w:rsid w:val="00B13DFC"/>
    <w:pPr>
      <w:spacing w:line="240" w:lineRule="auto"/>
    </w:pPr>
    <w:rPr>
      <w:sz w:val="20"/>
      <w:szCs w:val="20"/>
    </w:rPr>
  </w:style>
  <w:style w:type="character" w:customStyle="1" w:styleId="CommentTextChar">
    <w:name w:val="Comment Text Char"/>
    <w:basedOn w:val="a0"/>
    <w:link w:val="a4"/>
    <w:locked/>
    <w:rsid w:val="00B13DFC"/>
    <w:rPr>
      <w:rFonts w:ascii="Calibri" w:eastAsia="Times New Roman" w:hAnsi="Calibri" w:cs="Arial"/>
      <w:sz w:val="20"/>
      <w:szCs w:val="20"/>
    </w:rPr>
  </w:style>
  <w:style w:type="paragraph" w:styleId="a5">
    <w:name w:val="annotation subject"/>
    <w:basedOn w:val="a4"/>
    <w:next w:val="a4"/>
    <w:link w:val="CommentSubjectChar"/>
    <w:uiPriority w:val="99"/>
    <w:semiHidden/>
    <w:rsid w:val="00B13DFC"/>
    <w:rPr>
      <w:b/>
      <w:bCs/>
    </w:rPr>
  </w:style>
  <w:style w:type="character" w:customStyle="1" w:styleId="CommentSubjectChar">
    <w:name w:val="Comment Subject Char"/>
    <w:basedOn w:val="CommentTextChar"/>
    <w:link w:val="a5"/>
    <w:uiPriority w:val="99"/>
    <w:semiHidden/>
    <w:locked/>
    <w:rsid w:val="00B13DFC"/>
    <w:rPr>
      <w:rFonts w:ascii="Calibri" w:eastAsia="Times New Roman" w:hAnsi="Calibri" w:cs="Arial"/>
      <w:b/>
      <w:bCs/>
      <w:sz w:val="20"/>
      <w:szCs w:val="20"/>
    </w:rPr>
  </w:style>
  <w:style w:type="paragraph" w:styleId="a6">
    <w:name w:val="Balloon Text"/>
    <w:basedOn w:val="a"/>
    <w:link w:val="BalloonTextChar"/>
    <w:uiPriority w:val="99"/>
    <w:semiHidden/>
    <w:rsid w:val="00B13DFC"/>
    <w:pPr>
      <w:spacing w:after="0" w:line="240" w:lineRule="auto"/>
    </w:pPr>
    <w:rPr>
      <w:rFonts w:ascii="Tahoma" w:hAnsi="Tahoma" w:cs="Tahoma"/>
      <w:sz w:val="16"/>
      <w:szCs w:val="16"/>
    </w:rPr>
  </w:style>
  <w:style w:type="character" w:customStyle="1" w:styleId="BalloonTextChar">
    <w:name w:val="Balloon Text Char"/>
    <w:basedOn w:val="a0"/>
    <w:link w:val="a6"/>
    <w:uiPriority w:val="99"/>
    <w:semiHidden/>
    <w:locked/>
    <w:rsid w:val="00B13DFC"/>
    <w:rPr>
      <w:rFonts w:ascii="Tahoma" w:eastAsia="Times New Roman" w:hAnsi="Tahoma" w:cs="Tahoma"/>
      <w:sz w:val="16"/>
      <w:szCs w:val="16"/>
    </w:rPr>
  </w:style>
  <w:style w:type="character" w:customStyle="1" w:styleId="wmmessagefrom1">
    <w:name w:val="wm_message_from1"/>
    <w:basedOn w:val="a0"/>
    <w:uiPriority w:val="99"/>
    <w:rsid w:val="00B13DFC"/>
    <w:rPr>
      <w:rFonts w:cs="Times New Roman"/>
      <w:sz w:val="15"/>
      <w:szCs w:val="15"/>
    </w:rPr>
  </w:style>
  <w:style w:type="paragraph" w:styleId="a7">
    <w:name w:val="header"/>
    <w:basedOn w:val="a"/>
    <w:link w:val="HeaderChar"/>
    <w:uiPriority w:val="99"/>
    <w:semiHidden/>
    <w:rsid w:val="00B13DFC"/>
    <w:pPr>
      <w:tabs>
        <w:tab w:val="center" w:pos="4153"/>
        <w:tab w:val="right" w:pos="8306"/>
      </w:tabs>
      <w:spacing w:after="0" w:line="240" w:lineRule="auto"/>
    </w:pPr>
  </w:style>
  <w:style w:type="character" w:customStyle="1" w:styleId="HeaderChar">
    <w:name w:val="Header Char"/>
    <w:basedOn w:val="a0"/>
    <w:link w:val="a7"/>
    <w:uiPriority w:val="99"/>
    <w:semiHidden/>
    <w:locked/>
    <w:rsid w:val="00B13DFC"/>
    <w:rPr>
      <w:rFonts w:ascii="Calibri" w:eastAsia="Times New Roman" w:hAnsi="Calibri" w:cs="Arial"/>
    </w:rPr>
  </w:style>
  <w:style w:type="paragraph" w:styleId="a8">
    <w:name w:val="footer"/>
    <w:basedOn w:val="a"/>
    <w:link w:val="FooterChar"/>
    <w:uiPriority w:val="99"/>
    <w:rsid w:val="00B13DFC"/>
    <w:pPr>
      <w:tabs>
        <w:tab w:val="center" w:pos="4153"/>
        <w:tab w:val="right" w:pos="8306"/>
      </w:tabs>
      <w:spacing w:after="0" w:line="240" w:lineRule="auto"/>
    </w:pPr>
  </w:style>
  <w:style w:type="character" w:customStyle="1" w:styleId="FooterChar">
    <w:name w:val="Footer Char"/>
    <w:basedOn w:val="a0"/>
    <w:link w:val="a8"/>
    <w:uiPriority w:val="99"/>
    <w:locked/>
    <w:rsid w:val="00B13DFC"/>
    <w:rPr>
      <w:rFonts w:ascii="Calibri" w:eastAsia="Times New Roman" w:hAnsi="Calibri" w:cs="Arial"/>
    </w:rPr>
  </w:style>
  <w:style w:type="paragraph" w:styleId="a9">
    <w:name w:val="List Paragraph"/>
    <w:basedOn w:val="a"/>
    <w:uiPriority w:val="99"/>
    <w:qFormat/>
    <w:rsid w:val="00B13DFC"/>
    <w:pPr>
      <w:bidi/>
      <w:ind w:left="720"/>
      <w:contextualSpacing/>
    </w:pPr>
  </w:style>
  <w:style w:type="character" w:styleId="aa">
    <w:name w:val="Hyperlink"/>
    <w:basedOn w:val="a0"/>
    <w:uiPriority w:val="99"/>
    <w:rsid w:val="00B13DFC"/>
    <w:rPr>
      <w:rFonts w:cs="Times New Roman"/>
      <w:color w:val="0000FF"/>
      <w:u w:val="single"/>
    </w:rPr>
  </w:style>
  <w:style w:type="character" w:customStyle="1" w:styleId="highlight1">
    <w:name w:val="highlight1"/>
    <w:basedOn w:val="a0"/>
    <w:uiPriority w:val="99"/>
    <w:rsid w:val="00B13DFC"/>
    <w:rPr>
      <w:rFonts w:cs="Times New Roman"/>
      <w:shd w:val="clear" w:color="auto" w:fill="F2F5F8"/>
    </w:rPr>
  </w:style>
  <w:style w:type="paragraph" w:styleId="ab">
    <w:name w:val="Normal (Web)"/>
    <w:basedOn w:val="a"/>
    <w:uiPriority w:val="99"/>
    <w:semiHidden/>
    <w:rsid w:val="00B13D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Title">
    <w:name w:val="TableTitle"/>
    <w:basedOn w:val="a"/>
    <w:rsid w:val="0004369A"/>
    <w:pPr>
      <w:spacing w:after="0" w:line="300" w:lineRule="exact"/>
    </w:pPr>
    <w:rPr>
      <w:rFonts w:ascii="Times New Roman" w:eastAsia="Times New Roman" w:hAnsi="Times New Roman" w:cs="Times New Roman"/>
      <w:sz w:val="24"/>
      <w:szCs w:val="20"/>
      <w:lang w:val="en-GB" w:bidi="ar-SA"/>
    </w:rPr>
  </w:style>
  <w:style w:type="paragraph" w:customStyle="1" w:styleId="TableHeader">
    <w:name w:val="TableHeader"/>
    <w:basedOn w:val="a"/>
    <w:rsid w:val="0004369A"/>
    <w:pPr>
      <w:spacing w:before="120" w:after="0" w:line="240" w:lineRule="auto"/>
    </w:pPr>
    <w:rPr>
      <w:rFonts w:ascii="Times New Roman" w:eastAsia="Times New Roman" w:hAnsi="Times New Roman" w:cs="Times New Roman"/>
      <w:b/>
      <w:sz w:val="24"/>
      <w:szCs w:val="20"/>
      <w:lang w:val="en-GB" w:bidi="ar-SA"/>
    </w:rPr>
  </w:style>
  <w:style w:type="paragraph" w:customStyle="1" w:styleId="TableSubHead">
    <w:name w:val="TableSubHead"/>
    <w:basedOn w:val="TableHeader"/>
    <w:rsid w:val="0004369A"/>
  </w:style>
  <w:style w:type="character" w:styleId="ac">
    <w:name w:val="Strong"/>
    <w:basedOn w:val="a0"/>
    <w:uiPriority w:val="22"/>
    <w:qFormat/>
    <w:locked/>
    <w:rsid w:val="00DF229E"/>
    <w:rPr>
      <w:b/>
      <w:bCs/>
    </w:rPr>
  </w:style>
  <w:style w:type="character" w:customStyle="1" w:styleId="hui1218">
    <w:name w:val="hui1218"/>
    <w:basedOn w:val="a0"/>
    <w:rsid w:val="00DF229E"/>
  </w:style>
  <w:style w:type="character" w:customStyle="1" w:styleId="scdddoi">
    <w:name w:val="s_c_dddoi"/>
    <w:basedOn w:val="a0"/>
    <w:rsid w:val="00476578"/>
  </w:style>
  <w:style w:type="character" w:customStyle="1" w:styleId="highlight">
    <w:name w:val="highlight"/>
    <w:basedOn w:val="a0"/>
    <w:rsid w:val="00476578"/>
  </w:style>
  <w:style w:type="character" w:customStyle="1" w:styleId="doi">
    <w:name w:val="doi"/>
    <w:basedOn w:val="a0"/>
    <w:rsid w:val="004765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DFC"/>
    <w:pPr>
      <w:spacing w:after="200" w:line="276" w:lineRule="auto"/>
    </w:pPr>
  </w:style>
  <w:style w:type="paragraph" w:styleId="1">
    <w:name w:val="heading 1"/>
    <w:basedOn w:val="a"/>
    <w:link w:val="Heading1Char"/>
    <w:uiPriority w:val="99"/>
    <w:qFormat/>
    <w:rsid w:val="00B13DFC"/>
    <w:pPr>
      <w:spacing w:before="120" w:beforeAutospacing="1" w:after="120" w:afterAutospacing="1" w:line="480" w:lineRule="auto"/>
      <w:outlineLvl w:val="0"/>
    </w:pPr>
    <w:rPr>
      <w:rFonts w:ascii="Times New Roman" w:eastAsia="Times New Roman" w:hAnsi="Times New Roman" w:cs="Times New Roman"/>
      <w:bCs/>
      <w:kern w:val="36"/>
      <w:sz w:val="36"/>
      <w:szCs w:val="48"/>
    </w:rPr>
  </w:style>
  <w:style w:type="paragraph" w:styleId="2">
    <w:name w:val="heading 2"/>
    <w:basedOn w:val="a"/>
    <w:next w:val="a"/>
    <w:link w:val="Heading2Char"/>
    <w:uiPriority w:val="99"/>
    <w:qFormat/>
    <w:rsid w:val="00B13DFC"/>
    <w:pPr>
      <w:keepNext/>
      <w:keepLines/>
      <w:spacing w:before="200" w:after="0"/>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link w:val="1"/>
    <w:uiPriority w:val="99"/>
    <w:locked/>
    <w:rsid w:val="00B13DFC"/>
    <w:rPr>
      <w:rFonts w:ascii="Times New Roman" w:hAnsi="Times New Roman" w:cs="Times New Roman"/>
      <w:bCs/>
      <w:kern w:val="36"/>
      <w:sz w:val="48"/>
      <w:szCs w:val="48"/>
    </w:rPr>
  </w:style>
  <w:style w:type="character" w:customStyle="1" w:styleId="Heading2Char">
    <w:name w:val="Heading 2 Char"/>
    <w:basedOn w:val="a0"/>
    <w:link w:val="2"/>
    <w:uiPriority w:val="99"/>
    <w:locked/>
    <w:rsid w:val="00B13DFC"/>
    <w:rPr>
      <w:rFonts w:ascii="Cambria" w:hAnsi="Cambria" w:cs="Times New Roman"/>
      <w:b/>
      <w:bCs/>
      <w:color w:val="4F81BD"/>
      <w:sz w:val="26"/>
      <w:szCs w:val="26"/>
    </w:rPr>
  </w:style>
  <w:style w:type="character" w:styleId="a3">
    <w:name w:val="annotation reference"/>
    <w:basedOn w:val="a0"/>
    <w:rsid w:val="00B13DFC"/>
    <w:rPr>
      <w:rFonts w:cs="Times New Roman"/>
      <w:sz w:val="16"/>
      <w:szCs w:val="16"/>
    </w:rPr>
  </w:style>
  <w:style w:type="paragraph" w:styleId="a4">
    <w:name w:val="annotation text"/>
    <w:basedOn w:val="a"/>
    <w:link w:val="CommentTextChar"/>
    <w:rsid w:val="00B13DFC"/>
    <w:pPr>
      <w:spacing w:line="240" w:lineRule="auto"/>
    </w:pPr>
    <w:rPr>
      <w:sz w:val="20"/>
      <w:szCs w:val="20"/>
    </w:rPr>
  </w:style>
  <w:style w:type="character" w:customStyle="1" w:styleId="CommentTextChar">
    <w:name w:val="Comment Text Char"/>
    <w:basedOn w:val="a0"/>
    <w:link w:val="a4"/>
    <w:locked/>
    <w:rsid w:val="00B13DFC"/>
    <w:rPr>
      <w:rFonts w:ascii="Calibri" w:eastAsia="Times New Roman" w:hAnsi="Calibri" w:cs="Arial"/>
      <w:sz w:val="20"/>
      <w:szCs w:val="20"/>
    </w:rPr>
  </w:style>
  <w:style w:type="paragraph" w:styleId="a5">
    <w:name w:val="annotation subject"/>
    <w:basedOn w:val="a4"/>
    <w:next w:val="a4"/>
    <w:link w:val="CommentSubjectChar"/>
    <w:uiPriority w:val="99"/>
    <w:semiHidden/>
    <w:rsid w:val="00B13DFC"/>
    <w:rPr>
      <w:b/>
      <w:bCs/>
    </w:rPr>
  </w:style>
  <w:style w:type="character" w:customStyle="1" w:styleId="CommentSubjectChar">
    <w:name w:val="Comment Subject Char"/>
    <w:basedOn w:val="CommentTextChar"/>
    <w:link w:val="a5"/>
    <w:uiPriority w:val="99"/>
    <w:semiHidden/>
    <w:locked/>
    <w:rsid w:val="00B13DFC"/>
    <w:rPr>
      <w:rFonts w:ascii="Calibri" w:eastAsia="Times New Roman" w:hAnsi="Calibri" w:cs="Arial"/>
      <w:b/>
      <w:bCs/>
      <w:sz w:val="20"/>
      <w:szCs w:val="20"/>
    </w:rPr>
  </w:style>
  <w:style w:type="paragraph" w:styleId="a6">
    <w:name w:val="Balloon Text"/>
    <w:basedOn w:val="a"/>
    <w:link w:val="BalloonTextChar"/>
    <w:uiPriority w:val="99"/>
    <w:semiHidden/>
    <w:rsid w:val="00B13DFC"/>
    <w:pPr>
      <w:spacing w:after="0" w:line="240" w:lineRule="auto"/>
    </w:pPr>
    <w:rPr>
      <w:rFonts w:ascii="Tahoma" w:hAnsi="Tahoma" w:cs="Tahoma"/>
      <w:sz w:val="16"/>
      <w:szCs w:val="16"/>
    </w:rPr>
  </w:style>
  <w:style w:type="character" w:customStyle="1" w:styleId="BalloonTextChar">
    <w:name w:val="Balloon Text Char"/>
    <w:basedOn w:val="a0"/>
    <w:link w:val="a6"/>
    <w:uiPriority w:val="99"/>
    <w:semiHidden/>
    <w:locked/>
    <w:rsid w:val="00B13DFC"/>
    <w:rPr>
      <w:rFonts w:ascii="Tahoma" w:eastAsia="Times New Roman" w:hAnsi="Tahoma" w:cs="Tahoma"/>
      <w:sz w:val="16"/>
      <w:szCs w:val="16"/>
    </w:rPr>
  </w:style>
  <w:style w:type="character" w:customStyle="1" w:styleId="wmmessagefrom1">
    <w:name w:val="wm_message_from1"/>
    <w:basedOn w:val="a0"/>
    <w:uiPriority w:val="99"/>
    <w:rsid w:val="00B13DFC"/>
    <w:rPr>
      <w:rFonts w:cs="Times New Roman"/>
      <w:sz w:val="15"/>
      <w:szCs w:val="15"/>
    </w:rPr>
  </w:style>
  <w:style w:type="paragraph" w:styleId="a7">
    <w:name w:val="header"/>
    <w:basedOn w:val="a"/>
    <w:link w:val="HeaderChar"/>
    <w:uiPriority w:val="99"/>
    <w:semiHidden/>
    <w:rsid w:val="00B13DFC"/>
    <w:pPr>
      <w:tabs>
        <w:tab w:val="center" w:pos="4153"/>
        <w:tab w:val="right" w:pos="8306"/>
      </w:tabs>
      <w:spacing w:after="0" w:line="240" w:lineRule="auto"/>
    </w:pPr>
  </w:style>
  <w:style w:type="character" w:customStyle="1" w:styleId="HeaderChar">
    <w:name w:val="Header Char"/>
    <w:basedOn w:val="a0"/>
    <w:link w:val="a7"/>
    <w:uiPriority w:val="99"/>
    <w:semiHidden/>
    <w:locked/>
    <w:rsid w:val="00B13DFC"/>
    <w:rPr>
      <w:rFonts w:ascii="Calibri" w:eastAsia="Times New Roman" w:hAnsi="Calibri" w:cs="Arial"/>
    </w:rPr>
  </w:style>
  <w:style w:type="paragraph" w:styleId="a8">
    <w:name w:val="footer"/>
    <w:basedOn w:val="a"/>
    <w:link w:val="FooterChar"/>
    <w:uiPriority w:val="99"/>
    <w:rsid w:val="00B13DFC"/>
    <w:pPr>
      <w:tabs>
        <w:tab w:val="center" w:pos="4153"/>
        <w:tab w:val="right" w:pos="8306"/>
      </w:tabs>
      <w:spacing w:after="0" w:line="240" w:lineRule="auto"/>
    </w:pPr>
  </w:style>
  <w:style w:type="character" w:customStyle="1" w:styleId="FooterChar">
    <w:name w:val="Footer Char"/>
    <w:basedOn w:val="a0"/>
    <w:link w:val="a8"/>
    <w:uiPriority w:val="99"/>
    <w:locked/>
    <w:rsid w:val="00B13DFC"/>
    <w:rPr>
      <w:rFonts w:ascii="Calibri" w:eastAsia="Times New Roman" w:hAnsi="Calibri" w:cs="Arial"/>
    </w:rPr>
  </w:style>
  <w:style w:type="paragraph" w:styleId="a9">
    <w:name w:val="List Paragraph"/>
    <w:basedOn w:val="a"/>
    <w:uiPriority w:val="99"/>
    <w:qFormat/>
    <w:rsid w:val="00B13DFC"/>
    <w:pPr>
      <w:bidi/>
      <w:ind w:left="720"/>
      <w:contextualSpacing/>
    </w:pPr>
  </w:style>
  <w:style w:type="character" w:styleId="aa">
    <w:name w:val="Hyperlink"/>
    <w:basedOn w:val="a0"/>
    <w:uiPriority w:val="99"/>
    <w:rsid w:val="00B13DFC"/>
    <w:rPr>
      <w:rFonts w:cs="Times New Roman"/>
      <w:color w:val="0000FF"/>
      <w:u w:val="single"/>
    </w:rPr>
  </w:style>
  <w:style w:type="character" w:customStyle="1" w:styleId="highlight1">
    <w:name w:val="highlight1"/>
    <w:basedOn w:val="a0"/>
    <w:uiPriority w:val="99"/>
    <w:rsid w:val="00B13DFC"/>
    <w:rPr>
      <w:rFonts w:cs="Times New Roman"/>
      <w:shd w:val="clear" w:color="auto" w:fill="F2F5F8"/>
    </w:rPr>
  </w:style>
  <w:style w:type="paragraph" w:styleId="ab">
    <w:name w:val="Normal (Web)"/>
    <w:basedOn w:val="a"/>
    <w:uiPriority w:val="99"/>
    <w:semiHidden/>
    <w:rsid w:val="00B13D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Title">
    <w:name w:val="TableTitle"/>
    <w:basedOn w:val="a"/>
    <w:rsid w:val="0004369A"/>
    <w:pPr>
      <w:spacing w:after="0" w:line="300" w:lineRule="exact"/>
    </w:pPr>
    <w:rPr>
      <w:rFonts w:ascii="Times New Roman" w:eastAsia="Times New Roman" w:hAnsi="Times New Roman" w:cs="Times New Roman"/>
      <w:sz w:val="24"/>
      <w:szCs w:val="20"/>
      <w:lang w:val="en-GB" w:bidi="ar-SA"/>
    </w:rPr>
  </w:style>
  <w:style w:type="paragraph" w:customStyle="1" w:styleId="TableHeader">
    <w:name w:val="TableHeader"/>
    <w:basedOn w:val="a"/>
    <w:rsid w:val="0004369A"/>
    <w:pPr>
      <w:spacing w:before="120" w:after="0" w:line="240" w:lineRule="auto"/>
    </w:pPr>
    <w:rPr>
      <w:rFonts w:ascii="Times New Roman" w:eastAsia="Times New Roman" w:hAnsi="Times New Roman" w:cs="Times New Roman"/>
      <w:b/>
      <w:sz w:val="24"/>
      <w:szCs w:val="20"/>
      <w:lang w:val="en-GB" w:bidi="ar-SA"/>
    </w:rPr>
  </w:style>
  <w:style w:type="paragraph" w:customStyle="1" w:styleId="TableSubHead">
    <w:name w:val="TableSubHead"/>
    <w:basedOn w:val="TableHeader"/>
    <w:rsid w:val="0004369A"/>
  </w:style>
  <w:style w:type="character" w:styleId="ac">
    <w:name w:val="Strong"/>
    <w:basedOn w:val="a0"/>
    <w:uiPriority w:val="22"/>
    <w:qFormat/>
    <w:locked/>
    <w:rsid w:val="00DF229E"/>
    <w:rPr>
      <w:b/>
      <w:bCs/>
    </w:rPr>
  </w:style>
  <w:style w:type="character" w:customStyle="1" w:styleId="hui1218">
    <w:name w:val="hui1218"/>
    <w:basedOn w:val="a0"/>
    <w:rsid w:val="00DF229E"/>
  </w:style>
  <w:style w:type="character" w:customStyle="1" w:styleId="scdddoi">
    <w:name w:val="s_c_dddoi"/>
    <w:basedOn w:val="a0"/>
    <w:rsid w:val="00476578"/>
  </w:style>
  <w:style w:type="character" w:customStyle="1" w:styleId="highlight">
    <w:name w:val="highlight"/>
    <w:basedOn w:val="a0"/>
    <w:rsid w:val="00476578"/>
  </w:style>
  <w:style w:type="character" w:customStyle="1" w:styleId="doi">
    <w:name w:val="doi"/>
    <w:basedOn w:val="a0"/>
    <w:rsid w:val="004765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21382">
      <w:bodyDiv w:val="1"/>
      <w:marLeft w:val="0"/>
      <w:marRight w:val="0"/>
      <w:marTop w:val="0"/>
      <w:marBottom w:val="0"/>
      <w:divBdr>
        <w:top w:val="none" w:sz="0" w:space="0" w:color="auto"/>
        <w:left w:val="none" w:sz="0" w:space="0" w:color="auto"/>
        <w:bottom w:val="none" w:sz="0" w:space="0" w:color="auto"/>
        <w:right w:val="none" w:sz="0" w:space="0" w:color="auto"/>
      </w:divBdr>
    </w:div>
    <w:div w:id="119232359">
      <w:bodyDiv w:val="1"/>
      <w:marLeft w:val="0"/>
      <w:marRight w:val="0"/>
      <w:marTop w:val="0"/>
      <w:marBottom w:val="0"/>
      <w:divBdr>
        <w:top w:val="none" w:sz="0" w:space="0" w:color="auto"/>
        <w:left w:val="none" w:sz="0" w:space="0" w:color="auto"/>
        <w:bottom w:val="none" w:sz="0" w:space="0" w:color="auto"/>
        <w:right w:val="none" w:sz="0" w:space="0" w:color="auto"/>
      </w:divBdr>
    </w:div>
    <w:div w:id="128590897">
      <w:bodyDiv w:val="1"/>
      <w:marLeft w:val="0"/>
      <w:marRight w:val="0"/>
      <w:marTop w:val="0"/>
      <w:marBottom w:val="0"/>
      <w:divBdr>
        <w:top w:val="none" w:sz="0" w:space="0" w:color="auto"/>
        <w:left w:val="none" w:sz="0" w:space="0" w:color="auto"/>
        <w:bottom w:val="none" w:sz="0" w:space="0" w:color="auto"/>
        <w:right w:val="none" w:sz="0" w:space="0" w:color="auto"/>
      </w:divBdr>
    </w:div>
    <w:div w:id="174851182">
      <w:bodyDiv w:val="1"/>
      <w:marLeft w:val="0"/>
      <w:marRight w:val="0"/>
      <w:marTop w:val="0"/>
      <w:marBottom w:val="0"/>
      <w:divBdr>
        <w:top w:val="none" w:sz="0" w:space="0" w:color="auto"/>
        <w:left w:val="none" w:sz="0" w:space="0" w:color="auto"/>
        <w:bottom w:val="none" w:sz="0" w:space="0" w:color="auto"/>
        <w:right w:val="none" w:sz="0" w:space="0" w:color="auto"/>
      </w:divBdr>
    </w:div>
    <w:div w:id="190847117">
      <w:bodyDiv w:val="1"/>
      <w:marLeft w:val="0"/>
      <w:marRight w:val="0"/>
      <w:marTop w:val="0"/>
      <w:marBottom w:val="0"/>
      <w:divBdr>
        <w:top w:val="none" w:sz="0" w:space="0" w:color="auto"/>
        <w:left w:val="none" w:sz="0" w:space="0" w:color="auto"/>
        <w:bottom w:val="none" w:sz="0" w:space="0" w:color="auto"/>
        <w:right w:val="none" w:sz="0" w:space="0" w:color="auto"/>
      </w:divBdr>
    </w:div>
    <w:div w:id="247688926">
      <w:bodyDiv w:val="1"/>
      <w:marLeft w:val="0"/>
      <w:marRight w:val="0"/>
      <w:marTop w:val="0"/>
      <w:marBottom w:val="0"/>
      <w:divBdr>
        <w:top w:val="none" w:sz="0" w:space="0" w:color="auto"/>
        <w:left w:val="none" w:sz="0" w:space="0" w:color="auto"/>
        <w:bottom w:val="none" w:sz="0" w:space="0" w:color="auto"/>
        <w:right w:val="none" w:sz="0" w:space="0" w:color="auto"/>
      </w:divBdr>
    </w:div>
    <w:div w:id="249123382">
      <w:bodyDiv w:val="1"/>
      <w:marLeft w:val="0"/>
      <w:marRight w:val="0"/>
      <w:marTop w:val="0"/>
      <w:marBottom w:val="0"/>
      <w:divBdr>
        <w:top w:val="none" w:sz="0" w:space="0" w:color="auto"/>
        <w:left w:val="none" w:sz="0" w:space="0" w:color="auto"/>
        <w:bottom w:val="none" w:sz="0" w:space="0" w:color="auto"/>
        <w:right w:val="none" w:sz="0" w:space="0" w:color="auto"/>
      </w:divBdr>
    </w:div>
    <w:div w:id="379525320">
      <w:bodyDiv w:val="1"/>
      <w:marLeft w:val="0"/>
      <w:marRight w:val="0"/>
      <w:marTop w:val="0"/>
      <w:marBottom w:val="0"/>
      <w:divBdr>
        <w:top w:val="none" w:sz="0" w:space="0" w:color="auto"/>
        <w:left w:val="none" w:sz="0" w:space="0" w:color="auto"/>
        <w:bottom w:val="none" w:sz="0" w:space="0" w:color="auto"/>
        <w:right w:val="none" w:sz="0" w:space="0" w:color="auto"/>
      </w:divBdr>
    </w:div>
    <w:div w:id="471026080">
      <w:bodyDiv w:val="1"/>
      <w:marLeft w:val="0"/>
      <w:marRight w:val="0"/>
      <w:marTop w:val="0"/>
      <w:marBottom w:val="0"/>
      <w:divBdr>
        <w:top w:val="none" w:sz="0" w:space="0" w:color="auto"/>
        <w:left w:val="none" w:sz="0" w:space="0" w:color="auto"/>
        <w:bottom w:val="none" w:sz="0" w:space="0" w:color="auto"/>
        <w:right w:val="none" w:sz="0" w:space="0" w:color="auto"/>
      </w:divBdr>
    </w:div>
    <w:div w:id="503932749">
      <w:bodyDiv w:val="1"/>
      <w:marLeft w:val="0"/>
      <w:marRight w:val="0"/>
      <w:marTop w:val="0"/>
      <w:marBottom w:val="0"/>
      <w:divBdr>
        <w:top w:val="none" w:sz="0" w:space="0" w:color="auto"/>
        <w:left w:val="none" w:sz="0" w:space="0" w:color="auto"/>
        <w:bottom w:val="none" w:sz="0" w:space="0" w:color="auto"/>
        <w:right w:val="none" w:sz="0" w:space="0" w:color="auto"/>
      </w:divBdr>
    </w:div>
    <w:div w:id="593171633">
      <w:bodyDiv w:val="1"/>
      <w:marLeft w:val="0"/>
      <w:marRight w:val="0"/>
      <w:marTop w:val="0"/>
      <w:marBottom w:val="0"/>
      <w:divBdr>
        <w:top w:val="none" w:sz="0" w:space="0" w:color="auto"/>
        <w:left w:val="none" w:sz="0" w:space="0" w:color="auto"/>
        <w:bottom w:val="none" w:sz="0" w:space="0" w:color="auto"/>
        <w:right w:val="none" w:sz="0" w:space="0" w:color="auto"/>
      </w:divBdr>
    </w:div>
    <w:div w:id="666175260">
      <w:bodyDiv w:val="1"/>
      <w:marLeft w:val="0"/>
      <w:marRight w:val="0"/>
      <w:marTop w:val="0"/>
      <w:marBottom w:val="0"/>
      <w:divBdr>
        <w:top w:val="none" w:sz="0" w:space="0" w:color="auto"/>
        <w:left w:val="none" w:sz="0" w:space="0" w:color="auto"/>
        <w:bottom w:val="none" w:sz="0" w:space="0" w:color="auto"/>
        <w:right w:val="none" w:sz="0" w:space="0" w:color="auto"/>
      </w:divBdr>
    </w:div>
    <w:div w:id="677465846">
      <w:bodyDiv w:val="1"/>
      <w:marLeft w:val="0"/>
      <w:marRight w:val="0"/>
      <w:marTop w:val="0"/>
      <w:marBottom w:val="0"/>
      <w:divBdr>
        <w:top w:val="none" w:sz="0" w:space="0" w:color="auto"/>
        <w:left w:val="none" w:sz="0" w:space="0" w:color="auto"/>
        <w:bottom w:val="none" w:sz="0" w:space="0" w:color="auto"/>
        <w:right w:val="none" w:sz="0" w:space="0" w:color="auto"/>
      </w:divBdr>
    </w:div>
    <w:div w:id="710612315">
      <w:bodyDiv w:val="1"/>
      <w:marLeft w:val="0"/>
      <w:marRight w:val="0"/>
      <w:marTop w:val="0"/>
      <w:marBottom w:val="0"/>
      <w:divBdr>
        <w:top w:val="none" w:sz="0" w:space="0" w:color="auto"/>
        <w:left w:val="none" w:sz="0" w:space="0" w:color="auto"/>
        <w:bottom w:val="none" w:sz="0" w:space="0" w:color="auto"/>
        <w:right w:val="none" w:sz="0" w:space="0" w:color="auto"/>
      </w:divBdr>
    </w:div>
    <w:div w:id="733546406">
      <w:bodyDiv w:val="1"/>
      <w:marLeft w:val="0"/>
      <w:marRight w:val="0"/>
      <w:marTop w:val="0"/>
      <w:marBottom w:val="0"/>
      <w:divBdr>
        <w:top w:val="none" w:sz="0" w:space="0" w:color="auto"/>
        <w:left w:val="none" w:sz="0" w:space="0" w:color="auto"/>
        <w:bottom w:val="none" w:sz="0" w:space="0" w:color="auto"/>
        <w:right w:val="none" w:sz="0" w:space="0" w:color="auto"/>
      </w:divBdr>
    </w:div>
    <w:div w:id="751005722">
      <w:bodyDiv w:val="1"/>
      <w:marLeft w:val="0"/>
      <w:marRight w:val="0"/>
      <w:marTop w:val="0"/>
      <w:marBottom w:val="0"/>
      <w:divBdr>
        <w:top w:val="none" w:sz="0" w:space="0" w:color="auto"/>
        <w:left w:val="none" w:sz="0" w:space="0" w:color="auto"/>
        <w:bottom w:val="none" w:sz="0" w:space="0" w:color="auto"/>
        <w:right w:val="none" w:sz="0" w:space="0" w:color="auto"/>
      </w:divBdr>
    </w:div>
    <w:div w:id="773399296">
      <w:bodyDiv w:val="1"/>
      <w:marLeft w:val="0"/>
      <w:marRight w:val="0"/>
      <w:marTop w:val="0"/>
      <w:marBottom w:val="0"/>
      <w:divBdr>
        <w:top w:val="none" w:sz="0" w:space="0" w:color="auto"/>
        <w:left w:val="none" w:sz="0" w:space="0" w:color="auto"/>
        <w:bottom w:val="none" w:sz="0" w:space="0" w:color="auto"/>
        <w:right w:val="none" w:sz="0" w:space="0" w:color="auto"/>
      </w:divBdr>
    </w:div>
    <w:div w:id="776288499">
      <w:bodyDiv w:val="1"/>
      <w:marLeft w:val="0"/>
      <w:marRight w:val="0"/>
      <w:marTop w:val="0"/>
      <w:marBottom w:val="0"/>
      <w:divBdr>
        <w:top w:val="none" w:sz="0" w:space="0" w:color="auto"/>
        <w:left w:val="none" w:sz="0" w:space="0" w:color="auto"/>
        <w:bottom w:val="none" w:sz="0" w:space="0" w:color="auto"/>
        <w:right w:val="none" w:sz="0" w:space="0" w:color="auto"/>
      </w:divBdr>
      <w:divsChild>
        <w:div w:id="180632788">
          <w:marLeft w:val="0"/>
          <w:marRight w:val="0"/>
          <w:marTop w:val="0"/>
          <w:marBottom w:val="0"/>
          <w:divBdr>
            <w:top w:val="none" w:sz="0" w:space="0" w:color="auto"/>
            <w:left w:val="none" w:sz="0" w:space="0" w:color="auto"/>
            <w:bottom w:val="none" w:sz="0" w:space="0" w:color="auto"/>
            <w:right w:val="none" w:sz="0" w:space="0" w:color="auto"/>
          </w:divBdr>
          <w:divsChild>
            <w:div w:id="353073427">
              <w:marLeft w:val="0"/>
              <w:marRight w:val="0"/>
              <w:marTop w:val="0"/>
              <w:marBottom w:val="0"/>
              <w:divBdr>
                <w:top w:val="none" w:sz="0" w:space="0" w:color="auto"/>
                <w:left w:val="none" w:sz="0" w:space="0" w:color="auto"/>
                <w:bottom w:val="none" w:sz="0" w:space="0" w:color="auto"/>
                <w:right w:val="none" w:sz="0" w:space="0" w:color="auto"/>
              </w:divBdr>
              <w:divsChild>
                <w:div w:id="863204597">
                  <w:marLeft w:val="0"/>
                  <w:marRight w:val="0"/>
                  <w:marTop w:val="0"/>
                  <w:marBottom w:val="0"/>
                  <w:divBdr>
                    <w:top w:val="none" w:sz="0" w:space="0" w:color="auto"/>
                    <w:left w:val="none" w:sz="0" w:space="0" w:color="auto"/>
                    <w:bottom w:val="none" w:sz="0" w:space="0" w:color="auto"/>
                    <w:right w:val="none" w:sz="0" w:space="0" w:color="auto"/>
                  </w:divBdr>
                  <w:divsChild>
                    <w:div w:id="304240924">
                      <w:marLeft w:val="0"/>
                      <w:marRight w:val="0"/>
                      <w:marTop w:val="0"/>
                      <w:marBottom w:val="0"/>
                      <w:divBdr>
                        <w:top w:val="none" w:sz="0" w:space="0" w:color="auto"/>
                        <w:left w:val="none" w:sz="0" w:space="0" w:color="auto"/>
                        <w:bottom w:val="none" w:sz="0" w:space="0" w:color="auto"/>
                        <w:right w:val="none" w:sz="0" w:space="0" w:color="auto"/>
                      </w:divBdr>
                      <w:divsChild>
                        <w:div w:id="105586283">
                          <w:marLeft w:val="0"/>
                          <w:marRight w:val="0"/>
                          <w:marTop w:val="0"/>
                          <w:marBottom w:val="0"/>
                          <w:divBdr>
                            <w:top w:val="none" w:sz="0" w:space="0" w:color="auto"/>
                            <w:left w:val="none" w:sz="0" w:space="0" w:color="auto"/>
                            <w:bottom w:val="none" w:sz="0" w:space="0" w:color="auto"/>
                            <w:right w:val="none" w:sz="0" w:space="0" w:color="auto"/>
                          </w:divBdr>
                          <w:divsChild>
                            <w:div w:id="662970914">
                              <w:marLeft w:val="0"/>
                              <w:marRight w:val="0"/>
                              <w:marTop w:val="0"/>
                              <w:marBottom w:val="0"/>
                              <w:divBdr>
                                <w:top w:val="none" w:sz="0" w:space="0" w:color="auto"/>
                                <w:left w:val="none" w:sz="0" w:space="0" w:color="auto"/>
                                <w:bottom w:val="none" w:sz="0" w:space="0" w:color="auto"/>
                                <w:right w:val="none" w:sz="0" w:space="0" w:color="auto"/>
                              </w:divBdr>
                              <w:divsChild>
                                <w:div w:id="948585498">
                                  <w:marLeft w:val="0"/>
                                  <w:marRight w:val="0"/>
                                  <w:marTop w:val="0"/>
                                  <w:marBottom w:val="0"/>
                                  <w:divBdr>
                                    <w:top w:val="none" w:sz="0" w:space="0" w:color="auto"/>
                                    <w:left w:val="none" w:sz="0" w:space="0" w:color="auto"/>
                                    <w:bottom w:val="none" w:sz="0" w:space="0" w:color="auto"/>
                                    <w:right w:val="none" w:sz="0" w:space="0" w:color="auto"/>
                                  </w:divBdr>
                                  <w:divsChild>
                                    <w:div w:id="1636182190">
                                      <w:marLeft w:val="0"/>
                                      <w:marRight w:val="0"/>
                                      <w:marTop w:val="0"/>
                                      <w:marBottom w:val="0"/>
                                      <w:divBdr>
                                        <w:top w:val="none" w:sz="0" w:space="0" w:color="auto"/>
                                        <w:left w:val="none" w:sz="0" w:space="0" w:color="auto"/>
                                        <w:bottom w:val="none" w:sz="0" w:space="0" w:color="auto"/>
                                        <w:right w:val="none" w:sz="0" w:space="0" w:color="auto"/>
                                      </w:divBdr>
                                      <w:divsChild>
                                        <w:div w:id="1872456891">
                                          <w:marLeft w:val="0"/>
                                          <w:marRight w:val="0"/>
                                          <w:marTop w:val="0"/>
                                          <w:marBottom w:val="0"/>
                                          <w:divBdr>
                                            <w:top w:val="none" w:sz="0" w:space="0" w:color="auto"/>
                                            <w:left w:val="none" w:sz="0" w:space="0" w:color="auto"/>
                                            <w:bottom w:val="none" w:sz="0" w:space="0" w:color="auto"/>
                                            <w:right w:val="none" w:sz="0" w:space="0" w:color="auto"/>
                                          </w:divBdr>
                                          <w:divsChild>
                                            <w:div w:id="1570724396">
                                              <w:marLeft w:val="0"/>
                                              <w:marRight w:val="0"/>
                                              <w:marTop w:val="0"/>
                                              <w:marBottom w:val="0"/>
                                              <w:divBdr>
                                                <w:top w:val="none" w:sz="0" w:space="0" w:color="auto"/>
                                                <w:left w:val="none" w:sz="0" w:space="0" w:color="auto"/>
                                                <w:bottom w:val="none" w:sz="0" w:space="0" w:color="auto"/>
                                                <w:right w:val="none" w:sz="0" w:space="0" w:color="auto"/>
                                              </w:divBdr>
                                              <w:divsChild>
                                                <w:div w:id="687607334">
                                                  <w:marLeft w:val="0"/>
                                                  <w:marRight w:val="0"/>
                                                  <w:marTop w:val="0"/>
                                                  <w:marBottom w:val="0"/>
                                                  <w:divBdr>
                                                    <w:top w:val="none" w:sz="0" w:space="0" w:color="auto"/>
                                                    <w:left w:val="none" w:sz="0" w:space="0" w:color="auto"/>
                                                    <w:bottom w:val="none" w:sz="0" w:space="0" w:color="auto"/>
                                                    <w:right w:val="none" w:sz="0" w:space="0" w:color="auto"/>
                                                  </w:divBdr>
                                                  <w:divsChild>
                                                    <w:div w:id="1481995210">
                                                      <w:marLeft w:val="0"/>
                                                      <w:marRight w:val="0"/>
                                                      <w:marTop w:val="0"/>
                                                      <w:marBottom w:val="0"/>
                                                      <w:divBdr>
                                                        <w:top w:val="none" w:sz="0" w:space="0" w:color="auto"/>
                                                        <w:left w:val="none" w:sz="0" w:space="0" w:color="auto"/>
                                                        <w:bottom w:val="none" w:sz="0" w:space="0" w:color="auto"/>
                                                        <w:right w:val="none" w:sz="0" w:space="0" w:color="auto"/>
                                                      </w:divBdr>
                                                      <w:divsChild>
                                                        <w:div w:id="1973510627">
                                                          <w:marLeft w:val="0"/>
                                                          <w:marRight w:val="0"/>
                                                          <w:marTop w:val="0"/>
                                                          <w:marBottom w:val="0"/>
                                                          <w:divBdr>
                                                            <w:top w:val="none" w:sz="0" w:space="0" w:color="auto"/>
                                                            <w:left w:val="none" w:sz="0" w:space="0" w:color="auto"/>
                                                            <w:bottom w:val="none" w:sz="0" w:space="0" w:color="auto"/>
                                                            <w:right w:val="none" w:sz="0" w:space="0" w:color="auto"/>
                                                          </w:divBdr>
                                                          <w:divsChild>
                                                            <w:div w:id="1260330726">
                                                              <w:marLeft w:val="0"/>
                                                              <w:marRight w:val="0"/>
                                                              <w:marTop w:val="0"/>
                                                              <w:marBottom w:val="0"/>
                                                              <w:divBdr>
                                                                <w:top w:val="none" w:sz="0" w:space="0" w:color="auto"/>
                                                                <w:left w:val="none" w:sz="0" w:space="0" w:color="auto"/>
                                                                <w:bottom w:val="none" w:sz="0" w:space="0" w:color="auto"/>
                                                                <w:right w:val="none" w:sz="0" w:space="0" w:color="auto"/>
                                                              </w:divBdr>
                                                              <w:divsChild>
                                                                <w:div w:id="1960718865">
                                                                  <w:marLeft w:val="0"/>
                                                                  <w:marRight w:val="0"/>
                                                                  <w:marTop w:val="0"/>
                                                                  <w:marBottom w:val="0"/>
                                                                  <w:divBdr>
                                                                    <w:top w:val="none" w:sz="0" w:space="0" w:color="auto"/>
                                                                    <w:left w:val="none" w:sz="0" w:space="0" w:color="auto"/>
                                                                    <w:bottom w:val="none" w:sz="0" w:space="0" w:color="auto"/>
                                                                    <w:right w:val="none" w:sz="0" w:space="0" w:color="auto"/>
                                                                  </w:divBdr>
                                                                  <w:divsChild>
                                                                    <w:div w:id="1109812788">
                                                                      <w:marLeft w:val="0"/>
                                                                      <w:marRight w:val="0"/>
                                                                      <w:marTop w:val="0"/>
                                                                      <w:marBottom w:val="0"/>
                                                                      <w:divBdr>
                                                                        <w:top w:val="none" w:sz="0" w:space="0" w:color="auto"/>
                                                                        <w:left w:val="none" w:sz="0" w:space="0" w:color="auto"/>
                                                                        <w:bottom w:val="none" w:sz="0" w:space="0" w:color="auto"/>
                                                                        <w:right w:val="none" w:sz="0" w:space="0" w:color="auto"/>
                                                                      </w:divBdr>
                                                                      <w:divsChild>
                                                                        <w:div w:id="647437295">
                                                                          <w:marLeft w:val="0"/>
                                                                          <w:marRight w:val="0"/>
                                                                          <w:marTop w:val="0"/>
                                                                          <w:marBottom w:val="0"/>
                                                                          <w:divBdr>
                                                                            <w:top w:val="none" w:sz="0" w:space="0" w:color="auto"/>
                                                                            <w:left w:val="none" w:sz="0" w:space="0" w:color="auto"/>
                                                                            <w:bottom w:val="none" w:sz="0" w:space="0" w:color="auto"/>
                                                                            <w:right w:val="none" w:sz="0" w:space="0" w:color="auto"/>
                                                                          </w:divBdr>
                                                                          <w:divsChild>
                                                                            <w:div w:id="1464232541">
                                                                              <w:marLeft w:val="0"/>
                                                                              <w:marRight w:val="0"/>
                                                                              <w:marTop w:val="0"/>
                                                                              <w:marBottom w:val="0"/>
                                                                              <w:divBdr>
                                                                                <w:top w:val="none" w:sz="0" w:space="0" w:color="auto"/>
                                                                                <w:left w:val="none" w:sz="0" w:space="0" w:color="auto"/>
                                                                                <w:bottom w:val="none" w:sz="0" w:space="0" w:color="auto"/>
                                                                                <w:right w:val="none" w:sz="0" w:space="0" w:color="auto"/>
                                                                              </w:divBdr>
                                                                              <w:divsChild>
                                                                                <w:div w:id="1410613945">
                                                                                  <w:marLeft w:val="0"/>
                                                                                  <w:marRight w:val="0"/>
                                                                                  <w:marTop w:val="0"/>
                                                                                  <w:marBottom w:val="0"/>
                                                                                  <w:divBdr>
                                                                                    <w:top w:val="none" w:sz="0" w:space="0" w:color="auto"/>
                                                                                    <w:left w:val="none" w:sz="0" w:space="0" w:color="auto"/>
                                                                                    <w:bottom w:val="none" w:sz="0" w:space="0" w:color="auto"/>
                                                                                    <w:right w:val="none" w:sz="0" w:space="0" w:color="auto"/>
                                                                                  </w:divBdr>
                                                                                  <w:divsChild>
                                                                                    <w:div w:id="1524171698">
                                                                                      <w:marLeft w:val="0"/>
                                                                                      <w:marRight w:val="0"/>
                                                                                      <w:marTop w:val="0"/>
                                                                                      <w:marBottom w:val="0"/>
                                                                                      <w:divBdr>
                                                                                        <w:top w:val="none" w:sz="0" w:space="0" w:color="auto"/>
                                                                                        <w:left w:val="none" w:sz="0" w:space="0" w:color="auto"/>
                                                                                        <w:bottom w:val="none" w:sz="0" w:space="0" w:color="auto"/>
                                                                                        <w:right w:val="none" w:sz="0" w:space="0" w:color="auto"/>
                                                                                      </w:divBdr>
                                                                                      <w:divsChild>
                                                                                        <w:div w:id="534002247">
                                                                                          <w:marLeft w:val="0"/>
                                                                                          <w:marRight w:val="0"/>
                                                                                          <w:marTop w:val="0"/>
                                                                                          <w:marBottom w:val="0"/>
                                                                                          <w:divBdr>
                                                                                            <w:top w:val="none" w:sz="0" w:space="0" w:color="auto"/>
                                                                                            <w:left w:val="none" w:sz="0" w:space="0" w:color="auto"/>
                                                                                            <w:bottom w:val="none" w:sz="0" w:space="0" w:color="auto"/>
                                                                                            <w:right w:val="none" w:sz="0" w:space="0" w:color="auto"/>
                                                                                          </w:divBdr>
                                                                                          <w:divsChild>
                                                                                            <w:div w:id="515534736">
                                                                                              <w:marLeft w:val="0"/>
                                                                                              <w:marRight w:val="0"/>
                                                                                              <w:marTop w:val="0"/>
                                                                                              <w:marBottom w:val="0"/>
                                                                                              <w:divBdr>
                                                                                                <w:top w:val="none" w:sz="0" w:space="0" w:color="auto"/>
                                                                                                <w:left w:val="none" w:sz="0" w:space="0" w:color="auto"/>
                                                                                                <w:bottom w:val="none" w:sz="0" w:space="0" w:color="auto"/>
                                                                                                <w:right w:val="none" w:sz="0" w:space="0" w:color="auto"/>
                                                                                              </w:divBdr>
                                                                                              <w:divsChild>
                                                                                                <w:div w:id="471674297">
                                                                                                  <w:marLeft w:val="0"/>
                                                                                                  <w:marRight w:val="0"/>
                                                                                                  <w:marTop w:val="0"/>
                                                                                                  <w:marBottom w:val="0"/>
                                                                                                  <w:divBdr>
                                                                                                    <w:top w:val="none" w:sz="0" w:space="0" w:color="auto"/>
                                                                                                    <w:left w:val="none" w:sz="0" w:space="0" w:color="auto"/>
                                                                                                    <w:bottom w:val="none" w:sz="0" w:space="0" w:color="auto"/>
                                                                                                    <w:right w:val="none" w:sz="0" w:space="0" w:color="auto"/>
                                                                                                  </w:divBdr>
                                                                                                  <w:divsChild>
                                                                                                    <w:div w:id="481044457">
                                                                                                      <w:marLeft w:val="0"/>
                                                                                                      <w:marRight w:val="0"/>
                                                                                                      <w:marTop w:val="0"/>
                                                                                                      <w:marBottom w:val="0"/>
                                                                                                      <w:divBdr>
                                                                                                        <w:top w:val="none" w:sz="0" w:space="0" w:color="auto"/>
                                                                                                        <w:left w:val="none" w:sz="0" w:space="0" w:color="auto"/>
                                                                                                        <w:bottom w:val="none" w:sz="0" w:space="0" w:color="auto"/>
                                                                                                        <w:right w:val="none" w:sz="0" w:space="0" w:color="auto"/>
                                                                                                      </w:divBdr>
                                                                                                      <w:divsChild>
                                                                                                        <w:div w:id="1994026169">
                                                                                                          <w:marLeft w:val="0"/>
                                                                                                          <w:marRight w:val="0"/>
                                                                                                          <w:marTop w:val="0"/>
                                                                                                          <w:marBottom w:val="0"/>
                                                                                                          <w:divBdr>
                                                                                                            <w:top w:val="none" w:sz="0" w:space="0" w:color="auto"/>
                                                                                                            <w:left w:val="none" w:sz="0" w:space="0" w:color="auto"/>
                                                                                                            <w:bottom w:val="none" w:sz="0" w:space="0" w:color="auto"/>
                                                                                                            <w:right w:val="none" w:sz="0" w:space="0" w:color="auto"/>
                                                                                                          </w:divBdr>
                                                                                                          <w:divsChild>
                                                                                                            <w:div w:id="1037507872">
                                                                                                              <w:marLeft w:val="0"/>
                                                                                                              <w:marRight w:val="0"/>
                                                                                                              <w:marTop w:val="0"/>
                                                                                                              <w:marBottom w:val="0"/>
                                                                                                              <w:divBdr>
                                                                                                                <w:top w:val="none" w:sz="0" w:space="0" w:color="auto"/>
                                                                                                                <w:left w:val="none" w:sz="0" w:space="0" w:color="auto"/>
                                                                                                                <w:bottom w:val="none" w:sz="0" w:space="0" w:color="auto"/>
                                                                                                                <w:right w:val="none" w:sz="0" w:space="0" w:color="auto"/>
                                                                                                              </w:divBdr>
                                                                                                              <w:divsChild>
                                                                                                                <w:div w:id="1252931336">
                                                                                                                  <w:marLeft w:val="0"/>
                                                                                                                  <w:marRight w:val="0"/>
                                                                                                                  <w:marTop w:val="0"/>
                                                                                                                  <w:marBottom w:val="0"/>
                                                                                                                  <w:divBdr>
                                                                                                                    <w:top w:val="none" w:sz="0" w:space="0" w:color="auto"/>
                                                                                                                    <w:left w:val="none" w:sz="0" w:space="0" w:color="auto"/>
                                                                                                                    <w:bottom w:val="none" w:sz="0" w:space="0" w:color="auto"/>
                                                                                                                    <w:right w:val="none" w:sz="0" w:space="0" w:color="auto"/>
                                                                                                                  </w:divBdr>
                                                                                                                  <w:divsChild>
                                                                                                                    <w:div w:id="840002866">
                                                                                                                      <w:marLeft w:val="0"/>
                                                                                                                      <w:marRight w:val="0"/>
                                                                                                                      <w:marTop w:val="0"/>
                                                                                                                      <w:marBottom w:val="0"/>
                                                                                                                      <w:divBdr>
                                                                                                                        <w:top w:val="none" w:sz="0" w:space="0" w:color="auto"/>
                                                                                                                        <w:left w:val="none" w:sz="0" w:space="0" w:color="auto"/>
                                                                                                                        <w:bottom w:val="none" w:sz="0" w:space="0" w:color="auto"/>
                                                                                                                        <w:right w:val="none" w:sz="0" w:space="0" w:color="auto"/>
                                                                                                                      </w:divBdr>
                                                                                                                      <w:divsChild>
                                                                                                                        <w:div w:id="2022123794">
                                                                                                                          <w:marLeft w:val="0"/>
                                                                                                                          <w:marRight w:val="0"/>
                                                                                                                          <w:marTop w:val="0"/>
                                                                                                                          <w:marBottom w:val="0"/>
                                                                                                                          <w:divBdr>
                                                                                                                            <w:top w:val="none" w:sz="0" w:space="0" w:color="auto"/>
                                                                                                                            <w:left w:val="none" w:sz="0" w:space="0" w:color="auto"/>
                                                                                                                            <w:bottom w:val="none" w:sz="0" w:space="0" w:color="auto"/>
                                                                                                                            <w:right w:val="none" w:sz="0" w:space="0" w:color="auto"/>
                                                                                                                          </w:divBdr>
                                                                                                                          <w:divsChild>
                                                                                                                            <w:div w:id="2072117528">
                                                                                                                              <w:marLeft w:val="0"/>
                                                                                                                              <w:marRight w:val="0"/>
                                                                                                                              <w:marTop w:val="0"/>
                                                                                                                              <w:marBottom w:val="0"/>
                                                                                                                              <w:divBdr>
                                                                                                                                <w:top w:val="none" w:sz="0" w:space="0" w:color="auto"/>
                                                                                                                                <w:left w:val="none" w:sz="0" w:space="0" w:color="auto"/>
                                                                                                                                <w:bottom w:val="none" w:sz="0" w:space="0" w:color="auto"/>
                                                                                                                                <w:right w:val="none" w:sz="0" w:space="0" w:color="auto"/>
                                                                                                                              </w:divBdr>
                                                                                                                              <w:divsChild>
                                                                                                                                <w:div w:id="51022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9997046">
      <w:bodyDiv w:val="1"/>
      <w:marLeft w:val="0"/>
      <w:marRight w:val="0"/>
      <w:marTop w:val="0"/>
      <w:marBottom w:val="0"/>
      <w:divBdr>
        <w:top w:val="none" w:sz="0" w:space="0" w:color="auto"/>
        <w:left w:val="none" w:sz="0" w:space="0" w:color="auto"/>
        <w:bottom w:val="none" w:sz="0" w:space="0" w:color="auto"/>
        <w:right w:val="none" w:sz="0" w:space="0" w:color="auto"/>
      </w:divBdr>
    </w:div>
    <w:div w:id="901334943">
      <w:bodyDiv w:val="1"/>
      <w:marLeft w:val="0"/>
      <w:marRight w:val="0"/>
      <w:marTop w:val="0"/>
      <w:marBottom w:val="0"/>
      <w:divBdr>
        <w:top w:val="none" w:sz="0" w:space="0" w:color="auto"/>
        <w:left w:val="none" w:sz="0" w:space="0" w:color="auto"/>
        <w:bottom w:val="none" w:sz="0" w:space="0" w:color="auto"/>
        <w:right w:val="none" w:sz="0" w:space="0" w:color="auto"/>
      </w:divBdr>
    </w:div>
    <w:div w:id="986084738">
      <w:bodyDiv w:val="1"/>
      <w:marLeft w:val="0"/>
      <w:marRight w:val="0"/>
      <w:marTop w:val="0"/>
      <w:marBottom w:val="0"/>
      <w:divBdr>
        <w:top w:val="none" w:sz="0" w:space="0" w:color="auto"/>
        <w:left w:val="none" w:sz="0" w:space="0" w:color="auto"/>
        <w:bottom w:val="none" w:sz="0" w:space="0" w:color="auto"/>
        <w:right w:val="none" w:sz="0" w:space="0" w:color="auto"/>
      </w:divBdr>
    </w:div>
    <w:div w:id="1000350089">
      <w:bodyDiv w:val="1"/>
      <w:marLeft w:val="0"/>
      <w:marRight w:val="0"/>
      <w:marTop w:val="0"/>
      <w:marBottom w:val="0"/>
      <w:divBdr>
        <w:top w:val="none" w:sz="0" w:space="0" w:color="auto"/>
        <w:left w:val="none" w:sz="0" w:space="0" w:color="auto"/>
        <w:bottom w:val="none" w:sz="0" w:space="0" w:color="auto"/>
        <w:right w:val="none" w:sz="0" w:space="0" w:color="auto"/>
      </w:divBdr>
    </w:div>
    <w:div w:id="1074353535">
      <w:bodyDiv w:val="1"/>
      <w:marLeft w:val="0"/>
      <w:marRight w:val="0"/>
      <w:marTop w:val="0"/>
      <w:marBottom w:val="0"/>
      <w:divBdr>
        <w:top w:val="none" w:sz="0" w:space="0" w:color="auto"/>
        <w:left w:val="none" w:sz="0" w:space="0" w:color="auto"/>
        <w:bottom w:val="none" w:sz="0" w:space="0" w:color="auto"/>
        <w:right w:val="none" w:sz="0" w:space="0" w:color="auto"/>
      </w:divBdr>
    </w:div>
    <w:div w:id="1115757819">
      <w:bodyDiv w:val="1"/>
      <w:marLeft w:val="0"/>
      <w:marRight w:val="0"/>
      <w:marTop w:val="0"/>
      <w:marBottom w:val="0"/>
      <w:divBdr>
        <w:top w:val="none" w:sz="0" w:space="0" w:color="auto"/>
        <w:left w:val="none" w:sz="0" w:space="0" w:color="auto"/>
        <w:bottom w:val="none" w:sz="0" w:space="0" w:color="auto"/>
        <w:right w:val="none" w:sz="0" w:space="0" w:color="auto"/>
      </w:divBdr>
    </w:div>
    <w:div w:id="1229414605">
      <w:bodyDiv w:val="1"/>
      <w:marLeft w:val="0"/>
      <w:marRight w:val="0"/>
      <w:marTop w:val="0"/>
      <w:marBottom w:val="0"/>
      <w:divBdr>
        <w:top w:val="none" w:sz="0" w:space="0" w:color="auto"/>
        <w:left w:val="none" w:sz="0" w:space="0" w:color="auto"/>
        <w:bottom w:val="none" w:sz="0" w:space="0" w:color="auto"/>
        <w:right w:val="none" w:sz="0" w:space="0" w:color="auto"/>
      </w:divBdr>
    </w:div>
    <w:div w:id="1289892304">
      <w:bodyDiv w:val="1"/>
      <w:marLeft w:val="0"/>
      <w:marRight w:val="0"/>
      <w:marTop w:val="0"/>
      <w:marBottom w:val="0"/>
      <w:divBdr>
        <w:top w:val="none" w:sz="0" w:space="0" w:color="auto"/>
        <w:left w:val="none" w:sz="0" w:space="0" w:color="auto"/>
        <w:bottom w:val="none" w:sz="0" w:space="0" w:color="auto"/>
        <w:right w:val="none" w:sz="0" w:space="0" w:color="auto"/>
      </w:divBdr>
    </w:div>
    <w:div w:id="1440224552">
      <w:bodyDiv w:val="1"/>
      <w:marLeft w:val="0"/>
      <w:marRight w:val="0"/>
      <w:marTop w:val="0"/>
      <w:marBottom w:val="0"/>
      <w:divBdr>
        <w:top w:val="none" w:sz="0" w:space="0" w:color="auto"/>
        <w:left w:val="none" w:sz="0" w:space="0" w:color="auto"/>
        <w:bottom w:val="none" w:sz="0" w:space="0" w:color="auto"/>
        <w:right w:val="none" w:sz="0" w:space="0" w:color="auto"/>
      </w:divBdr>
    </w:div>
    <w:div w:id="1644776163">
      <w:bodyDiv w:val="1"/>
      <w:marLeft w:val="0"/>
      <w:marRight w:val="0"/>
      <w:marTop w:val="0"/>
      <w:marBottom w:val="0"/>
      <w:divBdr>
        <w:top w:val="none" w:sz="0" w:space="0" w:color="auto"/>
        <w:left w:val="none" w:sz="0" w:space="0" w:color="auto"/>
        <w:bottom w:val="none" w:sz="0" w:space="0" w:color="auto"/>
        <w:right w:val="none" w:sz="0" w:space="0" w:color="auto"/>
      </w:divBdr>
    </w:div>
    <w:div w:id="1690913456">
      <w:bodyDiv w:val="1"/>
      <w:marLeft w:val="0"/>
      <w:marRight w:val="0"/>
      <w:marTop w:val="0"/>
      <w:marBottom w:val="0"/>
      <w:divBdr>
        <w:top w:val="none" w:sz="0" w:space="0" w:color="auto"/>
        <w:left w:val="none" w:sz="0" w:space="0" w:color="auto"/>
        <w:bottom w:val="none" w:sz="0" w:space="0" w:color="auto"/>
        <w:right w:val="none" w:sz="0" w:space="0" w:color="auto"/>
      </w:divBdr>
    </w:div>
    <w:div w:id="1704667570">
      <w:bodyDiv w:val="1"/>
      <w:marLeft w:val="0"/>
      <w:marRight w:val="0"/>
      <w:marTop w:val="0"/>
      <w:marBottom w:val="0"/>
      <w:divBdr>
        <w:top w:val="none" w:sz="0" w:space="0" w:color="auto"/>
        <w:left w:val="none" w:sz="0" w:space="0" w:color="auto"/>
        <w:bottom w:val="none" w:sz="0" w:space="0" w:color="auto"/>
        <w:right w:val="none" w:sz="0" w:space="0" w:color="auto"/>
      </w:divBdr>
    </w:div>
    <w:div w:id="1717700945">
      <w:bodyDiv w:val="1"/>
      <w:marLeft w:val="0"/>
      <w:marRight w:val="0"/>
      <w:marTop w:val="0"/>
      <w:marBottom w:val="0"/>
      <w:divBdr>
        <w:top w:val="none" w:sz="0" w:space="0" w:color="auto"/>
        <w:left w:val="none" w:sz="0" w:space="0" w:color="auto"/>
        <w:bottom w:val="none" w:sz="0" w:space="0" w:color="auto"/>
        <w:right w:val="none" w:sz="0" w:space="0" w:color="auto"/>
      </w:divBdr>
    </w:div>
    <w:div w:id="1739941572">
      <w:bodyDiv w:val="1"/>
      <w:marLeft w:val="0"/>
      <w:marRight w:val="0"/>
      <w:marTop w:val="0"/>
      <w:marBottom w:val="0"/>
      <w:divBdr>
        <w:top w:val="none" w:sz="0" w:space="0" w:color="auto"/>
        <w:left w:val="none" w:sz="0" w:space="0" w:color="auto"/>
        <w:bottom w:val="none" w:sz="0" w:space="0" w:color="auto"/>
        <w:right w:val="none" w:sz="0" w:space="0" w:color="auto"/>
      </w:divBdr>
    </w:div>
    <w:div w:id="1860773104">
      <w:bodyDiv w:val="1"/>
      <w:marLeft w:val="0"/>
      <w:marRight w:val="0"/>
      <w:marTop w:val="0"/>
      <w:marBottom w:val="0"/>
      <w:divBdr>
        <w:top w:val="none" w:sz="0" w:space="0" w:color="auto"/>
        <w:left w:val="none" w:sz="0" w:space="0" w:color="auto"/>
        <w:bottom w:val="none" w:sz="0" w:space="0" w:color="auto"/>
        <w:right w:val="none" w:sz="0" w:space="0" w:color="auto"/>
      </w:divBdr>
    </w:div>
    <w:div w:id="1916091468">
      <w:bodyDiv w:val="1"/>
      <w:marLeft w:val="0"/>
      <w:marRight w:val="0"/>
      <w:marTop w:val="0"/>
      <w:marBottom w:val="0"/>
      <w:divBdr>
        <w:top w:val="none" w:sz="0" w:space="0" w:color="auto"/>
        <w:left w:val="none" w:sz="0" w:space="0" w:color="auto"/>
        <w:bottom w:val="none" w:sz="0" w:space="0" w:color="auto"/>
        <w:right w:val="none" w:sz="0" w:space="0" w:color="auto"/>
      </w:divBdr>
    </w:div>
    <w:div w:id="1924296011">
      <w:bodyDiv w:val="1"/>
      <w:marLeft w:val="0"/>
      <w:marRight w:val="0"/>
      <w:marTop w:val="0"/>
      <w:marBottom w:val="0"/>
      <w:divBdr>
        <w:top w:val="none" w:sz="0" w:space="0" w:color="auto"/>
        <w:left w:val="none" w:sz="0" w:space="0" w:color="auto"/>
        <w:bottom w:val="none" w:sz="0" w:space="0" w:color="auto"/>
        <w:right w:val="none" w:sz="0" w:space="0" w:color="auto"/>
      </w:divBdr>
    </w:div>
    <w:div w:id="1964069906">
      <w:bodyDiv w:val="1"/>
      <w:marLeft w:val="0"/>
      <w:marRight w:val="0"/>
      <w:marTop w:val="0"/>
      <w:marBottom w:val="0"/>
      <w:divBdr>
        <w:top w:val="none" w:sz="0" w:space="0" w:color="auto"/>
        <w:left w:val="none" w:sz="0" w:space="0" w:color="auto"/>
        <w:bottom w:val="none" w:sz="0" w:space="0" w:color="auto"/>
        <w:right w:val="none" w:sz="0" w:space="0" w:color="auto"/>
      </w:divBdr>
    </w:div>
    <w:div w:id="2027511348">
      <w:bodyDiv w:val="1"/>
      <w:marLeft w:val="0"/>
      <w:marRight w:val="0"/>
      <w:marTop w:val="0"/>
      <w:marBottom w:val="0"/>
      <w:divBdr>
        <w:top w:val="none" w:sz="0" w:space="0" w:color="auto"/>
        <w:left w:val="none" w:sz="0" w:space="0" w:color="auto"/>
        <w:bottom w:val="none" w:sz="0" w:space="0" w:color="auto"/>
        <w:right w:val="none" w:sz="0" w:space="0" w:color="auto"/>
      </w:divBdr>
    </w:div>
    <w:div w:id="2074699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5368</Words>
  <Characters>30600</Characters>
  <Application>Microsoft Office Word</Application>
  <DocSecurity>0</DocSecurity>
  <Lines>255</Lines>
  <Paragraphs>71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The clinical and immunological significance of low level infliximab in the absence of anti-infliximab antibodies in patients with IBD</vt:lpstr>
      <vt:lpstr>The clinical and immunological significance of low level infliximab in the absence of anti-infliximab antibodies in patients with IBD</vt:lpstr>
    </vt:vector>
  </TitlesOfParts>
  <Company>TASMC</Company>
  <LinksUpToDate>false</LinksUpToDate>
  <CharactersWithSpaces>35897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clinical and immunological significance of low level infliximab in the absence of anti-infliximab antibodies in patients with IBD</dc:title>
  <dc:creator>Bella</dc:creator>
  <cp:lastModifiedBy>LS Ma</cp:lastModifiedBy>
  <cp:revision>2</cp:revision>
  <dcterms:created xsi:type="dcterms:W3CDTF">2014-10-13T23:16:00Z</dcterms:created>
  <dcterms:modified xsi:type="dcterms:W3CDTF">2014-10-13T23:16:00Z</dcterms:modified>
</cp:coreProperties>
</file>