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14C" w:rsidRPr="0045429A" w:rsidRDefault="00375683" w:rsidP="0045429A">
      <w:pPr>
        <w:spacing w:line="360" w:lineRule="auto"/>
        <w:jc w:val="both"/>
        <w:rPr>
          <w:rFonts w:ascii="Book Antiqua" w:hAnsi="Book Antiqua"/>
          <w:b/>
          <w:sz w:val="24"/>
          <w:szCs w:val="24"/>
          <w:u w:val="single"/>
          <w:lang w:val="en-US"/>
        </w:rPr>
      </w:pPr>
      <w:r w:rsidRPr="0045429A">
        <w:rPr>
          <w:rFonts w:ascii="Book Antiqua" w:hAnsi="Book Antiqua"/>
          <w:b/>
          <w:sz w:val="24"/>
          <w:szCs w:val="24"/>
          <w:u w:val="single"/>
          <w:lang w:val="en-US"/>
        </w:rPr>
        <w:t>ANTIVIRAL TREATMENT FOR CHRONIC HEPATITIS B IN RENAL TRANSPLANT PATIENTS</w:t>
      </w:r>
    </w:p>
    <w:p w:rsidR="00F10EF4" w:rsidRPr="0045429A" w:rsidRDefault="00F10EF4" w:rsidP="0045429A">
      <w:pPr>
        <w:spacing w:line="360" w:lineRule="auto"/>
        <w:jc w:val="both"/>
        <w:rPr>
          <w:rFonts w:ascii="Book Antiqua" w:hAnsi="Book Antiqua"/>
          <w:caps/>
          <w:sz w:val="24"/>
          <w:szCs w:val="24"/>
          <w:lang w:val="en-US"/>
        </w:rPr>
      </w:pPr>
      <w:r w:rsidRPr="0045429A">
        <w:rPr>
          <w:rFonts w:ascii="Book Antiqua" w:hAnsi="Book Antiqua"/>
          <w:sz w:val="24"/>
          <w:szCs w:val="24"/>
          <w:lang w:val="en-US"/>
        </w:rPr>
        <w:t>Running title</w:t>
      </w:r>
      <w:r w:rsidRPr="0045429A">
        <w:rPr>
          <w:rFonts w:ascii="Book Antiqua" w:hAnsi="Book Antiqua"/>
          <w:caps/>
          <w:sz w:val="24"/>
          <w:szCs w:val="24"/>
          <w:lang w:val="en-US"/>
        </w:rPr>
        <w:t xml:space="preserve">: NUC </w:t>
      </w:r>
      <w:r w:rsidRPr="0045429A">
        <w:rPr>
          <w:rFonts w:ascii="Book Antiqua" w:hAnsi="Book Antiqua"/>
          <w:sz w:val="24"/>
          <w:szCs w:val="24"/>
          <w:lang w:val="en-US"/>
        </w:rPr>
        <w:t>treatment in RT patients</w:t>
      </w:r>
    </w:p>
    <w:p w:rsidR="0021514C" w:rsidRPr="0045429A" w:rsidRDefault="0021514C" w:rsidP="0045429A">
      <w:pPr>
        <w:spacing w:line="360" w:lineRule="auto"/>
        <w:jc w:val="both"/>
        <w:rPr>
          <w:rFonts w:ascii="Book Antiqua" w:hAnsi="Book Antiqua"/>
          <w:sz w:val="24"/>
          <w:szCs w:val="24"/>
        </w:rPr>
      </w:pPr>
      <w:r w:rsidRPr="0045429A">
        <w:rPr>
          <w:rFonts w:ascii="Book Antiqua" w:hAnsi="Book Antiqua"/>
          <w:caps/>
          <w:sz w:val="24"/>
          <w:szCs w:val="24"/>
        </w:rPr>
        <w:t>E</w:t>
      </w:r>
      <w:r w:rsidRPr="0045429A">
        <w:rPr>
          <w:rFonts w:ascii="Book Antiqua" w:hAnsi="Book Antiqua"/>
          <w:sz w:val="24"/>
          <w:szCs w:val="24"/>
        </w:rPr>
        <w:t>zequiel Ridruejo MD</w:t>
      </w:r>
      <w:r w:rsidRPr="0045429A">
        <w:rPr>
          <w:rFonts w:ascii="Book Antiqua" w:hAnsi="Book Antiqua"/>
          <w:sz w:val="24"/>
          <w:szCs w:val="24"/>
          <w:vertAlign w:val="superscript"/>
        </w:rPr>
        <w:t>1,2</w:t>
      </w:r>
    </w:p>
    <w:p w:rsidR="0021514C" w:rsidRPr="0045429A" w:rsidRDefault="0021514C" w:rsidP="0045429A">
      <w:pPr>
        <w:spacing w:line="360" w:lineRule="auto"/>
        <w:jc w:val="both"/>
        <w:rPr>
          <w:rFonts w:ascii="Book Antiqua" w:hAnsi="Book Antiqua"/>
          <w:sz w:val="24"/>
          <w:szCs w:val="24"/>
        </w:rPr>
      </w:pPr>
      <w:r w:rsidRPr="0045429A">
        <w:rPr>
          <w:rFonts w:ascii="Book Antiqua" w:hAnsi="Book Antiqua"/>
          <w:sz w:val="24"/>
          <w:szCs w:val="24"/>
          <w:vertAlign w:val="superscript"/>
        </w:rPr>
        <w:t>1</w:t>
      </w:r>
      <w:r w:rsidR="00F23CDC" w:rsidRPr="0045429A">
        <w:rPr>
          <w:rFonts w:ascii="Book Antiqua" w:hAnsi="Book Antiqua"/>
          <w:sz w:val="24"/>
          <w:szCs w:val="24"/>
        </w:rPr>
        <w:t>Hepatology Section, Depart</w:t>
      </w:r>
      <w:r w:rsidRPr="0045429A">
        <w:rPr>
          <w:rFonts w:ascii="Book Antiqua" w:hAnsi="Book Antiqua"/>
          <w:sz w:val="24"/>
          <w:szCs w:val="24"/>
        </w:rPr>
        <w:t>ment of Medicine, Centro de Educación Médica e Investigaciones Clínicas Norberto Quirno “CEMIC”. Ciudad Autónoma de Buenos Aires, Argentina.</w:t>
      </w:r>
    </w:p>
    <w:p w:rsidR="0021514C" w:rsidRPr="0045429A" w:rsidRDefault="0021514C" w:rsidP="0045429A">
      <w:pPr>
        <w:spacing w:line="360" w:lineRule="auto"/>
        <w:jc w:val="both"/>
        <w:rPr>
          <w:rFonts w:ascii="Book Antiqua" w:hAnsi="Book Antiqua"/>
          <w:sz w:val="24"/>
          <w:szCs w:val="24"/>
          <w:lang w:val="en-US"/>
        </w:rPr>
      </w:pPr>
      <w:r w:rsidRPr="0045429A">
        <w:rPr>
          <w:rFonts w:ascii="Book Antiqua" w:hAnsi="Book Antiqua"/>
          <w:sz w:val="24"/>
          <w:szCs w:val="24"/>
          <w:vertAlign w:val="superscript"/>
        </w:rPr>
        <w:t>2</w:t>
      </w:r>
      <w:r w:rsidRPr="0045429A">
        <w:rPr>
          <w:rFonts w:ascii="Book Antiqua" w:hAnsi="Book Antiqua"/>
          <w:sz w:val="24"/>
          <w:szCs w:val="24"/>
        </w:rPr>
        <w:t xml:space="preserve">Hepatology and Liver Transplant Unit, Hospital Universitario Austral. </w:t>
      </w:r>
      <w:r w:rsidRPr="0045429A">
        <w:rPr>
          <w:rFonts w:ascii="Book Antiqua" w:hAnsi="Book Antiqua"/>
          <w:sz w:val="24"/>
          <w:szCs w:val="24"/>
          <w:lang w:val="en-US"/>
        </w:rPr>
        <w:t>Pilar, Provincia de Buenos Aires, Argentina.</w:t>
      </w:r>
    </w:p>
    <w:p w:rsidR="006B67BA" w:rsidRPr="0045429A" w:rsidRDefault="006B67BA"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Author contributions: Ridruejo E analyzed all the data and wrote the paper.</w:t>
      </w:r>
    </w:p>
    <w:p w:rsidR="0021514C" w:rsidRPr="0045429A" w:rsidRDefault="0021514C"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Corresponding author:</w:t>
      </w:r>
    </w:p>
    <w:p w:rsidR="0021514C" w:rsidRPr="0045429A" w:rsidRDefault="0021514C" w:rsidP="0045429A">
      <w:pPr>
        <w:spacing w:after="0" w:line="360" w:lineRule="auto"/>
        <w:jc w:val="both"/>
        <w:rPr>
          <w:rFonts w:ascii="Book Antiqua" w:hAnsi="Book Antiqua"/>
          <w:sz w:val="24"/>
          <w:szCs w:val="24"/>
          <w:lang w:val="en-US"/>
        </w:rPr>
      </w:pPr>
      <w:r w:rsidRPr="0045429A">
        <w:rPr>
          <w:rFonts w:ascii="Book Antiqua" w:hAnsi="Book Antiqua"/>
          <w:sz w:val="24"/>
          <w:szCs w:val="24"/>
          <w:lang w:val="en-US"/>
        </w:rPr>
        <w:t>Ezequiel Ridruejo MD.</w:t>
      </w:r>
    </w:p>
    <w:p w:rsidR="0021514C" w:rsidRPr="0045429A" w:rsidRDefault="0021514C" w:rsidP="0045429A">
      <w:pPr>
        <w:spacing w:after="0" w:line="360" w:lineRule="auto"/>
        <w:jc w:val="both"/>
        <w:rPr>
          <w:rFonts w:ascii="Book Antiqua" w:hAnsi="Book Antiqua"/>
          <w:sz w:val="24"/>
          <w:szCs w:val="24"/>
          <w:lang w:val="en-US"/>
        </w:rPr>
      </w:pPr>
      <w:r w:rsidRPr="0045429A">
        <w:rPr>
          <w:rFonts w:ascii="Book Antiqua" w:hAnsi="Book Antiqua"/>
          <w:sz w:val="24"/>
          <w:szCs w:val="24"/>
          <w:lang w:val="en-US"/>
        </w:rPr>
        <w:t xml:space="preserve">Hepatology Section, Department of Medicine. </w:t>
      </w:r>
    </w:p>
    <w:p w:rsidR="0021514C" w:rsidRPr="0045429A" w:rsidRDefault="0021514C" w:rsidP="0045429A">
      <w:pPr>
        <w:spacing w:after="0" w:line="360" w:lineRule="auto"/>
        <w:jc w:val="both"/>
        <w:rPr>
          <w:rFonts w:ascii="Book Antiqua" w:hAnsi="Book Antiqua"/>
          <w:sz w:val="24"/>
          <w:szCs w:val="24"/>
        </w:rPr>
      </w:pPr>
      <w:r w:rsidRPr="0045429A">
        <w:rPr>
          <w:rFonts w:ascii="Book Antiqua" w:hAnsi="Book Antiqua"/>
          <w:sz w:val="24"/>
          <w:szCs w:val="24"/>
        </w:rPr>
        <w:t>Centro de Educación Médica e Investigaciones Clínicas Norberto Quirno “CEMIC”.</w:t>
      </w:r>
    </w:p>
    <w:p w:rsidR="0021514C" w:rsidRPr="0045429A" w:rsidRDefault="0021514C" w:rsidP="0045429A">
      <w:pPr>
        <w:spacing w:after="0" w:line="360" w:lineRule="auto"/>
        <w:jc w:val="both"/>
        <w:rPr>
          <w:rFonts w:ascii="Book Antiqua" w:hAnsi="Book Antiqua"/>
          <w:sz w:val="24"/>
          <w:szCs w:val="24"/>
          <w:lang w:val="en-US"/>
        </w:rPr>
      </w:pPr>
      <w:r w:rsidRPr="0045429A">
        <w:rPr>
          <w:rFonts w:ascii="Book Antiqua" w:hAnsi="Book Antiqua"/>
          <w:sz w:val="24"/>
          <w:szCs w:val="24"/>
          <w:lang w:val="en-US"/>
        </w:rPr>
        <w:t>Email: eridruejo@gmail.com</w:t>
      </w:r>
    </w:p>
    <w:p w:rsidR="0021514C" w:rsidRPr="0045429A" w:rsidRDefault="0021514C" w:rsidP="0045429A">
      <w:pPr>
        <w:spacing w:after="0" w:line="360" w:lineRule="auto"/>
        <w:jc w:val="both"/>
        <w:rPr>
          <w:rFonts w:ascii="Book Antiqua" w:hAnsi="Book Antiqua"/>
          <w:sz w:val="24"/>
          <w:szCs w:val="24"/>
          <w:lang w:val="en-US"/>
        </w:rPr>
      </w:pPr>
      <w:r w:rsidRPr="0045429A">
        <w:rPr>
          <w:rFonts w:ascii="Book Antiqua" w:hAnsi="Book Antiqua"/>
          <w:sz w:val="24"/>
          <w:szCs w:val="24"/>
          <w:lang w:val="en-US"/>
        </w:rPr>
        <w:t>Telephone: 54-11-4809-1980</w:t>
      </w:r>
      <w:r w:rsidRPr="0045429A">
        <w:rPr>
          <w:rFonts w:ascii="Book Antiqua" w:hAnsi="Book Antiqua"/>
          <w:sz w:val="24"/>
          <w:szCs w:val="24"/>
          <w:lang w:val="en-US"/>
        </w:rPr>
        <w:tab/>
      </w:r>
    </w:p>
    <w:p w:rsidR="0021514C" w:rsidRPr="0045429A" w:rsidRDefault="0021514C" w:rsidP="0045429A">
      <w:pPr>
        <w:spacing w:after="0" w:line="360" w:lineRule="auto"/>
        <w:jc w:val="both"/>
        <w:rPr>
          <w:rFonts w:ascii="Book Antiqua" w:hAnsi="Book Antiqua"/>
          <w:sz w:val="24"/>
          <w:szCs w:val="24"/>
        </w:rPr>
      </w:pPr>
      <w:r w:rsidRPr="0045429A">
        <w:rPr>
          <w:rFonts w:ascii="Book Antiqua" w:hAnsi="Book Antiqua"/>
          <w:sz w:val="24"/>
          <w:szCs w:val="24"/>
        </w:rPr>
        <w:t>Fax: 54-11-4809-1992</w:t>
      </w:r>
    </w:p>
    <w:p w:rsidR="0021514C" w:rsidRPr="0045429A" w:rsidRDefault="0021514C" w:rsidP="0045429A">
      <w:pPr>
        <w:spacing w:after="0" w:line="360" w:lineRule="auto"/>
        <w:jc w:val="both"/>
        <w:rPr>
          <w:rFonts w:ascii="Book Antiqua" w:hAnsi="Book Antiqua"/>
          <w:sz w:val="24"/>
          <w:szCs w:val="24"/>
        </w:rPr>
      </w:pPr>
      <w:r w:rsidRPr="0045429A">
        <w:rPr>
          <w:rFonts w:ascii="Book Antiqua" w:hAnsi="Book Antiqua"/>
          <w:sz w:val="24"/>
          <w:szCs w:val="24"/>
        </w:rPr>
        <w:t>Avda. Las Heras 2939.</w:t>
      </w:r>
    </w:p>
    <w:p w:rsidR="0021514C" w:rsidRPr="0045429A" w:rsidRDefault="0021514C" w:rsidP="0045429A">
      <w:pPr>
        <w:spacing w:after="0" w:line="360" w:lineRule="auto"/>
        <w:jc w:val="both"/>
        <w:rPr>
          <w:rFonts w:ascii="Book Antiqua" w:hAnsi="Book Antiqua"/>
          <w:sz w:val="24"/>
          <w:szCs w:val="24"/>
        </w:rPr>
      </w:pPr>
      <w:r w:rsidRPr="0045429A">
        <w:rPr>
          <w:rFonts w:ascii="Book Antiqua" w:hAnsi="Book Antiqua"/>
          <w:sz w:val="24"/>
          <w:szCs w:val="24"/>
        </w:rPr>
        <w:t>(C1425ASG) Buenos Aires, Argentina</w:t>
      </w:r>
    </w:p>
    <w:p w:rsidR="006B67BA" w:rsidRPr="0045429A" w:rsidRDefault="006B67BA" w:rsidP="0045429A">
      <w:pPr>
        <w:spacing w:after="0" w:line="360" w:lineRule="auto"/>
        <w:jc w:val="both"/>
        <w:rPr>
          <w:rFonts w:ascii="Book Antiqua" w:hAnsi="Book Antiqua"/>
          <w:sz w:val="24"/>
          <w:szCs w:val="24"/>
        </w:rPr>
      </w:pPr>
    </w:p>
    <w:p w:rsidR="006B67BA" w:rsidRPr="0045429A" w:rsidRDefault="006B67BA" w:rsidP="0045429A">
      <w:pPr>
        <w:spacing w:line="360" w:lineRule="auto"/>
        <w:rPr>
          <w:rFonts w:ascii="Book Antiqua" w:hAnsi="Book Antiqua"/>
          <w:sz w:val="24"/>
          <w:szCs w:val="24"/>
        </w:rPr>
      </w:pPr>
      <w:r w:rsidRPr="0045429A">
        <w:rPr>
          <w:rFonts w:ascii="Book Antiqua" w:hAnsi="Book Antiqua"/>
          <w:sz w:val="24"/>
          <w:szCs w:val="24"/>
        </w:rPr>
        <w:br w:type="page"/>
      </w:r>
    </w:p>
    <w:p w:rsidR="006B67BA" w:rsidRPr="0045429A" w:rsidRDefault="006B67BA" w:rsidP="0045429A">
      <w:pPr>
        <w:spacing w:line="360" w:lineRule="auto"/>
        <w:jc w:val="both"/>
        <w:rPr>
          <w:rFonts w:ascii="Book Antiqua" w:hAnsi="Book Antiqua"/>
          <w:b/>
          <w:sz w:val="24"/>
          <w:szCs w:val="24"/>
          <w:lang w:val="en-US"/>
        </w:rPr>
      </w:pPr>
      <w:r w:rsidRPr="0045429A">
        <w:rPr>
          <w:rFonts w:ascii="Book Antiqua" w:hAnsi="Book Antiqua"/>
          <w:b/>
          <w:sz w:val="24"/>
          <w:szCs w:val="24"/>
          <w:lang w:val="en-US"/>
        </w:rPr>
        <w:lastRenderedPageBreak/>
        <w:t>ABSTRACT</w:t>
      </w:r>
    </w:p>
    <w:p w:rsidR="006B67BA" w:rsidRPr="0045429A" w:rsidRDefault="006B67BA"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 xml:space="preserve">Chronic hepatitis B infection is frequent in renal transplant patients. It negatively impacts long term outcomes reducing graft and patient survival. Current guidelines clearly define who needs treatment, when to start, what is the first line therapy, how to monitor treatment response, when to stop, and how patients must be controlled for its safety. There is some data showing a favorable safety and efficacy profile of </w:t>
      </w:r>
      <w:r w:rsidR="00740493" w:rsidRPr="0045429A">
        <w:rPr>
          <w:rFonts w:ascii="Book Antiqua" w:hAnsi="Book Antiqua"/>
          <w:sz w:val="24"/>
          <w:szCs w:val="24"/>
          <w:lang w:val="en-US"/>
        </w:rPr>
        <w:t>nucleos(t)ide analogue (NUC)</w:t>
      </w:r>
      <w:r w:rsidRPr="0045429A">
        <w:rPr>
          <w:rFonts w:ascii="Book Antiqua" w:hAnsi="Book Antiqua"/>
          <w:sz w:val="24"/>
          <w:szCs w:val="24"/>
          <w:lang w:val="en-US"/>
        </w:rPr>
        <w:t xml:space="preserve"> treatment in the renal transplant setting. </w:t>
      </w:r>
      <w:r w:rsidR="00740493" w:rsidRPr="0045429A">
        <w:rPr>
          <w:rFonts w:ascii="Book Antiqua" w:hAnsi="Book Antiqua"/>
          <w:sz w:val="24"/>
          <w:szCs w:val="24"/>
          <w:lang w:val="en-US"/>
        </w:rPr>
        <w:t>Entecavir</w:t>
      </w:r>
      <w:r w:rsidRPr="0045429A">
        <w:rPr>
          <w:rFonts w:ascii="Book Antiqua" w:hAnsi="Book Antiqua"/>
          <w:sz w:val="24"/>
          <w:szCs w:val="24"/>
          <w:lang w:val="en-US"/>
        </w:rPr>
        <w:t xml:space="preserve">, an agent without signs of major nephrotoxicity, appears to be the preferred option for NUC naïve patients and </w:t>
      </w:r>
      <w:r w:rsidR="00740493" w:rsidRPr="0045429A">
        <w:rPr>
          <w:rFonts w:ascii="Book Antiqua" w:hAnsi="Book Antiqua"/>
          <w:sz w:val="24"/>
          <w:szCs w:val="24"/>
          <w:lang w:val="en-US"/>
        </w:rPr>
        <w:t>tenofovir</w:t>
      </w:r>
      <w:r w:rsidRPr="0045429A">
        <w:rPr>
          <w:rFonts w:ascii="Book Antiqua" w:hAnsi="Book Antiqua"/>
          <w:sz w:val="24"/>
          <w:szCs w:val="24"/>
          <w:lang w:val="en-US"/>
        </w:rPr>
        <w:t xml:space="preserve"> remains the agent of choice for patients with prior resistance to </w:t>
      </w:r>
      <w:r w:rsidR="00740493" w:rsidRPr="0045429A">
        <w:rPr>
          <w:rFonts w:ascii="Book Antiqua" w:hAnsi="Book Antiqua"/>
          <w:sz w:val="24"/>
          <w:szCs w:val="24"/>
          <w:lang w:val="en-US"/>
        </w:rPr>
        <w:t>lamivudine</w:t>
      </w:r>
      <w:r w:rsidRPr="0045429A">
        <w:rPr>
          <w:rFonts w:ascii="Book Antiqua" w:hAnsi="Book Antiqua"/>
          <w:sz w:val="24"/>
          <w:szCs w:val="24"/>
          <w:lang w:val="en-US"/>
        </w:rPr>
        <w:t xml:space="preserve"> or any other NUC. Renal transplant recipients under antiHBV therapy should be followed not only for the treatment efficacy against HBV but also with a thorough renal monitoring as well. Studies including a large number of patients with long term treatment and follow up are still needed to better demonstrate the safety and efficacy of newer NUCs in this population.</w:t>
      </w:r>
    </w:p>
    <w:p w:rsidR="006B67BA" w:rsidRPr="0045429A" w:rsidRDefault="006B67BA" w:rsidP="0045429A">
      <w:pPr>
        <w:spacing w:line="360" w:lineRule="auto"/>
        <w:jc w:val="both"/>
        <w:rPr>
          <w:rFonts w:ascii="Book Antiqua" w:hAnsi="Book Antiqua"/>
          <w:sz w:val="24"/>
          <w:szCs w:val="24"/>
          <w:lang w:val="en-US"/>
        </w:rPr>
      </w:pPr>
    </w:p>
    <w:p w:rsidR="006B67BA" w:rsidRPr="0045429A" w:rsidRDefault="006B67BA" w:rsidP="0045429A">
      <w:pPr>
        <w:spacing w:line="360" w:lineRule="auto"/>
        <w:jc w:val="both"/>
        <w:rPr>
          <w:rFonts w:ascii="Book Antiqua" w:hAnsi="Book Antiqua"/>
          <w:sz w:val="24"/>
          <w:szCs w:val="24"/>
          <w:lang w:val="en-US"/>
        </w:rPr>
      </w:pPr>
      <w:r w:rsidRPr="0045429A">
        <w:rPr>
          <w:rFonts w:ascii="Book Antiqua" w:hAnsi="Book Antiqua"/>
          <w:b/>
          <w:sz w:val="24"/>
          <w:szCs w:val="24"/>
          <w:lang w:val="en-US"/>
        </w:rPr>
        <w:t>Keywords</w:t>
      </w:r>
      <w:r w:rsidRPr="0045429A">
        <w:rPr>
          <w:rFonts w:ascii="Book Antiqua" w:hAnsi="Book Antiqua"/>
          <w:sz w:val="24"/>
          <w:szCs w:val="24"/>
          <w:lang w:val="en-US"/>
        </w:rPr>
        <w:t>: Hepatitis B; Renal Transplantation; Entecavir; Tenofovir; Long Term Outcome</w:t>
      </w:r>
    </w:p>
    <w:p w:rsidR="005C5BB1" w:rsidRPr="0045429A" w:rsidRDefault="00F10EF4" w:rsidP="0045429A">
      <w:pPr>
        <w:spacing w:after="0" w:line="360" w:lineRule="auto"/>
        <w:jc w:val="both"/>
        <w:rPr>
          <w:rFonts w:ascii="Book Antiqua" w:hAnsi="Book Antiqua"/>
          <w:sz w:val="24"/>
          <w:szCs w:val="24"/>
          <w:lang w:val="en-US"/>
        </w:rPr>
      </w:pPr>
      <w:r w:rsidRPr="0045429A">
        <w:rPr>
          <w:rFonts w:ascii="Book Antiqua" w:hAnsi="Book Antiqua"/>
          <w:b/>
          <w:sz w:val="24"/>
          <w:szCs w:val="24"/>
          <w:lang w:val="en-US"/>
        </w:rPr>
        <w:t>Core tip</w:t>
      </w:r>
      <w:r w:rsidRPr="0045429A">
        <w:rPr>
          <w:rFonts w:ascii="Book Antiqua" w:hAnsi="Book Antiqua"/>
          <w:sz w:val="24"/>
          <w:szCs w:val="24"/>
          <w:lang w:val="en-US"/>
        </w:rPr>
        <w:t xml:space="preserve">: </w:t>
      </w:r>
      <w:r w:rsidR="000943C9" w:rsidRPr="0045429A">
        <w:rPr>
          <w:rFonts w:ascii="Book Antiqua" w:hAnsi="Book Antiqua"/>
          <w:sz w:val="24"/>
          <w:szCs w:val="24"/>
          <w:lang w:val="en-US"/>
        </w:rPr>
        <w:t>Nucleos(t)ide analogue</w:t>
      </w:r>
      <w:r w:rsidRPr="0045429A">
        <w:rPr>
          <w:rFonts w:ascii="Book Antiqua" w:hAnsi="Book Antiqua"/>
          <w:sz w:val="24"/>
          <w:szCs w:val="24"/>
          <w:lang w:val="en-US"/>
        </w:rPr>
        <w:t xml:space="preserve"> treatment is safe and effective in renal transplant patients. It improves long term patients and graft survival.</w:t>
      </w:r>
      <w:r w:rsidR="005C5BB1" w:rsidRPr="0045429A">
        <w:rPr>
          <w:rFonts w:ascii="Book Antiqua" w:hAnsi="Book Antiqua"/>
          <w:sz w:val="24"/>
          <w:szCs w:val="24"/>
          <w:lang w:val="en-US"/>
        </w:rPr>
        <w:br w:type="page"/>
      </w:r>
    </w:p>
    <w:p w:rsidR="00D879C5" w:rsidRPr="0045429A" w:rsidRDefault="00375683" w:rsidP="0045429A">
      <w:pPr>
        <w:spacing w:line="360" w:lineRule="auto"/>
        <w:jc w:val="both"/>
        <w:rPr>
          <w:rFonts w:ascii="Book Antiqua" w:hAnsi="Book Antiqua"/>
          <w:b/>
          <w:sz w:val="24"/>
          <w:szCs w:val="24"/>
          <w:lang w:val="en-US"/>
        </w:rPr>
      </w:pPr>
      <w:r w:rsidRPr="0045429A">
        <w:rPr>
          <w:rFonts w:ascii="Book Antiqua" w:hAnsi="Book Antiqua"/>
          <w:b/>
          <w:sz w:val="24"/>
          <w:szCs w:val="24"/>
          <w:lang w:val="en-US"/>
        </w:rPr>
        <w:lastRenderedPageBreak/>
        <w:t>INTRODUCTION</w:t>
      </w:r>
    </w:p>
    <w:p w:rsidR="00EB0039" w:rsidRPr="0045429A" w:rsidRDefault="00443E74"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 xml:space="preserve">Renal transplantation (RT) is the treatment of choice for patients with end-stage renal disease (ESRD) undergoing renal replacement therapy. Moreover, RT is associated with better quality of life and survival when compared with those remaining on the waiting list </w:t>
      </w:r>
      <w:r w:rsidRPr="0045429A">
        <w:rPr>
          <w:rFonts w:ascii="Book Antiqua" w:hAnsi="Book Antiqua"/>
          <w:sz w:val="24"/>
          <w:szCs w:val="24"/>
          <w:vertAlign w:val="superscript"/>
          <w:lang w:val="en-US"/>
        </w:rPr>
        <w:t>[1]</w:t>
      </w:r>
      <w:r w:rsidRPr="0045429A">
        <w:rPr>
          <w:rFonts w:ascii="Book Antiqua" w:hAnsi="Book Antiqua"/>
          <w:sz w:val="24"/>
          <w:szCs w:val="24"/>
          <w:lang w:val="en-US"/>
        </w:rPr>
        <w:t>.</w:t>
      </w:r>
      <w:r w:rsidR="00DE4D27" w:rsidRPr="0045429A">
        <w:rPr>
          <w:rFonts w:ascii="Book Antiqua" w:hAnsi="Book Antiqua"/>
          <w:sz w:val="24"/>
          <w:szCs w:val="24"/>
          <w:lang w:val="en-US"/>
        </w:rPr>
        <w:t xml:space="preserve"> During the last two decades, the introduction of new immunosuppressants has been associated with a decline in the prevalence of acute rejection and with an improvement in 1-year graft survival. However, in contrast to the short-term survival, the long-term outcome of both transplant recipients and their grafts has not improved as expected </w:t>
      </w:r>
      <w:r w:rsidR="00DE4D27" w:rsidRPr="0045429A">
        <w:rPr>
          <w:rFonts w:ascii="Book Antiqua" w:hAnsi="Book Antiqua"/>
          <w:sz w:val="24"/>
          <w:szCs w:val="24"/>
          <w:vertAlign w:val="superscript"/>
          <w:lang w:val="en-US"/>
        </w:rPr>
        <w:t>[</w:t>
      </w:r>
      <w:r w:rsidR="008031B4" w:rsidRPr="0045429A">
        <w:rPr>
          <w:rFonts w:ascii="Book Antiqua" w:hAnsi="Book Antiqua"/>
          <w:sz w:val="24"/>
          <w:szCs w:val="24"/>
          <w:vertAlign w:val="superscript"/>
          <w:lang w:val="en-US"/>
        </w:rPr>
        <w:t>2-3</w:t>
      </w:r>
      <w:r w:rsidR="00DE4D27" w:rsidRPr="0045429A">
        <w:rPr>
          <w:rFonts w:ascii="Book Antiqua" w:hAnsi="Book Antiqua"/>
          <w:sz w:val="24"/>
          <w:szCs w:val="24"/>
          <w:vertAlign w:val="superscript"/>
          <w:lang w:val="en-US"/>
        </w:rPr>
        <w:t>]</w:t>
      </w:r>
      <w:r w:rsidR="00DE4D27" w:rsidRPr="0045429A">
        <w:rPr>
          <w:rFonts w:ascii="Book Antiqua" w:hAnsi="Book Antiqua"/>
          <w:sz w:val="24"/>
          <w:szCs w:val="24"/>
          <w:lang w:val="en-US"/>
        </w:rPr>
        <w:t>.</w:t>
      </w:r>
      <w:r w:rsidR="008031B4" w:rsidRPr="0045429A">
        <w:rPr>
          <w:rFonts w:ascii="Book Antiqua" w:hAnsi="Book Antiqua"/>
          <w:sz w:val="24"/>
          <w:szCs w:val="24"/>
          <w:lang w:val="en-US"/>
        </w:rPr>
        <w:t xml:space="preserve"> </w:t>
      </w:r>
      <w:r w:rsidR="0039170C" w:rsidRPr="0045429A">
        <w:rPr>
          <w:rFonts w:ascii="Book Antiqua" w:hAnsi="Book Antiqua"/>
          <w:sz w:val="24"/>
          <w:szCs w:val="24"/>
          <w:lang w:val="en-US"/>
        </w:rPr>
        <w:t>Cardiovascular diseases, malignancy and infections are the most common causes of death in RT patients.</w:t>
      </w:r>
      <w:r w:rsidR="00E57E10" w:rsidRPr="0045429A">
        <w:rPr>
          <w:rFonts w:ascii="Book Antiqua" w:hAnsi="Book Antiqua"/>
          <w:sz w:val="24"/>
          <w:szCs w:val="24"/>
          <w:lang w:val="en-US"/>
        </w:rPr>
        <w:t xml:space="preserve"> Liver failure appears as the fourth cause of death in long-term survivors after RT </w:t>
      </w:r>
      <w:r w:rsidR="00E57E10" w:rsidRPr="0045429A">
        <w:rPr>
          <w:rFonts w:ascii="Book Antiqua" w:hAnsi="Book Antiqua"/>
          <w:sz w:val="24"/>
          <w:szCs w:val="24"/>
          <w:vertAlign w:val="superscript"/>
          <w:lang w:val="en-US"/>
        </w:rPr>
        <w:t>[3-6]</w:t>
      </w:r>
      <w:r w:rsidR="00E57E10" w:rsidRPr="0045429A">
        <w:rPr>
          <w:rFonts w:ascii="Book Antiqua" w:hAnsi="Book Antiqua"/>
          <w:sz w:val="24"/>
          <w:szCs w:val="24"/>
          <w:lang w:val="en-US"/>
        </w:rPr>
        <w:t>.</w:t>
      </w:r>
      <w:r w:rsidR="0039170C" w:rsidRPr="0045429A">
        <w:rPr>
          <w:rFonts w:ascii="Book Antiqua" w:hAnsi="Book Antiqua"/>
          <w:sz w:val="24"/>
          <w:szCs w:val="24"/>
          <w:lang w:val="en-US"/>
        </w:rPr>
        <w:t xml:space="preserve"> </w:t>
      </w:r>
      <w:r w:rsidR="0056786F" w:rsidRPr="0045429A">
        <w:rPr>
          <w:rFonts w:ascii="Book Antiqua" w:hAnsi="Book Antiqua"/>
          <w:sz w:val="24"/>
          <w:szCs w:val="24"/>
          <w:lang w:val="en-US"/>
        </w:rPr>
        <w:t xml:space="preserve">In these patients liver failure is mostly related to chronic viral hepatitis B (HBV) and C (HCV). </w:t>
      </w:r>
      <w:r w:rsidR="000A1134" w:rsidRPr="0045429A">
        <w:rPr>
          <w:rFonts w:ascii="Book Antiqua" w:hAnsi="Book Antiqua"/>
          <w:sz w:val="24"/>
          <w:szCs w:val="24"/>
          <w:highlight w:val="yellow"/>
          <w:lang w:val="en-US"/>
        </w:rPr>
        <w:t xml:space="preserve">Both HBV and HCV negatively impact on </w:t>
      </w:r>
      <w:r w:rsidR="00FC79F6" w:rsidRPr="0045429A">
        <w:rPr>
          <w:rFonts w:ascii="Book Antiqua" w:hAnsi="Book Antiqua"/>
          <w:sz w:val="24"/>
          <w:szCs w:val="24"/>
          <w:highlight w:val="yellow"/>
          <w:lang w:val="en-US"/>
        </w:rPr>
        <w:t xml:space="preserve">renal transplantation outcomes by reducing </w:t>
      </w:r>
      <w:r w:rsidR="000A1134" w:rsidRPr="0045429A">
        <w:rPr>
          <w:rFonts w:ascii="Book Antiqua" w:hAnsi="Book Antiqua"/>
          <w:sz w:val="24"/>
          <w:szCs w:val="24"/>
          <w:highlight w:val="yellow"/>
          <w:lang w:val="en-US"/>
        </w:rPr>
        <w:t>long term graft and patient survival</w:t>
      </w:r>
      <w:r w:rsidR="000A1134" w:rsidRPr="0045429A">
        <w:rPr>
          <w:rFonts w:ascii="Book Antiqua" w:hAnsi="Book Antiqua"/>
          <w:sz w:val="24"/>
          <w:szCs w:val="24"/>
          <w:lang w:val="en-US"/>
        </w:rPr>
        <w:t xml:space="preserve">; the magnitude of this impact may vary between these viruses and may differ from different series. Treatment strategies of these viruses are clearly different in patients with ESRD. Nowadays HCV must be treated with Peg-interferon combined with low dose ribavirin before transplantation; in the near future new antivirals will allow HCV treatment after renal transplantation. Conversely, HBV can be treated with the same drugs across all stages of chronic renal disease: before and in dialysis, and after RT. </w:t>
      </w:r>
    </w:p>
    <w:p w:rsidR="00037949" w:rsidRPr="0045429A" w:rsidRDefault="004D0B07"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 xml:space="preserve">In the last decades HBV prevalence has decreased in dialysis units due to the implementation vaccination programs and infection control procedures. Today it varies between 0 to 20% according to different sources </w:t>
      </w:r>
      <w:r w:rsidRPr="0045429A">
        <w:rPr>
          <w:rFonts w:ascii="Book Antiqua" w:hAnsi="Book Antiqua"/>
          <w:sz w:val="24"/>
          <w:szCs w:val="24"/>
          <w:vertAlign w:val="superscript"/>
          <w:lang w:val="en-US"/>
        </w:rPr>
        <w:t>[7,8]</w:t>
      </w:r>
      <w:r w:rsidRPr="0045429A">
        <w:rPr>
          <w:rFonts w:ascii="Book Antiqua" w:hAnsi="Book Antiqua"/>
          <w:sz w:val="24"/>
          <w:szCs w:val="24"/>
          <w:lang w:val="en-US"/>
        </w:rPr>
        <w:t xml:space="preserve">. </w:t>
      </w:r>
      <w:r w:rsidR="00037949" w:rsidRPr="0045429A">
        <w:rPr>
          <w:rFonts w:ascii="Book Antiqua" w:hAnsi="Book Antiqua"/>
          <w:sz w:val="24"/>
          <w:szCs w:val="24"/>
          <w:lang w:val="en-US"/>
        </w:rPr>
        <w:t>But prevalence in RT patients tends to vary and can be higher since some of these patients were transplanted before these programs were widely available. The present review focuses on the current management of patients with HBV after renal transplantation.</w:t>
      </w:r>
    </w:p>
    <w:p w:rsidR="00EC1DE7" w:rsidRPr="0045429A" w:rsidRDefault="00375683" w:rsidP="0045429A">
      <w:pPr>
        <w:spacing w:line="360" w:lineRule="auto"/>
        <w:jc w:val="both"/>
        <w:rPr>
          <w:rFonts w:ascii="Book Antiqua" w:hAnsi="Book Antiqua"/>
          <w:b/>
          <w:sz w:val="24"/>
          <w:szCs w:val="24"/>
          <w:lang w:val="en-US"/>
        </w:rPr>
      </w:pPr>
      <w:r w:rsidRPr="0045429A">
        <w:rPr>
          <w:rFonts w:ascii="Book Antiqua" w:hAnsi="Book Antiqua"/>
          <w:b/>
          <w:sz w:val="24"/>
          <w:szCs w:val="24"/>
          <w:lang w:val="en-US"/>
        </w:rPr>
        <w:lastRenderedPageBreak/>
        <w:t xml:space="preserve">PRE-TRANSPLANT EVALUATION </w:t>
      </w:r>
    </w:p>
    <w:p w:rsidR="00EC1DE7" w:rsidRPr="0045429A" w:rsidRDefault="008E1309"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 xml:space="preserve">Chronic HBV infected patients with ESRD must be adequately evaluated before being transplanted. Two key aspects must be taken into account: evaluation of HBV status and the severity of liver disease. </w:t>
      </w:r>
      <w:r w:rsidR="007838A7" w:rsidRPr="0045429A">
        <w:rPr>
          <w:rFonts w:ascii="Book Antiqua" w:hAnsi="Book Antiqua"/>
          <w:sz w:val="24"/>
          <w:szCs w:val="24"/>
          <w:lang w:val="en-US"/>
        </w:rPr>
        <w:t xml:space="preserve">Regarding HBV status, all HBsAg (hepatitis B surface antigen) positive patients </w:t>
      </w:r>
      <w:r w:rsidR="002809E3" w:rsidRPr="0045429A">
        <w:rPr>
          <w:rFonts w:ascii="Book Antiqua" w:hAnsi="Book Antiqua"/>
          <w:sz w:val="24"/>
          <w:szCs w:val="24"/>
          <w:lang w:val="en-US"/>
        </w:rPr>
        <w:t xml:space="preserve">and all patients with previous known history of acute or chronic hepatitis B or the presence of antiHBc (hepatitis B core antibody) with/without antiHBs (hepatitis B surface antibody) </w:t>
      </w:r>
      <w:r w:rsidR="007838A7" w:rsidRPr="0045429A">
        <w:rPr>
          <w:rFonts w:ascii="Book Antiqua" w:hAnsi="Book Antiqua"/>
          <w:sz w:val="24"/>
          <w:szCs w:val="24"/>
          <w:lang w:val="en-US"/>
        </w:rPr>
        <w:t xml:space="preserve">require a full virological evaluation including HBeAg (hepatitis B envelope antigen) and antiHBe (hepatitis B envelope antibody) determination and HBV DNA levels measurement. This evaluation will allow classifying these patients into different clinical </w:t>
      </w:r>
      <w:r w:rsidR="002809E3" w:rsidRPr="0045429A">
        <w:rPr>
          <w:rFonts w:ascii="Book Antiqua" w:hAnsi="Book Antiqua"/>
          <w:sz w:val="24"/>
          <w:szCs w:val="24"/>
          <w:lang w:val="en-US"/>
        </w:rPr>
        <w:t>situations</w:t>
      </w:r>
      <w:r w:rsidR="002809E3" w:rsidRPr="0045429A">
        <w:rPr>
          <w:rFonts w:ascii="Book Antiqua" w:hAnsi="Book Antiqua"/>
          <w:sz w:val="24"/>
          <w:szCs w:val="24"/>
          <w:vertAlign w:val="superscript"/>
          <w:lang w:val="en-US"/>
        </w:rPr>
        <w:t xml:space="preserve"> [9,10]</w:t>
      </w:r>
      <w:r w:rsidR="007838A7" w:rsidRPr="0045429A">
        <w:rPr>
          <w:rFonts w:ascii="Book Antiqua" w:hAnsi="Book Antiqua"/>
          <w:sz w:val="24"/>
          <w:szCs w:val="24"/>
          <w:lang w:val="en-US"/>
        </w:rPr>
        <w:t>:</w:t>
      </w:r>
    </w:p>
    <w:p w:rsidR="007838A7" w:rsidRPr="0045429A" w:rsidRDefault="007838A7" w:rsidP="0045429A">
      <w:pPr>
        <w:spacing w:line="360" w:lineRule="auto"/>
        <w:jc w:val="both"/>
        <w:rPr>
          <w:rFonts w:ascii="Book Antiqua" w:hAnsi="Book Antiqua"/>
          <w:i/>
          <w:sz w:val="24"/>
          <w:szCs w:val="24"/>
          <w:lang w:val="en-US"/>
        </w:rPr>
      </w:pPr>
      <w:r w:rsidRPr="0045429A">
        <w:rPr>
          <w:rFonts w:ascii="Book Antiqua" w:hAnsi="Book Antiqua"/>
          <w:i/>
          <w:sz w:val="24"/>
          <w:szCs w:val="24"/>
          <w:lang w:val="en-US"/>
        </w:rPr>
        <w:t>Chronic hepatitis B</w:t>
      </w:r>
    </w:p>
    <w:p w:rsidR="002809E3" w:rsidRPr="0045429A" w:rsidRDefault="0042385C"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 xml:space="preserve">1. HBsAg </w:t>
      </w:r>
      <w:r w:rsidR="007838A7" w:rsidRPr="0045429A">
        <w:rPr>
          <w:rFonts w:ascii="Book Antiqua" w:hAnsi="Book Antiqua"/>
          <w:sz w:val="24"/>
          <w:szCs w:val="24"/>
          <w:lang w:val="en-US"/>
        </w:rPr>
        <w:t>positive for more than 6 months</w:t>
      </w:r>
      <w:r w:rsidR="002809E3" w:rsidRPr="0045429A">
        <w:rPr>
          <w:rFonts w:ascii="Book Antiqua" w:hAnsi="Book Antiqua"/>
          <w:sz w:val="24"/>
          <w:szCs w:val="24"/>
          <w:lang w:val="en-US"/>
        </w:rPr>
        <w:t>.</w:t>
      </w:r>
    </w:p>
    <w:p w:rsidR="007838A7" w:rsidRPr="0045429A" w:rsidRDefault="007838A7"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 xml:space="preserve">2. Serum HBV DNA </w:t>
      </w:r>
      <w:r w:rsidR="002809E3" w:rsidRPr="0045429A">
        <w:rPr>
          <w:rFonts w:ascii="Book Antiqua" w:hAnsi="Book Antiqua"/>
          <w:sz w:val="24"/>
          <w:szCs w:val="24"/>
          <w:lang w:val="en-US"/>
        </w:rPr>
        <w:t>≥</w:t>
      </w:r>
      <w:r w:rsidR="0042385C" w:rsidRPr="0045429A">
        <w:rPr>
          <w:rFonts w:ascii="Book Antiqua" w:hAnsi="Book Antiqua"/>
          <w:sz w:val="24"/>
          <w:szCs w:val="24"/>
          <w:lang w:val="en-US"/>
        </w:rPr>
        <w:t>2000 (EASL)-</w:t>
      </w:r>
      <w:r w:rsidRPr="0045429A">
        <w:rPr>
          <w:rFonts w:ascii="Book Antiqua" w:hAnsi="Book Antiqua"/>
          <w:sz w:val="24"/>
          <w:szCs w:val="24"/>
          <w:lang w:val="en-US"/>
        </w:rPr>
        <w:t>20,000</w:t>
      </w:r>
      <w:r w:rsidR="0042385C" w:rsidRPr="0045429A">
        <w:rPr>
          <w:rFonts w:ascii="Book Antiqua" w:hAnsi="Book Antiqua"/>
          <w:sz w:val="24"/>
          <w:szCs w:val="24"/>
          <w:lang w:val="en-US"/>
        </w:rPr>
        <w:t xml:space="preserve"> (AASLD)</w:t>
      </w:r>
      <w:r w:rsidRPr="0045429A">
        <w:rPr>
          <w:rFonts w:ascii="Book Antiqua" w:hAnsi="Book Antiqua"/>
          <w:sz w:val="24"/>
          <w:szCs w:val="24"/>
          <w:lang w:val="en-US"/>
        </w:rPr>
        <w:t xml:space="preserve"> IU/mL (</w:t>
      </w:r>
      <w:r w:rsidR="0042385C" w:rsidRPr="0045429A">
        <w:rPr>
          <w:rFonts w:ascii="Book Antiqua" w:hAnsi="Book Antiqua"/>
          <w:sz w:val="24"/>
          <w:szCs w:val="24"/>
          <w:lang w:val="en-US"/>
        </w:rPr>
        <w:t>10</w:t>
      </w:r>
      <w:r w:rsidR="0042385C" w:rsidRPr="0045429A">
        <w:rPr>
          <w:rFonts w:ascii="Book Antiqua" w:hAnsi="Book Antiqua"/>
          <w:sz w:val="24"/>
          <w:szCs w:val="24"/>
          <w:vertAlign w:val="superscript"/>
          <w:lang w:val="en-US"/>
        </w:rPr>
        <w:t>4</w:t>
      </w:r>
      <w:r w:rsidR="0042385C" w:rsidRPr="0045429A">
        <w:rPr>
          <w:rFonts w:ascii="Book Antiqua" w:hAnsi="Book Antiqua"/>
          <w:sz w:val="24"/>
          <w:szCs w:val="24"/>
          <w:lang w:val="en-US"/>
        </w:rPr>
        <w:t>-</w:t>
      </w:r>
      <w:r w:rsidRPr="0045429A">
        <w:rPr>
          <w:rFonts w:ascii="Book Antiqua" w:hAnsi="Book Antiqua"/>
          <w:sz w:val="24"/>
          <w:szCs w:val="24"/>
          <w:lang w:val="en-US"/>
        </w:rPr>
        <w:t>10</w:t>
      </w:r>
      <w:r w:rsidRPr="0045429A">
        <w:rPr>
          <w:rFonts w:ascii="Book Antiqua" w:hAnsi="Book Antiqua"/>
          <w:sz w:val="24"/>
          <w:szCs w:val="24"/>
          <w:vertAlign w:val="superscript"/>
          <w:lang w:val="en-US"/>
        </w:rPr>
        <w:t>5</w:t>
      </w:r>
      <w:r w:rsidR="000D6E31" w:rsidRPr="0045429A">
        <w:rPr>
          <w:rFonts w:ascii="Book Antiqua" w:hAnsi="Book Antiqua"/>
          <w:sz w:val="24"/>
          <w:szCs w:val="24"/>
          <w:lang w:val="en-US"/>
        </w:rPr>
        <w:t xml:space="preserve"> </w:t>
      </w:r>
      <w:r w:rsidRPr="0045429A">
        <w:rPr>
          <w:rFonts w:ascii="Book Antiqua" w:hAnsi="Book Antiqua"/>
          <w:sz w:val="24"/>
          <w:szCs w:val="24"/>
          <w:lang w:val="en-US"/>
        </w:rPr>
        <w:t>copies/mL), lower values 2,000-20,000 IU/mL (10</w:t>
      </w:r>
      <w:r w:rsidRPr="0045429A">
        <w:rPr>
          <w:rFonts w:ascii="Book Antiqua" w:hAnsi="Book Antiqua"/>
          <w:sz w:val="24"/>
          <w:szCs w:val="24"/>
          <w:vertAlign w:val="superscript"/>
          <w:lang w:val="en-US"/>
        </w:rPr>
        <w:t>4</w:t>
      </w:r>
      <w:r w:rsidRPr="0045429A">
        <w:rPr>
          <w:rFonts w:ascii="Book Antiqua" w:hAnsi="Book Antiqua"/>
          <w:sz w:val="24"/>
          <w:szCs w:val="24"/>
          <w:lang w:val="en-US"/>
        </w:rPr>
        <w:t>-10</w:t>
      </w:r>
      <w:r w:rsidRPr="0045429A">
        <w:rPr>
          <w:rFonts w:ascii="Book Antiqua" w:hAnsi="Book Antiqua"/>
          <w:sz w:val="24"/>
          <w:szCs w:val="24"/>
          <w:vertAlign w:val="superscript"/>
          <w:lang w:val="en-US"/>
        </w:rPr>
        <w:t>5</w:t>
      </w:r>
      <w:r w:rsidRPr="0045429A">
        <w:rPr>
          <w:rFonts w:ascii="Book Antiqua" w:hAnsi="Book Antiqua"/>
          <w:sz w:val="24"/>
          <w:szCs w:val="24"/>
          <w:lang w:val="en-US"/>
        </w:rPr>
        <w:t xml:space="preserve"> copies/mL) are often seen in HBeAg-negative</w:t>
      </w:r>
      <w:r w:rsidR="002809E3" w:rsidRPr="0045429A">
        <w:rPr>
          <w:rFonts w:ascii="Book Antiqua" w:hAnsi="Book Antiqua"/>
          <w:sz w:val="24"/>
          <w:szCs w:val="24"/>
          <w:lang w:val="en-US"/>
        </w:rPr>
        <w:t xml:space="preserve"> </w:t>
      </w:r>
      <w:r w:rsidRPr="0045429A">
        <w:rPr>
          <w:rFonts w:ascii="Book Antiqua" w:hAnsi="Book Antiqua"/>
          <w:sz w:val="24"/>
          <w:szCs w:val="24"/>
          <w:lang w:val="en-US"/>
        </w:rPr>
        <w:t>chronic hepatitis B</w:t>
      </w:r>
      <w:r w:rsidR="002809E3" w:rsidRPr="0045429A">
        <w:rPr>
          <w:rFonts w:ascii="Book Antiqua" w:hAnsi="Book Antiqua"/>
          <w:sz w:val="24"/>
          <w:szCs w:val="24"/>
          <w:lang w:val="en-US"/>
        </w:rPr>
        <w:t xml:space="preserve">. </w:t>
      </w:r>
    </w:p>
    <w:p w:rsidR="007838A7" w:rsidRPr="0045429A" w:rsidRDefault="007838A7"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3. Persistent or intermittent elevation in ALT/AST levels</w:t>
      </w:r>
      <w:r w:rsidR="002809E3" w:rsidRPr="0045429A">
        <w:rPr>
          <w:rFonts w:ascii="Book Antiqua" w:hAnsi="Book Antiqua"/>
          <w:sz w:val="24"/>
          <w:szCs w:val="24"/>
          <w:lang w:val="en-US"/>
        </w:rPr>
        <w:t>.</w:t>
      </w:r>
    </w:p>
    <w:p w:rsidR="007838A7" w:rsidRPr="0045429A" w:rsidRDefault="007838A7"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4. Liver biopsy showing chronic hepatitis with moderate or severe</w:t>
      </w:r>
      <w:r w:rsidR="002809E3" w:rsidRPr="0045429A">
        <w:rPr>
          <w:rFonts w:ascii="Book Antiqua" w:hAnsi="Book Antiqua"/>
          <w:sz w:val="24"/>
          <w:szCs w:val="24"/>
          <w:lang w:val="en-US"/>
        </w:rPr>
        <w:t xml:space="preserve"> </w:t>
      </w:r>
      <w:r w:rsidRPr="0045429A">
        <w:rPr>
          <w:rFonts w:ascii="Book Antiqua" w:hAnsi="Book Antiqua"/>
          <w:sz w:val="24"/>
          <w:szCs w:val="24"/>
          <w:lang w:val="en-US"/>
        </w:rPr>
        <w:t>necroinflammation</w:t>
      </w:r>
      <w:r w:rsidR="002809E3" w:rsidRPr="0045429A">
        <w:rPr>
          <w:rFonts w:ascii="Book Antiqua" w:hAnsi="Book Antiqua"/>
          <w:sz w:val="24"/>
          <w:szCs w:val="24"/>
          <w:lang w:val="en-US"/>
        </w:rPr>
        <w:t>.</w:t>
      </w:r>
    </w:p>
    <w:p w:rsidR="002809E3" w:rsidRPr="0045429A" w:rsidRDefault="002809E3"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5. Chronic hepatitis B can be subdivided into HBeAg positive and HBeAg negative chronic hepatitis B.</w:t>
      </w:r>
    </w:p>
    <w:p w:rsidR="002809E3" w:rsidRPr="0045429A" w:rsidRDefault="002809E3" w:rsidP="0045429A">
      <w:pPr>
        <w:spacing w:line="360" w:lineRule="auto"/>
        <w:jc w:val="both"/>
        <w:rPr>
          <w:rFonts w:ascii="Book Antiqua" w:hAnsi="Book Antiqua"/>
          <w:i/>
          <w:sz w:val="24"/>
          <w:szCs w:val="24"/>
          <w:lang w:val="en-US"/>
        </w:rPr>
      </w:pPr>
      <w:r w:rsidRPr="0045429A">
        <w:rPr>
          <w:rFonts w:ascii="Book Antiqua" w:hAnsi="Book Antiqua"/>
          <w:i/>
          <w:sz w:val="24"/>
          <w:szCs w:val="24"/>
          <w:lang w:val="en-US"/>
        </w:rPr>
        <w:t>Inactive HBsAg carrier state</w:t>
      </w:r>
    </w:p>
    <w:p w:rsidR="002809E3" w:rsidRPr="0045429A" w:rsidRDefault="0042385C"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 xml:space="preserve">1. HBsAg </w:t>
      </w:r>
      <w:r w:rsidR="002809E3" w:rsidRPr="0045429A">
        <w:rPr>
          <w:rFonts w:ascii="Book Antiqua" w:hAnsi="Book Antiqua"/>
          <w:sz w:val="24"/>
          <w:szCs w:val="24"/>
          <w:lang w:val="en-US"/>
        </w:rPr>
        <w:t>positive for more than 6 months.</w:t>
      </w:r>
    </w:p>
    <w:p w:rsidR="002809E3" w:rsidRPr="0045429A" w:rsidRDefault="002809E3"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2. HBeAg negative, antiHBe positive.</w:t>
      </w:r>
    </w:p>
    <w:p w:rsidR="002809E3" w:rsidRPr="0045429A" w:rsidRDefault="002809E3"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lastRenderedPageBreak/>
        <w:t>3. Serum HBV DNA&lt;2,000 IU/mL.</w:t>
      </w:r>
    </w:p>
    <w:p w:rsidR="002809E3" w:rsidRPr="0045429A" w:rsidRDefault="002809E3"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4. Persistently normal ALT/AST levels.</w:t>
      </w:r>
    </w:p>
    <w:p w:rsidR="002809E3" w:rsidRPr="0045429A" w:rsidRDefault="002809E3"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5. Liver biopsy confirms absence of significant hepatitis.</w:t>
      </w:r>
    </w:p>
    <w:p w:rsidR="002809E3" w:rsidRPr="0045429A" w:rsidRDefault="002809E3" w:rsidP="0045429A">
      <w:pPr>
        <w:spacing w:line="360" w:lineRule="auto"/>
        <w:jc w:val="both"/>
        <w:rPr>
          <w:rFonts w:ascii="Book Antiqua" w:hAnsi="Book Antiqua"/>
          <w:i/>
          <w:sz w:val="24"/>
          <w:szCs w:val="24"/>
          <w:lang w:val="en-US"/>
        </w:rPr>
      </w:pPr>
      <w:r w:rsidRPr="0045429A">
        <w:rPr>
          <w:rFonts w:ascii="Book Antiqua" w:hAnsi="Book Antiqua"/>
          <w:i/>
          <w:sz w:val="24"/>
          <w:szCs w:val="24"/>
          <w:lang w:val="en-US"/>
        </w:rPr>
        <w:t>Resolved hepatitis B</w:t>
      </w:r>
    </w:p>
    <w:p w:rsidR="002809E3" w:rsidRPr="0045429A" w:rsidRDefault="002809E3"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1. Previous known history of acute or chronic hepatitis B or the presence of antiHBc with/without antiHBs.</w:t>
      </w:r>
    </w:p>
    <w:p w:rsidR="002809E3" w:rsidRPr="0045429A" w:rsidRDefault="002809E3"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2. HBsAg negative.</w:t>
      </w:r>
    </w:p>
    <w:p w:rsidR="002809E3" w:rsidRPr="0045429A" w:rsidRDefault="002809E3"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3. Undetectable serum HBV DNA.</w:t>
      </w:r>
    </w:p>
    <w:p w:rsidR="002809E3" w:rsidRPr="0045429A" w:rsidRDefault="002809E3"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4. Normal ALT levels.</w:t>
      </w:r>
    </w:p>
    <w:p w:rsidR="00C26766" w:rsidRPr="0045429A" w:rsidRDefault="00C26766"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 xml:space="preserve">Concomitantly, the severity of liver disease must be evaluated before RT usually by obtaining a liver biopsy. </w:t>
      </w:r>
      <w:r w:rsidR="00181F9A" w:rsidRPr="0045429A">
        <w:rPr>
          <w:rFonts w:ascii="Book Antiqua" w:hAnsi="Book Antiqua"/>
          <w:sz w:val="24"/>
          <w:szCs w:val="24"/>
          <w:highlight w:val="yellow"/>
          <w:lang w:val="en-US"/>
        </w:rPr>
        <w:t>There is some debate about the better route to perform the liver biopsy given that patient</w:t>
      </w:r>
      <w:r w:rsidR="00645A84" w:rsidRPr="0045429A">
        <w:rPr>
          <w:rFonts w:ascii="Book Antiqua" w:hAnsi="Book Antiqua"/>
          <w:sz w:val="24"/>
          <w:szCs w:val="24"/>
          <w:highlight w:val="yellow"/>
          <w:lang w:val="en-US"/>
        </w:rPr>
        <w:t>s</w:t>
      </w:r>
      <w:r w:rsidR="00181F9A" w:rsidRPr="0045429A">
        <w:rPr>
          <w:rFonts w:ascii="Book Antiqua" w:hAnsi="Book Antiqua"/>
          <w:sz w:val="24"/>
          <w:szCs w:val="24"/>
          <w:highlight w:val="yellow"/>
          <w:lang w:val="en-US"/>
        </w:rPr>
        <w:t xml:space="preserve"> with ESRD</w:t>
      </w:r>
      <w:r w:rsidR="00181F9A" w:rsidRPr="0045429A">
        <w:rPr>
          <w:rFonts w:ascii="Book Antiqua" w:hAnsi="Book Antiqua"/>
          <w:sz w:val="24"/>
          <w:szCs w:val="24"/>
          <w:lang w:val="en-US"/>
        </w:rPr>
        <w:t xml:space="preserve"> undergoing hemodialysis have an increased bleeding risk associated with clotting disorders, uremia-associated platelet dysfunction and intradialysis anti-platelet and anticoagulant therapies </w:t>
      </w:r>
      <w:r w:rsidR="00181F9A" w:rsidRPr="0045429A">
        <w:rPr>
          <w:rFonts w:ascii="Book Antiqua" w:hAnsi="Book Antiqua"/>
          <w:sz w:val="24"/>
          <w:szCs w:val="24"/>
          <w:vertAlign w:val="superscript"/>
          <w:lang w:val="en-US"/>
        </w:rPr>
        <w:t>[11]</w:t>
      </w:r>
      <w:r w:rsidR="00181F9A" w:rsidRPr="0045429A">
        <w:rPr>
          <w:rFonts w:ascii="Book Antiqua" w:hAnsi="Book Antiqua"/>
          <w:sz w:val="24"/>
          <w:szCs w:val="24"/>
          <w:lang w:val="en-US"/>
        </w:rPr>
        <w:t xml:space="preserve">. </w:t>
      </w:r>
      <w:r w:rsidR="00181F9A" w:rsidRPr="0045429A">
        <w:rPr>
          <w:rFonts w:ascii="Book Antiqua" w:hAnsi="Book Antiqua"/>
          <w:sz w:val="24"/>
          <w:szCs w:val="24"/>
          <w:highlight w:val="yellow"/>
          <w:lang w:val="en-US"/>
        </w:rPr>
        <w:t>Once transplanted this risk disappears with the restoration o</w:t>
      </w:r>
      <w:r w:rsidR="00F3328B" w:rsidRPr="0045429A">
        <w:rPr>
          <w:rFonts w:ascii="Book Antiqua" w:hAnsi="Book Antiqua"/>
          <w:sz w:val="24"/>
          <w:szCs w:val="24"/>
          <w:highlight w:val="yellow"/>
          <w:lang w:val="en-US"/>
        </w:rPr>
        <w:t>f</w:t>
      </w:r>
      <w:r w:rsidR="00181F9A" w:rsidRPr="0045429A">
        <w:rPr>
          <w:rFonts w:ascii="Book Antiqua" w:hAnsi="Book Antiqua"/>
          <w:sz w:val="24"/>
          <w:szCs w:val="24"/>
          <w:highlight w:val="yellow"/>
          <w:lang w:val="en-US"/>
        </w:rPr>
        <w:t xml:space="preserve"> normal renal function.</w:t>
      </w:r>
      <w:r w:rsidR="00181F9A" w:rsidRPr="0045429A">
        <w:rPr>
          <w:rFonts w:ascii="Book Antiqua" w:hAnsi="Book Antiqua"/>
          <w:sz w:val="24"/>
          <w:szCs w:val="24"/>
          <w:lang w:val="en-US"/>
        </w:rPr>
        <w:t xml:space="preserve"> In some centres the transyugular route is the preferred one since is associated with less</w:t>
      </w:r>
      <w:r w:rsidR="009630DD" w:rsidRPr="0045429A">
        <w:rPr>
          <w:rFonts w:ascii="Book Antiqua" w:hAnsi="Book Antiqua"/>
          <w:sz w:val="24"/>
          <w:szCs w:val="24"/>
          <w:lang w:val="en-US"/>
        </w:rPr>
        <w:t xml:space="preserve"> a reduced risk of bleeding and pain, and may allow measuring the hepatic venous pressure gradient (HVPG) for confirming and grading portal hypertension </w:t>
      </w:r>
      <w:r w:rsidR="009630DD" w:rsidRPr="0045429A">
        <w:rPr>
          <w:rFonts w:ascii="Book Antiqua" w:hAnsi="Book Antiqua"/>
          <w:sz w:val="24"/>
          <w:szCs w:val="24"/>
          <w:vertAlign w:val="superscript"/>
          <w:lang w:val="en-US"/>
        </w:rPr>
        <w:t>[12,13]</w:t>
      </w:r>
      <w:r w:rsidR="009630DD" w:rsidRPr="0045429A">
        <w:rPr>
          <w:rFonts w:ascii="Book Antiqua" w:hAnsi="Book Antiqua"/>
          <w:sz w:val="24"/>
          <w:szCs w:val="24"/>
          <w:lang w:val="en-US"/>
        </w:rPr>
        <w:t xml:space="preserve">. </w:t>
      </w:r>
      <w:r w:rsidR="008A0AE2" w:rsidRPr="0045429A">
        <w:rPr>
          <w:rFonts w:ascii="Book Antiqua" w:hAnsi="Book Antiqua"/>
          <w:sz w:val="24"/>
          <w:szCs w:val="24"/>
          <w:lang w:val="en-US"/>
        </w:rPr>
        <w:t xml:space="preserve">However in many centres the percutaneous transthoracic route is still widely and safely used </w:t>
      </w:r>
      <w:r w:rsidR="008A0AE2" w:rsidRPr="0045429A">
        <w:rPr>
          <w:rFonts w:ascii="Book Antiqua" w:hAnsi="Book Antiqua"/>
          <w:sz w:val="24"/>
          <w:szCs w:val="24"/>
          <w:vertAlign w:val="superscript"/>
          <w:lang w:val="en-US"/>
        </w:rPr>
        <w:t>[14]</w:t>
      </w:r>
      <w:r w:rsidR="008A0AE2" w:rsidRPr="0045429A">
        <w:rPr>
          <w:rFonts w:ascii="Book Antiqua" w:hAnsi="Book Antiqua"/>
          <w:sz w:val="24"/>
          <w:szCs w:val="24"/>
          <w:lang w:val="en-US"/>
        </w:rPr>
        <w:t xml:space="preserve">. </w:t>
      </w:r>
    </w:p>
    <w:p w:rsidR="00DE4D27" w:rsidRPr="0045429A" w:rsidRDefault="009D226E"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 xml:space="preserve">There are some noninvasive tests to evaluate the severity of liver fibrosis but </w:t>
      </w:r>
      <w:r w:rsidR="00FC79F6" w:rsidRPr="0045429A">
        <w:rPr>
          <w:rFonts w:ascii="Book Antiqua" w:hAnsi="Book Antiqua"/>
          <w:sz w:val="24"/>
          <w:szCs w:val="24"/>
          <w:highlight w:val="green"/>
          <w:lang w:val="en-US"/>
        </w:rPr>
        <w:t>they</w:t>
      </w:r>
      <w:r w:rsidRPr="0045429A">
        <w:rPr>
          <w:rFonts w:ascii="Book Antiqua" w:hAnsi="Book Antiqua"/>
          <w:sz w:val="24"/>
          <w:szCs w:val="24"/>
          <w:highlight w:val="green"/>
          <w:lang w:val="en-US"/>
        </w:rPr>
        <w:t xml:space="preserve"> have</w:t>
      </w:r>
      <w:r w:rsidRPr="0045429A">
        <w:rPr>
          <w:rFonts w:ascii="Book Antiqua" w:hAnsi="Book Antiqua"/>
          <w:sz w:val="24"/>
          <w:szCs w:val="24"/>
          <w:lang w:val="en-US"/>
        </w:rPr>
        <w:t xml:space="preserve"> not been extensively evaluated in this group of patients</w:t>
      </w:r>
      <w:r w:rsidR="005D4F86" w:rsidRPr="0045429A">
        <w:rPr>
          <w:rFonts w:ascii="Book Antiqua" w:hAnsi="Book Antiqua"/>
          <w:sz w:val="24"/>
          <w:szCs w:val="24"/>
          <w:lang w:val="en-US"/>
        </w:rPr>
        <w:t xml:space="preserve"> </w:t>
      </w:r>
      <w:r w:rsidR="005D4F86" w:rsidRPr="0045429A">
        <w:rPr>
          <w:rFonts w:ascii="Book Antiqua" w:hAnsi="Book Antiqua"/>
          <w:sz w:val="24"/>
          <w:szCs w:val="24"/>
          <w:vertAlign w:val="superscript"/>
          <w:lang w:val="en-US"/>
        </w:rPr>
        <w:t>[11,15]</w:t>
      </w:r>
      <w:r w:rsidR="005D4F86" w:rsidRPr="0045429A">
        <w:rPr>
          <w:rFonts w:ascii="Book Antiqua" w:hAnsi="Book Antiqua"/>
          <w:sz w:val="24"/>
          <w:szCs w:val="24"/>
          <w:lang w:val="en-US"/>
        </w:rPr>
        <w:t xml:space="preserve">. </w:t>
      </w:r>
      <w:r w:rsidR="006E52FB" w:rsidRPr="0045429A">
        <w:rPr>
          <w:rFonts w:ascii="Book Antiqua" w:hAnsi="Book Antiqua"/>
          <w:sz w:val="24"/>
          <w:szCs w:val="24"/>
          <w:lang w:val="en-US"/>
        </w:rPr>
        <w:t xml:space="preserve">FibroTest (FT) and liver stiffness measurement (LSM) for noninvasive assessment of liver fibrosis had been evaluated in RT patients with chronic HBV or HCV infection </w:t>
      </w:r>
      <w:r w:rsidR="006E52FB" w:rsidRPr="0045429A">
        <w:rPr>
          <w:rFonts w:ascii="Book Antiqua" w:hAnsi="Book Antiqua"/>
          <w:sz w:val="24"/>
          <w:szCs w:val="24"/>
          <w:vertAlign w:val="superscript"/>
          <w:lang w:val="en-US"/>
        </w:rPr>
        <w:t>[16]</w:t>
      </w:r>
      <w:r w:rsidR="006E52FB" w:rsidRPr="0045429A">
        <w:rPr>
          <w:rFonts w:ascii="Book Antiqua" w:hAnsi="Book Antiqua"/>
          <w:sz w:val="24"/>
          <w:szCs w:val="24"/>
          <w:lang w:val="en-US"/>
        </w:rPr>
        <w:t xml:space="preserve">. It had been reported that FT and LSM are acceptably accurate for diagnosing mild liver </w:t>
      </w:r>
      <w:r w:rsidR="006E52FB" w:rsidRPr="0045429A">
        <w:rPr>
          <w:rFonts w:ascii="Book Antiqua" w:hAnsi="Book Antiqua"/>
          <w:sz w:val="24"/>
          <w:szCs w:val="24"/>
          <w:lang w:val="en-US"/>
        </w:rPr>
        <w:lastRenderedPageBreak/>
        <w:t xml:space="preserve">fibrosis (≤F2), </w:t>
      </w:r>
      <w:r w:rsidR="00D941DF" w:rsidRPr="0045429A">
        <w:rPr>
          <w:rFonts w:ascii="Book Antiqua" w:hAnsi="Book Antiqua"/>
          <w:sz w:val="24"/>
          <w:szCs w:val="24"/>
          <w:lang w:val="en-US"/>
        </w:rPr>
        <w:t>but differed by 38.4% from the liver biopsy data in patients with more severe fibrosis (≥F3); their diagnostic value for predicting severe liver disease needs to be confirmed.</w:t>
      </w:r>
      <w:r w:rsidR="00396DA3" w:rsidRPr="0045429A">
        <w:rPr>
          <w:rFonts w:ascii="Book Antiqua" w:hAnsi="Book Antiqua"/>
          <w:sz w:val="24"/>
          <w:szCs w:val="24"/>
          <w:lang w:val="en-US"/>
        </w:rPr>
        <w:t xml:space="preserve"> More information is needed in HBV infection to recommend its use. </w:t>
      </w:r>
    </w:p>
    <w:p w:rsidR="00D20914" w:rsidRPr="0045429A" w:rsidRDefault="00D20914"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 xml:space="preserve">Once the HBV clinical situation and the severity of liver diseases have been established, treatment indication and possibility of RT has to be defined. Every HBsAg positive patient who undergoes renal transplantation and receives immunosuppressive </w:t>
      </w:r>
      <w:r w:rsidR="00E927B5" w:rsidRPr="0045429A">
        <w:rPr>
          <w:rFonts w:ascii="Book Antiqua" w:hAnsi="Book Antiqua"/>
          <w:sz w:val="24"/>
          <w:szCs w:val="24"/>
          <w:lang w:val="en-US"/>
        </w:rPr>
        <w:t>agents should receive anti</w:t>
      </w:r>
      <w:r w:rsidRPr="0045429A">
        <w:rPr>
          <w:rFonts w:ascii="Book Antiqua" w:hAnsi="Book Antiqua"/>
          <w:sz w:val="24"/>
          <w:szCs w:val="24"/>
          <w:lang w:val="en-US"/>
        </w:rPr>
        <w:t>HBV prophylaxis</w:t>
      </w:r>
      <w:r w:rsidR="0042385C" w:rsidRPr="0045429A">
        <w:rPr>
          <w:rFonts w:ascii="Book Antiqua" w:hAnsi="Book Antiqua"/>
          <w:sz w:val="24"/>
          <w:szCs w:val="24"/>
          <w:lang w:val="en-US"/>
        </w:rPr>
        <w:t xml:space="preserve"> or treatment (based on HBV DNA levels)</w:t>
      </w:r>
      <w:r w:rsidRPr="0045429A">
        <w:rPr>
          <w:rFonts w:ascii="Book Antiqua" w:hAnsi="Book Antiqua"/>
          <w:sz w:val="24"/>
          <w:szCs w:val="24"/>
          <w:lang w:val="en-US"/>
        </w:rPr>
        <w:t xml:space="preserve"> with a </w:t>
      </w:r>
      <w:r w:rsidR="0042385C" w:rsidRPr="0045429A">
        <w:rPr>
          <w:rFonts w:ascii="Book Antiqua" w:hAnsi="Book Antiqua"/>
          <w:sz w:val="24"/>
          <w:szCs w:val="24"/>
          <w:lang w:val="en-US"/>
        </w:rPr>
        <w:t>nucleos(t)ide analogue (NUC)</w:t>
      </w:r>
      <w:r w:rsidRPr="0045429A">
        <w:rPr>
          <w:rFonts w:ascii="Book Antiqua" w:hAnsi="Book Antiqua"/>
          <w:sz w:val="24"/>
          <w:szCs w:val="24"/>
          <w:lang w:val="en-US"/>
        </w:rPr>
        <w:t>.</w:t>
      </w:r>
      <w:r w:rsidR="0042385C" w:rsidRPr="0045429A">
        <w:rPr>
          <w:rFonts w:ascii="Book Antiqua" w:hAnsi="Book Antiqua"/>
          <w:sz w:val="24"/>
          <w:szCs w:val="24"/>
          <w:lang w:val="en-US"/>
        </w:rPr>
        <w:t xml:space="preserve"> </w:t>
      </w:r>
    </w:p>
    <w:p w:rsidR="00FE4AE3" w:rsidRPr="0045429A" w:rsidRDefault="0082597A"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 xml:space="preserve">In the general population HBV inactive carriers do not need to be treated </w:t>
      </w:r>
      <w:r w:rsidRPr="0045429A">
        <w:rPr>
          <w:rFonts w:ascii="Book Antiqua" w:hAnsi="Book Antiqua"/>
          <w:sz w:val="24"/>
          <w:szCs w:val="24"/>
          <w:vertAlign w:val="superscript"/>
          <w:lang w:val="en-US"/>
        </w:rPr>
        <w:t>[9,10]</w:t>
      </w:r>
      <w:r w:rsidRPr="0045429A">
        <w:rPr>
          <w:rFonts w:ascii="Book Antiqua" w:hAnsi="Book Antiqua"/>
          <w:sz w:val="24"/>
          <w:szCs w:val="24"/>
          <w:lang w:val="en-US"/>
        </w:rPr>
        <w:t xml:space="preserve">. But RT candidates who are </w:t>
      </w:r>
      <w:r w:rsidRPr="0045429A">
        <w:rPr>
          <w:rFonts w:ascii="Book Antiqua" w:hAnsi="Book Antiqua"/>
          <w:i/>
          <w:sz w:val="24"/>
          <w:szCs w:val="24"/>
          <w:lang w:val="en-US"/>
        </w:rPr>
        <w:t>inactive carriers</w:t>
      </w:r>
      <w:r w:rsidRPr="0045429A">
        <w:rPr>
          <w:rFonts w:ascii="Book Antiqua" w:hAnsi="Book Antiqua"/>
          <w:sz w:val="24"/>
          <w:szCs w:val="24"/>
          <w:lang w:val="en-US"/>
        </w:rPr>
        <w:t xml:space="preserve"> are at an increased risk of reactivation after transplantation</w:t>
      </w:r>
      <w:r w:rsidR="00A61855" w:rsidRPr="0045429A">
        <w:rPr>
          <w:rFonts w:ascii="Book Antiqua" w:hAnsi="Book Antiqua"/>
          <w:sz w:val="24"/>
          <w:szCs w:val="24"/>
          <w:lang w:val="en-US"/>
        </w:rPr>
        <w:t xml:space="preserve">. In this subgroup of HBsAg positive patients treatment can be used as prophylactic (HBV DNA undetectable, no hepatocellular injury), preemptive (HBV DNA &lt;2000 IU/ml, no hepatocellular injury), and salvage therapy after reactivation (HBV DNA &gt;2000 IU/ml, with hepatocellular injury). Even if the prophylactic/preemptive initiation is the generally accepted treatment, the data comparing these treatments are few </w:t>
      </w:r>
      <w:r w:rsidR="00A61855" w:rsidRPr="0045429A">
        <w:rPr>
          <w:rFonts w:ascii="Book Antiqua" w:hAnsi="Book Antiqua"/>
          <w:sz w:val="24"/>
          <w:szCs w:val="24"/>
          <w:vertAlign w:val="superscript"/>
          <w:lang w:val="en-US"/>
        </w:rPr>
        <w:t>[17]</w:t>
      </w:r>
      <w:r w:rsidR="00A61855" w:rsidRPr="0045429A">
        <w:rPr>
          <w:rFonts w:ascii="Book Antiqua" w:hAnsi="Book Antiqua"/>
          <w:sz w:val="24"/>
          <w:szCs w:val="24"/>
          <w:lang w:val="en-US"/>
        </w:rPr>
        <w:t>. All RT candidates</w:t>
      </w:r>
      <w:r w:rsidR="00A61855" w:rsidRPr="0045429A">
        <w:rPr>
          <w:rFonts w:ascii="Book Antiqua" w:hAnsi="Book Antiqua"/>
          <w:b/>
          <w:sz w:val="24"/>
          <w:szCs w:val="24"/>
          <w:lang w:val="en-US"/>
        </w:rPr>
        <w:t xml:space="preserve"> </w:t>
      </w:r>
      <w:r w:rsidR="00A61855" w:rsidRPr="0045429A">
        <w:rPr>
          <w:rFonts w:ascii="Book Antiqua" w:hAnsi="Book Antiqua"/>
          <w:sz w:val="24"/>
          <w:szCs w:val="24"/>
          <w:lang w:val="en-US"/>
        </w:rPr>
        <w:t xml:space="preserve">with </w:t>
      </w:r>
      <w:r w:rsidR="00A61855" w:rsidRPr="0045429A">
        <w:rPr>
          <w:rFonts w:ascii="Book Antiqua" w:hAnsi="Book Antiqua"/>
          <w:i/>
          <w:sz w:val="24"/>
          <w:szCs w:val="24"/>
          <w:lang w:val="en-US"/>
        </w:rPr>
        <w:t>chronic</w:t>
      </w:r>
      <w:r w:rsidR="00A61855" w:rsidRPr="0045429A">
        <w:rPr>
          <w:rFonts w:ascii="Book Antiqua" w:hAnsi="Book Antiqua"/>
          <w:b/>
          <w:i/>
          <w:sz w:val="24"/>
          <w:szCs w:val="24"/>
          <w:lang w:val="en-US"/>
        </w:rPr>
        <w:t xml:space="preserve"> </w:t>
      </w:r>
      <w:r w:rsidR="00A61855" w:rsidRPr="0045429A">
        <w:rPr>
          <w:rFonts w:ascii="Book Antiqua" w:hAnsi="Book Antiqua"/>
          <w:i/>
          <w:sz w:val="24"/>
          <w:szCs w:val="24"/>
          <w:lang w:val="en-US"/>
        </w:rPr>
        <w:t>HBV</w:t>
      </w:r>
      <w:r w:rsidR="00A61855" w:rsidRPr="0045429A">
        <w:rPr>
          <w:rFonts w:ascii="Book Antiqua" w:hAnsi="Book Antiqua"/>
          <w:sz w:val="24"/>
          <w:szCs w:val="24"/>
          <w:lang w:val="en-US"/>
        </w:rPr>
        <w:t xml:space="preserve"> need to be treated before transplantation with NUCs </w:t>
      </w:r>
      <w:r w:rsidR="00A61855" w:rsidRPr="0045429A">
        <w:rPr>
          <w:rFonts w:ascii="Book Antiqua" w:hAnsi="Book Antiqua"/>
          <w:sz w:val="24"/>
          <w:szCs w:val="24"/>
          <w:vertAlign w:val="superscript"/>
          <w:lang w:val="en-US"/>
        </w:rPr>
        <w:t>[9,10]</w:t>
      </w:r>
      <w:r w:rsidR="00A61855" w:rsidRPr="0045429A">
        <w:rPr>
          <w:rFonts w:ascii="Book Antiqua" w:hAnsi="Book Antiqua"/>
          <w:sz w:val="24"/>
          <w:szCs w:val="24"/>
          <w:lang w:val="en-US"/>
        </w:rPr>
        <w:t xml:space="preserve">. </w:t>
      </w:r>
      <w:r w:rsidR="005A2329" w:rsidRPr="0045429A">
        <w:rPr>
          <w:rFonts w:ascii="Book Antiqua" w:hAnsi="Book Antiqua"/>
          <w:sz w:val="24"/>
          <w:szCs w:val="24"/>
          <w:lang w:val="en-US"/>
        </w:rPr>
        <w:t xml:space="preserve">Patients with </w:t>
      </w:r>
      <w:r w:rsidR="005A2329" w:rsidRPr="0045429A">
        <w:rPr>
          <w:rFonts w:ascii="Book Antiqua" w:hAnsi="Book Antiqua"/>
          <w:i/>
          <w:sz w:val="24"/>
          <w:szCs w:val="24"/>
          <w:lang w:val="en-US"/>
        </w:rPr>
        <w:t>resolved HBV</w:t>
      </w:r>
      <w:r w:rsidR="005A2329" w:rsidRPr="0045429A">
        <w:rPr>
          <w:rFonts w:ascii="Book Antiqua" w:hAnsi="Book Antiqua"/>
          <w:sz w:val="24"/>
          <w:szCs w:val="24"/>
          <w:lang w:val="en-US"/>
        </w:rPr>
        <w:t xml:space="preserve"> are at low risk of reactivation in the RT setting</w:t>
      </w:r>
      <w:r w:rsidR="00FE4AE3" w:rsidRPr="0045429A">
        <w:rPr>
          <w:rFonts w:ascii="Book Antiqua" w:hAnsi="Book Antiqua"/>
          <w:sz w:val="24"/>
          <w:szCs w:val="24"/>
          <w:lang w:val="en-US"/>
        </w:rPr>
        <w:t xml:space="preserve"> varying between 0.6 to 6% </w:t>
      </w:r>
      <w:r w:rsidR="00FE4AE3" w:rsidRPr="0045429A">
        <w:rPr>
          <w:rFonts w:ascii="Book Antiqua" w:hAnsi="Book Antiqua"/>
          <w:sz w:val="24"/>
          <w:szCs w:val="24"/>
          <w:vertAlign w:val="superscript"/>
          <w:lang w:val="en-US"/>
        </w:rPr>
        <w:t>[18-20]</w:t>
      </w:r>
      <w:r w:rsidR="00FE4AE3" w:rsidRPr="0045429A">
        <w:rPr>
          <w:rFonts w:ascii="Book Antiqua" w:hAnsi="Book Antiqua"/>
          <w:sz w:val="24"/>
          <w:szCs w:val="24"/>
          <w:lang w:val="en-US"/>
        </w:rPr>
        <w:t xml:space="preserve">. Given the low risk of reactivation of patients who are HBsAg negative it is not recommended that universal prophylaxis is given. Limited evidence suggests that amongst those positive for antiHBc, those with low titers of antiHBs (&lt;100 IU/ml) are at greatest risk and repeat vaccination should be considered for this group. Amongst those with isolated antiHBc positive serology sensitive HBV DNA assays may detect those with true occult infection. However data on the absolute risk of reactivation is lacking and it is unclear if prophylaxis is warranted </w:t>
      </w:r>
      <w:r w:rsidR="00FE4AE3" w:rsidRPr="0045429A">
        <w:rPr>
          <w:rFonts w:ascii="Book Antiqua" w:hAnsi="Book Antiqua"/>
          <w:sz w:val="24"/>
          <w:szCs w:val="24"/>
          <w:vertAlign w:val="superscript"/>
          <w:lang w:val="en-US"/>
        </w:rPr>
        <w:t>[21]</w:t>
      </w:r>
      <w:r w:rsidR="00FE4AE3" w:rsidRPr="0045429A">
        <w:rPr>
          <w:rFonts w:ascii="Book Antiqua" w:hAnsi="Book Antiqua"/>
          <w:sz w:val="24"/>
          <w:szCs w:val="24"/>
          <w:lang w:val="en-US"/>
        </w:rPr>
        <w:t xml:space="preserve">. </w:t>
      </w:r>
    </w:p>
    <w:p w:rsidR="00D26F05" w:rsidRPr="0045429A" w:rsidRDefault="00BA21EB"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 xml:space="preserve">The severity of liver disease will determine if the patient is a good candidate for RT or not. The presence of decompensated liver disease (ascites, encephalopathy, </w:t>
      </w:r>
      <w:r w:rsidRPr="0045429A">
        <w:rPr>
          <w:rFonts w:ascii="Book Antiqua" w:hAnsi="Book Antiqua"/>
          <w:sz w:val="24"/>
          <w:szCs w:val="24"/>
          <w:lang w:val="en-US"/>
        </w:rPr>
        <w:lastRenderedPageBreak/>
        <w:t>variceal bleeding, etc.) precludes RT and is a clear indication of combined liver</w:t>
      </w:r>
      <w:r w:rsidR="00783C3D" w:rsidRPr="0045429A">
        <w:rPr>
          <w:rFonts w:ascii="Book Antiqua" w:hAnsi="Book Antiqua"/>
          <w:sz w:val="24"/>
          <w:szCs w:val="24"/>
          <w:lang w:val="en-US"/>
        </w:rPr>
        <w:t>-</w:t>
      </w:r>
      <w:r w:rsidR="008C2C74" w:rsidRPr="0045429A">
        <w:rPr>
          <w:rFonts w:ascii="Book Antiqua" w:hAnsi="Book Antiqua"/>
          <w:sz w:val="24"/>
          <w:szCs w:val="24"/>
          <w:lang w:val="en-US"/>
        </w:rPr>
        <w:t>renal</w:t>
      </w:r>
      <w:r w:rsidRPr="0045429A">
        <w:rPr>
          <w:rFonts w:ascii="Book Antiqua" w:hAnsi="Book Antiqua"/>
          <w:sz w:val="24"/>
          <w:szCs w:val="24"/>
          <w:lang w:val="en-US"/>
        </w:rPr>
        <w:t xml:space="preserve"> transplantation</w:t>
      </w:r>
      <w:r w:rsidR="00783C3D" w:rsidRPr="0045429A">
        <w:rPr>
          <w:rFonts w:ascii="Book Antiqua" w:hAnsi="Book Antiqua"/>
          <w:sz w:val="24"/>
          <w:szCs w:val="24"/>
          <w:lang w:val="en-US"/>
        </w:rPr>
        <w:t xml:space="preserve"> (L</w:t>
      </w:r>
      <w:r w:rsidR="008C2C74" w:rsidRPr="0045429A">
        <w:rPr>
          <w:rFonts w:ascii="Book Antiqua" w:hAnsi="Book Antiqua"/>
          <w:sz w:val="24"/>
          <w:szCs w:val="24"/>
          <w:lang w:val="en-US"/>
        </w:rPr>
        <w:t>R</w:t>
      </w:r>
      <w:r w:rsidR="00783C3D" w:rsidRPr="0045429A">
        <w:rPr>
          <w:rFonts w:ascii="Book Antiqua" w:hAnsi="Book Antiqua"/>
          <w:sz w:val="24"/>
          <w:szCs w:val="24"/>
          <w:lang w:val="en-US"/>
        </w:rPr>
        <w:t>T)</w:t>
      </w:r>
      <w:r w:rsidRPr="0045429A">
        <w:rPr>
          <w:rFonts w:ascii="Book Antiqua" w:hAnsi="Book Antiqua"/>
          <w:sz w:val="24"/>
          <w:szCs w:val="24"/>
          <w:lang w:val="en-US"/>
        </w:rPr>
        <w:t>. The presence of compensated cirrhosis</w:t>
      </w:r>
      <w:r w:rsidR="00783C3D" w:rsidRPr="0045429A">
        <w:rPr>
          <w:rFonts w:ascii="Book Antiqua" w:hAnsi="Book Antiqua"/>
          <w:sz w:val="24"/>
          <w:szCs w:val="24"/>
          <w:lang w:val="en-US"/>
        </w:rPr>
        <w:t xml:space="preserve"> with evidence of portal hypertension is also an indication for L</w:t>
      </w:r>
      <w:r w:rsidR="008C2C74" w:rsidRPr="0045429A">
        <w:rPr>
          <w:rFonts w:ascii="Book Antiqua" w:hAnsi="Book Antiqua"/>
          <w:sz w:val="24"/>
          <w:szCs w:val="24"/>
          <w:lang w:val="en-US"/>
        </w:rPr>
        <w:t>R</w:t>
      </w:r>
      <w:r w:rsidR="00783C3D" w:rsidRPr="0045429A">
        <w:rPr>
          <w:rFonts w:ascii="Book Antiqua" w:hAnsi="Book Antiqua"/>
          <w:sz w:val="24"/>
          <w:szCs w:val="24"/>
          <w:lang w:val="en-US"/>
        </w:rPr>
        <w:t xml:space="preserve">T. Cirrhotic patients without portal hypertension must be carefully evaluated for RT since cirrhosis is associated with an increased risk of mortality </w:t>
      </w:r>
      <w:r w:rsidR="00AC5D9A" w:rsidRPr="0045429A">
        <w:rPr>
          <w:rFonts w:ascii="Book Antiqua" w:hAnsi="Book Antiqua"/>
          <w:sz w:val="24"/>
          <w:szCs w:val="24"/>
          <w:vertAlign w:val="superscript"/>
          <w:lang w:val="en-US"/>
        </w:rPr>
        <w:t>[22]</w:t>
      </w:r>
      <w:r w:rsidR="00AC5D9A" w:rsidRPr="0045429A">
        <w:rPr>
          <w:rFonts w:ascii="Book Antiqua" w:hAnsi="Book Antiqua"/>
          <w:sz w:val="24"/>
          <w:szCs w:val="24"/>
          <w:lang w:val="en-US"/>
        </w:rPr>
        <w:t xml:space="preserve">. Patients without </w:t>
      </w:r>
      <w:r w:rsidR="00A525F7" w:rsidRPr="0045429A">
        <w:rPr>
          <w:rFonts w:ascii="Book Antiqua" w:hAnsi="Book Antiqua"/>
          <w:sz w:val="24"/>
          <w:szCs w:val="24"/>
          <w:lang w:val="en-US"/>
        </w:rPr>
        <w:t xml:space="preserve">cirrhosis are adequate candidates for RT. </w:t>
      </w:r>
    </w:p>
    <w:p w:rsidR="00D26F05" w:rsidRPr="0045429A" w:rsidRDefault="00375683" w:rsidP="0045429A">
      <w:pPr>
        <w:spacing w:line="360" w:lineRule="auto"/>
        <w:jc w:val="both"/>
        <w:rPr>
          <w:rFonts w:ascii="Book Antiqua" w:hAnsi="Book Antiqua"/>
          <w:b/>
          <w:sz w:val="24"/>
          <w:szCs w:val="24"/>
          <w:lang w:val="en-US"/>
        </w:rPr>
      </w:pPr>
      <w:r w:rsidRPr="0045429A">
        <w:rPr>
          <w:rFonts w:ascii="Book Antiqua" w:hAnsi="Book Antiqua"/>
          <w:b/>
          <w:sz w:val="24"/>
          <w:szCs w:val="24"/>
          <w:lang w:val="en-US"/>
        </w:rPr>
        <w:t>TREATMENT</w:t>
      </w:r>
    </w:p>
    <w:p w:rsidR="00E927B5" w:rsidRPr="0045429A" w:rsidRDefault="00E927B5"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 xml:space="preserve">There are many guidelines regarding HBV treatment. Patients with ESRD and RT can be considered a special population and there are particular recommendations for them that may vary from those implemented in the general population </w:t>
      </w:r>
      <w:r w:rsidRPr="0045429A">
        <w:rPr>
          <w:rFonts w:ascii="Book Antiqua" w:hAnsi="Book Antiqua"/>
          <w:sz w:val="24"/>
          <w:szCs w:val="24"/>
          <w:vertAlign w:val="superscript"/>
          <w:lang w:val="en-US"/>
        </w:rPr>
        <w:t>[9,10,15,23]</w:t>
      </w:r>
      <w:r w:rsidRPr="0045429A">
        <w:rPr>
          <w:rFonts w:ascii="Book Antiqua" w:hAnsi="Book Antiqua"/>
          <w:sz w:val="24"/>
          <w:szCs w:val="24"/>
          <w:lang w:val="en-US"/>
        </w:rPr>
        <w:t xml:space="preserve">. Patients with </w:t>
      </w:r>
      <w:r w:rsidRPr="0045429A">
        <w:rPr>
          <w:rFonts w:ascii="Book Antiqua" w:hAnsi="Book Antiqua"/>
          <w:i/>
          <w:sz w:val="24"/>
          <w:szCs w:val="24"/>
          <w:lang w:val="en-US"/>
        </w:rPr>
        <w:t>chronic hepatitis B</w:t>
      </w:r>
      <w:r w:rsidRPr="0045429A">
        <w:rPr>
          <w:rFonts w:ascii="Book Antiqua" w:hAnsi="Book Antiqua"/>
          <w:sz w:val="24"/>
          <w:szCs w:val="24"/>
          <w:lang w:val="en-US"/>
        </w:rPr>
        <w:t xml:space="preserve"> are candidates for treatment and those </w:t>
      </w:r>
      <w:r w:rsidRPr="0045429A">
        <w:rPr>
          <w:rFonts w:ascii="Book Antiqua" w:hAnsi="Book Antiqua"/>
          <w:i/>
          <w:sz w:val="24"/>
          <w:szCs w:val="24"/>
          <w:lang w:val="en-US"/>
        </w:rPr>
        <w:t xml:space="preserve">inactive hepatitis B carriers </w:t>
      </w:r>
      <w:r w:rsidRPr="0045429A">
        <w:rPr>
          <w:rFonts w:ascii="Book Antiqua" w:hAnsi="Book Antiqua"/>
          <w:sz w:val="24"/>
          <w:szCs w:val="24"/>
          <w:lang w:val="en-US"/>
        </w:rPr>
        <w:t>are candidates for prophylactic or preemptive therapy.</w:t>
      </w:r>
    </w:p>
    <w:p w:rsidR="00B20B1D" w:rsidRPr="0045429A" w:rsidRDefault="00E927B5"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 xml:space="preserve">There are two main treatment options in hepatitis B: interferon and NUCs. </w:t>
      </w:r>
      <w:r w:rsidR="006C522C" w:rsidRPr="0045429A">
        <w:rPr>
          <w:rFonts w:ascii="Book Antiqua" w:hAnsi="Book Antiqua"/>
          <w:sz w:val="24"/>
          <w:szCs w:val="24"/>
          <w:lang w:val="en-US"/>
        </w:rPr>
        <w:t>Interferon therapy has many disadvantages when compared with NUCs: poorly tolerated due to side effects, limited efficacy in this populations, subcutaneous administration and there is certain risk of graft rejection</w:t>
      </w:r>
      <w:r w:rsidR="006C522C" w:rsidRPr="0045429A">
        <w:rPr>
          <w:rFonts w:ascii="Book Antiqua" w:hAnsi="Book Antiqua"/>
          <w:sz w:val="24"/>
          <w:szCs w:val="24"/>
          <w:vertAlign w:val="superscript"/>
          <w:lang w:val="en-US"/>
        </w:rPr>
        <w:t>[24]</w:t>
      </w:r>
      <w:r w:rsidR="006C522C" w:rsidRPr="0045429A">
        <w:rPr>
          <w:rFonts w:ascii="Book Antiqua" w:hAnsi="Book Antiqua"/>
          <w:sz w:val="24"/>
          <w:szCs w:val="24"/>
          <w:lang w:val="en-US"/>
        </w:rPr>
        <w:t xml:space="preserve">. So, there is agreement that interferon treatment should generally be avoided in HBV infected RT patients </w:t>
      </w:r>
      <w:r w:rsidR="006C522C" w:rsidRPr="0045429A">
        <w:rPr>
          <w:rFonts w:ascii="Book Antiqua" w:hAnsi="Book Antiqua"/>
          <w:sz w:val="24"/>
          <w:szCs w:val="24"/>
          <w:vertAlign w:val="superscript"/>
          <w:lang w:val="en-US"/>
        </w:rPr>
        <w:t>[15,</w:t>
      </w:r>
      <w:r w:rsidR="00934C9C" w:rsidRPr="0045429A">
        <w:rPr>
          <w:rFonts w:ascii="Book Antiqua" w:hAnsi="Book Antiqua"/>
          <w:sz w:val="24"/>
          <w:szCs w:val="24"/>
          <w:vertAlign w:val="superscript"/>
          <w:lang w:val="en-US"/>
        </w:rPr>
        <w:t>21,</w:t>
      </w:r>
      <w:r w:rsidR="006C522C" w:rsidRPr="0045429A">
        <w:rPr>
          <w:rFonts w:ascii="Book Antiqua" w:hAnsi="Book Antiqua"/>
          <w:sz w:val="24"/>
          <w:szCs w:val="24"/>
          <w:vertAlign w:val="superscript"/>
          <w:lang w:val="en-US"/>
        </w:rPr>
        <w:t>23]</w:t>
      </w:r>
      <w:r w:rsidR="006C522C" w:rsidRPr="0045429A">
        <w:rPr>
          <w:rFonts w:ascii="Book Antiqua" w:hAnsi="Book Antiqua"/>
          <w:sz w:val="24"/>
          <w:szCs w:val="24"/>
          <w:lang w:val="en-US"/>
        </w:rPr>
        <w:t xml:space="preserve">. </w:t>
      </w:r>
      <w:r w:rsidR="00B20B1D" w:rsidRPr="0045429A">
        <w:rPr>
          <w:rFonts w:ascii="Book Antiqua" w:hAnsi="Book Antiqua"/>
          <w:sz w:val="24"/>
          <w:szCs w:val="24"/>
          <w:lang w:val="en-US"/>
        </w:rPr>
        <w:t xml:space="preserve">On the contrary, </w:t>
      </w:r>
      <w:r w:rsidR="00B20B1D" w:rsidRPr="0045429A">
        <w:rPr>
          <w:rFonts w:ascii="Book Antiqua" w:hAnsi="Book Antiqua"/>
          <w:sz w:val="24"/>
          <w:szCs w:val="24"/>
          <w:highlight w:val="yellow"/>
          <w:lang w:val="en-US"/>
        </w:rPr>
        <w:t>NUCs have a high antiviral potency</w:t>
      </w:r>
      <w:r w:rsidR="00B20B1D" w:rsidRPr="0045429A">
        <w:rPr>
          <w:rFonts w:ascii="Book Antiqua" w:hAnsi="Book Antiqua"/>
          <w:sz w:val="24"/>
          <w:szCs w:val="24"/>
          <w:lang w:val="en-US"/>
        </w:rPr>
        <w:t xml:space="preserve">, have a good safety and tolerability profile and can be orally administrated. </w:t>
      </w:r>
      <w:r w:rsidR="00BF57AF" w:rsidRPr="0045429A">
        <w:rPr>
          <w:rFonts w:ascii="Book Antiqua" w:hAnsi="Book Antiqua"/>
          <w:sz w:val="24"/>
          <w:szCs w:val="24"/>
          <w:lang w:val="en-US"/>
        </w:rPr>
        <w:t>These drugs can be easily used in RT and doses can be adjusted according to creatinine clearance</w:t>
      </w:r>
      <w:r w:rsidR="00A35B45" w:rsidRPr="0045429A">
        <w:rPr>
          <w:rFonts w:ascii="Book Antiqua" w:hAnsi="Book Antiqua"/>
          <w:sz w:val="24"/>
          <w:szCs w:val="24"/>
          <w:vertAlign w:val="superscript"/>
          <w:lang w:val="en-US"/>
        </w:rPr>
        <w:t>[25-29]</w:t>
      </w:r>
      <w:r w:rsidR="00BF57AF" w:rsidRPr="0045429A">
        <w:rPr>
          <w:rFonts w:ascii="Book Antiqua" w:hAnsi="Book Antiqua"/>
          <w:sz w:val="24"/>
          <w:szCs w:val="24"/>
          <w:lang w:val="en-US"/>
        </w:rPr>
        <w:t xml:space="preserve"> (Table 1). </w:t>
      </w:r>
      <w:r w:rsidR="00B20B1D" w:rsidRPr="0045429A">
        <w:rPr>
          <w:rFonts w:ascii="Book Antiqua" w:hAnsi="Book Antiqua"/>
          <w:sz w:val="24"/>
          <w:szCs w:val="24"/>
          <w:lang w:val="en-US"/>
        </w:rPr>
        <w:t>The main limitations of NUCs include the need for long-term, perhaps indefinite, therapy, particularly in HBeAg negative patients, the risk of viral resistance and the unknown long-term safety</w:t>
      </w:r>
      <w:r w:rsidR="00BF57AF" w:rsidRPr="0045429A">
        <w:rPr>
          <w:rFonts w:ascii="Book Antiqua" w:hAnsi="Book Antiqua"/>
          <w:sz w:val="24"/>
          <w:szCs w:val="24"/>
          <w:lang w:val="en-US"/>
        </w:rPr>
        <w:t xml:space="preserve"> </w:t>
      </w:r>
      <w:r w:rsidR="00BF57AF" w:rsidRPr="0045429A">
        <w:rPr>
          <w:rFonts w:ascii="Book Antiqua" w:hAnsi="Book Antiqua"/>
          <w:sz w:val="24"/>
          <w:szCs w:val="24"/>
          <w:vertAlign w:val="superscript"/>
          <w:lang w:val="en-US"/>
        </w:rPr>
        <w:t>[11]</w:t>
      </w:r>
      <w:r w:rsidR="00B20B1D" w:rsidRPr="0045429A">
        <w:rPr>
          <w:rFonts w:ascii="Book Antiqua" w:hAnsi="Book Antiqua"/>
          <w:sz w:val="24"/>
          <w:szCs w:val="24"/>
          <w:lang w:val="en-US"/>
        </w:rPr>
        <w:t>.</w:t>
      </w:r>
    </w:p>
    <w:p w:rsidR="00934C9C" w:rsidRPr="0045429A" w:rsidRDefault="00934C9C"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Regarding NUCs, there are five drugs currently approved for HBV treatment: lamivudine (LAM), adefovir (ADV), telbivudine (LdT), entecavir (ETV) and tenofovir</w:t>
      </w:r>
      <w:r w:rsidR="006B3E23" w:rsidRPr="0045429A">
        <w:rPr>
          <w:rFonts w:ascii="Book Antiqua" w:hAnsi="Book Antiqua"/>
          <w:sz w:val="24"/>
          <w:szCs w:val="24"/>
          <w:lang w:val="en-US"/>
        </w:rPr>
        <w:t xml:space="preserve"> disoproxil fumarate</w:t>
      </w:r>
      <w:r w:rsidRPr="0045429A">
        <w:rPr>
          <w:rFonts w:ascii="Book Antiqua" w:hAnsi="Book Antiqua"/>
          <w:sz w:val="24"/>
          <w:szCs w:val="24"/>
          <w:lang w:val="en-US"/>
        </w:rPr>
        <w:t xml:space="preserve"> (TDF). Treatment with </w:t>
      </w:r>
      <w:r w:rsidR="00B20B1D" w:rsidRPr="0045429A">
        <w:rPr>
          <w:rFonts w:ascii="Book Antiqua" w:hAnsi="Book Antiqua"/>
          <w:sz w:val="24"/>
          <w:szCs w:val="24"/>
          <w:lang w:val="en-US"/>
        </w:rPr>
        <w:t>TDF</w:t>
      </w:r>
      <w:r w:rsidRPr="0045429A">
        <w:rPr>
          <w:rFonts w:ascii="Book Antiqua" w:hAnsi="Book Antiqua"/>
          <w:sz w:val="24"/>
          <w:szCs w:val="24"/>
          <w:lang w:val="en-US"/>
        </w:rPr>
        <w:t xml:space="preserve"> or </w:t>
      </w:r>
      <w:r w:rsidR="00B20B1D" w:rsidRPr="0045429A">
        <w:rPr>
          <w:rFonts w:ascii="Book Antiqua" w:hAnsi="Book Antiqua"/>
          <w:sz w:val="24"/>
          <w:szCs w:val="24"/>
          <w:lang w:val="en-US"/>
        </w:rPr>
        <w:t>ETV</w:t>
      </w:r>
      <w:r w:rsidRPr="0045429A">
        <w:rPr>
          <w:rFonts w:ascii="Book Antiqua" w:hAnsi="Book Antiqua"/>
          <w:sz w:val="24"/>
          <w:szCs w:val="24"/>
          <w:lang w:val="en-US"/>
        </w:rPr>
        <w:t xml:space="preserve"> is preferable to </w:t>
      </w:r>
      <w:r w:rsidR="00B20B1D" w:rsidRPr="0045429A">
        <w:rPr>
          <w:rFonts w:ascii="Book Antiqua" w:hAnsi="Book Antiqua"/>
          <w:sz w:val="24"/>
          <w:szCs w:val="24"/>
          <w:lang w:val="en-US"/>
        </w:rPr>
        <w:t>LAM</w:t>
      </w:r>
      <w:r w:rsidR="006B03E9" w:rsidRPr="0045429A">
        <w:rPr>
          <w:rFonts w:ascii="Book Antiqua" w:hAnsi="Book Antiqua"/>
          <w:sz w:val="24"/>
          <w:szCs w:val="24"/>
          <w:lang w:val="en-US"/>
        </w:rPr>
        <w:t xml:space="preserve"> in NUC naïve patients</w:t>
      </w:r>
      <w:r w:rsidRPr="0045429A">
        <w:rPr>
          <w:rFonts w:ascii="Book Antiqua" w:hAnsi="Book Antiqua"/>
          <w:sz w:val="24"/>
          <w:szCs w:val="24"/>
          <w:lang w:val="en-US"/>
        </w:rPr>
        <w:t xml:space="preserve">, since they are more effective due to a high antiviral </w:t>
      </w:r>
      <w:r w:rsidRPr="0045429A">
        <w:rPr>
          <w:rFonts w:ascii="Book Antiqua" w:hAnsi="Book Antiqua"/>
          <w:sz w:val="24"/>
          <w:szCs w:val="24"/>
          <w:lang w:val="en-US"/>
        </w:rPr>
        <w:lastRenderedPageBreak/>
        <w:t>potency and have a high barrier to resistance reducing the risk of drug resistance and treatment failure</w:t>
      </w:r>
      <w:r w:rsidR="006B03E9" w:rsidRPr="0045429A">
        <w:rPr>
          <w:rFonts w:ascii="Book Antiqua" w:hAnsi="Book Antiqua"/>
          <w:sz w:val="24"/>
          <w:szCs w:val="24"/>
          <w:lang w:val="en-US"/>
        </w:rPr>
        <w:t xml:space="preserve"> </w:t>
      </w:r>
      <w:r w:rsidRPr="0045429A">
        <w:rPr>
          <w:rFonts w:ascii="Book Antiqua" w:hAnsi="Book Antiqua"/>
          <w:sz w:val="24"/>
          <w:szCs w:val="24"/>
          <w:vertAlign w:val="superscript"/>
          <w:lang w:val="en-US"/>
        </w:rPr>
        <w:t>[9,10,15,21,23]</w:t>
      </w:r>
      <w:r w:rsidRPr="0045429A">
        <w:rPr>
          <w:rFonts w:ascii="Book Antiqua" w:hAnsi="Book Antiqua"/>
          <w:sz w:val="24"/>
          <w:szCs w:val="24"/>
          <w:lang w:val="en-US"/>
        </w:rPr>
        <w:t>.</w:t>
      </w:r>
      <w:r w:rsidR="006B03E9" w:rsidRPr="0045429A">
        <w:rPr>
          <w:rFonts w:ascii="Book Antiqua" w:hAnsi="Book Antiqua"/>
          <w:sz w:val="24"/>
          <w:szCs w:val="24"/>
          <w:lang w:val="en-US"/>
        </w:rPr>
        <w:t xml:space="preserve"> </w:t>
      </w:r>
    </w:p>
    <w:p w:rsidR="00CA5B38" w:rsidRPr="0045429A" w:rsidRDefault="009F2316"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 xml:space="preserve">Since LAM was the first NUC approved for clinical use, it has yielded the majority of data on the management of HBsAg-positive renal transplant recipients. The utility of </w:t>
      </w:r>
      <w:r w:rsidR="00696E00" w:rsidRPr="0045429A">
        <w:rPr>
          <w:rFonts w:ascii="Book Antiqua" w:hAnsi="Book Antiqua"/>
          <w:sz w:val="24"/>
          <w:szCs w:val="24"/>
          <w:lang w:val="en-US"/>
        </w:rPr>
        <w:t>LAM</w:t>
      </w:r>
      <w:r w:rsidRPr="0045429A">
        <w:rPr>
          <w:rFonts w:ascii="Book Antiqua" w:hAnsi="Book Antiqua"/>
          <w:sz w:val="24"/>
          <w:szCs w:val="24"/>
          <w:lang w:val="en-US"/>
        </w:rPr>
        <w:t xml:space="preserve"> in stabilization of liver function was shown in several observational</w:t>
      </w:r>
      <w:r w:rsidR="00696E00" w:rsidRPr="0045429A">
        <w:rPr>
          <w:rFonts w:ascii="Book Antiqua" w:hAnsi="Book Antiqua"/>
          <w:sz w:val="24"/>
          <w:szCs w:val="24"/>
          <w:lang w:val="en-US"/>
        </w:rPr>
        <w:t xml:space="preserve"> </w:t>
      </w:r>
      <w:r w:rsidRPr="0045429A">
        <w:rPr>
          <w:rFonts w:ascii="Book Antiqua" w:hAnsi="Book Antiqua"/>
          <w:sz w:val="24"/>
          <w:szCs w:val="24"/>
          <w:lang w:val="en-US"/>
        </w:rPr>
        <w:t>studies</w:t>
      </w:r>
      <w:r w:rsidR="00696E00" w:rsidRPr="0045429A">
        <w:rPr>
          <w:rFonts w:ascii="Book Antiqua" w:hAnsi="Book Antiqua"/>
          <w:sz w:val="24"/>
          <w:szCs w:val="24"/>
          <w:lang w:val="en-US"/>
        </w:rPr>
        <w:t xml:space="preserve"> </w:t>
      </w:r>
      <w:r w:rsidR="00696E00" w:rsidRPr="0045429A">
        <w:rPr>
          <w:rFonts w:ascii="Book Antiqua" w:hAnsi="Book Antiqua"/>
          <w:sz w:val="24"/>
          <w:szCs w:val="24"/>
          <w:vertAlign w:val="superscript"/>
          <w:lang w:val="en-US"/>
        </w:rPr>
        <w:t>[15]</w:t>
      </w:r>
      <w:r w:rsidRPr="0045429A">
        <w:rPr>
          <w:rFonts w:ascii="Book Antiqua" w:hAnsi="Book Antiqua"/>
          <w:sz w:val="24"/>
          <w:szCs w:val="24"/>
          <w:lang w:val="en-US"/>
        </w:rPr>
        <w:t>. A meta-analysis that included 14 prospective</w:t>
      </w:r>
      <w:r w:rsidR="00696E00" w:rsidRPr="0045429A">
        <w:rPr>
          <w:rFonts w:ascii="Book Antiqua" w:hAnsi="Book Antiqua"/>
          <w:sz w:val="24"/>
          <w:szCs w:val="24"/>
          <w:lang w:val="en-US"/>
        </w:rPr>
        <w:t xml:space="preserve"> </w:t>
      </w:r>
      <w:r w:rsidRPr="0045429A">
        <w:rPr>
          <w:rFonts w:ascii="Book Antiqua" w:hAnsi="Book Antiqua"/>
          <w:sz w:val="24"/>
          <w:szCs w:val="24"/>
          <w:lang w:val="en-US"/>
        </w:rPr>
        <w:t>cohort studies (184 patients) determined the mean</w:t>
      </w:r>
      <w:r w:rsidR="00696E00" w:rsidRPr="0045429A">
        <w:rPr>
          <w:rFonts w:ascii="Book Antiqua" w:hAnsi="Book Antiqua"/>
          <w:sz w:val="24"/>
          <w:szCs w:val="24"/>
          <w:lang w:val="en-US"/>
        </w:rPr>
        <w:t xml:space="preserve"> </w:t>
      </w:r>
      <w:r w:rsidRPr="0045429A">
        <w:rPr>
          <w:rFonts w:ascii="Book Antiqua" w:hAnsi="Book Antiqua"/>
          <w:sz w:val="24"/>
          <w:szCs w:val="24"/>
          <w:lang w:val="en-US"/>
        </w:rPr>
        <w:t>overall estimate for ALT normalization, and HBV-DNA and</w:t>
      </w:r>
      <w:r w:rsidR="00696E00" w:rsidRPr="0045429A">
        <w:rPr>
          <w:rFonts w:ascii="Book Antiqua" w:hAnsi="Book Antiqua"/>
          <w:sz w:val="24"/>
          <w:szCs w:val="24"/>
          <w:lang w:val="en-US"/>
        </w:rPr>
        <w:t xml:space="preserve"> </w:t>
      </w:r>
      <w:r w:rsidRPr="0045429A">
        <w:rPr>
          <w:rFonts w:ascii="Book Antiqua" w:hAnsi="Book Antiqua"/>
          <w:sz w:val="24"/>
          <w:szCs w:val="24"/>
          <w:lang w:val="en-US"/>
        </w:rPr>
        <w:t>HBeAg clearance at 81% (95% CI 70</w:t>
      </w:r>
      <w:r w:rsidR="00696E00" w:rsidRPr="0045429A">
        <w:rPr>
          <w:rFonts w:ascii="Book Antiqua" w:hAnsi="Book Antiqua"/>
          <w:sz w:val="24"/>
          <w:szCs w:val="24"/>
          <w:lang w:val="en-US"/>
        </w:rPr>
        <w:t>-</w:t>
      </w:r>
      <w:r w:rsidRPr="0045429A">
        <w:rPr>
          <w:rFonts w:ascii="Book Antiqua" w:hAnsi="Book Antiqua"/>
          <w:sz w:val="24"/>
          <w:szCs w:val="24"/>
          <w:lang w:val="en-US"/>
        </w:rPr>
        <w:t>92%), 91% (95%</w:t>
      </w:r>
      <w:r w:rsidR="00696E00" w:rsidRPr="0045429A">
        <w:rPr>
          <w:rFonts w:ascii="Book Antiqua" w:hAnsi="Book Antiqua"/>
          <w:sz w:val="24"/>
          <w:szCs w:val="24"/>
          <w:lang w:val="en-US"/>
        </w:rPr>
        <w:t>CI 86-96%) and 27% (95% CI 16-</w:t>
      </w:r>
      <w:r w:rsidRPr="0045429A">
        <w:rPr>
          <w:rFonts w:ascii="Book Antiqua" w:hAnsi="Book Antiqua"/>
          <w:sz w:val="24"/>
          <w:szCs w:val="24"/>
          <w:lang w:val="en-US"/>
        </w:rPr>
        <w:t>39%), respectively. The</w:t>
      </w:r>
      <w:r w:rsidR="00696E00" w:rsidRPr="0045429A">
        <w:rPr>
          <w:rFonts w:ascii="Book Antiqua" w:hAnsi="Book Antiqua"/>
          <w:sz w:val="24"/>
          <w:szCs w:val="24"/>
          <w:lang w:val="en-US"/>
        </w:rPr>
        <w:t xml:space="preserve"> </w:t>
      </w:r>
      <w:r w:rsidRPr="0045429A">
        <w:rPr>
          <w:rFonts w:ascii="Book Antiqua" w:hAnsi="Book Antiqua"/>
          <w:sz w:val="24"/>
          <w:szCs w:val="24"/>
          <w:lang w:val="en-US"/>
        </w:rPr>
        <w:t xml:space="preserve">duration of </w:t>
      </w:r>
      <w:r w:rsidR="00696E00" w:rsidRPr="0045429A">
        <w:rPr>
          <w:rFonts w:ascii="Book Antiqua" w:hAnsi="Book Antiqua"/>
          <w:sz w:val="24"/>
          <w:szCs w:val="24"/>
          <w:lang w:val="en-US"/>
        </w:rPr>
        <w:t>LAM</w:t>
      </w:r>
      <w:r w:rsidRPr="0045429A">
        <w:rPr>
          <w:rFonts w:ascii="Book Antiqua" w:hAnsi="Book Antiqua"/>
          <w:sz w:val="24"/>
          <w:szCs w:val="24"/>
          <w:lang w:val="en-US"/>
        </w:rPr>
        <w:t xml:space="preserve"> therapy</w:t>
      </w:r>
      <w:r w:rsidR="00696E00" w:rsidRPr="0045429A">
        <w:rPr>
          <w:rFonts w:ascii="Book Antiqua" w:hAnsi="Book Antiqua"/>
          <w:sz w:val="24"/>
          <w:szCs w:val="24"/>
          <w:lang w:val="en-US"/>
        </w:rPr>
        <w:t xml:space="preserve"> was 6 to </w:t>
      </w:r>
      <w:r w:rsidRPr="0045429A">
        <w:rPr>
          <w:rFonts w:ascii="Book Antiqua" w:hAnsi="Book Antiqua"/>
          <w:sz w:val="24"/>
          <w:szCs w:val="24"/>
          <w:lang w:val="en-US"/>
        </w:rPr>
        <w:t>12 months in the</w:t>
      </w:r>
      <w:r w:rsidR="00696E00" w:rsidRPr="0045429A">
        <w:rPr>
          <w:rFonts w:ascii="Book Antiqua" w:hAnsi="Book Antiqua"/>
          <w:sz w:val="24"/>
          <w:szCs w:val="24"/>
          <w:lang w:val="en-US"/>
        </w:rPr>
        <w:t xml:space="preserve"> </w:t>
      </w:r>
      <w:r w:rsidRPr="0045429A">
        <w:rPr>
          <w:rFonts w:ascii="Book Antiqua" w:hAnsi="Book Antiqua"/>
          <w:sz w:val="24"/>
          <w:szCs w:val="24"/>
          <w:lang w:val="en-US"/>
        </w:rPr>
        <w:t>majority</w:t>
      </w:r>
      <w:r w:rsidR="00696E00" w:rsidRPr="0045429A">
        <w:rPr>
          <w:rFonts w:ascii="Book Antiqua" w:hAnsi="Book Antiqua"/>
          <w:sz w:val="24"/>
          <w:szCs w:val="24"/>
          <w:lang w:val="en-US"/>
        </w:rPr>
        <w:t xml:space="preserve"> </w:t>
      </w:r>
      <w:r w:rsidRPr="0045429A">
        <w:rPr>
          <w:rFonts w:ascii="Book Antiqua" w:hAnsi="Book Antiqua"/>
          <w:sz w:val="24"/>
          <w:szCs w:val="24"/>
          <w:lang w:val="en-US"/>
        </w:rPr>
        <w:t>(11 of 14) of the studies</w:t>
      </w:r>
      <w:r w:rsidR="00696E00" w:rsidRPr="0045429A">
        <w:rPr>
          <w:rFonts w:ascii="Book Antiqua" w:hAnsi="Book Antiqua"/>
          <w:sz w:val="24"/>
          <w:szCs w:val="24"/>
          <w:lang w:val="en-US"/>
        </w:rPr>
        <w:t xml:space="preserve"> </w:t>
      </w:r>
      <w:r w:rsidR="00696E00" w:rsidRPr="0045429A">
        <w:rPr>
          <w:rFonts w:ascii="Book Antiqua" w:hAnsi="Book Antiqua"/>
          <w:sz w:val="24"/>
          <w:szCs w:val="24"/>
          <w:vertAlign w:val="superscript"/>
          <w:lang w:val="en-US"/>
        </w:rPr>
        <w:t>[30]</w:t>
      </w:r>
      <w:r w:rsidRPr="0045429A">
        <w:rPr>
          <w:rFonts w:ascii="Book Antiqua" w:hAnsi="Book Antiqua"/>
          <w:sz w:val="24"/>
          <w:szCs w:val="24"/>
          <w:lang w:val="en-US"/>
        </w:rPr>
        <w:t>.</w:t>
      </w:r>
      <w:r w:rsidR="00696E00" w:rsidRPr="0045429A">
        <w:rPr>
          <w:rFonts w:ascii="Book Antiqua" w:hAnsi="Book Antiqua"/>
          <w:sz w:val="24"/>
          <w:szCs w:val="24"/>
          <w:lang w:val="en-US"/>
        </w:rPr>
        <w:t xml:space="preserve"> </w:t>
      </w:r>
      <w:r w:rsidR="00D72015" w:rsidRPr="0045429A">
        <w:rPr>
          <w:rFonts w:ascii="Book Antiqua" w:hAnsi="Book Antiqua"/>
          <w:sz w:val="24"/>
          <w:szCs w:val="24"/>
          <w:lang w:val="en-US"/>
        </w:rPr>
        <w:t>Even though LAM was associated with significantly improved patient survival</w:t>
      </w:r>
      <w:r w:rsidR="00D72015" w:rsidRPr="0045429A">
        <w:rPr>
          <w:rFonts w:ascii="Book Antiqua" w:hAnsi="Book Antiqua"/>
          <w:sz w:val="24"/>
          <w:szCs w:val="24"/>
          <w:vertAlign w:val="superscript"/>
          <w:lang w:val="en-US"/>
        </w:rPr>
        <w:t xml:space="preserve"> [31]</w:t>
      </w:r>
      <w:r w:rsidR="00D72015" w:rsidRPr="0045429A">
        <w:rPr>
          <w:rFonts w:ascii="Book Antiqua" w:hAnsi="Book Antiqua"/>
          <w:sz w:val="24"/>
          <w:szCs w:val="24"/>
          <w:lang w:val="en-US"/>
        </w:rPr>
        <w:t xml:space="preserve">, prolonged treatment is associated with progressive increase in drug resistance and the cumulative probability of developing LAM resistance (LAM-R) was approximately 60% after 69 months </w:t>
      </w:r>
      <w:r w:rsidR="00D72015" w:rsidRPr="0045429A">
        <w:rPr>
          <w:rFonts w:ascii="Book Antiqua" w:hAnsi="Book Antiqua"/>
          <w:sz w:val="24"/>
          <w:szCs w:val="24"/>
          <w:vertAlign w:val="superscript"/>
          <w:lang w:val="en-US"/>
        </w:rPr>
        <w:t>[30,32,33]</w:t>
      </w:r>
      <w:r w:rsidR="00D72015" w:rsidRPr="0045429A">
        <w:rPr>
          <w:rFonts w:ascii="Book Antiqua" w:hAnsi="Book Antiqua"/>
          <w:sz w:val="24"/>
          <w:szCs w:val="24"/>
          <w:lang w:val="en-US"/>
        </w:rPr>
        <w:t xml:space="preserve">. </w:t>
      </w:r>
      <w:r w:rsidR="00071E3C" w:rsidRPr="0045429A">
        <w:rPr>
          <w:rFonts w:ascii="Book Antiqua" w:hAnsi="Book Antiqua"/>
          <w:sz w:val="24"/>
          <w:szCs w:val="24"/>
          <w:lang w:val="en-US"/>
        </w:rPr>
        <w:t xml:space="preserve">LAM-R leads to treatment failure and can be associated with progressive liver disease and a negative impact in patient and graft survival. </w:t>
      </w:r>
      <w:r w:rsidR="00F7753D" w:rsidRPr="0045429A">
        <w:rPr>
          <w:rFonts w:ascii="Book Antiqua" w:hAnsi="Book Antiqua"/>
          <w:sz w:val="24"/>
          <w:szCs w:val="24"/>
          <w:lang w:val="en-US"/>
        </w:rPr>
        <w:t xml:space="preserve">Fortunately today there are good treatment options for LAM-R. Given that there are better options for HBV treatment, LAM is no longer a first line treatment for these patients </w:t>
      </w:r>
      <w:r w:rsidR="00F7753D" w:rsidRPr="0045429A">
        <w:rPr>
          <w:rFonts w:ascii="Book Antiqua" w:hAnsi="Book Antiqua"/>
          <w:sz w:val="24"/>
          <w:szCs w:val="24"/>
          <w:vertAlign w:val="superscript"/>
          <w:lang w:val="en-US"/>
        </w:rPr>
        <w:t>[9,10,15,21,23]</w:t>
      </w:r>
      <w:r w:rsidR="00F7753D" w:rsidRPr="0045429A">
        <w:rPr>
          <w:rFonts w:ascii="Book Antiqua" w:hAnsi="Book Antiqua"/>
          <w:sz w:val="24"/>
          <w:szCs w:val="24"/>
          <w:lang w:val="en-US"/>
        </w:rPr>
        <w:t xml:space="preserve">. </w:t>
      </w:r>
    </w:p>
    <w:p w:rsidR="00C27196" w:rsidRPr="0045429A" w:rsidRDefault="00C27196"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Adefovir was the second available oral drug for HBV treatment infection. It has similar activity against both wild-type and LAM-R HBV</w:t>
      </w:r>
      <w:r w:rsidR="00FC79F6" w:rsidRPr="0045429A">
        <w:rPr>
          <w:rFonts w:ascii="Book Antiqua" w:hAnsi="Book Antiqua"/>
          <w:sz w:val="24"/>
          <w:szCs w:val="24"/>
          <w:lang w:val="en-US"/>
        </w:rPr>
        <w:t>,</w:t>
      </w:r>
      <w:r w:rsidRPr="0045429A">
        <w:rPr>
          <w:rFonts w:ascii="Book Antiqua" w:hAnsi="Book Antiqua"/>
          <w:sz w:val="24"/>
          <w:szCs w:val="24"/>
          <w:lang w:val="en-US"/>
        </w:rPr>
        <w:t xml:space="preserve"> </w:t>
      </w:r>
      <w:r w:rsidR="00FC79F6" w:rsidRPr="0045429A">
        <w:rPr>
          <w:rFonts w:ascii="Book Antiqua" w:hAnsi="Book Antiqua"/>
          <w:sz w:val="24"/>
          <w:szCs w:val="24"/>
          <w:highlight w:val="yellow"/>
          <w:lang w:val="en-US"/>
        </w:rPr>
        <w:t xml:space="preserve">but </w:t>
      </w:r>
      <w:r w:rsidRPr="0045429A">
        <w:rPr>
          <w:rFonts w:ascii="Book Antiqua" w:hAnsi="Book Antiqua"/>
          <w:sz w:val="24"/>
          <w:szCs w:val="24"/>
          <w:highlight w:val="yellow"/>
          <w:lang w:val="en-US"/>
        </w:rPr>
        <w:t>it may</w:t>
      </w:r>
      <w:r w:rsidR="00FC79F6" w:rsidRPr="0045429A">
        <w:rPr>
          <w:rFonts w:ascii="Book Antiqua" w:hAnsi="Book Antiqua"/>
          <w:sz w:val="24"/>
          <w:szCs w:val="24"/>
          <w:highlight w:val="yellow"/>
          <w:lang w:val="en-US"/>
        </w:rPr>
        <w:t xml:space="preserve"> be</w:t>
      </w:r>
      <w:r w:rsidRPr="0045429A">
        <w:rPr>
          <w:rFonts w:ascii="Book Antiqua" w:hAnsi="Book Antiqua"/>
          <w:sz w:val="24"/>
          <w:szCs w:val="24"/>
          <w:highlight w:val="yellow"/>
          <w:lang w:val="en-US"/>
        </w:rPr>
        <w:t xml:space="preserve"> nephrotoxic</w:t>
      </w:r>
      <w:r w:rsidRPr="0045429A">
        <w:rPr>
          <w:rFonts w:ascii="Book Antiqua" w:hAnsi="Book Antiqua"/>
          <w:sz w:val="24"/>
          <w:szCs w:val="24"/>
          <w:lang w:val="en-US"/>
        </w:rPr>
        <w:t xml:space="preserve"> (especially in high doses). Currently its major clinical application is </w:t>
      </w:r>
      <w:r w:rsidR="00C01BC4" w:rsidRPr="0045429A">
        <w:rPr>
          <w:rFonts w:ascii="Book Antiqua" w:hAnsi="Book Antiqua"/>
          <w:sz w:val="24"/>
          <w:szCs w:val="24"/>
          <w:lang w:val="en-US"/>
        </w:rPr>
        <w:t xml:space="preserve">as add on therapy </w:t>
      </w:r>
      <w:r w:rsidRPr="0045429A">
        <w:rPr>
          <w:rFonts w:ascii="Book Antiqua" w:hAnsi="Book Antiqua"/>
          <w:sz w:val="24"/>
          <w:szCs w:val="24"/>
          <w:lang w:val="en-US"/>
        </w:rPr>
        <w:t xml:space="preserve">for the management of lamivudine-resistance since it has lower antiviral activity than ETV and TDF for naïve patients </w:t>
      </w:r>
      <w:r w:rsidRPr="0045429A">
        <w:rPr>
          <w:rFonts w:ascii="Book Antiqua" w:hAnsi="Book Antiqua"/>
          <w:sz w:val="24"/>
          <w:szCs w:val="24"/>
          <w:vertAlign w:val="superscript"/>
          <w:lang w:val="en-US"/>
        </w:rPr>
        <w:t>[9,10,15]</w:t>
      </w:r>
      <w:r w:rsidRPr="0045429A">
        <w:rPr>
          <w:rFonts w:ascii="Book Antiqua" w:hAnsi="Book Antiqua"/>
          <w:sz w:val="24"/>
          <w:szCs w:val="24"/>
          <w:lang w:val="en-US"/>
        </w:rPr>
        <w:t xml:space="preserve">. </w:t>
      </w:r>
    </w:p>
    <w:p w:rsidR="008C0D37" w:rsidRPr="0045429A" w:rsidRDefault="00C01BC4"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 xml:space="preserve">There have been reports on ADV short-term efficacy either as mono- or add-on therapy in LAM-R RT patients </w:t>
      </w:r>
      <w:r w:rsidRPr="0045429A">
        <w:rPr>
          <w:rFonts w:ascii="Book Antiqua" w:hAnsi="Book Antiqua"/>
          <w:sz w:val="24"/>
          <w:szCs w:val="24"/>
          <w:vertAlign w:val="superscript"/>
          <w:lang w:val="en-US"/>
        </w:rPr>
        <w:t>[34-39]</w:t>
      </w:r>
      <w:r w:rsidRPr="0045429A">
        <w:rPr>
          <w:rFonts w:ascii="Book Antiqua" w:hAnsi="Book Antiqua"/>
          <w:sz w:val="24"/>
          <w:szCs w:val="24"/>
          <w:lang w:val="en-US"/>
        </w:rPr>
        <w:t>. One year ADV monotherapy resulted in a significant virological response in 11 patients</w:t>
      </w:r>
      <w:r w:rsidR="0069138E" w:rsidRPr="0045429A">
        <w:rPr>
          <w:rFonts w:ascii="Book Antiqua" w:hAnsi="Book Antiqua"/>
          <w:sz w:val="24"/>
          <w:szCs w:val="24"/>
          <w:lang w:val="en-US"/>
        </w:rPr>
        <w:t xml:space="preserve"> with a</w:t>
      </w:r>
      <w:r w:rsidRPr="0045429A">
        <w:rPr>
          <w:rFonts w:ascii="Book Antiqua" w:hAnsi="Book Antiqua"/>
          <w:sz w:val="24"/>
          <w:szCs w:val="24"/>
          <w:lang w:val="en-US"/>
        </w:rPr>
        <w:t xml:space="preserve"> </w:t>
      </w:r>
      <w:r w:rsidR="0069138E" w:rsidRPr="0045429A">
        <w:rPr>
          <w:rFonts w:ascii="Book Antiqua" w:hAnsi="Book Antiqua"/>
          <w:sz w:val="24"/>
          <w:szCs w:val="24"/>
          <w:lang w:val="en-US"/>
        </w:rPr>
        <w:t>median HBV DNA decline of 5.5 log</w:t>
      </w:r>
      <w:r w:rsidR="0069138E" w:rsidRPr="0045429A">
        <w:rPr>
          <w:rFonts w:ascii="Book Antiqua" w:hAnsi="Book Antiqua"/>
          <w:sz w:val="24"/>
          <w:szCs w:val="24"/>
          <w:vertAlign w:val="subscript"/>
          <w:lang w:val="en-US"/>
        </w:rPr>
        <w:t>10</w:t>
      </w:r>
      <w:r w:rsidR="0069138E" w:rsidRPr="0045429A">
        <w:rPr>
          <w:rFonts w:ascii="Book Antiqua" w:hAnsi="Book Antiqua"/>
          <w:sz w:val="24"/>
          <w:szCs w:val="24"/>
          <w:lang w:val="en-US"/>
        </w:rPr>
        <w:t xml:space="preserve">. Only one patient cleared HBV DNA, one of the six HBeAg positive patients lost HBeAg but without antiHBe seroconversion; none had HBs Ag loss. Importantly, there were no significant clinical and biochemical adverse effects </w:t>
      </w:r>
      <w:r w:rsidR="0069138E" w:rsidRPr="0045429A">
        <w:rPr>
          <w:rFonts w:ascii="Book Antiqua" w:hAnsi="Book Antiqua"/>
          <w:sz w:val="24"/>
          <w:szCs w:val="24"/>
          <w:vertAlign w:val="superscript"/>
          <w:lang w:val="en-US"/>
        </w:rPr>
        <w:t>[34]</w:t>
      </w:r>
      <w:r w:rsidR="0069138E" w:rsidRPr="0045429A">
        <w:rPr>
          <w:rFonts w:ascii="Book Antiqua" w:hAnsi="Book Antiqua"/>
          <w:sz w:val="24"/>
          <w:szCs w:val="24"/>
          <w:lang w:val="en-US"/>
        </w:rPr>
        <w:t>.</w:t>
      </w:r>
      <w:r w:rsidR="00665340" w:rsidRPr="0045429A">
        <w:rPr>
          <w:rFonts w:ascii="Book Antiqua" w:hAnsi="Book Antiqua"/>
          <w:sz w:val="24"/>
          <w:szCs w:val="24"/>
          <w:lang w:val="en-US"/>
        </w:rPr>
        <w:t xml:space="preserve"> </w:t>
      </w:r>
      <w:r w:rsidR="0069138E" w:rsidRPr="0045429A">
        <w:rPr>
          <w:rFonts w:ascii="Book Antiqua" w:hAnsi="Book Antiqua"/>
          <w:sz w:val="24"/>
          <w:szCs w:val="24"/>
          <w:lang w:val="en-US"/>
        </w:rPr>
        <w:lastRenderedPageBreak/>
        <w:t xml:space="preserve">ADV as add-on therapy to LAM resulted in </w:t>
      </w:r>
      <w:r w:rsidR="008C0D37" w:rsidRPr="0045429A">
        <w:rPr>
          <w:rFonts w:ascii="Book Antiqua" w:hAnsi="Book Antiqua"/>
          <w:sz w:val="24"/>
          <w:szCs w:val="24"/>
          <w:lang w:val="en-US"/>
        </w:rPr>
        <w:t>significant HBV suppression LAM-R RT recipients</w:t>
      </w:r>
      <w:r w:rsidR="008C0D37" w:rsidRPr="0045429A">
        <w:rPr>
          <w:rFonts w:ascii="Book Antiqua" w:hAnsi="Book Antiqua"/>
          <w:sz w:val="24"/>
          <w:szCs w:val="24"/>
          <w:vertAlign w:val="superscript"/>
          <w:lang w:val="en-US"/>
        </w:rPr>
        <w:t xml:space="preserve"> [38,39]</w:t>
      </w:r>
      <w:r w:rsidR="008C0D37" w:rsidRPr="0045429A">
        <w:rPr>
          <w:rFonts w:ascii="Book Antiqua" w:hAnsi="Book Antiqua"/>
          <w:sz w:val="24"/>
          <w:szCs w:val="24"/>
          <w:lang w:val="en-US"/>
        </w:rPr>
        <w:t xml:space="preserve">. </w:t>
      </w:r>
      <w:r w:rsidR="00665340" w:rsidRPr="0045429A">
        <w:rPr>
          <w:rFonts w:ascii="Book Antiqua" w:hAnsi="Book Antiqua"/>
          <w:sz w:val="24"/>
          <w:szCs w:val="24"/>
          <w:lang w:val="en-US"/>
        </w:rPr>
        <w:t xml:space="preserve">In 11 ADV add on treated patients, HBV DNA was undetectable in 80-83% after 36 to 42 months </w:t>
      </w:r>
      <w:r w:rsidR="00665340" w:rsidRPr="0045429A">
        <w:rPr>
          <w:rFonts w:ascii="Book Antiqua" w:hAnsi="Book Antiqua"/>
          <w:sz w:val="24"/>
          <w:szCs w:val="24"/>
          <w:vertAlign w:val="superscript"/>
          <w:lang w:val="en-US"/>
        </w:rPr>
        <w:t>[38]</w:t>
      </w:r>
      <w:r w:rsidR="00665340" w:rsidRPr="0045429A">
        <w:rPr>
          <w:rFonts w:ascii="Book Antiqua" w:hAnsi="Book Antiqua"/>
          <w:sz w:val="24"/>
          <w:szCs w:val="24"/>
          <w:lang w:val="en-US"/>
        </w:rPr>
        <w:t xml:space="preserve">.  </w:t>
      </w:r>
      <w:r w:rsidR="008C0D37" w:rsidRPr="0045429A">
        <w:rPr>
          <w:rFonts w:ascii="Book Antiqua" w:hAnsi="Book Antiqua"/>
          <w:sz w:val="24"/>
          <w:szCs w:val="24"/>
          <w:lang w:val="en-US"/>
        </w:rPr>
        <w:t xml:space="preserve"> </w:t>
      </w:r>
      <w:r w:rsidR="00665340" w:rsidRPr="0045429A">
        <w:rPr>
          <w:rFonts w:ascii="Book Antiqua" w:hAnsi="Book Antiqua"/>
          <w:sz w:val="24"/>
          <w:szCs w:val="24"/>
          <w:lang w:val="en-US"/>
        </w:rPr>
        <w:t xml:space="preserve">However, six patients (54%) had to reduce ADV dose because of creatinine clearance decline after a median of 11 months (range: 9–42) </w:t>
      </w:r>
      <w:r w:rsidR="00665340" w:rsidRPr="0045429A">
        <w:rPr>
          <w:rFonts w:ascii="Book Antiqua" w:hAnsi="Book Antiqua"/>
          <w:sz w:val="24"/>
          <w:szCs w:val="24"/>
          <w:vertAlign w:val="superscript"/>
          <w:lang w:val="en-US"/>
        </w:rPr>
        <w:t>[38]</w:t>
      </w:r>
      <w:r w:rsidR="00665340" w:rsidRPr="0045429A">
        <w:rPr>
          <w:rFonts w:ascii="Book Antiqua" w:hAnsi="Book Antiqua"/>
          <w:sz w:val="24"/>
          <w:szCs w:val="24"/>
          <w:lang w:val="en-US"/>
        </w:rPr>
        <w:t xml:space="preserve">. </w:t>
      </w:r>
      <w:r w:rsidR="008C0D37" w:rsidRPr="0045429A">
        <w:rPr>
          <w:rFonts w:ascii="Book Antiqua" w:hAnsi="Book Antiqua"/>
          <w:sz w:val="24"/>
          <w:szCs w:val="24"/>
          <w:lang w:val="en-US"/>
        </w:rPr>
        <w:t>A</w:t>
      </w:r>
      <w:r w:rsidR="0069138E" w:rsidRPr="0045429A">
        <w:rPr>
          <w:rFonts w:ascii="Book Antiqua" w:hAnsi="Book Antiqua"/>
          <w:sz w:val="24"/>
          <w:szCs w:val="24"/>
          <w:lang w:val="en-US"/>
        </w:rPr>
        <w:t xml:space="preserve">fter 12, 24 and 36 months of </w:t>
      </w:r>
      <w:r w:rsidR="008C0D37" w:rsidRPr="0045429A">
        <w:rPr>
          <w:rFonts w:ascii="Book Antiqua" w:hAnsi="Book Antiqua"/>
          <w:sz w:val="24"/>
          <w:szCs w:val="24"/>
          <w:lang w:val="en-US"/>
        </w:rPr>
        <w:t>ADV treatment treatment 35.7%, 42.8% and 88.0% of treated patients achieved undetectable HBV DNA levels; t</w:t>
      </w:r>
      <w:r w:rsidR="0069138E" w:rsidRPr="0045429A">
        <w:rPr>
          <w:rFonts w:ascii="Book Antiqua" w:hAnsi="Book Antiqua"/>
          <w:sz w:val="24"/>
          <w:szCs w:val="24"/>
          <w:lang w:val="en-US"/>
        </w:rPr>
        <w:t xml:space="preserve">here was no virological breakthrough and normalization of ALT was achieved in 92.8% of patients after 12 months of treatment </w:t>
      </w:r>
      <w:r w:rsidR="0069138E" w:rsidRPr="0045429A">
        <w:rPr>
          <w:rFonts w:ascii="Book Antiqua" w:hAnsi="Book Antiqua"/>
          <w:sz w:val="24"/>
          <w:szCs w:val="24"/>
          <w:vertAlign w:val="superscript"/>
          <w:lang w:val="en-US"/>
        </w:rPr>
        <w:t>[39]</w:t>
      </w:r>
      <w:r w:rsidR="0069138E" w:rsidRPr="0045429A">
        <w:rPr>
          <w:rFonts w:ascii="Book Antiqua" w:hAnsi="Book Antiqua"/>
          <w:sz w:val="24"/>
          <w:szCs w:val="24"/>
          <w:lang w:val="en-US"/>
        </w:rPr>
        <w:t xml:space="preserve">. </w:t>
      </w:r>
      <w:r w:rsidR="008C0D37" w:rsidRPr="0045429A">
        <w:rPr>
          <w:rFonts w:ascii="Book Antiqua" w:hAnsi="Book Antiqua"/>
          <w:sz w:val="24"/>
          <w:szCs w:val="24"/>
          <w:lang w:val="en-US"/>
        </w:rPr>
        <w:t xml:space="preserve">Patients treated with AVD add on tended to normalize ALT levels and to reduce HBV DNA levels more effectively than those treated with ADV monotherapy </w:t>
      </w:r>
      <w:r w:rsidR="008C0D37" w:rsidRPr="0045429A">
        <w:rPr>
          <w:rFonts w:ascii="Book Antiqua" w:hAnsi="Book Antiqua"/>
          <w:sz w:val="24"/>
          <w:szCs w:val="24"/>
          <w:vertAlign w:val="superscript"/>
          <w:lang w:val="en-US"/>
        </w:rPr>
        <w:t>[39]</w:t>
      </w:r>
      <w:r w:rsidR="008C0D37" w:rsidRPr="0045429A">
        <w:rPr>
          <w:rFonts w:ascii="Book Antiqua" w:hAnsi="Book Antiqua"/>
          <w:sz w:val="24"/>
          <w:szCs w:val="24"/>
          <w:lang w:val="en-US"/>
        </w:rPr>
        <w:t xml:space="preserve">. In this study 29% of the patients developed moderate to severe renal insufficiency </w:t>
      </w:r>
      <w:r w:rsidR="008C0D37" w:rsidRPr="0045429A">
        <w:rPr>
          <w:rFonts w:ascii="Book Antiqua" w:hAnsi="Book Antiqua"/>
          <w:sz w:val="24"/>
          <w:szCs w:val="24"/>
          <w:vertAlign w:val="superscript"/>
          <w:lang w:val="en-US"/>
        </w:rPr>
        <w:t>[39]</w:t>
      </w:r>
      <w:r w:rsidR="008C0D37" w:rsidRPr="0045429A">
        <w:rPr>
          <w:rFonts w:ascii="Book Antiqua" w:hAnsi="Book Antiqua"/>
          <w:sz w:val="24"/>
          <w:szCs w:val="24"/>
          <w:lang w:val="en-US"/>
        </w:rPr>
        <w:t>.</w:t>
      </w:r>
      <w:r w:rsidR="00665340" w:rsidRPr="0045429A">
        <w:rPr>
          <w:rFonts w:ascii="Book Antiqua" w:hAnsi="Book Antiqua"/>
          <w:sz w:val="24"/>
          <w:szCs w:val="24"/>
          <w:lang w:val="en-US"/>
        </w:rPr>
        <w:t xml:space="preserve"> </w:t>
      </w:r>
    </w:p>
    <w:p w:rsidR="0069138E" w:rsidRPr="0045429A" w:rsidRDefault="0069138E"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 xml:space="preserve">However, the virological response could be variable and relatively slow when compared with treatment-naïve subjects </w:t>
      </w:r>
      <w:r w:rsidRPr="0045429A">
        <w:rPr>
          <w:rFonts w:ascii="Book Antiqua" w:hAnsi="Book Antiqua"/>
          <w:sz w:val="24"/>
          <w:szCs w:val="24"/>
          <w:vertAlign w:val="superscript"/>
          <w:lang w:val="en-US"/>
        </w:rPr>
        <w:t>[40]</w:t>
      </w:r>
      <w:r w:rsidRPr="0045429A">
        <w:rPr>
          <w:rFonts w:ascii="Book Antiqua" w:hAnsi="Book Antiqua"/>
          <w:sz w:val="24"/>
          <w:szCs w:val="24"/>
          <w:lang w:val="en-US"/>
        </w:rPr>
        <w:t xml:space="preserve">. Nevertheless, rescue therapy with </w:t>
      </w:r>
      <w:r w:rsidR="00665340" w:rsidRPr="0045429A">
        <w:rPr>
          <w:rFonts w:ascii="Book Antiqua" w:hAnsi="Book Antiqua"/>
          <w:sz w:val="24"/>
          <w:szCs w:val="24"/>
          <w:lang w:val="en-US"/>
        </w:rPr>
        <w:t>ADV</w:t>
      </w:r>
      <w:r w:rsidRPr="0045429A">
        <w:rPr>
          <w:rFonts w:ascii="Book Antiqua" w:hAnsi="Book Antiqua"/>
          <w:sz w:val="24"/>
          <w:szCs w:val="24"/>
          <w:lang w:val="en-US"/>
        </w:rPr>
        <w:t xml:space="preserve"> resulted in significantly better viral suppression and liver biochemistry compared with continuation of </w:t>
      </w:r>
      <w:r w:rsidR="00665340" w:rsidRPr="0045429A">
        <w:rPr>
          <w:rFonts w:ascii="Book Antiqua" w:hAnsi="Book Antiqua"/>
          <w:sz w:val="24"/>
          <w:szCs w:val="24"/>
          <w:lang w:val="en-US"/>
        </w:rPr>
        <w:t>LAM</w:t>
      </w:r>
      <w:r w:rsidRPr="0045429A">
        <w:rPr>
          <w:rFonts w:ascii="Book Antiqua" w:hAnsi="Book Antiqua"/>
          <w:sz w:val="24"/>
          <w:szCs w:val="24"/>
          <w:lang w:val="en-US"/>
        </w:rPr>
        <w:t xml:space="preserve"> (75% </w:t>
      </w:r>
      <w:r w:rsidRPr="0045429A">
        <w:rPr>
          <w:rFonts w:ascii="Book Antiqua" w:hAnsi="Book Antiqua"/>
          <w:i/>
          <w:iCs/>
          <w:sz w:val="24"/>
          <w:szCs w:val="24"/>
          <w:lang w:val="en-US"/>
        </w:rPr>
        <w:t>vs</w:t>
      </w:r>
      <w:r w:rsidR="00665340" w:rsidRPr="0045429A">
        <w:rPr>
          <w:rFonts w:ascii="Book Antiqua" w:hAnsi="Book Antiqua"/>
          <w:i/>
          <w:iCs/>
          <w:sz w:val="24"/>
          <w:szCs w:val="24"/>
          <w:lang w:val="en-US"/>
        </w:rPr>
        <w:t>.</w:t>
      </w:r>
      <w:r w:rsidRPr="0045429A">
        <w:rPr>
          <w:rFonts w:ascii="Book Antiqua" w:hAnsi="Book Antiqua"/>
          <w:i/>
          <w:iCs/>
          <w:sz w:val="24"/>
          <w:szCs w:val="24"/>
          <w:lang w:val="en-US"/>
        </w:rPr>
        <w:t xml:space="preserve"> </w:t>
      </w:r>
      <w:r w:rsidRPr="0045429A">
        <w:rPr>
          <w:rFonts w:ascii="Book Antiqua" w:hAnsi="Book Antiqua"/>
          <w:sz w:val="24"/>
          <w:szCs w:val="24"/>
          <w:lang w:val="en-US"/>
        </w:rPr>
        <w:t xml:space="preserve">14.3% had persistent normalization of ALT), and the clinical response was sustained for at least 24 </w:t>
      </w:r>
      <w:r w:rsidRPr="0045429A">
        <w:rPr>
          <w:rFonts w:ascii="Book Antiqua" w:hAnsi="Book Antiqua"/>
          <w:sz w:val="24"/>
          <w:szCs w:val="24"/>
          <w:highlight w:val="green"/>
          <w:lang w:val="en-US"/>
        </w:rPr>
        <w:t>mo</w:t>
      </w:r>
      <w:r w:rsidR="00FC79F6" w:rsidRPr="0045429A">
        <w:rPr>
          <w:rFonts w:ascii="Book Antiqua" w:hAnsi="Book Antiqua"/>
          <w:sz w:val="24"/>
          <w:szCs w:val="24"/>
          <w:highlight w:val="green"/>
          <w:lang w:val="en-US"/>
        </w:rPr>
        <w:t>nths</w:t>
      </w:r>
      <w:r w:rsidRPr="0045429A">
        <w:rPr>
          <w:rFonts w:ascii="Book Antiqua" w:hAnsi="Book Antiqua"/>
          <w:sz w:val="24"/>
          <w:szCs w:val="24"/>
          <w:lang w:val="en-US"/>
        </w:rPr>
        <w:t xml:space="preserve"> </w:t>
      </w:r>
      <w:r w:rsidRPr="0045429A">
        <w:rPr>
          <w:rFonts w:ascii="Book Antiqua" w:hAnsi="Book Antiqua"/>
          <w:sz w:val="24"/>
          <w:szCs w:val="24"/>
          <w:vertAlign w:val="superscript"/>
          <w:lang w:val="en-US"/>
        </w:rPr>
        <w:t>[31]</w:t>
      </w:r>
      <w:r w:rsidRPr="0045429A">
        <w:rPr>
          <w:rFonts w:ascii="Book Antiqua" w:hAnsi="Book Antiqua"/>
          <w:sz w:val="24"/>
          <w:szCs w:val="24"/>
          <w:lang w:val="en-US"/>
        </w:rPr>
        <w:t>. Evidence of nephrotoxicity</w:t>
      </w:r>
      <w:r w:rsidR="00665340" w:rsidRPr="0045429A">
        <w:rPr>
          <w:rFonts w:ascii="Book Antiqua" w:hAnsi="Book Antiqua"/>
          <w:sz w:val="24"/>
          <w:szCs w:val="24"/>
          <w:lang w:val="en-US"/>
        </w:rPr>
        <w:t xml:space="preserve"> in the absence of proximal tubulopathy,</w:t>
      </w:r>
      <w:r w:rsidRPr="0045429A">
        <w:rPr>
          <w:rFonts w:ascii="Book Antiqua" w:hAnsi="Book Antiqua"/>
          <w:sz w:val="24"/>
          <w:szCs w:val="24"/>
          <w:lang w:val="en-US"/>
        </w:rPr>
        <w:t xml:space="preserve"> </w:t>
      </w:r>
      <w:r w:rsidR="00665340" w:rsidRPr="0045429A">
        <w:rPr>
          <w:rFonts w:ascii="Book Antiqua" w:hAnsi="Book Antiqua"/>
          <w:sz w:val="24"/>
          <w:szCs w:val="24"/>
          <w:lang w:val="en-US"/>
        </w:rPr>
        <w:t xml:space="preserve">despite dosage adjustment, </w:t>
      </w:r>
      <w:r w:rsidRPr="0045429A">
        <w:rPr>
          <w:rFonts w:ascii="Book Antiqua" w:hAnsi="Book Antiqua"/>
          <w:sz w:val="24"/>
          <w:szCs w:val="24"/>
          <w:lang w:val="en-US"/>
        </w:rPr>
        <w:t xml:space="preserve">was </w:t>
      </w:r>
      <w:r w:rsidR="00665340" w:rsidRPr="0045429A">
        <w:rPr>
          <w:rFonts w:ascii="Book Antiqua" w:hAnsi="Book Antiqua"/>
          <w:sz w:val="24"/>
          <w:szCs w:val="24"/>
          <w:lang w:val="en-US"/>
        </w:rPr>
        <w:t xml:space="preserve">frequently </w:t>
      </w:r>
      <w:r w:rsidRPr="0045429A">
        <w:rPr>
          <w:rFonts w:ascii="Book Antiqua" w:hAnsi="Book Antiqua"/>
          <w:sz w:val="24"/>
          <w:szCs w:val="24"/>
          <w:lang w:val="en-US"/>
        </w:rPr>
        <w:t xml:space="preserve">observed, and could necessitate treatment discontinuation </w:t>
      </w:r>
      <w:r w:rsidRPr="0045429A">
        <w:rPr>
          <w:rFonts w:ascii="Book Antiqua" w:hAnsi="Book Antiqua"/>
          <w:sz w:val="24"/>
          <w:szCs w:val="24"/>
          <w:vertAlign w:val="superscript"/>
          <w:lang w:val="en-US"/>
        </w:rPr>
        <w:t>[38,39]</w:t>
      </w:r>
      <w:r w:rsidRPr="0045429A">
        <w:rPr>
          <w:rFonts w:ascii="Book Antiqua" w:hAnsi="Book Antiqua"/>
          <w:sz w:val="24"/>
          <w:szCs w:val="24"/>
          <w:lang w:val="en-US"/>
        </w:rPr>
        <w:t>.</w:t>
      </w:r>
      <w:r w:rsidR="00665340" w:rsidRPr="0045429A">
        <w:rPr>
          <w:rFonts w:ascii="Book Antiqua" w:hAnsi="Book Antiqua"/>
          <w:sz w:val="24"/>
          <w:szCs w:val="24"/>
          <w:lang w:val="en-US"/>
        </w:rPr>
        <w:t xml:space="preserve"> ADV has a low antiviral potency at the currently approved dose and its efficacy could be further reduced with dose adjustment according to renal dysfunction. For these reasons ADV is not a first line option for naïve patients and its benefits for LAM-R may be less when compared with TDF.</w:t>
      </w:r>
    </w:p>
    <w:p w:rsidR="00665340" w:rsidRPr="0045429A" w:rsidRDefault="00665340"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There is currently no data on the use of telbivudine in renal transplant recipients but it would be worthwhile to explore the use of this agent in treatment-naïve kidney allograft recipients given its relatively low resistance rate, lack of nephrotoxicity, and the relatively lower cost compared with other nucleoside/tide analogues</w:t>
      </w:r>
      <w:r w:rsidR="003D2748" w:rsidRPr="0045429A">
        <w:rPr>
          <w:rFonts w:ascii="Book Antiqua" w:hAnsi="Book Antiqua"/>
          <w:sz w:val="24"/>
          <w:szCs w:val="24"/>
          <w:lang w:val="en-US"/>
        </w:rPr>
        <w:t xml:space="preserve"> </w:t>
      </w:r>
      <w:r w:rsidR="003D2748" w:rsidRPr="0045429A">
        <w:rPr>
          <w:rFonts w:ascii="Book Antiqua" w:hAnsi="Book Antiqua"/>
          <w:sz w:val="24"/>
          <w:szCs w:val="24"/>
          <w:vertAlign w:val="superscript"/>
          <w:lang w:val="en-US"/>
        </w:rPr>
        <w:t>[40]</w:t>
      </w:r>
      <w:r w:rsidR="003D2748" w:rsidRPr="0045429A">
        <w:rPr>
          <w:rFonts w:ascii="Book Antiqua" w:hAnsi="Book Antiqua"/>
          <w:sz w:val="24"/>
          <w:szCs w:val="24"/>
          <w:lang w:val="en-US"/>
        </w:rPr>
        <w:t>.</w:t>
      </w:r>
    </w:p>
    <w:p w:rsidR="00F72C32" w:rsidRPr="0045429A" w:rsidRDefault="0035405A"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lastRenderedPageBreak/>
        <w:t xml:space="preserve">Entecavir is one of the first line treatment options for HBV </w:t>
      </w:r>
      <w:r w:rsidRPr="0045429A">
        <w:rPr>
          <w:rFonts w:ascii="Book Antiqua" w:hAnsi="Book Antiqua"/>
          <w:sz w:val="24"/>
          <w:szCs w:val="24"/>
          <w:vertAlign w:val="superscript"/>
          <w:lang w:val="en-US"/>
        </w:rPr>
        <w:t>[9,10]</w:t>
      </w:r>
      <w:r w:rsidRPr="0045429A">
        <w:rPr>
          <w:rFonts w:ascii="Book Antiqua" w:hAnsi="Book Antiqua"/>
          <w:sz w:val="24"/>
          <w:szCs w:val="24"/>
          <w:lang w:val="en-US"/>
        </w:rPr>
        <w:t xml:space="preserve">. This drug has a high antiviral potency, a high genetic barrier for resistance and a good safety profile. </w:t>
      </w:r>
      <w:r w:rsidRPr="0045429A">
        <w:rPr>
          <w:rFonts w:ascii="Book Antiqua" w:hAnsi="Book Antiqua"/>
          <w:sz w:val="24"/>
          <w:szCs w:val="24"/>
          <w:highlight w:val="yellow"/>
          <w:lang w:val="en-US"/>
        </w:rPr>
        <w:t xml:space="preserve">It is very effective </w:t>
      </w:r>
      <w:r w:rsidR="00FC79F6" w:rsidRPr="0045429A">
        <w:rPr>
          <w:rFonts w:ascii="Book Antiqua" w:hAnsi="Book Antiqua"/>
          <w:sz w:val="24"/>
          <w:szCs w:val="24"/>
          <w:highlight w:val="yellow"/>
          <w:lang w:val="en-US"/>
        </w:rPr>
        <w:t xml:space="preserve">for </w:t>
      </w:r>
      <w:r w:rsidRPr="0045429A">
        <w:rPr>
          <w:rFonts w:ascii="Book Antiqua" w:hAnsi="Book Antiqua"/>
          <w:sz w:val="24"/>
          <w:szCs w:val="24"/>
          <w:highlight w:val="yellow"/>
          <w:lang w:val="en-US"/>
        </w:rPr>
        <w:t>treatment naïve</w:t>
      </w:r>
      <w:r w:rsidR="00FC79F6" w:rsidRPr="0045429A">
        <w:rPr>
          <w:rFonts w:ascii="Book Antiqua" w:hAnsi="Book Antiqua"/>
          <w:sz w:val="24"/>
          <w:szCs w:val="24"/>
          <w:highlight w:val="yellow"/>
          <w:lang w:val="en-US"/>
        </w:rPr>
        <w:t xml:space="preserve"> patients</w:t>
      </w:r>
      <w:r w:rsidRPr="0045429A">
        <w:rPr>
          <w:rFonts w:ascii="Book Antiqua" w:hAnsi="Book Antiqua"/>
          <w:sz w:val="24"/>
          <w:szCs w:val="24"/>
          <w:highlight w:val="yellow"/>
          <w:lang w:val="en-US"/>
        </w:rPr>
        <w:t xml:space="preserve"> </w:t>
      </w:r>
      <w:r w:rsidR="00FC79F6" w:rsidRPr="0045429A">
        <w:rPr>
          <w:rFonts w:ascii="Book Antiqua" w:hAnsi="Book Antiqua"/>
          <w:sz w:val="24"/>
          <w:szCs w:val="24"/>
          <w:highlight w:val="yellow"/>
          <w:lang w:val="en-US"/>
        </w:rPr>
        <w:t>but</w:t>
      </w:r>
      <w:r w:rsidRPr="0045429A">
        <w:rPr>
          <w:rFonts w:ascii="Book Antiqua" w:hAnsi="Book Antiqua"/>
          <w:sz w:val="24"/>
          <w:szCs w:val="24"/>
          <w:highlight w:val="yellow"/>
          <w:lang w:val="en-US"/>
        </w:rPr>
        <w:t xml:space="preserve"> has a lower efficacy for LAM-R</w:t>
      </w:r>
      <w:r w:rsidR="00FC79F6" w:rsidRPr="0045429A">
        <w:rPr>
          <w:rFonts w:ascii="Book Antiqua" w:hAnsi="Book Antiqua"/>
          <w:sz w:val="24"/>
          <w:szCs w:val="24"/>
          <w:highlight w:val="yellow"/>
          <w:lang w:val="en-US"/>
        </w:rPr>
        <w:t xml:space="preserve"> patients</w:t>
      </w:r>
      <w:r w:rsidRPr="0045429A">
        <w:rPr>
          <w:rFonts w:ascii="Book Antiqua" w:hAnsi="Book Antiqua"/>
          <w:sz w:val="24"/>
          <w:szCs w:val="24"/>
          <w:lang w:val="en-US"/>
        </w:rPr>
        <w:t xml:space="preserve">, and it is not the first option for this latter population </w:t>
      </w:r>
      <w:r w:rsidRPr="0045429A">
        <w:rPr>
          <w:rFonts w:ascii="Book Antiqua" w:hAnsi="Book Antiqua"/>
          <w:sz w:val="24"/>
          <w:szCs w:val="24"/>
          <w:vertAlign w:val="superscript"/>
          <w:lang w:val="en-US"/>
        </w:rPr>
        <w:t>[9,10,15]</w:t>
      </w:r>
      <w:r w:rsidRPr="0045429A">
        <w:rPr>
          <w:rFonts w:ascii="Book Antiqua" w:hAnsi="Book Antiqua"/>
          <w:sz w:val="24"/>
          <w:szCs w:val="24"/>
          <w:lang w:val="en-US"/>
        </w:rPr>
        <w:t xml:space="preserve">. </w:t>
      </w:r>
      <w:r w:rsidR="00B3378C" w:rsidRPr="0045429A">
        <w:rPr>
          <w:rFonts w:ascii="Book Antiqua" w:hAnsi="Book Antiqua"/>
          <w:sz w:val="24"/>
          <w:szCs w:val="24"/>
          <w:lang w:val="en-US"/>
        </w:rPr>
        <w:t xml:space="preserve">A recent 2-year prospective study </w:t>
      </w:r>
      <w:r w:rsidR="00F72C32" w:rsidRPr="0045429A">
        <w:rPr>
          <w:rFonts w:ascii="Book Antiqua" w:hAnsi="Book Antiqua"/>
          <w:sz w:val="24"/>
          <w:szCs w:val="24"/>
          <w:lang w:val="en-US"/>
        </w:rPr>
        <w:t xml:space="preserve">included 27 RT patients, 18 (67%) were NUC </w:t>
      </w:r>
      <w:r w:rsidR="001C75B9" w:rsidRPr="0045429A">
        <w:rPr>
          <w:rFonts w:ascii="Book Antiqua" w:hAnsi="Book Antiqua"/>
          <w:sz w:val="24"/>
          <w:szCs w:val="24"/>
          <w:lang w:val="en-US"/>
        </w:rPr>
        <w:t>naïve</w:t>
      </w:r>
      <w:r w:rsidR="00F72C32" w:rsidRPr="0045429A">
        <w:rPr>
          <w:rFonts w:ascii="Book Antiqua" w:hAnsi="Book Antiqua"/>
          <w:sz w:val="24"/>
          <w:szCs w:val="24"/>
          <w:lang w:val="en-US"/>
        </w:rPr>
        <w:t xml:space="preserve"> and 9 (33%) were LAM experienced patients without YMDD mutations. </w:t>
      </w:r>
      <w:r w:rsidR="00B3378C" w:rsidRPr="0045429A">
        <w:rPr>
          <w:rFonts w:ascii="Book Antiqua" w:hAnsi="Book Antiqua"/>
          <w:sz w:val="24"/>
          <w:szCs w:val="24"/>
          <w:lang w:val="en-US"/>
        </w:rPr>
        <w:t>ETV resulted in undetectable HBV DNA levels in 70%, 74%, 96% and 100% of patients after 12, 24, 52 and 104 w</w:t>
      </w:r>
      <w:r w:rsidR="00F72C32" w:rsidRPr="0045429A">
        <w:rPr>
          <w:rFonts w:ascii="Book Antiqua" w:hAnsi="Book Antiqua"/>
          <w:sz w:val="24"/>
          <w:szCs w:val="24"/>
          <w:lang w:val="en-US"/>
        </w:rPr>
        <w:t>ee</w:t>
      </w:r>
      <w:r w:rsidR="00B3378C" w:rsidRPr="0045429A">
        <w:rPr>
          <w:rFonts w:ascii="Book Antiqua" w:hAnsi="Book Antiqua"/>
          <w:sz w:val="24"/>
          <w:szCs w:val="24"/>
          <w:lang w:val="en-US"/>
        </w:rPr>
        <w:t>k</w:t>
      </w:r>
      <w:r w:rsidR="00F72C32" w:rsidRPr="0045429A">
        <w:rPr>
          <w:rFonts w:ascii="Book Antiqua" w:hAnsi="Book Antiqua"/>
          <w:sz w:val="24"/>
          <w:szCs w:val="24"/>
          <w:lang w:val="en-US"/>
        </w:rPr>
        <w:t>s</w:t>
      </w:r>
      <w:r w:rsidR="00B3378C" w:rsidRPr="0045429A">
        <w:rPr>
          <w:rFonts w:ascii="Book Antiqua" w:hAnsi="Book Antiqua"/>
          <w:sz w:val="24"/>
          <w:szCs w:val="24"/>
          <w:lang w:val="en-US"/>
        </w:rPr>
        <w:t xml:space="preserve"> respectively </w:t>
      </w:r>
      <w:r w:rsidR="00B3378C" w:rsidRPr="0045429A">
        <w:rPr>
          <w:rFonts w:ascii="Book Antiqua" w:hAnsi="Book Antiqua"/>
          <w:sz w:val="24"/>
          <w:szCs w:val="24"/>
          <w:vertAlign w:val="superscript"/>
          <w:lang w:val="en-US"/>
        </w:rPr>
        <w:t>[41]</w:t>
      </w:r>
      <w:r w:rsidR="00B3378C" w:rsidRPr="0045429A">
        <w:rPr>
          <w:rFonts w:ascii="Book Antiqua" w:hAnsi="Book Antiqua"/>
          <w:sz w:val="24"/>
          <w:szCs w:val="24"/>
          <w:lang w:val="en-US"/>
        </w:rPr>
        <w:t xml:space="preserve">. </w:t>
      </w:r>
      <w:r w:rsidR="00F72C32" w:rsidRPr="0045429A">
        <w:rPr>
          <w:rFonts w:ascii="Book Antiqua" w:hAnsi="Book Antiqua"/>
          <w:sz w:val="24"/>
          <w:szCs w:val="24"/>
          <w:lang w:val="en-US"/>
        </w:rPr>
        <w:t>There was no change of glomerular filtration rate, and no lactic acidosis or myopathy during treatment. ETV treated patients presented higher rates of undetectable HBV DNA than LAM treated (32%, 37%, 63% and 63% at 12, 24, 52 and 104 weeks, respectively; P&lt;0.005)</w:t>
      </w:r>
      <w:r w:rsidR="00F72C32" w:rsidRPr="0045429A">
        <w:rPr>
          <w:rFonts w:ascii="Book Antiqua" w:hAnsi="Book Antiqua"/>
          <w:sz w:val="24"/>
          <w:szCs w:val="24"/>
          <w:vertAlign w:val="superscript"/>
          <w:lang w:val="en-US"/>
        </w:rPr>
        <w:t xml:space="preserve"> [41]</w:t>
      </w:r>
      <w:r w:rsidR="00F72C32" w:rsidRPr="0045429A">
        <w:rPr>
          <w:rFonts w:ascii="Book Antiqua" w:hAnsi="Book Antiqua"/>
          <w:sz w:val="24"/>
          <w:szCs w:val="24"/>
          <w:lang w:val="en-US"/>
        </w:rPr>
        <w:t xml:space="preserve">. In an analysis excluding 9 patients from the ETV group who were also LAM experienced, the remaining 18 ETV </w:t>
      </w:r>
      <w:r w:rsidR="001C75B9" w:rsidRPr="0045429A">
        <w:rPr>
          <w:rFonts w:ascii="Book Antiqua" w:hAnsi="Book Antiqua"/>
          <w:sz w:val="24"/>
          <w:szCs w:val="24"/>
          <w:lang w:val="en-US"/>
        </w:rPr>
        <w:t>naïve</w:t>
      </w:r>
      <w:r w:rsidR="00F72C32" w:rsidRPr="0045429A">
        <w:rPr>
          <w:rFonts w:ascii="Book Antiqua" w:hAnsi="Book Antiqua"/>
          <w:sz w:val="24"/>
          <w:szCs w:val="24"/>
          <w:lang w:val="en-US"/>
        </w:rPr>
        <w:t xml:space="preserve"> subjects exhibited a better virological response at 52 and 104 weeks than 19 previously treated with LAM (P&lt;0.05)</w:t>
      </w:r>
      <w:r w:rsidR="00F72C32" w:rsidRPr="0045429A">
        <w:rPr>
          <w:rFonts w:ascii="Book Antiqua" w:hAnsi="Book Antiqua"/>
          <w:sz w:val="24"/>
          <w:szCs w:val="24"/>
          <w:vertAlign w:val="superscript"/>
          <w:lang w:val="en-US"/>
        </w:rPr>
        <w:t xml:space="preserve"> [41]</w:t>
      </w:r>
      <w:r w:rsidR="00F72C32" w:rsidRPr="0045429A">
        <w:rPr>
          <w:rFonts w:ascii="Book Antiqua" w:hAnsi="Book Antiqua"/>
          <w:sz w:val="24"/>
          <w:szCs w:val="24"/>
          <w:lang w:val="en-US"/>
        </w:rPr>
        <w:t xml:space="preserve">. </w:t>
      </w:r>
    </w:p>
    <w:p w:rsidR="00B3378C" w:rsidRPr="0045429A" w:rsidRDefault="001C75B9"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 xml:space="preserve">Other studies reported results with ETV in cohorts including both naïve and LAM-R patients, unfortunately with limited number of patient </w:t>
      </w:r>
      <w:r w:rsidRPr="0045429A">
        <w:rPr>
          <w:rFonts w:ascii="Book Antiqua" w:hAnsi="Book Antiqua"/>
          <w:sz w:val="24"/>
          <w:szCs w:val="24"/>
          <w:vertAlign w:val="superscript"/>
          <w:lang w:val="en-US"/>
        </w:rPr>
        <w:t>[42-45]</w:t>
      </w:r>
      <w:r w:rsidRPr="0045429A">
        <w:rPr>
          <w:rFonts w:ascii="Book Antiqua" w:hAnsi="Book Antiqua"/>
          <w:sz w:val="24"/>
          <w:szCs w:val="24"/>
          <w:lang w:val="en-US"/>
        </w:rPr>
        <w:t xml:space="preserve">. </w:t>
      </w:r>
      <w:r w:rsidR="00B3378C" w:rsidRPr="0045429A">
        <w:rPr>
          <w:rFonts w:ascii="Book Antiqua" w:hAnsi="Book Antiqua"/>
          <w:sz w:val="24"/>
          <w:szCs w:val="24"/>
          <w:lang w:val="en-US"/>
        </w:rPr>
        <w:t xml:space="preserve">Experience regarding the use of </w:t>
      </w:r>
      <w:r w:rsidR="009F7823" w:rsidRPr="0045429A">
        <w:rPr>
          <w:rFonts w:ascii="Book Antiqua" w:hAnsi="Book Antiqua"/>
          <w:sz w:val="24"/>
          <w:szCs w:val="24"/>
          <w:lang w:val="en-US"/>
        </w:rPr>
        <w:t>ETV</w:t>
      </w:r>
      <w:r w:rsidR="00B3378C" w:rsidRPr="0045429A">
        <w:rPr>
          <w:rFonts w:ascii="Book Antiqua" w:hAnsi="Book Antiqua"/>
          <w:sz w:val="24"/>
          <w:szCs w:val="24"/>
          <w:lang w:val="en-US"/>
        </w:rPr>
        <w:t xml:space="preserve"> in </w:t>
      </w:r>
      <w:r w:rsidR="009F7823" w:rsidRPr="0045429A">
        <w:rPr>
          <w:rFonts w:ascii="Book Antiqua" w:hAnsi="Book Antiqua"/>
          <w:sz w:val="24"/>
          <w:szCs w:val="24"/>
          <w:lang w:val="en-US"/>
        </w:rPr>
        <w:t>RT</w:t>
      </w:r>
      <w:r w:rsidR="00B3378C" w:rsidRPr="0045429A">
        <w:rPr>
          <w:rFonts w:ascii="Book Antiqua" w:hAnsi="Book Antiqua"/>
          <w:sz w:val="24"/>
          <w:szCs w:val="24"/>
          <w:lang w:val="en-US"/>
        </w:rPr>
        <w:t xml:space="preserve"> recipients who had developed </w:t>
      </w:r>
      <w:r w:rsidR="009F7823" w:rsidRPr="0045429A">
        <w:rPr>
          <w:rFonts w:ascii="Book Antiqua" w:hAnsi="Book Antiqua"/>
          <w:sz w:val="24"/>
          <w:szCs w:val="24"/>
          <w:lang w:val="en-US"/>
        </w:rPr>
        <w:t>LAM</w:t>
      </w:r>
      <w:r w:rsidR="00B3378C" w:rsidRPr="0045429A">
        <w:rPr>
          <w:rFonts w:ascii="Book Antiqua" w:hAnsi="Book Antiqua"/>
          <w:sz w:val="24"/>
          <w:szCs w:val="24"/>
          <w:lang w:val="en-US"/>
        </w:rPr>
        <w:t xml:space="preserve">- or </w:t>
      </w:r>
      <w:r w:rsidR="009F7823" w:rsidRPr="0045429A">
        <w:rPr>
          <w:rFonts w:ascii="Book Antiqua" w:hAnsi="Book Antiqua"/>
          <w:sz w:val="24"/>
          <w:szCs w:val="24"/>
          <w:lang w:val="en-US"/>
        </w:rPr>
        <w:t>ADV</w:t>
      </w:r>
      <w:r w:rsidR="00B3378C" w:rsidRPr="0045429A">
        <w:rPr>
          <w:rFonts w:ascii="Book Antiqua" w:hAnsi="Book Antiqua"/>
          <w:sz w:val="24"/>
          <w:szCs w:val="24"/>
          <w:lang w:val="en-US"/>
        </w:rPr>
        <w:t xml:space="preserve">-resistance had been examined in a small study with 10 solid organ transplant recipients (8 </w:t>
      </w:r>
      <w:r w:rsidR="009F7823" w:rsidRPr="0045429A">
        <w:rPr>
          <w:rFonts w:ascii="Book Antiqua" w:hAnsi="Book Antiqua"/>
          <w:sz w:val="24"/>
          <w:szCs w:val="24"/>
          <w:lang w:val="en-US"/>
        </w:rPr>
        <w:t>kidney</w:t>
      </w:r>
      <w:r w:rsidR="00B3378C" w:rsidRPr="0045429A">
        <w:rPr>
          <w:rFonts w:ascii="Book Antiqua" w:hAnsi="Book Antiqua"/>
          <w:sz w:val="24"/>
          <w:szCs w:val="24"/>
          <w:lang w:val="en-US"/>
        </w:rPr>
        <w:t xml:space="preserve"> allograft recipients)</w:t>
      </w:r>
      <w:r w:rsidRPr="0045429A">
        <w:rPr>
          <w:rFonts w:ascii="Book Antiqua" w:hAnsi="Book Antiqua"/>
          <w:sz w:val="24"/>
          <w:szCs w:val="24"/>
          <w:lang w:val="en-US"/>
        </w:rPr>
        <w:t xml:space="preserve"> </w:t>
      </w:r>
      <w:r w:rsidR="00B3378C" w:rsidRPr="0045429A">
        <w:rPr>
          <w:rFonts w:ascii="Book Antiqua" w:hAnsi="Book Antiqua"/>
          <w:sz w:val="24"/>
          <w:szCs w:val="24"/>
          <w:vertAlign w:val="superscript"/>
          <w:lang w:val="en-US"/>
        </w:rPr>
        <w:t>[4</w:t>
      </w:r>
      <w:r w:rsidRPr="0045429A">
        <w:rPr>
          <w:rFonts w:ascii="Book Antiqua" w:hAnsi="Book Antiqua"/>
          <w:sz w:val="24"/>
          <w:szCs w:val="24"/>
          <w:vertAlign w:val="superscript"/>
          <w:lang w:val="en-US"/>
        </w:rPr>
        <w:t>2</w:t>
      </w:r>
      <w:r w:rsidR="00B3378C" w:rsidRPr="0045429A">
        <w:rPr>
          <w:rFonts w:ascii="Book Antiqua" w:hAnsi="Book Antiqua"/>
          <w:sz w:val="24"/>
          <w:szCs w:val="24"/>
          <w:vertAlign w:val="superscript"/>
          <w:lang w:val="en-US"/>
        </w:rPr>
        <w:t>]</w:t>
      </w:r>
      <w:r w:rsidR="00B3378C" w:rsidRPr="0045429A">
        <w:rPr>
          <w:rFonts w:ascii="Book Antiqua" w:hAnsi="Book Antiqua"/>
          <w:sz w:val="24"/>
          <w:szCs w:val="24"/>
          <w:lang w:val="en-US"/>
        </w:rPr>
        <w:t xml:space="preserve">. Treatment with </w:t>
      </w:r>
      <w:r w:rsidR="009F7823" w:rsidRPr="0045429A">
        <w:rPr>
          <w:rFonts w:ascii="Book Antiqua" w:hAnsi="Book Antiqua"/>
          <w:sz w:val="24"/>
          <w:szCs w:val="24"/>
          <w:lang w:val="en-US"/>
        </w:rPr>
        <w:t>ETV</w:t>
      </w:r>
      <w:r w:rsidR="00B3378C" w:rsidRPr="0045429A">
        <w:rPr>
          <w:rFonts w:ascii="Book Antiqua" w:hAnsi="Book Antiqua"/>
          <w:sz w:val="24"/>
          <w:szCs w:val="24"/>
          <w:lang w:val="en-US"/>
        </w:rPr>
        <w:t xml:space="preserve"> resulted in an appreciable drop in HBV DNA levels and a 50% HBV undetectability in </w:t>
      </w:r>
      <w:r w:rsidR="009F7823" w:rsidRPr="0045429A">
        <w:rPr>
          <w:rFonts w:ascii="Book Antiqua" w:hAnsi="Book Antiqua"/>
          <w:sz w:val="24"/>
          <w:szCs w:val="24"/>
          <w:lang w:val="en-US"/>
        </w:rPr>
        <w:t xml:space="preserve">both HBeAg positive and HBeAg </w:t>
      </w:r>
      <w:r w:rsidR="00B3378C" w:rsidRPr="0045429A">
        <w:rPr>
          <w:rFonts w:ascii="Book Antiqua" w:hAnsi="Book Antiqua"/>
          <w:sz w:val="24"/>
          <w:szCs w:val="24"/>
          <w:lang w:val="en-US"/>
        </w:rPr>
        <w:t>negative patients after 16.5 mo</w:t>
      </w:r>
      <w:r w:rsidR="009F7823" w:rsidRPr="0045429A">
        <w:rPr>
          <w:rFonts w:ascii="Book Antiqua" w:hAnsi="Book Antiqua"/>
          <w:sz w:val="24"/>
          <w:szCs w:val="24"/>
          <w:lang w:val="en-US"/>
        </w:rPr>
        <w:t>nths</w:t>
      </w:r>
      <w:r w:rsidR="00B3378C" w:rsidRPr="0045429A">
        <w:rPr>
          <w:rFonts w:ascii="Book Antiqua" w:hAnsi="Book Antiqua"/>
          <w:sz w:val="24"/>
          <w:szCs w:val="24"/>
          <w:lang w:val="en-US"/>
        </w:rPr>
        <w:t xml:space="preserve"> of therapy</w:t>
      </w:r>
      <w:r w:rsidR="009F7823" w:rsidRPr="0045429A">
        <w:rPr>
          <w:rFonts w:ascii="Book Antiqua" w:hAnsi="Book Antiqua"/>
          <w:sz w:val="24"/>
          <w:szCs w:val="24"/>
          <w:lang w:val="en-US"/>
        </w:rPr>
        <w:t xml:space="preserve"> without significant changes in renal function </w:t>
      </w:r>
      <w:r w:rsidR="009F7823" w:rsidRPr="0045429A">
        <w:rPr>
          <w:rFonts w:ascii="Book Antiqua" w:hAnsi="Book Antiqua"/>
          <w:sz w:val="24"/>
          <w:szCs w:val="24"/>
          <w:vertAlign w:val="superscript"/>
          <w:lang w:val="en-US"/>
        </w:rPr>
        <w:t>[42]</w:t>
      </w:r>
      <w:r w:rsidR="009F7823" w:rsidRPr="0045429A">
        <w:rPr>
          <w:rFonts w:ascii="Book Antiqua" w:hAnsi="Book Antiqua"/>
          <w:sz w:val="24"/>
          <w:szCs w:val="24"/>
          <w:lang w:val="en-US"/>
        </w:rPr>
        <w:t xml:space="preserve">. In our small experience </w:t>
      </w:r>
      <w:r w:rsidR="006F2A6F" w:rsidRPr="0045429A">
        <w:rPr>
          <w:rFonts w:ascii="Book Antiqua" w:hAnsi="Book Antiqua"/>
          <w:sz w:val="24"/>
          <w:szCs w:val="24"/>
          <w:lang w:val="en-US"/>
        </w:rPr>
        <w:t xml:space="preserve">we reported ETV use in 11 patients with several chronic renal diseases: 1 with stage 4 CKD, 7 undergoing hemodialysis, and 3 RT recipients </w:t>
      </w:r>
      <w:r w:rsidR="006F2A6F" w:rsidRPr="0045429A">
        <w:rPr>
          <w:rFonts w:ascii="Book Antiqua" w:hAnsi="Book Antiqua"/>
          <w:sz w:val="24"/>
          <w:szCs w:val="24"/>
          <w:vertAlign w:val="superscript"/>
          <w:lang w:val="en-US"/>
        </w:rPr>
        <w:t>[43,44]</w:t>
      </w:r>
      <w:r w:rsidR="006F2A6F" w:rsidRPr="0045429A">
        <w:rPr>
          <w:rFonts w:ascii="Book Antiqua" w:hAnsi="Book Antiqua"/>
          <w:sz w:val="24"/>
          <w:szCs w:val="24"/>
          <w:lang w:val="en-US"/>
        </w:rPr>
        <w:t xml:space="preserve">. The rate of HBV DNA clearance was 54.5% (n = 6); the rate of antiHBe seroconversion was 77.7% (7/9 HBeAg-positive patients). The rate of antiHBs seroconversion was 9.1% (1/11 patients). There were no significant changes in renal function or hematological parameters </w:t>
      </w:r>
      <w:r w:rsidR="006F2A6F" w:rsidRPr="0045429A">
        <w:rPr>
          <w:rFonts w:ascii="Book Antiqua" w:hAnsi="Book Antiqua"/>
          <w:sz w:val="24"/>
          <w:szCs w:val="24"/>
          <w:vertAlign w:val="superscript"/>
          <w:lang w:val="en-US"/>
        </w:rPr>
        <w:t>[43,44]</w:t>
      </w:r>
      <w:r w:rsidR="006F2A6F" w:rsidRPr="0045429A">
        <w:rPr>
          <w:rFonts w:ascii="Book Antiqua" w:hAnsi="Book Antiqua"/>
          <w:sz w:val="24"/>
          <w:szCs w:val="24"/>
          <w:lang w:val="en-US"/>
        </w:rPr>
        <w:t xml:space="preserve">. In the most recent report, twenty-one RT patients (10 treatment </w:t>
      </w:r>
      <w:r w:rsidR="006F2A6F" w:rsidRPr="0045429A">
        <w:rPr>
          <w:rFonts w:ascii="Book Antiqua" w:hAnsi="Book Antiqua"/>
          <w:sz w:val="24"/>
          <w:szCs w:val="24"/>
          <w:lang w:val="en-US"/>
        </w:rPr>
        <w:lastRenderedPageBreak/>
        <w:t xml:space="preserve">naïve, 11 with LAM resistance) were treated with ETV for 34.7 ± 22.9 months (range 6-75 months) </w:t>
      </w:r>
      <w:r w:rsidR="006F2A6F" w:rsidRPr="0045429A">
        <w:rPr>
          <w:rFonts w:ascii="Book Antiqua" w:hAnsi="Book Antiqua"/>
          <w:sz w:val="24"/>
          <w:szCs w:val="24"/>
          <w:vertAlign w:val="superscript"/>
          <w:lang w:val="en-US"/>
        </w:rPr>
        <w:t>[45]</w:t>
      </w:r>
      <w:r w:rsidR="006F2A6F" w:rsidRPr="0045429A">
        <w:rPr>
          <w:rFonts w:ascii="Book Antiqua" w:hAnsi="Book Antiqua"/>
          <w:sz w:val="24"/>
          <w:szCs w:val="24"/>
          <w:lang w:val="en-US"/>
        </w:rPr>
        <w:t xml:space="preserve">. </w:t>
      </w:r>
      <w:r w:rsidR="00D82B63" w:rsidRPr="0045429A">
        <w:rPr>
          <w:rFonts w:ascii="Book Antiqua" w:hAnsi="Book Antiqua"/>
          <w:sz w:val="24"/>
          <w:szCs w:val="24"/>
          <w:lang w:val="en-US"/>
        </w:rPr>
        <w:t xml:space="preserve">The cumulative rate of HBV DNA undetectability at 12, 24, and 36 months was 60%, 100%, and 100% for treatment naïve group, and 27%, 45%, and 45% for LAM-R group, respectively. Genotypic resistance to ETV emerged after 20.0 ± 3.5 months with increase in ALT and HBV DNA in two patients with LAM resistance, but was not observed in the treatment-naïve group. There were no significant changes in renal function </w:t>
      </w:r>
      <w:r w:rsidR="00D82B63" w:rsidRPr="0045429A">
        <w:rPr>
          <w:rFonts w:ascii="Book Antiqua" w:hAnsi="Book Antiqua"/>
          <w:sz w:val="24"/>
          <w:szCs w:val="24"/>
          <w:vertAlign w:val="superscript"/>
          <w:lang w:val="en-US"/>
        </w:rPr>
        <w:t>[45]</w:t>
      </w:r>
      <w:r w:rsidR="00D82B63" w:rsidRPr="0045429A">
        <w:rPr>
          <w:rFonts w:ascii="Book Antiqua" w:hAnsi="Book Antiqua"/>
          <w:sz w:val="24"/>
          <w:szCs w:val="24"/>
          <w:lang w:val="en-US"/>
        </w:rPr>
        <w:t>.</w:t>
      </w:r>
      <w:r w:rsidR="00C90E6E" w:rsidRPr="0045429A">
        <w:rPr>
          <w:rFonts w:ascii="Book Antiqua" w:hAnsi="Book Antiqua"/>
          <w:sz w:val="24"/>
          <w:szCs w:val="24"/>
          <w:lang w:val="en-US"/>
        </w:rPr>
        <w:t xml:space="preserve"> Also, ETV was used in RT patients who developed hepatic flares duo to the appearance of LAM-R </w:t>
      </w:r>
      <w:r w:rsidR="00C90E6E" w:rsidRPr="0045429A">
        <w:rPr>
          <w:rFonts w:ascii="Book Antiqua" w:hAnsi="Book Antiqua"/>
          <w:sz w:val="24"/>
          <w:szCs w:val="24"/>
          <w:vertAlign w:val="superscript"/>
          <w:lang w:val="en-US"/>
        </w:rPr>
        <w:t>[46]</w:t>
      </w:r>
      <w:r w:rsidR="00C90E6E" w:rsidRPr="0045429A">
        <w:rPr>
          <w:rFonts w:ascii="Book Antiqua" w:hAnsi="Book Antiqua"/>
          <w:sz w:val="24"/>
          <w:szCs w:val="24"/>
          <w:lang w:val="en-US"/>
        </w:rPr>
        <w:t xml:space="preserve">. </w:t>
      </w:r>
      <w:r w:rsidR="00F41821" w:rsidRPr="0045429A">
        <w:rPr>
          <w:rFonts w:ascii="Book Antiqua" w:hAnsi="Book Antiqua"/>
          <w:sz w:val="24"/>
          <w:szCs w:val="24"/>
          <w:lang w:val="en-US"/>
        </w:rPr>
        <w:t>Four patients were treated with ADV and two with ETV. After 18 months, HBV DNA was &lt;10</w:t>
      </w:r>
      <w:r w:rsidR="00F41821" w:rsidRPr="0045429A">
        <w:rPr>
          <w:rFonts w:ascii="Book Antiqua" w:hAnsi="Book Antiqua"/>
          <w:sz w:val="24"/>
          <w:szCs w:val="24"/>
          <w:vertAlign w:val="superscript"/>
          <w:lang w:val="en-US"/>
        </w:rPr>
        <w:t>5</w:t>
      </w:r>
      <w:r w:rsidR="00F41821" w:rsidRPr="0045429A">
        <w:rPr>
          <w:rFonts w:ascii="Book Antiqua" w:hAnsi="Book Antiqua"/>
          <w:sz w:val="24"/>
          <w:szCs w:val="24"/>
          <w:lang w:val="en-US"/>
        </w:rPr>
        <w:t xml:space="preserve"> copies/mL in four patients and &lt;10</w:t>
      </w:r>
      <w:r w:rsidR="00F41821" w:rsidRPr="0045429A">
        <w:rPr>
          <w:rFonts w:ascii="Book Antiqua" w:hAnsi="Book Antiqua"/>
          <w:sz w:val="24"/>
          <w:szCs w:val="24"/>
          <w:vertAlign w:val="superscript"/>
          <w:lang w:val="en-US"/>
        </w:rPr>
        <w:t>2</w:t>
      </w:r>
      <w:r w:rsidR="00F41821" w:rsidRPr="0045429A">
        <w:rPr>
          <w:rFonts w:ascii="Book Antiqua" w:hAnsi="Book Antiqua"/>
          <w:sz w:val="24"/>
          <w:szCs w:val="24"/>
          <w:lang w:val="en-US"/>
        </w:rPr>
        <w:t xml:space="preserve"> copies/mL in one patient. Treatment was well-tolerated and renal function remained stable </w:t>
      </w:r>
      <w:r w:rsidR="00F41821" w:rsidRPr="0045429A">
        <w:rPr>
          <w:rFonts w:ascii="Book Antiqua" w:hAnsi="Book Antiqua"/>
          <w:sz w:val="24"/>
          <w:szCs w:val="24"/>
          <w:vertAlign w:val="superscript"/>
          <w:lang w:val="en-US"/>
        </w:rPr>
        <w:t>[46]</w:t>
      </w:r>
      <w:r w:rsidR="00F41821" w:rsidRPr="0045429A">
        <w:rPr>
          <w:rFonts w:ascii="Book Antiqua" w:hAnsi="Book Antiqua"/>
          <w:sz w:val="24"/>
          <w:szCs w:val="24"/>
          <w:lang w:val="en-US"/>
        </w:rPr>
        <w:t>. ETV appears as one of the best options for NUC naïve RT patients; it is less effective in LAM-R and better options are available.</w:t>
      </w:r>
    </w:p>
    <w:p w:rsidR="0074324F" w:rsidRPr="0045429A" w:rsidRDefault="00826ADF"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 xml:space="preserve">Tenofovir was the last NUC to be approved for HBV monoinfection and is the other first line option together with ETV </w:t>
      </w:r>
      <w:r w:rsidRPr="0045429A">
        <w:rPr>
          <w:rFonts w:ascii="Book Antiqua" w:hAnsi="Book Antiqua"/>
          <w:sz w:val="24"/>
          <w:szCs w:val="24"/>
          <w:vertAlign w:val="superscript"/>
          <w:lang w:val="en-US"/>
        </w:rPr>
        <w:t>[9,10,15]</w:t>
      </w:r>
      <w:r w:rsidRPr="0045429A">
        <w:rPr>
          <w:rFonts w:ascii="Book Antiqua" w:hAnsi="Book Antiqua"/>
          <w:sz w:val="24"/>
          <w:szCs w:val="24"/>
          <w:lang w:val="en-US"/>
        </w:rPr>
        <w:t xml:space="preserve">. It has a high antiviral potency, a high genetic barrier for resistance and a good safety profile </w:t>
      </w:r>
      <w:r w:rsidRPr="0045429A">
        <w:rPr>
          <w:rFonts w:ascii="Book Antiqua" w:hAnsi="Book Antiqua"/>
          <w:sz w:val="24"/>
          <w:szCs w:val="24"/>
          <w:vertAlign w:val="superscript"/>
          <w:lang w:val="en-US"/>
        </w:rPr>
        <w:t>[9,10,15]</w:t>
      </w:r>
      <w:r w:rsidRPr="0045429A">
        <w:rPr>
          <w:rFonts w:ascii="Book Antiqua" w:hAnsi="Book Antiqua"/>
          <w:sz w:val="24"/>
          <w:szCs w:val="24"/>
          <w:lang w:val="en-US"/>
        </w:rPr>
        <w:t xml:space="preserve">, but there is some concern about its potential nephrotoxicity </w:t>
      </w:r>
      <w:r w:rsidR="003B06E0" w:rsidRPr="0045429A">
        <w:rPr>
          <w:rFonts w:ascii="Book Antiqua" w:hAnsi="Book Antiqua"/>
          <w:sz w:val="24"/>
          <w:szCs w:val="24"/>
          <w:vertAlign w:val="superscript"/>
          <w:lang w:val="en-US"/>
        </w:rPr>
        <w:t>[47]</w:t>
      </w:r>
      <w:r w:rsidRPr="0045429A">
        <w:rPr>
          <w:rFonts w:ascii="Book Antiqua" w:hAnsi="Book Antiqua"/>
          <w:sz w:val="24"/>
          <w:szCs w:val="24"/>
          <w:lang w:val="en-US"/>
        </w:rPr>
        <w:t>.</w:t>
      </w:r>
      <w:r w:rsidR="003B06E0" w:rsidRPr="0045429A">
        <w:rPr>
          <w:rFonts w:ascii="Book Antiqua" w:hAnsi="Book Antiqua"/>
          <w:sz w:val="24"/>
          <w:szCs w:val="24"/>
          <w:lang w:val="en-US"/>
        </w:rPr>
        <w:t xml:space="preserve"> </w:t>
      </w:r>
      <w:r w:rsidR="007915C3" w:rsidRPr="0045429A">
        <w:rPr>
          <w:rFonts w:ascii="Book Antiqua" w:hAnsi="Book Antiqua"/>
          <w:sz w:val="24"/>
          <w:szCs w:val="24"/>
          <w:lang w:val="en-US"/>
        </w:rPr>
        <w:t xml:space="preserve">There is little data in the renal transplant setting: only one study reports the results of three RT treated patients together with three liver, and one cardiac transplant recipients </w:t>
      </w:r>
      <w:r w:rsidR="007915C3" w:rsidRPr="0045429A">
        <w:rPr>
          <w:rFonts w:ascii="Book Antiqua" w:hAnsi="Book Antiqua"/>
          <w:sz w:val="24"/>
          <w:szCs w:val="24"/>
          <w:vertAlign w:val="superscript"/>
          <w:lang w:val="en-US"/>
        </w:rPr>
        <w:t>[48]</w:t>
      </w:r>
      <w:r w:rsidR="007915C3" w:rsidRPr="0045429A">
        <w:rPr>
          <w:rFonts w:ascii="Book Antiqua" w:hAnsi="Book Antiqua"/>
          <w:sz w:val="24"/>
          <w:szCs w:val="24"/>
          <w:lang w:val="en-US"/>
        </w:rPr>
        <w:t xml:space="preserve">. </w:t>
      </w:r>
      <w:r w:rsidR="0074324F" w:rsidRPr="0045429A">
        <w:rPr>
          <w:rFonts w:ascii="Book Antiqua" w:hAnsi="Book Antiqua"/>
          <w:sz w:val="24"/>
          <w:szCs w:val="24"/>
          <w:lang w:val="en-US"/>
        </w:rPr>
        <w:t xml:space="preserve">HBV DNA viral became significantly decreased and three patients were HBV DNA negative </w:t>
      </w:r>
      <w:r w:rsidR="007915C3" w:rsidRPr="0045429A">
        <w:rPr>
          <w:rFonts w:ascii="Book Antiqua" w:hAnsi="Book Antiqua"/>
          <w:sz w:val="24"/>
          <w:szCs w:val="24"/>
          <w:lang w:val="en-US"/>
        </w:rPr>
        <w:t>at last follow-up</w:t>
      </w:r>
      <w:r w:rsidR="0074324F" w:rsidRPr="0045429A">
        <w:rPr>
          <w:rFonts w:ascii="Book Antiqua" w:hAnsi="Book Antiqua"/>
          <w:sz w:val="24"/>
          <w:szCs w:val="24"/>
          <w:lang w:val="en-US"/>
        </w:rPr>
        <w:t xml:space="preserve">. Clinical tolerance to tenofovir therapy was good. There were no occurrences of rejection during treatment. As far as renal function was concerned, there were no statistically significant changes in creatinine level, estimated creatinine clearance, serum phosphorus level, or daily microalbuminuria level </w:t>
      </w:r>
      <w:r w:rsidR="0074324F" w:rsidRPr="0045429A">
        <w:rPr>
          <w:rFonts w:ascii="Book Antiqua" w:hAnsi="Book Antiqua"/>
          <w:sz w:val="24"/>
          <w:szCs w:val="24"/>
          <w:vertAlign w:val="superscript"/>
          <w:lang w:val="en-US"/>
        </w:rPr>
        <w:t>[48]</w:t>
      </w:r>
      <w:r w:rsidR="0074324F" w:rsidRPr="0045429A">
        <w:rPr>
          <w:rFonts w:ascii="Book Antiqua" w:hAnsi="Book Antiqua"/>
          <w:sz w:val="24"/>
          <w:szCs w:val="24"/>
          <w:lang w:val="en-US"/>
        </w:rPr>
        <w:t xml:space="preserve">. </w:t>
      </w:r>
      <w:r w:rsidR="0045429A" w:rsidRPr="0045429A">
        <w:rPr>
          <w:rFonts w:ascii="Book Antiqua" w:hAnsi="Book Antiqua"/>
          <w:sz w:val="24"/>
          <w:szCs w:val="24"/>
          <w:highlight w:val="yellow"/>
          <w:lang w:val="en-US"/>
        </w:rPr>
        <w:t>TDF</w:t>
      </w:r>
      <w:r w:rsidR="0074324F" w:rsidRPr="0045429A">
        <w:rPr>
          <w:rFonts w:ascii="Book Antiqua" w:hAnsi="Book Antiqua"/>
          <w:sz w:val="24"/>
          <w:szCs w:val="24"/>
          <w:lang w:val="en-US"/>
        </w:rPr>
        <w:t xml:space="preserve"> appears as one of the best options for both NUC naïve and LAM-R RT patients; treatment results have to be extrapolated from the general population since there is little experience in RT. </w:t>
      </w:r>
    </w:p>
    <w:p w:rsidR="00696E00" w:rsidRPr="0045429A" w:rsidRDefault="00375683" w:rsidP="0045429A">
      <w:pPr>
        <w:spacing w:line="360" w:lineRule="auto"/>
        <w:jc w:val="both"/>
        <w:rPr>
          <w:rFonts w:ascii="Book Antiqua" w:hAnsi="Book Antiqua"/>
          <w:b/>
          <w:sz w:val="24"/>
          <w:szCs w:val="24"/>
          <w:lang w:val="en-US"/>
        </w:rPr>
      </w:pPr>
      <w:r w:rsidRPr="0045429A">
        <w:rPr>
          <w:rFonts w:ascii="Book Antiqua" w:hAnsi="Book Antiqua"/>
          <w:b/>
          <w:sz w:val="24"/>
          <w:szCs w:val="24"/>
          <w:lang w:val="en-US"/>
        </w:rPr>
        <w:lastRenderedPageBreak/>
        <w:t>TIMING OF INITIATION OF TREATMENT: PREEMPTIVE OR PROPHYLACTIC THERAPY</w:t>
      </w:r>
    </w:p>
    <w:p w:rsidR="00FC79F6" w:rsidRPr="0045429A" w:rsidRDefault="004F4DDA"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 xml:space="preserve">Patients with chronic renal disease go through different phases: varying stages of renal failure, ESRD, </w:t>
      </w:r>
      <w:r w:rsidR="00222865" w:rsidRPr="0045429A">
        <w:rPr>
          <w:rFonts w:ascii="Book Antiqua" w:hAnsi="Book Antiqua"/>
          <w:sz w:val="24"/>
          <w:szCs w:val="24"/>
          <w:lang w:val="en-US"/>
        </w:rPr>
        <w:t>hemo</w:t>
      </w:r>
      <w:r w:rsidRPr="0045429A">
        <w:rPr>
          <w:rFonts w:ascii="Book Antiqua" w:hAnsi="Book Antiqua"/>
          <w:sz w:val="24"/>
          <w:szCs w:val="24"/>
          <w:lang w:val="en-US"/>
        </w:rPr>
        <w:t>dialysis</w:t>
      </w:r>
      <w:r w:rsidR="00222865" w:rsidRPr="0045429A">
        <w:rPr>
          <w:rFonts w:ascii="Book Antiqua" w:hAnsi="Book Antiqua"/>
          <w:sz w:val="24"/>
          <w:szCs w:val="24"/>
          <w:lang w:val="en-US"/>
        </w:rPr>
        <w:t xml:space="preserve"> (HD)/peritoneal dialysis (PD),</w:t>
      </w:r>
      <w:r w:rsidRPr="0045429A">
        <w:rPr>
          <w:rFonts w:ascii="Book Antiqua" w:hAnsi="Book Antiqua"/>
          <w:sz w:val="24"/>
          <w:szCs w:val="24"/>
          <w:lang w:val="en-US"/>
        </w:rPr>
        <w:t xml:space="preserve"> and transplantation. Once transplanted could suffer various kidney disease and finally lose the graft and return to dialysis. HBV infection will go with the patient along the road. </w:t>
      </w:r>
      <w:r w:rsidR="00FC79F6" w:rsidRPr="0045429A">
        <w:rPr>
          <w:rFonts w:ascii="Book Antiqua" w:hAnsi="Book Antiqua"/>
          <w:sz w:val="24"/>
          <w:szCs w:val="24"/>
          <w:highlight w:val="yellow"/>
          <w:lang w:val="en-US"/>
        </w:rPr>
        <w:t>The timing of HBV treatment initiation may vary depending on the stage of renal disease.</w:t>
      </w:r>
    </w:p>
    <w:p w:rsidR="007B4DEA" w:rsidRPr="0045429A" w:rsidRDefault="00222865"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 xml:space="preserve">In patients undergoing HD or PD who are not RT candidates can start NUC therapy with HBV DNA &gt;2000 IU/mL regardless of ALT activity, particularly if they have at least moderate histological liver lesions at liver biopsy or at least moderate fibrosis estimated by a non-invasive marker </w:t>
      </w:r>
      <w:r w:rsidRPr="0045429A">
        <w:rPr>
          <w:rFonts w:ascii="Book Antiqua" w:hAnsi="Book Antiqua"/>
          <w:sz w:val="24"/>
          <w:szCs w:val="24"/>
          <w:vertAlign w:val="superscript"/>
          <w:lang w:val="en-US"/>
        </w:rPr>
        <w:t>[11]</w:t>
      </w:r>
      <w:r w:rsidRPr="0045429A">
        <w:rPr>
          <w:rFonts w:ascii="Book Antiqua" w:hAnsi="Book Antiqua"/>
          <w:sz w:val="24"/>
          <w:szCs w:val="24"/>
          <w:lang w:val="en-US"/>
        </w:rPr>
        <w:t xml:space="preserve">. </w:t>
      </w:r>
    </w:p>
    <w:p w:rsidR="00B03B4C" w:rsidRPr="0045429A" w:rsidRDefault="00222865"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T</w:t>
      </w:r>
      <w:r w:rsidR="00B03B4C" w:rsidRPr="0045429A">
        <w:rPr>
          <w:rFonts w:ascii="Book Antiqua" w:hAnsi="Book Antiqua"/>
          <w:sz w:val="24"/>
          <w:szCs w:val="24"/>
          <w:lang w:val="en-US"/>
        </w:rPr>
        <w:t>reatment with N</w:t>
      </w:r>
      <w:r w:rsidRPr="0045429A">
        <w:rPr>
          <w:rFonts w:ascii="Book Antiqua" w:hAnsi="Book Antiqua"/>
          <w:sz w:val="24"/>
          <w:szCs w:val="24"/>
          <w:lang w:val="en-US"/>
        </w:rPr>
        <w:t>UCs</w:t>
      </w:r>
      <w:r w:rsidR="00B03B4C" w:rsidRPr="0045429A">
        <w:rPr>
          <w:rFonts w:ascii="Book Antiqua" w:hAnsi="Book Antiqua"/>
          <w:sz w:val="24"/>
          <w:szCs w:val="24"/>
          <w:lang w:val="en-US"/>
        </w:rPr>
        <w:t xml:space="preserve"> is recommended for all HBsAg-positive RT </w:t>
      </w:r>
      <w:r w:rsidR="009F102A" w:rsidRPr="0045429A">
        <w:rPr>
          <w:rFonts w:ascii="Book Antiqua" w:hAnsi="Book Antiqua"/>
          <w:sz w:val="24"/>
          <w:szCs w:val="24"/>
          <w:lang w:val="en-US"/>
        </w:rPr>
        <w:t xml:space="preserve">recipients. </w:t>
      </w:r>
      <w:r w:rsidR="009F102A" w:rsidRPr="0045429A">
        <w:rPr>
          <w:rFonts w:ascii="Book Antiqua" w:hAnsi="Book Antiqua"/>
          <w:sz w:val="24"/>
          <w:szCs w:val="24"/>
          <w:highlight w:val="green"/>
          <w:lang w:val="en-US"/>
        </w:rPr>
        <w:t>NUC</w:t>
      </w:r>
      <w:r w:rsidR="00B03B4C" w:rsidRPr="0045429A">
        <w:rPr>
          <w:rFonts w:ascii="Book Antiqua" w:hAnsi="Book Antiqua"/>
          <w:sz w:val="24"/>
          <w:szCs w:val="24"/>
          <w:lang w:val="en-US"/>
        </w:rPr>
        <w:t xml:space="preserve"> therapy should ideally start at HB</w:t>
      </w:r>
      <w:r w:rsidRPr="0045429A">
        <w:rPr>
          <w:rFonts w:ascii="Book Antiqua" w:hAnsi="Book Antiqua"/>
          <w:sz w:val="24"/>
          <w:szCs w:val="24"/>
          <w:lang w:val="en-US"/>
        </w:rPr>
        <w:t>V</w:t>
      </w:r>
      <w:r w:rsidR="00B03B4C" w:rsidRPr="0045429A">
        <w:rPr>
          <w:rFonts w:ascii="Book Antiqua" w:hAnsi="Book Antiqua"/>
          <w:sz w:val="24"/>
          <w:szCs w:val="24"/>
          <w:lang w:val="en-US"/>
        </w:rPr>
        <w:t xml:space="preserve"> diagnosis in RT candidates with HBV DNA &gt;2000 IU/mL or 2 weeks before RT in candidates with HBV DNA ≤2000 IU/mL and should continue for life as long as the patients remain under any immunosuppressive agent </w:t>
      </w:r>
      <w:r w:rsidR="00B03B4C" w:rsidRPr="0045429A">
        <w:rPr>
          <w:rFonts w:ascii="Book Antiqua" w:hAnsi="Book Antiqua"/>
          <w:sz w:val="24"/>
          <w:szCs w:val="24"/>
          <w:vertAlign w:val="superscript"/>
          <w:lang w:val="en-US"/>
        </w:rPr>
        <w:t>[9,10,11,15</w:t>
      </w:r>
      <w:r w:rsidR="00D12903" w:rsidRPr="0045429A">
        <w:rPr>
          <w:rFonts w:ascii="Book Antiqua" w:hAnsi="Book Antiqua"/>
          <w:sz w:val="24"/>
          <w:szCs w:val="24"/>
          <w:vertAlign w:val="superscript"/>
          <w:lang w:val="en-US"/>
        </w:rPr>
        <w:t>]</w:t>
      </w:r>
      <w:r w:rsidR="00B03B4C" w:rsidRPr="0045429A">
        <w:rPr>
          <w:rFonts w:ascii="Book Antiqua" w:hAnsi="Book Antiqua"/>
          <w:sz w:val="24"/>
          <w:szCs w:val="24"/>
          <w:lang w:val="en-US"/>
        </w:rPr>
        <w:t xml:space="preserve">. It should be </w:t>
      </w:r>
      <w:r w:rsidRPr="0045429A">
        <w:rPr>
          <w:rFonts w:ascii="Book Antiqua" w:hAnsi="Book Antiqua"/>
          <w:sz w:val="24"/>
          <w:szCs w:val="24"/>
          <w:lang w:val="en-US"/>
        </w:rPr>
        <w:t>remembered</w:t>
      </w:r>
      <w:r w:rsidR="00B03B4C" w:rsidRPr="0045429A">
        <w:rPr>
          <w:rFonts w:ascii="Book Antiqua" w:hAnsi="Book Antiqua"/>
          <w:sz w:val="24"/>
          <w:szCs w:val="24"/>
          <w:lang w:val="en-US"/>
        </w:rPr>
        <w:t xml:space="preserve"> that patients with compensated cirrhosis are precluded from RT, while patients with decompensated cirrhosis may only undergo combined liver and kidney transplantation</w:t>
      </w:r>
      <w:r w:rsidR="00D12903" w:rsidRPr="0045429A">
        <w:rPr>
          <w:rFonts w:ascii="Book Antiqua" w:hAnsi="Book Antiqua"/>
          <w:sz w:val="24"/>
          <w:szCs w:val="24"/>
          <w:lang w:val="en-US"/>
        </w:rPr>
        <w:t xml:space="preserve"> </w:t>
      </w:r>
      <w:r w:rsidR="00D12903" w:rsidRPr="0045429A">
        <w:rPr>
          <w:rFonts w:ascii="Book Antiqua" w:hAnsi="Book Antiqua"/>
          <w:sz w:val="24"/>
          <w:szCs w:val="24"/>
          <w:vertAlign w:val="superscript"/>
          <w:lang w:val="en-US"/>
        </w:rPr>
        <w:t>[11,49]</w:t>
      </w:r>
      <w:r w:rsidR="00B03B4C" w:rsidRPr="0045429A">
        <w:rPr>
          <w:rFonts w:ascii="Book Antiqua" w:hAnsi="Book Antiqua"/>
          <w:sz w:val="24"/>
          <w:szCs w:val="24"/>
          <w:lang w:val="en-US"/>
        </w:rPr>
        <w:t>.</w:t>
      </w:r>
    </w:p>
    <w:p w:rsidR="002C408B" w:rsidRPr="0045429A" w:rsidRDefault="00222865"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 xml:space="preserve">As previously mentioned, RT candidates who are </w:t>
      </w:r>
      <w:r w:rsidRPr="0045429A">
        <w:rPr>
          <w:rFonts w:ascii="Book Antiqua" w:hAnsi="Book Antiqua"/>
          <w:i/>
          <w:sz w:val="24"/>
          <w:szCs w:val="24"/>
          <w:lang w:val="en-US"/>
        </w:rPr>
        <w:t>inactive carriers</w:t>
      </w:r>
      <w:r w:rsidRPr="0045429A">
        <w:rPr>
          <w:rFonts w:ascii="Book Antiqua" w:hAnsi="Book Antiqua"/>
          <w:sz w:val="24"/>
          <w:szCs w:val="24"/>
          <w:lang w:val="en-US"/>
        </w:rPr>
        <w:t xml:space="preserve"> are at an increased risk of reactivation after transplantation. In this subgroup of HBsAg positive patients treatment can be used as prophylactic (HBV DNA undetectable, no hepatocellular injury), preemptive (HBV DNA &lt;2000 IU/ml, no hepatocellular injury), and salvage therapy after reactivation (HBV DNA &gt;2000 IU/ml, with hepatocellular injury). Even if the prophylactic/preemptive initiation is the generally accepted treatment, the data comparing these treatments are few. </w:t>
      </w:r>
      <w:r w:rsidR="002C408B" w:rsidRPr="0045429A">
        <w:rPr>
          <w:rFonts w:ascii="Book Antiqua" w:hAnsi="Book Antiqua"/>
          <w:sz w:val="24"/>
          <w:szCs w:val="24"/>
          <w:lang w:val="en-US"/>
        </w:rPr>
        <w:t xml:space="preserve">The disappearance of viral load is a prerequisite for a HBV positive patient on </w:t>
      </w:r>
      <w:r w:rsidR="002C408B" w:rsidRPr="0045429A">
        <w:rPr>
          <w:rFonts w:ascii="Book Antiqua" w:hAnsi="Book Antiqua"/>
          <w:sz w:val="24"/>
          <w:szCs w:val="24"/>
          <w:lang w:val="en-US"/>
        </w:rPr>
        <w:lastRenderedPageBreak/>
        <w:t xml:space="preserve">hemodialysis to be enrolled in the RT list. Therapy with ETV, TDF or LAM on adjusted doses for renal function is included in the current guidelines for prophylaxis of HBV positive RT candidates. The optimal NUC regimen has not been proposed yet, so prophylaxis may start before or at the time of RT and continue thereafter </w:t>
      </w:r>
      <w:r w:rsidR="002C408B" w:rsidRPr="0045429A">
        <w:rPr>
          <w:rFonts w:ascii="Book Antiqua" w:hAnsi="Book Antiqua"/>
          <w:sz w:val="24"/>
          <w:szCs w:val="24"/>
          <w:vertAlign w:val="superscript"/>
          <w:lang w:val="en-US"/>
        </w:rPr>
        <w:t>[9,10,15,50]</w:t>
      </w:r>
      <w:r w:rsidR="002C408B" w:rsidRPr="0045429A">
        <w:rPr>
          <w:rFonts w:ascii="Book Antiqua" w:hAnsi="Book Antiqua"/>
          <w:sz w:val="24"/>
          <w:szCs w:val="24"/>
          <w:lang w:val="en-US"/>
        </w:rPr>
        <w:t>. ETV should be the first line option for avoidance of short term resistance and ADV nephrotoxicity, while TDF had better be applied in case of LAM-R</w:t>
      </w:r>
      <w:r w:rsidR="00ED030D" w:rsidRPr="0045429A">
        <w:rPr>
          <w:rFonts w:ascii="Book Antiqua" w:hAnsi="Book Antiqua"/>
          <w:sz w:val="24"/>
          <w:szCs w:val="24"/>
          <w:lang w:val="en-US"/>
        </w:rPr>
        <w:t xml:space="preserve"> </w:t>
      </w:r>
      <w:r w:rsidR="00ED030D" w:rsidRPr="0045429A">
        <w:rPr>
          <w:rFonts w:ascii="Book Antiqua" w:hAnsi="Book Antiqua"/>
          <w:sz w:val="24"/>
          <w:szCs w:val="24"/>
          <w:vertAlign w:val="superscript"/>
          <w:lang w:val="en-US"/>
        </w:rPr>
        <w:t>[9,10,50]</w:t>
      </w:r>
      <w:r w:rsidR="002C408B" w:rsidRPr="0045429A">
        <w:rPr>
          <w:rFonts w:ascii="Book Antiqua" w:hAnsi="Book Antiqua"/>
          <w:sz w:val="24"/>
          <w:szCs w:val="24"/>
          <w:lang w:val="en-US"/>
        </w:rPr>
        <w:t>.</w:t>
      </w:r>
    </w:p>
    <w:p w:rsidR="00F15B28" w:rsidRPr="0045429A" w:rsidRDefault="00ED030D"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 xml:space="preserve">Lamivudine is the most extensively drug used in prophylactic/preemptive therapy in RT patients. In a small study, LAM given as either prophylactic or pre-emptive treatment was proven superior to salvage therapy when liver dysfunction is evident </w:t>
      </w:r>
      <w:r w:rsidRPr="0045429A">
        <w:rPr>
          <w:rFonts w:ascii="Book Antiqua" w:hAnsi="Book Antiqua"/>
          <w:sz w:val="24"/>
          <w:szCs w:val="24"/>
          <w:vertAlign w:val="superscript"/>
          <w:lang w:val="en-US"/>
        </w:rPr>
        <w:t>[51]</w:t>
      </w:r>
      <w:r w:rsidRPr="0045429A">
        <w:rPr>
          <w:rFonts w:ascii="Book Antiqua" w:hAnsi="Book Antiqua"/>
          <w:sz w:val="24"/>
          <w:szCs w:val="24"/>
          <w:lang w:val="en-US"/>
        </w:rPr>
        <w:t xml:space="preserve">. None of the HBsAg positive patients </w:t>
      </w:r>
      <w:r w:rsidR="003D073C" w:rsidRPr="0045429A">
        <w:rPr>
          <w:rFonts w:ascii="Book Antiqua" w:hAnsi="Book Antiqua"/>
          <w:sz w:val="24"/>
          <w:szCs w:val="24"/>
          <w:lang w:val="en-US"/>
        </w:rPr>
        <w:t xml:space="preserve">receiving prophylactic or pre-emptive therapy developed reactivation, while 50% of the patients not been treated suffered reactivation </w:t>
      </w:r>
      <w:r w:rsidR="003D073C" w:rsidRPr="0045429A">
        <w:rPr>
          <w:rFonts w:ascii="Book Antiqua" w:hAnsi="Book Antiqua"/>
          <w:sz w:val="24"/>
          <w:szCs w:val="24"/>
          <w:vertAlign w:val="superscript"/>
          <w:lang w:val="en-US"/>
        </w:rPr>
        <w:t>[51</w:t>
      </w:r>
      <w:r w:rsidR="00F15B28" w:rsidRPr="0045429A">
        <w:rPr>
          <w:rFonts w:ascii="Book Antiqua" w:hAnsi="Book Antiqua"/>
          <w:sz w:val="24"/>
          <w:szCs w:val="24"/>
          <w:vertAlign w:val="superscript"/>
          <w:lang w:val="en-US"/>
        </w:rPr>
        <w:t>,52</w:t>
      </w:r>
      <w:r w:rsidR="003D073C" w:rsidRPr="0045429A">
        <w:rPr>
          <w:rFonts w:ascii="Book Antiqua" w:hAnsi="Book Antiqua"/>
          <w:sz w:val="24"/>
          <w:szCs w:val="24"/>
          <w:vertAlign w:val="superscript"/>
          <w:lang w:val="en-US"/>
        </w:rPr>
        <w:t>]</w:t>
      </w:r>
      <w:r w:rsidR="003D073C" w:rsidRPr="0045429A">
        <w:rPr>
          <w:rFonts w:ascii="Book Antiqua" w:hAnsi="Book Antiqua"/>
          <w:sz w:val="24"/>
          <w:szCs w:val="24"/>
          <w:lang w:val="en-US"/>
        </w:rPr>
        <w:t>. These results were confirmed by others</w:t>
      </w:r>
      <w:r w:rsidR="00865C69" w:rsidRPr="0045429A">
        <w:rPr>
          <w:rFonts w:ascii="Book Antiqua" w:hAnsi="Book Antiqua"/>
          <w:sz w:val="24"/>
          <w:szCs w:val="24"/>
          <w:lang w:val="en-US"/>
        </w:rPr>
        <w:t>, but there is some controversy about</w:t>
      </w:r>
      <w:r w:rsidR="003D073C" w:rsidRPr="0045429A">
        <w:rPr>
          <w:rFonts w:ascii="Book Antiqua" w:hAnsi="Book Antiqua"/>
          <w:sz w:val="24"/>
          <w:szCs w:val="24"/>
          <w:lang w:val="en-US"/>
        </w:rPr>
        <w:t xml:space="preserve"> </w:t>
      </w:r>
      <w:r w:rsidR="00865C69" w:rsidRPr="0045429A">
        <w:rPr>
          <w:rFonts w:ascii="Book Antiqua" w:hAnsi="Book Antiqua"/>
          <w:sz w:val="24"/>
          <w:szCs w:val="24"/>
          <w:lang w:val="en-US"/>
        </w:rPr>
        <w:t xml:space="preserve">the clinical impact of prophylactic/preemptive therapy versus salvage therapy </w:t>
      </w:r>
      <w:r w:rsidR="009B67A5" w:rsidRPr="0045429A">
        <w:rPr>
          <w:rFonts w:ascii="Book Antiqua" w:hAnsi="Book Antiqua"/>
          <w:sz w:val="24"/>
          <w:szCs w:val="24"/>
          <w:vertAlign w:val="superscript"/>
          <w:lang w:val="en-US"/>
        </w:rPr>
        <w:t>[5</w:t>
      </w:r>
      <w:r w:rsidR="00F15B28" w:rsidRPr="0045429A">
        <w:rPr>
          <w:rFonts w:ascii="Book Antiqua" w:hAnsi="Book Antiqua"/>
          <w:sz w:val="24"/>
          <w:szCs w:val="24"/>
          <w:vertAlign w:val="superscript"/>
          <w:lang w:val="en-US"/>
        </w:rPr>
        <w:t>1</w:t>
      </w:r>
      <w:r w:rsidR="009B67A5" w:rsidRPr="0045429A">
        <w:rPr>
          <w:rFonts w:ascii="Book Antiqua" w:hAnsi="Book Antiqua"/>
          <w:sz w:val="24"/>
          <w:szCs w:val="24"/>
          <w:vertAlign w:val="superscript"/>
          <w:lang w:val="en-US"/>
        </w:rPr>
        <w:t>-55</w:t>
      </w:r>
      <w:r w:rsidR="00865C69" w:rsidRPr="0045429A">
        <w:rPr>
          <w:rFonts w:ascii="Book Antiqua" w:hAnsi="Book Antiqua"/>
          <w:sz w:val="24"/>
          <w:szCs w:val="24"/>
          <w:vertAlign w:val="superscript"/>
          <w:lang w:val="en-US"/>
        </w:rPr>
        <w:t>]</w:t>
      </w:r>
      <w:r w:rsidR="00865C69" w:rsidRPr="0045429A">
        <w:rPr>
          <w:rFonts w:ascii="Book Antiqua" w:hAnsi="Book Antiqua"/>
          <w:sz w:val="24"/>
          <w:szCs w:val="24"/>
          <w:lang w:val="en-US"/>
        </w:rPr>
        <w:t xml:space="preserve">. One study showed that the survival of </w:t>
      </w:r>
      <w:r w:rsidR="002C53CD" w:rsidRPr="0045429A">
        <w:rPr>
          <w:rFonts w:ascii="Book Antiqua" w:hAnsi="Book Antiqua"/>
          <w:sz w:val="24"/>
          <w:szCs w:val="24"/>
          <w:lang w:val="en-US"/>
        </w:rPr>
        <w:t xml:space="preserve">RT patients </w:t>
      </w:r>
      <w:r w:rsidR="00865C69" w:rsidRPr="0045429A">
        <w:rPr>
          <w:rFonts w:ascii="Book Antiqua" w:hAnsi="Book Antiqua"/>
          <w:sz w:val="24"/>
          <w:szCs w:val="24"/>
          <w:lang w:val="en-US"/>
        </w:rPr>
        <w:t xml:space="preserve">preemptively managed </w:t>
      </w:r>
      <w:r w:rsidR="002C53CD" w:rsidRPr="0045429A">
        <w:rPr>
          <w:rFonts w:ascii="Book Antiqua" w:hAnsi="Book Antiqua"/>
          <w:sz w:val="24"/>
          <w:szCs w:val="24"/>
          <w:lang w:val="en-US"/>
        </w:rPr>
        <w:t xml:space="preserve">with LAM </w:t>
      </w:r>
      <w:r w:rsidR="00865C69" w:rsidRPr="0045429A">
        <w:rPr>
          <w:rFonts w:ascii="Book Antiqua" w:hAnsi="Book Antiqua"/>
          <w:sz w:val="24"/>
          <w:szCs w:val="24"/>
          <w:lang w:val="en-US"/>
        </w:rPr>
        <w:t xml:space="preserve">was similar to that of HBsAg negative controls, whereas HBsAg positive patients who underwent transplantation without preemptive treatment had inferior survival (relative risk of death, 9.7 [P &lt;0.001]; relative risk of liver-related mortality, 68.0 [P &lt;0.0001]) </w:t>
      </w:r>
      <w:r w:rsidR="00F15B28" w:rsidRPr="0045429A">
        <w:rPr>
          <w:rFonts w:ascii="Book Antiqua" w:hAnsi="Book Antiqua"/>
          <w:sz w:val="24"/>
          <w:szCs w:val="24"/>
          <w:vertAlign w:val="superscript"/>
          <w:lang w:val="en-US"/>
        </w:rPr>
        <w:t>[53</w:t>
      </w:r>
      <w:r w:rsidR="00865C69" w:rsidRPr="0045429A">
        <w:rPr>
          <w:rFonts w:ascii="Book Antiqua" w:hAnsi="Book Antiqua"/>
          <w:sz w:val="24"/>
          <w:szCs w:val="24"/>
          <w:vertAlign w:val="superscript"/>
          <w:lang w:val="en-US"/>
        </w:rPr>
        <w:t>]</w:t>
      </w:r>
      <w:r w:rsidR="00865C69" w:rsidRPr="0045429A">
        <w:rPr>
          <w:rFonts w:ascii="Book Antiqua" w:hAnsi="Book Antiqua"/>
          <w:sz w:val="24"/>
          <w:szCs w:val="24"/>
          <w:lang w:val="en-US"/>
        </w:rPr>
        <w:t xml:space="preserve">. </w:t>
      </w:r>
      <w:r w:rsidR="002C53CD" w:rsidRPr="0045429A">
        <w:rPr>
          <w:rFonts w:ascii="Book Antiqua" w:hAnsi="Book Antiqua"/>
          <w:sz w:val="24"/>
          <w:szCs w:val="24"/>
          <w:lang w:val="en-US"/>
        </w:rPr>
        <w:t xml:space="preserve">Twenty five RT patients received pre-transplantation prophylactic/preemptive antiviral therapy, 22 (88%) and 3 (12%) were prescribed lamivudine and entecavir, respectively </w:t>
      </w:r>
      <w:r w:rsidR="009B67A5" w:rsidRPr="0045429A">
        <w:rPr>
          <w:rFonts w:ascii="Book Antiqua" w:hAnsi="Book Antiqua"/>
          <w:sz w:val="24"/>
          <w:szCs w:val="24"/>
          <w:vertAlign w:val="superscript"/>
          <w:lang w:val="en-US"/>
        </w:rPr>
        <w:t>[54</w:t>
      </w:r>
      <w:r w:rsidR="002C53CD" w:rsidRPr="0045429A">
        <w:rPr>
          <w:rFonts w:ascii="Book Antiqua" w:hAnsi="Book Antiqua"/>
          <w:sz w:val="24"/>
          <w:szCs w:val="24"/>
          <w:vertAlign w:val="superscript"/>
          <w:lang w:val="en-US"/>
        </w:rPr>
        <w:t>]</w:t>
      </w:r>
      <w:r w:rsidR="002C53CD" w:rsidRPr="0045429A">
        <w:rPr>
          <w:rFonts w:ascii="Book Antiqua" w:hAnsi="Book Antiqua"/>
          <w:sz w:val="24"/>
          <w:szCs w:val="24"/>
          <w:lang w:val="en-US"/>
        </w:rPr>
        <w:t xml:space="preserve">. The treatment group, when compared with a historical control group, showed a significant improvement in 10 year graft (82% vs. 34%) and patient (91% vs. 57%) survivals. Among the historical control group, the main causes of graft failure were patient deaths (68%), which were mostly caused by liver diseases. In contrast, there was no liver-related death in the treatment group. In addition, there was no difference in graft or patient survival between the prophylactic and preemptive groups, but the incidence of HBV reactivation was lower in the prophylactic </w:t>
      </w:r>
      <w:r w:rsidR="002C53CD" w:rsidRPr="0045429A">
        <w:rPr>
          <w:rFonts w:ascii="Book Antiqua" w:hAnsi="Book Antiqua"/>
          <w:sz w:val="24"/>
          <w:szCs w:val="24"/>
          <w:lang w:val="en-US"/>
        </w:rPr>
        <w:lastRenderedPageBreak/>
        <w:t>group. Antiviral therapy was an independent factor for the improved patient survival (P = .005)</w:t>
      </w:r>
      <w:r w:rsidR="002C53CD" w:rsidRPr="0045429A">
        <w:rPr>
          <w:rFonts w:ascii="Book Antiqua" w:hAnsi="Book Antiqua"/>
          <w:sz w:val="24"/>
          <w:szCs w:val="24"/>
          <w:vertAlign w:val="superscript"/>
          <w:lang w:val="en-US"/>
        </w:rPr>
        <w:t xml:space="preserve"> </w:t>
      </w:r>
      <w:r w:rsidR="009B67A5" w:rsidRPr="0045429A">
        <w:rPr>
          <w:rFonts w:ascii="Book Antiqua" w:hAnsi="Book Antiqua"/>
          <w:sz w:val="24"/>
          <w:szCs w:val="24"/>
          <w:vertAlign w:val="superscript"/>
          <w:lang w:val="en-US"/>
        </w:rPr>
        <w:t>[54</w:t>
      </w:r>
      <w:r w:rsidR="002C53CD" w:rsidRPr="0045429A">
        <w:rPr>
          <w:rFonts w:ascii="Book Antiqua" w:hAnsi="Book Antiqua"/>
          <w:sz w:val="24"/>
          <w:szCs w:val="24"/>
          <w:vertAlign w:val="superscript"/>
          <w:lang w:val="en-US"/>
        </w:rPr>
        <w:t>]</w:t>
      </w:r>
      <w:r w:rsidR="002C53CD" w:rsidRPr="0045429A">
        <w:rPr>
          <w:rFonts w:ascii="Book Antiqua" w:hAnsi="Book Antiqua"/>
          <w:sz w:val="24"/>
          <w:szCs w:val="24"/>
          <w:lang w:val="en-US"/>
        </w:rPr>
        <w:t>.</w:t>
      </w:r>
      <w:r w:rsidR="001868C3" w:rsidRPr="0045429A">
        <w:rPr>
          <w:rFonts w:ascii="Book Antiqua" w:hAnsi="Book Antiqua"/>
          <w:sz w:val="24"/>
          <w:szCs w:val="24"/>
          <w:lang w:val="en-US"/>
        </w:rPr>
        <w:t xml:space="preserve"> On the contrary, a retrospective analysis using LAM in the majority of patients found no benefit of prophylactic/preemptive treatment </w:t>
      </w:r>
      <w:r w:rsidR="009B67A5" w:rsidRPr="0045429A">
        <w:rPr>
          <w:rFonts w:ascii="Book Antiqua" w:hAnsi="Book Antiqua"/>
          <w:sz w:val="24"/>
          <w:szCs w:val="24"/>
          <w:vertAlign w:val="superscript"/>
          <w:lang w:val="en-US"/>
        </w:rPr>
        <w:t>[55</w:t>
      </w:r>
      <w:r w:rsidR="001868C3" w:rsidRPr="0045429A">
        <w:rPr>
          <w:rFonts w:ascii="Book Antiqua" w:hAnsi="Book Antiqua"/>
          <w:sz w:val="24"/>
          <w:szCs w:val="24"/>
          <w:vertAlign w:val="superscript"/>
          <w:lang w:val="en-US"/>
        </w:rPr>
        <w:t>]</w:t>
      </w:r>
      <w:r w:rsidR="001868C3" w:rsidRPr="0045429A">
        <w:rPr>
          <w:rFonts w:ascii="Book Antiqua" w:hAnsi="Book Antiqua"/>
          <w:sz w:val="24"/>
          <w:szCs w:val="24"/>
          <w:lang w:val="en-US"/>
        </w:rPr>
        <w:t xml:space="preserve">. </w:t>
      </w:r>
      <w:r w:rsidR="00F15B28" w:rsidRPr="0045429A">
        <w:rPr>
          <w:rFonts w:ascii="Book Antiqua" w:hAnsi="Book Antiqua"/>
          <w:sz w:val="24"/>
          <w:szCs w:val="24"/>
          <w:lang w:val="en-US"/>
        </w:rPr>
        <w:t>Ninety four RT candidates were evaluated, 56 received antiviral prophylaxis (Group 1), 51 with LAM and 5 with ETV, and 38 did not (Group 2).</w:t>
      </w:r>
      <w:r w:rsidR="0034689F" w:rsidRPr="0045429A">
        <w:rPr>
          <w:rFonts w:ascii="Book Antiqua" w:hAnsi="Book Antiqua"/>
          <w:sz w:val="24"/>
          <w:szCs w:val="24"/>
          <w:lang w:val="en-US"/>
        </w:rPr>
        <w:t xml:space="preserve"> In group 2 20 patients experienced HBV reactivation: 16 received </w:t>
      </w:r>
      <w:r w:rsidR="00FB35A0" w:rsidRPr="0045429A">
        <w:rPr>
          <w:rFonts w:ascii="Book Antiqua" w:hAnsi="Book Antiqua"/>
          <w:sz w:val="24"/>
          <w:szCs w:val="24"/>
          <w:lang w:val="en-US"/>
        </w:rPr>
        <w:t>LAM</w:t>
      </w:r>
      <w:r w:rsidR="0034689F" w:rsidRPr="0045429A">
        <w:rPr>
          <w:rFonts w:ascii="Book Antiqua" w:hAnsi="Book Antiqua"/>
          <w:sz w:val="24"/>
          <w:szCs w:val="24"/>
          <w:lang w:val="en-US"/>
        </w:rPr>
        <w:t xml:space="preserve">, 2 received </w:t>
      </w:r>
      <w:r w:rsidR="00FB35A0" w:rsidRPr="0045429A">
        <w:rPr>
          <w:rFonts w:ascii="Book Antiqua" w:hAnsi="Book Antiqua"/>
          <w:sz w:val="24"/>
          <w:szCs w:val="24"/>
          <w:lang w:val="en-US"/>
        </w:rPr>
        <w:t>ETV</w:t>
      </w:r>
      <w:r w:rsidR="0034689F" w:rsidRPr="0045429A">
        <w:rPr>
          <w:rFonts w:ascii="Book Antiqua" w:hAnsi="Book Antiqua"/>
          <w:sz w:val="24"/>
          <w:szCs w:val="24"/>
          <w:lang w:val="en-US"/>
        </w:rPr>
        <w:t xml:space="preserve"> and 2 received no antiviral treatment. Cox-regression analysis showed that antiviral prophylaxis had no benefit on patient death (OR 1.29, 95% CI 0.37 - 4.49, p = 0.693), graft failure (OR 1.25, </w:t>
      </w:r>
      <w:r w:rsidR="00216C8B" w:rsidRPr="0045429A">
        <w:rPr>
          <w:rFonts w:ascii="Book Antiqua" w:hAnsi="Book Antiqua"/>
          <w:sz w:val="24"/>
          <w:szCs w:val="24"/>
          <w:lang w:val="en-US"/>
        </w:rPr>
        <w:t xml:space="preserve">95% CI </w:t>
      </w:r>
      <w:r w:rsidR="0034689F" w:rsidRPr="0045429A">
        <w:rPr>
          <w:rFonts w:ascii="Book Antiqua" w:hAnsi="Book Antiqua"/>
          <w:sz w:val="24"/>
          <w:szCs w:val="24"/>
          <w:lang w:val="en-US"/>
        </w:rPr>
        <w:t xml:space="preserve">0.45-3.46, p = 0.666) or hepatic decompensation (OR 2.01, 0.35-11.57, p = 0.434) </w:t>
      </w:r>
      <w:r w:rsidR="0034689F" w:rsidRPr="0045429A">
        <w:rPr>
          <w:rFonts w:ascii="Book Antiqua" w:hAnsi="Book Antiqua"/>
          <w:sz w:val="24"/>
          <w:szCs w:val="24"/>
          <w:vertAlign w:val="superscript"/>
          <w:lang w:val="en-US"/>
        </w:rPr>
        <w:t>[55]</w:t>
      </w:r>
      <w:r w:rsidR="0034689F" w:rsidRPr="0045429A">
        <w:rPr>
          <w:rFonts w:ascii="Book Antiqua" w:hAnsi="Book Antiqua"/>
          <w:sz w:val="24"/>
          <w:szCs w:val="24"/>
          <w:lang w:val="en-US"/>
        </w:rPr>
        <w:t>.</w:t>
      </w:r>
      <w:r w:rsidR="00FB35A0" w:rsidRPr="0045429A">
        <w:rPr>
          <w:rFonts w:ascii="Book Antiqua" w:hAnsi="Book Antiqua"/>
          <w:sz w:val="24"/>
          <w:szCs w:val="24"/>
          <w:lang w:val="en-US"/>
        </w:rPr>
        <w:t xml:space="preserve"> LAM-R occurred in 21 LAM-treated Group 1 and 4 LAM-treated Group 2 patients (p = 0.243), with mean times of resistance after RT of 82 and 132 months, respectively (p = 0.001)</w:t>
      </w:r>
      <w:r w:rsidR="00FB35A0" w:rsidRPr="0045429A">
        <w:rPr>
          <w:rFonts w:ascii="Book Antiqua" w:hAnsi="Book Antiqua"/>
          <w:sz w:val="24"/>
          <w:szCs w:val="24"/>
          <w:vertAlign w:val="superscript"/>
          <w:lang w:val="en-US"/>
        </w:rPr>
        <w:t xml:space="preserve"> [55]</w:t>
      </w:r>
      <w:r w:rsidR="00FB35A0" w:rsidRPr="0045429A">
        <w:rPr>
          <w:rFonts w:ascii="Book Antiqua" w:hAnsi="Book Antiqua"/>
          <w:sz w:val="24"/>
          <w:szCs w:val="24"/>
          <w:lang w:val="en-US"/>
        </w:rPr>
        <w:t>.</w:t>
      </w:r>
    </w:p>
    <w:p w:rsidR="009B67A5" w:rsidRPr="0045429A" w:rsidRDefault="00216C8B"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A recent retrospective study compared both treatment strategies</w:t>
      </w:r>
      <w:r w:rsidR="005B0959" w:rsidRPr="0045429A">
        <w:rPr>
          <w:rFonts w:ascii="Book Antiqua" w:hAnsi="Book Antiqua"/>
          <w:sz w:val="24"/>
          <w:szCs w:val="24"/>
          <w:vertAlign w:val="superscript"/>
          <w:lang w:val="en-US"/>
        </w:rPr>
        <w:t xml:space="preserve"> [17</w:t>
      </w:r>
      <w:r w:rsidRPr="0045429A">
        <w:rPr>
          <w:rFonts w:ascii="Book Antiqua" w:hAnsi="Book Antiqua"/>
          <w:sz w:val="24"/>
          <w:szCs w:val="24"/>
          <w:vertAlign w:val="superscript"/>
          <w:lang w:val="en-US"/>
        </w:rPr>
        <w:t>]</w:t>
      </w:r>
      <w:r w:rsidRPr="0045429A">
        <w:rPr>
          <w:rFonts w:ascii="Book Antiqua" w:hAnsi="Book Antiqua"/>
          <w:sz w:val="24"/>
          <w:szCs w:val="24"/>
          <w:lang w:val="en-US"/>
        </w:rPr>
        <w:t xml:space="preserve">. It included 58 HBsAg positive RT recipients: 24 in the prophylactic group (all patients used LAM) and the 34 in the preemptive group (32 patients used LAM and 2 patients used ETV). The graft/patient survival rates for HBsAg positive were the same as those of hepatitis-free recipients (p = 0.18). In the prophylactic group, there were fewer hepatic dysfunctions (12.5% vs. 30%, p = 0.12), viral breakthroughs (16% vs. 32%, p = 0.17) and elevated alanine aminotransferase concentrations (37% vs. 52%, p = 0.24), however these did not reach statistical significance. </w:t>
      </w:r>
      <w:r w:rsidR="000F36C4" w:rsidRPr="0045429A">
        <w:rPr>
          <w:rFonts w:ascii="Book Antiqua" w:hAnsi="Book Antiqua"/>
          <w:sz w:val="24"/>
          <w:szCs w:val="24"/>
          <w:lang w:val="en-US"/>
        </w:rPr>
        <w:t>In the prophylactic group, one patient was switched to ETV and then to TDF due to partial response finally achieving complete virological response. In the preemptive group, LAM was withdrawn and changed to TDF in 3 patients and to ADV in another one</w:t>
      </w:r>
      <w:r w:rsidR="00635470" w:rsidRPr="0045429A">
        <w:rPr>
          <w:rFonts w:ascii="Book Antiqua" w:hAnsi="Book Antiqua"/>
          <w:sz w:val="24"/>
          <w:szCs w:val="24"/>
          <w:lang w:val="en-US"/>
        </w:rPr>
        <w:t xml:space="preserve"> achieving an adequate virologic/biochemical response</w:t>
      </w:r>
      <w:r w:rsidR="000F36C4" w:rsidRPr="0045429A">
        <w:rPr>
          <w:rFonts w:ascii="Book Antiqua" w:hAnsi="Book Antiqua"/>
          <w:sz w:val="24"/>
          <w:szCs w:val="24"/>
          <w:lang w:val="en-US"/>
        </w:rPr>
        <w:t>.</w:t>
      </w:r>
      <w:r w:rsidR="00635470" w:rsidRPr="0045429A">
        <w:rPr>
          <w:rFonts w:ascii="Book Antiqua" w:hAnsi="Book Antiqua"/>
          <w:sz w:val="24"/>
          <w:szCs w:val="24"/>
          <w:lang w:val="en-US"/>
        </w:rPr>
        <w:t xml:space="preserve"> These NUCs were almost as safe as LAM, as there were no significant differences among proteinuria and estimated glomerular filtration rate </w:t>
      </w:r>
      <w:r w:rsidR="005B0959" w:rsidRPr="0045429A">
        <w:rPr>
          <w:rFonts w:ascii="Book Antiqua" w:hAnsi="Book Antiqua"/>
          <w:sz w:val="24"/>
          <w:szCs w:val="24"/>
          <w:vertAlign w:val="superscript"/>
          <w:lang w:val="en-US"/>
        </w:rPr>
        <w:t>[17</w:t>
      </w:r>
      <w:r w:rsidR="00635470" w:rsidRPr="0045429A">
        <w:rPr>
          <w:rFonts w:ascii="Book Antiqua" w:hAnsi="Book Antiqua"/>
          <w:sz w:val="24"/>
          <w:szCs w:val="24"/>
          <w:vertAlign w:val="superscript"/>
          <w:lang w:val="en-US"/>
        </w:rPr>
        <w:t>]</w:t>
      </w:r>
      <w:r w:rsidR="00635470" w:rsidRPr="0045429A">
        <w:rPr>
          <w:rFonts w:ascii="Book Antiqua" w:hAnsi="Book Antiqua"/>
          <w:sz w:val="24"/>
          <w:szCs w:val="24"/>
          <w:lang w:val="en-US"/>
        </w:rPr>
        <w:t xml:space="preserve">. </w:t>
      </w:r>
    </w:p>
    <w:p w:rsidR="00DF059D" w:rsidRPr="0045429A" w:rsidRDefault="00635470"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 xml:space="preserve">Results from these studies support the clinical guidelines recommendations: </w:t>
      </w:r>
      <w:r w:rsidR="00DF059D" w:rsidRPr="0045429A">
        <w:rPr>
          <w:rFonts w:ascii="Book Antiqua" w:hAnsi="Book Antiqua"/>
          <w:sz w:val="24"/>
          <w:szCs w:val="24"/>
          <w:lang w:val="en-US"/>
        </w:rPr>
        <w:t xml:space="preserve">prophylactic or preemptive therapy with NUCs provides comparable graft/patient </w:t>
      </w:r>
      <w:r w:rsidR="00DF059D" w:rsidRPr="0045429A">
        <w:rPr>
          <w:rFonts w:ascii="Book Antiqua" w:hAnsi="Book Antiqua"/>
          <w:sz w:val="24"/>
          <w:szCs w:val="24"/>
          <w:lang w:val="en-US"/>
        </w:rPr>
        <w:lastRenderedPageBreak/>
        <w:t>survival with hepatitis-free RT recipients and may be better in preventing hepatic dysfunction than salvage therapy. Due to high rates of resistance LAM is no longer a first option, and ETV should be the first one.  TDF can be an effective and safe treatment for LAM-R in RT recipients</w:t>
      </w:r>
      <w:r w:rsidR="006F741D" w:rsidRPr="0045429A">
        <w:rPr>
          <w:rFonts w:ascii="Book Antiqua" w:hAnsi="Book Antiqua"/>
          <w:sz w:val="24"/>
          <w:szCs w:val="24"/>
          <w:lang w:val="en-US"/>
        </w:rPr>
        <w:t xml:space="preserve"> (Figure)</w:t>
      </w:r>
      <w:r w:rsidR="00DF059D" w:rsidRPr="0045429A">
        <w:rPr>
          <w:rFonts w:ascii="Book Antiqua" w:hAnsi="Book Antiqua"/>
          <w:sz w:val="24"/>
          <w:szCs w:val="24"/>
          <w:lang w:val="en-US"/>
        </w:rPr>
        <w:t xml:space="preserve"> </w:t>
      </w:r>
      <w:r w:rsidR="005B0959" w:rsidRPr="0045429A">
        <w:rPr>
          <w:rFonts w:ascii="Book Antiqua" w:hAnsi="Book Antiqua"/>
          <w:sz w:val="24"/>
          <w:szCs w:val="24"/>
          <w:vertAlign w:val="superscript"/>
          <w:lang w:val="en-US"/>
        </w:rPr>
        <w:t>[9-</w:t>
      </w:r>
      <w:r w:rsidR="00DF059D" w:rsidRPr="0045429A">
        <w:rPr>
          <w:rFonts w:ascii="Book Antiqua" w:hAnsi="Book Antiqua"/>
          <w:sz w:val="24"/>
          <w:szCs w:val="24"/>
          <w:vertAlign w:val="superscript"/>
          <w:lang w:val="en-US"/>
        </w:rPr>
        <w:t>1</w:t>
      </w:r>
      <w:r w:rsidR="005B0959" w:rsidRPr="0045429A">
        <w:rPr>
          <w:rFonts w:ascii="Book Antiqua" w:hAnsi="Book Antiqua"/>
          <w:sz w:val="24"/>
          <w:szCs w:val="24"/>
          <w:vertAlign w:val="superscript"/>
          <w:lang w:val="en-US"/>
        </w:rPr>
        <w:t>1</w:t>
      </w:r>
      <w:r w:rsidR="00DF059D" w:rsidRPr="0045429A">
        <w:rPr>
          <w:rFonts w:ascii="Book Antiqua" w:hAnsi="Book Antiqua"/>
          <w:sz w:val="24"/>
          <w:szCs w:val="24"/>
          <w:vertAlign w:val="superscript"/>
          <w:lang w:val="en-US"/>
        </w:rPr>
        <w:t>,15</w:t>
      </w:r>
      <w:r w:rsidR="005B0959" w:rsidRPr="0045429A">
        <w:rPr>
          <w:rFonts w:ascii="Book Antiqua" w:hAnsi="Book Antiqua"/>
          <w:sz w:val="24"/>
          <w:szCs w:val="24"/>
          <w:vertAlign w:val="superscript"/>
          <w:lang w:val="en-US"/>
        </w:rPr>
        <w:t>,</w:t>
      </w:r>
      <w:r w:rsidR="007873A5" w:rsidRPr="0045429A">
        <w:rPr>
          <w:rFonts w:ascii="Book Antiqua" w:hAnsi="Book Antiqua"/>
          <w:sz w:val="24"/>
          <w:szCs w:val="24"/>
          <w:vertAlign w:val="superscript"/>
          <w:lang w:val="en-US"/>
        </w:rPr>
        <w:t>21,56]</w:t>
      </w:r>
      <w:r w:rsidR="00DF059D" w:rsidRPr="0045429A">
        <w:rPr>
          <w:rFonts w:ascii="Book Antiqua" w:hAnsi="Book Antiqua"/>
          <w:sz w:val="24"/>
          <w:szCs w:val="24"/>
          <w:lang w:val="en-US"/>
        </w:rPr>
        <w:t>.</w:t>
      </w:r>
      <w:r w:rsidR="007873A5" w:rsidRPr="0045429A">
        <w:rPr>
          <w:rFonts w:ascii="Book Antiqua" w:hAnsi="Book Antiqua"/>
          <w:sz w:val="24"/>
          <w:szCs w:val="24"/>
          <w:lang w:val="en-US"/>
        </w:rPr>
        <w:t xml:space="preserve"> </w:t>
      </w:r>
    </w:p>
    <w:p w:rsidR="00696E00" w:rsidRPr="0045429A" w:rsidRDefault="00375683" w:rsidP="0045429A">
      <w:pPr>
        <w:spacing w:line="360" w:lineRule="auto"/>
        <w:jc w:val="both"/>
        <w:rPr>
          <w:rFonts w:ascii="Book Antiqua" w:hAnsi="Book Antiqua"/>
          <w:b/>
          <w:sz w:val="24"/>
          <w:szCs w:val="24"/>
          <w:lang w:val="en-US"/>
        </w:rPr>
      </w:pPr>
      <w:r w:rsidRPr="0045429A">
        <w:rPr>
          <w:rFonts w:ascii="Book Antiqua" w:hAnsi="Book Antiqua"/>
          <w:b/>
          <w:sz w:val="24"/>
          <w:szCs w:val="24"/>
          <w:lang w:val="en-US"/>
        </w:rPr>
        <w:t>TREATMENT IMPACT ON LONG TERM EVOLUTION</w:t>
      </w:r>
    </w:p>
    <w:p w:rsidR="006F741D" w:rsidRPr="0045429A" w:rsidRDefault="0091173A"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In</w:t>
      </w:r>
      <w:r w:rsidR="00662A78" w:rsidRPr="0045429A">
        <w:rPr>
          <w:rFonts w:ascii="Book Antiqua" w:hAnsi="Book Antiqua"/>
          <w:sz w:val="24"/>
          <w:szCs w:val="24"/>
          <w:lang w:val="en-US"/>
        </w:rPr>
        <w:t xml:space="preserve"> the last years, several </w:t>
      </w:r>
      <w:r w:rsidRPr="0045429A">
        <w:rPr>
          <w:rFonts w:ascii="Book Antiqua" w:hAnsi="Book Antiqua"/>
          <w:sz w:val="24"/>
          <w:szCs w:val="24"/>
          <w:lang w:val="en-US"/>
        </w:rPr>
        <w:t>cohort studies</w:t>
      </w:r>
      <w:r w:rsidR="00662A78" w:rsidRPr="0045429A">
        <w:rPr>
          <w:rFonts w:ascii="Book Antiqua" w:hAnsi="Book Antiqua"/>
          <w:sz w:val="24"/>
          <w:szCs w:val="24"/>
          <w:lang w:val="en-US"/>
        </w:rPr>
        <w:t xml:space="preserve"> had demonstrated that HBV infection is associated with reduced patient and graft survival in RT recipients</w:t>
      </w:r>
      <w:r w:rsidRPr="0045429A">
        <w:rPr>
          <w:rFonts w:ascii="Book Antiqua" w:hAnsi="Book Antiqua"/>
          <w:sz w:val="24"/>
          <w:szCs w:val="24"/>
          <w:lang w:val="en-US"/>
        </w:rPr>
        <w:t xml:space="preserve"> </w:t>
      </w:r>
      <w:r w:rsidRPr="0045429A">
        <w:rPr>
          <w:rFonts w:ascii="Book Antiqua" w:hAnsi="Book Antiqua"/>
          <w:sz w:val="24"/>
          <w:szCs w:val="24"/>
          <w:vertAlign w:val="superscript"/>
          <w:lang w:val="en-US"/>
        </w:rPr>
        <w:t>[</w:t>
      </w:r>
      <w:r w:rsidR="004E2291" w:rsidRPr="0045429A">
        <w:rPr>
          <w:rFonts w:ascii="Book Antiqua" w:hAnsi="Book Antiqua"/>
          <w:sz w:val="24"/>
          <w:szCs w:val="24"/>
          <w:vertAlign w:val="superscript"/>
          <w:lang w:val="en-US"/>
        </w:rPr>
        <w:t>15,40,50,</w:t>
      </w:r>
      <w:r w:rsidRPr="0045429A">
        <w:rPr>
          <w:rFonts w:ascii="Book Antiqua" w:hAnsi="Book Antiqua"/>
          <w:sz w:val="24"/>
          <w:szCs w:val="24"/>
          <w:vertAlign w:val="superscript"/>
          <w:lang w:val="en-US"/>
        </w:rPr>
        <w:t>57]</w:t>
      </w:r>
      <w:r w:rsidR="00662A78" w:rsidRPr="0045429A">
        <w:rPr>
          <w:rFonts w:ascii="Book Antiqua" w:hAnsi="Book Antiqua"/>
          <w:sz w:val="24"/>
          <w:szCs w:val="24"/>
          <w:lang w:val="en-US"/>
        </w:rPr>
        <w:t>.</w:t>
      </w:r>
      <w:r w:rsidRPr="0045429A">
        <w:rPr>
          <w:rFonts w:ascii="Book Antiqua" w:hAnsi="Book Antiqua"/>
          <w:sz w:val="24"/>
          <w:szCs w:val="24"/>
          <w:lang w:val="en-US"/>
        </w:rPr>
        <w:t xml:space="preserve"> These results had been validated in two meta-analysis </w:t>
      </w:r>
      <w:r w:rsidRPr="0045429A">
        <w:rPr>
          <w:rFonts w:ascii="Book Antiqua" w:hAnsi="Book Antiqua"/>
          <w:sz w:val="24"/>
          <w:szCs w:val="24"/>
          <w:vertAlign w:val="superscript"/>
          <w:lang w:val="en-US"/>
        </w:rPr>
        <w:t>[58,59]</w:t>
      </w:r>
      <w:r w:rsidRPr="0045429A">
        <w:rPr>
          <w:rFonts w:ascii="Book Antiqua" w:hAnsi="Book Antiqua"/>
          <w:sz w:val="24"/>
          <w:szCs w:val="24"/>
          <w:lang w:val="en-US"/>
        </w:rPr>
        <w:t xml:space="preserve">. </w:t>
      </w:r>
      <w:r w:rsidR="00C84475" w:rsidRPr="0045429A">
        <w:rPr>
          <w:rFonts w:ascii="Book Antiqua" w:hAnsi="Book Antiqua"/>
          <w:sz w:val="24"/>
          <w:szCs w:val="24"/>
          <w:lang w:val="en-US"/>
        </w:rPr>
        <w:t xml:space="preserve">In 2005, six observational cohort retrospective studies (6050 unique patients) were included in the first meta-analysis. Pooling of study results demonstrated that HBsAg in serum was an independent and significant risk factor for death (relative risk 2.49, 95% CI: 1.64-3.78) and for graft failure after RT, when compared to seronegative patients (relative risk 1.44, 95% CI: 1.02-2.04) (homogeneity test, p &lt;0.0001) </w:t>
      </w:r>
      <w:r w:rsidR="00C84475" w:rsidRPr="0045429A">
        <w:rPr>
          <w:rFonts w:ascii="Book Antiqua" w:hAnsi="Book Antiqua"/>
          <w:sz w:val="24"/>
          <w:szCs w:val="24"/>
          <w:vertAlign w:val="superscript"/>
          <w:lang w:val="en-US"/>
        </w:rPr>
        <w:t>[58]</w:t>
      </w:r>
      <w:r w:rsidR="00C84475" w:rsidRPr="0045429A">
        <w:rPr>
          <w:rFonts w:ascii="Book Antiqua" w:hAnsi="Book Antiqua"/>
          <w:sz w:val="24"/>
          <w:szCs w:val="24"/>
          <w:lang w:val="en-US"/>
        </w:rPr>
        <w:t>. These results have been updated in 2014: ten observational studies involving 82 690 unique RT recipients were included. The summary estimate for adjusted relative risk (aRR) of all-cause mortality was 2.214 (95% CI: 1.56-3.137, p &lt; 0.0001)</w:t>
      </w:r>
      <w:r w:rsidR="004E2291" w:rsidRPr="0045429A">
        <w:rPr>
          <w:rFonts w:ascii="Book Antiqua" w:hAnsi="Book Antiqua"/>
          <w:sz w:val="24"/>
          <w:szCs w:val="24"/>
          <w:lang w:val="en-US"/>
        </w:rPr>
        <w:t xml:space="preserve"> and for all-cause graft loss</w:t>
      </w:r>
      <w:r w:rsidR="00E04DB8" w:rsidRPr="0045429A">
        <w:rPr>
          <w:rFonts w:ascii="Book Antiqua" w:hAnsi="Book Antiqua"/>
          <w:sz w:val="24"/>
          <w:szCs w:val="24"/>
          <w:lang w:val="en-US"/>
        </w:rPr>
        <w:t xml:space="preserve"> aRR</w:t>
      </w:r>
      <w:r w:rsidR="004E2291" w:rsidRPr="0045429A">
        <w:rPr>
          <w:rFonts w:ascii="Book Antiqua" w:hAnsi="Book Antiqua"/>
          <w:sz w:val="24"/>
          <w:szCs w:val="24"/>
          <w:lang w:val="en-US"/>
        </w:rPr>
        <w:t xml:space="preserve"> was 1.44 (95% CI: 1.26-1.63, p &lt; 0.0001) </w:t>
      </w:r>
      <w:r w:rsidR="004E2291" w:rsidRPr="0045429A">
        <w:rPr>
          <w:rFonts w:ascii="Book Antiqua" w:hAnsi="Book Antiqua"/>
          <w:sz w:val="24"/>
          <w:szCs w:val="24"/>
          <w:vertAlign w:val="superscript"/>
          <w:lang w:val="en-US"/>
        </w:rPr>
        <w:t>[59]</w:t>
      </w:r>
      <w:r w:rsidR="004E2291" w:rsidRPr="0045429A">
        <w:rPr>
          <w:rFonts w:ascii="Book Antiqua" w:hAnsi="Book Antiqua"/>
          <w:sz w:val="24"/>
          <w:szCs w:val="24"/>
          <w:lang w:val="en-US"/>
        </w:rPr>
        <w:t xml:space="preserve">. Both </w:t>
      </w:r>
      <w:r w:rsidR="00E04DB8" w:rsidRPr="0045429A">
        <w:rPr>
          <w:rFonts w:ascii="Book Antiqua" w:hAnsi="Book Antiqua"/>
          <w:sz w:val="24"/>
          <w:szCs w:val="24"/>
          <w:lang w:val="en-US"/>
        </w:rPr>
        <w:t>meta-analyses</w:t>
      </w:r>
      <w:r w:rsidR="004E2291" w:rsidRPr="0045429A">
        <w:rPr>
          <w:rFonts w:ascii="Book Antiqua" w:hAnsi="Book Antiqua"/>
          <w:sz w:val="24"/>
          <w:szCs w:val="24"/>
          <w:lang w:val="en-US"/>
        </w:rPr>
        <w:t xml:space="preserve"> of observational studies </w:t>
      </w:r>
      <w:r w:rsidR="00E04DB8" w:rsidRPr="0045429A">
        <w:rPr>
          <w:rFonts w:ascii="Book Antiqua" w:hAnsi="Book Antiqua"/>
          <w:sz w:val="24"/>
          <w:szCs w:val="24"/>
          <w:lang w:val="en-US"/>
        </w:rPr>
        <w:t>support</w:t>
      </w:r>
      <w:r w:rsidR="004E2291" w:rsidRPr="0045429A">
        <w:rPr>
          <w:rFonts w:ascii="Book Antiqua" w:hAnsi="Book Antiqua"/>
          <w:sz w:val="24"/>
          <w:szCs w:val="24"/>
          <w:lang w:val="en-US"/>
        </w:rPr>
        <w:t xml:space="preserve"> the notion that untreated HBsAg positive patients after RT have an increased risk of mortality and graft loss.</w:t>
      </w:r>
    </w:p>
    <w:p w:rsidR="00C84475" w:rsidRPr="0045429A" w:rsidRDefault="00E04DB8"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As previously mentioned oral NUC therapy safely and effectively can suppress HBV replication in RT recipients</w:t>
      </w:r>
      <w:r w:rsidR="0033438A" w:rsidRPr="0045429A">
        <w:rPr>
          <w:rFonts w:ascii="Book Antiqua" w:hAnsi="Book Antiqua"/>
          <w:sz w:val="24"/>
          <w:szCs w:val="24"/>
          <w:lang w:val="en-US"/>
        </w:rPr>
        <w:t>.</w:t>
      </w:r>
      <w:r w:rsidRPr="0045429A">
        <w:rPr>
          <w:rFonts w:ascii="Book Antiqua" w:hAnsi="Book Antiqua"/>
          <w:sz w:val="24"/>
          <w:szCs w:val="24"/>
          <w:lang w:val="en-US"/>
        </w:rPr>
        <w:t xml:space="preserve"> </w:t>
      </w:r>
      <w:r w:rsidR="0033438A" w:rsidRPr="0045429A">
        <w:rPr>
          <w:rFonts w:ascii="Book Antiqua" w:hAnsi="Book Antiqua"/>
          <w:sz w:val="24"/>
          <w:szCs w:val="24"/>
          <w:lang w:val="en-US"/>
        </w:rPr>
        <w:t>Several studies had shown</w:t>
      </w:r>
      <w:r w:rsidRPr="0045429A">
        <w:rPr>
          <w:rFonts w:ascii="Book Antiqua" w:hAnsi="Book Antiqua"/>
          <w:sz w:val="24"/>
          <w:szCs w:val="24"/>
          <w:lang w:val="en-US"/>
        </w:rPr>
        <w:t xml:space="preserve"> </w:t>
      </w:r>
      <w:r w:rsidR="0033438A" w:rsidRPr="0045429A">
        <w:rPr>
          <w:rFonts w:ascii="Book Antiqua" w:hAnsi="Book Antiqua"/>
          <w:sz w:val="24"/>
          <w:szCs w:val="24"/>
          <w:lang w:val="en-US"/>
        </w:rPr>
        <w:t xml:space="preserve">that </w:t>
      </w:r>
      <w:r w:rsidRPr="0045429A">
        <w:rPr>
          <w:rFonts w:ascii="Book Antiqua" w:hAnsi="Book Antiqua"/>
          <w:sz w:val="24"/>
          <w:szCs w:val="24"/>
          <w:lang w:val="en-US"/>
        </w:rPr>
        <w:t>this antiviral effect may impact on long term graft and patients outcome</w:t>
      </w:r>
      <w:r w:rsidR="0033438A" w:rsidRPr="0045429A">
        <w:rPr>
          <w:rFonts w:ascii="Book Antiqua" w:hAnsi="Book Antiqua"/>
          <w:sz w:val="24"/>
          <w:szCs w:val="24"/>
          <w:lang w:val="en-US"/>
        </w:rPr>
        <w:t xml:space="preserve"> </w:t>
      </w:r>
      <w:r w:rsidR="0033438A" w:rsidRPr="0045429A">
        <w:rPr>
          <w:rFonts w:ascii="Book Antiqua" w:hAnsi="Book Antiqua"/>
          <w:sz w:val="24"/>
          <w:szCs w:val="24"/>
          <w:vertAlign w:val="superscript"/>
          <w:lang w:val="en-US"/>
        </w:rPr>
        <w:t>[31,60</w:t>
      </w:r>
      <w:r w:rsidR="00F93520" w:rsidRPr="0045429A">
        <w:rPr>
          <w:rFonts w:ascii="Book Antiqua" w:hAnsi="Book Antiqua"/>
          <w:sz w:val="24"/>
          <w:szCs w:val="24"/>
          <w:vertAlign w:val="superscript"/>
          <w:lang w:val="en-US"/>
        </w:rPr>
        <w:t>-63</w:t>
      </w:r>
      <w:r w:rsidR="0033438A" w:rsidRPr="0045429A">
        <w:rPr>
          <w:rFonts w:ascii="Book Antiqua" w:hAnsi="Book Antiqua"/>
          <w:sz w:val="24"/>
          <w:szCs w:val="24"/>
          <w:vertAlign w:val="superscript"/>
          <w:lang w:val="en-US"/>
        </w:rPr>
        <w:t>]</w:t>
      </w:r>
      <w:r w:rsidRPr="0045429A">
        <w:rPr>
          <w:rFonts w:ascii="Book Antiqua" w:hAnsi="Book Antiqua"/>
          <w:sz w:val="24"/>
          <w:szCs w:val="24"/>
          <w:lang w:val="en-US"/>
        </w:rPr>
        <w:t xml:space="preserve">. </w:t>
      </w:r>
      <w:r w:rsidR="00681574" w:rsidRPr="0045429A">
        <w:rPr>
          <w:rFonts w:ascii="Book Antiqua" w:hAnsi="Book Antiqua"/>
          <w:sz w:val="24"/>
          <w:szCs w:val="24"/>
          <w:lang w:val="en-US"/>
        </w:rPr>
        <w:t xml:space="preserve">In </w:t>
      </w:r>
      <w:r w:rsidR="0033438A" w:rsidRPr="0045429A">
        <w:rPr>
          <w:rFonts w:ascii="Book Antiqua" w:hAnsi="Book Antiqua"/>
          <w:sz w:val="24"/>
          <w:szCs w:val="24"/>
          <w:lang w:val="en-US"/>
        </w:rPr>
        <w:t xml:space="preserve">63 </w:t>
      </w:r>
      <w:r w:rsidR="00681574" w:rsidRPr="0045429A">
        <w:rPr>
          <w:rFonts w:ascii="Book Antiqua" w:hAnsi="Book Antiqua"/>
          <w:sz w:val="24"/>
          <w:szCs w:val="24"/>
          <w:lang w:val="en-US"/>
        </w:rPr>
        <w:t>LAM treated HBsAg positive RT recipients 10-year survival rate</w:t>
      </w:r>
      <w:r w:rsidR="0033438A" w:rsidRPr="0045429A">
        <w:rPr>
          <w:rFonts w:ascii="Book Antiqua" w:hAnsi="Book Antiqua"/>
          <w:sz w:val="24"/>
          <w:szCs w:val="24"/>
          <w:lang w:val="en-US"/>
        </w:rPr>
        <w:t xml:space="preserve"> was 81%</w:t>
      </w:r>
      <w:r w:rsidR="00681574" w:rsidRPr="0045429A">
        <w:rPr>
          <w:rFonts w:ascii="Book Antiqua" w:hAnsi="Book Antiqua"/>
          <w:sz w:val="24"/>
          <w:szCs w:val="24"/>
          <w:lang w:val="en-US"/>
        </w:rPr>
        <w:t xml:space="preserve"> and such results were nearly comparable to HBsAg negative patients </w:t>
      </w:r>
      <w:r w:rsidR="00681574" w:rsidRPr="0045429A">
        <w:rPr>
          <w:rFonts w:ascii="Book Antiqua" w:hAnsi="Book Antiqua"/>
          <w:sz w:val="24"/>
          <w:szCs w:val="24"/>
          <w:vertAlign w:val="superscript"/>
          <w:lang w:val="en-US"/>
        </w:rPr>
        <w:t>[31]</w:t>
      </w:r>
      <w:r w:rsidR="00681574" w:rsidRPr="0045429A">
        <w:rPr>
          <w:rFonts w:ascii="Book Antiqua" w:hAnsi="Book Antiqua"/>
          <w:sz w:val="24"/>
          <w:szCs w:val="24"/>
          <w:lang w:val="en-US"/>
        </w:rPr>
        <w:t xml:space="preserve">. With LAM as initial treatment, 62% of patients developed drug resistance after 4 years. Salvage treatment with ADV or ETV was well tolerated, and resulted in a three-log decrease in HBV DNA after 6 months of treatment in 75% of patients. Treatment of hepatitis B with NUCs resulted in significantly improved patient survival (83% vs. </w:t>
      </w:r>
      <w:r w:rsidR="00681574" w:rsidRPr="0045429A">
        <w:rPr>
          <w:rFonts w:ascii="Book Antiqua" w:hAnsi="Book Antiqua"/>
          <w:sz w:val="24"/>
          <w:szCs w:val="24"/>
          <w:lang w:val="en-US"/>
        </w:rPr>
        <w:lastRenderedPageBreak/>
        <w:t xml:space="preserve">34% at 20 years, p &lt; 0.006). Although antiviral treatment was associated with reduced mortality because of liver complications (p &lt; 0.036), liver-related deaths still accounted for 40% of mortalities in </w:t>
      </w:r>
      <w:r w:rsidR="00681574" w:rsidRPr="0045429A">
        <w:rPr>
          <w:rFonts w:ascii="Book Antiqua" w:hAnsi="Book Antiqua"/>
          <w:sz w:val="24"/>
          <w:szCs w:val="24"/>
          <w:highlight w:val="green"/>
          <w:lang w:val="en-US"/>
        </w:rPr>
        <w:t>HBsAg</w:t>
      </w:r>
      <w:r w:rsidR="009F102A" w:rsidRPr="0045429A">
        <w:rPr>
          <w:rFonts w:ascii="Book Antiqua" w:hAnsi="Book Antiqua"/>
          <w:sz w:val="24"/>
          <w:szCs w:val="24"/>
          <w:highlight w:val="green"/>
          <w:lang w:val="en-US"/>
        </w:rPr>
        <w:t xml:space="preserve"> positive </w:t>
      </w:r>
      <w:r w:rsidR="00681574" w:rsidRPr="0045429A">
        <w:rPr>
          <w:rFonts w:ascii="Book Antiqua" w:hAnsi="Book Antiqua"/>
          <w:sz w:val="24"/>
          <w:szCs w:val="24"/>
          <w:highlight w:val="green"/>
          <w:lang w:val="en-US"/>
        </w:rPr>
        <w:t>patients</w:t>
      </w:r>
      <w:r w:rsidR="00681574" w:rsidRPr="0045429A">
        <w:rPr>
          <w:rFonts w:ascii="Book Antiqua" w:hAnsi="Book Antiqua"/>
          <w:sz w:val="24"/>
          <w:szCs w:val="24"/>
          <w:lang w:val="en-US"/>
        </w:rPr>
        <w:t xml:space="preserve"> in the era of antiviral therapies and 22.2% of all deaths that occurred in patients who had received antiviral treatment </w:t>
      </w:r>
      <w:r w:rsidR="00681574" w:rsidRPr="0045429A">
        <w:rPr>
          <w:rFonts w:ascii="Book Antiqua" w:hAnsi="Book Antiqua"/>
          <w:sz w:val="24"/>
          <w:szCs w:val="24"/>
          <w:vertAlign w:val="superscript"/>
          <w:lang w:val="en-US"/>
        </w:rPr>
        <w:t>[31]</w:t>
      </w:r>
      <w:r w:rsidR="00681574" w:rsidRPr="0045429A">
        <w:rPr>
          <w:rFonts w:ascii="Book Antiqua" w:hAnsi="Book Antiqua"/>
          <w:sz w:val="24"/>
          <w:szCs w:val="24"/>
          <w:lang w:val="en-US"/>
        </w:rPr>
        <w:t xml:space="preserve">. </w:t>
      </w:r>
    </w:p>
    <w:p w:rsidR="00EB432F" w:rsidRPr="0045429A" w:rsidRDefault="0033438A"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 xml:space="preserve">Forty two RT patients were treated for long term with different NUCs regimens: at the end of the study 18 patients were receiving monotherapy (9 LAM, 2 ADV, and &amp; ETV) and 24 combination therapy (11 LAM + ADV, 2 LAM + TDF, 4 ETV + ADV, 6 ETV + TDF and 1 TDF + emtricitabine, FTC) </w:t>
      </w:r>
      <w:r w:rsidRPr="0045429A">
        <w:rPr>
          <w:rFonts w:ascii="Book Antiqua" w:hAnsi="Book Antiqua"/>
          <w:sz w:val="24"/>
          <w:szCs w:val="24"/>
          <w:vertAlign w:val="superscript"/>
          <w:lang w:val="en-US"/>
        </w:rPr>
        <w:t>[60]</w:t>
      </w:r>
      <w:r w:rsidRPr="0045429A">
        <w:rPr>
          <w:rFonts w:ascii="Book Antiqua" w:hAnsi="Book Antiqua"/>
          <w:sz w:val="24"/>
          <w:szCs w:val="24"/>
          <w:lang w:val="en-US"/>
        </w:rPr>
        <w:t xml:space="preserve">. All the 18 monotherapy patients had undetectable HBV DNA at the end of follow-up while 21 of the 24 patients under combination therapy (87.5%) had undetectable HBV DNA and 3 (12.5%) were still detectable but with HBV DNA titers below 300 IU/ml. Overall, 92.8% of the patients had undetectable HBV DNA at the last visit. </w:t>
      </w:r>
      <w:r w:rsidR="00EB432F" w:rsidRPr="0045429A">
        <w:rPr>
          <w:rFonts w:ascii="Book Antiqua" w:hAnsi="Book Antiqua"/>
          <w:sz w:val="24"/>
          <w:szCs w:val="24"/>
          <w:lang w:val="en-US"/>
        </w:rPr>
        <w:t xml:space="preserve">Patient survival was 97.6% (41/42) at 10 years, 95.2% (40/42) at 15 years, and 90.4% (38/42) at 20 years post-transplantation, while graft survival was 100% at 5 years, 97.6% (41/42) at 10 years, 95.2% (40/42) at 15 years, and 88.1% (38/42) at 20 years. At the end of follow-up, 8 patients (19.04%) died and one underwent a liver transplantation for decompensated cirrhosis. Four deaths were related to hepatocellular carcinoma (HCC), despite complete viral suppression, in 3 patients with baseline cirrhosis and in one patient with baseline mild liver fibrosis; the other 4 deaths were related to extrahepatic diseases </w:t>
      </w:r>
      <w:r w:rsidR="00EB432F" w:rsidRPr="0045429A">
        <w:rPr>
          <w:rFonts w:ascii="Book Antiqua" w:hAnsi="Book Antiqua"/>
          <w:sz w:val="24"/>
          <w:szCs w:val="24"/>
          <w:vertAlign w:val="superscript"/>
          <w:lang w:val="en-US"/>
        </w:rPr>
        <w:t>[60]</w:t>
      </w:r>
      <w:r w:rsidR="00EB432F" w:rsidRPr="0045429A">
        <w:rPr>
          <w:rFonts w:ascii="Book Antiqua" w:hAnsi="Book Antiqua"/>
          <w:sz w:val="24"/>
          <w:szCs w:val="24"/>
          <w:lang w:val="en-US"/>
        </w:rPr>
        <w:t xml:space="preserve">. During follow-up, 6 of the 42 patients (11.9%) lost their graft and resumed dialysis, mainly due to chronic rejection. Nineteen of the 42 patients (45.2%) required NUC dose adjustment to renal function </w:t>
      </w:r>
      <w:r w:rsidR="00EB432F" w:rsidRPr="0045429A">
        <w:rPr>
          <w:rFonts w:ascii="Book Antiqua" w:hAnsi="Book Antiqua"/>
          <w:sz w:val="24"/>
          <w:szCs w:val="24"/>
          <w:vertAlign w:val="superscript"/>
          <w:lang w:val="en-US"/>
        </w:rPr>
        <w:t>[60]</w:t>
      </w:r>
      <w:r w:rsidR="00EB432F" w:rsidRPr="0045429A">
        <w:rPr>
          <w:rFonts w:ascii="Book Antiqua" w:hAnsi="Book Antiqua"/>
          <w:sz w:val="24"/>
          <w:szCs w:val="24"/>
          <w:lang w:val="en-US"/>
        </w:rPr>
        <w:t>.</w:t>
      </w:r>
    </w:p>
    <w:p w:rsidR="002B24FE" w:rsidRPr="0045429A" w:rsidRDefault="002B24FE"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 xml:space="preserve">Thirty RT patients underwent long term NUC treatment; at the end of the study 25 were still living and on treatment and 24 have undetectable viremia. Eight patients remain on LAM monotherapy, 1 on ETV, 1 on TDF, 6 on LAM + ADV combination and 9 LAM + TDF </w:t>
      </w:r>
      <w:r w:rsidRPr="0045429A">
        <w:rPr>
          <w:rFonts w:ascii="Book Antiqua" w:hAnsi="Book Antiqua"/>
          <w:sz w:val="24"/>
          <w:szCs w:val="24"/>
          <w:vertAlign w:val="superscript"/>
          <w:lang w:val="en-US"/>
        </w:rPr>
        <w:t>[61]</w:t>
      </w:r>
      <w:r w:rsidRPr="0045429A">
        <w:rPr>
          <w:rFonts w:ascii="Book Antiqua" w:hAnsi="Book Antiqua"/>
          <w:sz w:val="24"/>
          <w:szCs w:val="24"/>
          <w:lang w:val="en-US"/>
        </w:rPr>
        <w:t xml:space="preserve">. Five patients died with no relation to the liver disease and 9 lost their graft due to chronic allograft nephropathy. In this cohort, 10 year patient </w:t>
      </w:r>
      <w:r w:rsidRPr="0045429A">
        <w:rPr>
          <w:rFonts w:ascii="Book Antiqua" w:hAnsi="Book Antiqua"/>
          <w:sz w:val="24"/>
          <w:szCs w:val="24"/>
          <w:lang w:val="en-US"/>
        </w:rPr>
        <w:lastRenderedPageBreak/>
        <w:t>survival was 92% and 10 year graft survival was 86%. No renal toxicities related to ADV/TDF were observed</w:t>
      </w:r>
      <w:r w:rsidR="00E24324" w:rsidRPr="0045429A">
        <w:rPr>
          <w:rFonts w:ascii="Book Antiqua" w:hAnsi="Book Antiqua"/>
          <w:sz w:val="24"/>
          <w:szCs w:val="24"/>
          <w:lang w:val="en-US"/>
        </w:rPr>
        <w:t xml:space="preserve"> </w:t>
      </w:r>
      <w:r w:rsidR="00E24324" w:rsidRPr="0045429A">
        <w:rPr>
          <w:rFonts w:ascii="Book Antiqua" w:hAnsi="Book Antiqua"/>
          <w:sz w:val="24"/>
          <w:szCs w:val="24"/>
          <w:vertAlign w:val="superscript"/>
          <w:lang w:val="en-US"/>
        </w:rPr>
        <w:t>[61]</w:t>
      </w:r>
      <w:r w:rsidRPr="0045429A">
        <w:rPr>
          <w:rFonts w:ascii="Book Antiqua" w:hAnsi="Book Antiqua"/>
          <w:sz w:val="24"/>
          <w:szCs w:val="24"/>
          <w:lang w:val="en-US"/>
        </w:rPr>
        <w:t>.</w:t>
      </w:r>
    </w:p>
    <w:p w:rsidR="00045039" w:rsidRPr="0045429A" w:rsidRDefault="00E24324"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 xml:space="preserve">Twenty five patients received pre-RT treatment with LAM (22 patients) and ETV (3 patients): 18 were HBV DNA negative (prophylactic group) and 8 were HBV DNA positive (preemptive group), and were compared to a historical control group </w:t>
      </w:r>
      <w:r w:rsidRPr="0045429A">
        <w:rPr>
          <w:rFonts w:ascii="Book Antiqua" w:hAnsi="Book Antiqua"/>
          <w:sz w:val="24"/>
          <w:szCs w:val="24"/>
          <w:vertAlign w:val="superscript"/>
          <w:lang w:val="en-US"/>
        </w:rPr>
        <w:t>[62]</w:t>
      </w:r>
      <w:r w:rsidRPr="0045429A">
        <w:rPr>
          <w:rFonts w:ascii="Book Antiqua" w:hAnsi="Book Antiqua"/>
          <w:sz w:val="24"/>
          <w:szCs w:val="24"/>
          <w:lang w:val="en-US"/>
        </w:rPr>
        <w:t xml:space="preserve">. Unadjusted 10-year graft survival rates in the treated subjects versus historical control subjects were 81.8% and 34.3%, respectively (p = 0.003). Graft failure among the treatment group occurred in </w:t>
      </w:r>
      <w:r w:rsidR="002E4E00" w:rsidRPr="0045429A">
        <w:rPr>
          <w:rFonts w:ascii="Book Antiqua" w:hAnsi="Book Antiqua"/>
          <w:sz w:val="24"/>
          <w:szCs w:val="24"/>
          <w:lang w:val="en-US"/>
        </w:rPr>
        <w:t>4.3%</w:t>
      </w:r>
      <w:r w:rsidRPr="0045429A">
        <w:rPr>
          <w:rFonts w:ascii="Book Antiqua" w:hAnsi="Book Antiqua"/>
          <w:sz w:val="24"/>
          <w:szCs w:val="24"/>
          <w:lang w:val="en-US"/>
        </w:rPr>
        <w:t xml:space="preserve"> whereas 70.3% historical control subjects experienced graft failures, mainly due to patient death</w:t>
      </w:r>
      <w:r w:rsidR="002E4E00" w:rsidRPr="0045429A">
        <w:rPr>
          <w:rFonts w:ascii="Book Antiqua" w:hAnsi="Book Antiqua"/>
          <w:sz w:val="24"/>
          <w:szCs w:val="24"/>
          <w:lang w:val="en-US"/>
        </w:rPr>
        <w:t>. Treated patients showed a better 10-year patient survival than the historical cohort: 90.0% vs. 57.4%; p = 0.013. Pre-transplantation antiviral therapy was an independent factor for the improved patient survival (</w:t>
      </w:r>
      <w:r w:rsidR="00045039" w:rsidRPr="0045429A">
        <w:rPr>
          <w:rFonts w:ascii="Book Antiqua" w:hAnsi="Book Antiqua"/>
          <w:sz w:val="24"/>
          <w:szCs w:val="24"/>
          <w:lang w:val="en-US"/>
        </w:rPr>
        <w:t>odds r</w:t>
      </w:r>
      <w:r w:rsidR="002E4E00" w:rsidRPr="0045429A">
        <w:rPr>
          <w:rFonts w:ascii="Book Antiqua" w:hAnsi="Book Antiqua"/>
          <w:sz w:val="24"/>
          <w:szCs w:val="24"/>
          <w:lang w:val="en-US"/>
        </w:rPr>
        <w:t xml:space="preserve">atio 0.052; p = 0.005). Among the historical control group, liver-related mortality was the leading cause of death, accounting for 84.6% of the cases, with sepsis contributing to 15.4% of them </w:t>
      </w:r>
      <w:r w:rsidR="002E4E00" w:rsidRPr="0045429A">
        <w:rPr>
          <w:rFonts w:ascii="Book Antiqua" w:hAnsi="Book Antiqua"/>
          <w:sz w:val="24"/>
          <w:szCs w:val="24"/>
          <w:vertAlign w:val="superscript"/>
          <w:lang w:val="en-US"/>
        </w:rPr>
        <w:t>[62]</w:t>
      </w:r>
      <w:r w:rsidR="002E4E00" w:rsidRPr="0045429A">
        <w:rPr>
          <w:rFonts w:ascii="Book Antiqua" w:hAnsi="Book Antiqua"/>
          <w:sz w:val="24"/>
          <w:szCs w:val="24"/>
          <w:lang w:val="en-US"/>
        </w:rPr>
        <w:t xml:space="preserve">. There were no significant differences in graft (100% vs. 71.4%) and patient survivals (100% vs. 85.7%) between the 2 treatment groups (p = 0.601) </w:t>
      </w:r>
      <w:r w:rsidR="002E4E00" w:rsidRPr="0045429A">
        <w:rPr>
          <w:rFonts w:ascii="Book Antiqua" w:hAnsi="Book Antiqua"/>
          <w:sz w:val="24"/>
          <w:szCs w:val="24"/>
          <w:vertAlign w:val="superscript"/>
          <w:lang w:val="en-US"/>
        </w:rPr>
        <w:t>[62]</w:t>
      </w:r>
      <w:r w:rsidR="002E4E00" w:rsidRPr="0045429A">
        <w:rPr>
          <w:rFonts w:ascii="Book Antiqua" w:hAnsi="Book Antiqua"/>
          <w:sz w:val="24"/>
          <w:szCs w:val="24"/>
          <w:lang w:val="en-US"/>
        </w:rPr>
        <w:t xml:space="preserve">. </w:t>
      </w:r>
    </w:p>
    <w:p w:rsidR="00E62CCD" w:rsidRPr="0045429A" w:rsidRDefault="002E4E00"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 xml:space="preserve"> </w:t>
      </w:r>
      <w:r w:rsidR="00045039" w:rsidRPr="0045429A">
        <w:rPr>
          <w:rFonts w:ascii="Book Antiqua" w:hAnsi="Book Antiqua"/>
          <w:sz w:val="24"/>
          <w:szCs w:val="24"/>
          <w:lang w:val="en-US"/>
        </w:rPr>
        <w:t xml:space="preserve">Only one study showed some conflicting results on NUC therapy impact in </w:t>
      </w:r>
      <w:r w:rsidR="00B94F35" w:rsidRPr="0045429A">
        <w:rPr>
          <w:rFonts w:ascii="Book Antiqua" w:hAnsi="Book Antiqua"/>
          <w:sz w:val="24"/>
          <w:szCs w:val="24"/>
          <w:lang w:val="en-US"/>
        </w:rPr>
        <w:t>patients’</w:t>
      </w:r>
      <w:r w:rsidR="00045039" w:rsidRPr="0045429A">
        <w:rPr>
          <w:rFonts w:ascii="Book Antiqua" w:hAnsi="Book Antiqua"/>
          <w:sz w:val="24"/>
          <w:szCs w:val="24"/>
          <w:lang w:val="en-US"/>
        </w:rPr>
        <w:t xml:space="preserve"> survival </w:t>
      </w:r>
      <w:r w:rsidR="00045039" w:rsidRPr="0045429A">
        <w:rPr>
          <w:rFonts w:ascii="Book Antiqua" w:hAnsi="Book Antiqua"/>
          <w:sz w:val="24"/>
          <w:szCs w:val="24"/>
          <w:vertAlign w:val="superscript"/>
          <w:lang w:val="en-US"/>
        </w:rPr>
        <w:t>[63]</w:t>
      </w:r>
      <w:r w:rsidR="00045039" w:rsidRPr="0045429A">
        <w:rPr>
          <w:rFonts w:ascii="Book Antiqua" w:hAnsi="Book Antiqua"/>
          <w:sz w:val="24"/>
          <w:szCs w:val="24"/>
          <w:lang w:val="en-US"/>
        </w:rPr>
        <w:t xml:space="preserve">. </w:t>
      </w:r>
      <w:r w:rsidR="00B94F35" w:rsidRPr="0045429A">
        <w:rPr>
          <w:rFonts w:ascii="Book Antiqua" w:hAnsi="Book Antiqua"/>
          <w:sz w:val="24"/>
          <w:szCs w:val="24"/>
          <w:lang w:val="en-US"/>
        </w:rPr>
        <w:t>The study included 94 HBV-positive and 282 age/sex-matched HBV-negative patients who underwent RT: 56 patients received an antiviral agent for prophylaxis (LAM 51, ETV 5), and other 18 for HBV reactivation. Although the patient survival rate was lower for HBV positive than HBV negative RTRs (89% vs. 94% at 5 years, 78% vs. 88% at 10 years, p = 0.031), graft survival was comparable (86% vs. 92% at 5 years, 73% vs. 81% at 10 years, p = 0.113). In multivariate analysis, HBsAg positive status was a significant risk factor for death (OR 2.19, 95% CI 1.14-4.20, p = 0.019), but not significant for graft loss (OR 1.64, 95% CI 0.94-2.86, p = 0.079)</w:t>
      </w:r>
      <w:r w:rsidR="00B94F35" w:rsidRPr="0045429A">
        <w:rPr>
          <w:rFonts w:ascii="Book Antiqua" w:hAnsi="Book Antiqua"/>
          <w:sz w:val="24"/>
          <w:szCs w:val="24"/>
          <w:vertAlign w:val="superscript"/>
          <w:lang w:val="en-US"/>
        </w:rPr>
        <w:t xml:space="preserve"> [63]</w:t>
      </w:r>
      <w:r w:rsidR="00B94F35" w:rsidRPr="0045429A">
        <w:rPr>
          <w:rFonts w:ascii="Book Antiqua" w:hAnsi="Book Antiqua"/>
          <w:sz w:val="24"/>
          <w:szCs w:val="24"/>
          <w:lang w:val="en-US"/>
        </w:rPr>
        <w:t xml:space="preserve">. </w:t>
      </w:r>
      <w:r w:rsidR="00E62CCD" w:rsidRPr="0045429A">
        <w:rPr>
          <w:rFonts w:ascii="Book Antiqua" w:hAnsi="Book Antiqua"/>
          <w:sz w:val="24"/>
          <w:szCs w:val="24"/>
          <w:lang w:val="en-US"/>
        </w:rPr>
        <w:t xml:space="preserve">HBeAg and HBV DNA Pretransplant status was not available for all the patients. Of the 26 HBeAg-positive patients, 14 were receiving antiviral prophylaxis at transplantation: 8 showed reactivation </w:t>
      </w:r>
      <w:r w:rsidR="00E62CCD" w:rsidRPr="0045429A">
        <w:rPr>
          <w:rFonts w:ascii="Book Antiqua" w:hAnsi="Book Antiqua"/>
          <w:sz w:val="24"/>
          <w:szCs w:val="24"/>
          <w:lang w:val="en-US"/>
        </w:rPr>
        <w:lastRenderedPageBreak/>
        <w:t xml:space="preserve">while 6/12 of the untreated developed reactivation. All survived with stable liver chemistry, except for one who died of hepatocellular carcinoma. Of 57 HBeAg-negative patients, 35 were started on antiviral prophylaxis at transplantation: 14 showed reactivation while 14/22 of the untreated developed reactivation. Among them, 12 died, whereas the remaining 45 survived without hepatic dysfunction </w:t>
      </w:r>
      <w:r w:rsidR="00E62CCD" w:rsidRPr="0045429A">
        <w:rPr>
          <w:rFonts w:ascii="Book Antiqua" w:hAnsi="Book Antiqua"/>
          <w:sz w:val="24"/>
          <w:szCs w:val="24"/>
          <w:vertAlign w:val="superscript"/>
          <w:lang w:val="en-US"/>
        </w:rPr>
        <w:t>[63]</w:t>
      </w:r>
      <w:r w:rsidR="00E62CCD" w:rsidRPr="0045429A">
        <w:rPr>
          <w:rFonts w:ascii="Book Antiqua" w:hAnsi="Book Antiqua"/>
          <w:sz w:val="24"/>
          <w:szCs w:val="24"/>
          <w:lang w:val="en-US"/>
        </w:rPr>
        <w:t xml:space="preserve">. Even though treated patients showed a </w:t>
      </w:r>
      <w:r w:rsidR="00F93520" w:rsidRPr="0045429A">
        <w:rPr>
          <w:rFonts w:ascii="Book Antiqua" w:hAnsi="Book Antiqua"/>
          <w:sz w:val="24"/>
          <w:szCs w:val="24"/>
          <w:lang w:val="en-US"/>
        </w:rPr>
        <w:t>reduced surv</w:t>
      </w:r>
      <w:r w:rsidR="009F102A" w:rsidRPr="0045429A">
        <w:rPr>
          <w:rFonts w:ascii="Book Antiqua" w:hAnsi="Book Antiqua"/>
          <w:sz w:val="24"/>
          <w:szCs w:val="24"/>
          <w:lang w:val="en-US"/>
        </w:rPr>
        <w:t xml:space="preserve">ival, </w:t>
      </w:r>
      <w:r w:rsidR="009F102A" w:rsidRPr="0045429A">
        <w:rPr>
          <w:rFonts w:ascii="Book Antiqua" w:hAnsi="Book Antiqua"/>
          <w:sz w:val="24"/>
          <w:szCs w:val="24"/>
          <w:highlight w:val="yellow"/>
          <w:lang w:val="en-US"/>
        </w:rPr>
        <w:t>it appears to be better than</w:t>
      </w:r>
      <w:r w:rsidR="00F93520" w:rsidRPr="0045429A">
        <w:rPr>
          <w:rFonts w:ascii="Book Antiqua" w:hAnsi="Book Antiqua"/>
          <w:sz w:val="24"/>
          <w:szCs w:val="24"/>
          <w:highlight w:val="yellow"/>
          <w:lang w:val="en-US"/>
        </w:rPr>
        <w:t xml:space="preserve"> the survival reported in untreated patients.</w:t>
      </w:r>
      <w:r w:rsidR="00E62CCD" w:rsidRPr="0045429A">
        <w:rPr>
          <w:rFonts w:ascii="Book Antiqua" w:hAnsi="Book Antiqua"/>
          <w:sz w:val="24"/>
          <w:szCs w:val="24"/>
          <w:lang w:val="en-US"/>
        </w:rPr>
        <w:t xml:space="preserve"> </w:t>
      </w:r>
    </w:p>
    <w:p w:rsidR="00681574" w:rsidRPr="0045429A" w:rsidRDefault="00F93520"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Treatment of HBsAg RT</w:t>
      </w:r>
      <w:r w:rsidR="00681574" w:rsidRPr="0045429A">
        <w:rPr>
          <w:rFonts w:ascii="Book Antiqua" w:hAnsi="Book Antiqua"/>
          <w:sz w:val="24"/>
          <w:szCs w:val="24"/>
          <w:lang w:val="en-US"/>
        </w:rPr>
        <w:t xml:space="preserve"> recipients with </w:t>
      </w:r>
      <w:r w:rsidRPr="0045429A">
        <w:rPr>
          <w:rFonts w:ascii="Book Antiqua" w:hAnsi="Book Antiqua"/>
          <w:sz w:val="24"/>
          <w:szCs w:val="24"/>
          <w:lang w:val="en-US"/>
        </w:rPr>
        <w:t>NUCs</w:t>
      </w:r>
      <w:r w:rsidR="00681574" w:rsidRPr="0045429A">
        <w:rPr>
          <w:rFonts w:ascii="Book Antiqua" w:hAnsi="Book Antiqua"/>
          <w:sz w:val="24"/>
          <w:szCs w:val="24"/>
          <w:lang w:val="en-US"/>
        </w:rPr>
        <w:t xml:space="preserve"> analogues confers </w:t>
      </w:r>
      <w:r w:rsidRPr="0045429A">
        <w:rPr>
          <w:rFonts w:ascii="Book Antiqua" w:hAnsi="Book Antiqua"/>
          <w:sz w:val="24"/>
          <w:szCs w:val="24"/>
          <w:lang w:val="en-US"/>
        </w:rPr>
        <w:t xml:space="preserve">a </w:t>
      </w:r>
      <w:r w:rsidR="00681574" w:rsidRPr="0045429A">
        <w:rPr>
          <w:rFonts w:ascii="Book Antiqua" w:hAnsi="Book Antiqua"/>
          <w:sz w:val="24"/>
          <w:szCs w:val="24"/>
          <w:lang w:val="en-US"/>
        </w:rPr>
        <w:t>long</w:t>
      </w:r>
      <w:r w:rsidR="0033438A" w:rsidRPr="0045429A">
        <w:rPr>
          <w:rFonts w:ascii="Book Antiqua" w:hAnsi="Book Antiqua"/>
          <w:sz w:val="24"/>
          <w:szCs w:val="24"/>
          <w:lang w:val="en-US"/>
        </w:rPr>
        <w:t xml:space="preserve"> </w:t>
      </w:r>
      <w:r w:rsidR="00681574" w:rsidRPr="0045429A">
        <w:rPr>
          <w:rFonts w:ascii="Book Antiqua" w:hAnsi="Book Antiqua"/>
          <w:sz w:val="24"/>
          <w:szCs w:val="24"/>
          <w:lang w:val="en-US"/>
        </w:rPr>
        <w:t xml:space="preserve">term </w:t>
      </w:r>
      <w:r w:rsidRPr="0045429A">
        <w:rPr>
          <w:rFonts w:ascii="Book Antiqua" w:hAnsi="Book Antiqua"/>
          <w:sz w:val="24"/>
          <w:szCs w:val="24"/>
          <w:lang w:val="en-US"/>
        </w:rPr>
        <w:t xml:space="preserve">patient and graft survival benefit. Studies have some limitations since most of the used LAM, which is not the best treatment option. More potent NUCs may add some benefit over LAM, but this still has to be demonstrated. </w:t>
      </w:r>
      <w:r w:rsidR="00681574" w:rsidRPr="0045429A">
        <w:rPr>
          <w:rFonts w:ascii="Book Antiqua" w:hAnsi="Book Antiqua"/>
          <w:sz w:val="24"/>
          <w:szCs w:val="24"/>
          <w:lang w:val="en-US"/>
        </w:rPr>
        <w:t xml:space="preserve"> </w:t>
      </w:r>
      <w:r w:rsidRPr="0045429A">
        <w:rPr>
          <w:rFonts w:ascii="Book Antiqua" w:hAnsi="Book Antiqua"/>
          <w:sz w:val="24"/>
          <w:szCs w:val="24"/>
          <w:lang w:val="en-US"/>
        </w:rPr>
        <w:t>R</w:t>
      </w:r>
      <w:r w:rsidR="00681574" w:rsidRPr="0045429A">
        <w:rPr>
          <w:rFonts w:ascii="Book Antiqua" w:hAnsi="Book Antiqua"/>
          <w:sz w:val="24"/>
          <w:szCs w:val="24"/>
          <w:lang w:val="en-US"/>
        </w:rPr>
        <w:t xml:space="preserve">escue therapy with </w:t>
      </w:r>
      <w:r w:rsidRPr="0045429A">
        <w:rPr>
          <w:rFonts w:ascii="Book Antiqua" w:hAnsi="Book Antiqua"/>
          <w:sz w:val="24"/>
          <w:szCs w:val="24"/>
          <w:lang w:val="en-US"/>
        </w:rPr>
        <w:t>TDF or ADV</w:t>
      </w:r>
      <w:r w:rsidR="00681574" w:rsidRPr="0045429A">
        <w:rPr>
          <w:rFonts w:ascii="Book Antiqua" w:hAnsi="Book Antiqua"/>
          <w:sz w:val="24"/>
          <w:szCs w:val="24"/>
          <w:lang w:val="en-US"/>
        </w:rPr>
        <w:t xml:space="preserve"> is effective and well tolerated in patients who had developed </w:t>
      </w:r>
      <w:r w:rsidRPr="0045429A">
        <w:rPr>
          <w:rFonts w:ascii="Book Antiqua" w:hAnsi="Book Antiqua"/>
          <w:sz w:val="24"/>
          <w:szCs w:val="24"/>
          <w:lang w:val="en-US"/>
        </w:rPr>
        <w:t>LAM-R</w:t>
      </w:r>
      <w:r w:rsidR="00681574" w:rsidRPr="0045429A">
        <w:rPr>
          <w:rFonts w:ascii="Book Antiqua" w:hAnsi="Book Antiqua"/>
          <w:sz w:val="24"/>
          <w:szCs w:val="24"/>
          <w:lang w:val="en-US"/>
        </w:rPr>
        <w:t>.</w:t>
      </w:r>
      <w:r w:rsidRPr="0045429A">
        <w:rPr>
          <w:rFonts w:ascii="Book Antiqua" w:hAnsi="Book Antiqua"/>
          <w:sz w:val="24"/>
          <w:szCs w:val="24"/>
          <w:lang w:val="en-US"/>
        </w:rPr>
        <w:t xml:space="preserve"> </w:t>
      </w:r>
      <w:r w:rsidR="00626079" w:rsidRPr="0045429A">
        <w:rPr>
          <w:rFonts w:ascii="Book Antiqua" w:hAnsi="Book Antiqua"/>
          <w:sz w:val="24"/>
          <w:szCs w:val="24"/>
          <w:lang w:val="en-US"/>
        </w:rPr>
        <w:t xml:space="preserve">Despite this clear benefit, all HBV infected patients must be closely </w:t>
      </w:r>
      <w:r w:rsidR="00626079" w:rsidRPr="0045429A">
        <w:rPr>
          <w:rFonts w:ascii="Book Antiqua" w:hAnsi="Book Antiqua"/>
          <w:sz w:val="24"/>
          <w:szCs w:val="24"/>
          <w:highlight w:val="green"/>
          <w:lang w:val="en-US"/>
        </w:rPr>
        <w:t xml:space="preserve">follow </w:t>
      </w:r>
      <w:r w:rsidR="009F102A" w:rsidRPr="0045429A">
        <w:rPr>
          <w:rFonts w:ascii="Book Antiqua" w:hAnsi="Book Antiqua"/>
          <w:sz w:val="24"/>
          <w:szCs w:val="24"/>
          <w:highlight w:val="green"/>
          <w:lang w:val="en-US"/>
        </w:rPr>
        <w:t>up</w:t>
      </w:r>
      <w:r w:rsidR="009F102A" w:rsidRPr="0045429A">
        <w:rPr>
          <w:rFonts w:ascii="Book Antiqua" w:hAnsi="Book Antiqua"/>
          <w:sz w:val="24"/>
          <w:szCs w:val="24"/>
          <w:lang w:val="en-US"/>
        </w:rPr>
        <w:t xml:space="preserve"> </w:t>
      </w:r>
      <w:r w:rsidR="00626079" w:rsidRPr="0045429A">
        <w:rPr>
          <w:rFonts w:ascii="Book Antiqua" w:hAnsi="Book Antiqua"/>
          <w:sz w:val="24"/>
          <w:szCs w:val="24"/>
          <w:lang w:val="en-US"/>
        </w:rPr>
        <w:t xml:space="preserve">and HCC screening must be performed every six months, since </w:t>
      </w:r>
      <w:r w:rsidR="009F102A" w:rsidRPr="0045429A">
        <w:rPr>
          <w:rFonts w:ascii="Book Antiqua" w:hAnsi="Book Antiqua"/>
          <w:sz w:val="24"/>
          <w:szCs w:val="24"/>
          <w:highlight w:val="green"/>
          <w:lang w:val="en-US"/>
        </w:rPr>
        <w:t>the</w:t>
      </w:r>
      <w:r w:rsidR="00626079" w:rsidRPr="0045429A">
        <w:rPr>
          <w:rFonts w:ascii="Book Antiqua" w:hAnsi="Book Antiqua"/>
          <w:sz w:val="24"/>
          <w:szCs w:val="24"/>
          <w:highlight w:val="green"/>
          <w:lang w:val="en-US"/>
        </w:rPr>
        <w:t xml:space="preserve"> risk</w:t>
      </w:r>
      <w:r w:rsidR="009F102A" w:rsidRPr="0045429A">
        <w:rPr>
          <w:rFonts w:ascii="Book Antiqua" w:hAnsi="Book Antiqua"/>
          <w:sz w:val="24"/>
          <w:szCs w:val="24"/>
          <w:highlight w:val="green"/>
          <w:lang w:val="en-US"/>
        </w:rPr>
        <w:t xml:space="preserve"> of HCC development</w:t>
      </w:r>
      <w:r w:rsidR="00626079" w:rsidRPr="0045429A">
        <w:rPr>
          <w:rFonts w:ascii="Book Antiqua" w:hAnsi="Book Antiqua"/>
          <w:sz w:val="24"/>
          <w:szCs w:val="24"/>
          <w:lang w:val="en-US"/>
        </w:rPr>
        <w:t xml:space="preserve"> may not entirely disappears even in the presence of virological response </w:t>
      </w:r>
      <w:r w:rsidR="00626079" w:rsidRPr="0045429A">
        <w:rPr>
          <w:rFonts w:ascii="Book Antiqua" w:hAnsi="Book Antiqua"/>
          <w:sz w:val="24"/>
          <w:szCs w:val="24"/>
          <w:vertAlign w:val="superscript"/>
          <w:lang w:val="en-US"/>
        </w:rPr>
        <w:t>[60,64]</w:t>
      </w:r>
      <w:r w:rsidR="00626079" w:rsidRPr="0045429A">
        <w:rPr>
          <w:rFonts w:ascii="Book Antiqua" w:hAnsi="Book Antiqua"/>
          <w:sz w:val="24"/>
          <w:szCs w:val="24"/>
          <w:lang w:val="en-US"/>
        </w:rPr>
        <w:t xml:space="preserve">. </w:t>
      </w:r>
    </w:p>
    <w:p w:rsidR="00EC7A4A" w:rsidRPr="0045429A" w:rsidRDefault="00375683" w:rsidP="0045429A">
      <w:pPr>
        <w:spacing w:line="360" w:lineRule="auto"/>
        <w:jc w:val="both"/>
        <w:rPr>
          <w:rFonts w:ascii="Book Antiqua" w:hAnsi="Book Antiqua"/>
          <w:b/>
          <w:sz w:val="24"/>
          <w:szCs w:val="24"/>
          <w:lang w:val="en-US"/>
        </w:rPr>
      </w:pPr>
      <w:r w:rsidRPr="0045429A">
        <w:rPr>
          <w:rFonts w:ascii="Book Antiqua" w:hAnsi="Book Antiqua"/>
          <w:b/>
          <w:sz w:val="24"/>
          <w:szCs w:val="24"/>
          <w:lang w:val="en-US"/>
        </w:rPr>
        <w:t>DURATION OF THERAPY AND EVALUATION OF RESPONSE</w:t>
      </w:r>
    </w:p>
    <w:p w:rsidR="00EC7A4A" w:rsidRPr="0045429A" w:rsidRDefault="00EC7A4A"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The optimal durati</w:t>
      </w:r>
      <w:r w:rsidR="002A285D" w:rsidRPr="0045429A">
        <w:rPr>
          <w:rFonts w:ascii="Book Antiqua" w:hAnsi="Book Antiqua"/>
          <w:sz w:val="24"/>
          <w:szCs w:val="24"/>
          <w:lang w:val="en-US"/>
        </w:rPr>
        <w:t xml:space="preserve">on of therapy that ensures long </w:t>
      </w:r>
      <w:r w:rsidRPr="0045429A">
        <w:rPr>
          <w:rFonts w:ascii="Book Antiqua" w:hAnsi="Book Antiqua"/>
          <w:sz w:val="24"/>
          <w:szCs w:val="24"/>
          <w:lang w:val="en-US"/>
        </w:rPr>
        <w:t>term remission of viremia and maintenance of normal liver function and minimizes the development of resistance</w:t>
      </w:r>
      <w:r w:rsidR="00B1782F" w:rsidRPr="0045429A">
        <w:rPr>
          <w:rFonts w:ascii="Book Antiqua" w:hAnsi="Book Antiqua"/>
          <w:sz w:val="24"/>
          <w:szCs w:val="24"/>
          <w:lang w:val="en-US"/>
        </w:rPr>
        <w:t xml:space="preserve"> in RT recipients</w:t>
      </w:r>
      <w:r w:rsidRPr="0045429A">
        <w:rPr>
          <w:rFonts w:ascii="Book Antiqua" w:hAnsi="Book Antiqua"/>
          <w:sz w:val="24"/>
          <w:szCs w:val="24"/>
          <w:lang w:val="en-US"/>
        </w:rPr>
        <w:t xml:space="preserve"> is not known </w:t>
      </w:r>
      <w:r w:rsidRPr="0045429A">
        <w:rPr>
          <w:rFonts w:ascii="Book Antiqua" w:hAnsi="Book Antiqua"/>
          <w:sz w:val="24"/>
          <w:szCs w:val="24"/>
          <w:vertAlign w:val="superscript"/>
          <w:lang w:val="en-US"/>
        </w:rPr>
        <w:t>[15]</w:t>
      </w:r>
      <w:r w:rsidRPr="0045429A">
        <w:rPr>
          <w:rFonts w:ascii="Book Antiqua" w:hAnsi="Book Antiqua"/>
          <w:sz w:val="24"/>
          <w:szCs w:val="24"/>
          <w:lang w:val="en-US"/>
        </w:rPr>
        <w:t>.</w:t>
      </w:r>
      <w:r w:rsidR="00B1782F" w:rsidRPr="0045429A">
        <w:rPr>
          <w:rFonts w:ascii="Book Antiqua" w:hAnsi="Book Antiqua"/>
          <w:sz w:val="24"/>
          <w:szCs w:val="24"/>
          <w:lang w:val="en-US"/>
        </w:rPr>
        <w:t xml:space="preserve"> Current guidelines clearly define how to monitor on treatment response, what are the therapeutic endpoints and when it is possible to stop treatment</w:t>
      </w:r>
      <w:r w:rsidR="009E7B32" w:rsidRPr="0045429A">
        <w:rPr>
          <w:rFonts w:ascii="Book Antiqua" w:hAnsi="Book Antiqua"/>
          <w:sz w:val="24"/>
          <w:szCs w:val="24"/>
          <w:lang w:val="en-US"/>
        </w:rPr>
        <w:t xml:space="preserve"> (Table 2)</w:t>
      </w:r>
      <w:r w:rsidR="00B1782F" w:rsidRPr="0045429A">
        <w:rPr>
          <w:rFonts w:ascii="Book Antiqua" w:hAnsi="Book Antiqua"/>
          <w:sz w:val="24"/>
          <w:szCs w:val="24"/>
          <w:lang w:val="en-US"/>
        </w:rPr>
        <w:t xml:space="preserve"> </w:t>
      </w:r>
      <w:r w:rsidR="00B1782F" w:rsidRPr="0045429A">
        <w:rPr>
          <w:rFonts w:ascii="Book Antiqua" w:hAnsi="Book Antiqua"/>
          <w:sz w:val="24"/>
          <w:szCs w:val="24"/>
          <w:vertAlign w:val="superscript"/>
          <w:lang w:val="en-US"/>
        </w:rPr>
        <w:t>[9,10]</w:t>
      </w:r>
      <w:r w:rsidR="00B1782F" w:rsidRPr="0045429A">
        <w:rPr>
          <w:rFonts w:ascii="Book Antiqua" w:hAnsi="Book Antiqua"/>
          <w:sz w:val="24"/>
          <w:szCs w:val="24"/>
          <w:lang w:val="en-US"/>
        </w:rPr>
        <w:t xml:space="preserve">. </w:t>
      </w:r>
      <w:r w:rsidR="009E7B32" w:rsidRPr="0045429A">
        <w:rPr>
          <w:rFonts w:ascii="Book Antiqua" w:hAnsi="Book Antiqua"/>
          <w:sz w:val="24"/>
          <w:szCs w:val="24"/>
          <w:lang w:val="en-US"/>
        </w:rPr>
        <w:t xml:space="preserve">In the case of NUC therapy, there are some terms regarding resistance that have also been defined. These is particularly important in this population, since some patients had initiated treatment long time ago with old NUCs such as LAM (Table 3) </w:t>
      </w:r>
      <w:r w:rsidR="009E7B32" w:rsidRPr="0045429A">
        <w:rPr>
          <w:rFonts w:ascii="Book Antiqua" w:hAnsi="Book Antiqua"/>
          <w:sz w:val="24"/>
          <w:szCs w:val="24"/>
          <w:vertAlign w:val="superscript"/>
          <w:lang w:val="en-US"/>
        </w:rPr>
        <w:t>[9,10]</w:t>
      </w:r>
      <w:r w:rsidR="009E7B32" w:rsidRPr="0045429A">
        <w:rPr>
          <w:rFonts w:ascii="Book Antiqua" w:hAnsi="Book Antiqua"/>
          <w:sz w:val="24"/>
          <w:szCs w:val="24"/>
          <w:lang w:val="en-US"/>
        </w:rPr>
        <w:t>.</w:t>
      </w:r>
      <w:r w:rsidR="00394663" w:rsidRPr="0045429A">
        <w:rPr>
          <w:rFonts w:ascii="Book Antiqua" w:hAnsi="Book Antiqua"/>
          <w:sz w:val="24"/>
          <w:szCs w:val="24"/>
          <w:lang w:val="en-US"/>
        </w:rPr>
        <w:t xml:space="preserve"> </w:t>
      </w:r>
    </w:p>
    <w:p w:rsidR="00B1782F" w:rsidRPr="0045429A" w:rsidRDefault="00394663"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 xml:space="preserve">The duration of treatment depends on HBeAg status.  In HBeAg positive chronic hepatitis B patients, NUC treatment should be continued until the patient has </w:t>
      </w:r>
      <w:r w:rsidRPr="0045429A">
        <w:rPr>
          <w:rFonts w:ascii="Book Antiqua" w:hAnsi="Book Antiqua"/>
          <w:sz w:val="24"/>
          <w:szCs w:val="24"/>
          <w:lang w:val="en-US"/>
        </w:rPr>
        <w:lastRenderedPageBreak/>
        <w:t>achieved HBeAg seroconversion and undetectable serum HBV DNA and completed at least 6 to 12 months of additional treatment (consolidation therapy) after appearance of antiHBe. It is recommended to</w:t>
      </w:r>
      <w:r w:rsidRPr="0045429A">
        <w:rPr>
          <w:rFonts w:ascii="Book Antiqua" w:hAnsi="Book Antiqua" w:cs="Calibri"/>
          <w:sz w:val="24"/>
          <w:szCs w:val="24"/>
          <w:lang w:val="en-US"/>
        </w:rPr>
        <w:t xml:space="preserve"> closely monitoring for relapse after</w:t>
      </w:r>
      <w:r w:rsidRPr="0045429A">
        <w:rPr>
          <w:rFonts w:ascii="Book Antiqua" w:hAnsi="Book Antiqua"/>
          <w:sz w:val="24"/>
          <w:szCs w:val="24"/>
          <w:lang w:val="en-US"/>
        </w:rPr>
        <w:t xml:space="preserve"> treatment withdrawal. </w:t>
      </w:r>
      <w:r w:rsidR="002A285D" w:rsidRPr="0045429A">
        <w:rPr>
          <w:rFonts w:ascii="Book Antiqua" w:hAnsi="Book Antiqua"/>
          <w:sz w:val="24"/>
          <w:szCs w:val="24"/>
          <w:lang w:val="en-US"/>
        </w:rPr>
        <w:t xml:space="preserve">Relapse, even in patients achieving adequate virological response is a possibility, but their rates tend to be low </w:t>
      </w:r>
      <w:r w:rsidR="002A285D" w:rsidRPr="0045429A">
        <w:rPr>
          <w:rFonts w:ascii="Book Antiqua" w:hAnsi="Book Antiqua"/>
          <w:sz w:val="24"/>
          <w:szCs w:val="24"/>
          <w:vertAlign w:val="superscript"/>
          <w:lang w:val="en-US"/>
        </w:rPr>
        <w:t>[65]</w:t>
      </w:r>
      <w:r w:rsidR="002A285D" w:rsidRPr="0045429A">
        <w:rPr>
          <w:rFonts w:ascii="Book Antiqua" w:hAnsi="Book Antiqua"/>
          <w:sz w:val="24"/>
          <w:szCs w:val="24"/>
          <w:lang w:val="en-US"/>
        </w:rPr>
        <w:t xml:space="preserve">. </w:t>
      </w:r>
      <w:r w:rsidRPr="0045429A">
        <w:rPr>
          <w:rFonts w:ascii="Book Antiqua" w:hAnsi="Book Antiqua"/>
          <w:sz w:val="24"/>
          <w:szCs w:val="24"/>
          <w:lang w:val="en-US"/>
        </w:rPr>
        <w:t xml:space="preserve">In the case of HBeAg negative chronic hepatitis B patients, NUC treatment should be continued until the patient has achieved HBsAg clearance </w:t>
      </w:r>
      <w:r w:rsidRPr="0045429A">
        <w:rPr>
          <w:rFonts w:ascii="Book Antiqua" w:hAnsi="Book Antiqua"/>
          <w:sz w:val="24"/>
          <w:szCs w:val="24"/>
          <w:vertAlign w:val="superscript"/>
          <w:lang w:val="en-US"/>
        </w:rPr>
        <w:t>[9,10]</w:t>
      </w:r>
      <w:r w:rsidRPr="0045429A">
        <w:rPr>
          <w:rFonts w:ascii="Book Antiqua" w:hAnsi="Book Antiqua"/>
          <w:sz w:val="24"/>
          <w:szCs w:val="24"/>
          <w:lang w:val="en-US"/>
        </w:rPr>
        <w:t xml:space="preserve">. </w:t>
      </w:r>
      <w:r w:rsidR="002A285D" w:rsidRPr="0045429A">
        <w:rPr>
          <w:rFonts w:ascii="Book Antiqua" w:hAnsi="Book Antiqua"/>
          <w:sz w:val="24"/>
          <w:szCs w:val="24"/>
          <w:lang w:val="en-US"/>
        </w:rPr>
        <w:t xml:space="preserve">These recommendations might be applied to treatment in RT recipients to ensure treatment success, but </w:t>
      </w:r>
      <w:r w:rsidR="007F2804" w:rsidRPr="0045429A">
        <w:rPr>
          <w:rFonts w:ascii="Book Antiqua" w:hAnsi="Book Antiqua"/>
          <w:sz w:val="24"/>
          <w:szCs w:val="24"/>
          <w:lang w:val="en-US"/>
        </w:rPr>
        <w:t>outcomes after NUCs withdrawal in RT immunosuppressed patients is unknown.</w:t>
      </w:r>
    </w:p>
    <w:p w:rsidR="007F2804" w:rsidRPr="0045429A" w:rsidRDefault="007F2804"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 xml:space="preserve">A small recent study evaluated the long term outcomes after withdrawal of an antiviral agent in RT patients with chronic HBV </w:t>
      </w:r>
      <w:r w:rsidRPr="0045429A">
        <w:rPr>
          <w:rFonts w:ascii="Book Antiqua" w:hAnsi="Book Antiqua"/>
          <w:sz w:val="24"/>
          <w:szCs w:val="24"/>
          <w:vertAlign w:val="superscript"/>
          <w:lang w:val="en-US"/>
        </w:rPr>
        <w:t>[66]</w:t>
      </w:r>
      <w:r w:rsidRPr="0045429A">
        <w:rPr>
          <w:rFonts w:ascii="Book Antiqua" w:hAnsi="Book Antiqua"/>
          <w:sz w:val="24"/>
          <w:szCs w:val="24"/>
          <w:lang w:val="en-US"/>
        </w:rPr>
        <w:t>. Fourteen patients treated with LAM (11 patients), ADV (1 patient), ETV (1 patient), and LdT (1 patient) were included in this study. Treatments were withdrawn in patients who met all of the following 7 criteria: (i) no clinical and histologic evidence of cirrhosis, (ii) normal liver biochemistry, (iii) negative for both HBV DNA and hepatitis B envelope antigen (HBeAg), (iv) no resistance to antiviral agent, (v) antiviral therapy &gt; 9 months, (vi) maintenance dosage of immunosuppressant for &gt; 3 months, and (vii) no history of acute rejection during recent 6 months</w:t>
      </w:r>
      <w:r w:rsidR="00620F5E" w:rsidRPr="0045429A">
        <w:rPr>
          <w:rFonts w:ascii="Book Antiqua" w:hAnsi="Book Antiqua"/>
          <w:sz w:val="24"/>
          <w:szCs w:val="24"/>
          <w:lang w:val="en-US"/>
        </w:rPr>
        <w:t xml:space="preserve"> </w:t>
      </w:r>
      <w:r w:rsidR="00620F5E" w:rsidRPr="0045429A">
        <w:rPr>
          <w:rFonts w:ascii="Book Antiqua" w:hAnsi="Book Antiqua"/>
          <w:sz w:val="24"/>
          <w:szCs w:val="24"/>
          <w:vertAlign w:val="superscript"/>
          <w:lang w:val="en-US"/>
        </w:rPr>
        <w:t>[66]</w:t>
      </w:r>
      <w:r w:rsidRPr="0045429A">
        <w:rPr>
          <w:rFonts w:ascii="Book Antiqua" w:hAnsi="Book Antiqua"/>
          <w:sz w:val="24"/>
          <w:szCs w:val="24"/>
          <w:lang w:val="en-US"/>
        </w:rPr>
        <w:t>. All patients were followed regularly at approximately 3-6 months for liver enzyme, viral markers, and HBV DNA level after antiviral withdrawal. Discontinuation of antiviral agent was attempted in 6 (42.9%) of 14 patients who satisfied the criteria. Four (66.7%) of 6 patients were successfully withdrawn and remained negative for HBV DNA for a median 60.5 months (range, 47-82 months). Two reactivated patients resumed antiviral treatment immediately, with subsequent normalization of HBV DNA</w:t>
      </w:r>
      <w:r w:rsidR="00620F5E" w:rsidRPr="0045429A">
        <w:rPr>
          <w:rFonts w:ascii="Book Antiqua" w:hAnsi="Book Antiqua"/>
          <w:sz w:val="24"/>
          <w:szCs w:val="24"/>
          <w:lang w:val="en-US"/>
        </w:rPr>
        <w:t xml:space="preserve"> </w:t>
      </w:r>
      <w:r w:rsidR="00620F5E" w:rsidRPr="0045429A">
        <w:rPr>
          <w:rFonts w:ascii="Book Antiqua" w:hAnsi="Book Antiqua"/>
          <w:sz w:val="24"/>
          <w:szCs w:val="24"/>
          <w:vertAlign w:val="superscript"/>
          <w:lang w:val="en-US"/>
        </w:rPr>
        <w:t>[66]</w:t>
      </w:r>
      <w:r w:rsidRPr="0045429A">
        <w:rPr>
          <w:rFonts w:ascii="Book Antiqua" w:hAnsi="Book Antiqua"/>
          <w:sz w:val="24"/>
          <w:szCs w:val="24"/>
          <w:lang w:val="en-US"/>
        </w:rPr>
        <w:t xml:space="preserve">. On the contrary, </w:t>
      </w:r>
      <w:r w:rsidR="00620F5E" w:rsidRPr="0045429A">
        <w:rPr>
          <w:rFonts w:ascii="Book Antiqua" w:hAnsi="Book Antiqua"/>
          <w:sz w:val="24"/>
          <w:szCs w:val="24"/>
          <w:lang w:val="en-US"/>
        </w:rPr>
        <w:t xml:space="preserve">in </w:t>
      </w:r>
      <w:r w:rsidRPr="0045429A">
        <w:rPr>
          <w:rFonts w:ascii="Book Antiqua" w:hAnsi="Book Antiqua"/>
          <w:sz w:val="24"/>
          <w:szCs w:val="24"/>
          <w:lang w:val="en-US"/>
        </w:rPr>
        <w:t xml:space="preserve">LAM treatment discontinuation in 19 RT recipients after 2 years of treatment </w:t>
      </w:r>
      <w:r w:rsidR="00620F5E" w:rsidRPr="0045429A">
        <w:rPr>
          <w:rFonts w:ascii="Book Antiqua" w:hAnsi="Book Antiqua"/>
          <w:sz w:val="24"/>
          <w:szCs w:val="24"/>
          <w:lang w:val="en-US"/>
        </w:rPr>
        <w:t xml:space="preserve">without adequate virological response, relapse rate was high (75%) </w:t>
      </w:r>
      <w:r w:rsidR="00620F5E" w:rsidRPr="0045429A">
        <w:rPr>
          <w:rFonts w:ascii="Book Antiqua" w:hAnsi="Book Antiqua"/>
          <w:sz w:val="24"/>
          <w:szCs w:val="24"/>
          <w:vertAlign w:val="superscript"/>
          <w:lang w:val="en-US"/>
        </w:rPr>
        <w:t>[67]</w:t>
      </w:r>
      <w:r w:rsidR="00620F5E" w:rsidRPr="0045429A">
        <w:rPr>
          <w:rFonts w:ascii="Book Antiqua" w:hAnsi="Book Antiqua"/>
          <w:sz w:val="24"/>
          <w:szCs w:val="24"/>
          <w:lang w:val="en-US"/>
        </w:rPr>
        <w:t xml:space="preserve">. Even though evidence is scarce, it seems that NUC therapy can be discontinued </w:t>
      </w:r>
      <w:r w:rsidR="00620F5E" w:rsidRPr="0045429A">
        <w:rPr>
          <w:rFonts w:ascii="Book Antiqua" w:hAnsi="Book Antiqua"/>
          <w:sz w:val="24"/>
          <w:szCs w:val="24"/>
          <w:lang w:val="en-US"/>
        </w:rPr>
        <w:lastRenderedPageBreak/>
        <w:t>successfully and safely in selected RT recipients, after complete suppression of HBV and sufficient duration of antiviral therapy.</w:t>
      </w:r>
    </w:p>
    <w:p w:rsidR="00ED7449" w:rsidRPr="0045429A" w:rsidRDefault="00375683" w:rsidP="0045429A">
      <w:pPr>
        <w:spacing w:line="360" w:lineRule="auto"/>
        <w:jc w:val="both"/>
        <w:rPr>
          <w:rFonts w:ascii="Book Antiqua" w:hAnsi="Book Antiqua"/>
          <w:sz w:val="24"/>
          <w:szCs w:val="24"/>
          <w:lang w:val="en-US"/>
        </w:rPr>
      </w:pPr>
      <w:r w:rsidRPr="0045429A">
        <w:rPr>
          <w:rFonts w:ascii="Book Antiqua" w:hAnsi="Book Antiqua"/>
          <w:b/>
          <w:sz w:val="24"/>
          <w:szCs w:val="24"/>
          <w:lang w:val="en-US"/>
        </w:rPr>
        <w:t xml:space="preserve">IMPACT OF NUCLEOS(T)IDE ANALOGUES ON RENAL FUNCTION </w:t>
      </w:r>
    </w:p>
    <w:p w:rsidR="00AC625E" w:rsidRPr="0045429A" w:rsidRDefault="00AC625E"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 xml:space="preserve">Nucleos(t)ide analogues </w:t>
      </w:r>
      <w:r w:rsidR="007D5C71" w:rsidRPr="0045429A">
        <w:rPr>
          <w:rFonts w:ascii="Book Antiqua" w:hAnsi="Book Antiqua"/>
          <w:sz w:val="24"/>
          <w:szCs w:val="24"/>
          <w:lang w:val="en-US"/>
        </w:rPr>
        <w:t>are primarily excreted unchanged in the urine following ingestion</w:t>
      </w:r>
      <w:r w:rsidRPr="0045429A">
        <w:rPr>
          <w:rFonts w:ascii="Book Antiqua" w:hAnsi="Book Antiqua"/>
          <w:sz w:val="24"/>
          <w:szCs w:val="24"/>
          <w:lang w:val="en-US"/>
        </w:rPr>
        <w:t xml:space="preserve">, and appropriate dosing adjustments are recommended for patients with creatinine clearance &lt;50 ml/min (Table 1). Treatment guidelines recommend that all patients starting NUC therapy should be tested for serum creatinine levels and estimated creatinine clearance before treatment; and baseline renal risk should be assessed for all patients </w:t>
      </w:r>
      <w:r w:rsidRPr="0045429A">
        <w:rPr>
          <w:rFonts w:ascii="Book Antiqua" w:hAnsi="Book Antiqua"/>
          <w:sz w:val="24"/>
          <w:szCs w:val="24"/>
          <w:vertAlign w:val="superscript"/>
          <w:lang w:val="en-US"/>
        </w:rPr>
        <w:t>[9,10]</w:t>
      </w:r>
      <w:r w:rsidRPr="0045429A">
        <w:rPr>
          <w:rFonts w:ascii="Book Antiqua" w:hAnsi="Book Antiqua"/>
          <w:sz w:val="24"/>
          <w:szCs w:val="24"/>
          <w:lang w:val="en-US"/>
        </w:rPr>
        <w:t xml:space="preserve">. High </w:t>
      </w:r>
      <w:r w:rsidR="007D5C71" w:rsidRPr="0045429A">
        <w:rPr>
          <w:rFonts w:ascii="Book Antiqua" w:hAnsi="Book Antiqua"/>
          <w:sz w:val="24"/>
          <w:szCs w:val="24"/>
          <w:lang w:val="en-US"/>
        </w:rPr>
        <w:t xml:space="preserve">baseline </w:t>
      </w:r>
      <w:r w:rsidRPr="0045429A">
        <w:rPr>
          <w:rFonts w:ascii="Book Antiqua" w:hAnsi="Book Antiqua"/>
          <w:sz w:val="24"/>
          <w:szCs w:val="24"/>
          <w:lang w:val="en-US"/>
        </w:rPr>
        <w:t xml:space="preserve">renal risk includes one or more of the following factors: decompensated cirrhosis, creatinine clearance &lt;60 ml/min, poorly controlled hypertension, proteinuria, uncontrolled diabetes, active glomerulonephritis, concomitant nephrotoxic drugs and solid organ transplantation. In consequence, RT recipients may have many of these basal renal risk factors.  </w:t>
      </w:r>
    </w:p>
    <w:p w:rsidR="00963D87" w:rsidRPr="0045429A" w:rsidRDefault="007C63C9"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 xml:space="preserve">In clinical trials outside renal transplant setting, minimal rates of renal function decline have been reported with all NUCs, except perhaps for LdT which seems to improve the creatinine clearance </w:t>
      </w:r>
      <w:r w:rsidRPr="0045429A">
        <w:rPr>
          <w:rFonts w:ascii="Book Antiqua" w:hAnsi="Book Antiqua"/>
          <w:sz w:val="24"/>
          <w:szCs w:val="24"/>
          <w:vertAlign w:val="superscript"/>
          <w:lang w:val="en-US"/>
        </w:rPr>
        <w:t>[68</w:t>
      </w:r>
      <w:r w:rsidR="008F2A78" w:rsidRPr="0045429A">
        <w:rPr>
          <w:rFonts w:ascii="Book Antiqua" w:hAnsi="Book Antiqua"/>
          <w:sz w:val="24"/>
          <w:szCs w:val="24"/>
          <w:vertAlign w:val="superscript"/>
          <w:lang w:val="en-US"/>
        </w:rPr>
        <w:t>,69</w:t>
      </w:r>
      <w:r w:rsidRPr="0045429A">
        <w:rPr>
          <w:rFonts w:ascii="Book Antiqua" w:hAnsi="Book Antiqua"/>
          <w:sz w:val="24"/>
          <w:szCs w:val="24"/>
          <w:vertAlign w:val="superscript"/>
          <w:lang w:val="en-US"/>
        </w:rPr>
        <w:t>]</w:t>
      </w:r>
      <w:r w:rsidRPr="0045429A">
        <w:rPr>
          <w:rFonts w:ascii="Book Antiqua" w:hAnsi="Book Antiqua"/>
          <w:sz w:val="24"/>
          <w:szCs w:val="24"/>
          <w:lang w:val="en-US"/>
        </w:rPr>
        <w:t>.</w:t>
      </w:r>
      <w:r w:rsidR="00DD2A27" w:rsidRPr="0045429A">
        <w:rPr>
          <w:rFonts w:ascii="Book Antiqua" w:hAnsi="Book Antiqua"/>
          <w:sz w:val="24"/>
          <w:szCs w:val="24"/>
          <w:lang w:val="en-US"/>
        </w:rPr>
        <w:t xml:space="preserve">  </w:t>
      </w:r>
      <w:r w:rsidR="00FC76E2" w:rsidRPr="0045429A">
        <w:rPr>
          <w:rFonts w:ascii="Book Antiqua" w:hAnsi="Book Antiqua"/>
          <w:sz w:val="24"/>
          <w:szCs w:val="24"/>
          <w:lang w:val="en-US"/>
        </w:rPr>
        <w:t>Impact of LdT on renal function was analyzed from a database including all patients treated in the GLOBE Study (2 Years), long term extension study CN04E1 (4 to 6 years) as well as in patients with decompensated cirrhosis (2 years)</w:t>
      </w:r>
      <w:r w:rsidR="00FC76E2" w:rsidRPr="0045429A">
        <w:rPr>
          <w:rFonts w:ascii="Book Antiqua" w:hAnsi="Book Antiqua"/>
          <w:sz w:val="24"/>
          <w:szCs w:val="24"/>
          <w:vertAlign w:val="superscript"/>
          <w:lang w:val="en-US"/>
        </w:rPr>
        <w:t xml:space="preserve"> [70]</w:t>
      </w:r>
      <w:r w:rsidR="00FC76E2" w:rsidRPr="0045429A">
        <w:rPr>
          <w:rFonts w:ascii="Book Antiqua" w:hAnsi="Book Antiqua"/>
          <w:sz w:val="24"/>
          <w:szCs w:val="24"/>
          <w:lang w:val="en-US"/>
        </w:rPr>
        <w:t xml:space="preserve">. </w:t>
      </w:r>
      <w:r w:rsidRPr="0045429A">
        <w:rPr>
          <w:rFonts w:ascii="Book Antiqua" w:hAnsi="Book Antiqua"/>
          <w:sz w:val="24"/>
          <w:szCs w:val="24"/>
          <w:lang w:val="en-US"/>
        </w:rPr>
        <w:t xml:space="preserve"> </w:t>
      </w:r>
      <w:r w:rsidR="00AB494E" w:rsidRPr="0045429A">
        <w:rPr>
          <w:rFonts w:ascii="Book Antiqua" w:hAnsi="Book Antiqua"/>
          <w:sz w:val="24"/>
          <w:szCs w:val="24"/>
          <w:lang w:val="en-US"/>
        </w:rPr>
        <w:t>R</w:t>
      </w:r>
      <w:r w:rsidR="00FC76E2" w:rsidRPr="0045429A">
        <w:rPr>
          <w:rFonts w:ascii="Book Antiqua" w:hAnsi="Book Antiqua"/>
          <w:sz w:val="24"/>
          <w:szCs w:val="24"/>
          <w:lang w:val="en-US"/>
        </w:rPr>
        <w:t xml:space="preserve">enal function </w:t>
      </w:r>
      <w:r w:rsidR="00AB494E" w:rsidRPr="0045429A">
        <w:rPr>
          <w:rFonts w:ascii="Book Antiqua" w:hAnsi="Book Antiqua"/>
          <w:sz w:val="24"/>
          <w:szCs w:val="24"/>
          <w:lang w:val="en-US"/>
        </w:rPr>
        <w:t xml:space="preserve">improved </w:t>
      </w:r>
      <w:r w:rsidR="00FC76E2" w:rsidRPr="0045429A">
        <w:rPr>
          <w:rFonts w:ascii="Book Antiqua" w:hAnsi="Book Antiqua"/>
          <w:sz w:val="24"/>
          <w:szCs w:val="24"/>
          <w:lang w:val="en-US"/>
        </w:rPr>
        <w:t xml:space="preserve">in </w:t>
      </w:r>
      <w:r w:rsidR="00AB494E" w:rsidRPr="0045429A">
        <w:rPr>
          <w:rFonts w:ascii="Book Antiqua" w:hAnsi="Book Antiqua"/>
          <w:sz w:val="24"/>
          <w:szCs w:val="24"/>
          <w:lang w:val="en-US"/>
        </w:rPr>
        <w:t xml:space="preserve">LdT </w:t>
      </w:r>
      <w:r w:rsidR="00FC76E2" w:rsidRPr="0045429A">
        <w:rPr>
          <w:rFonts w:ascii="Book Antiqua" w:hAnsi="Book Antiqua"/>
          <w:sz w:val="24"/>
          <w:szCs w:val="24"/>
          <w:lang w:val="en-US"/>
        </w:rPr>
        <w:t>treated patients during the 2-year GLOBE study (</w:t>
      </w:r>
      <w:r w:rsidR="00AB494E" w:rsidRPr="0045429A">
        <w:rPr>
          <w:rFonts w:ascii="Book Antiqua" w:hAnsi="Book Antiqua"/>
          <w:sz w:val="24"/>
          <w:szCs w:val="24"/>
          <w:lang w:val="en-US"/>
        </w:rPr>
        <w:t>+</w:t>
      </w:r>
      <w:r w:rsidR="00FC76E2" w:rsidRPr="0045429A">
        <w:rPr>
          <w:rFonts w:ascii="Book Antiqua" w:hAnsi="Book Antiqua"/>
          <w:sz w:val="24"/>
          <w:szCs w:val="24"/>
          <w:lang w:val="en-US"/>
        </w:rPr>
        <w:t xml:space="preserve"> 8.5% increase in mean eGFR,)</w:t>
      </w:r>
      <w:r w:rsidR="00AB494E" w:rsidRPr="0045429A">
        <w:rPr>
          <w:rFonts w:ascii="Book Antiqua" w:hAnsi="Book Antiqua"/>
          <w:sz w:val="24"/>
          <w:szCs w:val="24"/>
          <w:lang w:val="en-US"/>
        </w:rPr>
        <w:t xml:space="preserve"> and this</w:t>
      </w:r>
      <w:r w:rsidR="00FC76E2" w:rsidRPr="0045429A">
        <w:rPr>
          <w:rFonts w:ascii="Book Antiqua" w:hAnsi="Book Antiqua"/>
          <w:sz w:val="24"/>
          <w:szCs w:val="24"/>
          <w:lang w:val="en-US"/>
        </w:rPr>
        <w:t xml:space="preserve"> </w:t>
      </w:r>
      <w:r w:rsidR="00AB494E" w:rsidRPr="0045429A">
        <w:rPr>
          <w:rFonts w:ascii="Book Antiqua" w:hAnsi="Book Antiqua"/>
          <w:sz w:val="24"/>
          <w:szCs w:val="24"/>
          <w:lang w:val="en-US"/>
        </w:rPr>
        <w:t>i</w:t>
      </w:r>
      <w:r w:rsidR="00FC76E2" w:rsidRPr="0045429A">
        <w:rPr>
          <w:rFonts w:ascii="Book Antiqua" w:hAnsi="Book Antiqua"/>
          <w:sz w:val="24"/>
          <w:szCs w:val="24"/>
          <w:lang w:val="en-US"/>
        </w:rPr>
        <w:t>mprove</w:t>
      </w:r>
      <w:r w:rsidR="00AB494E" w:rsidRPr="0045429A">
        <w:rPr>
          <w:rFonts w:ascii="Book Antiqua" w:hAnsi="Book Antiqua"/>
          <w:sz w:val="24"/>
          <w:szCs w:val="24"/>
          <w:lang w:val="en-US"/>
        </w:rPr>
        <w:t>ment</w:t>
      </w:r>
      <w:r w:rsidR="00FC76E2" w:rsidRPr="0045429A">
        <w:rPr>
          <w:rFonts w:ascii="Book Antiqua" w:hAnsi="Book Antiqua"/>
          <w:sz w:val="24"/>
          <w:szCs w:val="24"/>
          <w:lang w:val="en-US"/>
        </w:rPr>
        <w:t xml:space="preserve"> was maintained for 4-6 years. Increased eGFR with </w:t>
      </w:r>
      <w:r w:rsidR="00AB494E" w:rsidRPr="0045429A">
        <w:rPr>
          <w:rFonts w:ascii="Book Antiqua" w:hAnsi="Book Antiqua"/>
          <w:sz w:val="24"/>
          <w:szCs w:val="24"/>
          <w:lang w:val="en-US"/>
        </w:rPr>
        <w:t>LdT</w:t>
      </w:r>
      <w:r w:rsidR="00FC76E2" w:rsidRPr="0045429A">
        <w:rPr>
          <w:rFonts w:ascii="Book Antiqua" w:hAnsi="Book Antiqua"/>
          <w:sz w:val="24"/>
          <w:szCs w:val="24"/>
          <w:lang w:val="en-US"/>
        </w:rPr>
        <w:t xml:space="preserve"> treatment was also observed in patients at increased risk for renal impairment: patients with baseline eGFRs of 60-89 mL/min/1.73 m(2) (+17.2%), older than 50 years (+11.4%), and with liver fibrosis/cirrhosis (+7.2% for patients with Ishak fibrosis score at 5-6). In decompensated patients with high renal risk, eGFR was also improved on telbivudine (+2.0%).</w:t>
      </w:r>
      <w:r w:rsidR="00AB494E" w:rsidRPr="0045429A">
        <w:rPr>
          <w:rFonts w:ascii="Book Antiqua" w:hAnsi="Book Antiqua"/>
          <w:sz w:val="24"/>
          <w:szCs w:val="24"/>
          <w:lang w:val="en-US"/>
        </w:rPr>
        <w:t xml:space="preserve"> In patients who received 2 years of LAM in GLOBE/015 studies and rolled over to extension study to receive LdT for 2 additional years, </w:t>
      </w:r>
      <w:r w:rsidR="00AB494E" w:rsidRPr="0045429A">
        <w:rPr>
          <w:rFonts w:ascii="Book Antiqua" w:hAnsi="Book Antiqua"/>
          <w:sz w:val="24"/>
          <w:szCs w:val="24"/>
          <w:lang w:val="en-US"/>
        </w:rPr>
        <w:lastRenderedPageBreak/>
        <w:t xml:space="preserve">eGFR also improved after treatment switch (+8.9%) </w:t>
      </w:r>
      <w:r w:rsidR="008F2A78" w:rsidRPr="0045429A">
        <w:rPr>
          <w:rFonts w:ascii="Book Antiqua" w:hAnsi="Book Antiqua"/>
          <w:sz w:val="24"/>
          <w:szCs w:val="24"/>
          <w:vertAlign w:val="superscript"/>
          <w:lang w:val="en-US"/>
        </w:rPr>
        <w:t>[70</w:t>
      </w:r>
      <w:r w:rsidR="00AB494E" w:rsidRPr="0045429A">
        <w:rPr>
          <w:rFonts w:ascii="Book Antiqua" w:hAnsi="Book Antiqua"/>
          <w:sz w:val="24"/>
          <w:szCs w:val="24"/>
          <w:vertAlign w:val="superscript"/>
          <w:lang w:val="en-US"/>
        </w:rPr>
        <w:t>]</w:t>
      </w:r>
      <w:r w:rsidR="00AB494E" w:rsidRPr="0045429A">
        <w:rPr>
          <w:rFonts w:ascii="Book Antiqua" w:hAnsi="Book Antiqua"/>
          <w:sz w:val="24"/>
          <w:szCs w:val="24"/>
          <w:lang w:val="en-US"/>
        </w:rPr>
        <w:t>. Although this data may suggest that LdT may be renal protective, it is not clear whether this protective effect is specific to this NUC. This potential benefit</w:t>
      </w:r>
      <w:r w:rsidR="00963D87" w:rsidRPr="0045429A">
        <w:rPr>
          <w:rFonts w:ascii="Book Antiqua" w:hAnsi="Book Antiqua"/>
          <w:sz w:val="24"/>
          <w:szCs w:val="24"/>
          <w:lang w:val="en-US"/>
        </w:rPr>
        <w:t xml:space="preserve">, particularly relevant in the RT population, does not outweigh the high rate of antiviral drug resistance and neuromuscular adverse effects. As previously mentioned, </w:t>
      </w:r>
      <w:r w:rsidR="00765323" w:rsidRPr="0045429A">
        <w:rPr>
          <w:rFonts w:ascii="Book Antiqua" w:hAnsi="Book Antiqua"/>
          <w:sz w:val="24"/>
          <w:szCs w:val="24"/>
          <w:lang w:val="en-US"/>
        </w:rPr>
        <w:t>this beneficial safety profile does</w:t>
      </w:r>
      <w:r w:rsidR="00963D87" w:rsidRPr="0045429A">
        <w:rPr>
          <w:rFonts w:ascii="Book Antiqua" w:hAnsi="Book Antiqua"/>
          <w:sz w:val="24"/>
          <w:szCs w:val="24"/>
          <w:lang w:val="en-US"/>
        </w:rPr>
        <w:t xml:space="preserve"> not support the use of LdT as a first-line NUC in hepatitis B treatment </w:t>
      </w:r>
      <w:r w:rsidR="00963D87" w:rsidRPr="0045429A">
        <w:rPr>
          <w:rFonts w:ascii="Book Antiqua" w:hAnsi="Book Antiqua"/>
          <w:sz w:val="24"/>
          <w:szCs w:val="24"/>
          <w:vertAlign w:val="superscript"/>
          <w:lang w:val="en-US"/>
        </w:rPr>
        <w:t>[7</w:t>
      </w:r>
      <w:r w:rsidR="008F2A78" w:rsidRPr="0045429A">
        <w:rPr>
          <w:rFonts w:ascii="Book Antiqua" w:hAnsi="Book Antiqua"/>
          <w:sz w:val="24"/>
          <w:szCs w:val="24"/>
          <w:vertAlign w:val="superscript"/>
          <w:lang w:val="en-US"/>
        </w:rPr>
        <w:t>0</w:t>
      </w:r>
      <w:r w:rsidR="00963D87" w:rsidRPr="0045429A">
        <w:rPr>
          <w:rFonts w:ascii="Book Antiqua" w:hAnsi="Book Antiqua"/>
          <w:sz w:val="24"/>
          <w:szCs w:val="24"/>
          <w:vertAlign w:val="superscript"/>
          <w:lang w:val="en-US"/>
        </w:rPr>
        <w:t>]</w:t>
      </w:r>
      <w:r w:rsidR="00963D87" w:rsidRPr="0045429A">
        <w:rPr>
          <w:rFonts w:ascii="Book Antiqua" w:hAnsi="Book Antiqua"/>
          <w:sz w:val="24"/>
          <w:szCs w:val="24"/>
          <w:lang w:val="en-US"/>
        </w:rPr>
        <w:t xml:space="preserve">. </w:t>
      </w:r>
    </w:p>
    <w:p w:rsidR="004A7EA7" w:rsidRPr="0045429A" w:rsidRDefault="007C63C9"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 xml:space="preserve">The nephrotoxic potential seems to be higher for nucleotide analogues, particularly ADV </w:t>
      </w:r>
      <w:r w:rsidRPr="0045429A">
        <w:rPr>
          <w:rFonts w:ascii="Book Antiqua" w:hAnsi="Book Antiqua"/>
          <w:sz w:val="24"/>
          <w:szCs w:val="24"/>
          <w:vertAlign w:val="superscript"/>
          <w:lang w:val="en-US"/>
        </w:rPr>
        <w:t>[</w:t>
      </w:r>
      <w:r w:rsidR="00AB494E" w:rsidRPr="0045429A">
        <w:rPr>
          <w:rFonts w:ascii="Book Antiqua" w:hAnsi="Book Antiqua"/>
          <w:sz w:val="24"/>
          <w:szCs w:val="24"/>
          <w:vertAlign w:val="superscript"/>
          <w:lang w:val="en-US"/>
        </w:rPr>
        <w:t>7</w:t>
      </w:r>
      <w:r w:rsidR="008F2A78" w:rsidRPr="0045429A">
        <w:rPr>
          <w:rFonts w:ascii="Book Antiqua" w:hAnsi="Book Antiqua"/>
          <w:sz w:val="24"/>
          <w:szCs w:val="24"/>
          <w:vertAlign w:val="superscript"/>
          <w:lang w:val="en-US"/>
        </w:rPr>
        <w:t>2</w:t>
      </w:r>
      <w:r w:rsidR="00C5771B" w:rsidRPr="0045429A">
        <w:rPr>
          <w:rFonts w:ascii="Book Antiqua" w:hAnsi="Book Antiqua"/>
          <w:sz w:val="24"/>
          <w:szCs w:val="24"/>
          <w:vertAlign w:val="superscript"/>
          <w:lang w:val="en-US"/>
        </w:rPr>
        <w:t>-</w:t>
      </w:r>
      <w:r w:rsidRPr="0045429A">
        <w:rPr>
          <w:rFonts w:ascii="Book Antiqua" w:hAnsi="Book Antiqua"/>
          <w:sz w:val="24"/>
          <w:szCs w:val="24"/>
          <w:vertAlign w:val="superscript"/>
          <w:lang w:val="en-US"/>
        </w:rPr>
        <w:t>7</w:t>
      </w:r>
      <w:r w:rsidR="008F2A78" w:rsidRPr="0045429A">
        <w:rPr>
          <w:rFonts w:ascii="Book Antiqua" w:hAnsi="Book Antiqua"/>
          <w:sz w:val="24"/>
          <w:szCs w:val="24"/>
          <w:vertAlign w:val="superscript"/>
          <w:lang w:val="en-US"/>
        </w:rPr>
        <w:t>5</w:t>
      </w:r>
      <w:r w:rsidRPr="0045429A">
        <w:rPr>
          <w:rFonts w:ascii="Book Antiqua" w:hAnsi="Book Antiqua"/>
          <w:sz w:val="24"/>
          <w:szCs w:val="24"/>
          <w:vertAlign w:val="superscript"/>
          <w:lang w:val="en-US"/>
        </w:rPr>
        <w:t>]</w:t>
      </w:r>
      <w:r w:rsidRPr="0045429A">
        <w:rPr>
          <w:rFonts w:ascii="Book Antiqua" w:hAnsi="Book Antiqua"/>
          <w:sz w:val="24"/>
          <w:szCs w:val="24"/>
          <w:lang w:val="en-US"/>
        </w:rPr>
        <w:t xml:space="preserve">. </w:t>
      </w:r>
      <w:r w:rsidR="006A34F3" w:rsidRPr="0045429A">
        <w:rPr>
          <w:rFonts w:ascii="Book Antiqua" w:hAnsi="Book Antiqua"/>
          <w:sz w:val="24"/>
          <w:szCs w:val="24"/>
          <w:lang w:val="en-US"/>
        </w:rPr>
        <w:t xml:space="preserve">In a real-life setting study, the severity and incidence of renal dysfunction in 145 patients treated with 10 mg ADV was evaluated, and compared to 145 patients unexposed to ADV </w:t>
      </w:r>
      <w:r w:rsidR="008F2A78" w:rsidRPr="0045429A">
        <w:rPr>
          <w:rFonts w:ascii="Book Antiqua" w:hAnsi="Book Antiqua"/>
          <w:sz w:val="24"/>
          <w:szCs w:val="24"/>
          <w:vertAlign w:val="superscript"/>
          <w:lang w:val="en-US"/>
        </w:rPr>
        <w:t>[72</w:t>
      </w:r>
      <w:r w:rsidR="006A34F3" w:rsidRPr="0045429A">
        <w:rPr>
          <w:rFonts w:ascii="Book Antiqua" w:hAnsi="Book Antiqua"/>
          <w:sz w:val="24"/>
          <w:szCs w:val="24"/>
          <w:vertAlign w:val="superscript"/>
          <w:lang w:val="en-US"/>
        </w:rPr>
        <w:t>]</w:t>
      </w:r>
      <w:r w:rsidR="006A34F3" w:rsidRPr="0045429A">
        <w:rPr>
          <w:rFonts w:ascii="Book Antiqua" w:hAnsi="Book Antiqua"/>
          <w:sz w:val="24"/>
          <w:szCs w:val="24"/>
          <w:lang w:val="en-US"/>
        </w:rPr>
        <w:t xml:space="preserve">. A mild decrease of eGFR (10%-20%) from baseline was observed in a total of 30% in the ADV group versus 16% among the unexposed group during follow-up, a moderate decrease (20%-30%) was observed in 15% versus 6%, and a severe decrease (&gt;30%) was observed in 7% versus 1% (p &gt; 0.0001). Discontinuation of treatment was observed in 10 (6.9%) patients on 10 mg ADV compared with 0 (0%) patients in the unexposed group (p &gt; 0.004). On Cox proportional hazard analysis also inclusive of sex, ADV was a significant predictor of significant renal dysfunction (hazard ratio [HR] 3.94, P = 0.03). There were also significant trends for age &gt;50 years (HR 3.49, p = 0.087), mild renal impairment at baseline (HR 4.49, p = 0.073), and hypertension and/or diabetes mellitus (HR 2.36, p = 0.074) </w:t>
      </w:r>
      <w:r w:rsidR="00765323" w:rsidRPr="0045429A">
        <w:rPr>
          <w:rFonts w:ascii="Book Antiqua" w:hAnsi="Book Antiqua"/>
          <w:sz w:val="24"/>
          <w:szCs w:val="24"/>
          <w:vertAlign w:val="superscript"/>
          <w:lang w:val="en-US"/>
        </w:rPr>
        <w:t>[7</w:t>
      </w:r>
      <w:r w:rsidR="008F2A78" w:rsidRPr="0045429A">
        <w:rPr>
          <w:rFonts w:ascii="Book Antiqua" w:hAnsi="Book Antiqua"/>
          <w:sz w:val="24"/>
          <w:szCs w:val="24"/>
          <w:vertAlign w:val="superscript"/>
          <w:lang w:val="en-US"/>
        </w:rPr>
        <w:t>2</w:t>
      </w:r>
      <w:r w:rsidR="006A34F3" w:rsidRPr="0045429A">
        <w:rPr>
          <w:rFonts w:ascii="Book Antiqua" w:hAnsi="Book Antiqua"/>
          <w:sz w:val="24"/>
          <w:szCs w:val="24"/>
          <w:vertAlign w:val="superscript"/>
          <w:lang w:val="en-US"/>
        </w:rPr>
        <w:t>]</w:t>
      </w:r>
      <w:r w:rsidR="006A34F3" w:rsidRPr="0045429A">
        <w:rPr>
          <w:rFonts w:ascii="Book Antiqua" w:hAnsi="Book Antiqua"/>
          <w:sz w:val="24"/>
          <w:szCs w:val="24"/>
          <w:lang w:val="en-US"/>
        </w:rPr>
        <w:t xml:space="preserve">. </w:t>
      </w:r>
      <w:r w:rsidR="00706E8F" w:rsidRPr="0045429A">
        <w:rPr>
          <w:rFonts w:ascii="Book Antiqua" w:hAnsi="Book Antiqua"/>
          <w:sz w:val="24"/>
          <w:szCs w:val="24"/>
          <w:lang w:val="en-US"/>
        </w:rPr>
        <w:t xml:space="preserve">In a retrospective study, 687 patients treated with ADV alone (18.2%) or in combination with LAM (81.8%) for more than 12 months were enrolled to evaluate the incidence and risk factors of renal impairment in patients treated with ADV </w:t>
      </w:r>
      <w:r w:rsidR="00706E8F" w:rsidRPr="0045429A">
        <w:rPr>
          <w:rFonts w:ascii="Book Antiqua" w:hAnsi="Book Antiqua"/>
          <w:sz w:val="24"/>
          <w:szCs w:val="24"/>
          <w:vertAlign w:val="superscript"/>
          <w:lang w:val="en-US"/>
        </w:rPr>
        <w:t>[7</w:t>
      </w:r>
      <w:r w:rsidR="008F2A78" w:rsidRPr="0045429A">
        <w:rPr>
          <w:rFonts w:ascii="Book Antiqua" w:hAnsi="Book Antiqua"/>
          <w:sz w:val="24"/>
          <w:szCs w:val="24"/>
          <w:vertAlign w:val="superscript"/>
          <w:lang w:val="en-US"/>
        </w:rPr>
        <w:t>3</w:t>
      </w:r>
      <w:r w:rsidR="00706E8F" w:rsidRPr="0045429A">
        <w:rPr>
          <w:rFonts w:ascii="Book Antiqua" w:hAnsi="Book Antiqua"/>
          <w:sz w:val="24"/>
          <w:szCs w:val="24"/>
          <w:vertAlign w:val="superscript"/>
          <w:lang w:val="en-US"/>
        </w:rPr>
        <w:t>]</w:t>
      </w:r>
      <w:r w:rsidR="00706E8F" w:rsidRPr="0045429A">
        <w:rPr>
          <w:rFonts w:ascii="Book Antiqua" w:hAnsi="Book Antiqua"/>
          <w:sz w:val="24"/>
          <w:szCs w:val="24"/>
          <w:lang w:val="en-US"/>
        </w:rPr>
        <w:t xml:space="preserve">. Renal function was measured using the estimated glomerular filtration rate (eGFR), and renal dysfunction was defined as mild (20-30% decrease), moderate (30-50%), or severe (more than 50%). During the median treatment duration of 27 months, 72 patients (10.5%) developed renal impairment, which was mild in 77.8% of cases, moderate in 20.8% of cases, and severe in one </w:t>
      </w:r>
      <w:r w:rsidR="00706E8F" w:rsidRPr="0045429A">
        <w:rPr>
          <w:rFonts w:ascii="Book Antiqua" w:hAnsi="Book Antiqua"/>
          <w:sz w:val="24"/>
          <w:szCs w:val="24"/>
          <w:lang w:val="en-US"/>
        </w:rPr>
        <w:lastRenderedPageBreak/>
        <w:t xml:space="preserve">patient. The cumulative incidence of renal impairment at 1, 3, and 5 years was 2.6%, 14.8%, and 34.7%, respectively. Modification of the dosing interval or discontinuation of ADV was required in seven and three patients, respectively, and none of them showed a further decline in the eGFR </w:t>
      </w:r>
      <w:r w:rsidR="00765323" w:rsidRPr="0045429A">
        <w:rPr>
          <w:rFonts w:ascii="Book Antiqua" w:hAnsi="Book Antiqua"/>
          <w:sz w:val="24"/>
          <w:szCs w:val="24"/>
          <w:vertAlign w:val="superscript"/>
          <w:lang w:val="en-US"/>
        </w:rPr>
        <w:t>[7</w:t>
      </w:r>
      <w:r w:rsidR="008F2A78" w:rsidRPr="0045429A">
        <w:rPr>
          <w:rFonts w:ascii="Book Antiqua" w:hAnsi="Book Antiqua"/>
          <w:sz w:val="24"/>
          <w:szCs w:val="24"/>
          <w:vertAlign w:val="superscript"/>
          <w:lang w:val="en-US"/>
        </w:rPr>
        <w:t>3</w:t>
      </w:r>
      <w:r w:rsidR="00706E8F" w:rsidRPr="0045429A">
        <w:rPr>
          <w:rFonts w:ascii="Book Antiqua" w:hAnsi="Book Antiqua"/>
          <w:sz w:val="24"/>
          <w:szCs w:val="24"/>
          <w:vertAlign w:val="superscript"/>
          <w:lang w:val="en-US"/>
        </w:rPr>
        <w:t>]</w:t>
      </w:r>
      <w:r w:rsidR="00706E8F" w:rsidRPr="0045429A">
        <w:rPr>
          <w:rFonts w:ascii="Book Antiqua" w:hAnsi="Book Antiqua"/>
          <w:sz w:val="24"/>
          <w:szCs w:val="24"/>
          <w:lang w:val="en-US"/>
        </w:rPr>
        <w:t xml:space="preserve">. </w:t>
      </w:r>
      <w:r w:rsidR="005D4062" w:rsidRPr="0045429A">
        <w:rPr>
          <w:rFonts w:ascii="Book Antiqua" w:hAnsi="Book Antiqua"/>
          <w:sz w:val="24"/>
          <w:szCs w:val="24"/>
          <w:lang w:val="en-US"/>
        </w:rPr>
        <w:t xml:space="preserve">In 271 ADV treated patients, GFR ≤60 mL/min was 38.3% by 6 years, while serum creatinine increase ≥0.5 mg/dL was 21.48% by 5 years. Renal dysfunction resolved in almost all patients after either switching therapy or reducing adefovir dose, with no difference between the two strategies (p = 0.737) </w:t>
      </w:r>
      <w:r w:rsidR="00765323" w:rsidRPr="0045429A">
        <w:rPr>
          <w:rFonts w:ascii="Book Antiqua" w:hAnsi="Book Antiqua"/>
          <w:sz w:val="24"/>
          <w:szCs w:val="24"/>
          <w:vertAlign w:val="superscript"/>
          <w:lang w:val="en-US"/>
        </w:rPr>
        <w:t>[7</w:t>
      </w:r>
      <w:r w:rsidR="008F2A78" w:rsidRPr="0045429A">
        <w:rPr>
          <w:rFonts w:ascii="Book Antiqua" w:hAnsi="Book Antiqua"/>
          <w:sz w:val="24"/>
          <w:szCs w:val="24"/>
          <w:vertAlign w:val="superscript"/>
          <w:lang w:val="en-US"/>
        </w:rPr>
        <w:t>4</w:t>
      </w:r>
      <w:r w:rsidR="005D4062" w:rsidRPr="0045429A">
        <w:rPr>
          <w:rFonts w:ascii="Book Antiqua" w:hAnsi="Book Antiqua"/>
          <w:sz w:val="24"/>
          <w:szCs w:val="24"/>
          <w:vertAlign w:val="superscript"/>
          <w:lang w:val="en-US"/>
        </w:rPr>
        <w:t>]</w:t>
      </w:r>
      <w:r w:rsidR="005D4062" w:rsidRPr="0045429A">
        <w:rPr>
          <w:rFonts w:ascii="Book Antiqua" w:hAnsi="Book Antiqua"/>
          <w:sz w:val="24"/>
          <w:szCs w:val="24"/>
          <w:lang w:val="en-US"/>
        </w:rPr>
        <w:t xml:space="preserve">. </w:t>
      </w:r>
      <w:r w:rsidR="00C5771B" w:rsidRPr="0045429A">
        <w:rPr>
          <w:rFonts w:ascii="Book Antiqua" w:hAnsi="Book Antiqua"/>
          <w:sz w:val="24"/>
          <w:szCs w:val="24"/>
          <w:lang w:val="en-US"/>
        </w:rPr>
        <w:t>On the contrary, a study including 46</w:t>
      </w:r>
      <w:r w:rsidR="005D4062" w:rsidRPr="0045429A">
        <w:rPr>
          <w:rFonts w:ascii="Book Antiqua" w:hAnsi="Book Antiqua"/>
          <w:sz w:val="24"/>
          <w:szCs w:val="24"/>
          <w:lang w:val="en-US"/>
        </w:rPr>
        <w:t xml:space="preserve"> HBeAg-negative patients with LAM-R treated were treated with ADV + LAM for up to 90</w:t>
      </w:r>
      <w:r w:rsidR="00C5771B" w:rsidRPr="0045429A">
        <w:rPr>
          <w:rFonts w:ascii="Book Antiqua" w:hAnsi="Book Antiqua"/>
          <w:sz w:val="24"/>
          <w:szCs w:val="24"/>
          <w:lang w:val="en-US"/>
        </w:rPr>
        <w:t xml:space="preserve"> </w:t>
      </w:r>
      <w:r w:rsidR="005D4062" w:rsidRPr="0045429A">
        <w:rPr>
          <w:rFonts w:ascii="Book Antiqua" w:hAnsi="Book Antiqua"/>
          <w:sz w:val="24"/>
          <w:szCs w:val="24"/>
          <w:lang w:val="en-US"/>
        </w:rPr>
        <w:t>months</w:t>
      </w:r>
      <w:r w:rsidR="00C5771B" w:rsidRPr="0045429A">
        <w:rPr>
          <w:rFonts w:ascii="Book Antiqua" w:hAnsi="Book Antiqua"/>
          <w:sz w:val="24"/>
          <w:szCs w:val="24"/>
          <w:lang w:val="en-US"/>
        </w:rPr>
        <w:t xml:space="preserve"> found</w:t>
      </w:r>
      <w:r w:rsidR="005D4062" w:rsidRPr="0045429A">
        <w:rPr>
          <w:rFonts w:ascii="Book Antiqua" w:hAnsi="Book Antiqua"/>
          <w:sz w:val="24"/>
          <w:szCs w:val="24"/>
          <w:lang w:val="en-US"/>
        </w:rPr>
        <w:t xml:space="preserve"> </w:t>
      </w:r>
      <w:r w:rsidR="00C5771B" w:rsidRPr="0045429A">
        <w:rPr>
          <w:rFonts w:ascii="Book Antiqua" w:hAnsi="Book Antiqua"/>
          <w:sz w:val="24"/>
          <w:szCs w:val="24"/>
          <w:lang w:val="en-US"/>
        </w:rPr>
        <w:t>no impact on r</w:t>
      </w:r>
      <w:r w:rsidR="005D4062" w:rsidRPr="0045429A">
        <w:rPr>
          <w:rFonts w:ascii="Book Antiqua" w:hAnsi="Book Antiqua"/>
          <w:sz w:val="24"/>
          <w:szCs w:val="24"/>
          <w:lang w:val="en-US"/>
        </w:rPr>
        <w:t xml:space="preserve">enal function </w:t>
      </w:r>
      <w:r w:rsidR="00C5771B" w:rsidRPr="0045429A">
        <w:rPr>
          <w:rFonts w:ascii="Book Antiqua" w:hAnsi="Book Antiqua"/>
          <w:sz w:val="24"/>
          <w:szCs w:val="24"/>
          <w:lang w:val="en-US"/>
        </w:rPr>
        <w:t>when</w:t>
      </w:r>
      <w:r w:rsidR="005D4062" w:rsidRPr="0045429A">
        <w:rPr>
          <w:rFonts w:ascii="Book Antiqua" w:hAnsi="Book Antiqua"/>
          <w:sz w:val="24"/>
          <w:szCs w:val="24"/>
          <w:lang w:val="en-US"/>
        </w:rPr>
        <w:t xml:space="preserve"> </w:t>
      </w:r>
      <w:r w:rsidR="00C5771B" w:rsidRPr="0045429A">
        <w:rPr>
          <w:rFonts w:ascii="Book Antiqua" w:hAnsi="Book Antiqua"/>
          <w:sz w:val="24"/>
          <w:szCs w:val="24"/>
          <w:lang w:val="en-US"/>
        </w:rPr>
        <w:t>c</w:t>
      </w:r>
      <w:r w:rsidR="005D4062" w:rsidRPr="0045429A">
        <w:rPr>
          <w:rFonts w:ascii="Book Antiqua" w:hAnsi="Book Antiqua"/>
          <w:sz w:val="24"/>
          <w:szCs w:val="24"/>
          <w:lang w:val="en-US"/>
        </w:rPr>
        <w:t>ompared with a matched control group of untreated inactive hepatitis B virus carriers</w:t>
      </w:r>
      <w:r w:rsidR="00C5771B" w:rsidRPr="0045429A">
        <w:rPr>
          <w:rFonts w:ascii="Book Antiqua" w:hAnsi="Book Antiqua"/>
          <w:sz w:val="24"/>
          <w:szCs w:val="24"/>
          <w:lang w:val="en-US"/>
        </w:rPr>
        <w:t xml:space="preserve"> </w:t>
      </w:r>
      <w:r w:rsidR="008F2A78" w:rsidRPr="0045429A">
        <w:rPr>
          <w:rFonts w:ascii="Book Antiqua" w:hAnsi="Book Antiqua"/>
          <w:sz w:val="24"/>
          <w:szCs w:val="24"/>
          <w:vertAlign w:val="superscript"/>
          <w:lang w:val="en-US"/>
        </w:rPr>
        <w:t>[75</w:t>
      </w:r>
      <w:r w:rsidR="00C5771B" w:rsidRPr="0045429A">
        <w:rPr>
          <w:rFonts w:ascii="Book Antiqua" w:hAnsi="Book Antiqua"/>
          <w:sz w:val="24"/>
          <w:szCs w:val="24"/>
          <w:vertAlign w:val="superscript"/>
          <w:lang w:val="en-US"/>
        </w:rPr>
        <w:t>]</w:t>
      </w:r>
      <w:r w:rsidR="005D4062" w:rsidRPr="0045429A">
        <w:rPr>
          <w:rFonts w:ascii="Book Antiqua" w:hAnsi="Book Antiqua"/>
          <w:sz w:val="24"/>
          <w:szCs w:val="24"/>
          <w:lang w:val="en-US"/>
        </w:rPr>
        <w:t>.</w:t>
      </w:r>
      <w:r w:rsidR="00C5771B" w:rsidRPr="0045429A">
        <w:rPr>
          <w:rFonts w:ascii="Book Antiqua" w:hAnsi="Book Antiqua"/>
          <w:sz w:val="24"/>
          <w:szCs w:val="24"/>
          <w:lang w:val="en-US"/>
        </w:rPr>
        <w:t xml:space="preserve">  </w:t>
      </w:r>
    </w:p>
    <w:p w:rsidR="00A148DF" w:rsidRPr="0045429A" w:rsidRDefault="00A148DF"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 xml:space="preserve">The number of patients treated with ADV in the RT setting is smaller than in the general population. In this subgroup, ADV treatment may also impact on renal function. A significant decrease of estimated GFR and an increase in serum creatinine from 1.42 (± 0.39) to 1.6 (± 0.36) mg/dl, (p = 0.02) was found in 11 patients treated for 2 or more years </w:t>
      </w:r>
      <w:r w:rsidRPr="0045429A">
        <w:rPr>
          <w:rFonts w:ascii="Book Antiqua" w:hAnsi="Book Antiqua"/>
          <w:sz w:val="24"/>
          <w:szCs w:val="24"/>
          <w:vertAlign w:val="superscript"/>
          <w:lang w:val="en-US"/>
        </w:rPr>
        <w:t>[37]</w:t>
      </w:r>
      <w:r w:rsidRPr="0045429A">
        <w:rPr>
          <w:rFonts w:ascii="Book Antiqua" w:hAnsi="Book Antiqua"/>
          <w:sz w:val="24"/>
          <w:szCs w:val="24"/>
          <w:lang w:val="en-US"/>
        </w:rPr>
        <w:t>. It was also associated with an increase in proteinuria, changes in renal tubular parameters and changes in phospho-calcic metabolism</w:t>
      </w:r>
      <w:r w:rsidR="0019042D" w:rsidRPr="0045429A">
        <w:rPr>
          <w:rFonts w:ascii="Book Antiqua" w:hAnsi="Book Antiqua"/>
          <w:sz w:val="24"/>
          <w:szCs w:val="24"/>
          <w:lang w:val="en-US"/>
        </w:rPr>
        <w:t xml:space="preserve"> </w:t>
      </w:r>
      <w:r w:rsidR="0019042D" w:rsidRPr="0045429A">
        <w:rPr>
          <w:rFonts w:ascii="Book Antiqua" w:hAnsi="Book Antiqua"/>
          <w:sz w:val="24"/>
          <w:szCs w:val="24"/>
          <w:vertAlign w:val="superscript"/>
          <w:lang w:val="en-US"/>
        </w:rPr>
        <w:t>[37]</w:t>
      </w:r>
      <w:r w:rsidR="0019042D" w:rsidRPr="0045429A">
        <w:rPr>
          <w:rFonts w:ascii="Book Antiqua" w:hAnsi="Book Antiqua"/>
          <w:sz w:val="24"/>
          <w:szCs w:val="24"/>
          <w:lang w:val="en-US"/>
        </w:rPr>
        <w:t xml:space="preserve">. Another study including also 11 LAM-R patients </w:t>
      </w:r>
      <w:r w:rsidR="0019042D" w:rsidRPr="0045429A">
        <w:rPr>
          <w:rFonts w:ascii="Book Antiqua" w:hAnsi="Book Antiqua"/>
          <w:sz w:val="24"/>
          <w:szCs w:val="24"/>
          <w:highlight w:val="yellow"/>
          <w:lang w:val="en-US"/>
        </w:rPr>
        <w:t xml:space="preserve">did not </w:t>
      </w:r>
      <w:r w:rsidR="009F102A" w:rsidRPr="0045429A">
        <w:rPr>
          <w:rFonts w:ascii="Book Antiqua" w:hAnsi="Book Antiqua"/>
          <w:sz w:val="24"/>
          <w:szCs w:val="24"/>
          <w:highlight w:val="yellow"/>
          <w:lang w:val="en-US"/>
        </w:rPr>
        <w:t xml:space="preserve">show </w:t>
      </w:r>
      <w:r w:rsidR="0019042D" w:rsidRPr="0045429A">
        <w:rPr>
          <w:rFonts w:ascii="Book Antiqua" w:hAnsi="Book Antiqua"/>
          <w:sz w:val="24"/>
          <w:szCs w:val="24"/>
          <w:highlight w:val="yellow"/>
          <w:lang w:val="en-US"/>
        </w:rPr>
        <w:t>significant changes</w:t>
      </w:r>
      <w:r w:rsidR="0019042D" w:rsidRPr="0045429A">
        <w:rPr>
          <w:rFonts w:ascii="Book Antiqua" w:hAnsi="Book Antiqua"/>
          <w:sz w:val="24"/>
          <w:szCs w:val="24"/>
          <w:lang w:val="en-US"/>
        </w:rPr>
        <w:t xml:space="preserve"> in median creatinine clearance (CLcr), in serum phosphorus or in urinary protein level from baseline to the last available visit</w:t>
      </w:r>
      <w:r w:rsidR="00326E9A" w:rsidRPr="0045429A">
        <w:rPr>
          <w:rFonts w:ascii="Book Antiqua" w:hAnsi="Book Antiqua"/>
          <w:sz w:val="24"/>
          <w:szCs w:val="24"/>
          <w:lang w:val="en-US"/>
        </w:rPr>
        <w:t xml:space="preserve">. However, six patients (54%) had to reduce ADV dose because of CLcr decline after a median of 11 months (range: 9–42). </w:t>
      </w:r>
      <w:r w:rsidR="0019042D" w:rsidRPr="0045429A">
        <w:rPr>
          <w:rFonts w:ascii="Book Antiqua" w:hAnsi="Book Antiqua"/>
          <w:sz w:val="24"/>
          <w:szCs w:val="24"/>
          <w:lang w:val="en-US"/>
        </w:rPr>
        <w:t xml:space="preserve">Twenty-two months (range: 6–34) after dose adjustment, CLcr either remained stable (n = 5) or improved </w:t>
      </w:r>
      <w:r w:rsidR="00326E9A" w:rsidRPr="0045429A">
        <w:rPr>
          <w:rFonts w:ascii="Book Antiqua" w:hAnsi="Book Antiqua"/>
          <w:sz w:val="24"/>
          <w:szCs w:val="24"/>
          <w:lang w:val="en-US"/>
        </w:rPr>
        <w:t xml:space="preserve">(n = 1) </w:t>
      </w:r>
      <w:r w:rsidR="0019042D" w:rsidRPr="0045429A">
        <w:rPr>
          <w:rFonts w:ascii="Book Antiqua" w:hAnsi="Book Antiqua"/>
          <w:sz w:val="24"/>
          <w:szCs w:val="24"/>
          <w:vertAlign w:val="superscript"/>
          <w:lang w:val="en-US"/>
        </w:rPr>
        <w:t>[38]</w:t>
      </w:r>
      <w:r w:rsidR="0019042D" w:rsidRPr="0045429A">
        <w:rPr>
          <w:rFonts w:ascii="Book Antiqua" w:hAnsi="Book Antiqua"/>
          <w:sz w:val="24"/>
          <w:szCs w:val="24"/>
          <w:lang w:val="en-US"/>
        </w:rPr>
        <w:t>.</w:t>
      </w:r>
      <w:r w:rsidR="00326E9A" w:rsidRPr="0045429A">
        <w:rPr>
          <w:rFonts w:ascii="Book Antiqua" w:hAnsi="Book Antiqua"/>
          <w:sz w:val="24"/>
          <w:szCs w:val="24"/>
          <w:lang w:val="en-US"/>
        </w:rPr>
        <w:t xml:space="preserve"> </w:t>
      </w:r>
    </w:p>
    <w:p w:rsidR="005D4062" w:rsidRPr="0045429A" w:rsidRDefault="00F562FD"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Fourteen patients were treated with long term ADV (5 monotherapy, and 9 ADV + LAM combination therapy).</w:t>
      </w:r>
      <w:r w:rsidR="003B4605" w:rsidRPr="0045429A">
        <w:rPr>
          <w:rFonts w:ascii="Book Antiqua" w:hAnsi="Book Antiqua"/>
          <w:sz w:val="24"/>
          <w:szCs w:val="24"/>
          <w:lang w:val="en-US"/>
        </w:rPr>
        <w:t xml:space="preserve"> </w:t>
      </w:r>
      <w:r w:rsidRPr="0045429A">
        <w:rPr>
          <w:rFonts w:ascii="Book Antiqua" w:hAnsi="Book Antiqua"/>
          <w:sz w:val="24"/>
          <w:szCs w:val="24"/>
          <w:lang w:val="en-US"/>
        </w:rPr>
        <w:t xml:space="preserve">Renal dysfunction was diagnosed in eight patients (57.2%) </w:t>
      </w:r>
      <w:r w:rsidR="003B4605" w:rsidRPr="0045429A">
        <w:rPr>
          <w:rFonts w:ascii="Book Antiqua" w:hAnsi="Book Antiqua"/>
          <w:sz w:val="24"/>
          <w:szCs w:val="24"/>
          <w:lang w:val="en-US"/>
        </w:rPr>
        <w:t>; a</w:t>
      </w:r>
      <w:r w:rsidRPr="0045429A">
        <w:rPr>
          <w:rFonts w:ascii="Book Antiqua" w:hAnsi="Book Antiqua"/>
          <w:sz w:val="24"/>
          <w:szCs w:val="24"/>
          <w:lang w:val="en-US"/>
        </w:rPr>
        <w:t xml:space="preserve"> mild </w:t>
      </w:r>
      <w:r w:rsidR="009F102A" w:rsidRPr="0045429A">
        <w:rPr>
          <w:rFonts w:ascii="Book Antiqua" w:hAnsi="Book Antiqua"/>
          <w:sz w:val="24"/>
          <w:szCs w:val="24"/>
          <w:lang w:val="en-US"/>
        </w:rPr>
        <w:t xml:space="preserve">decrease in </w:t>
      </w:r>
      <w:r w:rsidRPr="0045429A">
        <w:rPr>
          <w:rFonts w:ascii="Book Antiqua" w:hAnsi="Book Antiqua"/>
          <w:sz w:val="24"/>
          <w:szCs w:val="24"/>
          <w:highlight w:val="red"/>
          <w:lang w:val="en-US"/>
        </w:rPr>
        <w:t>eGFR</w:t>
      </w:r>
      <w:r w:rsidRPr="0045429A">
        <w:rPr>
          <w:rFonts w:ascii="Book Antiqua" w:hAnsi="Book Antiqua"/>
          <w:sz w:val="24"/>
          <w:szCs w:val="24"/>
          <w:lang w:val="en-US"/>
        </w:rPr>
        <w:t xml:space="preserve"> </w:t>
      </w:r>
      <w:r w:rsidR="003B4605" w:rsidRPr="0045429A">
        <w:rPr>
          <w:rFonts w:ascii="Book Antiqua" w:hAnsi="Book Antiqua"/>
          <w:sz w:val="24"/>
          <w:szCs w:val="24"/>
          <w:lang w:val="en-US"/>
        </w:rPr>
        <w:t>(5-</w:t>
      </w:r>
      <w:r w:rsidRPr="0045429A">
        <w:rPr>
          <w:rFonts w:ascii="Book Antiqua" w:hAnsi="Book Antiqua"/>
          <w:sz w:val="24"/>
          <w:szCs w:val="24"/>
          <w:lang w:val="en-US"/>
        </w:rPr>
        <w:t>20%) from the baseline was observed in four pa</w:t>
      </w:r>
      <w:r w:rsidR="003B4605" w:rsidRPr="0045429A">
        <w:rPr>
          <w:rFonts w:ascii="Book Antiqua" w:hAnsi="Book Antiqua"/>
          <w:sz w:val="24"/>
          <w:szCs w:val="24"/>
          <w:lang w:val="en-US"/>
        </w:rPr>
        <w:t>tients, a moderate decrease (20-</w:t>
      </w:r>
      <w:r w:rsidRPr="0045429A">
        <w:rPr>
          <w:rFonts w:ascii="Book Antiqua" w:hAnsi="Book Antiqua"/>
          <w:sz w:val="24"/>
          <w:szCs w:val="24"/>
          <w:lang w:val="en-US"/>
        </w:rPr>
        <w:t xml:space="preserve">30%) was noted in two patients, and a severe decrease (&gt; 30%) was noted in two patients. Among these, graft rejection was </w:t>
      </w:r>
      <w:r w:rsidRPr="0045429A">
        <w:rPr>
          <w:rFonts w:ascii="Book Antiqua" w:hAnsi="Book Antiqua"/>
          <w:sz w:val="24"/>
          <w:szCs w:val="24"/>
          <w:lang w:val="en-US"/>
        </w:rPr>
        <w:lastRenderedPageBreak/>
        <w:t xml:space="preserve">verified in two patients by renal biopsy. </w:t>
      </w:r>
      <w:r w:rsidR="003B4605" w:rsidRPr="0045429A">
        <w:rPr>
          <w:rFonts w:ascii="Book Antiqua" w:hAnsi="Book Antiqua"/>
          <w:sz w:val="24"/>
          <w:szCs w:val="24"/>
          <w:lang w:val="en-US"/>
        </w:rPr>
        <w:t>Calcineurin inhibitors</w:t>
      </w:r>
      <w:r w:rsidRPr="0045429A">
        <w:rPr>
          <w:rFonts w:ascii="Book Antiqua" w:hAnsi="Book Antiqua"/>
          <w:sz w:val="24"/>
          <w:szCs w:val="24"/>
          <w:lang w:val="en-US"/>
        </w:rPr>
        <w:t xml:space="preserve"> toxicity was considered to be the cause of nephrotoxicity in two patients, and the use of immunosuppressive agents was adjusted accordingly. Nephrotoxicity led to a decrease in ADV dosage in three </w:t>
      </w:r>
      <w:r w:rsidR="00765323" w:rsidRPr="0045429A">
        <w:rPr>
          <w:rFonts w:ascii="Book Antiqua" w:hAnsi="Book Antiqua"/>
          <w:sz w:val="24"/>
          <w:szCs w:val="24"/>
          <w:lang w:val="en-US"/>
        </w:rPr>
        <w:t>patients (eGFR diminished to 30-</w:t>
      </w:r>
      <w:r w:rsidRPr="0045429A">
        <w:rPr>
          <w:rFonts w:ascii="Book Antiqua" w:hAnsi="Book Antiqua"/>
          <w:sz w:val="24"/>
          <w:szCs w:val="24"/>
          <w:lang w:val="en-US"/>
        </w:rPr>
        <w:t>50 mL/minute) and withdrawal in one patient (eGFR &lt; 20 mL/min)</w:t>
      </w:r>
      <w:r w:rsidR="003B4605" w:rsidRPr="0045429A">
        <w:rPr>
          <w:rFonts w:ascii="Book Antiqua" w:hAnsi="Book Antiqua"/>
          <w:sz w:val="24"/>
          <w:szCs w:val="24"/>
          <w:lang w:val="en-US"/>
        </w:rPr>
        <w:t xml:space="preserve"> without impact on virological response </w:t>
      </w:r>
      <w:r w:rsidR="003B4605" w:rsidRPr="0045429A">
        <w:rPr>
          <w:rFonts w:ascii="Book Antiqua" w:hAnsi="Book Antiqua"/>
          <w:sz w:val="24"/>
          <w:szCs w:val="24"/>
          <w:vertAlign w:val="superscript"/>
          <w:lang w:val="en-US"/>
        </w:rPr>
        <w:t>[39]</w:t>
      </w:r>
      <w:r w:rsidRPr="0045429A">
        <w:rPr>
          <w:rFonts w:ascii="Book Antiqua" w:hAnsi="Book Antiqua"/>
          <w:sz w:val="24"/>
          <w:szCs w:val="24"/>
          <w:lang w:val="en-US"/>
        </w:rPr>
        <w:t>.</w:t>
      </w:r>
      <w:r w:rsidR="003B4605" w:rsidRPr="0045429A">
        <w:rPr>
          <w:rFonts w:ascii="Book Antiqua" w:hAnsi="Book Antiqua"/>
          <w:sz w:val="24"/>
          <w:szCs w:val="24"/>
          <w:lang w:val="en-US"/>
        </w:rPr>
        <w:t xml:space="preserve"> </w:t>
      </w:r>
      <w:r w:rsidR="00C5771B" w:rsidRPr="0045429A">
        <w:rPr>
          <w:rFonts w:ascii="Book Antiqua" w:hAnsi="Book Antiqua"/>
          <w:sz w:val="24"/>
          <w:szCs w:val="24"/>
          <w:lang w:val="en-US"/>
        </w:rPr>
        <w:t xml:space="preserve">Renal impairment in long-term ADV users appears relatively frequent, but serious renal toxicity is rare. Renal dysfunction can be safely managed by dose reduction or switching to another NUC without impact on virological response. </w:t>
      </w:r>
    </w:p>
    <w:p w:rsidR="008C5041" w:rsidRPr="0045429A" w:rsidRDefault="008F2A78"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 xml:space="preserve">In TDF treated patients, also a nucleotide analogue, renal dysfunction is less frequently seen than with ADV. Most of the previous reported nephrotoxic events, which were similar to those observed with ADV therapy, were in HIV infected patients </w:t>
      </w:r>
      <w:r w:rsidRPr="0045429A">
        <w:rPr>
          <w:rFonts w:ascii="Book Antiqua" w:hAnsi="Book Antiqua"/>
          <w:sz w:val="24"/>
          <w:szCs w:val="24"/>
          <w:vertAlign w:val="superscript"/>
          <w:lang w:val="en-US"/>
        </w:rPr>
        <w:t>[69]</w:t>
      </w:r>
      <w:r w:rsidRPr="0045429A">
        <w:rPr>
          <w:rFonts w:ascii="Book Antiqua" w:hAnsi="Book Antiqua"/>
          <w:sz w:val="24"/>
          <w:szCs w:val="24"/>
          <w:lang w:val="en-US"/>
        </w:rPr>
        <w:t xml:space="preserve">. </w:t>
      </w:r>
      <w:r w:rsidR="00CF6D15" w:rsidRPr="0045429A">
        <w:rPr>
          <w:rFonts w:ascii="Book Antiqua" w:hAnsi="Book Antiqua"/>
          <w:sz w:val="24"/>
          <w:szCs w:val="24"/>
          <w:lang w:val="en-US"/>
        </w:rPr>
        <w:t>There is recently presented data about TDF impact on renal function in HBV mono-infected patients</w:t>
      </w:r>
      <w:r w:rsidR="001F0918" w:rsidRPr="0045429A">
        <w:rPr>
          <w:rFonts w:ascii="Book Antiqua" w:hAnsi="Book Antiqua"/>
          <w:sz w:val="24"/>
          <w:szCs w:val="24"/>
          <w:lang w:val="en-US"/>
        </w:rPr>
        <w:t xml:space="preserve"> </w:t>
      </w:r>
      <w:r w:rsidR="00FE423D" w:rsidRPr="0045429A">
        <w:rPr>
          <w:rFonts w:ascii="Book Antiqua" w:hAnsi="Book Antiqua"/>
          <w:sz w:val="24"/>
          <w:szCs w:val="24"/>
          <w:vertAlign w:val="superscript"/>
          <w:lang w:val="en-US"/>
        </w:rPr>
        <w:t>[76-81</w:t>
      </w:r>
      <w:r w:rsidR="001F0918" w:rsidRPr="0045429A">
        <w:rPr>
          <w:rFonts w:ascii="Book Antiqua" w:hAnsi="Book Antiqua"/>
          <w:sz w:val="24"/>
          <w:szCs w:val="24"/>
          <w:vertAlign w:val="superscript"/>
          <w:lang w:val="en-US"/>
        </w:rPr>
        <w:t>]</w:t>
      </w:r>
      <w:r w:rsidR="00CF6D15" w:rsidRPr="0045429A">
        <w:rPr>
          <w:rFonts w:ascii="Book Antiqua" w:hAnsi="Book Antiqua"/>
          <w:sz w:val="24"/>
          <w:szCs w:val="24"/>
          <w:lang w:val="en-US"/>
        </w:rPr>
        <w:t xml:space="preserve">. </w:t>
      </w:r>
      <w:r w:rsidR="00BA4947" w:rsidRPr="0045429A">
        <w:rPr>
          <w:rFonts w:ascii="Book Antiqua" w:hAnsi="Book Antiqua"/>
          <w:sz w:val="24"/>
          <w:szCs w:val="24"/>
          <w:lang w:val="en-US"/>
        </w:rPr>
        <w:t>A study evaluated the pooled results from three global randomized clinical trials including 426 patients receiving TDF over 144 weeks. T</w:t>
      </w:r>
      <w:r w:rsidRPr="0045429A">
        <w:rPr>
          <w:rFonts w:ascii="Book Antiqua" w:hAnsi="Book Antiqua"/>
          <w:sz w:val="24"/>
          <w:szCs w:val="24"/>
          <w:lang w:val="en-US"/>
        </w:rPr>
        <w:t xml:space="preserve">here </w:t>
      </w:r>
      <w:r w:rsidR="00BA4947" w:rsidRPr="0045429A">
        <w:rPr>
          <w:rFonts w:ascii="Book Antiqua" w:hAnsi="Book Antiqua"/>
          <w:sz w:val="24"/>
          <w:szCs w:val="24"/>
          <w:lang w:val="en-US"/>
        </w:rPr>
        <w:t>were no clinically relevant changes</w:t>
      </w:r>
      <w:r w:rsidRPr="0045429A">
        <w:rPr>
          <w:rFonts w:ascii="Book Antiqua" w:hAnsi="Book Antiqua"/>
          <w:sz w:val="24"/>
          <w:szCs w:val="24"/>
          <w:lang w:val="en-US"/>
        </w:rPr>
        <w:t xml:space="preserve"> in renal function, with two (0.5%) patients having an increase in Cr ≥ 0.5 mg/dL from baseline and no patients with eGFR &lt; 50 mL/min</w:t>
      </w:r>
      <w:r w:rsidR="00BA4947" w:rsidRPr="0045429A">
        <w:rPr>
          <w:rFonts w:ascii="Book Antiqua" w:hAnsi="Book Antiqua"/>
          <w:sz w:val="24"/>
          <w:szCs w:val="24"/>
          <w:lang w:val="en-US"/>
        </w:rPr>
        <w:t xml:space="preserve">, even in high risk patients such as cirrhotics or diabetics </w:t>
      </w:r>
      <w:r w:rsidR="00BA4947" w:rsidRPr="0045429A">
        <w:rPr>
          <w:rFonts w:ascii="Book Antiqua" w:hAnsi="Book Antiqua"/>
          <w:sz w:val="24"/>
          <w:szCs w:val="24"/>
          <w:vertAlign w:val="superscript"/>
          <w:lang w:val="en-US"/>
        </w:rPr>
        <w:t>[76]</w:t>
      </w:r>
      <w:r w:rsidRPr="0045429A">
        <w:rPr>
          <w:rFonts w:ascii="Book Antiqua" w:hAnsi="Book Antiqua"/>
          <w:sz w:val="24"/>
          <w:szCs w:val="24"/>
          <w:lang w:val="en-US"/>
        </w:rPr>
        <w:t xml:space="preserve">. Moreover, in a study comparing </w:t>
      </w:r>
      <w:r w:rsidR="00DF1E91" w:rsidRPr="0045429A">
        <w:rPr>
          <w:rFonts w:ascii="Book Antiqua" w:hAnsi="Book Antiqua"/>
          <w:sz w:val="24"/>
          <w:szCs w:val="24"/>
          <w:lang w:val="en-US"/>
        </w:rPr>
        <w:t xml:space="preserve">74 </w:t>
      </w:r>
      <w:r w:rsidRPr="0045429A">
        <w:rPr>
          <w:rFonts w:ascii="Book Antiqua" w:hAnsi="Book Antiqua"/>
          <w:sz w:val="24"/>
          <w:szCs w:val="24"/>
          <w:lang w:val="en-US"/>
        </w:rPr>
        <w:t xml:space="preserve">patients with mild renal impairment </w:t>
      </w:r>
      <w:r w:rsidR="00650638" w:rsidRPr="0045429A">
        <w:rPr>
          <w:rFonts w:ascii="Book Antiqua" w:hAnsi="Book Antiqua"/>
          <w:sz w:val="24"/>
          <w:szCs w:val="24"/>
          <w:lang w:val="en-US"/>
        </w:rPr>
        <w:t xml:space="preserve">(CrCl </w:t>
      </w:r>
      <w:r w:rsidR="00650638" w:rsidRPr="0045429A">
        <w:rPr>
          <w:rFonts w:ascii="Book Antiqua" w:hAnsi="Book Antiqua"/>
          <w:sz w:val="24"/>
          <w:szCs w:val="24"/>
          <w:highlight w:val="green"/>
          <w:lang w:val="en-US"/>
        </w:rPr>
        <w:t>50 -</w:t>
      </w:r>
      <w:r w:rsidRPr="0045429A">
        <w:rPr>
          <w:rFonts w:ascii="Book Antiqua" w:hAnsi="Book Antiqua"/>
          <w:sz w:val="24"/>
          <w:szCs w:val="24"/>
          <w:highlight w:val="green"/>
          <w:lang w:val="en-US"/>
        </w:rPr>
        <w:t xml:space="preserve"> 80</w:t>
      </w:r>
      <w:r w:rsidRPr="0045429A">
        <w:rPr>
          <w:rFonts w:ascii="Book Antiqua" w:hAnsi="Book Antiqua"/>
          <w:sz w:val="24"/>
          <w:szCs w:val="24"/>
          <w:lang w:val="en-US"/>
        </w:rPr>
        <w:t xml:space="preserve"> mL/min) with </w:t>
      </w:r>
      <w:r w:rsidR="00DF1E91" w:rsidRPr="0045429A">
        <w:rPr>
          <w:rFonts w:ascii="Book Antiqua" w:hAnsi="Book Antiqua"/>
          <w:sz w:val="24"/>
          <w:szCs w:val="24"/>
          <w:lang w:val="en-US"/>
        </w:rPr>
        <w:t xml:space="preserve">206 with </w:t>
      </w:r>
      <w:r w:rsidRPr="0045429A">
        <w:rPr>
          <w:rFonts w:ascii="Book Antiqua" w:hAnsi="Book Antiqua"/>
          <w:sz w:val="24"/>
          <w:szCs w:val="24"/>
          <w:lang w:val="en-US"/>
        </w:rPr>
        <w:t>normal renal function (CrCl ≥ 80 mL/min), there was no evidence of increased risk for renal complications</w:t>
      </w:r>
      <w:r w:rsidR="00DF1E91" w:rsidRPr="0045429A">
        <w:rPr>
          <w:rFonts w:ascii="Book Antiqua" w:hAnsi="Book Antiqua"/>
          <w:sz w:val="24"/>
          <w:szCs w:val="24"/>
          <w:lang w:val="en-US"/>
        </w:rPr>
        <w:t>: none of the patients had a confirmed increase in serum creatinine of ≥0.5 mg/dL</w:t>
      </w:r>
      <w:r w:rsidR="00BA4947" w:rsidRPr="0045429A">
        <w:rPr>
          <w:rFonts w:ascii="Book Antiqua" w:hAnsi="Book Antiqua"/>
          <w:sz w:val="24"/>
          <w:szCs w:val="24"/>
          <w:lang w:val="en-US"/>
        </w:rPr>
        <w:t xml:space="preserve"> </w:t>
      </w:r>
      <w:r w:rsidR="0006659F" w:rsidRPr="0045429A">
        <w:rPr>
          <w:rFonts w:ascii="Book Antiqua" w:hAnsi="Book Antiqua"/>
          <w:sz w:val="24"/>
          <w:szCs w:val="24"/>
          <w:lang w:val="en-US"/>
        </w:rPr>
        <w:t xml:space="preserve">after 96 weeks of therapy </w:t>
      </w:r>
      <w:r w:rsidR="00BA4947" w:rsidRPr="0045429A">
        <w:rPr>
          <w:rFonts w:ascii="Book Antiqua" w:hAnsi="Book Antiqua"/>
          <w:sz w:val="24"/>
          <w:szCs w:val="24"/>
          <w:vertAlign w:val="superscript"/>
          <w:lang w:val="en-US"/>
        </w:rPr>
        <w:t>[77]</w:t>
      </w:r>
      <w:r w:rsidR="0006659F" w:rsidRPr="0045429A">
        <w:rPr>
          <w:rFonts w:ascii="Book Antiqua" w:hAnsi="Book Antiqua"/>
          <w:sz w:val="24"/>
          <w:szCs w:val="24"/>
          <w:lang w:val="en-US"/>
        </w:rPr>
        <w:t>.</w:t>
      </w:r>
      <w:r w:rsidRPr="0045429A">
        <w:rPr>
          <w:rFonts w:ascii="Book Antiqua" w:hAnsi="Book Antiqua"/>
          <w:sz w:val="24"/>
          <w:szCs w:val="24"/>
          <w:lang w:val="en-US"/>
        </w:rPr>
        <w:t xml:space="preserve"> </w:t>
      </w:r>
      <w:r w:rsidR="005A79CD" w:rsidRPr="0045429A">
        <w:rPr>
          <w:rFonts w:ascii="Book Antiqua" w:hAnsi="Book Antiqua"/>
          <w:sz w:val="24"/>
          <w:szCs w:val="24"/>
          <w:lang w:val="en-US"/>
        </w:rPr>
        <w:t>Among 441</w:t>
      </w:r>
      <w:r w:rsidRPr="0045429A">
        <w:rPr>
          <w:rFonts w:ascii="Book Antiqua" w:hAnsi="Book Antiqua"/>
          <w:sz w:val="24"/>
          <w:szCs w:val="24"/>
          <w:lang w:val="en-US"/>
        </w:rPr>
        <w:t xml:space="preserve"> patients </w:t>
      </w:r>
      <w:r w:rsidR="005A79CD" w:rsidRPr="0045429A">
        <w:rPr>
          <w:rFonts w:ascii="Book Antiqua" w:hAnsi="Book Antiqua"/>
          <w:sz w:val="24"/>
          <w:szCs w:val="24"/>
          <w:lang w:val="en-US"/>
        </w:rPr>
        <w:t xml:space="preserve">from the Vireal cohort, 114 </w:t>
      </w:r>
      <w:r w:rsidRPr="0045429A">
        <w:rPr>
          <w:rFonts w:ascii="Book Antiqua" w:hAnsi="Book Antiqua"/>
          <w:sz w:val="24"/>
          <w:szCs w:val="24"/>
          <w:lang w:val="en-US"/>
        </w:rPr>
        <w:t>with baseline</w:t>
      </w:r>
      <w:r w:rsidR="005A79CD" w:rsidRPr="0045429A">
        <w:rPr>
          <w:rFonts w:ascii="Book Antiqua" w:hAnsi="Book Antiqua"/>
          <w:sz w:val="24"/>
          <w:szCs w:val="24"/>
          <w:lang w:val="en-US"/>
        </w:rPr>
        <w:t xml:space="preserve"> decreased glomerular filtration rate</w:t>
      </w:r>
      <w:r w:rsidRPr="0045429A">
        <w:rPr>
          <w:rFonts w:ascii="Book Antiqua" w:hAnsi="Book Antiqua"/>
          <w:sz w:val="24"/>
          <w:szCs w:val="24"/>
          <w:lang w:val="en-US"/>
        </w:rPr>
        <w:t xml:space="preserve"> </w:t>
      </w:r>
      <w:r w:rsidR="005A79CD" w:rsidRPr="0045429A">
        <w:rPr>
          <w:rFonts w:ascii="Book Antiqua" w:hAnsi="Book Antiqua"/>
          <w:sz w:val="24"/>
          <w:szCs w:val="24"/>
          <w:lang w:val="en-US"/>
        </w:rPr>
        <w:t>were</w:t>
      </w:r>
      <w:r w:rsidRPr="0045429A">
        <w:rPr>
          <w:rFonts w:ascii="Book Antiqua" w:hAnsi="Book Antiqua"/>
          <w:sz w:val="24"/>
          <w:szCs w:val="24"/>
          <w:lang w:val="en-US"/>
        </w:rPr>
        <w:t xml:space="preserve"> </w:t>
      </w:r>
      <w:r w:rsidR="005A79CD" w:rsidRPr="0045429A">
        <w:rPr>
          <w:rFonts w:ascii="Book Antiqua" w:hAnsi="Book Antiqua"/>
          <w:sz w:val="24"/>
          <w:szCs w:val="24"/>
          <w:lang w:val="en-US"/>
        </w:rPr>
        <w:t>classified</w:t>
      </w:r>
      <w:r w:rsidRPr="0045429A">
        <w:rPr>
          <w:rFonts w:ascii="Book Antiqua" w:hAnsi="Book Antiqua"/>
          <w:sz w:val="24"/>
          <w:szCs w:val="24"/>
          <w:lang w:val="en-US"/>
        </w:rPr>
        <w:t xml:space="preserve"> as stage 2 (GFR 60–89 mL/min), stage 3 (GFR 30–59 mL/min),</w:t>
      </w:r>
      <w:r w:rsidR="005A79CD" w:rsidRPr="0045429A">
        <w:rPr>
          <w:rFonts w:ascii="Book Antiqua" w:hAnsi="Book Antiqua"/>
          <w:sz w:val="24"/>
          <w:szCs w:val="24"/>
          <w:lang w:val="en-US"/>
        </w:rPr>
        <w:t xml:space="preserve"> stage 4 (GFR 15–29 mL/min) and stage 5 (GFR &lt;15 mL/min or dialysis) and included in the study. </w:t>
      </w:r>
      <w:r w:rsidR="00DF1E91" w:rsidRPr="0045429A">
        <w:rPr>
          <w:rFonts w:ascii="Book Antiqua" w:hAnsi="Book Antiqua"/>
          <w:sz w:val="24"/>
          <w:szCs w:val="24"/>
          <w:lang w:val="en-US"/>
        </w:rPr>
        <w:t xml:space="preserve">After 48 weeks of treatment, TDF did not significantly alter renal function in patients with stages 2, 3, and 4 renal disease (76 vs. 77 mL/min, 50 vs. 49 mL/min, and 23 vs. 23 mL/min, respectively) </w:t>
      </w:r>
      <w:r w:rsidR="00DF1E91" w:rsidRPr="0045429A">
        <w:rPr>
          <w:rFonts w:ascii="Book Antiqua" w:hAnsi="Book Antiqua"/>
          <w:sz w:val="24"/>
          <w:szCs w:val="24"/>
          <w:vertAlign w:val="superscript"/>
          <w:lang w:val="en-US"/>
        </w:rPr>
        <w:t>[78]</w:t>
      </w:r>
      <w:r w:rsidR="00DF1E91" w:rsidRPr="0045429A">
        <w:rPr>
          <w:rFonts w:ascii="Book Antiqua" w:hAnsi="Book Antiqua"/>
          <w:sz w:val="24"/>
          <w:szCs w:val="24"/>
          <w:lang w:val="en-US"/>
        </w:rPr>
        <w:t xml:space="preserve">. Two RT </w:t>
      </w:r>
      <w:r w:rsidR="00DF1E91" w:rsidRPr="0045429A">
        <w:rPr>
          <w:rFonts w:ascii="Book Antiqua" w:hAnsi="Book Antiqua"/>
          <w:sz w:val="24"/>
          <w:szCs w:val="24"/>
          <w:lang w:val="en-US"/>
        </w:rPr>
        <w:lastRenderedPageBreak/>
        <w:t xml:space="preserve">recipients were included and had constant GFR during treatment. TDF dose adjustments were performed in 9 patients. Regarding renal disease stage, 67% were stable, 22% improved and 11% decreased renal function at the end of the study </w:t>
      </w:r>
      <w:r w:rsidR="00DF1E91" w:rsidRPr="0045429A">
        <w:rPr>
          <w:rFonts w:ascii="Book Antiqua" w:hAnsi="Book Antiqua"/>
          <w:sz w:val="24"/>
          <w:szCs w:val="24"/>
          <w:vertAlign w:val="superscript"/>
          <w:lang w:val="en-US"/>
        </w:rPr>
        <w:t>[78]</w:t>
      </w:r>
      <w:r w:rsidR="00DF1E91" w:rsidRPr="0045429A">
        <w:rPr>
          <w:rFonts w:ascii="Book Antiqua" w:hAnsi="Book Antiqua"/>
          <w:sz w:val="24"/>
          <w:szCs w:val="24"/>
          <w:lang w:val="en-US"/>
        </w:rPr>
        <w:t>.</w:t>
      </w:r>
      <w:r w:rsidR="00FE0BAE" w:rsidRPr="0045429A">
        <w:rPr>
          <w:rFonts w:ascii="Book Antiqua" w:hAnsi="Book Antiqua"/>
          <w:sz w:val="24"/>
          <w:szCs w:val="24"/>
          <w:lang w:val="en-US"/>
        </w:rPr>
        <w:t xml:space="preserve"> </w:t>
      </w:r>
      <w:r w:rsidRPr="0045429A">
        <w:rPr>
          <w:rFonts w:ascii="Book Antiqua" w:hAnsi="Book Antiqua"/>
          <w:sz w:val="24"/>
          <w:szCs w:val="24"/>
          <w:lang w:val="en-US"/>
        </w:rPr>
        <w:t>In a retrospective study</w:t>
      </w:r>
      <w:r w:rsidR="00FE0BAE" w:rsidRPr="0045429A">
        <w:rPr>
          <w:rFonts w:ascii="Book Antiqua" w:hAnsi="Book Antiqua"/>
          <w:sz w:val="24"/>
          <w:szCs w:val="24"/>
          <w:lang w:val="en-US"/>
        </w:rPr>
        <w:t>,</w:t>
      </w:r>
      <w:r w:rsidRPr="0045429A">
        <w:rPr>
          <w:rFonts w:ascii="Book Antiqua" w:hAnsi="Book Antiqua"/>
          <w:sz w:val="24"/>
          <w:szCs w:val="24"/>
          <w:lang w:val="en-US"/>
        </w:rPr>
        <w:t xml:space="preserve"> 195 patients with previous f</w:t>
      </w:r>
      <w:r w:rsidR="0006659F" w:rsidRPr="0045429A">
        <w:rPr>
          <w:rFonts w:ascii="Book Antiqua" w:hAnsi="Book Antiqua"/>
          <w:sz w:val="24"/>
          <w:szCs w:val="24"/>
          <w:lang w:val="en-US"/>
        </w:rPr>
        <w:t>ailed NUC</w:t>
      </w:r>
      <w:r w:rsidRPr="0045429A">
        <w:rPr>
          <w:rFonts w:ascii="Book Antiqua" w:hAnsi="Book Antiqua"/>
          <w:sz w:val="24"/>
          <w:szCs w:val="24"/>
          <w:lang w:val="en-US"/>
        </w:rPr>
        <w:t xml:space="preserve"> therapy and treated with TDF monotherapy</w:t>
      </w:r>
      <w:r w:rsidR="0006659F" w:rsidRPr="0045429A">
        <w:rPr>
          <w:rFonts w:ascii="Book Antiqua" w:hAnsi="Book Antiqua"/>
          <w:sz w:val="24"/>
          <w:szCs w:val="24"/>
          <w:lang w:val="en-US"/>
        </w:rPr>
        <w:t xml:space="preserve"> for 30±16</w:t>
      </w:r>
      <w:r w:rsidR="00FE0BAE" w:rsidRPr="0045429A">
        <w:rPr>
          <w:rFonts w:ascii="Book Antiqua" w:hAnsi="Book Antiqua"/>
          <w:sz w:val="24"/>
          <w:szCs w:val="24"/>
          <w:lang w:val="en-US"/>
        </w:rPr>
        <w:t xml:space="preserve"> (6-90) months were compared with 89 asymptomatic HBsAg carriers </w:t>
      </w:r>
      <w:r w:rsidR="00FE0BAE" w:rsidRPr="0045429A">
        <w:rPr>
          <w:rFonts w:ascii="Book Antiqua" w:hAnsi="Book Antiqua"/>
          <w:sz w:val="24"/>
          <w:szCs w:val="24"/>
          <w:vertAlign w:val="superscript"/>
          <w:lang w:val="en-US"/>
        </w:rPr>
        <w:t>[79]</w:t>
      </w:r>
      <w:r w:rsidR="00FE0BAE" w:rsidRPr="0045429A">
        <w:rPr>
          <w:rFonts w:ascii="Book Antiqua" w:hAnsi="Book Antiqua"/>
          <w:sz w:val="24"/>
          <w:szCs w:val="24"/>
          <w:lang w:val="en-US"/>
        </w:rPr>
        <w:t>. By month 48, patients in the TDF group had a significantly greater decrease in eGFR as compared to the control group (−16±36 [−48 – +23] and −9.6±36 [−21 – +22]mL/min, respectively, p = 0.03). O</w:t>
      </w:r>
      <w:r w:rsidRPr="0045429A">
        <w:rPr>
          <w:rFonts w:ascii="Book Antiqua" w:hAnsi="Book Antiqua"/>
          <w:sz w:val="24"/>
          <w:szCs w:val="24"/>
          <w:lang w:val="en-US"/>
        </w:rPr>
        <w:t>nly one patient required dose reduction after 15 months of therapy following an increa</w:t>
      </w:r>
      <w:r w:rsidR="00FE0BAE" w:rsidRPr="0045429A">
        <w:rPr>
          <w:rFonts w:ascii="Book Antiqua" w:hAnsi="Book Antiqua"/>
          <w:sz w:val="24"/>
          <w:szCs w:val="24"/>
          <w:lang w:val="en-US"/>
        </w:rPr>
        <w:t xml:space="preserve">se of Cr from 0.8 to 1.18 mg/dL </w:t>
      </w:r>
      <w:r w:rsidR="00FE0BAE" w:rsidRPr="0045429A">
        <w:rPr>
          <w:rFonts w:ascii="Book Antiqua" w:hAnsi="Book Antiqua"/>
          <w:sz w:val="24"/>
          <w:szCs w:val="24"/>
          <w:vertAlign w:val="superscript"/>
          <w:lang w:val="en-US"/>
        </w:rPr>
        <w:t>[79]</w:t>
      </w:r>
      <w:r w:rsidR="00FE0BAE" w:rsidRPr="0045429A">
        <w:rPr>
          <w:rFonts w:ascii="Book Antiqua" w:hAnsi="Book Antiqua"/>
          <w:sz w:val="24"/>
          <w:szCs w:val="24"/>
          <w:lang w:val="en-US"/>
        </w:rPr>
        <w:t>.</w:t>
      </w:r>
      <w:r w:rsidR="00243EB5" w:rsidRPr="0045429A">
        <w:rPr>
          <w:rFonts w:ascii="Book Antiqua" w:hAnsi="Book Antiqua"/>
          <w:sz w:val="24"/>
          <w:szCs w:val="24"/>
          <w:lang w:val="en-US"/>
        </w:rPr>
        <w:t xml:space="preserve"> In 26 LAM-R patients treated with TDF, there were no significant changes from baseline in phosphatemia and GFR after one year of treatment </w:t>
      </w:r>
      <w:r w:rsidR="00243EB5" w:rsidRPr="0045429A">
        <w:rPr>
          <w:rFonts w:ascii="Book Antiqua" w:hAnsi="Book Antiqua"/>
          <w:sz w:val="24"/>
          <w:szCs w:val="24"/>
          <w:vertAlign w:val="superscript"/>
          <w:lang w:val="en-US"/>
        </w:rPr>
        <w:t>[80]</w:t>
      </w:r>
      <w:r w:rsidR="00243EB5" w:rsidRPr="0045429A">
        <w:rPr>
          <w:rFonts w:ascii="Book Antiqua" w:hAnsi="Book Antiqua"/>
          <w:sz w:val="24"/>
          <w:szCs w:val="24"/>
          <w:lang w:val="en-US"/>
        </w:rPr>
        <w:t xml:space="preserve">. Despite the lack of significant GFR changes, caution must still be taken with potential proximal tubule effects. In a study of 61 patients treated with TDF, </w:t>
      </w:r>
      <w:r w:rsidR="00380DAB" w:rsidRPr="0045429A">
        <w:rPr>
          <w:rFonts w:ascii="Book Antiqua" w:hAnsi="Book Antiqua"/>
          <w:sz w:val="24"/>
          <w:szCs w:val="24"/>
          <w:lang w:val="en-US"/>
        </w:rPr>
        <w:t>mean GFR (102</w:t>
      </w:r>
      <w:r w:rsidR="00380DAB" w:rsidRPr="0045429A">
        <w:rPr>
          <w:rFonts w:ascii="Book Antiqua" w:hAnsi="Book Antiqua" w:cs="Tahoma"/>
          <w:sz w:val="24"/>
          <w:szCs w:val="24"/>
          <w:lang w:val="en-US"/>
        </w:rPr>
        <w:t>±</w:t>
      </w:r>
      <w:r w:rsidR="00380DAB" w:rsidRPr="0045429A">
        <w:rPr>
          <w:rFonts w:ascii="Book Antiqua" w:hAnsi="Book Antiqua"/>
          <w:sz w:val="24"/>
          <w:szCs w:val="24"/>
          <w:lang w:val="en-US"/>
        </w:rPr>
        <w:t>21.8 ml/min/1.73m2 (48-161)) showed no significant change compared to baseline (p=n.s.), 35 (58%) patients showed a GFR decline (median 8.1%, range 0.01% to 20.5%) and 2 had decrease of GFR to &lt; 60 ml/min/1.73m2 after a mean treatment duration of 29 months</w:t>
      </w:r>
      <w:r w:rsidR="00380DAB" w:rsidRPr="0045429A">
        <w:rPr>
          <w:rFonts w:ascii="Book Antiqua" w:hAnsi="Book Antiqua"/>
          <w:sz w:val="24"/>
          <w:szCs w:val="24"/>
          <w:vertAlign w:val="superscript"/>
          <w:lang w:val="en-US"/>
        </w:rPr>
        <w:t xml:space="preserve"> [81]</w:t>
      </w:r>
      <w:r w:rsidR="00380DAB" w:rsidRPr="0045429A">
        <w:rPr>
          <w:rFonts w:ascii="Book Antiqua" w:hAnsi="Book Antiqua"/>
          <w:sz w:val="24"/>
          <w:szCs w:val="24"/>
          <w:lang w:val="en-US"/>
        </w:rPr>
        <w:t xml:space="preserve">. At least one sign of proximal tubular damage appeared in 26 (42%) individuals:  </w:t>
      </w:r>
      <w:r w:rsidR="00FE423D" w:rsidRPr="0045429A">
        <w:rPr>
          <w:rFonts w:ascii="Book Antiqua" w:hAnsi="Book Antiqua"/>
          <w:sz w:val="24"/>
          <w:szCs w:val="24"/>
          <w:lang w:val="en-US"/>
        </w:rPr>
        <w:t>glucosuria without DM, increased alpha1-microglobulinuria/creatinine ratio, hypophosphatemia, reduced</w:t>
      </w:r>
      <w:r w:rsidR="00380DAB" w:rsidRPr="0045429A">
        <w:rPr>
          <w:rFonts w:ascii="Book Antiqua" w:hAnsi="Book Antiqua"/>
          <w:sz w:val="24"/>
          <w:szCs w:val="24"/>
          <w:lang w:val="en-US"/>
        </w:rPr>
        <w:t xml:space="preserve"> </w:t>
      </w:r>
      <w:r w:rsidR="00380DAB" w:rsidRPr="0045429A">
        <w:rPr>
          <w:rFonts w:ascii="Book Antiqua" w:hAnsi="Book Antiqua"/>
          <w:sz w:val="24"/>
          <w:szCs w:val="24"/>
          <w:highlight w:val="red"/>
          <w:lang w:val="en-US"/>
        </w:rPr>
        <w:t>tubular resorption of phosphate rate</w:t>
      </w:r>
      <w:r w:rsidR="00380DAB" w:rsidRPr="0045429A">
        <w:rPr>
          <w:rFonts w:ascii="Book Antiqua" w:hAnsi="Book Antiqua"/>
          <w:sz w:val="24"/>
          <w:szCs w:val="24"/>
          <w:lang w:val="en-US"/>
        </w:rPr>
        <w:t xml:space="preserve"> and </w:t>
      </w:r>
      <w:r w:rsidR="00FE423D" w:rsidRPr="0045429A">
        <w:rPr>
          <w:rFonts w:ascii="Book Antiqua" w:hAnsi="Book Antiqua"/>
          <w:sz w:val="24"/>
          <w:szCs w:val="24"/>
          <w:lang w:val="en-US"/>
        </w:rPr>
        <w:t>reduced</w:t>
      </w:r>
      <w:r w:rsidR="00380DAB" w:rsidRPr="0045429A">
        <w:rPr>
          <w:rFonts w:ascii="Book Antiqua" w:hAnsi="Book Antiqua"/>
          <w:sz w:val="24"/>
          <w:szCs w:val="24"/>
          <w:lang w:val="en-US"/>
        </w:rPr>
        <w:t xml:space="preserve"> </w:t>
      </w:r>
      <w:r w:rsidR="00380DAB" w:rsidRPr="0045429A">
        <w:rPr>
          <w:rFonts w:ascii="Book Antiqua" w:hAnsi="Book Antiqua"/>
          <w:sz w:val="24"/>
          <w:szCs w:val="24"/>
          <w:highlight w:val="red"/>
          <w:lang w:val="en-US"/>
        </w:rPr>
        <w:t>tubular maximum reabsorption rate</w:t>
      </w:r>
      <w:r w:rsidR="00380DAB" w:rsidRPr="0045429A">
        <w:rPr>
          <w:rFonts w:ascii="Book Antiqua" w:hAnsi="Book Antiqua"/>
          <w:sz w:val="24"/>
          <w:szCs w:val="24"/>
          <w:lang w:val="en-US"/>
        </w:rPr>
        <w:t xml:space="preserve"> </w:t>
      </w:r>
      <w:r w:rsidR="00FE423D" w:rsidRPr="0045429A">
        <w:rPr>
          <w:rFonts w:ascii="Book Antiqua" w:hAnsi="Book Antiqua"/>
          <w:sz w:val="24"/>
          <w:szCs w:val="24"/>
          <w:vertAlign w:val="superscript"/>
          <w:lang w:val="en-US"/>
        </w:rPr>
        <w:t>[81]</w:t>
      </w:r>
      <w:r w:rsidR="00FE423D" w:rsidRPr="0045429A">
        <w:rPr>
          <w:rFonts w:ascii="Book Antiqua" w:hAnsi="Book Antiqua"/>
          <w:sz w:val="24"/>
          <w:szCs w:val="24"/>
          <w:lang w:val="en-US"/>
        </w:rPr>
        <w:t>.</w:t>
      </w:r>
      <w:r w:rsidR="008C5041" w:rsidRPr="0045429A">
        <w:rPr>
          <w:rFonts w:ascii="Book Antiqua" w:hAnsi="Book Antiqua"/>
          <w:sz w:val="24"/>
          <w:szCs w:val="24"/>
          <w:lang w:val="en-US"/>
        </w:rPr>
        <w:t xml:space="preserve"> </w:t>
      </w:r>
      <w:r w:rsidR="00DE18CD" w:rsidRPr="0045429A">
        <w:rPr>
          <w:rFonts w:ascii="Book Antiqua" w:hAnsi="Book Antiqua"/>
          <w:sz w:val="24"/>
          <w:szCs w:val="24"/>
          <w:lang w:val="en-US"/>
        </w:rPr>
        <w:t xml:space="preserve">The effects of TDF on renal function were evaluated in 321 naïve patients treated for 4 years in clinical practice </w:t>
      </w:r>
      <w:r w:rsidR="00DE18CD" w:rsidRPr="0045429A">
        <w:rPr>
          <w:rFonts w:ascii="Book Antiqua" w:hAnsi="Book Antiqua"/>
          <w:sz w:val="24"/>
          <w:szCs w:val="24"/>
          <w:vertAlign w:val="superscript"/>
          <w:lang w:val="en-US"/>
        </w:rPr>
        <w:t>[82]</w:t>
      </w:r>
      <w:r w:rsidR="00DE18CD" w:rsidRPr="0045429A">
        <w:rPr>
          <w:rFonts w:ascii="Book Antiqua" w:hAnsi="Book Antiqua"/>
          <w:sz w:val="24"/>
          <w:szCs w:val="24"/>
          <w:lang w:val="en-US"/>
        </w:rPr>
        <w:t xml:space="preserve">. </w:t>
      </w:r>
      <w:r w:rsidR="008C5041" w:rsidRPr="0045429A">
        <w:rPr>
          <w:rFonts w:ascii="Book Antiqua" w:hAnsi="Book Antiqua"/>
          <w:sz w:val="24"/>
          <w:szCs w:val="24"/>
          <w:lang w:val="en-US"/>
        </w:rPr>
        <w:t xml:space="preserve">In this large European cohort, serum creatinine and phosphorus blood levels remained unchanged over time (0.90 mg/dl; 3.3 mg/dl) while eGFR declined from 84 to 80 ml/min. The proportion of patients with eGFR&lt;50 and &lt;60 ml/min (MDRD) increased from 2% to 3% and from 7% to 11% at year 4, respectively. The proportion of patients with blood phosphate below 2.3 mg/dl increased from 2% (baseline) to 5.1 % at year 4, while 1% of the patients had phosphate &lt;2.0 throughout the study period. Due to renal events, TDF dose was adjusted in 19 (5%) patients (eGFR decline in 17; low </w:t>
      </w:r>
      <w:r w:rsidR="008C5041" w:rsidRPr="0045429A">
        <w:rPr>
          <w:rFonts w:ascii="Book Antiqua" w:hAnsi="Book Antiqua"/>
          <w:sz w:val="24"/>
          <w:szCs w:val="24"/>
          <w:lang w:val="en-US"/>
        </w:rPr>
        <w:lastRenderedPageBreak/>
        <w:t xml:space="preserve">phosphate in 2) and discontinued in additional 7 (2%) patients who were switched to ETV. Overall, renal events were reported in 26 patients (7%) </w:t>
      </w:r>
      <w:r w:rsidR="008C5041" w:rsidRPr="0045429A">
        <w:rPr>
          <w:rFonts w:ascii="Book Antiqua" w:hAnsi="Book Antiqua"/>
          <w:sz w:val="24"/>
          <w:szCs w:val="24"/>
          <w:vertAlign w:val="superscript"/>
          <w:lang w:val="en-US"/>
        </w:rPr>
        <w:t>[82]</w:t>
      </w:r>
      <w:r w:rsidR="008C5041" w:rsidRPr="0045429A">
        <w:rPr>
          <w:rFonts w:ascii="Book Antiqua" w:hAnsi="Book Antiqua"/>
          <w:sz w:val="24"/>
          <w:szCs w:val="24"/>
          <w:lang w:val="en-US"/>
        </w:rPr>
        <w:t>.</w:t>
      </w:r>
    </w:p>
    <w:p w:rsidR="0029299B" w:rsidRPr="0045429A" w:rsidRDefault="005C2519"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In contrast to nucleotide analogues, nucleoside analogues, including ETV and LdT, did not show a significant renal toxicity</w:t>
      </w:r>
      <w:r w:rsidR="00087E23" w:rsidRPr="0045429A">
        <w:rPr>
          <w:rFonts w:ascii="Book Antiqua" w:hAnsi="Book Antiqua"/>
          <w:sz w:val="24"/>
          <w:szCs w:val="24"/>
          <w:lang w:val="en-US"/>
        </w:rPr>
        <w:t xml:space="preserve"> </w:t>
      </w:r>
      <w:r w:rsidR="00087E23" w:rsidRPr="0045429A">
        <w:rPr>
          <w:rFonts w:ascii="Book Antiqua" w:hAnsi="Book Antiqua"/>
          <w:sz w:val="24"/>
          <w:szCs w:val="24"/>
          <w:vertAlign w:val="superscript"/>
          <w:lang w:val="en-US"/>
        </w:rPr>
        <w:t>[68,69]</w:t>
      </w:r>
      <w:r w:rsidRPr="0045429A">
        <w:rPr>
          <w:rFonts w:ascii="Book Antiqua" w:hAnsi="Book Antiqua"/>
          <w:sz w:val="24"/>
          <w:szCs w:val="24"/>
          <w:lang w:val="en-US"/>
        </w:rPr>
        <w:t xml:space="preserve">. </w:t>
      </w:r>
      <w:r w:rsidR="00087E23" w:rsidRPr="0045429A">
        <w:rPr>
          <w:rFonts w:ascii="Book Antiqua" w:hAnsi="Book Antiqua"/>
          <w:sz w:val="24"/>
          <w:szCs w:val="24"/>
          <w:lang w:val="en-US"/>
        </w:rPr>
        <w:t xml:space="preserve">Studies have been performed comparing ETV and TDF nephrotoxicity </w:t>
      </w:r>
      <w:r w:rsidR="00DE18CD" w:rsidRPr="0045429A">
        <w:rPr>
          <w:rFonts w:ascii="Book Antiqua" w:hAnsi="Book Antiqua"/>
          <w:sz w:val="24"/>
          <w:szCs w:val="24"/>
          <w:vertAlign w:val="superscript"/>
          <w:lang w:val="en-US"/>
        </w:rPr>
        <w:t>[83</w:t>
      </w:r>
      <w:r w:rsidR="00BF47EE" w:rsidRPr="0045429A">
        <w:rPr>
          <w:rFonts w:ascii="Book Antiqua" w:hAnsi="Book Antiqua"/>
          <w:sz w:val="24"/>
          <w:szCs w:val="24"/>
          <w:vertAlign w:val="superscript"/>
          <w:lang w:val="en-US"/>
        </w:rPr>
        <w:t>-</w:t>
      </w:r>
      <w:r w:rsidR="0029299B" w:rsidRPr="0045429A">
        <w:rPr>
          <w:rFonts w:ascii="Book Antiqua" w:hAnsi="Book Antiqua"/>
          <w:sz w:val="24"/>
          <w:szCs w:val="24"/>
          <w:vertAlign w:val="superscript"/>
          <w:lang w:val="en-US"/>
        </w:rPr>
        <w:t>8</w:t>
      </w:r>
      <w:r w:rsidR="00DE18CD" w:rsidRPr="0045429A">
        <w:rPr>
          <w:rFonts w:ascii="Book Antiqua" w:hAnsi="Book Antiqua"/>
          <w:sz w:val="24"/>
          <w:szCs w:val="24"/>
          <w:vertAlign w:val="superscript"/>
          <w:lang w:val="en-US"/>
        </w:rPr>
        <w:t>7</w:t>
      </w:r>
      <w:r w:rsidR="00F95D9A" w:rsidRPr="0045429A">
        <w:rPr>
          <w:rFonts w:ascii="Book Antiqua" w:hAnsi="Book Antiqua"/>
          <w:sz w:val="24"/>
          <w:szCs w:val="24"/>
          <w:vertAlign w:val="superscript"/>
          <w:lang w:val="en-US"/>
        </w:rPr>
        <w:t>]</w:t>
      </w:r>
      <w:r w:rsidR="00087E23" w:rsidRPr="0045429A">
        <w:rPr>
          <w:rFonts w:ascii="Book Antiqua" w:hAnsi="Book Antiqua"/>
          <w:sz w:val="24"/>
          <w:szCs w:val="24"/>
          <w:lang w:val="en-US"/>
        </w:rPr>
        <w:t>.</w:t>
      </w:r>
      <w:r w:rsidR="00F95D9A" w:rsidRPr="0045429A">
        <w:rPr>
          <w:rFonts w:ascii="Book Antiqua" w:hAnsi="Book Antiqua"/>
          <w:sz w:val="24"/>
          <w:szCs w:val="24"/>
          <w:lang w:val="en-US"/>
        </w:rPr>
        <w:t xml:space="preserve"> </w:t>
      </w:r>
      <w:r w:rsidR="00380DAB" w:rsidRPr="0045429A">
        <w:rPr>
          <w:rFonts w:ascii="Book Antiqua" w:hAnsi="Book Antiqua"/>
          <w:sz w:val="24"/>
          <w:szCs w:val="24"/>
          <w:lang w:val="en-US"/>
        </w:rPr>
        <w:t>A 2-year study of patients on ETV (n = 74) and TDF ± LAM (n = 50) showed no significant changes in eGFR</w:t>
      </w:r>
      <w:r w:rsidR="00BF47EE" w:rsidRPr="0045429A">
        <w:rPr>
          <w:rFonts w:ascii="Book Antiqua" w:hAnsi="Book Antiqua"/>
          <w:sz w:val="24"/>
          <w:szCs w:val="24"/>
          <w:vertAlign w:val="superscript"/>
          <w:lang w:val="en-US"/>
        </w:rPr>
        <w:t xml:space="preserve"> [8</w:t>
      </w:r>
      <w:r w:rsidR="00DE18CD" w:rsidRPr="0045429A">
        <w:rPr>
          <w:rFonts w:ascii="Book Antiqua" w:hAnsi="Book Antiqua"/>
          <w:sz w:val="24"/>
          <w:szCs w:val="24"/>
          <w:vertAlign w:val="superscript"/>
          <w:lang w:val="en-US"/>
        </w:rPr>
        <w:t>3</w:t>
      </w:r>
      <w:r w:rsidR="00BF47EE" w:rsidRPr="0045429A">
        <w:rPr>
          <w:rFonts w:ascii="Book Antiqua" w:hAnsi="Book Antiqua"/>
          <w:sz w:val="24"/>
          <w:szCs w:val="24"/>
          <w:vertAlign w:val="superscript"/>
          <w:lang w:val="en-US"/>
        </w:rPr>
        <w:t>]</w:t>
      </w:r>
      <w:r w:rsidR="00380DAB" w:rsidRPr="0045429A">
        <w:rPr>
          <w:rFonts w:ascii="Book Antiqua" w:hAnsi="Book Antiqua"/>
          <w:sz w:val="24"/>
          <w:szCs w:val="24"/>
          <w:lang w:val="en-US"/>
        </w:rPr>
        <w:t xml:space="preserve">. </w:t>
      </w:r>
      <w:r w:rsidR="00BF47EE" w:rsidRPr="0045429A">
        <w:rPr>
          <w:rFonts w:ascii="Book Antiqua" w:hAnsi="Book Antiqua"/>
          <w:sz w:val="24"/>
          <w:szCs w:val="24"/>
          <w:lang w:val="en-US"/>
        </w:rPr>
        <w:t xml:space="preserve">The proportion of patients with ≥40% reduction in eGFR from baseline was 3.92% in the TDF ± LMV group vs. 2.7% in the ETV group (p=NS). In the univariate mixed linear model, compared to control subjects at baseline, eGFR at 2 years declined in the ETV group by -7.6 ml/min (95% CI -15.8-+0.6, p=0.07) and -8.7 ml/min (CI -18.3-+1.0,p=0.08) in the TDF ± LMV group while in the control it remained stable at +7.4 ml/min (CI 0.78-14.1,p=0.03) </w:t>
      </w:r>
      <w:r w:rsidR="00BF47EE" w:rsidRPr="0045429A">
        <w:rPr>
          <w:rFonts w:ascii="Book Antiqua" w:hAnsi="Book Antiqua"/>
          <w:sz w:val="24"/>
          <w:szCs w:val="24"/>
          <w:vertAlign w:val="superscript"/>
          <w:lang w:val="en-US"/>
        </w:rPr>
        <w:t>[8</w:t>
      </w:r>
      <w:r w:rsidR="00DE18CD" w:rsidRPr="0045429A">
        <w:rPr>
          <w:rFonts w:ascii="Book Antiqua" w:hAnsi="Book Antiqua"/>
          <w:sz w:val="24"/>
          <w:szCs w:val="24"/>
          <w:vertAlign w:val="superscript"/>
          <w:lang w:val="en-US"/>
        </w:rPr>
        <w:t>3</w:t>
      </w:r>
      <w:r w:rsidR="00BF47EE" w:rsidRPr="0045429A">
        <w:rPr>
          <w:rFonts w:ascii="Book Antiqua" w:hAnsi="Book Antiqua"/>
          <w:sz w:val="24"/>
          <w:szCs w:val="24"/>
          <w:vertAlign w:val="superscript"/>
          <w:lang w:val="en-US"/>
        </w:rPr>
        <w:t>]</w:t>
      </w:r>
      <w:r w:rsidR="00BF47EE" w:rsidRPr="0045429A">
        <w:rPr>
          <w:rFonts w:ascii="Book Antiqua" w:hAnsi="Book Antiqua"/>
          <w:sz w:val="24"/>
          <w:szCs w:val="24"/>
          <w:lang w:val="en-US"/>
        </w:rPr>
        <w:t xml:space="preserve">. </w:t>
      </w:r>
      <w:r w:rsidR="00380DAB" w:rsidRPr="0045429A">
        <w:rPr>
          <w:rFonts w:ascii="Book Antiqua" w:hAnsi="Book Antiqua"/>
          <w:sz w:val="24"/>
          <w:szCs w:val="24"/>
          <w:lang w:val="en-US"/>
        </w:rPr>
        <w:t xml:space="preserve">In another real-life cohort of 212 patients </w:t>
      </w:r>
      <w:r w:rsidR="00F95D9A" w:rsidRPr="0045429A">
        <w:rPr>
          <w:rFonts w:ascii="Book Antiqua" w:hAnsi="Book Antiqua"/>
          <w:sz w:val="24"/>
          <w:szCs w:val="24"/>
          <w:lang w:val="en-US"/>
        </w:rPr>
        <w:t xml:space="preserve">were </w:t>
      </w:r>
      <w:r w:rsidR="00380DAB" w:rsidRPr="0045429A">
        <w:rPr>
          <w:rFonts w:ascii="Book Antiqua" w:hAnsi="Book Antiqua"/>
          <w:sz w:val="24"/>
          <w:szCs w:val="24"/>
          <w:lang w:val="en-US"/>
        </w:rPr>
        <w:t>treated with TDF</w:t>
      </w:r>
      <w:r w:rsidR="00F95D9A" w:rsidRPr="0045429A">
        <w:rPr>
          <w:rFonts w:ascii="Book Antiqua" w:hAnsi="Book Antiqua"/>
          <w:sz w:val="24"/>
          <w:szCs w:val="24"/>
          <w:lang w:val="en-US"/>
        </w:rPr>
        <w:t xml:space="preserve"> and 79 with ETV and its impact on renal function was evaluated </w:t>
      </w:r>
      <w:r w:rsidR="00DE18CD" w:rsidRPr="0045429A">
        <w:rPr>
          <w:rFonts w:ascii="Book Antiqua" w:hAnsi="Book Antiqua"/>
          <w:sz w:val="24"/>
          <w:szCs w:val="24"/>
          <w:vertAlign w:val="superscript"/>
          <w:lang w:val="en-US"/>
        </w:rPr>
        <w:t>[84</w:t>
      </w:r>
      <w:r w:rsidR="000A1E17" w:rsidRPr="0045429A">
        <w:rPr>
          <w:rFonts w:ascii="Book Antiqua" w:hAnsi="Book Antiqua"/>
          <w:sz w:val="24"/>
          <w:szCs w:val="24"/>
          <w:vertAlign w:val="superscript"/>
          <w:lang w:val="en-US"/>
        </w:rPr>
        <w:t>]</w:t>
      </w:r>
      <w:r w:rsidR="00F95D9A" w:rsidRPr="0045429A">
        <w:rPr>
          <w:rFonts w:ascii="Book Antiqua" w:hAnsi="Book Antiqua"/>
          <w:sz w:val="24"/>
          <w:szCs w:val="24"/>
          <w:lang w:val="en-US"/>
        </w:rPr>
        <w:t xml:space="preserve">. </w:t>
      </w:r>
      <w:r w:rsidR="00380DAB" w:rsidRPr="0045429A">
        <w:rPr>
          <w:rFonts w:ascii="Book Antiqua" w:hAnsi="Book Antiqua"/>
          <w:sz w:val="24"/>
          <w:szCs w:val="24"/>
          <w:lang w:val="en-US"/>
        </w:rPr>
        <w:t xml:space="preserve"> </w:t>
      </w:r>
      <w:r w:rsidR="00F95D9A" w:rsidRPr="0045429A">
        <w:rPr>
          <w:rFonts w:ascii="Book Antiqua" w:hAnsi="Book Antiqua"/>
          <w:sz w:val="24"/>
          <w:szCs w:val="24"/>
          <w:lang w:val="en-US"/>
        </w:rPr>
        <w:t xml:space="preserve">After 6 and 12 months of TDF use, no significant difference was found in urea, creatinine, eGFR and PO4 (p=NS). No significant difference found in proportions of patients with eGFR &lt;60 at baseline and after 12 months of TDF use (p=NS). After 12 months of therapy, ETV group had significantly decreased PO4 (0.96 vs. 1.06, p=0.016), increased creatinine (1.0 vs. 0.89, p&lt;0.05) and decreased eGFR (80 vs. 89, p&lt;0.05). Three patients (3.8%) in the ETV group had 25% increment in Cr while 1 patient (0.47%) in the TDF group had 25% reduction in eGFR after 12 months of therapy. </w:t>
      </w:r>
      <w:r w:rsidR="000A1E17" w:rsidRPr="0045429A">
        <w:rPr>
          <w:rFonts w:ascii="Book Antiqua" w:hAnsi="Book Antiqua"/>
          <w:sz w:val="24"/>
          <w:szCs w:val="24"/>
          <w:lang w:val="en-US"/>
        </w:rPr>
        <w:t xml:space="preserve">In a community-based, retrospective cohort study of 80 patients who received TDF, alone or in a combination regimen were matched with 80 patients who received only ETV and incidences of serum creatinine (SCr) increase and </w:t>
      </w:r>
      <w:r w:rsidR="000A1E17" w:rsidRPr="0045429A">
        <w:rPr>
          <w:rFonts w:ascii="Book Antiqua" w:hAnsi="Book Antiqua"/>
          <w:sz w:val="24"/>
          <w:szCs w:val="24"/>
          <w:highlight w:val="red"/>
          <w:lang w:val="en-US"/>
        </w:rPr>
        <w:t>eGFR</w:t>
      </w:r>
      <w:r w:rsidR="000A1E17" w:rsidRPr="0045429A">
        <w:rPr>
          <w:rFonts w:ascii="Book Antiqua" w:hAnsi="Book Antiqua"/>
          <w:sz w:val="24"/>
          <w:szCs w:val="24"/>
          <w:lang w:val="en-US"/>
        </w:rPr>
        <w:t xml:space="preserve"> were recorded </w:t>
      </w:r>
      <w:r w:rsidR="000A1E17" w:rsidRPr="0045429A">
        <w:rPr>
          <w:rFonts w:ascii="Book Antiqua" w:hAnsi="Book Antiqua"/>
          <w:sz w:val="24"/>
          <w:szCs w:val="24"/>
          <w:vertAlign w:val="superscript"/>
          <w:lang w:val="en-US"/>
        </w:rPr>
        <w:t>[8</w:t>
      </w:r>
      <w:r w:rsidR="00DE18CD" w:rsidRPr="0045429A">
        <w:rPr>
          <w:rFonts w:ascii="Book Antiqua" w:hAnsi="Book Antiqua"/>
          <w:sz w:val="24"/>
          <w:szCs w:val="24"/>
          <w:vertAlign w:val="superscript"/>
          <w:lang w:val="en-US"/>
        </w:rPr>
        <w:t>5</w:t>
      </w:r>
      <w:r w:rsidR="00F95D9A" w:rsidRPr="0045429A">
        <w:rPr>
          <w:rFonts w:ascii="Book Antiqua" w:hAnsi="Book Antiqua"/>
          <w:sz w:val="24"/>
          <w:szCs w:val="24"/>
          <w:vertAlign w:val="superscript"/>
          <w:lang w:val="en-US"/>
        </w:rPr>
        <w:t>-8</w:t>
      </w:r>
      <w:r w:rsidR="00DE18CD" w:rsidRPr="0045429A">
        <w:rPr>
          <w:rFonts w:ascii="Book Antiqua" w:hAnsi="Book Antiqua"/>
          <w:sz w:val="24"/>
          <w:szCs w:val="24"/>
          <w:vertAlign w:val="superscript"/>
          <w:lang w:val="en-US"/>
        </w:rPr>
        <w:t>6</w:t>
      </w:r>
      <w:r w:rsidR="000A1E17" w:rsidRPr="0045429A">
        <w:rPr>
          <w:rFonts w:ascii="Book Antiqua" w:hAnsi="Book Antiqua"/>
          <w:sz w:val="24"/>
          <w:szCs w:val="24"/>
          <w:vertAlign w:val="superscript"/>
          <w:lang w:val="en-US"/>
        </w:rPr>
        <w:t>]</w:t>
      </w:r>
      <w:r w:rsidR="000A1E17" w:rsidRPr="0045429A">
        <w:rPr>
          <w:rFonts w:ascii="Book Antiqua" w:hAnsi="Book Antiqua"/>
          <w:sz w:val="24"/>
          <w:szCs w:val="24"/>
          <w:lang w:val="en-US"/>
        </w:rPr>
        <w:t xml:space="preserve">. More patients in the ETV group had increases in SCr ≥0.5 mg/dL (3 vs. 11; p = .025), whereas more patients treated with TDF had eGFR of &lt;60 mL/min (15 vs. 6; p = .022) and at least 1 dose adjustment (13 vs. 4; p = .021). By multivariate analysis, the only significant factors associated with an increase in SCr were a history of organ transplantation (aOR, </w:t>
      </w:r>
      <w:r w:rsidR="000A1E17" w:rsidRPr="0045429A">
        <w:rPr>
          <w:rFonts w:ascii="Book Antiqua" w:hAnsi="Book Antiqua"/>
          <w:sz w:val="24"/>
          <w:szCs w:val="24"/>
          <w:lang w:val="en-US"/>
        </w:rPr>
        <w:lastRenderedPageBreak/>
        <w:t>6.740; 95% CI, 1.799-28.250; p = .005) and pre-existing renal insufficiency (aOR, 10.960; 95% CI, 2.419-48.850; p = .002)</w:t>
      </w:r>
      <w:r w:rsidR="000A1E17" w:rsidRPr="0045429A">
        <w:rPr>
          <w:rFonts w:ascii="Book Antiqua" w:hAnsi="Book Antiqua"/>
          <w:sz w:val="24"/>
          <w:szCs w:val="24"/>
          <w:vertAlign w:val="superscript"/>
          <w:lang w:val="en-US"/>
        </w:rPr>
        <w:t xml:space="preserve"> [8</w:t>
      </w:r>
      <w:r w:rsidR="00DE18CD" w:rsidRPr="0045429A">
        <w:rPr>
          <w:rFonts w:ascii="Book Antiqua" w:hAnsi="Book Antiqua"/>
          <w:sz w:val="24"/>
          <w:szCs w:val="24"/>
          <w:vertAlign w:val="superscript"/>
          <w:lang w:val="en-US"/>
        </w:rPr>
        <w:t>5</w:t>
      </w:r>
      <w:r w:rsidR="000A1E17" w:rsidRPr="0045429A">
        <w:rPr>
          <w:rFonts w:ascii="Book Antiqua" w:hAnsi="Book Antiqua"/>
          <w:sz w:val="24"/>
          <w:szCs w:val="24"/>
          <w:vertAlign w:val="superscript"/>
          <w:lang w:val="en-US"/>
        </w:rPr>
        <w:t>]</w:t>
      </w:r>
      <w:r w:rsidR="000A1E17" w:rsidRPr="0045429A">
        <w:rPr>
          <w:rFonts w:ascii="Book Antiqua" w:hAnsi="Book Antiqua"/>
          <w:sz w:val="24"/>
          <w:szCs w:val="24"/>
          <w:lang w:val="en-US"/>
        </w:rPr>
        <w:t>.</w:t>
      </w:r>
      <w:r w:rsidR="00FE4EF2" w:rsidRPr="0045429A">
        <w:rPr>
          <w:rFonts w:ascii="Book Antiqua" w:hAnsi="Book Antiqua"/>
          <w:sz w:val="24"/>
          <w:szCs w:val="24"/>
          <w:lang w:val="en-US"/>
        </w:rPr>
        <w:t xml:space="preserve"> </w:t>
      </w:r>
      <w:r w:rsidR="0029299B" w:rsidRPr="0045429A">
        <w:rPr>
          <w:rFonts w:ascii="Book Antiqua" w:hAnsi="Book Antiqua"/>
          <w:sz w:val="24"/>
          <w:szCs w:val="24"/>
          <w:lang w:val="en-US"/>
        </w:rPr>
        <w:t xml:space="preserve">Renal function was evaluated in 197 </w:t>
      </w:r>
      <w:r w:rsidR="00FE4EF2" w:rsidRPr="0045429A">
        <w:rPr>
          <w:rFonts w:ascii="Book Antiqua" w:hAnsi="Book Antiqua"/>
          <w:sz w:val="24"/>
          <w:szCs w:val="24"/>
          <w:lang w:val="en-US"/>
        </w:rPr>
        <w:t xml:space="preserve">HBV </w:t>
      </w:r>
      <w:r w:rsidR="0029299B" w:rsidRPr="0045429A">
        <w:rPr>
          <w:rFonts w:ascii="Book Antiqua" w:hAnsi="Book Antiqua"/>
          <w:sz w:val="24"/>
          <w:szCs w:val="24"/>
          <w:lang w:val="en-US"/>
        </w:rPr>
        <w:t>mono-infected</w:t>
      </w:r>
      <w:r w:rsidR="00FE4EF2" w:rsidRPr="0045429A">
        <w:rPr>
          <w:rFonts w:ascii="Book Antiqua" w:hAnsi="Book Antiqua"/>
          <w:sz w:val="24"/>
          <w:szCs w:val="24"/>
          <w:lang w:val="en-US"/>
        </w:rPr>
        <w:t xml:space="preserve"> </w:t>
      </w:r>
      <w:r w:rsidR="0029299B" w:rsidRPr="0045429A">
        <w:rPr>
          <w:rFonts w:ascii="Book Antiqua" w:hAnsi="Book Antiqua"/>
          <w:sz w:val="24"/>
          <w:szCs w:val="24"/>
          <w:lang w:val="en-US"/>
        </w:rPr>
        <w:t>patients from two outpatient clinics</w:t>
      </w:r>
      <w:r w:rsidR="00FE4EF2" w:rsidRPr="0045429A">
        <w:rPr>
          <w:rFonts w:ascii="Book Antiqua" w:hAnsi="Book Antiqua"/>
          <w:sz w:val="24"/>
          <w:szCs w:val="24"/>
          <w:lang w:val="en-US"/>
        </w:rPr>
        <w:t xml:space="preserve"> </w:t>
      </w:r>
      <w:r w:rsidR="0029299B" w:rsidRPr="0045429A">
        <w:rPr>
          <w:rFonts w:ascii="Book Antiqua" w:hAnsi="Book Antiqua"/>
          <w:sz w:val="24"/>
          <w:szCs w:val="24"/>
          <w:lang w:val="en-US"/>
        </w:rPr>
        <w:t xml:space="preserve">and who </w:t>
      </w:r>
      <w:r w:rsidR="00FE4EF2" w:rsidRPr="0045429A">
        <w:rPr>
          <w:rFonts w:ascii="Book Antiqua" w:hAnsi="Book Antiqua"/>
          <w:sz w:val="24"/>
          <w:szCs w:val="24"/>
          <w:lang w:val="en-US"/>
        </w:rPr>
        <w:t xml:space="preserve">were categorized according to therapy: </w:t>
      </w:r>
      <w:r w:rsidR="0029299B" w:rsidRPr="0045429A">
        <w:rPr>
          <w:rFonts w:ascii="Book Antiqua" w:hAnsi="Book Antiqua"/>
          <w:sz w:val="24"/>
          <w:szCs w:val="24"/>
          <w:lang w:val="en-US"/>
        </w:rPr>
        <w:t>LAM</w:t>
      </w:r>
      <w:r w:rsidR="00FE4EF2" w:rsidRPr="0045429A">
        <w:rPr>
          <w:rFonts w:ascii="Book Antiqua" w:hAnsi="Book Antiqua"/>
          <w:sz w:val="24"/>
          <w:szCs w:val="24"/>
          <w:lang w:val="en-US"/>
        </w:rPr>
        <w:t xml:space="preserve"> (n = 36), </w:t>
      </w:r>
      <w:r w:rsidR="0029299B" w:rsidRPr="0045429A">
        <w:rPr>
          <w:rFonts w:ascii="Book Antiqua" w:hAnsi="Book Antiqua"/>
          <w:sz w:val="24"/>
          <w:szCs w:val="24"/>
          <w:lang w:val="en-US"/>
        </w:rPr>
        <w:t>ADV</w:t>
      </w:r>
      <w:r w:rsidR="00FE4EF2" w:rsidRPr="0045429A">
        <w:rPr>
          <w:rFonts w:ascii="Book Antiqua" w:hAnsi="Book Antiqua"/>
          <w:sz w:val="24"/>
          <w:szCs w:val="24"/>
          <w:lang w:val="en-US"/>
        </w:rPr>
        <w:t xml:space="preserve"> (n = 32),</w:t>
      </w:r>
      <w:r w:rsidR="0029299B" w:rsidRPr="0045429A">
        <w:rPr>
          <w:rFonts w:ascii="Book Antiqua" w:hAnsi="Book Antiqua"/>
          <w:sz w:val="24"/>
          <w:szCs w:val="24"/>
          <w:lang w:val="en-US"/>
        </w:rPr>
        <w:t xml:space="preserve"> ETV</w:t>
      </w:r>
      <w:r w:rsidR="00FE4EF2" w:rsidRPr="0045429A">
        <w:rPr>
          <w:rFonts w:ascii="Book Antiqua" w:hAnsi="Book Antiqua"/>
          <w:sz w:val="24"/>
          <w:szCs w:val="24"/>
          <w:lang w:val="en-US"/>
        </w:rPr>
        <w:t xml:space="preserve"> (n = 32), </w:t>
      </w:r>
      <w:r w:rsidR="0029299B" w:rsidRPr="0045429A">
        <w:rPr>
          <w:rFonts w:ascii="Book Antiqua" w:hAnsi="Book Antiqua"/>
          <w:sz w:val="24"/>
          <w:szCs w:val="24"/>
          <w:lang w:val="en-US"/>
        </w:rPr>
        <w:t>TDF</w:t>
      </w:r>
      <w:r w:rsidR="00FE4EF2" w:rsidRPr="0045429A">
        <w:rPr>
          <w:rFonts w:ascii="Book Antiqua" w:hAnsi="Book Antiqua"/>
          <w:sz w:val="24"/>
          <w:szCs w:val="24"/>
          <w:lang w:val="en-US"/>
        </w:rPr>
        <w:t xml:space="preserve"> (n = 37), and untreated HBsAg-positive patients</w:t>
      </w:r>
      <w:r w:rsidR="0029299B" w:rsidRPr="0045429A">
        <w:rPr>
          <w:rFonts w:ascii="Book Antiqua" w:hAnsi="Book Antiqua"/>
          <w:sz w:val="24"/>
          <w:szCs w:val="24"/>
          <w:lang w:val="en-US"/>
        </w:rPr>
        <w:t xml:space="preserve"> </w:t>
      </w:r>
      <w:r w:rsidR="00FE4EF2" w:rsidRPr="0045429A">
        <w:rPr>
          <w:rFonts w:ascii="Book Antiqua" w:hAnsi="Book Antiqua"/>
          <w:sz w:val="24"/>
          <w:szCs w:val="24"/>
          <w:lang w:val="en-US"/>
        </w:rPr>
        <w:t>(n = 60)</w:t>
      </w:r>
      <w:r w:rsidR="0029299B" w:rsidRPr="0045429A">
        <w:rPr>
          <w:rFonts w:ascii="Book Antiqua" w:hAnsi="Book Antiqua"/>
          <w:sz w:val="24"/>
          <w:szCs w:val="24"/>
          <w:lang w:val="en-US"/>
        </w:rPr>
        <w:t xml:space="preserve"> </w:t>
      </w:r>
      <w:r w:rsidR="0029299B" w:rsidRPr="0045429A">
        <w:rPr>
          <w:rFonts w:ascii="Book Antiqua" w:hAnsi="Book Antiqua"/>
          <w:sz w:val="24"/>
          <w:szCs w:val="24"/>
          <w:vertAlign w:val="superscript"/>
          <w:lang w:val="en-US"/>
        </w:rPr>
        <w:t>[8</w:t>
      </w:r>
      <w:r w:rsidR="00DE18CD" w:rsidRPr="0045429A">
        <w:rPr>
          <w:rFonts w:ascii="Book Antiqua" w:hAnsi="Book Antiqua"/>
          <w:sz w:val="24"/>
          <w:szCs w:val="24"/>
          <w:vertAlign w:val="superscript"/>
          <w:lang w:val="en-US"/>
        </w:rPr>
        <w:t>7</w:t>
      </w:r>
      <w:r w:rsidR="0029299B" w:rsidRPr="0045429A">
        <w:rPr>
          <w:rFonts w:ascii="Book Antiqua" w:hAnsi="Book Antiqua"/>
          <w:sz w:val="24"/>
          <w:szCs w:val="24"/>
          <w:vertAlign w:val="superscript"/>
          <w:lang w:val="en-US"/>
        </w:rPr>
        <w:t>]</w:t>
      </w:r>
      <w:r w:rsidR="00FE4EF2" w:rsidRPr="0045429A">
        <w:rPr>
          <w:rFonts w:ascii="Book Antiqua" w:hAnsi="Book Antiqua"/>
          <w:sz w:val="24"/>
          <w:szCs w:val="24"/>
          <w:lang w:val="en-US"/>
        </w:rPr>
        <w:t>.</w:t>
      </w:r>
      <w:r w:rsidR="0029299B" w:rsidRPr="0045429A">
        <w:rPr>
          <w:rFonts w:ascii="Book Antiqua" w:hAnsi="Book Antiqua"/>
          <w:sz w:val="24"/>
          <w:szCs w:val="24"/>
          <w:lang w:val="en-US"/>
        </w:rPr>
        <w:t xml:space="preserve"> The CKD-EPI equation was used to calculate eGFR in this study and the individual change in eGFR over time was modeled with linear mixed effects models. </w:t>
      </w:r>
      <w:r w:rsidR="00DA46F9" w:rsidRPr="0045429A">
        <w:rPr>
          <w:rFonts w:ascii="Book Antiqua" w:hAnsi="Book Antiqua"/>
          <w:sz w:val="24"/>
          <w:szCs w:val="24"/>
          <w:lang w:val="en-US"/>
        </w:rPr>
        <w:t xml:space="preserve">Patients with pre-existing renal disease, Diabetes mellitus, or arterial hypertension were excluded from the analysis. The yearly predicted median individual changes in eGFR according to this model were: HBV untreated -2.05 ml/min, LAM -0.92 ml/min, ADV -1.02 ml/min, ETV -1.00 ml/min, and TDF -0.92 ml/min. A decrease of eGFR &gt;20 ml/min from baseline confirmed by two measurements was observed in 2/60 HBV untreated patients, in 2/36 HBV lamivudine treated patients, 2/32 HBV entecavir treated patients, 0/32 HBV adefovir treated patients, and 1/37 HBV tenofovir treated patients. Patients achieving an eGFR of &lt;60 ml/min (renal insufficiency stage 3) were infrequent and not different between HBV patient groups </w:t>
      </w:r>
      <w:r w:rsidR="00DE18CD" w:rsidRPr="0045429A">
        <w:rPr>
          <w:rFonts w:ascii="Book Antiqua" w:hAnsi="Book Antiqua"/>
          <w:sz w:val="24"/>
          <w:szCs w:val="24"/>
          <w:vertAlign w:val="superscript"/>
          <w:lang w:val="en-US"/>
        </w:rPr>
        <w:t>[87</w:t>
      </w:r>
      <w:r w:rsidR="00DA46F9" w:rsidRPr="0045429A">
        <w:rPr>
          <w:rFonts w:ascii="Book Antiqua" w:hAnsi="Book Antiqua"/>
          <w:sz w:val="24"/>
          <w:szCs w:val="24"/>
          <w:vertAlign w:val="superscript"/>
          <w:lang w:val="en-US"/>
        </w:rPr>
        <w:t>]</w:t>
      </w:r>
      <w:r w:rsidR="00DA46F9" w:rsidRPr="0045429A">
        <w:rPr>
          <w:rFonts w:ascii="Book Antiqua" w:hAnsi="Book Antiqua"/>
          <w:sz w:val="24"/>
          <w:szCs w:val="24"/>
          <w:lang w:val="en-US"/>
        </w:rPr>
        <w:t>.</w:t>
      </w:r>
    </w:p>
    <w:p w:rsidR="006A34F3" w:rsidRPr="0045429A" w:rsidRDefault="00DA46F9"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First line NUCs, ETV and TDF, appears to have little impact on renal function in the general population when compared with untreated controls and with the others NUCs. Markers of renal function indicated that patients treated with TDF, suspected to be more nephrotoxic, were no more likely to have changes in renal function than patients treated with ETV. One study found that in</w:t>
      </w:r>
      <w:r w:rsidR="00FE4EF2" w:rsidRPr="0045429A">
        <w:rPr>
          <w:rFonts w:ascii="Book Antiqua" w:hAnsi="Book Antiqua"/>
          <w:sz w:val="24"/>
          <w:szCs w:val="24"/>
          <w:lang w:val="en-US"/>
        </w:rPr>
        <w:t xml:space="preserve"> ETV cohort there was evidence for a degree of deterioration in renal function, although </w:t>
      </w:r>
      <w:r w:rsidRPr="0045429A">
        <w:rPr>
          <w:rFonts w:ascii="Book Antiqua" w:hAnsi="Book Antiqua"/>
          <w:sz w:val="24"/>
          <w:szCs w:val="24"/>
          <w:lang w:val="en-US"/>
        </w:rPr>
        <w:t xml:space="preserve">authors reported that </w:t>
      </w:r>
      <w:r w:rsidR="003C14E0" w:rsidRPr="0045429A">
        <w:rPr>
          <w:rFonts w:ascii="Book Antiqua" w:hAnsi="Book Antiqua"/>
          <w:sz w:val="24"/>
          <w:szCs w:val="24"/>
          <w:lang w:val="en-US"/>
        </w:rPr>
        <w:t>its</w:t>
      </w:r>
      <w:r w:rsidR="00FE4EF2" w:rsidRPr="0045429A">
        <w:rPr>
          <w:rFonts w:ascii="Book Antiqua" w:hAnsi="Book Antiqua"/>
          <w:sz w:val="24"/>
          <w:szCs w:val="24"/>
          <w:lang w:val="en-US"/>
        </w:rPr>
        <w:t xml:space="preserve"> c</w:t>
      </w:r>
      <w:r w:rsidR="003C14E0" w:rsidRPr="0045429A">
        <w:rPr>
          <w:rFonts w:ascii="Book Antiqua" w:hAnsi="Book Antiqua"/>
          <w:sz w:val="24"/>
          <w:szCs w:val="24"/>
          <w:lang w:val="en-US"/>
        </w:rPr>
        <w:t>linical significance is unclear and</w:t>
      </w:r>
      <w:r w:rsidR="00FE4EF2" w:rsidRPr="0045429A">
        <w:rPr>
          <w:rFonts w:ascii="Book Antiqua" w:hAnsi="Book Antiqua"/>
          <w:sz w:val="24"/>
          <w:szCs w:val="24"/>
          <w:lang w:val="en-US"/>
        </w:rPr>
        <w:t xml:space="preserve"> may represent a physiological decrease in renal function in this cohort and/or reflect the potential limitations of standard biochemical measures of renal function in patients with liver disease </w:t>
      </w:r>
      <w:r w:rsidR="00DE18CD" w:rsidRPr="0045429A">
        <w:rPr>
          <w:rFonts w:ascii="Book Antiqua" w:hAnsi="Book Antiqua"/>
          <w:sz w:val="24"/>
          <w:szCs w:val="24"/>
          <w:vertAlign w:val="superscript"/>
          <w:lang w:val="en-US"/>
        </w:rPr>
        <w:t>[84</w:t>
      </w:r>
      <w:r w:rsidR="00FE4EF2" w:rsidRPr="0045429A">
        <w:rPr>
          <w:rFonts w:ascii="Book Antiqua" w:hAnsi="Book Antiqua"/>
          <w:sz w:val="24"/>
          <w:szCs w:val="24"/>
          <w:vertAlign w:val="superscript"/>
          <w:lang w:val="en-US"/>
        </w:rPr>
        <w:t>]</w:t>
      </w:r>
      <w:r w:rsidR="00FE4EF2" w:rsidRPr="0045429A">
        <w:rPr>
          <w:rFonts w:ascii="Book Antiqua" w:hAnsi="Book Antiqua"/>
          <w:sz w:val="24"/>
          <w:szCs w:val="24"/>
          <w:lang w:val="en-US"/>
        </w:rPr>
        <w:t xml:space="preserve">. </w:t>
      </w:r>
      <w:r w:rsidR="003C14E0" w:rsidRPr="0045429A">
        <w:rPr>
          <w:rFonts w:ascii="Book Antiqua" w:hAnsi="Book Antiqua"/>
          <w:sz w:val="24"/>
          <w:szCs w:val="24"/>
          <w:highlight w:val="yellow"/>
          <w:lang w:val="en-US"/>
        </w:rPr>
        <w:t>Baseline renal risk factors may play a role</w:t>
      </w:r>
      <w:r w:rsidR="003C14E0" w:rsidRPr="0045429A">
        <w:rPr>
          <w:rFonts w:ascii="Book Antiqua" w:hAnsi="Book Antiqua"/>
          <w:sz w:val="24"/>
          <w:szCs w:val="24"/>
          <w:lang w:val="en-US"/>
        </w:rPr>
        <w:t xml:space="preserve"> in the</w:t>
      </w:r>
      <w:r w:rsidR="00FE4EF2" w:rsidRPr="0045429A">
        <w:rPr>
          <w:rFonts w:ascii="Book Antiqua" w:hAnsi="Book Antiqua"/>
          <w:sz w:val="24"/>
          <w:szCs w:val="24"/>
          <w:lang w:val="en-US"/>
        </w:rPr>
        <w:t xml:space="preserve"> </w:t>
      </w:r>
      <w:r w:rsidR="003C14E0" w:rsidRPr="0045429A">
        <w:rPr>
          <w:rFonts w:ascii="Book Antiqua" w:hAnsi="Book Antiqua"/>
          <w:sz w:val="24"/>
          <w:szCs w:val="24"/>
          <w:lang w:val="en-US"/>
        </w:rPr>
        <w:t xml:space="preserve">nephrotoxic effects of NUCs. </w:t>
      </w:r>
      <w:r w:rsidR="007E74FB" w:rsidRPr="0045429A">
        <w:rPr>
          <w:rFonts w:ascii="Book Antiqua" w:hAnsi="Book Antiqua"/>
          <w:sz w:val="24"/>
          <w:szCs w:val="24"/>
          <w:lang w:val="en-US"/>
        </w:rPr>
        <w:t xml:space="preserve">Data on RT patients is limited but these results can be extrapolated to this population, taking into account that these RT recipients can be considered within the high </w:t>
      </w:r>
      <w:r w:rsidR="007E74FB" w:rsidRPr="0045429A">
        <w:rPr>
          <w:rFonts w:ascii="Book Antiqua" w:hAnsi="Book Antiqua"/>
          <w:sz w:val="24"/>
          <w:szCs w:val="24"/>
          <w:lang w:val="en-US"/>
        </w:rPr>
        <w:lastRenderedPageBreak/>
        <w:t xml:space="preserve">renal risk group. </w:t>
      </w:r>
      <w:r w:rsidR="006A34F3" w:rsidRPr="0045429A">
        <w:rPr>
          <w:rFonts w:ascii="Book Antiqua" w:hAnsi="Book Antiqua"/>
          <w:sz w:val="24"/>
          <w:szCs w:val="24"/>
          <w:lang w:val="en-US"/>
        </w:rPr>
        <w:t xml:space="preserve">Therefore, it seems appropriate to monitor for adverse renal effects with serum creatinine (estimated creatinine clearance) and serum phosphate levels during </w:t>
      </w:r>
      <w:r w:rsidR="002630C9" w:rsidRPr="0045429A">
        <w:rPr>
          <w:rFonts w:ascii="Book Antiqua" w:hAnsi="Book Antiqua"/>
          <w:sz w:val="24"/>
          <w:szCs w:val="24"/>
          <w:lang w:val="en-US"/>
        </w:rPr>
        <w:t>ADV</w:t>
      </w:r>
      <w:r w:rsidR="006A34F3" w:rsidRPr="0045429A">
        <w:rPr>
          <w:rFonts w:ascii="Book Antiqua" w:hAnsi="Book Antiqua"/>
          <w:sz w:val="24"/>
          <w:szCs w:val="24"/>
          <w:lang w:val="en-US"/>
        </w:rPr>
        <w:t xml:space="preserve"> or </w:t>
      </w:r>
      <w:r w:rsidR="002630C9" w:rsidRPr="0045429A">
        <w:rPr>
          <w:rFonts w:ascii="Book Antiqua" w:hAnsi="Book Antiqua"/>
          <w:sz w:val="24"/>
          <w:szCs w:val="24"/>
          <w:lang w:val="en-US"/>
        </w:rPr>
        <w:t>TDF</w:t>
      </w:r>
      <w:r w:rsidR="006A34F3" w:rsidRPr="0045429A">
        <w:rPr>
          <w:rFonts w:ascii="Book Antiqua" w:hAnsi="Book Antiqua"/>
          <w:sz w:val="24"/>
          <w:szCs w:val="24"/>
          <w:lang w:val="en-US"/>
        </w:rPr>
        <w:t xml:space="preserve"> therapy in all </w:t>
      </w:r>
      <w:r w:rsidR="002630C9" w:rsidRPr="0045429A">
        <w:rPr>
          <w:rFonts w:ascii="Book Antiqua" w:hAnsi="Book Antiqua"/>
          <w:sz w:val="24"/>
          <w:szCs w:val="24"/>
          <w:lang w:val="en-US"/>
        </w:rPr>
        <w:t>HBV</w:t>
      </w:r>
      <w:r w:rsidR="006A34F3" w:rsidRPr="0045429A">
        <w:rPr>
          <w:rFonts w:ascii="Book Antiqua" w:hAnsi="Book Antiqua"/>
          <w:sz w:val="24"/>
          <w:szCs w:val="24"/>
          <w:lang w:val="en-US"/>
        </w:rPr>
        <w:t xml:space="preserve"> patients and with serum creatinine levels (estimated creatinine clearance) during </w:t>
      </w:r>
      <w:r w:rsidR="002630C9" w:rsidRPr="0045429A">
        <w:rPr>
          <w:rFonts w:ascii="Book Antiqua" w:hAnsi="Book Antiqua"/>
          <w:sz w:val="24"/>
          <w:szCs w:val="24"/>
          <w:lang w:val="en-US"/>
        </w:rPr>
        <w:t>NUC</w:t>
      </w:r>
      <w:r w:rsidR="006A34F3" w:rsidRPr="0045429A">
        <w:rPr>
          <w:rFonts w:ascii="Book Antiqua" w:hAnsi="Book Antiqua"/>
          <w:sz w:val="24"/>
          <w:szCs w:val="24"/>
          <w:lang w:val="en-US"/>
        </w:rPr>
        <w:t xml:space="preserve"> therapy in patients at high renal risk. The frequency of renal monitoring can be every 3 months during the first year and every 6 months thereafter, in case of no worsening, in patients at low renal risk as well as every month for the first 3 months, every 3 months until the end of the first year and every 6 months thereafter, in case of no worsening, in patients at high renal risk. Closer renal monitoring is required in patients who develop creatinine clearance &lt;60 ml/min or serum phosphate levels &lt;2 mg/dl)</w:t>
      </w:r>
      <w:r w:rsidR="002630C9" w:rsidRPr="0045429A">
        <w:rPr>
          <w:rFonts w:ascii="Book Antiqua" w:hAnsi="Book Antiqua"/>
          <w:sz w:val="24"/>
          <w:szCs w:val="24"/>
          <w:lang w:val="en-US"/>
        </w:rPr>
        <w:t xml:space="preserve"> </w:t>
      </w:r>
      <w:r w:rsidR="002630C9" w:rsidRPr="0045429A">
        <w:rPr>
          <w:rFonts w:ascii="Book Antiqua" w:hAnsi="Book Antiqua"/>
          <w:sz w:val="24"/>
          <w:szCs w:val="24"/>
          <w:vertAlign w:val="superscript"/>
          <w:lang w:val="en-US"/>
        </w:rPr>
        <w:t>[9,10,15,88]</w:t>
      </w:r>
      <w:r w:rsidR="006A34F3" w:rsidRPr="0045429A">
        <w:rPr>
          <w:rFonts w:ascii="Book Antiqua" w:hAnsi="Book Antiqua"/>
          <w:sz w:val="24"/>
          <w:szCs w:val="24"/>
          <w:lang w:val="en-US"/>
        </w:rPr>
        <w:t>.</w:t>
      </w:r>
    </w:p>
    <w:p w:rsidR="0066217B" w:rsidRPr="0045429A" w:rsidRDefault="00375683" w:rsidP="0045429A">
      <w:pPr>
        <w:spacing w:line="360" w:lineRule="auto"/>
        <w:jc w:val="both"/>
        <w:rPr>
          <w:rFonts w:ascii="Book Antiqua" w:hAnsi="Book Antiqua"/>
          <w:b/>
          <w:sz w:val="24"/>
          <w:szCs w:val="24"/>
          <w:lang w:val="en-US"/>
        </w:rPr>
      </w:pPr>
      <w:r w:rsidRPr="0045429A">
        <w:rPr>
          <w:rFonts w:ascii="Book Antiqua" w:hAnsi="Book Antiqua"/>
          <w:b/>
          <w:sz w:val="24"/>
          <w:szCs w:val="24"/>
          <w:lang w:val="en-US"/>
        </w:rPr>
        <w:t>CONCLUSIONS</w:t>
      </w:r>
    </w:p>
    <w:p w:rsidR="00375683" w:rsidRPr="0045429A" w:rsidRDefault="00E97C9D"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 xml:space="preserve">Current guidelines clearly define </w:t>
      </w:r>
      <w:r w:rsidR="00E953E5" w:rsidRPr="0045429A">
        <w:rPr>
          <w:rFonts w:ascii="Book Antiqua" w:hAnsi="Book Antiqua"/>
          <w:sz w:val="24"/>
          <w:szCs w:val="24"/>
          <w:lang w:val="en-US"/>
        </w:rPr>
        <w:t>who needs treatment, when to start, what is the first line therapy, how to monitor treatment response, when to stop, and how patients must be controlled for its safety.</w:t>
      </w:r>
      <w:r w:rsidR="00CA0BC6" w:rsidRPr="0045429A">
        <w:rPr>
          <w:rFonts w:ascii="Book Antiqua" w:hAnsi="Book Antiqua"/>
          <w:sz w:val="24"/>
          <w:szCs w:val="24"/>
          <w:lang w:val="en-US"/>
        </w:rPr>
        <w:t xml:space="preserve"> There is </w:t>
      </w:r>
      <w:r w:rsidR="006B65C9" w:rsidRPr="0045429A">
        <w:rPr>
          <w:rFonts w:ascii="Book Antiqua" w:hAnsi="Book Antiqua"/>
          <w:sz w:val="24"/>
          <w:szCs w:val="24"/>
          <w:lang w:val="en-US"/>
        </w:rPr>
        <w:t xml:space="preserve">some </w:t>
      </w:r>
      <w:r w:rsidR="00CA0BC6" w:rsidRPr="0045429A">
        <w:rPr>
          <w:rFonts w:ascii="Book Antiqua" w:hAnsi="Book Antiqua"/>
          <w:sz w:val="24"/>
          <w:szCs w:val="24"/>
          <w:lang w:val="en-US"/>
        </w:rPr>
        <w:t xml:space="preserve">data </w:t>
      </w:r>
      <w:r w:rsidR="006B65C9" w:rsidRPr="0045429A">
        <w:rPr>
          <w:rFonts w:ascii="Book Antiqua" w:hAnsi="Book Antiqua"/>
          <w:sz w:val="24"/>
          <w:szCs w:val="24"/>
          <w:lang w:val="en-US"/>
        </w:rPr>
        <w:t>show</w:t>
      </w:r>
      <w:r w:rsidR="00CA0BC6" w:rsidRPr="0045429A">
        <w:rPr>
          <w:rFonts w:ascii="Book Antiqua" w:hAnsi="Book Antiqua"/>
          <w:sz w:val="24"/>
          <w:szCs w:val="24"/>
          <w:lang w:val="en-US"/>
        </w:rPr>
        <w:t xml:space="preserve">ing </w:t>
      </w:r>
      <w:r w:rsidR="006B65C9" w:rsidRPr="0045429A">
        <w:rPr>
          <w:rFonts w:ascii="Book Antiqua" w:hAnsi="Book Antiqua"/>
          <w:sz w:val="24"/>
          <w:szCs w:val="24"/>
          <w:lang w:val="en-US"/>
        </w:rPr>
        <w:t xml:space="preserve">a favorable </w:t>
      </w:r>
      <w:r w:rsidR="00CA0BC6" w:rsidRPr="0045429A">
        <w:rPr>
          <w:rFonts w:ascii="Book Antiqua" w:hAnsi="Book Antiqua"/>
          <w:sz w:val="24"/>
          <w:szCs w:val="24"/>
          <w:lang w:val="en-US"/>
        </w:rPr>
        <w:t xml:space="preserve">safety and efficacy </w:t>
      </w:r>
      <w:r w:rsidR="006B65C9" w:rsidRPr="0045429A">
        <w:rPr>
          <w:rFonts w:ascii="Book Antiqua" w:hAnsi="Book Antiqua"/>
          <w:sz w:val="24"/>
          <w:szCs w:val="24"/>
          <w:lang w:val="en-US"/>
        </w:rPr>
        <w:t xml:space="preserve">profile </w:t>
      </w:r>
      <w:r w:rsidR="00CA0BC6" w:rsidRPr="0045429A">
        <w:rPr>
          <w:rFonts w:ascii="Book Antiqua" w:hAnsi="Book Antiqua"/>
          <w:sz w:val="24"/>
          <w:szCs w:val="24"/>
          <w:lang w:val="en-US"/>
        </w:rPr>
        <w:t xml:space="preserve">of NUC treatment in the renal transplant setting. </w:t>
      </w:r>
      <w:r w:rsidR="006B65C9" w:rsidRPr="0045429A">
        <w:rPr>
          <w:rFonts w:ascii="Book Antiqua" w:hAnsi="Book Antiqua"/>
          <w:sz w:val="24"/>
          <w:szCs w:val="24"/>
          <w:lang w:val="en-US"/>
        </w:rPr>
        <w:t xml:space="preserve">ETV, an agent without signs of major nephrotoxicity, appears to be the preferred option for NUC naïve patients and TDF remains the agent of choice for patients with prior resistance to LAM or any other NUC. Renal transplant recipients under antiHBV therapy should be followed not only for the treatment efficacy against HBV but also with a thorough renal monitoring as well. </w:t>
      </w:r>
      <w:r w:rsidR="00E74090" w:rsidRPr="0045429A">
        <w:rPr>
          <w:rFonts w:ascii="Book Antiqua" w:hAnsi="Book Antiqua"/>
          <w:sz w:val="24"/>
          <w:szCs w:val="24"/>
          <w:lang w:val="en-US"/>
        </w:rPr>
        <w:t>S</w:t>
      </w:r>
      <w:r w:rsidR="006B65C9" w:rsidRPr="0045429A">
        <w:rPr>
          <w:rFonts w:ascii="Book Antiqua" w:hAnsi="Book Antiqua"/>
          <w:sz w:val="24"/>
          <w:szCs w:val="24"/>
          <w:lang w:val="en-US"/>
        </w:rPr>
        <w:t xml:space="preserve">tudies including a large number of patients with long term treatment and follow up are still needed to better demonstrate the safety and efficacy of newer NUCs </w:t>
      </w:r>
      <w:r w:rsidR="00E74090" w:rsidRPr="0045429A">
        <w:rPr>
          <w:rFonts w:ascii="Book Antiqua" w:hAnsi="Book Antiqua"/>
          <w:sz w:val="24"/>
          <w:szCs w:val="24"/>
          <w:lang w:val="en-US"/>
        </w:rPr>
        <w:t>i</w:t>
      </w:r>
      <w:r w:rsidR="006B65C9" w:rsidRPr="0045429A">
        <w:rPr>
          <w:rFonts w:ascii="Book Antiqua" w:hAnsi="Book Antiqua"/>
          <w:sz w:val="24"/>
          <w:szCs w:val="24"/>
          <w:lang w:val="en-US"/>
        </w:rPr>
        <w:t>n this population</w:t>
      </w:r>
      <w:r w:rsidR="00E74090" w:rsidRPr="0045429A">
        <w:rPr>
          <w:rFonts w:ascii="Book Antiqua" w:hAnsi="Book Antiqua"/>
          <w:sz w:val="24"/>
          <w:szCs w:val="24"/>
          <w:lang w:val="en-US"/>
        </w:rPr>
        <w:t>.</w:t>
      </w:r>
    </w:p>
    <w:p w:rsidR="00375683" w:rsidRPr="0045429A" w:rsidRDefault="00375683" w:rsidP="0045429A">
      <w:pPr>
        <w:spacing w:line="360" w:lineRule="auto"/>
        <w:jc w:val="both"/>
        <w:rPr>
          <w:rFonts w:ascii="Book Antiqua" w:hAnsi="Book Antiqua"/>
          <w:b/>
          <w:sz w:val="24"/>
          <w:szCs w:val="24"/>
          <w:lang w:val="en-US"/>
        </w:rPr>
      </w:pPr>
      <w:r w:rsidRPr="0045429A">
        <w:rPr>
          <w:rFonts w:ascii="Book Antiqua" w:hAnsi="Book Antiqua"/>
          <w:b/>
          <w:sz w:val="24"/>
          <w:szCs w:val="24"/>
          <w:lang w:val="en-US"/>
        </w:rPr>
        <w:t>ACKNOWLEDGEMENTS</w:t>
      </w:r>
    </w:p>
    <w:p w:rsidR="00E74090" w:rsidRPr="0045429A" w:rsidRDefault="00375683" w:rsidP="0045429A">
      <w:pPr>
        <w:spacing w:line="360" w:lineRule="auto"/>
        <w:jc w:val="both"/>
        <w:rPr>
          <w:rFonts w:ascii="Book Antiqua" w:hAnsi="Book Antiqua"/>
          <w:sz w:val="24"/>
          <w:szCs w:val="24"/>
          <w:lang w:val="en-US"/>
        </w:rPr>
      </w:pPr>
      <w:r w:rsidRPr="0045429A">
        <w:rPr>
          <w:rFonts w:ascii="Book Antiqua" w:hAnsi="Book Antiqua"/>
          <w:sz w:val="24"/>
          <w:szCs w:val="24"/>
          <w:lang w:val="en-US"/>
        </w:rPr>
        <w:t xml:space="preserve">Declaration of personal interests: </w:t>
      </w:r>
      <w:r w:rsidR="00E74090" w:rsidRPr="0045429A">
        <w:rPr>
          <w:rFonts w:ascii="Book Antiqua" w:hAnsi="Book Antiqua"/>
          <w:sz w:val="24"/>
          <w:szCs w:val="24"/>
          <w:lang w:val="en-US"/>
        </w:rPr>
        <w:t>Ezequiel Ridruejo</w:t>
      </w:r>
      <w:r w:rsidRPr="0045429A">
        <w:rPr>
          <w:rFonts w:ascii="Book Antiqua" w:hAnsi="Book Antiqua"/>
          <w:sz w:val="24"/>
          <w:szCs w:val="24"/>
          <w:lang w:val="en-US"/>
        </w:rPr>
        <w:t xml:space="preserve"> has served as an advisor/lecturer for Bristol-Meier Squibb, Gilead, Merck Sharp &amp; Dohme, </w:t>
      </w:r>
      <w:r w:rsidR="00E74090" w:rsidRPr="0045429A">
        <w:rPr>
          <w:rFonts w:ascii="Book Antiqua" w:hAnsi="Book Antiqua"/>
          <w:sz w:val="24"/>
          <w:szCs w:val="24"/>
          <w:lang w:val="en-US"/>
        </w:rPr>
        <w:t>GlaxoSmithKline</w:t>
      </w:r>
      <w:r w:rsidRPr="0045429A">
        <w:rPr>
          <w:rFonts w:ascii="Book Antiqua" w:hAnsi="Book Antiqua"/>
          <w:sz w:val="24"/>
          <w:szCs w:val="24"/>
          <w:lang w:val="en-US"/>
        </w:rPr>
        <w:t xml:space="preserve"> and Roche</w:t>
      </w:r>
      <w:r w:rsidR="00E74090" w:rsidRPr="0045429A">
        <w:rPr>
          <w:rFonts w:ascii="Book Antiqua" w:hAnsi="Book Antiqua"/>
          <w:sz w:val="24"/>
          <w:szCs w:val="24"/>
          <w:lang w:val="en-US"/>
        </w:rPr>
        <w:t>.</w:t>
      </w:r>
    </w:p>
    <w:p w:rsidR="0042385C" w:rsidRPr="0045429A" w:rsidRDefault="00375683" w:rsidP="0045429A">
      <w:pPr>
        <w:spacing w:line="360" w:lineRule="auto"/>
        <w:jc w:val="both"/>
        <w:rPr>
          <w:rFonts w:ascii="Book Antiqua" w:hAnsi="Book Antiqua"/>
          <w:b/>
          <w:sz w:val="24"/>
          <w:szCs w:val="24"/>
          <w:lang w:val="en-US"/>
        </w:rPr>
      </w:pPr>
      <w:r w:rsidRPr="0045429A">
        <w:rPr>
          <w:rFonts w:ascii="Book Antiqua" w:hAnsi="Book Antiqua"/>
          <w:sz w:val="24"/>
          <w:szCs w:val="24"/>
          <w:lang w:val="en-US"/>
        </w:rPr>
        <w:lastRenderedPageBreak/>
        <w:t>Declaration of funding interests: None.</w:t>
      </w:r>
      <w:r w:rsidR="0042385C" w:rsidRPr="0045429A">
        <w:rPr>
          <w:rFonts w:ascii="Book Antiqua" w:hAnsi="Book Antiqua"/>
          <w:b/>
          <w:sz w:val="24"/>
          <w:szCs w:val="24"/>
          <w:lang w:val="en-US"/>
        </w:rPr>
        <w:br w:type="page"/>
      </w:r>
    </w:p>
    <w:p w:rsidR="005C5BB1" w:rsidRPr="0045429A" w:rsidRDefault="00375683" w:rsidP="0045429A">
      <w:pPr>
        <w:spacing w:line="360" w:lineRule="auto"/>
        <w:jc w:val="both"/>
        <w:rPr>
          <w:rFonts w:ascii="Book Antiqua" w:hAnsi="Book Antiqua"/>
          <w:b/>
          <w:sz w:val="24"/>
          <w:szCs w:val="24"/>
          <w:lang w:val="en-US"/>
        </w:rPr>
      </w:pPr>
      <w:r w:rsidRPr="0045429A">
        <w:rPr>
          <w:rFonts w:ascii="Book Antiqua" w:hAnsi="Book Antiqua"/>
          <w:b/>
          <w:sz w:val="24"/>
          <w:szCs w:val="24"/>
          <w:lang w:val="en-US"/>
        </w:rPr>
        <w:lastRenderedPageBreak/>
        <w:t>REFERENCES</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McDonald SP</w:t>
      </w:r>
      <w:r w:rsidRPr="0045429A">
        <w:rPr>
          <w:rFonts w:ascii="Book Antiqua" w:hAnsi="Book Antiqua"/>
          <w:sz w:val="24"/>
          <w:szCs w:val="24"/>
          <w:lang w:val="en-US"/>
        </w:rPr>
        <w:t xml:space="preserve">, Russ GR. Survival of recipients of cadaveric kidney transplants compared with those receiving dialysis treatment in Australia and New Zealand, 1991-2001. </w:t>
      </w:r>
      <w:r w:rsidRPr="0045429A">
        <w:rPr>
          <w:rFonts w:ascii="Book Antiqua" w:hAnsi="Book Antiqua"/>
          <w:i/>
          <w:sz w:val="24"/>
          <w:szCs w:val="24"/>
          <w:lang w:val="en-US"/>
        </w:rPr>
        <w:t>Nephrol Dial Transplant</w:t>
      </w:r>
      <w:r w:rsidRPr="0045429A">
        <w:rPr>
          <w:rFonts w:ascii="Book Antiqua" w:hAnsi="Book Antiqua"/>
          <w:sz w:val="24"/>
          <w:szCs w:val="24"/>
          <w:lang w:val="en-US"/>
        </w:rPr>
        <w:t xml:space="preserve">. 2002; </w:t>
      </w:r>
      <w:r w:rsidRPr="0045429A">
        <w:rPr>
          <w:rFonts w:ascii="Book Antiqua" w:hAnsi="Book Antiqua"/>
          <w:b/>
          <w:sz w:val="24"/>
          <w:szCs w:val="24"/>
          <w:lang w:val="en-US"/>
        </w:rPr>
        <w:t>17</w:t>
      </w:r>
      <w:r w:rsidRPr="0045429A">
        <w:rPr>
          <w:rFonts w:ascii="Book Antiqua" w:hAnsi="Book Antiqua"/>
          <w:sz w:val="24"/>
          <w:szCs w:val="24"/>
          <w:lang w:val="en-US"/>
        </w:rPr>
        <w:t>: 2212-2219. [PMID: 12454235; DOI: 10.1093/ndt/17.12.2212].</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Pascual M</w:t>
      </w:r>
      <w:r w:rsidRPr="0045429A">
        <w:rPr>
          <w:rFonts w:ascii="Book Antiqua" w:hAnsi="Book Antiqua"/>
          <w:sz w:val="24"/>
          <w:szCs w:val="24"/>
          <w:lang w:val="en-US"/>
        </w:rPr>
        <w:t xml:space="preserve">, Theruvath T, Kawai T, Tolkoff-Rubin N, Cosimi AB. Strategies to improve long-term outcomes after renal transplantation. </w:t>
      </w:r>
      <w:r w:rsidRPr="0045429A">
        <w:rPr>
          <w:rFonts w:ascii="Book Antiqua" w:hAnsi="Book Antiqua"/>
          <w:i/>
          <w:sz w:val="24"/>
          <w:szCs w:val="24"/>
          <w:lang w:val="en-US"/>
        </w:rPr>
        <w:t>N Engl J Med</w:t>
      </w:r>
      <w:r w:rsidRPr="0045429A">
        <w:rPr>
          <w:rFonts w:ascii="Book Antiqua" w:hAnsi="Book Antiqua"/>
          <w:sz w:val="24"/>
          <w:szCs w:val="24"/>
          <w:lang w:val="en-US"/>
        </w:rPr>
        <w:t xml:space="preserve">. 2002; </w:t>
      </w:r>
      <w:r w:rsidRPr="0045429A">
        <w:rPr>
          <w:rFonts w:ascii="Book Antiqua" w:hAnsi="Book Antiqua"/>
          <w:b/>
          <w:sz w:val="24"/>
          <w:szCs w:val="24"/>
          <w:lang w:val="en-US"/>
        </w:rPr>
        <w:t>346</w:t>
      </w:r>
      <w:r w:rsidRPr="0045429A">
        <w:rPr>
          <w:rFonts w:ascii="Book Antiqua" w:hAnsi="Book Antiqua"/>
          <w:sz w:val="24"/>
          <w:szCs w:val="24"/>
          <w:lang w:val="en-US"/>
        </w:rPr>
        <w:t>: 580-590. [PMID: 11856798; DOI: 10.1056/NEJMra011295].</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Morales JM</w:t>
      </w:r>
      <w:r w:rsidRPr="0045429A">
        <w:rPr>
          <w:rFonts w:ascii="Book Antiqua" w:hAnsi="Book Antiqua"/>
          <w:sz w:val="24"/>
          <w:szCs w:val="24"/>
          <w:lang w:val="en-US"/>
        </w:rPr>
        <w:t xml:space="preserve">, Marcén R, del Castillo D, Andres A, Gonzalez-Molina M, Oppenheimer F, Serón D, Gil-Vernet S, Lampreave I, Gainza FJ, Valdés F, Cabello M, Anaya F, Escuin F, Arias M, Pallardó L, Bustamante J. Risk factors for graft loss and mortality after renal transplantation according to recipient age: a prospective multicentre study. </w:t>
      </w:r>
      <w:r w:rsidRPr="0045429A">
        <w:rPr>
          <w:rFonts w:ascii="Book Antiqua" w:hAnsi="Book Antiqua"/>
          <w:i/>
          <w:sz w:val="24"/>
          <w:szCs w:val="24"/>
          <w:lang w:val="en-US"/>
        </w:rPr>
        <w:t>Nephrol Dial Transplant</w:t>
      </w:r>
      <w:r w:rsidRPr="0045429A">
        <w:rPr>
          <w:rFonts w:ascii="Book Antiqua" w:hAnsi="Book Antiqua"/>
          <w:sz w:val="24"/>
          <w:szCs w:val="24"/>
          <w:lang w:val="en-US"/>
        </w:rPr>
        <w:t xml:space="preserve">. 2012; </w:t>
      </w:r>
      <w:r w:rsidRPr="0045429A">
        <w:rPr>
          <w:rFonts w:ascii="Book Antiqua" w:hAnsi="Book Antiqua"/>
          <w:b/>
          <w:sz w:val="24"/>
          <w:szCs w:val="24"/>
          <w:lang w:val="en-US"/>
        </w:rPr>
        <w:t>27</w:t>
      </w:r>
      <w:r w:rsidRPr="0045429A">
        <w:rPr>
          <w:rFonts w:ascii="Book Antiqua" w:hAnsi="Book Antiqua"/>
          <w:sz w:val="24"/>
          <w:szCs w:val="24"/>
          <w:lang w:val="en-US"/>
        </w:rPr>
        <w:t xml:space="preserve"> Suppl 4: iv39-46.  [PMID: 23258810; PMCID: PMC3526982; DOI: 10.1093/ndt/gfs544].</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Howard RJ</w:t>
      </w:r>
      <w:r w:rsidRPr="0045429A">
        <w:rPr>
          <w:rFonts w:ascii="Book Antiqua" w:hAnsi="Book Antiqua"/>
          <w:sz w:val="24"/>
          <w:szCs w:val="24"/>
          <w:lang w:val="en-US"/>
        </w:rPr>
        <w:t xml:space="preserve">, Patton PR, Reed AI, Hemming AW, Van der Werf WJ, Pfaff WW, Srinivas TR, Scornik JC. The changing causes of graft loss and death after kidney transplantation. </w:t>
      </w:r>
      <w:r w:rsidRPr="0045429A">
        <w:rPr>
          <w:rFonts w:ascii="Book Antiqua" w:hAnsi="Book Antiqua"/>
          <w:i/>
          <w:sz w:val="24"/>
          <w:szCs w:val="24"/>
          <w:lang w:val="en-US"/>
        </w:rPr>
        <w:t>Transplantation</w:t>
      </w:r>
      <w:r w:rsidRPr="0045429A">
        <w:rPr>
          <w:rFonts w:ascii="Book Antiqua" w:hAnsi="Book Antiqua"/>
          <w:sz w:val="24"/>
          <w:szCs w:val="24"/>
          <w:lang w:val="en-US"/>
        </w:rPr>
        <w:t xml:space="preserve">. 2002; </w:t>
      </w:r>
      <w:r w:rsidRPr="0045429A">
        <w:rPr>
          <w:rFonts w:ascii="Book Antiqua" w:hAnsi="Book Antiqua"/>
          <w:b/>
          <w:sz w:val="24"/>
          <w:szCs w:val="24"/>
          <w:lang w:val="en-US"/>
        </w:rPr>
        <w:t>73</w:t>
      </w:r>
      <w:r w:rsidRPr="0045429A">
        <w:rPr>
          <w:rFonts w:ascii="Book Antiqua" w:hAnsi="Book Antiqua"/>
          <w:sz w:val="24"/>
          <w:szCs w:val="24"/>
          <w:lang w:val="en-US"/>
        </w:rPr>
        <w:t>: 1923-1928. [PMID: 12131689]</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Shu KH</w:t>
      </w:r>
      <w:r w:rsidRPr="0045429A">
        <w:rPr>
          <w:rFonts w:ascii="Book Antiqua" w:hAnsi="Book Antiqua"/>
          <w:sz w:val="24"/>
          <w:szCs w:val="24"/>
          <w:lang w:val="en-US"/>
        </w:rPr>
        <w:t xml:space="preserve">, Ho HC, Wen MC, Wu MJ, Chen CH, Cheng CH, Yu TM, Chuang YW, Huang ST, Tsai SF, Lo YC, Weng SC. Changing pattern of mortality in renal transplant recipients: a single-center, 30-year experience. </w:t>
      </w:r>
      <w:r w:rsidRPr="0045429A">
        <w:rPr>
          <w:rFonts w:ascii="Book Antiqua" w:hAnsi="Book Antiqua"/>
          <w:i/>
          <w:sz w:val="24"/>
          <w:szCs w:val="24"/>
          <w:lang w:val="en-US"/>
        </w:rPr>
        <w:t>Transplant Proc</w:t>
      </w:r>
      <w:r w:rsidRPr="0045429A">
        <w:rPr>
          <w:rFonts w:ascii="Book Antiqua" w:hAnsi="Book Antiqua"/>
          <w:sz w:val="24"/>
          <w:szCs w:val="24"/>
          <w:lang w:val="en-US"/>
        </w:rPr>
        <w:t xml:space="preserve">. 2014; </w:t>
      </w:r>
      <w:r w:rsidRPr="0045429A">
        <w:rPr>
          <w:rFonts w:ascii="Book Antiqua" w:hAnsi="Book Antiqua"/>
          <w:b/>
          <w:sz w:val="24"/>
          <w:szCs w:val="24"/>
          <w:lang w:val="en-US"/>
        </w:rPr>
        <w:t>46</w:t>
      </w:r>
      <w:r w:rsidRPr="0045429A">
        <w:rPr>
          <w:rFonts w:ascii="Book Antiqua" w:hAnsi="Book Antiqua"/>
          <w:sz w:val="24"/>
          <w:szCs w:val="24"/>
          <w:lang w:val="en-US"/>
        </w:rPr>
        <w:t>: 442-444. [PMID: 24655983; DOI: 10.1016/j.transproceed.2013.11.032].</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Fabrizi F</w:t>
      </w:r>
      <w:r w:rsidRPr="0045429A">
        <w:rPr>
          <w:rFonts w:ascii="Book Antiqua" w:hAnsi="Book Antiqua"/>
          <w:sz w:val="24"/>
          <w:szCs w:val="24"/>
          <w:lang w:val="en-US"/>
        </w:rPr>
        <w:t xml:space="preserve">; Martin P. Management of hepatitis B and C virus infection before and after renal transplantation. </w:t>
      </w:r>
      <w:r w:rsidRPr="0045429A">
        <w:rPr>
          <w:rFonts w:ascii="Book Antiqua" w:hAnsi="Book Antiqua"/>
          <w:i/>
          <w:sz w:val="24"/>
          <w:szCs w:val="24"/>
          <w:lang w:val="en-US"/>
        </w:rPr>
        <w:t>Curr Opin Organ Transplant</w:t>
      </w:r>
      <w:r w:rsidRPr="0045429A">
        <w:rPr>
          <w:rFonts w:ascii="Book Antiqua" w:hAnsi="Book Antiqua"/>
          <w:sz w:val="24"/>
          <w:szCs w:val="24"/>
          <w:lang w:val="en-US"/>
        </w:rPr>
        <w:t xml:space="preserve"> 2006; </w:t>
      </w:r>
      <w:r w:rsidRPr="0045429A">
        <w:rPr>
          <w:rFonts w:ascii="Book Antiqua" w:hAnsi="Book Antiqua"/>
          <w:b/>
          <w:sz w:val="24"/>
          <w:szCs w:val="24"/>
          <w:lang w:val="en-US"/>
        </w:rPr>
        <w:t>11</w:t>
      </w:r>
      <w:r w:rsidRPr="0045429A">
        <w:rPr>
          <w:rFonts w:ascii="Book Antiqua" w:hAnsi="Book Antiqua"/>
          <w:sz w:val="24"/>
          <w:szCs w:val="24"/>
          <w:lang w:val="en-US"/>
        </w:rPr>
        <w:t>: 583-588. [DOI: 10.1097/MOT.0b013e3280105c5c].</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Burdick RA</w:t>
      </w:r>
      <w:r w:rsidRPr="0045429A">
        <w:rPr>
          <w:rFonts w:ascii="Book Antiqua" w:hAnsi="Book Antiqua"/>
          <w:sz w:val="24"/>
          <w:szCs w:val="24"/>
          <w:lang w:val="en-US"/>
        </w:rPr>
        <w:t xml:space="preserve">, Bragg-Gresham JL, Woods JD, Hedderwick SA, Kurokawa K, Combe C, Saito A, LaBrecque J, Port FK, Young EW. Patterns of hepatitis B prevalence and seroconversion in hemodialysis units from three continents: the </w:t>
      </w:r>
      <w:r w:rsidRPr="0045429A">
        <w:rPr>
          <w:rFonts w:ascii="Book Antiqua" w:hAnsi="Book Antiqua"/>
          <w:sz w:val="24"/>
          <w:szCs w:val="24"/>
          <w:lang w:val="en-US"/>
        </w:rPr>
        <w:lastRenderedPageBreak/>
        <w:t xml:space="preserve">DOPPS. </w:t>
      </w:r>
      <w:r w:rsidRPr="0045429A">
        <w:rPr>
          <w:rFonts w:ascii="Book Antiqua" w:hAnsi="Book Antiqua"/>
          <w:i/>
          <w:sz w:val="24"/>
          <w:szCs w:val="24"/>
          <w:lang w:val="en-US"/>
        </w:rPr>
        <w:t>Kidney Int</w:t>
      </w:r>
      <w:r w:rsidRPr="0045429A">
        <w:rPr>
          <w:rFonts w:ascii="Book Antiqua" w:hAnsi="Book Antiqua"/>
          <w:sz w:val="24"/>
          <w:szCs w:val="24"/>
          <w:lang w:val="en-US"/>
        </w:rPr>
        <w:t xml:space="preserve">. 2003; </w:t>
      </w:r>
      <w:r w:rsidRPr="0045429A">
        <w:rPr>
          <w:rFonts w:ascii="Book Antiqua" w:hAnsi="Book Antiqua"/>
          <w:b/>
          <w:sz w:val="24"/>
          <w:szCs w:val="24"/>
          <w:lang w:val="en-US"/>
        </w:rPr>
        <w:t>63</w:t>
      </w:r>
      <w:r w:rsidRPr="0045429A">
        <w:rPr>
          <w:rFonts w:ascii="Book Antiqua" w:hAnsi="Book Antiqua"/>
          <w:sz w:val="24"/>
          <w:szCs w:val="24"/>
          <w:lang w:val="en-US"/>
        </w:rPr>
        <w:t>: 2222-2229. [PMID: 12753311; DOI:10.1046/j.1523-1755.2003.00017.x].</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Urbánek P</w:t>
      </w:r>
      <w:r w:rsidRPr="0045429A">
        <w:rPr>
          <w:rFonts w:ascii="Book Antiqua" w:hAnsi="Book Antiqua"/>
          <w:sz w:val="24"/>
          <w:szCs w:val="24"/>
          <w:lang w:val="en-US"/>
        </w:rPr>
        <w:t xml:space="preserve">. Viral hepatitis infections in chronic kidney disease patients and renal transplant recipients. </w:t>
      </w:r>
      <w:r w:rsidRPr="0045429A">
        <w:rPr>
          <w:rFonts w:ascii="Book Antiqua" w:hAnsi="Book Antiqua"/>
          <w:i/>
          <w:sz w:val="24"/>
          <w:szCs w:val="24"/>
          <w:lang w:val="en-US"/>
        </w:rPr>
        <w:t>Kidney Blood Press Res</w:t>
      </w:r>
      <w:r w:rsidRPr="0045429A">
        <w:rPr>
          <w:rFonts w:ascii="Book Antiqua" w:hAnsi="Book Antiqua"/>
          <w:sz w:val="24"/>
          <w:szCs w:val="24"/>
          <w:lang w:val="en-US"/>
        </w:rPr>
        <w:t xml:space="preserve">. 2012; </w:t>
      </w:r>
      <w:r w:rsidRPr="0045429A">
        <w:rPr>
          <w:rFonts w:ascii="Book Antiqua" w:hAnsi="Book Antiqua"/>
          <w:b/>
          <w:sz w:val="24"/>
          <w:szCs w:val="24"/>
          <w:lang w:val="en-US"/>
        </w:rPr>
        <w:t>35</w:t>
      </w:r>
      <w:r w:rsidRPr="0045429A">
        <w:rPr>
          <w:rFonts w:ascii="Book Antiqua" w:hAnsi="Book Antiqua"/>
          <w:sz w:val="24"/>
          <w:szCs w:val="24"/>
          <w:lang w:val="en-US"/>
        </w:rPr>
        <w:t xml:space="preserve">: 454-467. [PMID: 22677941 DOI: 10.1159/000338309]. </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Lok AS</w:t>
      </w:r>
      <w:r w:rsidRPr="0045429A">
        <w:rPr>
          <w:rFonts w:ascii="Book Antiqua" w:hAnsi="Book Antiqua"/>
          <w:sz w:val="24"/>
          <w:szCs w:val="24"/>
          <w:lang w:val="en-US"/>
        </w:rPr>
        <w:t xml:space="preserve">, McMahon BJ. Chronic hepatitis B: update 2009. </w:t>
      </w:r>
      <w:r w:rsidRPr="0045429A">
        <w:rPr>
          <w:rFonts w:ascii="Book Antiqua" w:hAnsi="Book Antiqua"/>
          <w:i/>
          <w:sz w:val="24"/>
          <w:szCs w:val="24"/>
          <w:lang w:val="en-US"/>
        </w:rPr>
        <w:t>Hepatology</w:t>
      </w:r>
      <w:r w:rsidRPr="0045429A">
        <w:rPr>
          <w:rFonts w:ascii="Book Antiqua" w:hAnsi="Book Antiqua"/>
          <w:sz w:val="24"/>
          <w:szCs w:val="24"/>
          <w:lang w:val="en-US"/>
        </w:rPr>
        <w:t xml:space="preserve">. 2009; </w:t>
      </w:r>
      <w:r w:rsidRPr="0045429A">
        <w:rPr>
          <w:rFonts w:ascii="Book Antiqua" w:hAnsi="Book Antiqua"/>
          <w:b/>
          <w:sz w:val="24"/>
          <w:szCs w:val="24"/>
          <w:lang w:val="en-US"/>
        </w:rPr>
        <w:t>50</w:t>
      </w:r>
      <w:r w:rsidRPr="0045429A">
        <w:rPr>
          <w:rFonts w:ascii="Book Antiqua" w:hAnsi="Book Antiqua"/>
          <w:sz w:val="24"/>
          <w:szCs w:val="24"/>
          <w:lang w:val="en-US"/>
        </w:rPr>
        <w:t>: 661-2. [PMID: 19714720 DOI: 10.1002/hep.23190].</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European Association for the Study of the Liver</w:t>
      </w:r>
      <w:r w:rsidRPr="0045429A">
        <w:rPr>
          <w:rFonts w:ascii="Book Antiqua" w:hAnsi="Book Antiqua"/>
          <w:sz w:val="24"/>
          <w:szCs w:val="24"/>
          <w:lang w:val="en-US"/>
        </w:rPr>
        <w:t xml:space="preserve">. EASL clinical practice guidelines: Management of chronic hepatitis B virus infection. </w:t>
      </w:r>
      <w:r w:rsidRPr="0045429A">
        <w:rPr>
          <w:rFonts w:ascii="Book Antiqua" w:hAnsi="Book Antiqua"/>
          <w:i/>
          <w:sz w:val="24"/>
          <w:szCs w:val="24"/>
          <w:lang w:val="en-US"/>
        </w:rPr>
        <w:t>J Hepatol</w:t>
      </w:r>
      <w:r w:rsidRPr="0045429A">
        <w:rPr>
          <w:rFonts w:ascii="Book Antiqua" w:hAnsi="Book Antiqua"/>
          <w:sz w:val="24"/>
          <w:szCs w:val="24"/>
          <w:lang w:val="en-US"/>
        </w:rPr>
        <w:t xml:space="preserve">. 2012; </w:t>
      </w:r>
      <w:r w:rsidRPr="0045429A">
        <w:rPr>
          <w:rFonts w:ascii="Book Antiqua" w:hAnsi="Book Antiqua"/>
          <w:b/>
          <w:sz w:val="24"/>
          <w:szCs w:val="24"/>
          <w:lang w:val="en-US"/>
        </w:rPr>
        <w:t>57</w:t>
      </w:r>
      <w:r w:rsidRPr="0045429A">
        <w:rPr>
          <w:rFonts w:ascii="Book Antiqua" w:hAnsi="Book Antiqua"/>
          <w:sz w:val="24"/>
          <w:szCs w:val="24"/>
          <w:lang w:val="en-US"/>
        </w:rPr>
        <w:t>: 167-185. [PMID: 22436845; DOI: 10.1016/j.jhep.2012.02.010].</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Pipili CL</w:t>
      </w:r>
      <w:r w:rsidRPr="0045429A">
        <w:rPr>
          <w:rFonts w:ascii="Book Antiqua" w:hAnsi="Book Antiqua"/>
          <w:sz w:val="24"/>
          <w:szCs w:val="24"/>
          <w:lang w:val="en-US"/>
        </w:rPr>
        <w:t xml:space="preserve">, Cholongitas E, Papatheodoridis G. Review article: nucleos(t)ide analogues in patients with chronic hepatitis B virus infection and chronic kidney disease. </w:t>
      </w:r>
      <w:r w:rsidRPr="0045429A">
        <w:rPr>
          <w:rFonts w:ascii="Book Antiqua" w:hAnsi="Book Antiqua"/>
          <w:i/>
          <w:sz w:val="24"/>
          <w:szCs w:val="24"/>
          <w:lang w:val="en-US"/>
        </w:rPr>
        <w:t>Aliment Pharmacol Ther</w:t>
      </w:r>
      <w:r w:rsidRPr="0045429A">
        <w:rPr>
          <w:rFonts w:ascii="Book Antiqua" w:hAnsi="Book Antiqua"/>
          <w:sz w:val="24"/>
          <w:szCs w:val="24"/>
          <w:lang w:val="en-US"/>
        </w:rPr>
        <w:t xml:space="preserve">. 2014; </w:t>
      </w:r>
      <w:r w:rsidRPr="0045429A">
        <w:rPr>
          <w:rFonts w:ascii="Book Antiqua" w:hAnsi="Book Antiqua"/>
          <w:b/>
          <w:sz w:val="24"/>
          <w:szCs w:val="24"/>
          <w:lang w:val="en-US"/>
        </w:rPr>
        <w:t>39</w:t>
      </w:r>
      <w:r w:rsidRPr="0045429A">
        <w:rPr>
          <w:rFonts w:ascii="Book Antiqua" w:hAnsi="Book Antiqua"/>
          <w:sz w:val="24"/>
          <w:szCs w:val="24"/>
          <w:lang w:val="en-US"/>
        </w:rPr>
        <w:t xml:space="preserve">: 35-46. [PMID: 24299322 doi: 10.1111/apt.12538]. </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Ahmad A</w:t>
      </w:r>
      <w:r w:rsidRPr="0045429A">
        <w:rPr>
          <w:rFonts w:ascii="Book Antiqua" w:hAnsi="Book Antiqua"/>
          <w:sz w:val="24"/>
          <w:szCs w:val="24"/>
          <w:lang w:val="en-US"/>
        </w:rPr>
        <w:t xml:space="preserve">, Hasan F, Abdeen S, Sheikh M, Kodaj J, Nampoory MR, Johny KV, Asker H, Siddique I, Thalib L, Al-Nakib B. Transjugular liver biopsy in patients with end-stage renal disease. </w:t>
      </w:r>
      <w:r w:rsidRPr="0045429A">
        <w:rPr>
          <w:rFonts w:ascii="Book Antiqua" w:hAnsi="Book Antiqua"/>
          <w:i/>
          <w:sz w:val="24"/>
          <w:szCs w:val="24"/>
          <w:lang w:val="en-US"/>
        </w:rPr>
        <w:t>J Vasc Interv Radiol</w:t>
      </w:r>
      <w:r w:rsidRPr="0045429A">
        <w:rPr>
          <w:rFonts w:ascii="Book Antiqua" w:hAnsi="Book Antiqua"/>
          <w:sz w:val="24"/>
          <w:szCs w:val="24"/>
          <w:lang w:val="en-US"/>
        </w:rPr>
        <w:t xml:space="preserve">. 2004; </w:t>
      </w:r>
      <w:r w:rsidRPr="0045429A">
        <w:rPr>
          <w:rFonts w:ascii="Book Antiqua" w:hAnsi="Book Antiqua"/>
          <w:b/>
          <w:sz w:val="24"/>
          <w:szCs w:val="24"/>
          <w:lang w:val="en-US"/>
        </w:rPr>
        <w:t>15</w:t>
      </w:r>
      <w:r w:rsidRPr="0045429A">
        <w:rPr>
          <w:rFonts w:ascii="Book Antiqua" w:hAnsi="Book Antiqua"/>
          <w:sz w:val="24"/>
          <w:szCs w:val="24"/>
          <w:lang w:val="en-US"/>
        </w:rPr>
        <w:t>: 257-260. [PMID: 15028810; DOI:</w:t>
      </w:r>
      <w:r w:rsidRPr="0045429A">
        <w:rPr>
          <w:rFonts w:ascii="Book Antiqua" w:hAnsi="Book Antiqua"/>
          <w:sz w:val="24"/>
          <w:szCs w:val="24"/>
        </w:rPr>
        <w:t xml:space="preserve"> </w:t>
      </w:r>
      <w:r w:rsidRPr="0045429A">
        <w:rPr>
          <w:rFonts w:ascii="Book Antiqua" w:hAnsi="Book Antiqua"/>
          <w:sz w:val="24"/>
          <w:szCs w:val="24"/>
          <w:lang w:val="en-US"/>
        </w:rPr>
        <w:t>10.1097/01.RVI.0000109403.52762.C4].</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García Agudo R</w:t>
      </w:r>
      <w:r w:rsidRPr="0045429A">
        <w:rPr>
          <w:rFonts w:ascii="Book Antiqua" w:hAnsi="Book Antiqua"/>
          <w:sz w:val="24"/>
          <w:szCs w:val="24"/>
          <w:lang w:val="en-US"/>
        </w:rPr>
        <w:t xml:space="preserve">, Aoufi Rabih S, Pérez Roldán F, Guzmán Ames F, González Carro P, Ruiz Carrillo F, Cuesta Domínguez R. Hepatic venous pressure gradient and transjugular liver biopsy to assess patients with kidney failure and chronic liver disease. </w:t>
      </w:r>
      <w:r w:rsidRPr="0045429A">
        <w:rPr>
          <w:rFonts w:ascii="Book Antiqua" w:hAnsi="Book Antiqua"/>
          <w:i/>
          <w:sz w:val="24"/>
          <w:szCs w:val="24"/>
          <w:lang w:val="en-US"/>
        </w:rPr>
        <w:t>Nefrologia</w:t>
      </w:r>
      <w:r w:rsidRPr="0045429A">
        <w:rPr>
          <w:rFonts w:ascii="Book Antiqua" w:hAnsi="Book Antiqua"/>
          <w:sz w:val="24"/>
          <w:szCs w:val="24"/>
          <w:lang w:val="en-US"/>
        </w:rPr>
        <w:t xml:space="preserve">. 2011; </w:t>
      </w:r>
      <w:r w:rsidRPr="0045429A">
        <w:rPr>
          <w:rFonts w:ascii="Book Antiqua" w:hAnsi="Book Antiqua"/>
          <w:b/>
          <w:sz w:val="24"/>
          <w:szCs w:val="24"/>
          <w:lang w:val="en-US"/>
        </w:rPr>
        <w:t>31</w:t>
      </w:r>
      <w:r w:rsidRPr="0045429A">
        <w:rPr>
          <w:rFonts w:ascii="Book Antiqua" w:hAnsi="Book Antiqua"/>
          <w:sz w:val="24"/>
          <w:szCs w:val="24"/>
          <w:lang w:val="en-US"/>
        </w:rPr>
        <w:t xml:space="preserve">: 490-492. [PMID: 21738254; DOI: 10.3265/Nefrologia.pre2011.May.10878]. </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Kidney Disease: Improving Global Outcomes (KDIGO)</w:t>
      </w:r>
      <w:r w:rsidRPr="0045429A">
        <w:rPr>
          <w:rFonts w:ascii="Book Antiqua" w:hAnsi="Book Antiqua"/>
          <w:sz w:val="24"/>
          <w:szCs w:val="24"/>
          <w:lang w:val="en-US"/>
        </w:rPr>
        <w:t xml:space="preserve">. KDIGO clinical practice guidelines for the prevention, diagnosis, evaluation, and treatment of hepatitis C in chronic kidney disease. </w:t>
      </w:r>
      <w:r w:rsidRPr="0045429A">
        <w:rPr>
          <w:rFonts w:ascii="Book Antiqua" w:hAnsi="Book Antiqua"/>
          <w:i/>
          <w:sz w:val="24"/>
          <w:szCs w:val="24"/>
          <w:lang w:val="en-US"/>
        </w:rPr>
        <w:t>Kidney Int Suppl</w:t>
      </w:r>
      <w:r w:rsidRPr="0045429A">
        <w:rPr>
          <w:rFonts w:ascii="Book Antiqua" w:hAnsi="Book Antiqua"/>
          <w:sz w:val="24"/>
          <w:szCs w:val="24"/>
          <w:lang w:val="en-US"/>
        </w:rPr>
        <w:t xml:space="preserve">. 2008; </w:t>
      </w:r>
      <w:r w:rsidRPr="0045429A">
        <w:rPr>
          <w:rFonts w:ascii="Book Antiqua" w:hAnsi="Book Antiqua"/>
          <w:b/>
          <w:sz w:val="24"/>
          <w:szCs w:val="24"/>
          <w:lang w:val="en-US"/>
        </w:rPr>
        <w:t>73</w:t>
      </w:r>
      <w:r w:rsidRPr="0045429A">
        <w:rPr>
          <w:rFonts w:ascii="Book Antiqua" w:hAnsi="Book Antiqua"/>
          <w:sz w:val="24"/>
          <w:szCs w:val="24"/>
          <w:lang w:val="en-US"/>
        </w:rPr>
        <w:t xml:space="preserve"> (Suppl 109): S1-99. [PMID: 18382440; DOI: 10.1038/ki.2008.81]. </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Kidney Disease: Improving Global Outcomes (KDIGO) Transplant Work Group</w:t>
      </w:r>
      <w:r w:rsidRPr="0045429A">
        <w:rPr>
          <w:rFonts w:ascii="Book Antiqua" w:hAnsi="Book Antiqua"/>
          <w:sz w:val="24"/>
          <w:szCs w:val="24"/>
          <w:lang w:val="en-US"/>
        </w:rPr>
        <w:t xml:space="preserve">. KDIGO clinical practice guideline for the care of kidney transplant </w:t>
      </w:r>
      <w:r w:rsidRPr="0045429A">
        <w:rPr>
          <w:rFonts w:ascii="Book Antiqua" w:hAnsi="Book Antiqua"/>
          <w:sz w:val="24"/>
          <w:szCs w:val="24"/>
          <w:lang w:val="en-US"/>
        </w:rPr>
        <w:lastRenderedPageBreak/>
        <w:t xml:space="preserve">recipients. </w:t>
      </w:r>
      <w:r w:rsidRPr="0045429A">
        <w:rPr>
          <w:rFonts w:ascii="Book Antiqua" w:hAnsi="Book Antiqua"/>
          <w:i/>
          <w:sz w:val="24"/>
          <w:szCs w:val="24"/>
          <w:lang w:val="en-US"/>
        </w:rPr>
        <w:t>Am J Transplant</w:t>
      </w:r>
      <w:r w:rsidRPr="0045429A">
        <w:rPr>
          <w:rFonts w:ascii="Book Antiqua" w:hAnsi="Book Antiqua"/>
          <w:sz w:val="24"/>
          <w:szCs w:val="24"/>
          <w:lang w:val="en-US"/>
        </w:rPr>
        <w:t xml:space="preserve">. 2009; </w:t>
      </w:r>
      <w:r w:rsidRPr="0045429A">
        <w:rPr>
          <w:rFonts w:ascii="Book Antiqua" w:hAnsi="Book Antiqua"/>
          <w:b/>
          <w:sz w:val="24"/>
          <w:szCs w:val="24"/>
          <w:lang w:val="en-US"/>
        </w:rPr>
        <w:t>9</w:t>
      </w:r>
      <w:r w:rsidRPr="0045429A">
        <w:rPr>
          <w:rFonts w:ascii="Book Antiqua" w:hAnsi="Book Antiqua"/>
          <w:sz w:val="24"/>
          <w:szCs w:val="24"/>
          <w:lang w:val="en-US"/>
        </w:rPr>
        <w:t xml:space="preserve"> (Suppl 3): S1-155. [PMID: 19845597; DOI: 10.1111/j.1600-6143.2009.02834.x].</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Alric L</w:t>
      </w:r>
      <w:r w:rsidRPr="0045429A">
        <w:rPr>
          <w:rFonts w:ascii="Book Antiqua" w:hAnsi="Book Antiqua"/>
          <w:sz w:val="24"/>
          <w:szCs w:val="24"/>
          <w:lang w:val="en-US"/>
        </w:rPr>
        <w:t xml:space="preserve">, Kamar N, Bonnet D, Danjoux M, Abravanel F, Lauwers-Cances V, Rostaing L. Comparison of liver stiffness, fibrotest and liver biopsy for assessment of liver fibrosis in kidney-transplant patients with chronic viral hepatitis. </w:t>
      </w:r>
      <w:r w:rsidRPr="0045429A">
        <w:rPr>
          <w:rFonts w:ascii="Book Antiqua" w:hAnsi="Book Antiqua"/>
          <w:i/>
          <w:sz w:val="24"/>
          <w:szCs w:val="24"/>
          <w:lang w:val="en-US"/>
        </w:rPr>
        <w:t>Transpl Int</w:t>
      </w:r>
      <w:r w:rsidRPr="0045429A">
        <w:rPr>
          <w:rFonts w:ascii="Book Antiqua" w:hAnsi="Book Antiqua"/>
          <w:sz w:val="24"/>
          <w:szCs w:val="24"/>
          <w:lang w:val="en-US"/>
        </w:rPr>
        <w:t xml:space="preserve">. 2009; </w:t>
      </w:r>
      <w:r w:rsidRPr="0045429A">
        <w:rPr>
          <w:rFonts w:ascii="Book Antiqua" w:hAnsi="Book Antiqua"/>
          <w:b/>
          <w:sz w:val="24"/>
          <w:szCs w:val="24"/>
          <w:lang w:val="en-US"/>
        </w:rPr>
        <w:t>22</w:t>
      </w:r>
      <w:r w:rsidRPr="0045429A">
        <w:rPr>
          <w:rFonts w:ascii="Book Antiqua" w:hAnsi="Book Antiqua"/>
          <w:sz w:val="24"/>
          <w:szCs w:val="24"/>
          <w:lang w:val="en-US"/>
        </w:rPr>
        <w:t xml:space="preserve">: 568-573. [PMID: 19196449; DOI: 10.1111/j.1432-2277.2009.00834.x]. </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Ruhi C</w:t>
      </w:r>
      <w:r w:rsidRPr="0045429A">
        <w:rPr>
          <w:rFonts w:ascii="Book Antiqua" w:hAnsi="Book Antiqua"/>
          <w:sz w:val="24"/>
          <w:szCs w:val="24"/>
          <w:lang w:val="en-US"/>
        </w:rPr>
        <w:t xml:space="preserve">, Süleymanlar I, Koçak H, Dinçkan A, Ersoy F, Süleymanlar G. Effect of Prophylactic Versus Preemptive Lamivudine Treatment and Tenofovir on HBsAg (+) Kidney Transplant Recipients. </w:t>
      </w:r>
      <w:r w:rsidRPr="0045429A">
        <w:rPr>
          <w:rFonts w:ascii="Book Antiqua" w:hAnsi="Book Antiqua"/>
          <w:i/>
          <w:sz w:val="24"/>
          <w:szCs w:val="24"/>
          <w:lang w:val="en-US"/>
        </w:rPr>
        <w:t>Exp Clin Transplant</w:t>
      </w:r>
      <w:r w:rsidRPr="0045429A">
        <w:rPr>
          <w:rFonts w:ascii="Book Antiqua" w:hAnsi="Book Antiqua"/>
          <w:sz w:val="24"/>
          <w:szCs w:val="24"/>
          <w:lang w:val="en-US"/>
        </w:rPr>
        <w:t>. 2014 Jun 25. [Epub ahead of print] [PMID: 25019317 DOI: 10.6002/ect.2013.0280]</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Berger A</w:t>
      </w:r>
      <w:r w:rsidRPr="0045429A">
        <w:rPr>
          <w:rFonts w:ascii="Book Antiqua" w:hAnsi="Book Antiqua"/>
          <w:sz w:val="24"/>
          <w:szCs w:val="24"/>
          <w:lang w:val="en-US"/>
        </w:rPr>
        <w:t xml:space="preserve">, Preiser W, Kachel HG, Stürmer M, Doerr HW. HBV reactivation after kidney transplantation. </w:t>
      </w:r>
      <w:r w:rsidRPr="0045429A">
        <w:rPr>
          <w:rFonts w:ascii="Book Antiqua" w:hAnsi="Book Antiqua"/>
          <w:i/>
          <w:sz w:val="24"/>
          <w:szCs w:val="24"/>
          <w:lang w:val="en-US"/>
        </w:rPr>
        <w:t>J Clin Virol</w:t>
      </w:r>
      <w:r w:rsidRPr="0045429A">
        <w:rPr>
          <w:rFonts w:ascii="Book Antiqua" w:hAnsi="Book Antiqua"/>
          <w:sz w:val="24"/>
          <w:szCs w:val="24"/>
          <w:lang w:val="en-US"/>
        </w:rPr>
        <w:t xml:space="preserve">. 2005; </w:t>
      </w:r>
      <w:r w:rsidRPr="0045429A">
        <w:rPr>
          <w:rFonts w:ascii="Book Antiqua" w:hAnsi="Book Antiqua"/>
          <w:b/>
          <w:sz w:val="24"/>
          <w:szCs w:val="24"/>
          <w:lang w:val="en-US"/>
        </w:rPr>
        <w:t>32</w:t>
      </w:r>
      <w:r w:rsidRPr="0045429A">
        <w:rPr>
          <w:rFonts w:ascii="Book Antiqua" w:hAnsi="Book Antiqua"/>
          <w:sz w:val="24"/>
          <w:szCs w:val="24"/>
          <w:lang w:val="en-US"/>
        </w:rPr>
        <w:t>: 162-165. [PMID: 15653420; DOI:10.1016/j.jcv.2004.10.006].</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Kanaan N</w:t>
      </w:r>
      <w:r w:rsidRPr="0045429A">
        <w:rPr>
          <w:rFonts w:ascii="Book Antiqua" w:hAnsi="Book Antiqua"/>
          <w:sz w:val="24"/>
          <w:szCs w:val="24"/>
          <w:lang w:val="en-US"/>
        </w:rPr>
        <w:t xml:space="preserve">, Kabamba B, Maréchal C, Pirson Y, Beguin C, Goffin E, Hassoun Z. Significant rate of hepatitis B reactivation following kidney transplantation in patients with resolved infection. </w:t>
      </w:r>
      <w:r w:rsidRPr="0045429A">
        <w:rPr>
          <w:rFonts w:ascii="Book Antiqua" w:hAnsi="Book Antiqua"/>
          <w:i/>
          <w:sz w:val="24"/>
          <w:szCs w:val="24"/>
          <w:lang w:val="en-US"/>
        </w:rPr>
        <w:t>J Clin Virol</w:t>
      </w:r>
      <w:r w:rsidRPr="0045429A">
        <w:rPr>
          <w:rFonts w:ascii="Book Antiqua" w:hAnsi="Book Antiqua"/>
          <w:sz w:val="24"/>
          <w:szCs w:val="24"/>
          <w:lang w:val="en-US"/>
        </w:rPr>
        <w:t xml:space="preserve">. 2012; </w:t>
      </w:r>
      <w:r w:rsidRPr="0045429A">
        <w:rPr>
          <w:rFonts w:ascii="Book Antiqua" w:hAnsi="Book Antiqua"/>
          <w:b/>
          <w:sz w:val="24"/>
          <w:szCs w:val="24"/>
          <w:lang w:val="en-US"/>
        </w:rPr>
        <w:t>55</w:t>
      </w:r>
      <w:r w:rsidRPr="0045429A">
        <w:rPr>
          <w:rFonts w:ascii="Book Antiqua" w:hAnsi="Book Antiqua"/>
          <w:sz w:val="24"/>
          <w:szCs w:val="24"/>
          <w:lang w:val="en-US"/>
        </w:rPr>
        <w:t xml:space="preserve">: 233-238. [PMID: 22921412; DOI: 10.1016/j.jcv.2012.07.015]. </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Duhart BT Jr</w:t>
      </w:r>
      <w:r w:rsidRPr="0045429A">
        <w:rPr>
          <w:rFonts w:ascii="Book Antiqua" w:hAnsi="Book Antiqua"/>
          <w:sz w:val="24"/>
          <w:szCs w:val="24"/>
          <w:lang w:val="en-US"/>
        </w:rPr>
        <w:t xml:space="preserve">, Honaker MR, Shokouh-Amiri MH, Riely CA, Vera SR, Taylor SL, Al-jedai AH, Gaber AO. Retrospective evaluation of the risk of hepatitis B virus reactivation after transplantation. </w:t>
      </w:r>
      <w:r w:rsidRPr="0045429A">
        <w:rPr>
          <w:rFonts w:ascii="Book Antiqua" w:hAnsi="Book Antiqua"/>
          <w:i/>
          <w:sz w:val="24"/>
          <w:szCs w:val="24"/>
          <w:lang w:val="en-US"/>
        </w:rPr>
        <w:t>Transpl Infect Dis</w:t>
      </w:r>
      <w:r w:rsidRPr="0045429A">
        <w:rPr>
          <w:rFonts w:ascii="Book Antiqua" w:hAnsi="Book Antiqua"/>
          <w:sz w:val="24"/>
          <w:szCs w:val="24"/>
          <w:lang w:val="en-US"/>
        </w:rPr>
        <w:t xml:space="preserve">. 2003; </w:t>
      </w:r>
      <w:r w:rsidRPr="0045429A">
        <w:rPr>
          <w:rFonts w:ascii="Book Antiqua" w:hAnsi="Book Antiqua"/>
          <w:b/>
          <w:sz w:val="24"/>
          <w:szCs w:val="24"/>
          <w:lang w:val="en-US"/>
        </w:rPr>
        <w:t>5</w:t>
      </w:r>
      <w:r w:rsidRPr="0045429A">
        <w:rPr>
          <w:rFonts w:ascii="Book Antiqua" w:hAnsi="Book Antiqua"/>
          <w:sz w:val="24"/>
          <w:szCs w:val="24"/>
          <w:lang w:val="en-US"/>
        </w:rPr>
        <w:t>: 126-131. [PMID: 14617300; DOI: 10.1034/j.1399-3062.2003.00021.x].</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Barclay S</w:t>
      </w:r>
      <w:r w:rsidRPr="0045429A">
        <w:rPr>
          <w:rFonts w:ascii="Book Antiqua" w:hAnsi="Book Antiqua"/>
          <w:sz w:val="24"/>
          <w:szCs w:val="24"/>
          <w:lang w:val="en-US"/>
        </w:rPr>
        <w:t xml:space="preserve">, Pol S, Mutimer D, Benhamou Y, Mills PR, Hayes PC, Cameron S, Carman W. The management of chronic hepatitis B in the immunocompromised patient: recommendations from a single topic meeting. </w:t>
      </w:r>
      <w:r w:rsidRPr="0045429A">
        <w:rPr>
          <w:rFonts w:ascii="Book Antiqua" w:hAnsi="Book Antiqua"/>
          <w:i/>
          <w:sz w:val="24"/>
          <w:szCs w:val="24"/>
          <w:lang w:val="en-US"/>
        </w:rPr>
        <w:t>J Clin Virol</w:t>
      </w:r>
      <w:r w:rsidRPr="0045429A">
        <w:rPr>
          <w:rFonts w:ascii="Book Antiqua" w:hAnsi="Book Antiqua"/>
          <w:sz w:val="24"/>
          <w:szCs w:val="24"/>
          <w:lang w:val="en-US"/>
        </w:rPr>
        <w:t xml:space="preserve">. 2008; </w:t>
      </w:r>
      <w:r w:rsidRPr="0045429A">
        <w:rPr>
          <w:rFonts w:ascii="Book Antiqua" w:hAnsi="Book Antiqua"/>
          <w:b/>
          <w:sz w:val="24"/>
          <w:szCs w:val="24"/>
          <w:lang w:val="en-US"/>
        </w:rPr>
        <w:t>42</w:t>
      </w:r>
      <w:r w:rsidRPr="0045429A">
        <w:rPr>
          <w:rFonts w:ascii="Book Antiqua" w:hAnsi="Book Antiqua"/>
          <w:sz w:val="24"/>
          <w:szCs w:val="24"/>
          <w:lang w:val="en-US"/>
        </w:rPr>
        <w:t>: 104-115. [PMID: 18203658; DOI: 10.1016/j.jcv.2007.11.017].</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Gane E</w:t>
      </w:r>
      <w:r w:rsidRPr="0045429A">
        <w:rPr>
          <w:rFonts w:ascii="Book Antiqua" w:hAnsi="Book Antiqua"/>
          <w:sz w:val="24"/>
          <w:szCs w:val="24"/>
          <w:lang w:val="en-US"/>
        </w:rPr>
        <w:t xml:space="preserve">, Pilmore H.Management of chronic viral hepatitis before and after renal transplantation. </w:t>
      </w:r>
      <w:r w:rsidRPr="0045429A">
        <w:rPr>
          <w:rFonts w:ascii="Book Antiqua" w:hAnsi="Book Antiqua"/>
          <w:i/>
          <w:sz w:val="24"/>
          <w:szCs w:val="24"/>
          <w:lang w:val="en-US"/>
        </w:rPr>
        <w:t>Transplantation</w:t>
      </w:r>
      <w:r w:rsidRPr="0045429A">
        <w:rPr>
          <w:rFonts w:ascii="Book Antiqua" w:hAnsi="Book Antiqua"/>
          <w:sz w:val="24"/>
          <w:szCs w:val="24"/>
          <w:lang w:val="en-US"/>
        </w:rPr>
        <w:t xml:space="preserve">. 2002; </w:t>
      </w:r>
      <w:r w:rsidRPr="0045429A">
        <w:rPr>
          <w:rFonts w:ascii="Book Antiqua" w:hAnsi="Book Antiqua"/>
          <w:b/>
          <w:sz w:val="24"/>
          <w:szCs w:val="24"/>
          <w:lang w:val="en-US"/>
        </w:rPr>
        <w:t>74</w:t>
      </w:r>
      <w:r w:rsidRPr="0045429A">
        <w:rPr>
          <w:rFonts w:ascii="Book Antiqua" w:hAnsi="Book Antiqua"/>
          <w:sz w:val="24"/>
          <w:szCs w:val="24"/>
          <w:lang w:val="en-US"/>
        </w:rPr>
        <w:t>: 427-437. [PMID: 12352899].</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lastRenderedPageBreak/>
        <w:t>Kasiske BL</w:t>
      </w:r>
      <w:r w:rsidRPr="0045429A">
        <w:rPr>
          <w:rFonts w:ascii="Book Antiqua" w:hAnsi="Book Antiqua"/>
          <w:sz w:val="24"/>
          <w:szCs w:val="24"/>
          <w:lang w:val="en-US"/>
        </w:rPr>
        <w:t xml:space="preserve">, Zeier MG, Chapman JR, Craig JC, Ekberg H, Garvey CA, Green MD, Jha V, Josephson MA, Kiberd BA, Kreis HA, McDonald RA, Newmann JM, Obrador GT, Vincenti FG, Cheung M, Earley A, Raman G, Abariga S, Wagner M, Balk EM; Kidney Disease: Improving Global Outcomes. KDIGO clinical practice guideline for the care of kidney transplant recipients: a summary. </w:t>
      </w:r>
      <w:r w:rsidRPr="0045429A">
        <w:rPr>
          <w:rFonts w:ascii="Book Antiqua" w:hAnsi="Book Antiqua"/>
          <w:i/>
          <w:sz w:val="24"/>
          <w:szCs w:val="24"/>
          <w:lang w:val="en-US"/>
        </w:rPr>
        <w:t>Kidney Int</w:t>
      </w:r>
      <w:r w:rsidRPr="0045429A">
        <w:rPr>
          <w:rFonts w:ascii="Book Antiqua" w:hAnsi="Book Antiqua"/>
          <w:sz w:val="24"/>
          <w:szCs w:val="24"/>
          <w:lang w:val="en-US"/>
        </w:rPr>
        <w:t xml:space="preserve">. 2010; </w:t>
      </w:r>
      <w:r w:rsidRPr="0045429A">
        <w:rPr>
          <w:rFonts w:ascii="Book Antiqua" w:hAnsi="Book Antiqua"/>
          <w:b/>
          <w:sz w:val="24"/>
          <w:szCs w:val="24"/>
          <w:lang w:val="en-US"/>
        </w:rPr>
        <w:t>77</w:t>
      </w:r>
      <w:r w:rsidRPr="0045429A">
        <w:rPr>
          <w:rFonts w:ascii="Book Antiqua" w:hAnsi="Book Antiqua"/>
          <w:sz w:val="24"/>
          <w:szCs w:val="24"/>
          <w:lang w:val="en-US"/>
        </w:rPr>
        <w:t xml:space="preserve">: 299-311. [PMID: 19847156; DI: 10.1038/ki.2009.377]. </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Durlik M</w:t>
      </w:r>
      <w:r w:rsidRPr="0045429A">
        <w:rPr>
          <w:rFonts w:ascii="Book Antiqua" w:hAnsi="Book Antiqua"/>
          <w:sz w:val="24"/>
          <w:szCs w:val="24"/>
          <w:lang w:val="en-US"/>
        </w:rPr>
        <w:t xml:space="preserve">, Gaciong Z, Rowińska D, Rancewicz Z, Lewandowska D, Kozłowska B, Wyzgał J, Soluch L, Walewska-Zielecka B, Rowiński W, Lao M. Long-term results of treatment of chronic hepatitis B, C and D with interferon-alpha in renal allograft recipients. </w:t>
      </w:r>
      <w:r w:rsidRPr="0045429A">
        <w:rPr>
          <w:rFonts w:ascii="Book Antiqua" w:hAnsi="Book Antiqua"/>
          <w:i/>
          <w:sz w:val="24"/>
          <w:szCs w:val="24"/>
          <w:lang w:val="en-US"/>
        </w:rPr>
        <w:t>Transpl Int</w:t>
      </w:r>
      <w:r w:rsidRPr="0045429A">
        <w:rPr>
          <w:rFonts w:ascii="Book Antiqua" w:hAnsi="Book Antiqua"/>
          <w:sz w:val="24"/>
          <w:szCs w:val="24"/>
          <w:lang w:val="en-US"/>
        </w:rPr>
        <w:t xml:space="preserve">. 1998; </w:t>
      </w:r>
      <w:r w:rsidRPr="0045429A">
        <w:rPr>
          <w:rFonts w:ascii="Book Antiqua" w:hAnsi="Book Antiqua"/>
          <w:b/>
          <w:sz w:val="24"/>
          <w:szCs w:val="24"/>
          <w:lang w:val="en-US"/>
        </w:rPr>
        <w:t>11</w:t>
      </w:r>
      <w:r w:rsidRPr="0045429A">
        <w:rPr>
          <w:rFonts w:ascii="Book Antiqua" w:hAnsi="Book Antiqua"/>
          <w:sz w:val="24"/>
          <w:szCs w:val="24"/>
          <w:lang w:val="en-US"/>
        </w:rPr>
        <w:t xml:space="preserve"> Suppl 1: S135-139. [PMID: 9664963; DOI 10.1007/s001470050445].</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Lamivudine (Epivir®)</w:t>
      </w:r>
      <w:r w:rsidRPr="0045429A">
        <w:rPr>
          <w:rFonts w:ascii="Book Antiqua" w:hAnsi="Book Antiqua"/>
          <w:sz w:val="24"/>
          <w:szCs w:val="24"/>
          <w:lang w:val="en-US"/>
        </w:rPr>
        <w:t xml:space="preserve"> prescribing information. GlaxoSmithKline Research Triangle Park, NC 27709, USA. December 2013.</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Adefovir (Hepsera®)</w:t>
      </w:r>
      <w:r w:rsidRPr="0045429A">
        <w:rPr>
          <w:rFonts w:ascii="Book Antiqua" w:hAnsi="Book Antiqua"/>
          <w:sz w:val="24"/>
          <w:szCs w:val="24"/>
          <w:lang w:val="en-US"/>
        </w:rPr>
        <w:t xml:space="preserve"> prescribing information. Gilead Sciences, Inc. Foster City, CA 94404, USA. November 2012.</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Telbivudine (Tyzeka®)</w:t>
      </w:r>
      <w:r w:rsidRPr="0045429A">
        <w:rPr>
          <w:rFonts w:ascii="Book Antiqua" w:hAnsi="Book Antiqua"/>
          <w:sz w:val="24"/>
          <w:szCs w:val="24"/>
          <w:lang w:val="en-US"/>
        </w:rPr>
        <w:t xml:space="preserve"> Novartis Pharmaceuticals Corporation, East Hanover, New Jersey 07936, USA. January 2013.</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Entecavir (Baraclude®)</w:t>
      </w:r>
      <w:r w:rsidRPr="0045429A">
        <w:rPr>
          <w:rFonts w:ascii="Book Antiqua" w:hAnsi="Book Antiqua"/>
          <w:sz w:val="24"/>
          <w:szCs w:val="24"/>
          <w:lang w:val="en-US"/>
        </w:rPr>
        <w:t xml:space="preserve"> Bristol-Myers Squibb Company, Princeton, NJ 08543 USA. May 2014.</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Tenofovir (Viread®)</w:t>
      </w:r>
      <w:r w:rsidRPr="0045429A">
        <w:rPr>
          <w:rFonts w:ascii="Book Antiqua" w:hAnsi="Book Antiqua"/>
          <w:sz w:val="24"/>
          <w:szCs w:val="24"/>
          <w:lang w:val="en-US"/>
        </w:rPr>
        <w:t xml:space="preserve"> prescribing information. Gilead Sciences, Inc. Foster City, CA 94404, USA. October 2013.</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Fabrizi F</w:t>
      </w:r>
      <w:r w:rsidRPr="0045429A">
        <w:rPr>
          <w:rFonts w:ascii="Book Antiqua" w:hAnsi="Book Antiqua"/>
          <w:sz w:val="24"/>
          <w:szCs w:val="24"/>
          <w:lang w:val="en-US"/>
        </w:rPr>
        <w:t xml:space="preserve">, Dulai G, Dixit V, Bunnapradist S, Martin P. Lamivudine for the treatment of hepatitis B virus-related liver disease after renal transplantation: meta-analysis of clinical trials. </w:t>
      </w:r>
      <w:r w:rsidRPr="0045429A">
        <w:rPr>
          <w:rFonts w:ascii="Book Antiqua" w:hAnsi="Book Antiqua"/>
          <w:i/>
          <w:sz w:val="24"/>
          <w:szCs w:val="24"/>
          <w:lang w:val="en-US"/>
        </w:rPr>
        <w:t>Transplantation</w:t>
      </w:r>
      <w:r w:rsidRPr="0045429A">
        <w:rPr>
          <w:rFonts w:ascii="Book Antiqua" w:hAnsi="Book Antiqua"/>
          <w:sz w:val="24"/>
          <w:szCs w:val="24"/>
          <w:lang w:val="en-US"/>
        </w:rPr>
        <w:t xml:space="preserve">. 2004; </w:t>
      </w:r>
      <w:r w:rsidRPr="0045429A">
        <w:rPr>
          <w:rFonts w:ascii="Book Antiqua" w:hAnsi="Book Antiqua"/>
          <w:b/>
          <w:sz w:val="24"/>
          <w:szCs w:val="24"/>
          <w:lang w:val="en-US"/>
        </w:rPr>
        <w:t>77</w:t>
      </w:r>
      <w:r w:rsidRPr="0045429A">
        <w:rPr>
          <w:rFonts w:ascii="Book Antiqua" w:hAnsi="Book Antiqua"/>
          <w:sz w:val="24"/>
          <w:szCs w:val="24"/>
          <w:lang w:val="en-US"/>
        </w:rPr>
        <w:t>: 859-864. [PMID: 15077027].</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Yap DY</w:t>
      </w:r>
      <w:r w:rsidRPr="0045429A">
        <w:rPr>
          <w:rFonts w:ascii="Book Antiqua" w:hAnsi="Book Antiqua"/>
          <w:sz w:val="24"/>
          <w:szCs w:val="24"/>
          <w:lang w:val="en-US"/>
        </w:rPr>
        <w:t xml:space="preserve">, Tang CS, Yung S, Choy BY, Yuen MF, Chan TM. Long-term outcome of renal transplant recipients with chronic hepatitis B infection-impact of antiviral treatments. </w:t>
      </w:r>
      <w:r w:rsidRPr="0045429A">
        <w:rPr>
          <w:rFonts w:ascii="Book Antiqua" w:hAnsi="Book Antiqua"/>
          <w:i/>
          <w:sz w:val="24"/>
          <w:szCs w:val="24"/>
          <w:lang w:val="en-US"/>
        </w:rPr>
        <w:t>Transplantation</w:t>
      </w:r>
      <w:r w:rsidRPr="0045429A">
        <w:rPr>
          <w:rFonts w:ascii="Book Antiqua" w:hAnsi="Book Antiqua"/>
          <w:sz w:val="24"/>
          <w:szCs w:val="24"/>
          <w:lang w:val="en-US"/>
        </w:rPr>
        <w:t xml:space="preserve"> 2010; </w:t>
      </w:r>
      <w:r w:rsidRPr="0045429A">
        <w:rPr>
          <w:rFonts w:ascii="Book Antiqua" w:hAnsi="Book Antiqua"/>
          <w:b/>
          <w:sz w:val="24"/>
          <w:szCs w:val="24"/>
          <w:lang w:val="en-US"/>
        </w:rPr>
        <w:t>90</w:t>
      </w:r>
      <w:r w:rsidRPr="0045429A">
        <w:rPr>
          <w:rFonts w:ascii="Book Antiqua" w:hAnsi="Book Antiqua"/>
          <w:sz w:val="24"/>
          <w:szCs w:val="24"/>
          <w:lang w:val="en-US"/>
        </w:rPr>
        <w:t>: 325-330. [PMID: 20562676; DOI:10.1097/TP.0b013e3181e5b811].</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bCs/>
          <w:sz w:val="24"/>
          <w:szCs w:val="24"/>
          <w:lang w:val="en-US"/>
        </w:rPr>
        <w:lastRenderedPageBreak/>
        <w:t>Thabut D</w:t>
      </w:r>
      <w:r w:rsidRPr="0045429A">
        <w:rPr>
          <w:rFonts w:ascii="Book Antiqua" w:hAnsi="Book Antiqua"/>
          <w:sz w:val="24"/>
          <w:szCs w:val="24"/>
          <w:lang w:val="en-US"/>
        </w:rPr>
        <w:t xml:space="preserve">, Thibault V, Bernard-Chabert B, Mouquet C, Di Martino V, Le Calvez S, Opolon P, Benhamou Y, Bitker MO, Poynard T. Long-term therapy with lamivudine in renal transplant recipients with chronic hepatitis B. </w:t>
      </w:r>
      <w:r w:rsidRPr="0045429A">
        <w:rPr>
          <w:rFonts w:ascii="Book Antiqua" w:hAnsi="Book Antiqua"/>
          <w:i/>
          <w:iCs/>
          <w:sz w:val="24"/>
          <w:szCs w:val="24"/>
          <w:lang w:val="en-US"/>
        </w:rPr>
        <w:t xml:space="preserve">Eur J Gastroenterol Hepatol </w:t>
      </w:r>
      <w:r w:rsidRPr="0045429A">
        <w:rPr>
          <w:rFonts w:ascii="Book Antiqua" w:hAnsi="Book Antiqua"/>
          <w:sz w:val="24"/>
          <w:szCs w:val="24"/>
          <w:lang w:val="en-US"/>
        </w:rPr>
        <w:t xml:space="preserve">2004; </w:t>
      </w:r>
      <w:r w:rsidRPr="0045429A">
        <w:rPr>
          <w:rFonts w:ascii="Book Antiqua" w:hAnsi="Book Antiqua"/>
          <w:b/>
          <w:bCs/>
          <w:sz w:val="24"/>
          <w:szCs w:val="24"/>
          <w:lang w:val="en-US"/>
        </w:rPr>
        <w:t>16</w:t>
      </w:r>
      <w:r w:rsidRPr="0045429A">
        <w:rPr>
          <w:rFonts w:ascii="Book Antiqua" w:hAnsi="Book Antiqua"/>
          <w:sz w:val="24"/>
          <w:szCs w:val="24"/>
          <w:lang w:val="en-US"/>
        </w:rPr>
        <w:t>: 1367-1373. [PMID: 15618847].</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bCs/>
          <w:sz w:val="24"/>
          <w:szCs w:val="24"/>
          <w:lang w:val="en-US"/>
        </w:rPr>
        <w:t>Chan TM</w:t>
      </w:r>
      <w:r w:rsidRPr="0045429A">
        <w:rPr>
          <w:rFonts w:ascii="Book Antiqua" w:hAnsi="Book Antiqua"/>
          <w:sz w:val="24"/>
          <w:szCs w:val="24"/>
          <w:lang w:val="en-US"/>
        </w:rPr>
        <w:t xml:space="preserve">, Tse KC, Tang CS, Lai KN, Ho SK. Prospective study on lamivudine-resistant hepatitis B in renal allograft recipients. </w:t>
      </w:r>
      <w:r w:rsidRPr="0045429A">
        <w:rPr>
          <w:rFonts w:ascii="Book Antiqua" w:hAnsi="Book Antiqua"/>
          <w:i/>
          <w:iCs/>
          <w:sz w:val="24"/>
          <w:szCs w:val="24"/>
          <w:lang w:val="en-US"/>
        </w:rPr>
        <w:t xml:space="preserve">Am J Transplant </w:t>
      </w:r>
      <w:r w:rsidRPr="0045429A">
        <w:rPr>
          <w:rFonts w:ascii="Book Antiqua" w:hAnsi="Book Antiqua"/>
          <w:sz w:val="24"/>
          <w:szCs w:val="24"/>
          <w:lang w:val="en-US"/>
        </w:rPr>
        <w:t xml:space="preserve">2004; </w:t>
      </w:r>
      <w:r w:rsidRPr="0045429A">
        <w:rPr>
          <w:rFonts w:ascii="Book Antiqua" w:hAnsi="Book Antiqua"/>
          <w:b/>
          <w:bCs/>
          <w:sz w:val="24"/>
          <w:szCs w:val="24"/>
          <w:lang w:val="en-US"/>
        </w:rPr>
        <w:t>4</w:t>
      </w:r>
      <w:r w:rsidRPr="0045429A">
        <w:rPr>
          <w:rFonts w:ascii="Book Antiqua" w:hAnsi="Book Antiqua"/>
          <w:sz w:val="24"/>
          <w:szCs w:val="24"/>
          <w:lang w:val="en-US"/>
        </w:rPr>
        <w:t>: 1103-1109. [PMID:15196068; DOI: 10.1111/j.1600-6143.2004.00467.x].</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bCs/>
          <w:sz w:val="24"/>
          <w:szCs w:val="24"/>
          <w:lang w:val="en-US"/>
        </w:rPr>
        <w:t>Fontaine H</w:t>
      </w:r>
      <w:r w:rsidRPr="0045429A">
        <w:rPr>
          <w:rFonts w:ascii="Book Antiqua" w:hAnsi="Book Antiqua"/>
          <w:sz w:val="24"/>
          <w:szCs w:val="24"/>
          <w:lang w:val="en-US"/>
        </w:rPr>
        <w:t xml:space="preserve">, Vallet-Pichard A, Chaix ML, Currie G, Serpaggi J, Verkarre V, Varaut A, Morales E, Nalpas B, Brosgart C, Pol S. Efficacy and safety of adefovir dipivoxil in kidney recipients, hemodialysis patients, and patients with renal insufficiency. </w:t>
      </w:r>
      <w:r w:rsidRPr="0045429A">
        <w:rPr>
          <w:rFonts w:ascii="Book Antiqua" w:hAnsi="Book Antiqua"/>
          <w:i/>
          <w:iCs/>
          <w:sz w:val="24"/>
          <w:szCs w:val="24"/>
          <w:lang w:val="en-US"/>
        </w:rPr>
        <w:t xml:space="preserve">Transplantation </w:t>
      </w:r>
      <w:r w:rsidRPr="0045429A">
        <w:rPr>
          <w:rFonts w:ascii="Book Antiqua" w:hAnsi="Book Antiqua"/>
          <w:sz w:val="24"/>
          <w:szCs w:val="24"/>
          <w:lang w:val="en-US"/>
        </w:rPr>
        <w:t xml:space="preserve">2005; </w:t>
      </w:r>
      <w:r w:rsidRPr="0045429A">
        <w:rPr>
          <w:rFonts w:ascii="Book Antiqua" w:hAnsi="Book Antiqua"/>
          <w:b/>
          <w:bCs/>
          <w:sz w:val="24"/>
          <w:szCs w:val="24"/>
          <w:lang w:val="en-US"/>
        </w:rPr>
        <w:t>80</w:t>
      </w:r>
      <w:r w:rsidRPr="0045429A">
        <w:rPr>
          <w:rFonts w:ascii="Book Antiqua" w:hAnsi="Book Antiqua"/>
          <w:sz w:val="24"/>
          <w:szCs w:val="24"/>
          <w:lang w:val="en-US"/>
        </w:rPr>
        <w:t>: 1086-1092 [PMID: 16278590; DOI: 10.1097/01.tp.0000178305.39231.a2]</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bCs/>
          <w:sz w:val="24"/>
          <w:szCs w:val="24"/>
          <w:lang w:val="en-US"/>
        </w:rPr>
        <w:t>Garcia A</w:t>
      </w:r>
      <w:r w:rsidRPr="0045429A">
        <w:rPr>
          <w:rFonts w:ascii="Book Antiqua" w:hAnsi="Book Antiqua"/>
          <w:sz w:val="24"/>
          <w:szCs w:val="24"/>
          <w:lang w:val="en-US"/>
        </w:rPr>
        <w:t xml:space="preserve">, Mazuecos A, González P, Diaz F, Garcia T, Ceballos M, Rivero M. Treatment with adefovir dipivoxil in a renal transplant patient with renal insufficiency and lamivudine-resistant  hepatitis B infection. </w:t>
      </w:r>
      <w:r w:rsidRPr="0045429A">
        <w:rPr>
          <w:rFonts w:ascii="Book Antiqua" w:hAnsi="Book Antiqua"/>
          <w:i/>
          <w:iCs/>
          <w:sz w:val="24"/>
          <w:szCs w:val="24"/>
          <w:lang w:val="en-US"/>
        </w:rPr>
        <w:t xml:space="preserve">Transplant Proc </w:t>
      </w:r>
      <w:r w:rsidRPr="0045429A">
        <w:rPr>
          <w:rFonts w:ascii="Book Antiqua" w:hAnsi="Book Antiqua"/>
          <w:sz w:val="24"/>
          <w:szCs w:val="24"/>
          <w:lang w:val="en-US"/>
        </w:rPr>
        <w:t xml:space="preserve">2005; </w:t>
      </w:r>
      <w:r w:rsidRPr="0045429A">
        <w:rPr>
          <w:rFonts w:ascii="Book Antiqua" w:hAnsi="Book Antiqua"/>
          <w:b/>
          <w:bCs/>
          <w:sz w:val="24"/>
          <w:szCs w:val="24"/>
          <w:lang w:val="en-US"/>
        </w:rPr>
        <w:t>37</w:t>
      </w:r>
      <w:r w:rsidRPr="0045429A">
        <w:rPr>
          <w:rFonts w:ascii="Book Antiqua" w:hAnsi="Book Antiqua"/>
          <w:sz w:val="24"/>
          <w:szCs w:val="24"/>
          <w:lang w:val="en-US"/>
        </w:rPr>
        <w:t>:1462-1463 [PMID: 15866639 DOI: 10.1016/j.transproceed.2005.02.010]</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bCs/>
          <w:sz w:val="24"/>
          <w:szCs w:val="24"/>
        </w:rPr>
        <w:t>de Silva HJ</w:t>
      </w:r>
      <w:r w:rsidRPr="0045429A">
        <w:rPr>
          <w:rFonts w:ascii="Book Antiqua" w:hAnsi="Book Antiqua"/>
          <w:sz w:val="24"/>
          <w:szCs w:val="24"/>
        </w:rPr>
        <w:t xml:space="preserve">, Dassanayake AS, Manamperi A, de Silva AP. </w:t>
      </w:r>
      <w:r w:rsidRPr="0045429A">
        <w:rPr>
          <w:rFonts w:ascii="Book Antiqua" w:hAnsi="Book Antiqua"/>
          <w:sz w:val="24"/>
          <w:szCs w:val="24"/>
          <w:lang w:val="en-US"/>
        </w:rPr>
        <w:t xml:space="preserve">Treatment of lamivudine-resistant hepatitis B infection in post-renal transplant patients with adefovir dipivoxil: preliminary results. </w:t>
      </w:r>
      <w:r w:rsidRPr="0045429A">
        <w:rPr>
          <w:rFonts w:ascii="Book Antiqua" w:hAnsi="Book Antiqua"/>
          <w:i/>
          <w:iCs/>
          <w:sz w:val="24"/>
          <w:szCs w:val="24"/>
          <w:lang w:val="en-US"/>
        </w:rPr>
        <w:t xml:space="preserve">Transplant Proc </w:t>
      </w:r>
      <w:r w:rsidRPr="0045429A">
        <w:rPr>
          <w:rFonts w:ascii="Book Antiqua" w:hAnsi="Book Antiqua"/>
          <w:sz w:val="24"/>
          <w:szCs w:val="24"/>
          <w:lang w:val="en-US"/>
        </w:rPr>
        <w:t xml:space="preserve">2006; </w:t>
      </w:r>
      <w:r w:rsidRPr="0045429A">
        <w:rPr>
          <w:rFonts w:ascii="Book Antiqua" w:hAnsi="Book Antiqua"/>
          <w:b/>
          <w:bCs/>
          <w:sz w:val="24"/>
          <w:szCs w:val="24"/>
          <w:lang w:val="en-US"/>
        </w:rPr>
        <w:t>38</w:t>
      </w:r>
      <w:r w:rsidRPr="0045429A">
        <w:rPr>
          <w:rFonts w:ascii="Book Antiqua" w:hAnsi="Book Antiqua"/>
          <w:sz w:val="24"/>
          <w:szCs w:val="24"/>
          <w:lang w:val="en-US"/>
        </w:rPr>
        <w:t>: 3118-3120 [PMID: 17112914 DOI: 10.1016/j.transproceed.2006.08.186]</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bCs/>
          <w:sz w:val="24"/>
          <w:szCs w:val="24"/>
          <w:lang w:val="en-US"/>
        </w:rPr>
        <w:t>Kamar N</w:t>
      </w:r>
      <w:r w:rsidRPr="0045429A">
        <w:rPr>
          <w:rFonts w:ascii="Book Antiqua" w:hAnsi="Book Antiqua"/>
          <w:sz w:val="24"/>
          <w:szCs w:val="24"/>
          <w:lang w:val="en-US"/>
        </w:rPr>
        <w:t xml:space="preserve">, Huart A, Tack I, Alric L, Izopet J, Rostaing L. Renal side effects of adefovir in hepatitis B virus-(HBV) positive kidney allograft recipients. </w:t>
      </w:r>
      <w:r w:rsidRPr="0045429A">
        <w:rPr>
          <w:rFonts w:ascii="Book Antiqua" w:hAnsi="Book Antiqua"/>
          <w:i/>
          <w:iCs/>
          <w:sz w:val="24"/>
          <w:szCs w:val="24"/>
          <w:lang w:val="en-US"/>
        </w:rPr>
        <w:t xml:space="preserve">Clin Nephrol </w:t>
      </w:r>
      <w:r w:rsidRPr="0045429A">
        <w:rPr>
          <w:rFonts w:ascii="Book Antiqua" w:hAnsi="Book Antiqua"/>
          <w:sz w:val="24"/>
          <w:szCs w:val="24"/>
          <w:lang w:val="en-US"/>
        </w:rPr>
        <w:t xml:space="preserve">2009; </w:t>
      </w:r>
      <w:r w:rsidRPr="0045429A">
        <w:rPr>
          <w:rFonts w:ascii="Book Antiqua" w:hAnsi="Book Antiqua"/>
          <w:b/>
          <w:bCs/>
          <w:sz w:val="24"/>
          <w:szCs w:val="24"/>
          <w:lang w:val="en-US"/>
        </w:rPr>
        <w:t>71</w:t>
      </w:r>
      <w:r w:rsidRPr="0045429A">
        <w:rPr>
          <w:rFonts w:ascii="Book Antiqua" w:hAnsi="Book Antiqua"/>
          <w:sz w:val="24"/>
          <w:szCs w:val="24"/>
          <w:lang w:val="en-US"/>
        </w:rPr>
        <w:t xml:space="preserve">: 36-42 [PMID: 19203548] </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bCs/>
          <w:sz w:val="24"/>
          <w:szCs w:val="24"/>
          <w:lang w:val="en-US"/>
        </w:rPr>
        <w:t>Lampertico P</w:t>
      </w:r>
      <w:r w:rsidRPr="0045429A">
        <w:rPr>
          <w:rFonts w:ascii="Book Antiqua" w:hAnsi="Book Antiqua"/>
          <w:sz w:val="24"/>
          <w:szCs w:val="24"/>
          <w:lang w:val="en-US"/>
        </w:rPr>
        <w:t xml:space="preserve">, Viganò M, Facchetti F, Invernizzi F, Aroldi A, Lunghi G, Messa PG, Colombo M. Long-term add-on therapy with adefovir in lamivudine-resistant kidney graft recipients with chronic hepatitis B. </w:t>
      </w:r>
      <w:r w:rsidRPr="0045429A">
        <w:rPr>
          <w:rFonts w:ascii="Book Antiqua" w:hAnsi="Book Antiqua"/>
          <w:i/>
          <w:iCs/>
          <w:sz w:val="24"/>
          <w:szCs w:val="24"/>
          <w:lang w:val="en-US"/>
        </w:rPr>
        <w:t xml:space="preserve">Nephrol Dial Transplant </w:t>
      </w:r>
      <w:r w:rsidRPr="0045429A">
        <w:rPr>
          <w:rFonts w:ascii="Book Antiqua" w:hAnsi="Book Antiqua"/>
          <w:sz w:val="24"/>
          <w:szCs w:val="24"/>
          <w:lang w:val="en-US"/>
        </w:rPr>
        <w:t xml:space="preserve">2011; </w:t>
      </w:r>
      <w:r w:rsidRPr="0045429A">
        <w:rPr>
          <w:rFonts w:ascii="Book Antiqua" w:hAnsi="Book Antiqua"/>
          <w:b/>
          <w:bCs/>
          <w:sz w:val="24"/>
          <w:szCs w:val="24"/>
          <w:lang w:val="en-US"/>
        </w:rPr>
        <w:t>26</w:t>
      </w:r>
      <w:r w:rsidRPr="0045429A">
        <w:rPr>
          <w:rFonts w:ascii="Book Antiqua" w:hAnsi="Book Antiqua"/>
          <w:sz w:val="24"/>
          <w:szCs w:val="24"/>
          <w:lang w:val="en-US"/>
        </w:rPr>
        <w:t>: 2037-2041 [PMID: 21486869 DOI: 10.1093/ndt/gfr174]</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bCs/>
          <w:sz w:val="24"/>
          <w:szCs w:val="24"/>
          <w:lang w:val="en-US"/>
        </w:rPr>
        <w:t>Lai HW</w:t>
      </w:r>
      <w:r w:rsidRPr="0045429A">
        <w:rPr>
          <w:rFonts w:ascii="Book Antiqua" w:hAnsi="Book Antiqua"/>
          <w:sz w:val="24"/>
          <w:szCs w:val="24"/>
          <w:lang w:val="en-US"/>
        </w:rPr>
        <w:t xml:space="preserve">, Chang CC, Chen TH, Tsai MC, Chen TY, Lin CC. Safety and efficacy of adefovir therapy for lamivudine-resistant hepatitis B virus infection in renal </w:t>
      </w:r>
      <w:r w:rsidRPr="0045429A">
        <w:rPr>
          <w:rFonts w:ascii="Book Antiqua" w:hAnsi="Book Antiqua"/>
          <w:sz w:val="24"/>
          <w:szCs w:val="24"/>
          <w:lang w:val="en-US"/>
        </w:rPr>
        <w:lastRenderedPageBreak/>
        <w:t xml:space="preserve">transplant recipients. </w:t>
      </w:r>
      <w:r w:rsidRPr="0045429A">
        <w:rPr>
          <w:rFonts w:ascii="Book Antiqua" w:hAnsi="Book Antiqua"/>
          <w:i/>
          <w:iCs/>
          <w:sz w:val="24"/>
          <w:szCs w:val="24"/>
          <w:lang w:val="en-US"/>
        </w:rPr>
        <w:t xml:space="preserve">J Formos Med Assoc </w:t>
      </w:r>
      <w:r w:rsidRPr="0045429A">
        <w:rPr>
          <w:rFonts w:ascii="Book Antiqua" w:hAnsi="Book Antiqua"/>
          <w:sz w:val="24"/>
          <w:szCs w:val="24"/>
          <w:lang w:val="en-US"/>
        </w:rPr>
        <w:t xml:space="preserve">2012; </w:t>
      </w:r>
      <w:r w:rsidRPr="0045429A">
        <w:rPr>
          <w:rFonts w:ascii="Book Antiqua" w:hAnsi="Book Antiqua"/>
          <w:b/>
          <w:bCs/>
          <w:sz w:val="24"/>
          <w:szCs w:val="24"/>
          <w:lang w:val="en-US"/>
        </w:rPr>
        <w:t>111</w:t>
      </w:r>
      <w:r w:rsidRPr="0045429A">
        <w:rPr>
          <w:rFonts w:ascii="Book Antiqua" w:hAnsi="Book Antiqua"/>
          <w:sz w:val="24"/>
          <w:szCs w:val="24"/>
          <w:lang w:val="en-US"/>
        </w:rPr>
        <w:t>: 439-444 [PMID: 22939662 DOI: 10.1016/j.jfma.2011.05.010]</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Yap DY</w:t>
      </w:r>
      <w:r w:rsidRPr="0045429A">
        <w:rPr>
          <w:rFonts w:ascii="Book Antiqua" w:hAnsi="Book Antiqua"/>
          <w:sz w:val="24"/>
          <w:szCs w:val="24"/>
          <w:lang w:val="en-US"/>
        </w:rPr>
        <w:t xml:space="preserve">, Chan TM. Evolution of hepatitis B management in kidney transplantation. </w:t>
      </w:r>
      <w:r w:rsidRPr="0045429A">
        <w:rPr>
          <w:rFonts w:ascii="Book Antiqua" w:hAnsi="Book Antiqua"/>
          <w:i/>
          <w:sz w:val="24"/>
          <w:szCs w:val="24"/>
          <w:lang w:val="en-US"/>
        </w:rPr>
        <w:t>World J Gastroenterol</w:t>
      </w:r>
      <w:r w:rsidRPr="0045429A">
        <w:rPr>
          <w:rFonts w:ascii="Book Antiqua" w:hAnsi="Book Antiqua"/>
          <w:sz w:val="24"/>
          <w:szCs w:val="24"/>
          <w:lang w:val="en-US"/>
        </w:rPr>
        <w:t xml:space="preserve">. 2014; </w:t>
      </w:r>
      <w:r w:rsidRPr="0045429A">
        <w:rPr>
          <w:rFonts w:ascii="Book Antiqua" w:hAnsi="Book Antiqua"/>
          <w:b/>
          <w:sz w:val="24"/>
          <w:szCs w:val="24"/>
          <w:lang w:val="en-US"/>
        </w:rPr>
        <w:t>20</w:t>
      </w:r>
      <w:r w:rsidRPr="0045429A">
        <w:rPr>
          <w:rFonts w:ascii="Book Antiqua" w:hAnsi="Book Antiqua"/>
          <w:sz w:val="24"/>
          <w:szCs w:val="24"/>
          <w:lang w:val="en-US"/>
        </w:rPr>
        <w:t>: 468-474. [PMID: 24574715; DOI: 10.3748/wjg.v20.i2.468].</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bCs/>
          <w:sz w:val="24"/>
          <w:szCs w:val="24"/>
          <w:lang w:val="en-US"/>
        </w:rPr>
        <w:t>Hu TH</w:t>
      </w:r>
      <w:r w:rsidRPr="0045429A">
        <w:rPr>
          <w:rFonts w:ascii="Book Antiqua" w:hAnsi="Book Antiqua"/>
          <w:sz w:val="24"/>
          <w:szCs w:val="24"/>
          <w:lang w:val="en-US"/>
        </w:rPr>
        <w:t xml:space="preserve">, Tsai MC, Chien YS, Chen YT, Chen TC, Lin MT, Chang KC, Chiu KW. A novel experience of antiviral therapy for chronic hepatitis B in renal transplant recipients. </w:t>
      </w:r>
      <w:r w:rsidRPr="0045429A">
        <w:rPr>
          <w:rFonts w:ascii="Book Antiqua" w:hAnsi="Book Antiqua"/>
          <w:i/>
          <w:iCs/>
          <w:sz w:val="24"/>
          <w:szCs w:val="24"/>
          <w:lang w:val="en-US"/>
        </w:rPr>
        <w:t xml:space="preserve">Antivir Ther </w:t>
      </w:r>
      <w:r w:rsidRPr="0045429A">
        <w:rPr>
          <w:rFonts w:ascii="Book Antiqua" w:hAnsi="Book Antiqua"/>
          <w:sz w:val="24"/>
          <w:szCs w:val="24"/>
          <w:lang w:val="en-US"/>
        </w:rPr>
        <w:t xml:space="preserve">2012; </w:t>
      </w:r>
      <w:r w:rsidRPr="0045429A">
        <w:rPr>
          <w:rFonts w:ascii="Book Antiqua" w:hAnsi="Book Antiqua"/>
          <w:b/>
          <w:bCs/>
          <w:sz w:val="24"/>
          <w:szCs w:val="24"/>
          <w:lang w:val="en-US"/>
        </w:rPr>
        <w:t>17</w:t>
      </w:r>
      <w:r w:rsidRPr="0045429A">
        <w:rPr>
          <w:rFonts w:ascii="Book Antiqua" w:hAnsi="Book Antiqua"/>
          <w:sz w:val="24"/>
          <w:szCs w:val="24"/>
          <w:lang w:val="en-US"/>
        </w:rPr>
        <w:t>: 745-753 [PMID: 22522918 DOI: 10.3851/IMP2097]</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bCs/>
          <w:sz w:val="24"/>
          <w:szCs w:val="24"/>
          <w:lang w:val="en-US"/>
        </w:rPr>
        <w:t>Kamar N</w:t>
      </w:r>
      <w:r w:rsidRPr="0045429A">
        <w:rPr>
          <w:rFonts w:ascii="Book Antiqua" w:hAnsi="Book Antiqua"/>
          <w:sz w:val="24"/>
          <w:szCs w:val="24"/>
          <w:lang w:val="en-US"/>
        </w:rPr>
        <w:t xml:space="preserve">, Milioto O, Alric L, El Kahwaji L, Cointault O, Lavayssière L, Sauné K, Izopet J, Rostaing L. Entecavir therapy for adefovir-resistant hepatitis B virus infection in kidney and liver allograft recipients. </w:t>
      </w:r>
      <w:r w:rsidRPr="0045429A">
        <w:rPr>
          <w:rFonts w:ascii="Book Antiqua" w:hAnsi="Book Antiqua"/>
          <w:i/>
          <w:iCs/>
          <w:sz w:val="24"/>
          <w:szCs w:val="24"/>
          <w:lang w:val="en-US"/>
        </w:rPr>
        <w:t xml:space="preserve">Transplantation </w:t>
      </w:r>
      <w:r w:rsidRPr="0045429A">
        <w:rPr>
          <w:rFonts w:ascii="Book Antiqua" w:hAnsi="Book Antiqua"/>
          <w:sz w:val="24"/>
          <w:szCs w:val="24"/>
          <w:lang w:val="en-US"/>
        </w:rPr>
        <w:t xml:space="preserve">2008; </w:t>
      </w:r>
      <w:r w:rsidRPr="0045429A">
        <w:rPr>
          <w:rFonts w:ascii="Book Antiqua" w:hAnsi="Book Antiqua"/>
          <w:b/>
          <w:bCs/>
          <w:sz w:val="24"/>
          <w:szCs w:val="24"/>
          <w:lang w:val="en-US"/>
        </w:rPr>
        <w:t>86</w:t>
      </w:r>
      <w:r w:rsidRPr="0045429A">
        <w:rPr>
          <w:rFonts w:ascii="Book Antiqua" w:hAnsi="Book Antiqua"/>
          <w:sz w:val="24"/>
          <w:szCs w:val="24"/>
          <w:lang w:val="en-US"/>
        </w:rPr>
        <w:t>: 611-614 [PMID: 18724232 DOI: 10.1097/TP.0b013e3181806c8c]</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rPr>
        <w:t>Ridruejo E</w:t>
      </w:r>
      <w:r w:rsidRPr="0045429A">
        <w:rPr>
          <w:rFonts w:ascii="Book Antiqua" w:hAnsi="Book Antiqua"/>
          <w:sz w:val="24"/>
          <w:szCs w:val="24"/>
        </w:rPr>
        <w:t xml:space="preserve">, Adrover R, Alonso C, Mando OG, Silva MO. </w:t>
      </w:r>
      <w:r w:rsidRPr="0045429A">
        <w:rPr>
          <w:rFonts w:ascii="Book Antiqua" w:hAnsi="Book Antiqua"/>
          <w:sz w:val="24"/>
          <w:szCs w:val="24"/>
          <w:lang w:val="en-US"/>
        </w:rPr>
        <w:t xml:space="preserve">Entecavir in the treatment of chronic hepatitis B in end stage renal disease and kidney transplantation. </w:t>
      </w:r>
      <w:r w:rsidRPr="0045429A">
        <w:rPr>
          <w:rFonts w:ascii="Book Antiqua" w:hAnsi="Book Antiqua"/>
          <w:i/>
          <w:sz w:val="24"/>
          <w:szCs w:val="24"/>
          <w:lang w:val="en-US"/>
        </w:rPr>
        <w:t>Dial Transplant</w:t>
      </w:r>
      <w:r w:rsidRPr="0045429A">
        <w:rPr>
          <w:rFonts w:ascii="Book Antiqua" w:hAnsi="Book Antiqua"/>
          <w:sz w:val="24"/>
          <w:szCs w:val="24"/>
          <w:lang w:val="en-US"/>
        </w:rPr>
        <w:t xml:space="preserve"> 2010; </w:t>
      </w:r>
      <w:r w:rsidRPr="0045429A">
        <w:rPr>
          <w:rFonts w:ascii="Book Antiqua" w:hAnsi="Book Antiqua"/>
          <w:i/>
          <w:sz w:val="24"/>
          <w:szCs w:val="24"/>
          <w:lang w:val="en-US"/>
        </w:rPr>
        <w:t>39</w:t>
      </w:r>
      <w:r w:rsidRPr="0045429A">
        <w:rPr>
          <w:rFonts w:ascii="Book Antiqua" w:hAnsi="Book Antiqua"/>
          <w:sz w:val="24"/>
          <w:szCs w:val="24"/>
          <w:lang w:val="en-US"/>
        </w:rPr>
        <w:t>: 397-400. [DOI: 10.1002/dat.20485]</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rPr>
        <w:t>Ridruejo E</w:t>
      </w:r>
      <w:r w:rsidRPr="0045429A">
        <w:rPr>
          <w:rFonts w:ascii="Book Antiqua" w:hAnsi="Book Antiqua"/>
          <w:sz w:val="24"/>
          <w:szCs w:val="24"/>
        </w:rPr>
        <w:t xml:space="preserve">, Adrover R, Mandó OG, Silva MO. </w:t>
      </w:r>
      <w:r w:rsidRPr="0045429A">
        <w:rPr>
          <w:rFonts w:ascii="Book Antiqua" w:hAnsi="Book Antiqua"/>
          <w:sz w:val="24"/>
          <w:szCs w:val="24"/>
          <w:lang w:val="en-US"/>
        </w:rPr>
        <w:t xml:space="preserve">Entecavir in the treatment of chronic hepatitis B in kidney transplantation. </w:t>
      </w:r>
      <w:r w:rsidRPr="0045429A">
        <w:rPr>
          <w:rFonts w:ascii="Book Antiqua" w:hAnsi="Book Antiqua"/>
          <w:i/>
          <w:sz w:val="24"/>
          <w:szCs w:val="24"/>
          <w:lang w:val="en-US"/>
        </w:rPr>
        <w:t>J Hepatol</w:t>
      </w:r>
      <w:r w:rsidRPr="0045429A">
        <w:rPr>
          <w:rFonts w:ascii="Book Antiqua" w:hAnsi="Book Antiqua"/>
          <w:sz w:val="24"/>
          <w:szCs w:val="24"/>
          <w:lang w:val="en-US"/>
        </w:rPr>
        <w:t xml:space="preserve">. 2012; </w:t>
      </w:r>
      <w:r w:rsidRPr="0045429A">
        <w:rPr>
          <w:rFonts w:ascii="Book Antiqua" w:hAnsi="Book Antiqua"/>
          <w:b/>
          <w:sz w:val="24"/>
          <w:szCs w:val="24"/>
          <w:lang w:val="en-US"/>
        </w:rPr>
        <w:t>56</w:t>
      </w:r>
      <w:r w:rsidRPr="0045429A">
        <w:rPr>
          <w:rFonts w:ascii="Book Antiqua" w:hAnsi="Book Antiqua"/>
          <w:sz w:val="24"/>
          <w:szCs w:val="24"/>
          <w:lang w:val="en-US"/>
        </w:rPr>
        <w:t xml:space="preserve">: 997-8. [PMID: 22075262; DOI: 10.1016/j.jhep.2011.09.019]. </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Yap DY</w:t>
      </w:r>
      <w:r w:rsidRPr="0045429A">
        <w:rPr>
          <w:rFonts w:ascii="Book Antiqua" w:hAnsi="Book Antiqua"/>
          <w:sz w:val="24"/>
          <w:szCs w:val="24"/>
          <w:lang w:val="en-US"/>
        </w:rPr>
        <w:t xml:space="preserve">, Yung S, Tang CS, Seto WK, Ma MK, Mok MM, Kwan LP, Chan GC, Choy BY, Yuen MF, Chan TM. Entecavir treatment in kidney transplant recipients infected with hepatitis B. </w:t>
      </w:r>
      <w:r w:rsidRPr="0045429A">
        <w:rPr>
          <w:rFonts w:ascii="Book Antiqua" w:hAnsi="Book Antiqua"/>
          <w:i/>
          <w:sz w:val="24"/>
          <w:szCs w:val="24"/>
          <w:lang w:val="en-US"/>
        </w:rPr>
        <w:t>Clin Transplant</w:t>
      </w:r>
      <w:r w:rsidRPr="0045429A">
        <w:rPr>
          <w:rFonts w:ascii="Book Antiqua" w:hAnsi="Book Antiqua"/>
          <w:sz w:val="24"/>
          <w:szCs w:val="24"/>
          <w:lang w:val="en-US"/>
        </w:rPr>
        <w:t>. 2014 Jun 26. [Epub ahead of print] [PMID: 24974788; DOI: 10.1111/ctr.12410].</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bCs/>
          <w:sz w:val="24"/>
          <w:szCs w:val="24"/>
          <w:lang w:val="en-US"/>
        </w:rPr>
        <w:t>Tse KC</w:t>
      </w:r>
      <w:r w:rsidRPr="0045429A">
        <w:rPr>
          <w:rFonts w:ascii="Book Antiqua" w:hAnsi="Book Antiqua"/>
          <w:sz w:val="24"/>
          <w:szCs w:val="24"/>
          <w:lang w:val="en-US"/>
        </w:rPr>
        <w:t xml:space="preserve">, Yap DY, Tang CS, Yung S, Chan TM. Response to adefovir or entecavir in renal allograft recipients with hepatitic flare due to lamivudine-resistant hepatitis B. </w:t>
      </w:r>
      <w:r w:rsidRPr="0045429A">
        <w:rPr>
          <w:rFonts w:ascii="Book Antiqua" w:hAnsi="Book Antiqua"/>
          <w:i/>
          <w:iCs/>
          <w:sz w:val="24"/>
          <w:szCs w:val="24"/>
          <w:lang w:val="en-US"/>
        </w:rPr>
        <w:t xml:space="preserve">Clin Transplant </w:t>
      </w:r>
      <w:r w:rsidRPr="0045429A">
        <w:rPr>
          <w:rFonts w:ascii="Book Antiqua" w:hAnsi="Book Antiqua"/>
          <w:sz w:val="24"/>
          <w:szCs w:val="24"/>
          <w:lang w:val="en-US"/>
        </w:rPr>
        <w:t xml:space="preserve">2010; </w:t>
      </w:r>
      <w:r w:rsidRPr="0045429A">
        <w:rPr>
          <w:rFonts w:ascii="Book Antiqua" w:hAnsi="Book Antiqua"/>
          <w:b/>
          <w:bCs/>
          <w:sz w:val="24"/>
          <w:szCs w:val="24"/>
          <w:lang w:val="en-US"/>
        </w:rPr>
        <w:t>24</w:t>
      </w:r>
      <w:r w:rsidRPr="0045429A">
        <w:rPr>
          <w:rFonts w:ascii="Book Antiqua" w:hAnsi="Book Antiqua"/>
          <w:sz w:val="24"/>
          <w:szCs w:val="24"/>
          <w:lang w:val="en-US"/>
        </w:rPr>
        <w:t>: 207-212 [PMID: 19758269 DOI: 10.1111/j.1399-0012.2009.01090.x].</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lastRenderedPageBreak/>
        <w:t>Tourret J</w:t>
      </w:r>
      <w:r w:rsidRPr="0045429A">
        <w:rPr>
          <w:rFonts w:ascii="Book Antiqua" w:hAnsi="Book Antiqua"/>
          <w:sz w:val="24"/>
          <w:szCs w:val="24"/>
          <w:lang w:val="en-US"/>
        </w:rPr>
        <w:t xml:space="preserve">, Deray G, Isnard-Bagnis C. Tenofovir effect on the kidneys of HIV-infected patients: a double-edged sword? </w:t>
      </w:r>
      <w:r w:rsidRPr="0045429A">
        <w:rPr>
          <w:rFonts w:ascii="Book Antiqua" w:hAnsi="Book Antiqua"/>
          <w:i/>
          <w:sz w:val="24"/>
          <w:szCs w:val="24"/>
          <w:lang w:val="en-US"/>
        </w:rPr>
        <w:t>J Am Soc Nephrol</w:t>
      </w:r>
      <w:r w:rsidRPr="0045429A">
        <w:rPr>
          <w:rFonts w:ascii="Book Antiqua" w:hAnsi="Book Antiqua"/>
          <w:sz w:val="24"/>
          <w:szCs w:val="24"/>
          <w:lang w:val="en-US"/>
        </w:rPr>
        <w:t xml:space="preserve">. 2013; </w:t>
      </w:r>
      <w:r w:rsidRPr="0045429A">
        <w:rPr>
          <w:rFonts w:ascii="Book Antiqua" w:hAnsi="Book Antiqua"/>
          <w:b/>
          <w:sz w:val="24"/>
          <w:szCs w:val="24"/>
          <w:lang w:val="en-US"/>
        </w:rPr>
        <w:t>24</w:t>
      </w:r>
      <w:r w:rsidRPr="0045429A">
        <w:rPr>
          <w:rFonts w:ascii="Book Antiqua" w:hAnsi="Book Antiqua"/>
          <w:sz w:val="24"/>
          <w:szCs w:val="24"/>
          <w:lang w:val="en-US"/>
        </w:rPr>
        <w:t xml:space="preserve">: 1519-1527. [PMID: 24052632; doi: 10.1681/ASN.2012080857. </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Daudé M</w:t>
      </w:r>
      <w:r w:rsidRPr="0045429A">
        <w:rPr>
          <w:rFonts w:ascii="Book Antiqua" w:hAnsi="Book Antiqua"/>
          <w:sz w:val="24"/>
          <w:szCs w:val="24"/>
          <w:lang w:val="en-US"/>
        </w:rPr>
        <w:t xml:space="preserve">, Rostaing L, Sauné K, Lavayssière L, Basse G, Esposito L, Guitard J, Izopet J, Alric L, Kamar N. Tenofovir therapy in hepatitis B virus-positive solid-organ transplant recipients. </w:t>
      </w:r>
      <w:r w:rsidRPr="0045429A">
        <w:rPr>
          <w:rFonts w:ascii="Book Antiqua" w:hAnsi="Book Antiqua"/>
          <w:i/>
          <w:sz w:val="24"/>
          <w:szCs w:val="24"/>
          <w:lang w:val="en-US"/>
        </w:rPr>
        <w:t>Transplantation</w:t>
      </w:r>
      <w:r w:rsidRPr="0045429A">
        <w:rPr>
          <w:rFonts w:ascii="Book Antiqua" w:hAnsi="Book Antiqua"/>
          <w:sz w:val="24"/>
          <w:szCs w:val="24"/>
          <w:lang w:val="en-US"/>
        </w:rPr>
        <w:t xml:space="preserve">. 2011; </w:t>
      </w:r>
      <w:r w:rsidRPr="0045429A">
        <w:rPr>
          <w:rFonts w:ascii="Book Antiqua" w:hAnsi="Book Antiqua"/>
          <w:b/>
          <w:sz w:val="24"/>
          <w:szCs w:val="24"/>
          <w:lang w:val="en-US"/>
        </w:rPr>
        <w:t>91</w:t>
      </w:r>
      <w:r w:rsidRPr="0045429A">
        <w:rPr>
          <w:rFonts w:ascii="Book Antiqua" w:hAnsi="Book Antiqua"/>
          <w:sz w:val="24"/>
          <w:szCs w:val="24"/>
          <w:lang w:val="en-US"/>
        </w:rPr>
        <w:t>: 916-920. [PMID: 21325995 doi: 10.1097/TP.0b013e3182100f59].</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Olsen SK</w:t>
      </w:r>
      <w:r w:rsidRPr="0045429A">
        <w:rPr>
          <w:rFonts w:ascii="Book Antiqua" w:hAnsi="Book Antiqua"/>
          <w:sz w:val="24"/>
          <w:szCs w:val="24"/>
          <w:lang w:val="en-US"/>
        </w:rPr>
        <w:t xml:space="preserve">, Brown RS Jr. Hepatitis B treatment: Lessons for the nephrologist. </w:t>
      </w:r>
      <w:r w:rsidRPr="0045429A">
        <w:rPr>
          <w:rFonts w:ascii="Book Antiqua" w:hAnsi="Book Antiqua"/>
          <w:i/>
          <w:sz w:val="24"/>
          <w:szCs w:val="24"/>
          <w:lang w:val="en-US"/>
        </w:rPr>
        <w:t>Kidney Int</w:t>
      </w:r>
      <w:r w:rsidRPr="0045429A">
        <w:rPr>
          <w:rFonts w:ascii="Book Antiqua" w:hAnsi="Book Antiqua"/>
          <w:sz w:val="24"/>
          <w:szCs w:val="24"/>
          <w:lang w:val="en-US"/>
        </w:rPr>
        <w:t xml:space="preserve">. 2006; </w:t>
      </w:r>
      <w:r w:rsidRPr="0045429A">
        <w:rPr>
          <w:rFonts w:ascii="Book Antiqua" w:hAnsi="Book Antiqua"/>
          <w:b/>
          <w:sz w:val="24"/>
          <w:szCs w:val="24"/>
          <w:lang w:val="en-US"/>
        </w:rPr>
        <w:t>70</w:t>
      </w:r>
      <w:r w:rsidRPr="0045429A">
        <w:rPr>
          <w:rFonts w:ascii="Book Antiqua" w:hAnsi="Book Antiqua"/>
          <w:sz w:val="24"/>
          <w:szCs w:val="24"/>
          <w:lang w:val="en-US"/>
        </w:rPr>
        <w:t>: 1897-1904. [PMID: 17021602; DOI:10.1038/sj.ki.5001908].</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Pipili C</w:t>
      </w:r>
      <w:r w:rsidRPr="0045429A">
        <w:rPr>
          <w:rFonts w:ascii="Book Antiqua" w:hAnsi="Book Antiqua"/>
          <w:sz w:val="24"/>
          <w:szCs w:val="24"/>
          <w:lang w:val="en-US"/>
        </w:rPr>
        <w:t xml:space="preserve">, Cholongitas E. Μanagement of patients with hepatitis B and C before and after liver and kidney transplantation. </w:t>
      </w:r>
      <w:r w:rsidRPr="0045429A">
        <w:rPr>
          <w:rFonts w:ascii="Book Antiqua" w:hAnsi="Book Antiqua"/>
          <w:i/>
          <w:sz w:val="24"/>
          <w:szCs w:val="24"/>
          <w:lang w:val="en-US"/>
        </w:rPr>
        <w:t>World J Hepatol</w:t>
      </w:r>
      <w:r w:rsidRPr="0045429A">
        <w:rPr>
          <w:rFonts w:ascii="Book Antiqua" w:hAnsi="Book Antiqua"/>
          <w:sz w:val="24"/>
          <w:szCs w:val="24"/>
          <w:lang w:val="en-US"/>
        </w:rPr>
        <w:t xml:space="preserve">. 2014; </w:t>
      </w:r>
      <w:r w:rsidRPr="0045429A">
        <w:rPr>
          <w:rFonts w:ascii="Book Antiqua" w:hAnsi="Book Antiqua"/>
          <w:b/>
          <w:sz w:val="24"/>
          <w:szCs w:val="24"/>
          <w:lang w:val="en-US"/>
        </w:rPr>
        <w:t>6</w:t>
      </w:r>
      <w:r w:rsidRPr="0045429A">
        <w:rPr>
          <w:rFonts w:ascii="Book Antiqua" w:hAnsi="Book Antiqua"/>
          <w:sz w:val="24"/>
          <w:szCs w:val="24"/>
          <w:lang w:val="en-US"/>
        </w:rPr>
        <w:t>: 315-325. [PMID:24868325; DOI: 10.4254/wjh.v6.i5.315].</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Han DJ</w:t>
      </w:r>
      <w:r w:rsidRPr="0045429A">
        <w:rPr>
          <w:rFonts w:ascii="Book Antiqua" w:hAnsi="Book Antiqua"/>
          <w:sz w:val="24"/>
          <w:szCs w:val="24"/>
          <w:lang w:val="en-US"/>
        </w:rPr>
        <w:t xml:space="preserve">, Kim TH, Park SK, Lee SK, Kim SB, Yang WS, Park JS, Jung JG, Yu ES, Kim SC. Results on preemptive or prophylactic treatment of lamivudine in HBsAg (+) renal allograft recipients: comparison with salvage treatment after hepatic dysfunction with HBV recurrence. </w:t>
      </w:r>
      <w:r w:rsidRPr="0045429A">
        <w:rPr>
          <w:rFonts w:ascii="Book Antiqua" w:hAnsi="Book Antiqua"/>
          <w:i/>
          <w:sz w:val="24"/>
          <w:szCs w:val="24"/>
          <w:lang w:val="en-US"/>
        </w:rPr>
        <w:t>Transplantation</w:t>
      </w:r>
      <w:r w:rsidRPr="0045429A">
        <w:rPr>
          <w:rFonts w:ascii="Book Antiqua" w:hAnsi="Book Antiqua"/>
          <w:sz w:val="24"/>
          <w:szCs w:val="24"/>
          <w:lang w:val="en-US"/>
        </w:rPr>
        <w:t xml:space="preserve">. 2001; </w:t>
      </w:r>
      <w:r w:rsidRPr="0045429A">
        <w:rPr>
          <w:rFonts w:ascii="Book Antiqua" w:hAnsi="Book Antiqua"/>
          <w:b/>
          <w:sz w:val="24"/>
          <w:szCs w:val="24"/>
          <w:lang w:val="en-US"/>
        </w:rPr>
        <w:t>71</w:t>
      </w:r>
      <w:r w:rsidRPr="0045429A">
        <w:rPr>
          <w:rFonts w:ascii="Book Antiqua" w:hAnsi="Book Antiqua"/>
          <w:sz w:val="24"/>
          <w:szCs w:val="24"/>
          <w:lang w:val="en-US"/>
        </w:rPr>
        <w:t>: 387-394. [PMID: 1123389].</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bCs/>
          <w:sz w:val="24"/>
          <w:szCs w:val="24"/>
          <w:lang w:val="en-US"/>
        </w:rPr>
        <w:t>Filik L</w:t>
      </w:r>
      <w:r w:rsidRPr="0045429A">
        <w:rPr>
          <w:rFonts w:ascii="Book Antiqua" w:hAnsi="Book Antiqua"/>
          <w:sz w:val="24"/>
          <w:szCs w:val="24"/>
          <w:lang w:val="en-US"/>
        </w:rPr>
        <w:t xml:space="preserve">, Karakayali H, Moray G, Dalgiç A, Emiroğlu R, Ozdemir N, Colak T, Gür G, Yilmaz U, Haberal M. Lamivudine therapy in kidney allograft recipients who are seropositive for hepatitis B surface antigen. </w:t>
      </w:r>
      <w:r w:rsidRPr="0045429A">
        <w:rPr>
          <w:rFonts w:ascii="Book Antiqua" w:hAnsi="Book Antiqua"/>
          <w:i/>
          <w:iCs/>
          <w:sz w:val="24"/>
          <w:szCs w:val="24"/>
          <w:lang w:val="en-US"/>
        </w:rPr>
        <w:t xml:space="preserve">Transplant Proc </w:t>
      </w:r>
      <w:r w:rsidRPr="0045429A">
        <w:rPr>
          <w:rFonts w:ascii="Book Antiqua" w:hAnsi="Book Antiqua"/>
          <w:sz w:val="24"/>
          <w:szCs w:val="24"/>
          <w:lang w:val="en-US"/>
        </w:rPr>
        <w:t xml:space="preserve">2006; </w:t>
      </w:r>
      <w:r w:rsidRPr="0045429A">
        <w:rPr>
          <w:rFonts w:ascii="Book Antiqua" w:hAnsi="Book Antiqua"/>
          <w:b/>
          <w:bCs/>
          <w:sz w:val="24"/>
          <w:szCs w:val="24"/>
          <w:lang w:val="en-US"/>
        </w:rPr>
        <w:t>38</w:t>
      </w:r>
      <w:r w:rsidRPr="0045429A">
        <w:rPr>
          <w:rFonts w:ascii="Book Antiqua" w:hAnsi="Book Antiqua"/>
          <w:sz w:val="24"/>
          <w:szCs w:val="24"/>
          <w:lang w:val="en-US"/>
        </w:rPr>
        <w:t>: 496-498 [PMID: 16549158 DOI: 10.1016/j.transproceed.2005.12.047]</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bCs/>
          <w:sz w:val="24"/>
          <w:szCs w:val="24"/>
          <w:lang w:val="en-US"/>
        </w:rPr>
        <w:t>Chan TM</w:t>
      </w:r>
      <w:r w:rsidRPr="0045429A">
        <w:rPr>
          <w:rFonts w:ascii="Book Antiqua" w:hAnsi="Book Antiqua"/>
          <w:sz w:val="24"/>
          <w:szCs w:val="24"/>
          <w:lang w:val="en-US"/>
        </w:rPr>
        <w:t xml:space="preserve">, Fang GX, Tang CS, Cheng IK, Lai KN, Ho SK. Preemptive lamivudine therapy based on HBV DNA level in HBsAg-positive kidney allograft recipients. </w:t>
      </w:r>
      <w:r w:rsidRPr="0045429A">
        <w:rPr>
          <w:rFonts w:ascii="Book Antiqua" w:hAnsi="Book Antiqua"/>
          <w:i/>
          <w:iCs/>
          <w:sz w:val="24"/>
          <w:szCs w:val="24"/>
          <w:lang w:val="en-US"/>
        </w:rPr>
        <w:t xml:space="preserve">Hepatology </w:t>
      </w:r>
      <w:r w:rsidRPr="0045429A">
        <w:rPr>
          <w:rFonts w:ascii="Book Antiqua" w:hAnsi="Book Antiqua"/>
          <w:sz w:val="24"/>
          <w:szCs w:val="24"/>
          <w:lang w:val="en-US"/>
        </w:rPr>
        <w:t xml:space="preserve">2002; </w:t>
      </w:r>
      <w:r w:rsidRPr="0045429A">
        <w:rPr>
          <w:rFonts w:ascii="Book Antiqua" w:hAnsi="Book Antiqua"/>
          <w:b/>
          <w:bCs/>
          <w:sz w:val="24"/>
          <w:szCs w:val="24"/>
          <w:lang w:val="en-US"/>
        </w:rPr>
        <w:t>36</w:t>
      </w:r>
      <w:r w:rsidRPr="0045429A">
        <w:rPr>
          <w:rFonts w:ascii="Book Antiqua" w:hAnsi="Book Antiqua"/>
          <w:sz w:val="24"/>
          <w:szCs w:val="24"/>
          <w:lang w:val="en-US"/>
        </w:rPr>
        <w:t>: 1246-1252 [PMID: 12395336 DOI: 10.1053/jhep.2002.36156]</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Kim HG</w:t>
      </w:r>
      <w:r w:rsidRPr="0045429A">
        <w:rPr>
          <w:rFonts w:ascii="Book Antiqua" w:hAnsi="Book Antiqua"/>
          <w:sz w:val="24"/>
          <w:szCs w:val="24"/>
          <w:lang w:val="en-US"/>
        </w:rPr>
        <w:t xml:space="preserve">, Kim EY, Yu YJ, Kim GH, Jeong JW, Byeon JH, Chung BH, Yang CW. Comparison of clinical outcomes in hepatitis B virus-positive kidney transplant recipients with or without pretransplantation antiviral therapy. </w:t>
      </w:r>
      <w:r w:rsidRPr="0045429A">
        <w:rPr>
          <w:rFonts w:ascii="Book Antiqua" w:hAnsi="Book Antiqua"/>
          <w:i/>
          <w:sz w:val="24"/>
          <w:szCs w:val="24"/>
          <w:lang w:val="en-US"/>
        </w:rPr>
        <w:t>Transplant Proc</w:t>
      </w:r>
      <w:r w:rsidRPr="0045429A">
        <w:rPr>
          <w:rFonts w:ascii="Book Antiqua" w:hAnsi="Book Antiqua"/>
          <w:sz w:val="24"/>
          <w:szCs w:val="24"/>
          <w:lang w:val="en-US"/>
        </w:rPr>
        <w:t xml:space="preserve">. 2013; </w:t>
      </w:r>
      <w:r w:rsidRPr="0045429A">
        <w:rPr>
          <w:rFonts w:ascii="Book Antiqua" w:hAnsi="Book Antiqua"/>
          <w:b/>
          <w:sz w:val="24"/>
          <w:szCs w:val="24"/>
          <w:lang w:val="en-US"/>
        </w:rPr>
        <w:t>45</w:t>
      </w:r>
      <w:r w:rsidRPr="0045429A">
        <w:rPr>
          <w:rFonts w:ascii="Book Antiqua" w:hAnsi="Book Antiqua"/>
          <w:sz w:val="24"/>
          <w:szCs w:val="24"/>
          <w:lang w:val="en-US"/>
        </w:rPr>
        <w:t>: 1374-1378. [PMID: 23726576; DOI: 10.1016/j.transproceed.2013.01.088].</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lastRenderedPageBreak/>
        <w:t>Park KS</w:t>
      </w:r>
      <w:r w:rsidRPr="0045429A">
        <w:rPr>
          <w:rFonts w:ascii="Book Antiqua" w:hAnsi="Book Antiqua"/>
          <w:sz w:val="24"/>
          <w:szCs w:val="24"/>
          <w:lang w:val="en-US"/>
        </w:rPr>
        <w:t xml:space="preserve">, Yang WS, Han DJ, Park JB, Park JS, Park SK. Long-term impact of prophylactic antiviral treatment in Hepatitis B surface antigen positive renal allograft recipients. </w:t>
      </w:r>
      <w:r w:rsidRPr="0045429A">
        <w:rPr>
          <w:rFonts w:ascii="Book Antiqua" w:hAnsi="Book Antiqua"/>
          <w:i/>
          <w:sz w:val="24"/>
          <w:szCs w:val="24"/>
          <w:lang w:val="en-US"/>
        </w:rPr>
        <w:t>Clin Nephrol</w:t>
      </w:r>
      <w:r w:rsidRPr="0045429A">
        <w:rPr>
          <w:rFonts w:ascii="Book Antiqua" w:hAnsi="Book Antiqua"/>
          <w:sz w:val="24"/>
          <w:szCs w:val="24"/>
          <w:lang w:val="en-US"/>
        </w:rPr>
        <w:t xml:space="preserve">. 2012 Oct; </w:t>
      </w:r>
      <w:r w:rsidRPr="0045429A">
        <w:rPr>
          <w:rFonts w:ascii="Book Antiqua" w:hAnsi="Book Antiqua"/>
          <w:b/>
          <w:sz w:val="24"/>
          <w:szCs w:val="24"/>
          <w:lang w:val="en-US"/>
        </w:rPr>
        <w:t>78</w:t>
      </w:r>
      <w:r w:rsidRPr="0045429A">
        <w:rPr>
          <w:rFonts w:ascii="Book Antiqua" w:hAnsi="Book Antiqua"/>
          <w:sz w:val="24"/>
          <w:szCs w:val="24"/>
          <w:lang w:val="en-US"/>
        </w:rPr>
        <w:t>: 303-311. PMID: 22541690 doi: 10.5414/CN107617.</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Hoofnagle JH</w:t>
      </w:r>
      <w:r w:rsidRPr="0045429A">
        <w:rPr>
          <w:rFonts w:ascii="Book Antiqua" w:hAnsi="Book Antiqua"/>
          <w:sz w:val="24"/>
          <w:szCs w:val="24"/>
          <w:lang w:val="en-US"/>
        </w:rPr>
        <w:t xml:space="preserve">. Reactivation of hepatitis B. </w:t>
      </w:r>
      <w:r w:rsidRPr="0045429A">
        <w:rPr>
          <w:rFonts w:ascii="Book Antiqua" w:hAnsi="Book Antiqua"/>
          <w:i/>
          <w:sz w:val="24"/>
          <w:szCs w:val="24"/>
          <w:lang w:val="en-US"/>
        </w:rPr>
        <w:t>Hepatology</w:t>
      </w:r>
      <w:r w:rsidRPr="0045429A">
        <w:rPr>
          <w:rFonts w:ascii="Book Antiqua" w:hAnsi="Book Antiqua"/>
          <w:sz w:val="24"/>
          <w:szCs w:val="24"/>
          <w:lang w:val="en-US"/>
        </w:rPr>
        <w:t xml:space="preserve">. 2009; </w:t>
      </w:r>
      <w:r w:rsidRPr="0045429A">
        <w:rPr>
          <w:rFonts w:ascii="Book Antiqua" w:hAnsi="Book Antiqua"/>
          <w:b/>
          <w:sz w:val="24"/>
          <w:szCs w:val="24"/>
          <w:lang w:val="en-US"/>
        </w:rPr>
        <w:t>49(5 Suppl)</w:t>
      </w:r>
      <w:r w:rsidRPr="0045429A">
        <w:rPr>
          <w:rFonts w:ascii="Book Antiqua" w:hAnsi="Book Antiqua"/>
          <w:sz w:val="24"/>
          <w:szCs w:val="24"/>
          <w:lang w:val="en-US"/>
        </w:rPr>
        <w:t>: S156-165. [PMID: 19399803; DOI: 10.1002/hep.22945].</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Ridruejo E</w:t>
      </w:r>
      <w:r w:rsidRPr="0045429A">
        <w:rPr>
          <w:rFonts w:ascii="Book Antiqua" w:hAnsi="Book Antiqua"/>
          <w:sz w:val="24"/>
          <w:szCs w:val="24"/>
          <w:lang w:val="en-US"/>
        </w:rPr>
        <w:t xml:space="preserve">, Díaz C, Michel MD, Soler Pujol G, Martínez A, Marciano S, Mandó OG, Vilches A. Short and long term outcome of kidney transplanted patients with chronic viral hepatitis B and C. </w:t>
      </w:r>
      <w:r w:rsidRPr="0045429A">
        <w:rPr>
          <w:rFonts w:ascii="Book Antiqua" w:hAnsi="Book Antiqua"/>
          <w:i/>
          <w:sz w:val="24"/>
          <w:szCs w:val="24"/>
          <w:lang w:val="en-US"/>
        </w:rPr>
        <w:t>Ann Hepatol</w:t>
      </w:r>
      <w:r w:rsidRPr="0045429A">
        <w:rPr>
          <w:rFonts w:ascii="Book Antiqua" w:hAnsi="Book Antiqua"/>
          <w:sz w:val="24"/>
          <w:szCs w:val="24"/>
          <w:lang w:val="en-US"/>
        </w:rPr>
        <w:t xml:space="preserve">. 2010; </w:t>
      </w:r>
      <w:r w:rsidRPr="0045429A">
        <w:rPr>
          <w:rFonts w:ascii="Book Antiqua" w:hAnsi="Book Antiqua"/>
          <w:b/>
          <w:sz w:val="24"/>
          <w:szCs w:val="24"/>
          <w:lang w:val="en-US"/>
        </w:rPr>
        <w:t>9</w:t>
      </w:r>
      <w:r w:rsidRPr="0045429A">
        <w:rPr>
          <w:rFonts w:ascii="Book Antiqua" w:hAnsi="Book Antiqua"/>
          <w:sz w:val="24"/>
          <w:szCs w:val="24"/>
          <w:lang w:val="en-US"/>
        </w:rPr>
        <w:t>: 271-277. [PMID: 20720267]</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bCs/>
          <w:sz w:val="24"/>
          <w:szCs w:val="24"/>
          <w:lang w:val="en-US"/>
        </w:rPr>
        <w:t>Fabrizi F</w:t>
      </w:r>
      <w:r w:rsidRPr="0045429A">
        <w:rPr>
          <w:rFonts w:ascii="Book Antiqua" w:hAnsi="Book Antiqua"/>
          <w:sz w:val="24"/>
          <w:szCs w:val="24"/>
          <w:lang w:val="en-US"/>
        </w:rPr>
        <w:t xml:space="preserve">, Martin P, Dixit V, Kanwal F, Dulai G. HBsAg seropositive status and survival after renal transplantation: meta-analysis of observational studies. </w:t>
      </w:r>
      <w:r w:rsidRPr="0045429A">
        <w:rPr>
          <w:rFonts w:ascii="Book Antiqua" w:hAnsi="Book Antiqua"/>
          <w:i/>
          <w:iCs/>
          <w:sz w:val="24"/>
          <w:szCs w:val="24"/>
          <w:lang w:val="en-US"/>
        </w:rPr>
        <w:t xml:space="preserve">Am J Transplant </w:t>
      </w:r>
      <w:r w:rsidRPr="0045429A">
        <w:rPr>
          <w:rFonts w:ascii="Book Antiqua" w:hAnsi="Book Antiqua"/>
          <w:sz w:val="24"/>
          <w:szCs w:val="24"/>
          <w:lang w:val="en-US"/>
        </w:rPr>
        <w:t xml:space="preserve">2005; </w:t>
      </w:r>
      <w:r w:rsidRPr="0045429A">
        <w:rPr>
          <w:rFonts w:ascii="Book Antiqua" w:hAnsi="Book Antiqua"/>
          <w:b/>
          <w:bCs/>
          <w:sz w:val="24"/>
          <w:szCs w:val="24"/>
          <w:lang w:val="en-US"/>
        </w:rPr>
        <w:t>5</w:t>
      </w:r>
      <w:r w:rsidRPr="0045429A">
        <w:rPr>
          <w:rFonts w:ascii="Book Antiqua" w:hAnsi="Book Antiqua"/>
          <w:sz w:val="24"/>
          <w:szCs w:val="24"/>
          <w:lang w:val="en-US"/>
        </w:rPr>
        <w:t>: 2913-2921 [PMID: 16303005 DOI: 10.1111/j.1600-6143.2005.01113.x]</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Fabrizi F</w:t>
      </w:r>
      <w:r w:rsidRPr="0045429A">
        <w:rPr>
          <w:rFonts w:ascii="Book Antiqua" w:hAnsi="Book Antiqua"/>
          <w:sz w:val="24"/>
          <w:szCs w:val="24"/>
          <w:lang w:val="en-US"/>
        </w:rPr>
        <w:t xml:space="preserve">, Dixit V, Martin P, Messa P. Hepatitis B and survival after renal transplant: meta-analysis of observational studies. </w:t>
      </w:r>
      <w:r w:rsidRPr="0045429A">
        <w:rPr>
          <w:rFonts w:ascii="Book Antiqua" w:hAnsi="Book Antiqua"/>
          <w:i/>
          <w:sz w:val="24"/>
          <w:szCs w:val="24"/>
          <w:lang w:val="en-US"/>
        </w:rPr>
        <w:t>J Viral Hepat</w:t>
      </w:r>
      <w:r w:rsidRPr="0045429A">
        <w:rPr>
          <w:rFonts w:ascii="Book Antiqua" w:hAnsi="Book Antiqua"/>
          <w:sz w:val="24"/>
          <w:szCs w:val="24"/>
          <w:lang w:val="en-US"/>
        </w:rPr>
        <w:t xml:space="preserve">. 2014; </w:t>
      </w:r>
      <w:r w:rsidRPr="0045429A">
        <w:rPr>
          <w:rFonts w:ascii="Book Antiqua" w:hAnsi="Book Antiqua"/>
          <w:b/>
          <w:sz w:val="24"/>
          <w:szCs w:val="24"/>
          <w:lang w:val="en-US"/>
        </w:rPr>
        <w:t>21</w:t>
      </w:r>
      <w:r w:rsidRPr="0045429A">
        <w:rPr>
          <w:rFonts w:ascii="Book Antiqua" w:hAnsi="Book Antiqua"/>
          <w:sz w:val="24"/>
          <w:szCs w:val="24"/>
          <w:lang w:val="en-US"/>
        </w:rPr>
        <w:t>: 542-550. [DOI: 10.1111/jvh.12184].</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Cosconea S</w:t>
      </w:r>
      <w:r w:rsidRPr="0045429A">
        <w:rPr>
          <w:rFonts w:ascii="Book Antiqua" w:hAnsi="Book Antiqua"/>
          <w:sz w:val="24"/>
          <w:szCs w:val="24"/>
          <w:lang w:val="en-US"/>
        </w:rPr>
        <w:t xml:space="preserve">, Fontaine H, Méritet JF, Corouge M, Sogni P, Vallet-Pichard A, Mallet V, Legendre C, Pol S. Benefits associated with antiviral treatment in kidney allograft recipients with chronic hepatitis B virus infection. </w:t>
      </w:r>
      <w:r w:rsidRPr="0045429A">
        <w:rPr>
          <w:rFonts w:ascii="Book Antiqua" w:hAnsi="Book Antiqua"/>
          <w:i/>
          <w:sz w:val="24"/>
          <w:szCs w:val="24"/>
          <w:lang w:val="en-US"/>
        </w:rPr>
        <w:t>J Hepatol</w:t>
      </w:r>
      <w:r w:rsidRPr="0045429A">
        <w:rPr>
          <w:rFonts w:ascii="Book Antiqua" w:hAnsi="Book Antiqua"/>
          <w:sz w:val="24"/>
          <w:szCs w:val="24"/>
          <w:lang w:val="en-US"/>
        </w:rPr>
        <w:t xml:space="preserve">. 2012; </w:t>
      </w:r>
      <w:r w:rsidRPr="0045429A">
        <w:rPr>
          <w:rFonts w:ascii="Book Antiqua" w:hAnsi="Book Antiqua"/>
          <w:b/>
          <w:sz w:val="24"/>
          <w:szCs w:val="24"/>
          <w:lang w:val="en-US"/>
        </w:rPr>
        <w:t>57</w:t>
      </w:r>
      <w:r w:rsidRPr="0045429A">
        <w:rPr>
          <w:rFonts w:ascii="Book Antiqua" w:hAnsi="Book Antiqua"/>
          <w:sz w:val="24"/>
          <w:szCs w:val="24"/>
          <w:lang w:val="en-US"/>
        </w:rPr>
        <w:t xml:space="preserve">: 55-60. [PMID: 22414762; DOI: 10.1016/j.jhep.2012.02.020. </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Sperl J</w:t>
      </w:r>
      <w:r w:rsidRPr="0045429A">
        <w:rPr>
          <w:rFonts w:ascii="Book Antiqua" w:hAnsi="Book Antiqua"/>
          <w:sz w:val="24"/>
          <w:szCs w:val="24"/>
          <w:lang w:val="en-US"/>
        </w:rPr>
        <w:t xml:space="preserve">, Frankova S, Spicak J, Viklicky O. Further evidence of the benefits associated with antiviral treatment in kidney allograft recipients with chronic hepatitis B virus infection. </w:t>
      </w:r>
      <w:r w:rsidRPr="0045429A">
        <w:rPr>
          <w:rFonts w:ascii="Book Antiqua" w:hAnsi="Book Antiqua"/>
          <w:i/>
          <w:sz w:val="24"/>
          <w:szCs w:val="24"/>
          <w:lang w:val="en-US"/>
        </w:rPr>
        <w:t>J Hepatol</w:t>
      </w:r>
      <w:r w:rsidRPr="0045429A">
        <w:rPr>
          <w:rFonts w:ascii="Book Antiqua" w:hAnsi="Book Antiqua"/>
          <w:sz w:val="24"/>
          <w:szCs w:val="24"/>
          <w:lang w:val="en-US"/>
        </w:rPr>
        <w:t xml:space="preserve">. 2013; </w:t>
      </w:r>
      <w:r w:rsidRPr="0045429A">
        <w:rPr>
          <w:rFonts w:ascii="Book Antiqua" w:hAnsi="Book Antiqua"/>
          <w:b/>
          <w:sz w:val="24"/>
          <w:szCs w:val="24"/>
          <w:lang w:val="en-US"/>
        </w:rPr>
        <w:t>58</w:t>
      </w:r>
      <w:r w:rsidRPr="0045429A">
        <w:rPr>
          <w:rFonts w:ascii="Book Antiqua" w:hAnsi="Book Antiqua"/>
          <w:sz w:val="24"/>
          <w:szCs w:val="24"/>
          <w:lang w:val="en-US"/>
        </w:rPr>
        <w:t xml:space="preserve">: 833-835. [PMID: 23207145, DOI: 10.1016/j.jhep.2012.11.032]. </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Kim HG</w:t>
      </w:r>
      <w:r w:rsidRPr="0045429A">
        <w:rPr>
          <w:rFonts w:ascii="Book Antiqua" w:hAnsi="Book Antiqua"/>
          <w:sz w:val="24"/>
          <w:szCs w:val="24"/>
          <w:lang w:val="en-US"/>
        </w:rPr>
        <w:t xml:space="preserve">, Kim EY, Yu YJ, Kim GH, Jeong JW, Byeon JH, Chung BH, Yang CW. Comparison of clinical outcomes in hepatitis B virus-positive kidney transplant recipients with or without pretransplantation antiviral therapy. </w:t>
      </w:r>
      <w:r w:rsidRPr="0045429A">
        <w:rPr>
          <w:rFonts w:ascii="Book Antiqua" w:hAnsi="Book Antiqua"/>
          <w:i/>
          <w:sz w:val="24"/>
          <w:szCs w:val="24"/>
          <w:lang w:val="en-US"/>
        </w:rPr>
        <w:t>Transplant Proc</w:t>
      </w:r>
      <w:r w:rsidRPr="0045429A">
        <w:rPr>
          <w:rFonts w:ascii="Book Antiqua" w:hAnsi="Book Antiqua"/>
          <w:sz w:val="24"/>
          <w:szCs w:val="24"/>
          <w:lang w:val="en-US"/>
        </w:rPr>
        <w:t xml:space="preserve">. 2013; </w:t>
      </w:r>
      <w:r w:rsidRPr="0045429A">
        <w:rPr>
          <w:rFonts w:ascii="Book Antiqua" w:hAnsi="Book Antiqua"/>
          <w:b/>
          <w:sz w:val="24"/>
          <w:szCs w:val="24"/>
          <w:lang w:val="en-US"/>
        </w:rPr>
        <w:t>45</w:t>
      </w:r>
      <w:r w:rsidRPr="0045429A">
        <w:rPr>
          <w:rFonts w:ascii="Book Antiqua" w:hAnsi="Book Antiqua"/>
          <w:sz w:val="24"/>
          <w:szCs w:val="24"/>
          <w:lang w:val="en-US"/>
        </w:rPr>
        <w:t xml:space="preserve">: 1374-1378. [PMID: 23726576, DOI: 10.1016/j.transproceed.2013.01.088]. </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lastRenderedPageBreak/>
        <w:t>Park KS</w:t>
      </w:r>
      <w:r w:rsidRPr="0045429A">
        <w:rPr>
          <w:rFonts w:ascii="Book Antiqua" w:hAnsi="Book Antiqua"/>
          <w:sz w:val="24"/>
          <w:szCs w:val="24"/>
          <w:lang w:val="en-US"/>
        </w:rPr>
        <w:t xml:space="preserve">, Han DJ, Park JB, Park JS, Park S. Long-term outcome of Hepatitis B-positive renal allograft recipients after development of antiviral treatment. </w:t>
      </w:r>
      <w:r w:rsidRPr="0045429A">
        <w:rPr>
          <w:rFonts w:ascii="Book Antiqua" w:hAnsi="Book Antiqua"/>
          <w:i/>
          <w:sz w:val="24"/>
          <w:szCs w:val="24"/>
          <w:lang w:val="en-US"/>
        </w:rPr>
        <w:t>Clin Nephrol</w:t>
      </w:r>
      <w:r w:rsidRPr="0045429A">
        <w:rPr>
          <w:rFonts w:ascii="Book Antiqua" w:hAnsi="Book Antiqua"/>
          <w:sz w:val="24"/>
          <w:szCs w:val="24"/>
          <w:lang w:val="en-US"/>
        </w:rPr>
        <w:t>. 2012; 78: 391-398. [PMID: 22541689; DOI: 10.5414/CN107565].</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rPr>
        <w:t>Ridruejo E</w:t>
      </w:r>
      <w:r w:rsidRPr="0045429A">
        <w:rPr>
          <w:rFonts w:ascii="Book Antiqua" w:hAnsi="Book Antiqua"/>
          <w:sz w:val="24"/>
          <w:szCs w:val="24"/>
        </w:rPr>
        <w:t xml:space="preserve">, Mandó OG, Dávalos M, Díaz C, Vilches A. Hepatocellular carcinoma in renal transplant patients. </w:t>
      </w:r>
      <w:r w:rsidRPr="0045429A">
        <w:rPr>
          <w:rFonts w:ascii="Book Antiqua" w:hAnsi="Book Antiqua"/>
          <w:i/>
          <w:sz w:val="24"/>
          <w:szCs w:val="24"/>
          <w:lang w:val="en-US"/>
        </w:rPr>
        <w:t>Transplant Proc</w:t>
      </w:r>
      <w:r w:rsidRPr="0045429A">
        <w:rPr>
          <w:rFonts w:ascii="Book Antiqua" w:hAnsi="Book Antiqua"/>
          <w:sz w:val="24"/>
          <w:szCs w:val="24"/>
          <w:lang w:val="en-US"/>
        </w:rPr>
        <w:t xml:space="preserve">. 2005; </w:t>
      </w:r>
      <w:r w:rsidRPr="0045429A">
        <w:rPr>
          <w:rFonts w:ascii="Book Antiqua" w:hAnsi="Book Antiqua"/>
          <w:b/>
          <w:sz w:val="24"/>
          <w:szCs w:val="24"/>
          <w:lang w:val="en-US"/>
        </w:rPr>
        <w:t>37</w:t>
      </w:r>
      <w:r w:rsidRPr="0045429A">
        <w:rPr>
          <w:rFonts w:ascii="Book Antiqua" w:hAnsi="Book Antiqua"/>
          <w:sz w:val="24"/>
          <w:szCs w:val="24"/>
          <w:lang w:val="en-US"/>
        </w:rPr>
        <w:t>: 2086-2088. [PMID: 15964346, DOI: 10.1016/j.transproceed.2005.03.010].</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rPr>
        <w:t>Ridruejo E</w:t>
      </w:r>
      <w:r w:rsidRPr="0045429A">
        <w:rPr>
          <w:rFonts w:ascii="Book Antiqua" w:hAnsi="Book Antiqua"/>
          <w:sz w:val="24"/>
          <w:szCs w:val="24"/>
        </w:rPr>
        <w:t xml:space="preserve">, Marciano S, Galdame O, Reggiardo MV, Muñoz AE, Adrover R, Cocozzella D, Fernandez N, Estepo C, Mendizábal M, Romero GA, Levi D, Schroder T, Paz S, Fainboim H, Mandó OG, Gadano AC, Silva MO. </w:t>
      </w:r>
      <w:r w:rsidRPr="0045429A">
        <w:rPr>
          <w:rFonts w:ascii="Book Antiqua" w:hAnsi="Book Antiqua"/>
          <w:sz w:val="24"/>
          <w:szCs w:val="24"/>
          <w:lang w:val="en-US"/>
        </w:rPr>
        <w:t xml:space="preserve">Relapse rates in chronic hepatitis B naïve patients after discontinuation of antiviral therapy with entecavir. </w:t>
      </w:r>
      <w:r w:rsidRPr="0045429A">
        <w:rPr>
          <w:rFonts w:ascii="Book Antiqua" w:hAnsi="Book Antiqua"/>
          <w:i/>
          <w:sz w:val="24"/>
          <w:szCs w:val="24"/>
          <w:lang w:val="en-US"/>
        </w:rPr>
        <w:t>J Viral Hepat</w:t>
      </w:r>
      <w:r w:rsidRPr="0045429A">
        <w:rPr>
          <w:rFonts w:ascii="Book Antiqua" w:hAnsi="Book Antiqua"/>
          <w:sz w:val="24"/>
          <w:szCs w:val="24"/>
          <w:lang w:val="en-US"/>
        </w:rPr>
        <w:t xml:space="preserve">. 2014; </w:t>
      </w:r>
      <w:r w:rsidRPr="0045429A">
        <w:rPr>
          <w:rFonts w:ascii="Book Antiqua" w:hAnsi="Book Antiqua"/>
          <w:b/>
          <w:sz w:val="24"/>
          <w:szCs w:val="24"/>
          <w:lang w:val="en-US"/>
        </w:rPr>
        <w:t>21</w:t>
      </w:r>
      <w:r w:rsidRPr="0045429A">
        <w:rPr>
          <w:rFonts w:ascii="Book Antiqua" w:hAnsi="Book Antiqua"/>
          <w:sz w:val="24"/>
          <w:szCs w:val="24"/>
          <w:lang w:val="en-US"/>
        </w:rPr>
        <w:t xml:space="preserve">: 590-596. [PMID: 24188363; DOI: 10.1111/jvh.12200]. </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Cho JH</w:t>
      </w:r>
      <w:r w:rsidRPr="0045429A">
        <w:rPr>
          <w:rFonts w:ascii="Book Antiqua" w:hAnsi="Book Antiqua"/>
          <w:sz w:val="24"/>
          <w:szCs w:val="24"/>
          <w:lang w:val="en-US"/>
        </w:rPr>
        <w:t xml:space="preserve">, Lim JH, Park GY, Kim JS, Kang YJ, Kwon O, Choi JY, Park SH, Kim YL, Kim HK, Huh S, Kim CD. Successful withdrawal of antiviral treatment in kidney transplant recipients with chronic hepatitis B viral infection. </w:t>
      </w:r>
      <w:r w:rsidRPr="0045429A">
        <w:rPr>
          <w:rFonts w:ascii="Book Antiqua" w:hAnsi="Book Antiqua"/>
          <w:i/>
          <w:sz w:val="24"/>
          <w:szCs w:val="24"/>
          <w:lang w:val="en-US"/>
        </w:rPr>
        <w:t>Transpl Infect Dis</w:t>
      </w:r>
      <w:r w:rsidRPr="0045429A">
        <w:rPr>
          <w:rFonts w:ascii="Book Antiqua" w:hAnsi="Book Antiqua"/>
          <w:sz w:val="24"/>
          <w:szCs w:val="24"/>
          <w:lang w:val="en-US"/>
        </w:rPr>
        <w:t xml:space="preserve">. 2014; </w:t>
      </w:r>
      <w:r w:rsidRPr="0045429A">
        <w:rPr>
          <w:rFonts w:ascii="Book Antiqua" w:hAnsi="Book Antiqua"/>
          <w:b/>
          <w:sz w:val="24"/>
          <w:szCs w:val="24"/>
          <w:lang w:val="en-US"/>
        </w:rPr>
        <w:t>16</w:t>
      </w:r>
      <w:r w:rsidRPr="0045429A">
        <w:rPr>
          <w:rFonts w:ascii="Book Antiqua" w:hAnsi="Book Antiqua"/>
          <w:sz w:val="24"/>
          <w:szCs w:val="24"/>
          <w:lang w:val="en-US"/>
        </w:rPr>
        <w:t xml:space="preserve">: 295-303. [PMID: 24628837; DOI: 10.1111/tid.12202]. </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Hu TH</w:t>
      </w:r>
      <w:r w:rsidRPr="0045429A">
        <w:rPr>
          <w:rFonts w:ascii="Book Antiqua" w:hAnsi="Book Antiqua"/>
          <w:sz w:val="24"/>
          <w:szCs w:val="24"/>
          <w:lang w:val="en-US"/>
        </w:rPr>
        <w:t xml:space="preserve">, Tsai MC, Chen YT, Chien YS, Hung CH, Chen TC, Tseng PL, Chang KC, Yen YH. The therapeutic response of antiviral therapy in HBsAg-positive renal transplant recipients and a long-term follow-up. </w:t>
      </w:r>
      <w:r w:rsidRPr="0045429A">
        <w:rPr>
          <w:rFonts w:ascii="Book Antiqua" w:hAnsi="Book Antiqua"/>
          <w:i/>
          <w:sz w:val="24"/>
          <w:szCs w:val="24"/>
          <w:lang w:val="en-US"/>
        </w:rPr>
        <w:t>Hepatol Int</w:t>
      </w:r>
      <w:r w:rsidRPr="0045429A">
        <w:rPr>
          <w:rFonts w:ascii="Book Antiqua" w:hAnsi="Book Antiqua"/>
          <w:sz w:val="24"/>
          <w:szCs w:val="24"/>
          <w:lang w:val="en-US"/>
        </w:rPr>
        <w:t xml:space="preserve">. 2012; </w:t>
      </w:r>
      <w:r w:rsidRPr="0045429A">
        <w:rPr>
          <w:rFonts w:ascii="Book Antiqua" w:hAnsi="Book Antiqua"/>
          <w:b/>
          <w:sz w:val="24"/>
          <w:szCs w:val="24"/>
          <w:lang w:val="en-US"/>
        </w:rPr>
        <w:t>6</w:t>
      </w:r>
      <w:r w:rsidRPr="0045429A">
        <w:rPr>
          <w:rFonts w:ascii="Book Antiqua" w:hAnsi="Book Antiqua"/>
          <w:sz w:val="24"/>
          <w:szCs w:val="24"/>
          <w:lang w:val="en-US"/>
        </w:rPr>
        <w:t>: 449-456. [PMID: 21744310, DOI: 10.1007/s12072-011-9295-6].</w:t>
      </w:r>
    </w:p>
    <w:p w:rsidR="00CF516D" w:rsidRPr="0045429A" w:rsidRDefault="00CF516D" w:rsidP="0045429A">
      <w:pPr>
        <w:pStyle w:val="Prrafodelista"/>
        <w:numPr>
          <w:ilvl w:val="0"/>
          <w:numId w:val="1"/>
        </w:numPr>
        <w:spacing w:line="360" w:lineRule="auto"/>
        <w:rPr>
          <w:rFonts w:ascii="Book Antiqua" w:hAnsi="Book Antiqua"/>
          <w:sz w:val="24"/>
          <w:szCs w:val="24"/>
          <w:lang w:val="en-US"/>
        </w:rPr>
      </w:pPr>
      <w:r w:rsidRPr="0045429A">
        <w:rPr>
          <w:rFonts w:ascii="Book Antiqua" w:hAnsi="Book Antiqua"/>
          <w:b/>
          <w:sz w:val="24"/>
          <w:szCs w:val="24"/>
          <w:lang w:val="en-US"/>
        </w:rPr>
        <w:t>Fontana RJ</w:t>
      </w:r>
      <w:r w:rsidRPr="0045429A">
        <w:rPr>
          <w:rFonts w:ascii="Book Antiqua" w:hAnsi="Book Antiqua"/>
          <w:sz w:val="24"/>
          <w:szCs w:val="24"/>
          <w:lang w:val="en-US"/>
        </w:rPr>
        <w:t>. Side effects of long-term oral antiviral therapy for hepatitis B. H</w:t>
      </w:r>
      <w:r w:rsidRPr="0045429A">
        <w:rPr>
          <w:rFonts w:ascii="Book Antiqua" w:hAnsi="Book Antiqua"/>
          <w:i/>
          <w:sz w:val="24"/>
          <w:szCs w:val="24"/>
          <w:lang w:val="en-US"/>
        </w:rPr>
        <w:t>epatology</w:t>
      </w:r>
      <w:r w:rsidRPr="0045429A">
        <w:rPr>
          <w:rFonts w:ascii="Book Antiqua" w:hAnsi="Book Antiqua"/>
          <w:sz w:val="24"/>
          <w:szCs w:val="24"/>
          <w:lang w:val="en-US"/>
        </w:rPr>
        <w:t xml:space="preserve">. 2009; </w:t>
      </w:r>
      <w:r w:rsidRPr="0045429A">
        <w:rPr>
          <w:rFonts w:ascii="Book Antiqua" w:hAnsi="Book Antiqua"/>
          <w:b/>
          <w:sz w:val="24"/>
          <w:szCs w:val="24"/>
          <w:lang w:val="en-US"/>
        </w:rPr>
        <w:t>49(5 Suppl)</w:t>
      </w:r>
      <w:r w:rsidRPr="0045429A">
        <w:rPr>
          <w:rFonts w:ascii="Book Antiqua" w:hAnsi="Book Antiqua"/>
          <w:sz w:val="24"/>
          <w:szCs w:val="24"/>
          <w:lang w:val="en-US"/>
        </w:rPr>
        <w:t>: S185-195. [PMID: 19399802; DOI: 10.1002/hep.22885].</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Fung J</w:t>
      </w:r>
      <w:r w:rsidRPr="0045429A">
        <w:rPr>
          <w:rFonts w:ascii="Book Antiqua" w:hAnsi="Book Antiqua"/>
          <w:sz w:val="24"/>
          <w:szCs w:val="24"/>
          <w:lang w:val="en-US"/>
        </w:rPr>
        <w:t xml:space="preserve">, Seto WK, Lai CL, Yuen MF. Extrahepatic effects of nucleoside and nucleotide analogues in chronic hepatitis B treatment. </w:t>
      </w:r>
      <w:r w:rsidRPr="0045429A">
        <w:rPr>
          <w:rFonts w:ascii="Book Antiqua" w:hAnsi="Book Antiqua"/>
          <w:i/>
          <w:sz w:val="24"/>
          <w:szCs w:val="24"/>
          <w:lang w:val="en-US"/>
        </w:rPr>
        <w:t>J Gastroenterol Hepatol</w:t>
      </w:r>
      <w:r w:rsidRPr="0045429A">
        <w:rPr>
          <w:rFonts w:ascii="Book Antiqua" w:hAnsi="Book Antiqua"/>
          <w:sz w:val="24"/>
          <w:szCs w:val="24"/>
          <w:lang w:val="en-US"/>
        </w:rPr>
        <w:t xml:space="preserve">. 2014; </w:t>
      </w:r>
      <w:r w:rsidRPr="0045429A">
        <w:rPr>
          <w:rFonts w:ascii="Book Antiqua" w:hAnsi="Book Antiqua"/>
          <w:b/>
          <w:sz w:val="24"/>
          <w:szCs w:val="24"/>
          <w:lang w:val="en-US"/>
        </w:rPr>
        <w:t>29</w:t>
      </w:r>
      <w:r w:rsidRPr="0045429A">
        <w:rPr>
          <w:rFonts w:ascii="Book Antiqua" w:hAnsi="Book Antiqua"/>
          <w:sz w:val="24"/>
          <w:szCs w:val="24"/>
          <w:lang w:val="en-US"/>
        </w:rPr>
        <w:t>: 428-434. [PMID: 24372662; DOI: 10.1111/jgh.12499].</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Gane EJ</w:t>
      </w:r>
      <w:r w:rsidRPr="0045429A">
        <w:rPr>
          <w:rFonts w:ascii="Book Antiqua" w:hAnsi="Book Antiqua"/>
          <w:sz w:val="24"/>
          <w:szCs w:val="24"/>
          <w:lang w:val="en-US"/>
        </w:rPr>
        <w:t xml:space="preserve">, Deray G, Liaw YF, Lim SG, Lai CL, Rasenack J, Wang Y, Papatheodoridis G, Di Bisceglie A, Buti M, Samuel D, Uddin A, Bosset S, Trylesinski A. Telbivudine improves renal function in patients with chronic </w:t>
      </w:r>
      <w:r w:rsidRPr="0045429A">
        <w:rPr>
          <w:rFonts w:ascii="Book Antiqua" w:hAnsi="Book Antiqua"/>
          <w:sz w:val="24"/>
          <w:szCs w:val="24"/>
          <w:lang w:val="en-US"/>
        </w:rPr>
        <w:lastRenderedPageBreak/>
        <w:t xml:space="preserve">hepatitis B. Gastroenterology. 2014; </w:t>
      </w:r>
      <w:r w:rsidRPr="0045429A">
        <w:rPr>
          <w:rFonts w:ascii="Book Antiqua" w:hAnsi="Book Antiqua"/>
          <w:b/>
          <w:sz w:val="24"/>
          <w:szCs w:val="24"/>
          <w:lang w:val="en-US"/>
        </w:rPr>
        <w:t>146</w:t>
      </w:r>
      <w:r w:rsidRPr="0045429A">
        <w:rPr>
          <w:rFonts w:ascii="Book Antiqua" w:hAnsi="Book Antiqua"/>
          <w:sz w:val="24"/>
          <w:szCs w:val="24"/>
          <w:lang w:val="en-US"/>
        </w:rPr>
        <w:t xml:space="preserve">: 138-146. [PMID: 24067879; DOI: 10.1053/j.gastro.2013.09.031]. </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Yapali S</w:t>
      </w:r>
      <w:r w:rsidRPr="0045429A">
        <w:rPr>
          <w:rFonts w:ascii="Book Antiqua" w:hAnsi="Book Antiqua"/>
          <w:sz w:val="24"/>
          <w:szCs w:val="24"/>
          <w:lang w:val="en-US"/>
        </w:rPr>
        <w:t xml:space="preserve">, Lok AS. Potential benefit of telbivudine on renal function does not outweigh its high rate of antiviral drug resistance and other adverse effects. </w:t>
      </w:r>
      <w:r w:rsidRPr="0045429A">
        <w:rPr>
          <w:rFonts w:ascii="Book Antiqua" w:hAnsi="Book Antiqua"/>
          <w:i/>
          <w:sz w:val="24"/>
          <w:szCs w:val="24"/>
          <w:lang w:val="en-US"/>
        </w:rPr>
        <w:t>Gastroenterology</w:t>
      </w:r>
      <w:r w:rsidRPr="0045429A">
        <w:rPr>
          <w:rFonts w:ascii="Book Antiqua" w:hAnsi="Book Antiqua"/>
          <w:sz w:val="24"/>
          <w:szCs w:val="24"/>
          <w:lang w:val="en-US"/>
        </w:rPr>
        <w:t xml:space="preserve">. 2014; </w:t>
      </w:r>
      <w:r w:rsidRPr="0045429A">
        <w:rPr>
          <w:rFonts w:ascii="Book Antiqua" w:hAnsi="Book Antiqua"/>
          <w:b/>
          <w:sz w:val="24"/>
          <w:szCs w:val="24"/>
          <w:lang w:val="en-US"/>
        </w:rPr>
        <w:t>146</w:t>
      </w:r>
      <w:r w:rsidRPr="0045429A">
        <w:rPr>
          <w:rFonts w:ascii="Book Antiqua" w:hAnsi="Book Antiqua"/>
          <w:sz w:val="24"/>
          <w:szCs w:val="24"/>
          <w:lang w:val="en-US"/>
        </w:rPr>
        <w:t>: 15-19. [PMID: 24275236; DOI: 10.1053/j.gastro.2013.11.028].</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rPr>
        <w:t>Ha NB</w:t>
      </w:r>
      <w:r w:rsidRPr="0045429A">
        <w:rPr>
          <w:rFonts w:ascii="Book Antiqua" w:hAnsi="Book Antiqua"/>
          <w:sz w:val="24"/>
          <w:szCs w:val="24"/>
        </w:rPr>
        <w:t xml:space="preserve">, Ha NB, Garcia RT, Trinh HN, Vu AA, Nguyen HA, Nguyen KK, Levitt BS, Nguyen MH. </w:t>
      </w:r>
      <w:r w:rsidRPr="0045429A">
        <w:rPr>
          <w:rFonts w:ascii="Book Antiqua" w:hAnsi="Book Antiqua"/>
          <w:sz w:val="24"/>
          <w:szCs w:val="24"/>
          <w:lang w:val="en-US"/>
        </w:rPr>
        <w:t xml:space="preserve">Renal dysfunction in chronic hepatitis B patients treated with adefovir dipivoxil. </w:t>
      </w:r>
      <w:r w:rsidRPr="0045429A">
        <w:rPr>
          <w:rFonts w:ascii="Book Antiqua" w:hAnsi="Book Antiqua"/>
          <w:i/>
          <w:sz w:val="24"/>
          <w:szCs w:val="24"/>
          <w:lang w:val="en-US"/>
        </w:rPr>
        <w:t>Hepatology</w:t>
      </w:r>
      <w:r w:rsidRPr="0045429A">
        <w:rPr>
          <w:rFonts w:ascii="Book Antiqua" w:hAnsi="Book Antiqua"/>
          <w:sz w:val="24"/>
          <w:szCs w:val="24"/>
          <w:lang w:val="en-US"/>
        </w:rPr>
        <w:t xml:space="preserve">. 2009; </w:t>
      </w:r>
      <w:r w:rsidRPr="0045429A">
        <w:rPr>
          <w:rFonts w:ascii="Book Antiqua" w:hAnsi="Book Antiqua"/>
          <w:b/>
          <w:sz w:val="24"/>
          <w:szCs w:val="24"/>
          <w:lang w:val="en-US"/>
        </w:rPr>
        <w:t>50</w:t>
      </w:r>
      <w:r w:rsidRPr="0045429A">
        <w:rPr>
          <w:rFonts w:ascii="Book Antiqua" w:hAnsi="Book Antiqua"/>
          <w:sz w:val="24"/>
          <w:szCs w:val="24"/>
          <w:lang w:val="en-US"/>
        </w:rPr>
        <w:t>: 727-734. [PMID: 19517525; DOI: 10.1002/hep.23044].</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Kim YJ</w:t>
      </w:r>
      <w:r w:rsidRPr="0045429A">
        <w:rPr>
          <w:rFonts w:ascii="Book Antiqua" w:hAnsi="Book Antiqua"/>
          <w:sz w:val="24"/>
          <w:szCs w:val="24"/>
          <w:lang w:val="en-US"/>
        </w:rPr>
        <w:t xml:space="preserve">, Cho HC, Sinn DH, Gwak GY, Choi MS, Koh KC, Paik SW, Yoo BC, Lee JH. Frequency and risk factors of renal impairment during long-term adefovir dipivoxil treatment in chronic hepatitis B patients. </w:t>
      </w:r>
      <w:r w:rsidRPr="0045429A">
        <w:rPr>
          <w:rFonts w:ascii="Book Antiqua" w:hAnsi="Book Antiqua"/>
          <w:i/>
          <w:sz w:val="24"/>
          <w:szCs w:val="24"/>
          <w:lang w:val="en-US"/>
        </w:rPr>
        <w:t>J Gastroenterol Hepatol</w:t>
      </w:r>
      <w:r w:rsidRPr="0045429A">
        <w:rPr>
          <w:rFonts w:ascii="Book Antiqua" w:hAnsi="Book Antiqua"/>
          <w:sz w:val="24"/>
          <w:szCs w:val="24"/>
          <w:lang w:val="en-US"/>
        </w:rPr>
        <w:t xml:space="preserve">. 2012; </w:t>
      </w:r>
      <w:r w:rsidRPr="0045429A">
        <w:rPr>
          <w:rFonts w:ascii="Book Antiqua" w:hAnsi="Book Antiqua"/>
          <w:b/>
          <w:sz w:val="24"/>
          <w:szCs w:val="24"/>
          <w:lang w:val="en-US"/>
        </w:rPr>
        <w:t>27</w:t>
      </w:r>
      <w:r w:rsidRPr="0045429A">
        <w:rPr>
          <w:rFonts w:ascii="Book Antiqua" w:hAnsi="Book Antiqua"/>
          <w:sz w:val="24"/>
          <w:szCs w:val="24"/>
          <w:lang w:val="en-US"/>
        </w:rPr>
        <w:t>: 306-312. [PMID: 21777281; DOI: 10.1111/j.1440-1746.2011.06852.x].</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Hartono JL</w:t>
      </w:r>
      <w:r w:rsidRPr="0045429A">
        <w:rPr>
          <w:rFonts w:ascii="Book Antiqua" w:hAnsi="Book Antiqua"/>
          <w:sz w:val="24"/>
          <w:szCs w:val="24"/>
          <w:lang w:val="en-US"/>
        </w:rPr>
        <w:t xml:space="preserve">, Aung MO, Dan YY, Gowans M, Lim K, Lee YM, Lee GH, Low HC, Tan PS, Thwin MA, Soon C, Chiu LL, Khoo MJ, Koay E, Lim SG. Resolution of adefovir-related nephrotoxicity by adefovir dose-reduction in patients with chronic hepatitis B. </w:t>
      </w:r>
      <w:r w:rsidRPr="0045429A">
        <w:rPr>
          <w:rFonts w:ascii="Book Antiqua" w:hAnsi="Book Antiqua"/>
          <w:i/>
          <w:sz w:val="24"/>
          <w:szCs w:val="24"/>
          <w:lang w:val="en-US"/>
        </w:rPr>
        <w:t>Aliment Pharmacol Ther</w:t>
      </w:r>
      <w:r w:rsidRPr="0045429A">
        <w:rPr>
          <w:rFonts w:ascii="Book Antiqua" w:hAnsi="Book Antiqua"/>
          <w:sz w:val="24"/>
          <w:szCs w:val="24"/>
          <w:lang w:val="en-US"/>
        </w:rPr>
        <w:t xml:space="preserve">. 2013; </w:t>
      </w:r>
      <w:r w:rsidRPr="0045429A">
        <w:rPr>
          <w:rFonts w:ascii="Book Antiqua" w:hAnsi="Book Antiqua"/>
          <w:b/>
          <w:sz w:val="24"/>
          <w:szCs w:val="24"/>
          <w:lang w:val="en-US"/>
        </w:rPr>
        <w:t>37</w:t>
      </w:r>
      <w:r w:rsidRPr="0045429A">
        <w:rPr>
          <w:rFonts w:ascii="Book Antiqua" w:hAnsi="Book Antiqua"/>
          <w:sz w:val="24"/>
          <w:szCs w:val="24"/>
          <w:lang w:val="en-US"/>
        </w:rPr>
        <w:t xml:space="preserve">: 710-719. [PMID: 23432107; DOI: 10.1111/apt.12251]. </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Manolakopoulos S</w:t>
      </w:r>
      <w:r w:rsidRPr="0045429A">
        <w:rPr>
          <w:rFonts w:ascii="Book Antiqua" w:hAnsi="Book Antiqua"/>
          <w:sz w:val="24"/>
          <w:szCs w:val="24"/>
          <w:lang w:val="en-US"/>
        </w:rPr>
        <w:t xml:space="preserve">, Striki A, Deutsch M, Mela M, Ketikoglou I, Tzourmakliotis D, Manesis EK, Papatheodoridis GV. Long-term adefovir plus lamivudine therapy does not decrease creatinine clearance in HBeAg-negative chronic hepatitis B patients. </w:t>
      </w:r>
      <w:r w:rsidRPr="0045429A">
        <w:rPr>
          <w:rFonts w:ascii="Book Antiqua" w:hAnsi="Book Antiqua"/>
          <w:i/>
          <w:sz w:val="24"/>
          <w:szCs w:val="24"/>
          <w:lang w:val="en-US"/>
        </w:rPr>
        <w:t>Liver Int</w:t>
      </w:r>
      <w:r w:rsidRPr="0045429A">
        <w:rPr>
          <w:rFonts w:ascii="Book Antiqua" w:hAnsi="Book Antiqua"/>
          <w:sz w:val="24"/>
          <w:szCs w:val="24"/>
          <w:lang w:val="en-US"/>
        </w:rPr>
        <w:t xml:space="preserve">. 2011; </w:t>
      </w:r>
      <w:r w:rsidRPr="0045429A">
        <w:rPr>
          <w:rFonts w:ascii="Book Antiqua" w:hAnsi="Book Antiqua"/>
          <w:b/>
          <w:sz w:val="24"/>
          <w:szCs w:val="24"/>
          <w:lang w:val="en-US"/>
        </w:rPr>
        <w:t>31</w:t>
      </w:r>
      <w:r w:rsidRPr="0045429A">
        <w:rPr>
          <w:rFonts w:ascii="Book Antiqua" w:hAnsi="Book Antiqua"/>
          <w:sz w:val="24"/>
          <w:szCs w:val="24"/>
          <w:lang w:val="en-US"/>
        </w:rPr>
        <w:t xml:space="preserve">: 1525-1532. [PMID: 22093327; DOI: 10.1111/j.1478-3231.2011.02616.x]. </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Marcellin P</w:t>
      </w:r>
      <w:r w:rsidRPr="0045429A">
        <w:rPr>
          <w:rFonts w:ascii="Book Antiqua" w:hAnsi="Book Antiqua"/>
          <w:sz w:val="24"/>
          <w:szCs w:val="24"/>
          <w:lang w:val="en-US"/>
        </w:rPr>
        <w:t xml:space="preserve">, Heathcote EJ, Berg T, Anderson J, Mondou E, Coombs D, Ebrahimi R, Reddy S, Lopatin U, McNally J, Ng C. Effects of tenofovir disoproxil fumarate on renal function in chronic HBV patients in three global randomized studies. </w:t>
      </w:r>
      <w:r w:rsidRPr="0045429A">
        <w:rPr>
          <w:rFonts w:ascii="Book Antiqua" w:hAnsi="Book Antiqua"/>
          <w:i/>
          <w:sz w:val="24"/>
          <w:szCs w:val="24"/>
          <w:lang w:val="en-US"/>
        </w:rPr>
        <w:t>J. Hepatol</w:t>
      </w:r>
      <w:r w:rsidRPr="0045429A">
        <w:rPr>
          <w:rFonts w:ascii="Book Antiqua" w:hAnsi="Book Antiqua"/>
          <w:sz w:val="24"/>
          <w:szCs w:val="24"/>
          <w:lang w:val="en-US"/>
        </w:rPr>
        <w:t xml:space="preserve">. 2011; </w:t>
      </w:r>
      <w:r w:rsidRPr="0045429A">
        <w:rPr>
          <w:rFonts w:ascii="Book Antiqua" w:hAnsi="Book Antiqua"/>
          <w:b/>
          <w:sz w:val="24"/>
          <w:szCs w:val="24"/>
          <w:lang w:val="en-US"/>
        </w:rPr>
        <w:t>54 (Suppl 1)</w:t>
      </w:r>
      <w:r w:rsidRPr="0045429A">
        <w:rPr>
          <w:rFonts w:ascii="Book Antiqua" w:hAnsi="Book Antiqua"/>
          <w:sz w:val="24"/>
          <w:szCs w:val="24"/>
          <w:lang w:val="en-US"/>
        </w:rPr>
        <w:t>: S296-297. [DOI: 10.1016/S0168-8278(11)60741-1].</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lastRenderedPageBreak/>
        <w:t>Fung S</w:t>
      </w:r>
      <w:r w:rsidRPr="0045429A">
        <w:rPr>
          <w:rFonts w:ascii="Book Antiqua" w:hAnsi="Book Antiqua"/>
          <w:sz w:val="24"/>
          <w:szCs w:val="24"/>
          <w:lang w:val="en-US"/>
        </w:rPr>
        <w:t xml:space="preserve">, Kwan P, Horban A, Pelemis M, Husa P, Hann HW, Flaherty J, Massetto B, Dinh P,  Custodio J, Subramanian GM, Fabri M, Gane E. Tenofovir DF (TDF) is safe and well tolerated in chronic hepatitis B (CHB) patients with pre-existing mild renal impairment. </w:t>
      </w:r>
      <w:r w:rsidRPr="0045429A">
        <w:rPr>
          <w:rFonts w:ascii="Book Antiqua" w:hAnsi="Book Antiqua"/>
          <w:i/>
          <w:sz w:val="24"/>
          <w:szCs w:val="24"/>
          <w:lang w:val="en-US"/>
        </w:rPr>
        <w:t>J. Hepatol</w:t>
      </w:r>
      <w:r w:rsidRPr="0045429A">
        <w:rPr>
          <w:rFonts w:ascii="Book Antiqua" w:hAnsi="Book Antiqua"/>
          <w:sz w:val="24"/>
          <w:szCs w:val="24"/>
          <w:lang w:val="en-US"/>
        </w:rPr>
        <w:t xml:space="preserve">. 2013; </w:t>
      </w:r>
      <w:r w:rsidRPr="0045429A">
        <w:rPr>
          <w:rFonts w:ascii="Book Antiqua" w:hAnsi="Book Antiqua"/>
          <w:b/>
          <w:sz w:val="24"/>
          <w:szCs w:val="24"/>
          <w:lang w:val="en-US"/>
        </w:rPr>
        <w:t>58 (Suppl 1)</w:t>
      </w:r>
      <w:r w:rsidRPr="0045429A">
        <w:rPr>
          <w:rFonts w:ascii="Book Antiqua" w:hAnsi="Book Antiqua"/>
          <w:sz w:val="24"/>
          <w:szCs w:val="24"/>
          <w:lang w:val="en-US"/>
        </w:rPr>
        <w:t>: S301-302. [DOI: 10.1016/S0168-8278(13)60746-1]</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Marcellin P</w:t>
      </w:r>
      <w:r w:rsidRPr="0045429A">
        <w:rPr>
          <w:rFonts w:ascii="Book Antiqua" w:hAnsi="Book Antiqua"/>
          <w:sz w:val="24"/>
          <w:szCs w:val="24"/>
          <w:lang w:val="en-US"/>
        </w:rPr>
        <w:t xml:space="preserve">, Zoulim F, Causse X,  Hézode C, Larrey D, Pageaux G, Roche B, Truchi R, Ouzan D, Pauwels A, Dumortier J, Stern C, Libert O, Cadranel JF, Zarski JP, Vireal Group. Tenofovir DF treatment is safe and well tolerated in chronic hepatitis B (CHB) patients with baseline decreased glomerular filtration rate. </w:t>
      </w:r>
      <w:r w:rsidRPr="0045429A">
        <w:rPr>
          <w:rFonts w:ascii="Book Antiqua" w:hAnsi="Book Antiqua"/>
          <w:i/>
          <w:sz w:val="24"/>
          <w:szCs w:val="24"/>
          <w:lang w:val="en-US"/>
        </w:rPr>
        <w:t>J. Hepatol</w:t>
      </w:r>
      <w:r w:rsidRPr="0045429A">
        <w:rPr>
          <w:rFonts w:ascii="Book Antiqua" w:hAnsi="Book Antiqua"/>
          <w:sz w:val="24"/>
          <w:szCs w:val="24"/>
          <w:lang w:val="en-US"/>
        </w:rPr>
        <w:t xml:space="preserve">. 2012; </w:t>
      </w:r>
      <w:r w:rsidRPr="0045429A">
        <w:rPr>
          <w:rFonts w:ascii="Book Antiqua" w:hAnsi="Book Antiqua"/>
          <w:b/>
          <w:sz w:val="24"/>
          <w:szCs w:val="24"/>
          <w:lang w:val="en-US"/>
        </w:rPr>
        <w:t>56 (Suppl 1)</w:t>
      </w:r>
      <w:r w:rsidRPr="0045429A">
        <w:rPr>
          <w:rFonts w:ascii="Book Antiqua" w:hAnsi="Book Antiqua"/>
          <w:sz w:val="24"/>
          <w:szCs w:val="24"/>
          <w:lang w:val="en-US"/>
        </w:rPr>
        <w:t>: S210. [DOI: 10.1016/S0168-8278(12)60544-3]</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van Bommel F</w:t>
      </w:r>
      <w:r w:rsidRPr="0045429A">
        <w:rPr>
          <w:rFonts w:ascii="Book Antiqua" w:hAnsi="Book Antiqua"/>
          <w:sz w:val="24"/>
          <w:szCs w:val="24"/>
          <w:lang w:val="en-US"/>
        </w:rPr>
        <w:t xml:space="preserve">, De Man RA, Ferenci P, Reijnders JG, Bronowicki JP, Wedemeyer H, Brodzinski A, Fülöp B, Deterding K, Erhardt A, Hüppe D, Bourlière M, Sarrazin C, Trojan J, Buggisch PB, Petersen J, Spengler U, Pariente A, Schuchmann M, Wasmuth H, Stein K, Rutter K, Feucht HH, Wiedenmann B, Berg T. Renal safety and antiviral efficacy of tenofovir disoproxil fumarate (TDF) monotherapy in nucleos(t)ide analogue refractory patients with hepatitis B virus (HBV) mono-infection. </w:t>
      </w:r>
      <w:r w:rsidRPr="0045429A">
        <w:rPr>
          <w:rFonts w:ascii="Book Antiqua" w:hAnsi="Book Antiqua"/>
          <w:i/>
          <w:sz w:val="24"/>
          <w:szCs w:val="24"/>
          <w:lang w:val="en-US"/>
        </w:rPr>
        <w:t>J. Hepatol</w:t>
      </w:r>
      <w:r w:rsidRPr="0045429A">
        <w:rPr>
          <w:rFonts w:ascii="Book Antiqua" w:hAnsi="Book Antiqua"/>
          <w:sz w:val="24"/>
          <w:szCs w:val="24"/>
          <w:lang w:val="en-US"/>
        </w:rPr>
        <w:t xml:space="preserve">. 2010; </w:t>
      </w:r>
      <w:r w:rsidRPr="0045429A">
        <w:rPr>
          <w:rFonts w:ascii="Book Antiqua" w:hAnsi="Book Antiqua"/>
          <w:b/>
          <w:sz w:val="24"/>
          <w:szCs w:val="24"/>
          <w:lang w:val="en-US"/>
        </w:rPr>
        <w:t>52 (Suppl 1)</w:t>
      </w:r>
      <w:r w:rsidRPr="0045429A">
        <w:rPr>
          <w:rFonts w:ascii="Book Antiqua" w:hAnsi="Book Antiqua"/>
          <w:sz w:val="24"/>
          <w:szCs w:val="24"/>
          <w:lang w:val="en-US"/>
        </w:rPr>
        <w:t>: S398. [DOI: 10.1016/S0168-8278(10)61029-X].</w:t>
      </w:r>
    </w:p>
    <w:p w:rsidR="00CF516D" w:rsidRPr="0045429A" w:rsidRDefault="00CF516D" w:rsidP="0045429A">
      <w:pPr>
        <w:pStyle w:val="Prrafodelista"/>
        <w:numPr>
          <w:ilvl w:val="0"/>
          <w:numId w:val="1"/>
        </w:numPr>
        <w:spacing w:after="0" w:line="360" w:lineRule="auto"/>
        <w:jc w:val="both"/>
        <w:rPr>
          <w:rFonts w:ascii="Book Antiqua" w:hAnsi="Book Antiqua"/>
          <w:sz w:val="24"/>
          <w:szCs w:val="24"/>
          <w:lang w:val="en-US"/>
        </w:rPr>
      </w:pPr>
      <w:r w:rsidRPr="0045429A">
        <w:rPr>
          <w:rFonts w:ascii="Book Antiqua" w:hAnsi="Book Antiqua"/>
          <w:b/>
          <w:sz w:val="24"/>
          <w:szCs w:val="24"/>
          <w:lang w:val="en-US"/>
        </w:rPr>
        <w:t>Jorquera F</w:t>
      </w:r>
      <w:r w:rsidRPr="0045429A">
        <w:rPr>
          <w:rFonts w:ascii="Book Antiqua" w:hAnsi="Book Antiqua"/>
          <w:sz w:val="24"/>
          <w:szCs w:val="24"/>
          <w:lang w:val="en-US"/>
        </w:rPr>
        <w:t xml:space="preserve">, Pascasio JM, Fraga E, Fuentes J, Prieto M, Sánchez-Antolín G, Calleja JL, Molina E,  Tomé S, Bonet L, Blanco MA, García-Buey ML, Salmerón J, Pons JA, González JM, Rodríguez M. Tenofovir monotherapy versus lamivudine plus adefovir in lamivudine-failure patients rescued with lamivudine plus adefovir combination: interim analysis of the TENOSIMP-B clinical trial. </w:t>
      </w:r>
      <w:r w:rsidRPr="0045429A">
        <w:rPr>
          <w:rFonts w:ascii="Book Antiqua" w:hAnsi="Book Antiqua"/>
          <w:i/>
          <w:sz w:val="24"/>
          <w:szCs w:val="24"/>
          <w:lang w:val="en-US"/>
        </w:rPr>
        <w:t>J. Hepatol</w:t>
      </w:r>
      <w:r w:rsidRPr="0045429A">
        <w:rPr>
          <w:rFonts w:ascii="Book Antiqua" w:hAnsi="Book Antiqua"/>
          <w:sz w:val="24"/>
          <w:szCs w:val="24"/>
          <w:lang w:val="en-US"/>
        </w:rPr>
        <w:t>. 2014; 60</w:t>
      </w:r>
      <w:r w:rsidRPr="0045429A">
        <w:rPr>
          <w:rFonts w:ascii="Book Antiqua" w:hAnsi="Book Antiqua"/>
          <w:b/>
          <w:sz w:val="24"/>
          <w:szCs w:val="24"/>
          <w:lang w:val="en-US"/>
        </w:rPr>
        <w:t xml:space="preserve"> (Suppl 1)</w:t>
      </w:r>
      <w:r w:rsidRPr="0045429A">
        <w:rPr>
          <w:rFonts w:ascii="Book Antiqua" w:hAnsi="Book Antiqua"/>
          <w:sz w:val="24"/>
          <w:szCs w:val="24"/>
          <w:lang w:val="en-US"/>
        </w:rPr>
        <w:t>: S422. [DOI: 10.1016/S0168-8278(14)61201-0].</w:t>
      </w:r>
    </w:p>
    <w:p w:rsidR="00CF516D" w:rsidRPr="0045429A" w:rsidRDefault="00CF516D" w:rsidP="0045429A">
      <w:pPr>
        <w:pStyle w:val="Prrafodelista"/>
        <w:numPr>
          <w:ilvl w:val="0"/>
          <w:numId w:val="1"/>
        </w:numPr>
        <w:spacing w:after="0" w:line="360" w:lineRule="auto"/>
        <w:jc w:val="both"/>
        <w:rPr>
          <w:rFonts w:ascii="Book Antiqua" w:hAnsi="Book Antiqua"/>
          <w:sz w:val="24"/>
          <w:szCs w:val="24"/>
          <w:lang w:val="en-US"/>
        </w:rPr>
      </w:pPr>
      <w:r w:rsidRPr="0045429A">
        <w:rPr>
          <w:rFonts w:ascii="Book Antiqua" w:hAnsi="Book Antiqua"/>
          <w:b/>
          <w:sz w:val="24"/>
          <w:szCs w:val="24"/>
          <w:lang w:val="en-US"/>
        </w:rPr>
        <w:t>Brodzinski A</w:t>
      </w:r>
      <w:r w:rsidRPr="0045429A">
        <w:rPr>
          <w:rFonts w:ascii="Book Antiqua" w:hAnsi="Book Antiqua"/>
          <w:sz w:val="24"/>
          <w:szCs w:val="24"/>
          <w:lang w:val="en-US"/>
        </w:rPr>
        <w:t xml:space="preserve">, Fueloep B, Schlosser B, Biermer M, Wiegand J, Berg T, van Bommel F. Prevalence of renal alterations indicative for proximal tubular damage (PTD) in patients with chronic hepatitis B virus (HBV) infection during </w:t>
      </w:r>
      <w:r w:rsidRPr="0045429A">
        <w:rPr>
          <w:rFonts w:ascii="Book Antiqua" w:hAnsi="Book Antiqua"/>
          <w:sz w:val="24"/>
          <w:szCs w:val="24"/>
          <w:lang w:val="en-US"/>
        </w:rPr>
        <w:lastRenderedPageBreak/>
        <w:t xml:space="preserve">long-term treatment with tenofovir disoproxil fumarate (TDF). </w:t>
      </w:r>
      <w:r w:rsidRPr="0045429A">
        <w:rPr>
          <w:rFonts w:ascii="Book Antiqua" w:hAnsi="Book Antiqua"/>
          <w:i/>
          <w:sz w:val="24"/>
          <w:szCs w:val="24"/>
          <w:lang w:val="en-US"/>
        </w:rPr>
        <w:t>Hepatology</w:t>
      </w:r>
      <w:r w:rsidRPr="0045429A">
        <w:rPr>
          <w:rFonts w:ascii="Book Antiqua" w:hAnsi="Book Antiqua"/>
          <w:sz w:val="24"/>
          <w:szCs w:val="24"/>
          <w:lang w:val="en-US"/>
        </w:rPr>
        <w:t xml:space="preserve"> 2010; </w:t>
      </w:r>
      <w:r w:rsidRPr="0045429A">
        <w:rPr>
          <w:rFonts w:ascii="Book Antiqua" w:hAnsi="Book Antiqua"/>
          <w:b/>
          <w:sz w:val="24"/>
          <w:szCs w:val="24"/>
          <w:lang w:val="en-US"/>
        </w:rPr>
        <w:t>52 (Suppl 1)</w:t>
      </w:r>
      <w:r w:rsidRPr="0045429A">
        <w:rPr>
          <w:rFonts w:ascii="Book Antiqua" w:hAnsi="Book Antiqua"/>
          <w:sz w:val="24"/>
          <w:szCs w:val="24"/>
          <w:lang w:val="en-US"/>
        </w:rPr>
        <w:t>: 515–6A.</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Lampertico P</w:t>
      </w:r>
      <w:r w:rsidRPr="0045429A">
        <w:rPr>
          <w:rFonts w:ascii="Book Antiqua" w:hAnsi="Book Antiqua"/>
          <w:sz w:val="24"/>
          <w:szCs w:val="24"/>
          <w:lang w:val="en-US"/>
        </w:rPr>
        <w:t xml:space="preserve">, Soffredini R, Yurdaydin C, Idilman R, Papatheodoridis GV, Margariti E, Buti M, Esteban R, Zaltron S, Vavassori A, Castelli C, Viganò M, Rumi MG, Vinci M, Belli LS, Cologni G, Rizzi M, Milanese M, Strazzabosco M, Minola E, Giorgini AM, Zuin M, Salmi A, Colombo S, Fracassetti O, Del Poggio P, Bruno S, Fagiuoli S, Andreoletti M, Colli A, Colombo AE, Bellati GA, Magni CF, Angeli E, Gubertini GA, Fasano M, Santantonio TA, Terreni NM, Mangia G, Colombo M. Four years of tenofovir monotherapy for NUC naïve field practice European patients suppresses HBV replication in most patients with a favorable renal safety profile but does not prevent HCC in patients with or without cirrhosis. </w:t>
      </w:r>
      <w:r w:rsidRPr="0045429A">
        <w:rPr>
          <w:rFonts w:ascii="Book Antiqua" w:hAnsi="Book Antiqua"/>
          <w:i/>
          <w:sz w:val="24"/>
          <w:szCs w:val="24"/>
          <w:lang w:val="en-US"/>
        </w:rPr>
        <w:t>Hepatology</w:t>
      </w:r>
      <w:r w:rsidRPr="0045429A">
        <w:rPr>
          <w:rFonts w:ascii="Book Antiqua" w:hAnsi="Book Antiqua"/>
          <w:sz w:val="24"/>
          <w:szCs w:val="24"/>
          <w:lang w:val="en-US"/>
        </w:rPr>
        <w:t xml:space="preserve"> 2013; </w:t>
      </w:r>
      <w:r w:rsidRPr="0045429A">
        <w:rPr>
          <w:rFonts w:ascii="Book Antiqua" w:hAnsi="Book Antiqua"/>
          <w:b/>
          <w:sz w:val="24"/>
          <w:szCs w:val="24"/>
          <w:lang w:val="en-US"/>
        </w:rPr>
        <w:t>58</w:t>
      </w:r>
      <w:r w:rsidRPr="0045429A">
        <w:rPr>
          <w:rFonts w:ascii="Book Antiqua" w:hAnsi="Book Antiqua"/>
          <w:sz w:val="24"/>
          <w:szCs w:val="24"/>
          <w:lang w:val="en-US"/>
        </w:rPr>
        <w:t xml:space="preserve"> </w:t>
      </w:r>
      <w:r w:rsidRPr="0045429A">
        <w:rPr>
          <w:rFonts w:ascii="Book Antiqua" w:hAnsi="Book Antiqua"/>
          <w:b/>
          <w:sz w:val="24"/>
          <w:szCs w:val="24"/>
          <w:lang w:val="en-US"/>
        </w:rPr>
        <w:t>(Suppl 1)</w:t>
      </w:r>
      <w:r w:rsidRPr="0045429A">
        <w:rPr>
          <w:rFonts w:ascii="Book Antiqua" w:hAnsi="Book Antiqua"/>
          <w:sz w:val="24"/>
          <w:szCs w:val="24"/>
          <w:lang w:val="en-US"/>
        </w:rPr>
        <w:t>: 653A.</w:t>
      </w:r>
    </w:p>
    <w:p w:rsidR="00CF516D" w:rsidRPr="0045429A" w:rsidRDefault="00CF516D" w:rsidP="0045429A">
      <w:pPr>
        <w:pStyle w:val="Prrafodelista"/>
        <w:numPr>
          <w:ilvl w:val="0"/>
          <w:numId w:val="1"/>
        </w:numPr>
        <w:spacing w:line="360" w:lineRule="auto"/>
        <w:jc w:val="both"/>
        <w:rPr>
          <w:rFonts w:ascii="Book Antiqua" w:hAnsi="Book Antiqua"/>
          <w:sz w:val="24"/>
          <w:szCs w:val="24"/>
        </w:rPr>
      </w:pPr>
      <w:r w:rsidRPr="0045429A">
        <w:rPr>
          <w:rFonts w:ascii="Book Antiqua" w:hAnsi="Book Antiqua"/>
          <w:b/>
          <w:sz w:val="24"/>
          <w:szCs w:val="24"/>
          <w:lang w:val="en-US"/>
        </w:rPr>
        <w:t>Le ST</w:t>
      </w:r>
      <w:r w:rsidRPr="0045429A">
        <w:rPr>
          <w:rFonts w:ascii="Book Antiqua" w:hAnsi="Book Antiqua"/>
          <w:sz w:val="24"/>
          <w:szCs w:val="24"/>
          <w:lang w:val="en-US"/>
        </w:rPr>
        <w:t xml:space="preserve">, Sahhar L, Lim J,  He T, Ha P, Rusli F, Ratnam D, Moore GT, Pianko S, Dev A, Polkinghorne K, Sievert W. Do tenofovir and entecavir affect renal function in patients with chronic hepatitis B (CHB)? A two-year observational study from a single Australian centre. </w:t>
      </w:r>
      <w:r w:rsidRPr="0045429A">
        <w:rPr>
          <w:rFonts w:ascii="Book Antiqua" w:hAnsi="Book Antiqua"/>
          <w:i/>
          <w:sz w:val="24"/>
          <w:szCs w:val="24"/>
        </w:rPr>
        <w:t>Hepatology</w:t>
      </w:r>
      <w:r w:rsidRPr="0045429A">
        <w:rPr>
          <w:rFonts w:ascii="Book Antiqua" w:hAnsi="Book Antiqua"/>
          <w:sz w:val="24"/>
          <w:szCs w:val="24"/>
        </w:rPr>
        <w:t xml:space="preserve"> 2012; </w:t>
      </w:r>
      <w:r w:rsidRPr="0045429A">
        <w:rPr>
          <w:rFonts w:ascii="Book Antiqua" w:hAnsi="Book Antiqua"/>
          <w:b/>
          <w:sz w:val="24"/>
          <w:szCs w:val="24"/>
        </w:rPr>
        <w:t>56</w:t>
      </w:r>
      <w:r w:rsidRPr="0045429A">
        <w:rPr>
          <w:rFonts w:ascii="Book Antiqua" w:hAnsi="Book Antiqua"/>
          <w:sz w:val="24"/>
          <w:szCs w:val="24"/>
        </w:rPr>
        <w:t xml:space="preserve"> </w:t>
      </w:r>
      <w:r w:rsidRPr="0045429A">
        <w:rPr>
          <w:rFonts w:ascii="Book Antiqua" w:hAnsi="Book Antiqua"/>
          <w:b/>
          <w:sz w:val="24"/>
          <w:szCs w:val="24"/>
        </w:rPr>
        <w:t>(Suppl 1)</w:t>
      </w:r>
      <w:r w:rsidRPr="0045429A">
        <w:rPr>
          <w:rFonts w:ascii="Book Antiqua" w:hAnsi="Book Antiqua"/>
          <w:sz w:val="24"/>
          <w:szCs w:val="24"/>
        </w:rPr>
        <w:t xml:space="preserve">: 410A. </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Nguyen HL</w:t>
      </w:r>
      <w:r w:rsidRPr="0045429A">
        <w:rPr>
          <w:rFonts w:ascii="Book Antiqua" w:hAnsi="Book Antiqua"/>
          <w:sz w:val="24"/>
          <w:szCs w:val="24"/>
          <w:lang w:val="en-US"/>
        </w:rPr>
        <w:t xml:space="preserve">, Al-Freah MA, Joe D, Carey I, Boyer T, Suddle A, Harrison PM, Agarwal K. A single centre, large “real-life” cohort treated with tenofovir versus entecavir: no deterioration in renal function in tenofovir cohort over 12 months of therapy. </w:t>
      </w:r>
      <w:r w:rsidRPr="0045429A">
        <w:rPr>
          <w:rFonts w:ascii="Book Antiqua" w:hAnsi="Book Antiqua"/>
          <w:i/>
          <w:sz w:val="24"/>
          <w:szCs w:val="24"/>
          <w:lang w:val="en-US"/>
        </w:rPr>
        <w:t>Hepatology</w:t>
      </w:r>
      <w:r w:rsidRPr="0045429A">
        <w:rPr>
          <w:rFonts w:ascii="Book Antiqua" w:hAnsi="Book Antiqua"/>
          <w:sz w:val="24"/>
          <w:szCs w:val="24"/>
          <w:lang w:val="en-US"/>
        </w:rPr>
        <w:t xml:space="preserve"> 2011; </w:t>
      </w:r>
      <w:r w:rsidRPr="0045429A">
        <w:rPr>
          <w:rFonts w:ascii="Book Antiqua" w:hAnsi="Book Antiqua"/>
          <w:b/>
          <w:sz w:val="24"/>
          <w:szCs w:val="24"/>
          <w:lang w:val="en-US"/>
        </w:rPr>
        <w:t>54 (Suppl 1)</w:t>
      </w:r>
      <w:r w:rsidRPr="0045429A">
        <w:rPr>
          <w:rFonts w:ascii="Book Antiqua" w:hAnsi="Book Antiqua"/>
          <w:sz w:val="24"/>
          <w:szCs w:val="24"/>
          <w:lang w:val="en-US"/>
        </w:rPr>
        <w:t>: 604A.</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Gish RG</w:t>
      </w:r>
      <w:r w:rsidRPr="0045429A">
        <w:rPr>
          <w:rFonts w:ascii="Book Antiqua" w:hAnsi="Book Antiqua"/>
          <w:sz w:val="24"/>
          <w:szCs w:val="24"/>
          <w:lang w:val="en-US"/>
        </w:rPr>
        <w:t xml:space="preserve">, Clark MD, Kane SD, Shaw RE, Mangahas MF, Baqai S. Similar risk of renal events among patients treated with tenofovir or entecavir for chronic hepatitis B. </w:t>
      </w:r>
      <w:r w:rsidRPr="0045429A">
        <w:rPr>
          <w:rFonts w:ascii="Book Antiqua" w:hAnsi="Book Antiqua"/>
          <w:i/>
          <w:sz w:val="24"/>
          <w:szCs w:val="24"/>
          <w:lang w:val="en-US"/>
        </w:rPr>
        <w:t>Clin Gastroenterol Hepatol</w:t>
      </w:r>
      <w:r w:rsidRPr="0045429A">
        <w:rPr>
          <w:rFonts w:ascii="Book Antiqua" w:hAnsi="Book Antiqua"/>
          <w:sz w:val="24"/>
          <w:szCs w:val="24"/>
          <w:lang w:val="en-US"/>
        </w:rPr>
        <w:t xml:space="preserve">. 2012; </w:t>
      </w:r>
      <w:r w:rsidRPr="0045429A">
        <w:rPr>
          <w:rFonts w:ascii="Book Antiqua" w:hAnsi="Book Antiqua"/>
          <w:b/>
          <w:sz w:val="24"/>
          <w:szCs w:val="24"/>
          <w:lang w:val="en-US"/>
        </w:rPr>
        <w:t>10</w:t>
      </w:r>
      <w:r w:rsidRPr="0045429A">
        <w:rPr>
          <w:rFonts w:ascii="Book Antiqua" w:hAnsi="Book Antiqua"/>
          <w:sz w:val="24"/>
          <w:szCs w:val="24"/>
          <w:lang w:val="en-US"/>
        </w:rPr>
        <w:t>: 941-946. [PMID: 22507876; DOI: 10.1016/j.cgh.2012.04.008].</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Gish R</w:t>
      </w:r>
      <w:r w:rsidRPr="0045429A">
        <w:rPr>
          <w:rFonts w:ascii="Book Antiqua" w:hAnsi="Book Antiqua"/>
          <w:sz w:val="24"/>
          <w:szCs w:val="24"/>
          <w:lang w:val="en-US"/>
        </w:rPr>
        <w:t xml:space="preserve">, Mangahas M, Baqai S, Shaw R. Risk of renal toxicity with tenofovir DF (TDF) for chronic hepatitis B (CHB). </w:t>
      </w:r>
      <w:r w:rsidRPr="0045429A">
        <w:rPr>
          <w:rFonts w:ascii="Book Antiqua" w:hAnsi="Book Antiqua"/>
          <w:i/>
          <w:sz w:val="24"/>
          <w:szCs w:val="24"/>
          <w:lang w:val="en-US"/>
        </w:rPr>
        <w:t>J. Hepatol</w:t>
      </w:r>
      <w:r w:rsidRPr="0045429A">
        <w:rPr>
          <w:rFonts w:ascii="Book Antiqua" w:hAnsi="Book Antiqua"/>
          <w:sz w:val="24"/>
          <w:szCs w:val="24"/>
          <w:lang w:val="en-US"/>
        </w:rPr>
        <w:t xml:space="preserve">. 2010; </w:t>
      </w:r>
      <w:r w:rsidRPr="0045429A">
        <w:rPr>
          <w:rFonts w:ascii="Book Antiqua" w:hAnsi="Book Antiqua"/>
          <w:b/>
          <w:sz w:val="24"/>
          <w:szCs w:val="24"/>
          <w:lang w:val="en-US"/>
        </w:rPr>
        <w:t>52 (Suppl 1)</w:t>
      </w:r>
      <w:r w:rsidRPr="0045429A">
        <w:rPr>
          <w:rFonts w:ascii="Book Antiqua" w:hAnsi="Book Antiqua"/>
          <w:sz w:val="24"/>
          <w:szCs w:val="24"/>
          <w:lang w:val="en-US"/>
        </w:rPr>
        <w:t>: S388-389. [DOI: 10.1016/S0168-8278(10)61008-2].</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Mauss S</w:t>
      </w:r>
      <w:r w:rsidRPr="0045429A">
        <w:rPr>
          <w:rFonts w:ascii="Book Antiqua" w:hAnsi="Book Antiqua"/>
          <w:sz w:val="24"/>
          <w:szCs w:val="24"/>
          <w:lang w:val="en-US"/>
        </w:rPr>
        <w:t xml:space="preserve">, Berger F, Filmann N, Hueppe D, Henke J, Hegener P, Athmann C, Schmutz G, Herrmann E. Effect of HBV polymerase inhibitors on renal function </w:t>
      </w:r>
      <w:r w:rsidRPr="0045429A">
        <w:rPr>
          <w:rFonts w:ascii="Book Antiqua" w:hAnsi="Book Antiqua"/>
          <w:sz w:val="24"/>
          <w:szCs w:val="24"/>
          <w:lang w:val="en-US"/>
        </w:rPr>
        <w:lastRenderedPageBreak/>
        <w:t xml:space="preserve">in patients with chronic hepatitis B. </w:t>
      </w:r>
      <w:r w:rsidRPr="0045429A">
        <w:rPr>
          <w:rFonts w:ascii="Book Antiqua" w:hAnsi="Book Antiqua"/>
          <w:i/>
          <w:sz w:val="24"/>
          <w:szCs w:val="24"/>
          <w:lang w:val="en-US"/>
        </w:rPr>
        <w:t>J Hepatol</w:t>
      </w:r>
      <w:r w:rsidRPr="0045429A">
        <w:rPr>
          <w:rFonts w:ascii="Book Antiqua" w:hAnsi="Book Antiqua"/>
          <w:sz w:val="24"/>
          <w:szCs w:val="24"/>
          <w:lang w:val="en-US"/>
        </w:rPr>
        <w:t xml:space="preserve">. 2011; </w:t>
      </w:r>
      <w:r w:rsidRPr="0045429A">
        <w:rPr>
          <w:rFonts w:ascii="Book Antiqua" w:hAnsi="Book Antiqua"/>
          <w:b/>
          <w:sz w:val="24"/>
          <w:szCs w:val="24"/>
          <w:lang w:val="en-US"/>
        </w:rPr>
        <w:t>55</w:t>
      </w:r>
      <w:r w:rsidRPr="0045429A">
        <w:rPr>
          <w:rFonts w:ascii="Book Antiqua" w:hAnsi="Book Antiqua"/>
          <w:sz w:val="24"/>
          <w:szCs w:val="24"/>
          <w:lang w:val="en-US"/>
        </w:rPr>
        <w:t>: 1235-1240. [PMID: 21703180; DOI: 10.1016/j.jhep.2011.03.030].</w:t>
      </w:r>
    </w:p>
    <w:p w:rsidR="00CF516D" w:rsidRPr="0045429A" w:rsidRDefault="00CF516D" w:rsidP="0045429A">
      <w:pPr>
        <w:pStyle w:val="Prrafodelista"/>
        <w:numPr>
          <w:ilvl w:val="0"/>
          <w:numId w:val="1"/>
        </w:numPr>
        <w:spacing w:line="360" w:lineRule="auto"/>
        <w:jc w:val="both"/>
        <w:rPr>
          <w:rFonts w:ascii="Book Antiqua" w:hAnsi="Book Antiqua"/>
          <w:sz w:val="24"/>
          <w:szCs w:val="24"/>
          <w:lang w:val="en-US"/>
        </w:rPr>
      </w:pPr>
      <w:r w:rsidRPr="0045429A">
        <w:rPr>
          <w:rFonts w:ascii="Book Antiqua" w:hAnsi="Book Antiqua"/>
          <w:b/>
          <w:sz w:val="24"/>
          <w:szCs w:val="24"/>
          <w:lang w:val="en-US"/>
        </w:rPr>
        <w:t>Ridruejo E</w:t>
      </w:r>
      <w:r w:rsidRPr="0045429A">
        <w:rPr>
          <w:rFonts w:ascii="Book Antiqua" w:hAnsi="Book Antiqua"/>
          <w:sz w:val="24"/>
          <w:szCs w:val="24"/>
          <w:lang w:val="en-US"/>
        </w:rPr>
        <w:t xml:space="preserve">, Silva MO. Safety of long-term nucleos(t)ide treatment in chronic hepatitis B. </w:t>
      </w:r>
      <w:r w:rsidRPr="0045429A">
        <w:rPr>
          <w:rFonts w:ascii="Book Antiqua" w:hAnsi="Book Antiqua"/>
          <w:i/>
          <w:sz w:val="24"/>
          <w:szCs w:val="24"/>
          <w:lang w:val="en-US"/>
        </w:rPr>
        <w:t>Expert Opin Drug Saf</w:t>
      </w:r>
      <w:r w:rsidRPr="0045429A">
        <w:rPr>
          <w:rFonts w:ascii="Book Antiqua" w:hAnsi="Book Antiqua"/>
          <w:sz w:val="24"/>
          <w:szCs w:val="24"/>
          <w:lang w:val="en-US"/>
        </w:rPr>
        <w:t xml:space="preserve">. 2012; </w:t>
      </w:r>
      <w:r w:rsidRPr="0045429A">
        <w:rPr>
          <w:rFonts w:ascii="Book Antiqua" w:hAnsi="Book Antiqua"/>
          <w:b/>
          <w:sz w:val="24"/>
          <w:szCs w:val="24"/>
          <w:lang w:val="en-US"/>
        </w:rPr>
        <w:t>11</w:t>
      </w:r>
      <w:r w:rsidRPr="0045429A">
        <w:rPr>
          <w:rFonts w:ascii="Book Antiqua" w:hAnsi="Book Antiqua"/>
          <w:sz w:val="24"/>
          <w:szCs w:val="24"/>
          <w:lang w:val="en-US"/>
        </w:rPr>
        <w:t xml:space="preserve">: 357-360. [PMID: 22417072; DOI: 10.1517/14740338.2012.672972]. </w:t>
      </w:r>
    </w:p>
    <w:p w:rsidR="00E12526" w:rsidRPr="0045429A" w:rsidRDefault="00E12526" w:rsidP="0045429A">
      <w:pPr>
        <w:spacing w:line="360" w:lineRule="auto"/>
        <w:rPr>
          <w:rFonts w:ascii="Book Antiqua" w:hAnsi="Book Antiqua"/>
          <w:b/>
          <w:sz w:val="24"/>
          <w:szCs w:val="24"/>
          <w:lang w:val="en-US"/>
        </w:rPr>
      </w:pPr>
      <w:r w:rsidRPr="0045429A">
        <w:rPr>
          <w:rFonts w:ascii="Book Antiqua" w:hAnsi="Book Antiqua"/>
          <w:b/>
          <w:sz w:val="24"/>
          <w:szCs w:val="24"/>
          <w:lang w:val="en-US"/>
        </w:rPr>
        <w:br w:type="page"/>
      </w:r>
    </w:p>
    <w:tbl>
      <w:tblPr>
        <w:tblStyle w:val="Tablaconcuadrcula"/>
        <w:tblW w:w="0" w:type="auto"/>
        <w:tblLayout w:type="fixed"/>
        <w:tblLook w:val="04A0"/>
      </w:tblPr>
      <w:tblGrid>
        <w:gridCol w:w="1688"/>
        <w:gridCol w:w="2077"/>
        <w:gridCol w:w="2401"/>
        <w:gridCol w:w="2888"/>
      </w:tblGrid>
      <w:tr w:rsidR="00E12526" w:rsidRPr="0045429A" w:rsidTr="00645A84">
        <w:tc>
          <w:tcPr>
            <w:tcW w:w="1688" w:type="dxa"/>
          </w:tcPr>
          <w:p w:rsidR="00E12526" w:rsidRPr="0045429A" w:rsidRDefault="00E12526" w:rsidP="0045429A">
            <w:pPr>
              <w:spacing w:line="360" w:lineRule="auto"/>
              <w:jc w:val="center"/>
              <w:rPr>
                <w:rFonts w:ascii="Book Antiqua" w:hAnsi="Book Antiqua"/>
                <w:b/>
                <w:sz w:val="24"/>
                <w:szCs w:val="24"/>
                <w:lang w:val="en-US"/>
              </w:rPr>
            </w:pPr>
          </w:p>
        </w:tc>
        <w:tc>
          <w:tcPr>
            <w:tcW w:w="4478" w:type="dxa"/>
            <w:gridSpan w:val="2"/>
          </w:tcPr>
          <w:p w:rsidR="00E12526" w:rsidRPr="0045429A" w:rsidRDefault="00E12526" w:rsidP="0045429A">
            <w:pPr>
              <w:spacing w:line="360" w:lineRule="auto"/>
              <w:jc w:val="center"/>
              <w:rPr>
                <w:rFonts w:ascii="Book Antiqua" w:hAnsi="Book Antiqua"/>
                <w:b/>
                <w:sz w:val="24"/>
                <w:szCs w:val="24"/>
                <w:lang w:val="en-US"/>
              </w:rPr>
            </w:pPr>
            <w:r w:rsidRPr="0045429A">
              <w:rPr>
                <w:rFonts w:ascii="Book Antiqua" w:hAnsi="Book Antiqua"/>
                <w:b/>
                <w:sz w:val="24"/>
                <w:szCs w:val="24"/>
                <w:lang w:val="en-US"/>
              </w:rPr>
              <w:t>Recommended Dosage</w:t>
            </w:r>
          </w:p>
        </w:tc>
        <w:tc>
          <w:tcPr>
            <w:tcW w:w="2888" w:type="dxa"/>
          </w:tcPr>
          <w:p w:rsidR="00E12526" w:rsidRPr="0045429A" w:rsidRDefault="00E12526" w:rsidP="0045429A">
            <w:pPr>
              <w:spacing w:line="360" w:lineRule="auto"/>
              <w:jc w:val="center"/>
              <w:rPr>
                <w:rFonts w:ascii="Book Antiqua" w:hAnsi="Book Antiqua"/>
                <w:b/>
                <w:sz w:val="24"/>
                <w:szCs w:val="24"/>
                <w:lang w:val="en-US"/>
              </w:rPr>
            </w:pPr>
            <w:r w:rsidRPr="0045429A">
              <w:rPr>
                <w:rFonts w:ascii="Book Antiqua" w:hAnsi="Book Antiqua"/>
                <w:b/>
                <w:sz w:val="24"/>
                <w:szCs w:val="24"/>
                <w:lang w:val="en-US"/>
              </w:rPr>
              <w:t>Dosage Forms</w:t>
            </w:r>
          </w:p>
        </w:tc>
      </w:tr>
      <w:tr w:rsidR="00E12526" w:rsidRPr="0045429A" w:rsidTr="00645A84">
        <w:tc>
          <w:tcPr>
            <w:tcW w:w="1688" w:type="dxa"/>
          </w:tcPr>
          <w:p w:rsidR="00E12526" w:rsidRPr="0045429A" w:rsidRDefault="00E12526" w:rsidP="0045429A">
            <w:pPr>
              <w:spacing w:line="360" w:lineRule="auto"/>
              <w:jc w:val="center"/>
              <w:rPr>
                <w:rFonts w:ascii="Book Antiqua" w:hAnsi="Book Antiqua"/>
                <w:b/>
                <w:sz w:val="24"/>
                <w:szCs w:val="24"/>
                <w:lang w:val="en-US"/>
              </w:rPr>
            </w:pPr>
            <w:r w:rsidRPr="0045429A">
              <w:rPr>
                <w:rFonts w:ascii="Book Antiqua" w:hAnsi="Book Antiqua"/>
                <w:b/>
                <w:sz w:val="24"/>
                <w:szCs w:val="24"/>
                <w:lang w:val="en-US"/>
              </w:rPr>
              <w:t>Creatinine Clearance</w:t>
            </w:r>
          </w:p>
          <w:p w:rsidR="00E12526" w:rsidRPr="0045429A" w:rsidRDefault="00E12526" w:rsidP="0045429A">
            <w:pPr>
              <w:spacing w:line="360" w:lineRule="auto"/>
              <w:jc w:val="center"/>
              <w:rPr>
                <w:rFonts w:ascii="Book Antiqua" w:hAnsi="Book Antiqua"/>
                <w:b/>
                <w:sz w:val="24"/>
                <w:szCs w:val="24"/>
                <w:lang w:val="en-US"/>
              </w:rPr>
            </w:pPr>
            <w:r w:rsidRPr="0045429A">
              <w:rPr>
                <w:rFonts w:ascii="Book Antiqua" w:hAnsi="Book Antiqua"/>
                <w:b/>
                <w:sz w:val="24"/>
                <w:szCs w:val="24"/>
                <w:lang w:val="en-US"/>
              </w:rPr>
              <w:t>(mL/min)</w:t>
            </w:r>
          </w:p>
        </w:tc>
        <w:tc>
          <w:tcPr>
            <w:tcW w:w="4478" w:type="dxa"/>
            <w:gridSpan w:val="2"/>
          </w:tcPr>
          <w:p w:rsidR="00E12526" w:rsidRPr="0045429A" w:rsidRDefault="00E12526" w:rsidP="0045429A">
            <w:pPr>
              <w:spacing w:line="360" w:lineRule="auto"/>
              <w:jc w:val="center"/>
              <w:rPr>
                <w:rFonts w:ascii="Book Antiqua" w:hAnsi="Book Antiqua"/>
                <w:b/>
                <w:sz w:val="24"/>
                <w:szCs w:val="24"/>
                <w:lang w:val="en-US"/>
              </w:rPr>
            </w:pPr>
            <w:r w:rsidRPr="0045429A">
              <w:rPr>
                <w:rFonts w:ascii="Book Antiqua" w:hAnsi="Book Antiqua"/>
                <w:b/>
                <w:sz w:val="24"/>
                <w:szCs w:val="24"/>
                <w:lang w:val="en-US"/>
              </w:rPr>
              <w:t>Lamivudine</w:t>
            </w:r>
            <w:r w:rsidRPr="0045429A">
              <w:rPr>
                <w:rFonts w:ascii="Book Antiqua" w:hAnsi="Book Antiqua"/>
                <w:b/>
                <w:sz w:val="24"/>
                <w:szCs w:val="24"/>
                <w:vertAlign w:val="superscript"/>
                <w:lang w:val="en-US"/>
              </w:rPr>
              <w:t>[25]</w:t>
            </w:r>
          </w:p>
        </w:tc>
        <w:tc>
          <w:tcPr>
            <w:tcW w:w="2888" w:type="dxa"/>
          </w:tcPr>
          <w:p w:rsidR="00E12526" w:rsidRPr="0045429A" w:rsidRDefault="00E12526" w:rsidP="0045429A">
            <w:pPr>
              <w:spacing w:line="360" w:lineRule="auto"/>
              <w:jc w:val="center"/>
              <w:rPr>
                <w:rFonts w:ascii="Book Antiqua" w:hAnsi="Book Antiqua"/>
                <w:b/>
                <w:sz w:val="24"/>
                <w:szCs w:val="24"/>
                <w:lang w:val="en-US"/>
              </w:rPr>
            </w:pPr>
            <w:r w:rsidRPr="0045429A">
              <w:rPr>
                <w:rFonts w:ascii="Book Antiqua" w:hAnsi="Book Antiqua"/>
                <w:b/>
                <w:sz w:val="24"/>
                <w:szCs w:val="24"/>
                <w:lang w:val="en-US"/>
              </w:rPr>
              <w:t>Lamivudine</w:t>
            </w:r>
            <w:r w:rsidRPr="0045429A">
              <w:rPr>
                <w:rFonts w:ascii="Book Antiqua" w:hAnsi="Book Antiqua"/>
                <w:b/>
                <w:sz w:val="24"/>
                <w:szCs w:val="24"/>
                <w:vertAlign w:val="superscript"/>
                <w:lang w:val="en-US"/>
              </w:rPr>
              <w:t>[25]</w:t>
            </w:r>
          </w:p>
        </w:tc>
      </w:tr>
      <w:tr w:rsidR="00E12526" w:rsidRPr="0045429A" w:rsidTr="00645A84">
        <w:tc>
          <w:tcPr>
            <w:tcW w:w="1688" w:type="dxa"/>
          </w:tcPr>
          <w:p w:rsidR="00E12526" w:rsidRPr="0045429A" w:rsidRDefault="00E12526" w:rsidP="0045429A">
            <w:pPr>
              <w:pStyle w:val="NormalWeb"/>
              <w:spacing w:before="0" w:beforeAutospacing="0" w:after="0" w:afterAutospacing="0" w:line="360" w:lineRule="auto"/>
              <w:jc w:val="both"/>
              <w:rPr>
                <w:rFonts w:ascii="Book Antiqua" w:hAnsi="Book Antiqua" w:cs="Arial"/>
                <w:lang w:val="en-US"/>
              </w:rPr>
            </w:pPr>
            <w:r w:rsidRPr="0045429A">
              <w:rPr>
                <w:rFonts w:ascii="Book Antiqua" w:eastAsia="Calibri" w:hAnsi="Book Antiqua"/>
                <w:color w:val="000000"/>
                <w:kern w:val="24"/>
                <w:lang w:val="en-US"/>
              </w:rPr>
              <w:t>&gt;50</w:t>
            </w:r>
          </w:p>
        </w:tc>
        <w:tc>
          <w:tcPr>
            <w:tcW w:w="4478" w:type="dxa"/>
            <w:gridSpan w:val="2"/>
          </w:tcPr>
          <w:p w:rsidR="00E12526" w:rsidRPr="0045429A" w:rsidRDefault="00E12526" w:rsidP="0045429A">
            <w:pPr>
              <w:spacing w:line="360" w:lineRule="auto"/>
              <w:rPr>
                <w:rFonts w:ascii="Book Antiqua" w:hAnsi="Book Antiqua"/>
                <w:sz w:val="24"/>
                <w:szCs w:val="24"/>
                <w:lang w:val="en-US"/>
              </w:rPr>
            </w:pPr>
            <w:r w:rsidRPr="0045429A">
              <w:rPr>
                <w:rFonts w:ascii="Book Antiqua" w:hAnsi="Book Antiqua" w:cs="Times New Roman"/>
                <w:sz w:val="24"/>
                <w:szCs w:val="24"/>
                <w:lang w:val="en-US"/>
              </w:rPr>
              <w:t>100 mg once daily</w:t>
            </w:r>
          </w:p>
        </w:tc>
        <w:tc>
          <w:tcPr>
            <w:tcW w:w="2888" w:type="dxa"/>
            <w:vMerge w:val="restart"/>
          </w:tcPr>
          <w:p w:rsidR="00E12526" w:rsidRPr="0045429A" w:rsidRDefault="00E12526" w:rsidP="0045429A">
            <w:pPr>
              <w:autoSpaceDE w:val="0"/>
              <w:autoSpaceDN w:val="0"/>
              <w:adjustRightInd w:val="0"/>
              <w:spacing w:line="360" w:lineRule="auto"/>
              <w:rPr>
                <w:rFonts w:ascii="Book Antiqua" w:hAnsi="Book Antiqua" w:cs="Times New Roman"/>
                <w:sz w:val="24"/>
                <w:szCs w:val="24"/>
                <w:lang w:val="en-US"/>
              </w:rPr>
            </w:pPr>
            <w:r w:rsidRPr="0045429A">
              <w:rPr>
                <w:rFonts w:ascii="Book Antiqua" w:hAnsi="Book Antiqua" w:cs="Times New Roman"/>
                <w:sz w:val="24"/>
                <w:szCs w:val="24"/>
                <w:lang w:val="en-US"/>
              </w:rPr>
              <w:t xml:space="preserve">Tablets: 100 mg, </w:t>
            </w:r>
          </w:p>
          <w:p w:rsidR="00E12526" w:rsidRPr="0045429A" w:rsidRDefault="00E12526" w:rsidP="0045429A">
            <w:pPr>
              <w:autoSpaceDE w:val="0"/>
              <w:autoSpaceDN w:val="0"/>
              <w:adjustRightInd w:val="0"/>
              <w:spacing w:line="360" w:lineRule="auto"/>
              <w:rPr>
                <w:rFonts w:ascii="Book Antiqua" w:hAnsi="Book Antiqua" w:cs="Times New Roman"/>
                <w:sz w:val="24"/>
                <w:szCs w:val="24"/>
                <w:lang w:val="en-US"/>
              </w:rPr>
            </w:pPr>
            <w:r w:rsidRPr="0045429A">
              <w:rPr>
                <w:rFonts w:ascii="Book Antiqua" w:hAnsi="Book Antiqua" w:cs="Times New Roman"/>
                <w:sz w:val="24"/>
                <w:szCs w:val="24"/>
                <w:lang w:val="en-US"/>
              </w:rPr>
              <w:t>Oral solution: 10 mg/mL</w:t>
            </w:r>
          </w:p>
        </w:tc>
      </w:tr>
      <w:tr w:rsidR="00E12526" w:rsidRPr="0045429A" w:rsidTr="00645A84">
        <w:tc>
          <w:tcPr>
            <w:tcW w:w="1688" w:type="dxa"/>
          </w:tcPr>
          <w:p w:rsidR="00E12526" w:rsidRPr="0045429A" w:rsidRDefault="00E12526" w:rsidP="0045429A">
            <w:pPr>
              <w:pStyle w:val="NormalWeb"/>
              <w:spacing w:before="0" w:beforeAutospacing="0" w:after="0" w:afterAutospacing="0" w:line="360" w:lineRule="auto"/>
              <w:jc w:val="both"/>
              <w:rPr>
                <w:rFonts w:ascii="Book Antiqua" w:hAnsi="Book Antiqua" w:cs="Arial"/>
                <w:lang w:val="en-US"/>
              </w:rPr>
            </w:pPr>
            <w:r w:rsidRPr="0045429A">
              <w:rPr>
                <w:rFonts w:ascii="Book Antiqua" w:eastAsia="Calibri" w:hAnsi="Book Antiqua"/>
                <w:color w:val="000000"/>
                <w:kern w:val="24"/>
                <w:lang w:val="en-US"/>
              </w:rPr>
              <w:t>30-49</w:t>
            </w:r>
          </w:p>
        </w:tc>
        <w:tc>
          <w:tcPr>
            <w:tcW w:w="4478" w:type="dxa"/>
            <w:gridSpan w:val="2"/>
          </w:tcPr>
          <w:p w:rsidR="00E12526" w:rsidRPr="0045429A" w:rsidRDefault="00E12526" w:rsidP="0045429A">
            <w:pPr>
              <w:spacing w:line="360" w:lineRule="auto"/>
              <w:rPr>
                <w:rFonts w:ascii="Book Antiqua" w:hAnsi="Book Antiqua"/>
                <w:sz w:val="24"/>
                <w:szCs w:val="24"/>
                <w:lang w:val="en-US"/>
              </w:rPr>
            </w:pPr>
            <w:r w:rsidRPr="0045429A">
              <w:rPr>
                <w:rFonts w:ascii="Book Antiqua" w:hAnsi="Book Antiqua" w:cs="Times New Roman"/>
                <w:sz w:val="24"/>
                <w:szCs w:val="24"/>
                <w:lang w:val="en-US"/>
              </w:rPr>
              <w:t>100 mg first dose, then 50 mg once daily</w:t>
            </w:r>
          </w:p>
        </w:tc>
        <w:tc>
          <w:tcPr>
            <w:tcW w:w="2888" w:type="dxa"/>
            <w:vMerge/>
          </w:tcPr>
          <w:p w:rsidR="00E12526" w:rsidRPr="0045429A" w:rsidRDefault="00E12526" w:rsidP="0045429A">
            <w:pPr>
              <w:spacing w:line="360" w:lineRule="auto"/>
              <w:rPr>
                <w:rFonts w:ascii="Book Antiqua" w:hAnsi="Book Antiqua" w:cs="Times New Roman"/>
                <w:sz w:val="24"/>
                <w:szCs w:val="24"/>
                <w:lang w:val="en-US"/>
              </w:rPr>
            </w:pPr>
          </w:p>
        </w:tc>
      </w:tr>
      <w:tr w:rsidR="00E12526" w:rsidRPr="0045429A" w:rsidTr="00645A84">
        <w:tc>
          <w:tcPr>
            <w:tcW w:w="1688" w:type="dxa"/>
          </w:tcPr>
          <w:p w:rsidR="00E12526" w:rsidRPr="0045429A" w:rsidRDefault="00E12526" w:rsidP="0045429A">
            <w:pPr>
              <w:pStyle w:val="NormalWeb"/>
              <w:spacing w:before="0" w:beforeAutospacing="0" w:after="0" w:afterAutospacing="0" w:line="360" w:lineRule="auto"/>
              <w:jc w:val="both"/>
              <w:rPr>
                <w:rFonts w:ascii="Book Antiqua" w:hAnsi="Book Antiqua" w:cs="Arial"/>
                <w:lang w:val="en-US"/>
              </w:rPr>
            </w:pPr>
            <w:r w:rsidRPr="0045429A">
              <w:rPr>
                <w:rFonts w:ascii="Book Antiqua" w:eastAsia="Calibri" w:hAnsi="Book Antiqua"/>
                <w:color w:val="000000"/>
                <w:kern w:val="24"/>
                <w:lang w:val="en-US"/>
              </w:rPr>
              <w:t>15-29</w:t>
            </w:r>
          </w:p>
        </w:tc>
        <w:tc>
          <w:tcPr>
            <w:tcW w:w="4478" w:type="dxa"/>
            <w:gridSpan w:val="2"/>
          </w:tcPr>
          <w:p w:rsidR="00E12526" w:rsidRPr="0045429A" w:rsidRDefault="00E12526" w:rsidP="0045429A">
            <w:pPr>
              <w:spacing w:line="360" w:lineRule="auto"/>
              <w:rPr>
                <w:rFonts w:ascii="Book Antiqua" w:hAnsi="Book Antiqua"/>
                <w:sz w:val="24"/>
                <w:szCs w:val="24"/>
                <w:lang w:val="en-US"/>
              </w:rPr>
            </w:pPr>
            <w:r w:rsidRPr="0045429A">
              <w:rPr>
                <w:rFonts w:ascii="Book Antiqua" w:hAnsi="Book Antiqua" w:cs="Times New Roman"/>
                <w:sz w:val="24"/>
                <w:szCs w:val="24"/>
                <w:lang w:val="en-US"/>
              </w:rPr>
              <w:t>100 mg first dose, then 25 mg once daily</w:t>
            </w:r>
          </w:p>
        </w:tc>
        <w:tc>
          <w:tcPr>
            <w:tcW w:w="2888" w:type="dxa"/>
            <w:vMerge/>
          </w:tcPr>
          <w:p w:rsidR="00E12526" w:rsidRPr="0045429A" w:rsidRDefault="00E12526" w:rsidP="0045429A">
            <w:pPr>
              <w:spacing w:line="360" w:lineRule="auto"/>
              <w:rPr>
                <w:rFonts w:ascii="Book Antiqua" w:hAnsi="Book Antiqua" w:cs="Times New Roman"/>
                <w:sz w:val="24"/>
                <w:szCs w:val="24"/>
                <w:lang w:val="en-US"/>
              </w:rPr>
            </w:pPr>
          </w:p>
        </w:tc>
      </w:tr>
      <w:tr w:rsidR="00E12526" w:rsidRPr="0045429A" w:rsidTr="00645A84">
        <w:tc>
          <w:tcPr>
            <w:tcW w:w="1688" w:type="dxa"/>
          </w:tcPr>
          <w:p w:rsidR="00E12526" w:rsidRPr="0045429A" w:rsidRDefault="00E12526" w:rsidP="0045429A">
            <w:pPr>
              <w:pStyle w:val="NormalWeb"/>
              <w:spacing w:before="0" w:beforeAutospacing="0" w:after="0" w:afterAutospacing="0" w:line="360" w:lineRule="auto"/>
              <w:jc w:val="both"/>
              <w:rPr>
                <w:rFonts w:ascii="Book Antiqua" w:hAnsi="Book Antiqua" w:cs="Arial"/>
                <w:lang w:val="en-US"/>
              </w:rPr>
            </w:pPr>
            <w:r w:rsidRPr="0045429A">
              <w:rPr>
                <w:rFonts w:ascii="Book Antiqua" w:eastAsia="Calibri" w:hAnsi="Book Antiqua"/>
                <w:color w:val="000000"/>
                <w:kern w:val="24"/>
                <w:lang w:val="en-US"/>
              </w:rPr>
              <w:t>5-14</w:t>
            </w:r>
          </w:p>
        </w:tc>
        <w:tc>
          <w:tcPr>
            <w:tcW w:w="4478" w:type="dxa"/>
            <w:gridSpan w:val="2"/>
          </w:tcPr>
          <w:p w:rsidR="00E12526" w:rsidRPr="0045429A" w:rsidRDefault="00E12526" w:rsidP="0045429A">
            <w:pPr>
              <w:spacing w:line="360" w:lineRule="auto"/>
              <w:rPr>
                <w:rFonts w:ascii="Book Antiqua" w:hAnsi="Book Antiqua"/>
                <w:sz w:val="24"/>
                <w:szCs w:val="24"/>
                <w:lang w:val="en-US"/>
              </w:rPr>
            </w:pPr>
            <w:r w:rsidRPr="0045429A">
              <w:rPr>
                <w:rFonts w:ascii="Book Antiqua" w:hAnsi="Book Antiqua" w:cs="Times New Roman"/>
                <w:sz w:val="24"/>
                <w:szCs w:val="24"/>
                <w:lang w:val="en-US"/>
              </w:rPr>
              <w:t>35 mg first dose, then 15 mg once daily</w:t>
            </w:r>
          </w:p>
        </w:tc>
        <w:tc>
          <w:tcPr>
            <w:tcW w:w="2888" w:type="dxa"/>
            <w:vMerge/>
          </w:tcPr>
          <w:p w:rsidR="00E12526" w:rsidRPr="0045429A" w:rsidRDefault="00E12526" w:rsidP="0045429A">
            <w:pPr>
              <w:spacing w:line="360" w:lineRule="auto"/>
              <w:rPr>
                <w:rFonts w:ascii="Book Antiqua" w:hAnsi="Book Antiqua" w:cs="Times New Roman"/>
                <w:sz w:val="24"/>
                <w:szCs w:val="24"/>
                <w:lang w:val="en-US"/>
              </w:rPr>
            </w:pPr>
          </w:p>
        </w:tc>
      </w:tr>
      <w:tr w:rsidR="00E12526" w:rsidRPr="0045429A" w:rsidTr="00645A84">
        <w:tc>
          <w:tcPr>
            <w:tcW w:w="1688" w:type="dxa"/>
          </w:tcPr>
          <w:p w:rsidR="00E12526" w:rsidRPr="0045429A" w:rsidRDefault="00E12526" w:rsidP="0045429A">
            <w:pPr>
              <w:pStyle w:val="NormalWeb"/>
              <w:spacing w:before="0" w:beforeAutospacing="0" w:after="0" w:afterAutospacing="0" w:line="360" w:lineRule="auto"/>
              <w:jc w:val="both"/>
              <w:rPr>
                <w:rFonts w:ascii="Book Antiqua" w:hAnsi="Book Antiqua" w:cs="Arial"/>
                <w:lang w:val="en-US"/>
              </w:rPr>
            </w:pPr>
            <w:r w:rsidRPr="0045429A">
              <w:rPr>
                <w:rFonts w:ascii="Book Antiqua" w:eastAsia="Calibri" w:hAnsi="Book Antiqua"/>
                <w:color w:val="000000"/>
                <w:kern w:val="24"/>
                <w:lang w:val="en-US"/>
              </w:rPr>
              <w:t xml:space="preserve">&lt;5 </w:t>
            </w:r>
          </w:p>
        </w:tc>
        <w:tc>
          <w:tcPr>
            <w:tcW w:w="4478" w:type="dxa"/>
            <w:gridSpan w:val="2"/>
          </w:tcPr>
          <w:p w:rsidR="00E12526" w:rsidRPr="0045429A" w:rsidRDefault="00E12526" w:rsidP="0045429A">
            <w:pPr>
              <w:spacing w:line="360" w:lineRule="auto"/>
              <w:rPr>
                <w:rFonts w:ascii="Book Antiqua" w:hAnsi="Book Antiqua"/>
                <w:sz w:val="24"/>
                <w:szCs w:val="24"/>
                <w:lang w:val="en-US"/>
              </w:rPr>
            </w:pPr>
            <w:r w:rsidRPr="0045429A">
              <w:rPr>
                <w:rFonts w:ascii="Book Antiqua" w:hAnsi="Book Antiqua" w:cs="Times New Roman"/>
                <w:sz w:val="24"/>
                <w:szCs w:val="24"/>
                <w:lang w:val="en-US"/>
              </w:rPr>
              <w:t>35 mg first dose, then 10 mg once daily</w:t>
            </w:r>
          </w:p>
        </w:tc>
        <w:tc>
          <w:tcPr>
            <w:tcW w:w="2888" w:type="dxa"/>
            <w:vMerge/>
          </w:tcPr>
          <w:p w:rsidR="00E12526" w:rsidRPr="0045429A" w:rsidRDefault="00E12526" w:rsidP="0045429A">
            <w:pPr>
              <w:spacing w:line="360" w:lineRule="auto"/>
              <w:rPr>
                <w:rFonts w:ascii="Book Antiqua" w:hAnsi="Book Antiqua" w:cs="Times New Roman"/>
                <w:sz w:val="24"/>
                <w:szCs w:val="24"/>
                <w:lang w:val="en-US"/>
              </w:rPr>
            </w:pPr>
          </w:p>
        </w:tc>
      </w:tr>
      <w:tr w:rsidR="00E12526" w:rsidRPr="0045429A" w:rsidTr="00645A84">
        <w:tc>
          <w:tcPr>
            <w:tcW w:w="1688" w:type="dxa"/>
          </w:tcPr>
          <w:p w:rsidR="00E12526" w:rsidRPr="0045429A" w:rsidRDefault="00E12526" w:rsidP="0045429A">
            <w:pPr>
              <w:spacing w:line="360" w:lineRule="auto"/>
              <w:jc w:val="center"/>
              <w:rPr>
                <w:rFonts w:ascii="Book Antiqua" w:hAnsi="Book Antiqua"/>
                <w:b/>
                <w:sz w:val="24"/>
                <w:szCs w:val="24"/>
                <w:lang w:val="en-US"/>
              </w:rPr>
            </w:pPr>
          </w:p>
        </w:tc>
        <w:tc>
          <w:tcPr>
            <w:tcW w:w="4478" w:type="dxa"/>
            <w:gridSpan w:val="2"/>
          </w:tcPr>
          <w:p w:rsidR="00E12526" w:rsidRPr="0045429A" w:rsidRDefault="00E12526" w:rsidP="0045429A">
            <w:pPr>
              <w:spacing w:line="360" w:lineRule="auto"/>
              <w:jc w:val="center"/>
              <w:rPr>
                <w:rFonts w:ascii="Book Antiqua" w:hAnsi="Book Antiqua"/>
                <w:b/>
                <w:sz w:val="24"/>
                <w:szCs w:val="24"/>
                <w:lang w:val="en-US"/>
              </w:rPr>
            </w:pPr>
            <w:r w:rsidRPr="0045429A">
              <w:rPr>
                <w:rFonts w:ascii="Book Antiqua" w:hAnsi="Book Antiqua"/>
                <w:b/>
                <w:sz w:val="24"/>
                <w:szCs w:val="24"/>
                <w:lang w:val="en-US"/>
              </w:rPr>
              <w:t>Adefovir</w:t>
            </w:r>
            <w:r w:rsidRPr="0045429A">
              <w:rPr>
                <w:rFonts w:ascii="Book Antiqua" w:hAnsi="Book Antiqua"/>
                <w:b/>
                <w:sz w:val="24"/>
                <w:szCs w:val="24"/>
                <w:vertAlign w:val="superscript"/>
                <w:lang w:val="en-US"/>
              </w:rPr>
              <w:t>[26]</w:t>
            </w:r>
          </w:p>
        </w:tc>
        <w:tc>
          <w:tcPr>
            <w:tcW w:w="2888" w:type="dxa"/>
          </w:tcPr>
          <w:p w:rsidR="00E12526" w:rsidRPr="0045429A" w:rsidRDefault="00E12526" w:rsidP="0045429A">
            <w:pPr>
              <w:spacing w:line="360" w:lineRule="auto"/>
              <w:jc w:val="center"/>
              <w:rPr>
                <w:rFonts w:ascii="Book Antiqua" w:hAnsi="Book Antiqua"/>
                <w:b/>
                <w:sz w:val="24"/>
                <w:szCs w:val="24"/>
                <w:lang w:val="en-US"/>
              </w:rPr>
            </w:pPr>
            <w:r w:rsidRPr="0045429A">
              <w:rPr>
                <w:rFonts w:ascii="Book Antiqua" w:hAnsi="Book Antiqua"/>
                <w:b/>
                <w:sz w:val="24"/>
                <w:szCs w:val="24"/>
                <w:lang w:val="en-US"/>
              </w:rPr>
              <w:t>Adefovir</w:t>
            </w:r>
            <w:r w:rsidRPr="0045429A">
              <w:rPr>
                <w:rFonts w:ascii="Book Antiqua" w:hAnsi="Book Antiqua"/>
                <w:b/>
                <w:sz w:val="24"/>
                <w:szCs w:val="24"/>
                <w:vertAlign w:val="superscript"/>
                <w:lang w:val="en-US"/>
              </w:rPr>
              <w:t>[26]</w:t>
            </w:r>
          </w:p>
        </w:tc>
      </w:tr>
      <w:tr w:rsidR="00E12526" w:rsidRPr="0045429A" w:rsidTr="00645A84">
        <w:tc>
          <w:tcPr>
            <w:tcW w:w="1688" w:type="dxa"/>
          </w:tcPr>
          <w:p w:rsidR="00E12526" w:rsidRPr="0045429A" w:rsidRDefault="00E12526" w:rsidP="0045429A">
            <w:pPr>
              <w:pStyle w:val="NormalWeb"/>
              <w:spacing w:before="0" w:beforeAutospacing="0" w:after="0" w:afterAutospacing="0" w:line="360" w:lineRule="auto"/>
              <w:jc w:val="both"/>
              <w:rPr>
                <w:rFonts w:ascii="Book Antiqua" w:hAnsi="Book Antiqua" w:cs="Arial"/>
                <w:lang w:val="en-US"/>
              </w:rPr>
            </w:pPr>
            <w:r w:rsidRPr="0045429A">
              <w:rPr>
                <w:rFonts w:ascii="Book Antiqua" w:eastAsia="Calibri" w:hAnsi="Book Antiqua"/>
                <w:color w:val="000000"/>
                <w:kern w:val="24"/>
                <w:lang w:val="en-US"/>
              </w:rPr>
              <w:t>&gt;50</w:t>
            </w:r>
          </w:p>
        </w:tc>
        <w:tc>
          <w:tcPr>
            <w:tcW w:w="4478" w:type="dxa"/>
            <w:gridSpan w:val="2"/>
          </w:tcPr>
          <w:p w:rsidR="00E12526" w:rsidRPr="0045429A" w:rsidRDefault="00E12526" w:rsidP="0045429A">
            <w:pPr>
              <w:spacing w:line="360" w:lineRule="auto"/>
              <w:rPr>
                <w:rFonts w:ascii="Book Antiqua" w:hAnsi="Book Antiqua"/>
                <w:sz w:val="24"/>
                <w:szCs w:val="24"/>
                <w:lang w:val="en-US"/>
              </w:rPr>
            </w:pPr>
            <w:r w:rsidRPr="0045429A">
              <w:rPr>
                <w:rFonts w:ascii="Book Antiqua" w:eastAsia="Calibri" w:hAnsi="Book Antiqua"/>
                <w:color w:val="000000"/>
                <w:kern w:val="24"/>
                <w:sz w:val="24"/>
                <w:szCs w:val="24"/>
                <w:lang w:val="en-US"/>
              </w:rPr>
              <w:t>10 mg every 24 hours</w:t>
            </w:r>
          </w:p>
        </w:tc>
        <w:tc>
          <w:tcPr>
            <w:tcW w:w="2888" w:type="dxa"/>
            <w:vMerge w:val="restart"/>
          </w:tcPr>
          <w:p w:rsidR="00E12526" w:rsidRPr="0045429A" w:rsidRDefault="00E12526" w:rsidP="0045429A">
            <w:pPr>
              <w:autoSpaceDE w:val="0"/>
              <w:autoSpaceDN w:val="0"/>
              <w:adjustRightInd w:val="0"/>
              <w:spacing w:line="360" w:lineRule="auto"/>
              <w:rPr>
                <w:rFonts w:ascii="Book Antiqua" w:hAnsi="Book Antiqua" w:cs="Times New Roman"/>
                <w:sz w:val="24"/>
                <w:szCs w:val="24"/>
                <w:lang w:val="en-US"/>
              </w:rPr>
            </w:pPr>
            <w:r w:rsidRPr="0045429A">
              <w:rPr>
                <w:rFonts w:ascii="Book Antiqua" w:hAnsi="Book Antiqua" w:cs="Times New Roman"/>
                <w:sz w:val="24"/>
                <w:szCs w:val="24"/>
                <w:lang w:val="en-US"/>
              </w:rPr>
              <w:t xml:space="preserve">Tablets: 10 mg, </w:t>
            </w:r>
          </w:p>
          <w:p w:rsidR="00E12526" w:rsidRPr="0045429A" w:rsidRDefault="00E12526" w:rsidP="0045429A">
            <w:pPr>
              <w:autoSpaceDE w:val="0"/>
              <w:autoSpaceDN w:val="0"/>
              <w:adjustRightInd w:val="0"/>
              <w:spacing w:line="360" w:lineRule="auto"/>
              <w:rPr>
                <w:rFonts w:ascii="Book Antiqua" w:hAnsi="Book Antiqua" w:cs="Times New Roman"/>
                <w:sz w:val="24"/>
                <w:szCs w:val="24"/>
                <w:lang w:val="en-US"/>
              </w:rPr>
            </w:pPr>
            <w:r w:rsidRPr="0045429A">
              <w:rPr>
                <w:rFonts w:ascii="Book Antiqua" w:hAnsi="Book Antiqua" w:cs="Times New Roman"/>
                <w:sz w:val="24"/>
                <w:szCs w:val="24"/>
                <w:lang w:val="en-US"/>
              </w:rPr>
              <w:t>Oral solution: not available</w:t>
            </w:r>
          </w:p>
        </w:tc>
      </w:tr>
      <w:tr w:rsidR="00E12526" w:rsidRPr="0045429A" w:rsidTr="00645A84">
        <w:tc>
          <w:tcPr>
            <w:tcW w:w="1688" w:type="dxa"/>
          </w:tcPr>
          <w:p w:rsidR="00E12526" w:rsidRPr="0045429A" w:rsidRDefault="00E12526" w:rsidP="0045429A">
            <w:pPr>
              <w:pStyle w:val="NormalWeb"/>
              <w:spacing w:before="0" w:beforeAutospacing="0" w:after="0" w:afterAutospacing="0" w:line="360" w:lineRule="auto"/>
              <w:jc w:val="both"/>
              <w:rPr>
                <w:rFonts w:ascii="Book Antiqua" w:hAnsi="Book Antiqua" w:cs="Arial"/>
                <w:lang w:val="en-US"/>
              </w:rPr>
            </w:pPr>
            <w:r w:rsidRPr="0045429A">
              <w:rPr>
                <w:rFonts w:ascii="Book Antiqua" w:eastAsia="Calibri" w:hAnsi="Book Antiqua"/>
                <w:color w:val="000000"/>
                <w:kern w:val="24"/>
                <w:lang w:val="en-US"/>
              </w:rPr>
              <w:t>30-49</w:t>
            </w:r>
          </w:p>
        </w:tc>
        <w:tc>
          <w:tcPr>
            <w:tcW w:w="4478" w:type="dxa"/>
            <w:gridSpan w:val="2"/>
          </w:tcPr>
          <w:p w:rsidR="00E12526" w:rsidRPr="0045429A" w:rsidRDefault="00E12526" w:rsidP="0045429A">
            <w:pPr>
              <w:spacing w:line="360" w:lineRule="auto"/>
              <w:rPr>
                <w:rFonts w:ascii="Book Antiqua" w:hAnsi="Book Antiqua"/>
                <w:sz w:val="24"/>
                <w:szCs w:val="24"/>
                <w:lang w:val="en-US"/>
              </w:rPr>
            </w:pPr>
            <w:r w:rsidRPr="0045429A">
              <w:rPr>
                <w:rFonts w:ascii="Book Antiqua" w:eastAsia="Calibri" w:hAnsi="Book Antiqua"/>
                <w:color w:val="000000"/>
                <w:kern w:val="24"/>
                <w:sz w:val="24"/>
                <w:szCs w:val="24"/>
                <w:lang w:val="en-US"/>
              </w:rPr>
              <w:t>10 mg every 48 hours</w:t>
            </w:r>
          </w:p>
        </w:tc>
        <w:tc>
          <w:tcPr>
            <w:tcW w:w="2888" w:type="dxa"/>
            <w:vMerge/>
          </w:tcPr>
          <w:p w:rsidR="00E12526" w:rsidRPr="0045429A" w:rsidRDefault="00E12526" w:rsidP="0045429A">
            <w:pPr>
              <w:spacing w:line="360" w:lineRule="auto"/>
              <w:rPr>
                <w:rFonts w:ascii="Book Antiqua" w:eastAsia="Calibri" w:hAnsi="Book Antiqua"/>
                <w:color w:val="000000"/>
                <w:kern w:val="24"/>
                <w:sz w:val="24"/>
                <w:szCs w:val="24"/>
                <w:lang w:val="en-US"/>
              </w:rPr>
            </w:pPr>
          </w:p>
        </w:tc>
      </w:tr>
      <w:tr w:rsidR="00E12526" w:rsidRPr="0045429A" w:rsidTr="00645A84">
        <w:tc>
          <w:tcPr>
            <w:tcW w:w="1688" w:type="dxa"/>
          </w:tcPr>
          <w:p w:rsidR="00E12526" w:rsidRPr="0045429A" w:rsidRDefault="00E12526" w:rsidP="0045429A">
            <w:pPr>
              <w:pStyle w:val="NormalWeb"/>
              <w:spacing w:before="0" w:beforeAutospacing="0" w:after="0" w:afterAutospacing="0" w:line="360" w:lineRule="auto"/>
              <w:jc w:val="both"/>
              <w:rPr>
                <w:rFonts w:ascii="Book Antiqua" w:hAnsi="Book Antiqua" w:cs="Arial"/>
                <w:lang w:val="en-US"/>
              </w:rPr>
            </w:pPr>
            <w:r w:rsidRPr="0045429A">
              <w:rPr>
                <w:rFonts w:ascii="Book Antiqua" w:eastAsia="Calibri" w:hAnsi="Book Antiqua"/>
                <w:color w:val="000000"/>
                <w:kern w:val="24"/>
                <w:lang w:val="en-US"/>
              </w:rPr>
              <w:t>10-29</w:t>
            </w:r>
          </w:p>
        </w:tc>
        <w:tc>
          <w:tcPr>
            <w:tcW w:w="4478" w:type="dxa"/>
            <w:gridSpan w:val="2"/>
          </w:tcPr>
          <w:p w:rsidR="00E12526" w:rsidRPr="0045429A" w:rsidRDefault="00E12526" w:rsidP="0045429A">
            <w:pPr>
              <w:spacing w:line="360" w:lineRule="auto"/>
              <w:rPr>
                <w:rFonts w:ascii="Book Antiqua" w:hAnsi="Book Antiqua"/>
                <w:sz w:val="24"/>
                <w:szCs w:val="24"/>
                <w:lang w:val="en-US"/>
              </w:rPr>
            </w:pPr>
            <w:r w:rsidRPr="0045429A">
              <w:rPr>
                <w:rFonts w:ascii="Book Antiqua" w:eastAsia="Calibri" w:hAnsi="Book Antiqua"/>
                <w:color w:val="000000"/>
                <w:kern w:val="24"/>
                <w:sz w:val="24"/>
                <w:szCs w:val="24"/>
                <w:lang w:val="en-US"/>
              </w:rPr>
              <w:t>10 mg every 72 hours</w:t>
            </w:r>
          </w:p>
        </w:tc>
        <w:tc>
          <w:tcPr>
            <w:tcW w:w="2888" w:type="dxa"/>
            <w:vMerge/>
          </w:tcPr>
          <w:p w:rsidR="00E12526" w:rsidRPr="0045429A" w:rsidRDefault="00E12526" w:rsidP="0045429A">
            <w:pPr>
              <w:spacing w:line="360" w:lineRule="auto"/>
              <w:rPr>
                <w:rFonts w:ascii="Book Antiqua" w:eastAsia="Calibri" w:hAnsi="Book Antiqua"/>
                <w:color w:val="000000"/>
                <w:kern w:val="24"/>
                <w:sz w:val="24"/>
                <w:szCs w:val="24"/>
                <w:lang w:val="en-US"/>
              </w:rPr>
            </w:pPr>
          </w:p>
        </w:tc>
      </w:tr>
      <w:tr w:rsidR="00E12526" w:rsidRPr="0045429A" w:rsidTr="00645A84">
        <w:tc>
          <w:tcPr>
            <w:tcW w:w="1688" w:type="dxa"/>
          </w:tcPr>
          <w:p w:rsidR="00E12526" w:rsidRPr="0045429A" w:rsidRDefault="00E12526" w:rsidP="0045429A">
            <w:pPr>
              <w:pStyle w:val="NormalWeb"/>
              <w:spacing w:before="0" w:beforeAutospacing="0" w:after="0" w:afterAutospacing="0" w:line="360" w:lineRule="auto"/>
              <w:jc w:val="both"/>
              <w:rPr>
                <w:rFonts w:ascii="Book Antiqua" w:hAnsi="Book Antiqua" w:cs="Arial"/>
                <w:lang w:val="en-US"/>
              </w:rPr>
            </w:pPr>
            <w:r w:rsidRPr="0045429A">
              <w:rPr>
                <w:rFonts w:ascii="Book Antiqua" w:eastAsia="Calibri" w:hAnsi="Book Antiqua"/>
                <w:color w:val="000000"/>
                <w:kern w:val="24"/>
                <w:lang w:val="en-US"/>
              </w:rPr>
              <w:t>Hemodialysis</w:t>
            </w:r>
          </w:p>
        </w:tc>
        <w:tc>
          <w:tcPr>
            <w:tcW w:w="4478" w:type="dxa"/>
            <w:gridSpan w:val="2"/>
          </w:tcPr>
          <w:p w:rsidR="00E12526" w:rsidRPr="0045429A" w:rsidRDefault="00E12526" w:rsidP="0045429A">
            <w:pPr>
              <w:spacing w:line="360" w:lineRule="auto"/>
              <w:rPr>
                <w:rFonts w:ascii="Book Antiqua" w:hAnsi="Book Antiqua"/>
                <w:sz w:val="24"/>
                <w:szCs w:val="24"/>
                <w:lang w:val="en-US"/>
              </w:rPr>
            </w:pPr>
            <w:r w:rsidRPr="0045429A">
              <w:rPr>
                <w:rFonts w:ascii="Book Antiqua" w:eastAsia="Calibri" w:hAnsi="Book Antiqua"/>
                <w:color w:val="000000"/>
                <w:kern w:val="24"/>
                <w:sz w:val="24"/>
                <w:szCs w:val="24"/>
                <w:lang w:val="en-US"/>
              </w:rPr>
              <w:t xml:space="preserve">10 mg </w:t>
            </w:r>
            <w:r w:rsidRPr="0045429A">
              <w:rPr>
                <w:rFonts w:ascii="Book Antiqua" w:hAnsi="Book Antiqua"/>
                <w:sz w:val="24"/>
                <w:szCs w:val="24"/>
                <w:lang w:val="en-US"/>
              </w:rPr>
              <w:t xml:space="preserve">every 7 days following dialysis </w:t>
            </w:r>
          </w:p>
        </w:tc>
        <w:tc>
          <w:tcPr>
            <w:tcW w:w="2888" w:type="dxa"/>
            <w:vMerge/>
          </w:tcPr>
          <w:p w:rsidR="00E12526" w:rsidRPr="0045429A" w:rsidRDefault="00E12526" w:rsidP="0045429A">
            <w:pPr>
              <w:spacing w:line="360" w:lineRule="auto"/>
              <w:rPr>
                <w:rFonts w:ascii="Book Antiqua" w:eastAsia="Calibri" w:hAnsi="Book Antiqua"/>
                <w:color w:val="000000"/>
                <w:kern w:val="24"/>
                <w:sz w:val="24"/>
                <w:szCs w:val="24"/>
                <w:lang w:val="en-US"/>
              </w:rPr>
            </w:pPr>
          </w:p>
        </w:tc>
      </w:tr>
      <w:tr w:rsidR="00E12526" w:rsidRPr="0045429A" w:rsidTr="00645A84">
        <w:tc>
          <w:tcPr>
            <w:tcW w:w="1688" w:type="dxa"/>
          </w:tcPr>
          <w:p w:rsidR="00E12526" w:rsidRPr="0045429A" w:rsidRDefault="00E12526" w:rsidP="0045429A">
            <w:pPr>
              <w:spacing w:line="360" w:lineRule="auto"/>
              <w:jc w:val="center"/>
              <w:rPr>
                <w:rFonts w:ascii="Book Antiqua" w:hAnsi="Book Antiqua"/>
                <w:sz w:val="24"/>
                <w:szCs w:val="24"/>
                <w:lang w:val="en-US"/>
              </w:rPr>
            </w:pPr>
          </w:p>
        </w:tc>
        <w:tc>
          <w:tcPr>
            <w:tcW w:w="4478" w:type="dxa"/>
            <w:gridSpan w:val="2"/>
          </w:tcPr>
          <w:p w:rsidR="00E12526" w:rsidRPr="0045429A" w:rsidRDefault="00E12526" w:rsidP="0045429A">
            <w:pPr>
              <w:spacing w:line="360" w:lineRule="auto"/>
              <w:jc w:val="center"/>
              <w:rPr>
                <w:rFonts w:ascii="Book Antiqua" w:hAnsi="Book Antiqua"/>
                <w:sz w:val="24"/>
                <w:szCs w:val="24"/>
                <w:lang w:val="en-US"/>
              </w:rPr>
            </w:pPr>
            <w:r w:rsidRPr="0045429A">
              <w:rPr>
                <w:rFonts w:ascii="Book Antiqua" w:hAnsi="Book Antiqua"/>
                <w:b/>
                <w:sz w:val="24"/>
                <w:szCs w:val="24"/>
                <w:lang w:val="en-US"/>
              </w:rPr>
              <w:t>Telbivudine</w:t>
            </w:r>
            <w:r w:rsidRPr="0045429A">
              <w:rPr>
                <w:rFonts w:ascii="Book Antiqua" w:hAnsi="Book Antiqua"/>
                <w:b/>
                <w:sz w:val="24"/>
                <w:szCs w:val="24"/>
                <w:vertAlign w:val="superscript"/>
                <w:lang w:val="en-US"/>
              </w:rPr>
              <w:t>[27]</w:t>
            </w:r>
          </w:p>
        </w:tc>
        <w:tc>
          <w:tcPr>
            <w:tcW w:w="2888" w:type="dxa"/>
          </w:tcPr>
          <w:p w:rsidR="00E12526" w:rsidRPr="0045429A" w:rsidRDefault="00E12526" w:rsidP="0045429A">
            <w:pPr>
              <w:spacing w:line="360" w:lineRule="auto"/>
              <w:jc w:val="center"/>
              <w:rPr>
                <w:rFonts w:ascii="Book Antiqua" w:hAnsi="Book Antiqua"/>
                <w:b/>
                <w:sz w:val="24"/>
                <w:szCs w:val="24"/>
                <w:lang w:val="en-US"/>
              </w:rPr>
            </w:pPr>
            <w:r w:rsidRPr="0045429A">
              <w:rPr>
                <w:rFonts w:ascii="Book Antiqua" w:hAnsi="Book Antiqua"/>
                <w:b/>
                <w:sz w:val="24"/>
                <w:szCs w:val="24"/>
                <w:lang w:val="en-US"/>
              </w:rPr>
              <w:t>Telbivudine</w:t>
            </w:r>
            <w:r w:rsidRPr="0045429A">
              <w:rPr>
                <w:rFonts w:ascii="Book Antiqua" w:hAnsi="Book Antiqua"/>
                <w:b/>
                <w:sz w:val="24"/>
                <w:szCs w:val="24"/>
                <w:vertAlign w:val="superscript"/>
                <w:lang w:val="en-US"/>
              </w:rPr>
              <w:t>[27]</w:t>
            </w:r>
          </w:p>
        </w:tc>
      </w:tr>
      <w:tr w:rsidR="00E12526" w:rsidRPr="0045429A" w:rsidTr="00645A84">
        <w:tc>
          <w:tcPr>
            <w:tcW w:w="1688" w:type="dxa"/>
          </w:tcPr>
          <w:p w:rsidR="00E12526" w:rsidRPr="0045429A" w:rsidRDefault="00E12526" w:rsidP="0045429A">
            <w:pPr>
              <w:pStyle w:val="NormalWeb"/>
              <w:spacing w:before="0" w:beforeAutospacing="0" w:after="0" w:afterAutospacing="0" w:line="360" w:lineRule="auto"/>
              <w:jc w:val="both"/>
              <w:rPr>
                <w:rFonts w:ascii="Book Antiqua" w:hAnsi="Book Antiqua" w:cs="Arial"/>
                <w:lang w:val="en-US"/>
              </w:rPr>
            </w:pPr>
            <w:r w:rsidRPr="0045429A">
              <w:rPr>
                <w:rFonts w:ascii="Book Antiqua" w:eastAsia="Calibri" w:hAnsi="Book Antiqua"/>
                <w:color w:val="000000"/>
                <w:kern w:val="24"/>
                <w:lang w:val="en-US"/>
              </w:rPr>
              <w:t>&gt;50</w:t>
            </w:r>
          </w:p>
        </w:tc>
        <w:tc>
          <w:tcPr>
            <w:tcW w:w="4478" w:type="dxa"/>
            <w:gridSpan w:val="2"/>
          </w:tcPr>
          <w:p w:rsidR="00E12526" w:rsidRPr="0045429A" w:rsidRDefault="00E12526" w:rsidP="0045429A">
            <w:pPr>
              <w:spacing w:line="360" w:lineRule="auto"/>
              <w:rPr>
                <w:rFonts w:ascii="Book Antiqua" w:hAnsi="Book Antiqua"/>
                <w:sz w:val="24"/>
                <w:szCs w:val="24"/>
                <w:lang w:val="en-US"/>
              </w:rPr>
            </w:pPr>
            <w:r w:rsidRPr="0045429A">
              <w:rPr>
                <w:rFonts w:ascii="Book Antiqua" w:eastAsia="Calibri" w:hAnsi="Book Antiqua"/>
                <w:color w:val="000000"/>
                <w:kern w:val="24"/>
                <w:sz w:val="24"/>
                <w:szCs w:val="24"/>
                <w:lang w:val="en-US"/>
              </w:rPr>
              <w:t>600 mg every 24 hours</w:t>
            </w:r>
          </w:p>
        </w:tc>
        <w:tc>
          <w:tcPr>
            <w:tcW w:w="2888" w:type="dxa"/>
            <w:vMerge w:val="restart"/>
          </w:tcPr>
          <w:p w:rsidR="00E12526" w:rsidRPr="0045429A" w:rsidRDefault="00E12526" w:rsidP="0045429A">
            <w:pPr>
              <w:autoSpaceDE w:val="0"/>
              <w:autoSpaceDN w:val="0"/>
              <w:adjustRightInd w:val="0"/>
              <w:spacing w:line="360" w:lineRule="auto"/>
              <w:rPr>
                <w:rFonts w:ascii="Book Antiqua" w:hAnsi="Book Antiqua" w:cs="Times New Roman"/>
                <w:sz w:val="24"/>
                <w:szCs w:val="24"/>
                <w:lang w:val="en-US"/>
              </w:rPr>
            </w:pPr>
            <w:r w:rsidRPr="0045429A">
              <w:rPr>
                <w:rFonts w:ascii="Book Antiqua" w:hAnsi="Book Antiqua" w:cs="Times New Roman"/>
                <w:sz w:val="24"/>
                <w:szCs w:val="24"/>
                <w:lang w:val="en-US"/>
              </w:rPr>
              <w:t xml:space="preserve">Tablets: 600 mg, </w:t>
            </w:r>
          </w:p>
          <w:p w:rsidR="00E12526" w:rsidRPr="0045429A" w:rsidRDefault="00E12526" w:rsidP="0045429A">
            <w:pPr>
              <w:autoSpaceDE w:val="0"/>
              <w:autoSpaceDN w:val="0"/>
              <w:adjustRightInd w:val="0"/>
              <w:spacing w:line="360" w:lineRule="auto"/>
              <w:rPr>
                <w:rFonts w:ascii="Book Antiqua" w:hAnsi="Book Antiqua" w:cs="Times New Roman"/>
                <w:sz w:val="24"/>
                <w:szCs w:val="24"/>
                <w:lang w:val="en-US"/>
              </w:rPr>
            </w:pPr>
            <w:r w:rsidRPr="0045429A">
              <w:rPr>
                <w:rFonts w:ascii="Book Antiqua" w:hAnsi="Book Antiqua" w:cs="Times New Roman"/>
                <w:sz w:val="24"/>
                <w:szCs w:val="24"/>
                <w:lang w:val="en-US"/>
              </w:rPr>
              <w:t>Oral solution: 100mg/5ml</w:t>
            </w:r>
          </w:p>
        </w:tc>
      </w:tr>
      <w:tr w:rsidR="00E12526" w:rsidRPr="0045429A" w:rsidTr="00645A84">
        <w:tc>
          <w:tcPr>
            <w:tcW w:w="1688" w:type="dxa"/>
          </w:tcPr>
          <w:p w:rsidR="00E12526" w:rsidRPr="0045429A" w:rsidRDefault="00E12526" w:rsidP="0045429A">
            <w:pPr>
              <w:pStyle w:val="NormalWeb"/>
              <w:spacing w:before="0" w:beforeAutospacing="0" w:after="0" w:afterAutospacing="0" w:line="360" w:lineRule="auto"/>
              <w:jc w:val="both"/>
              <w:rPr>
                <w:rFonts w:ascii="Book Antiqua" w:hAnsi="Book Antiqua" w:cs="Arial"/>
                <w:lang w:val="en-US"/>
              </w:rPr>
            </w:pPr>
            <w:r w:rsidRPr="0045429A">
              <w:rPr>
                <w:rFonts w:ascii="Book Antiqua" w:eastAsia="Calibri" w:hAnsi="Book Antiqua"/>
                <w:color w:val="000000"/>
                <w:kern w:val="24"/>
                <w:lang w:val="en-US"/>
              </w:rPr>
              <w:t>30-49</w:t>
            </w:r>
          </w:p>
        </w:tc>
        <w:tc>
          <w:tcPr>
            <w:tcW w:w="4478" w:type="dxa"/>
            <w:gridSpan w:val="2"/>
          </w:tcPr>
          <w:p w:rsidR="00E12526" w:rsidRPr="0045429A" w:rsidRDefault="00E12526" w:rsidP="0045429A">
            <w:pPr>
              <w:spacing w:line="360" w:lineRule="auto"/>
              <w:rPr>
                <w:rFonts w:ascii="Book Antiqua" w:hAnsi="Book Antiqua"/>
                <w:sz w:val="24"/>
                <w:szCs w:val="24"/>
                <w:lang w:val="en-US"/>
              </w:rPr>
            </w:pPr>
            <w:r w:rsidRPr="0045429A">
              <w:rPr>
                <w:rFonts w:ascii="Book Antiqua" w:eastAsia="Calibri" w:hAnsi="Book Antiqua"/>
                <w:color w:val="000000"/>
                <w:kern w:val="24"/>
                <w:sz w:val="24"/>
                <w:szCs w:val="24"/>
                <w:lang w:val="en-US"/>
              </w:rPr>
              <w:t>600 mg every 48 hours</w:t>
            </w:r>
          </w:p>
        </w:tc>
        <w:tc>
          <w:tcPr>
            <w:tcW w:w="2888" w:type="dxa"/>
            <w:vMerge/>
          </w:tcPr>
          <w:p w:rsidR="00E12526" w:rsidRPr="0045429A" w:rsidRDefault="00E12526" w:rsidP="0045429A">
            <w:pPr>
              <w:spacing w:line="360" w:lineRule="auto"/>
              <w:rPr>
                <w:rFonts w:ascii="Book Antiqua" w:eastAsia="Calibri" w:hAnsi="Book Antiqua"/>
                <w:color w:val="000000"/>
                <w:kern w:val="24"/>
                <w:sz w:val="24"/>
                <w:szCs w:val="24"/>
                <w:lang w:val="en-US"/>
              </w:rPr>
            </w:pPr>
          </w:p>
        </w:tc>
      </w:tr>
      <w:tr w:rsidR="00E12526" w:rsidRPr="0045429A" w:rsidTr="00645A84">
        <w:tc>
          <w:tcPr>
            <w:tcW w:w="1688" w:type="dxa"/>
          </w:tcPr>
          <w:p w:rsidR="00E12526" w:rsidRPr="0045429A" w:rsidRDefault="00E12526" w:rsidP="0045429A">
            <w:pPr>
              <w:pStyle w:val="NormalWeb"/>
              <w:spacing w:before="0" w:beforeAutospacing="0" w:after="0" w:afterAutospacing="0" w:line="360" w:lineRule="auto"/>
              <w:jc w:val="both"/>
              <w:rPr>
                <w:rFonts w:ascii="Book Antiqua" w:hAnsi="Book Antiqua" w:cs="Arial"/>
                <w:lang w:val="en-US"/>
              </w:rPr>
            </w:pPr>
            <w:r w:rsidRPr="0045429A">
              <w:rPr>
                <w:rFonts w:ascii="Book Antiqua" w:eastAsia="Calibri" w:hAnsi="Book Antiqua"/>
                <w:color w:val="000000"/>
                <w:kern w:val="24"/>
                <w:lang w:val="en-US"/>
              </w:rPr>
              <w:t>10-29</w:t>
            </w:r>
          </w:p>
        </w:tc>
        <w:tc>
          <w:tcPr>
            <w:tcW w:w="4478" w:type="dxa"/>
            <w:gridSpan w:val="2"/>
          </w:tcPr>
          <w:p w:rsidR="00E12526" w:rsidRPr="0045429A" w:rsidRDefault="00E12526" w:rsidP="0045429A">
            <w:pPr>
              <w:spacing w:line="360" w:lineRule="auto"/>
              <w:rPr>
                <w:rFonts w:ascii="Book Antiqua" w:hAnsi="Book Antiqua"/>
                <w:sz w:val="24"/>
                <w:szCs w:val="24"/>
                <w:lang w:val="en-US"/>
              </w:rPr>
            </w:pPr>
            <w:r w:rsidRPr="0045429A">
              <w:rPr>
                <w:rFonts w:ascii="Book Antiqua" w:eastAsia="Calibri" w:hAnsi="Book Antiqua"/>
                <w:color w:val="000000"/>
                <w:kern w:val="24"/>
                <w:sz w:val="24"/>
                <w:szCs w:val="24"/>
                <w:lang w:val="en-US"/>
              </w:rPr>
              <w:t>600 mg every 72 hours</w:t>
            </w:r>
          </w:p>
        </w:tc>
        <w:tc>
          <w:tcPr>
            <w:tcW w:w="2888" w:type="dxa"/>
            <w:vMerge/>
          </w:tcPr>
          <w:p w:rsidR="00E12526" w:rsidRPr="0045429A" w:rsidRDefault="00E12526" w:rsidP="0045429A">
            <w:pPr>
              <w:spacing w:line="360" w:lineRule="auto"/>
              <w:rPr>
                <w:rFonts w:ascii="Book Antiqua" w:eastAsia="Calibri" w:hAnsi="Book Antiqua"/>
                <w:color w:val="000000"/>
                <w:kern w:val="24"/>
                <w:sz w:val="24"/>
                <w:szCs w:val="24"/>
                <w:lang w:val="en-US"/>
              </w:rPr>
            </w:pPr>
          </w:p>
        </w:tc>
      </w:tr>
      <w:tr w:rsidR="00E12526" w:rsidRPr="0045429A" w:rsidTr="00645A84">
        <w:tc>
          <w:tcPr>
            <w:tcW w:w="1688" w:type="dxa"/>
          </w:tcPr>
          <w:p w:rsidR="00E12526" w:rsidRPr="0045429A" w:rsidRDefault="00E12526" w:rsidP="0045429A">
            <w:pPr>
              <w:pStyle w:val="NormalWeb"/>
              <w:spacing w:before="0" w:beforeAutospacing="0" w:after="0" w:afterAutospacing="0" w:line="360" w:lineRule="auto"/>
              <w:jc w:val="both"/>
              <w:rPr>
                <w:rFonts w:ascii="Book Antiqua" w:hAnsi="Book Antiqua" w:cs="Arial"/>
                <w:lang w:val="en-US"/>
              </w:rPr>
            </w:pPr>
            <w:r w:rsidRPr="0045429A">
              <w:rPr>
                <w:rFonts w:ascii="Book Antiqua" w:eastAsia="Calibri" w:hAnsi="Book Antiqua"/>
                <w:color w:val="000000"/>
                <w:kern w:val="24"/>
                <w:lang w:val="en-US"/>
              </w:rPr>
              <w:t>Hemodialysis</w:t>
            </w:r>
          </w:p>
        </w:tc>
        <w:tc>
          <w:tcPr>
            <w:tcW w:w="4478" w:type="dxa"/>
            <w:gridSpan w:val="2"/>
          </w:tcPr>
          <w:p w:rsidR="00E12526" w:rsidRPr="0045429A" w:rsidRDefault="00E12526" w:rsidP="0045429A">
            <w:pPr>
              <w:spacing w:line="360" w:lineRule="auto"/>
              <w:rPr>
                <w:rFonts w:ascii="Book Antiqua" w:hAnsi="Book Antiqua"/>
                <w:sz w:val="24"/>
                <w:szCs w:val="24"/>
                <w:lang w:val="en-US"/>
              </w:rPr>
            </w:pPr>
            <w:r w:rsidRPr="0045429A">
              <w:rPr>
                <w:rFonts w:ascii="Book Antiqua" w:eastAsia="Calibri" w:hAnsi="Book Antiqua"/>
                <w:color w:val="000000"/>
                <w:kern w:val="24"/>
                <w:sz w:val="24"/>
                <w:szCs w:val="24"/>
                <w:lang w:val="en-US"/>
              </w:rPr>
              <w:t xml:space="preserve">600 mg </w:t>
            </w:r>
            <w:r w:rsidRPr="0045429A">
              <w:rPr>
                <w:rFonts w:ascii="Book Antiqua" w:hAnsi="Book Antiqua"/>
                <w:sz w:val="24"/>
                <w:szCs w:val="24"/>
                <w:lang w:val="en-US"/>
              </w:rPr>
              <w:t xml:space="preserve">every 96 hours following dialysis </w:t>
            </w:r>
          </w:p>
        </w:tc>
        <w:tc>
          <w:tcPr>
            <w:tcW w:w="2888" w:type="dxa"/>
            <w:vMerge/>
          </w:tcPr>
          <w:p w:rsidR="00E12526" w:rsidRPr="0045429A" w:rsidRDefault="00E12526" w:rsidP="0045429A">
            <w:pPr>
              <w:spacing w:line="360" w:lineRule="auto"/>
              <w:rPr>
                <w:rFonts w:ascii="Book Antiqua" w:eastAsia="Calibri" w:hAnsi="Book Antiqua"/>
                <w:color w:val="000000"/>
                <w:kern w:val="24"/>
                <w:sz w:val="24"/>
                <w:szCs w:val="24"/>
                <w:lang w:val="en-US"/>
              </w:rPr>
            </w:pPr>
          </w:p>
        </w:tc>
      </w:tr>
      <w:tr w:rsidR="00E12526" w:rsidRPr="0045429A" w:rsidTr="00645A84">
        <w:tc>
          <w:tcPr>
            <w:tcW w:w="1688" w:type="dxa"/>
          </w:tcPr>
          <w:p w:rsidR="00E12526" w:rsidRPr="0045429A" w:rsidRDefault="00E12526" w:rsidP="0045429A">
            <w:pPr>
              <w:spacing w:line="360" w:lineRule="auto"/>
              <w:jc w:val="center"/>
              <w:rPr>
                <w:rFonts w:ascii="Book Antiqua" w:hAnsi="Book Antiqua"/>
                <w:b/>
                <w:sz w:val="24"/>
                <w:szCs w:val="24"/>
                <w:lang w:val="en-US"/>
              </w:rPr>
            </w:pPr>
          </w:p>
        </w:tc>
        <w:tc>
          <w:tcPr>
            <w:tcW w:w="2077" w:type="dxa"/>
          </w:tcPr>
          <w:p w:rsidR="00E12526" w:rsidRPr="0045429A" w:rsidRDefault="00E12526" w:rsidP="0045429A">
            <w:pPr>
              <w:spacing w:line="360" w:lineRule="auto"/>
              <w:jc w:val="center"/>
              <w:rPr>
                <w:rFonts w:ascii="Book Antiqua" w:hAnsi="Book Antiqua"/>
                <w:b/>
                <w:sz w:val="24"/>
                <w:szCs w:val="24"/>
                <w:lang w:val="en-US"/>
              </w:rPr>
            </w:pPr>
            <w:r w:rsidRPr="0045429A">
              <w:rPr>
                <w:rFonts w:ascii="Book Antiqua" w:hAnsi="Book Antiqua"/>
                <w:b/>
                <w:sz w:val="24"/>
                <w:szCs w:val="24"/>
                <w:lang w:val="en-US"/>
              </w:rPr>
              <w:t xml:space="preserve">Entecavir </w:t>
            </w:r>
            <w:r w:rsidRPr="0045429A">
              <w:rPr>
                <w:rFonts w:ascii="Book Antiqua" w:hAnsi="Book Antiqua"/>
                <w:b/>
                <w:sz w:val="24"/>
                <w:szCs w:val="24"/>
                <w:vertAlign w:val="superscript"/>
                <w:lang w:val="en-US"/>
              </w:rPr>
              <w:t>[28]</w:t>
            </w:r>
          </w:p>
        </w:tc>
        <w:tc>
          <w:tcPr>
            <w:tcW w:w="2401" w:type="dxa"/>
          </w:tcPr>
          <w:p w:rsidR="00E12526" w:rsidRPr="0045429A" w:rsidRDefault="00E12526" w:rsidP="0045429A">
            <w:pPr>
              <w:spacing w:line="360" w:lineRule="auto"/>
              <w:jc w:val="center"/>
              <w:rPr>
                <w:rFonts w:ascii="Book Antiqua" w:hAnsi="Book Antiqua"/>
                <w:b/>
                <w:sz w:val="24"/>
                <w:szCs w:val="24"/>
                <w:lang w:val="en-US"/>
              </w:rPr>
            </w:pPr>
            <w:r w:rsidRPr="0045429A">
              <w:rPr>
                <w:rFonts w:ascii="Book Antiqua" w:hAnsi="Book Antiqua"/>
                <w:b/>
                <w:sz w:val="24"/>
                <w:szCs w:val="24"/>
                <w:lang w:val="en-US"/>
              </w:rPr>
              <w:t>Entecavir in Lamivudine-Refractory</w:t>
            </w:r>
            <w:r w:rsidRPr="0045429A">
              <w:rPr>
                <w:rFonts w:ascii="Book Antiqua" w:hAnsi="Book Antiqua"/>
                <w:b/>
                <w:sz w:val="24"/>
                <w:szCs w:val="24"/>
                <w:vertAlign w:val="superscript"/>
                <w:lang w:val="en-US"/>
              </w:rPr>
              <w:t xml:space="preserve"> [28]</w:t>
            </w:r>
          </w:p>
        </w:tc>
        <w:tc>
          <w:tcPr>
            <w:tcW w:w="2888" w:type="dxa"/>
          </w:tcPr>
          <w:p w:rsidR="00E12526" w:rsidRPr="0045429A" w:rsidRDefault="00E12526" w:rsidP="0045429A">
            <w:pPr>
              <w:spacing w:line="360" w:lineRule="auto"/>
              <w:jc w:val="center"/>
              <w:rPr>
                <w:rFonts w:ascii="Book Antiqua" w:hAnsi="Book Antiqua"/>
                <w:b/>
                <w:sz w:val="24"/>
                <w:szCs w:val="24"/>
                <w:lang w:val="en-US"/>
              </w:rPr>
            </w:pPr>
            <w:r w:rsidRPr="0045429A">
              <w:rPr>
                <w:rFonts w:ascii="Book Antiqua" w:hAnsi="Book Antiqua"/>
                <w:b/>
                <w:sz w:val="24"/>
                <w:szCs w:val="24"/>
                <w:lang w:val="en-US"/>
              </w:rPr>
              <w:t xml:space="preserve">Entecavir </w:t>
            </w:r>
            <w:r w:rsidRPr="0045429A">
              <w:rPr>
                <w:rFonts w:ascii="Book Antiqua" w:hAnsi="Book Antiqua"/>
                <w:b/>
                <w:sz w:val="24"/>
                <w:szCs w:val="24"/>
                <w:vertAlign w:val="superscript"/>
                <w:lang w:val="en-US"/>
              </w:rPr>
              <w:t>[28]</w:t>
            </w:r>
          </w:p>
        </w:tc>
      </w:tr>
      <w:tr w:rsidR="00E12526" w:rsidRPr="0045429A" w:rsidTr="00645A84">
        <w:tc>
          <w:tcPr>
            <w:tcW w:w="1688" w:type="dxa"/>
          </w:tcPr>
          <w:p w:rsidR="00E12526" w:rsidRPr="0045429A" w:rsidRDefault="00E12526" w:rsidP="0045429A">
            <w:pPr>
              <w:pStyle w:val="NormalWeb"/>
              <w:spacing w:before="0" w:beforeAutospacing="0" w:after="0" w:afterAutospacing="0" w:line="360" w:lineRule="auto"/>
              <w:jc w:val="both"/>
              <w:rPr>
                <w:rFonts w:ascii="Book Antiqua" w:hAnsi="Book Antiqua" w:cs="Arial"/>
                <w:lang w:val="en-US"/>
              </w:rPr>
            </w:pPr>
            <w:r w:rsidRPr="0045429A">
              <w:rPr>
                <w:rFonts w:ascii="Book Antiqua" w:eastAsia="Calibri" w:hAnsi="Book Antiqua"/>
                <w:color w:val="000000"/>
                <w:kern w:val="24"/>
                <w:lang w:val="en-US"/>
              </w:rPr>
              <w:t>&gt;50</w:t>
            </w:r>
          </w:p>
        </w:tc>
        <w:tc>
          <w:tcPr>
            <w:tcW w:w="2077" w:type="dxa"/>
          </w:tcPr>
          <w:p w:rsidR="00E12526" w:rsidRPr="0045429A" w:rsidRDefault="00E12526" w:rsidP="0045429A">
            <w:pPr>
              <w:pStyle w:val="NormalWeb"/>
              <w:spacing w:before="0" w:beforeAutospacing="0" w:after="0" w:afterAutospacing="0" w:line="360" w:lineRule="auto"/>
              <w:jc w:val="both"/>
              <w:rPr>
                <w:rFonts w:ascii="Book Antiqua" w:hAnsi="Book Antiqua" w:cs="Arial"/>
                <w:lang w:val="en-US"/>
              </w:rPr>
            </w:pPr>
            <w:r w:rsidRPr="0045429A">
              <w:rPr>
                <w:rFonts w:ascii="Book Antiqua" w:eastAsia="Calibri" w:hAnsi="Book Antiqua"/>
                <w:color w:val="000000"/>
                <w:kern w:val="24"/>
                <w:lang w:val="en-US"/>
              </w:rPr>
              <w:t xml:space="preserve">0.5 mg once daily </w:t>
            </w:r>
          </w:p>
        </w:tc>
        <w:tc>
          <w:tcPr>
            <w:tcW w:w="2401" w:type="dxa"/>
          </w:tcPr>
          <w:p w:rsidR="00E12526" w:rsidRPr="0045429A" w:rsidRDefault="00E12526" w:rsidP="0045429A">
            <w:pPr>
              <w:pStyle w:val="NormalWeb"/>
              <w:spacing w:before="0" w:beforeAutospacing="0" w:after="0" w:afterAutospacing="0" w:line="360" w:lineRule="auto"/>
              <w:jc w:val="both"/>
              <w:rPr>
                <w:rFonts w:ascii="Book Antiqua" w:hAnsi="Book Antiqua" w:cs="Arial"/>
                <w:lang w:val="en-US"/>
              </w:rPr>
            </w:pPr>
            <w:r w:rsidRPr="0045429A">
              <w:rPr>
                <w:rFonts w:ascii="Book Antiqua" w:eastAsia="Calibri" w:hAnsi="Book Antiqua"/>
                <w:color w:val="000000"/>
                <w:kern w:val="24"/>
                <w:lang w:val="en-US"/>
              </w:rPr>
              <w:t>1 mg once daily</w:t>
            </w:r>
          </w:p>
        </w:tc>
        <w:tc>
          <w:tcPr>
            <w:tcW w:w="2888" w:type="dxa"/>
            <w:vMerge w:val="restart"/>
          </w:tcPr>
          <w:p w:rsidR="00E12526" w:rsidRPr="0045429A" w:rsidRDefault="00E12526" w:rsidP="0045429A">
            <w:pPr>
              <w:autoSpaceDE w:val="0"/>
              <w:autoSpaceDN w:val="0"/>
              <w:adjustRightInd w:val="0"/>
              <w:spacing w:line="360" w:lineRule="auto"/>
              <w:rPr>
                <w:rFonts w:ascii="Book Antiqua" w:eastAsia="Calibri" w:hAnsi="Book Antiqua"/>
                <w:color w:val="000000"/>
                <w:kern w:val="24"/>
                <w:sz w:val="24"/>
                <w:szCs w:val="24"/>
                <w:lang w:val="en-US"/>
              </w:rPr>
            </w:pPr>
            <w:r w:rsidRPr="0045429A">
              <w:rPr>
                <w:rFonts w:ascii="Book Antiqua" w:hAnsi="Book Antiqua" w:cs="Times New Roman"/>
                <w:sz w:val="24"/>
                <w:szCs w:val="24"/>
                <w:lang w:val="en-US"/>
              </w:rPr>
              <w:t>Tablets: 0.5 mg and 1 mg, Oral solution: 0.05 mg/mL</w:t>
            </w:r>
          </w:p>
        </w:tc>
      </w:tr>
      <w:tr w:rsidR="00E12526" w:rsidRPr="0045429A" w:rsidTr="00645A84">
        <w:tc>
          <w:tcPr>
            <w:tcW w:w="1688" w:type="dxa"/>
          </w:tcPr>
          <w:p w:rsidR="00E12526" w:rsidRPr="0045429A" w:rsidRDefault="00E12526" w:rsidP="0045429A">
            <w:pPr>
              <w:pStyle w:val="NormalWeb"/>
              <w:spacing w:before="0" w:beforeAutospacing="0" w:after="0" w:afterAutospacing="0" w:line="360" w:lineRule="auto"/>
              <w:jc w:val="both"/>
              <w:rPr>
                <w:rFonts w:ascii="Book Antiqua" w:hAnsi="Book Antiqua" w:cs="Arial"/>
                <w:lang w:val="en-US"/>
              </w:rPr>
            </w:pPr>
            <w:r w:rsidRPr="0045429A">
              <w:rPr>
                <w:rFonts w:ascii="Book Antiqua" w:eastAsia="Calibri" w:hAnsi="Book Antiqua"/>
                <w:color w:val="000000"/>
                <w:kern w:val="24"/>
                <w:lang w:val="en-US"/>
              </w:rPr>
              <w:t>30-49</w:t>
            </w:r>
          </w:p>
        </w:tc>
        <w:tc>
          <w:tcPr>
            <w:tcW w:w="2077" w:type="dxa"/>
          </w:tcPr>
          <w:p w:rsidR="00E12526" w:rsidRPr="0045429A" w:rsidRDefault="00E12526" w:rsidP="0045429A">
            <w:pPr>
              <w:spacing w:line="360" w:lineRule="auto"/>
              <w:rPr>
                <w:rFonts w:ascii="Book Antiqua" w:hAnsi="Book Antiqua"/>
                <w:sz w:val="24"/>
                <w:szCs w:val="24"/>
                <w:lang w:val="en-US"/>
              </w:rPr>
            </w:pPr>
            <w:r w:rsidRPr="0045429A">
              <w:rPr>
                <w:rFonts w:ascii="Book Antiqua" w:hAnsi="Book Antiqua"/>
                <w:sz w:val="24"/>
                <w:szCs w:val="24"/>
                <w:lang w:val="en-US"/>
              </w:rPr>
              <w:t>0.25 mg once daily OR</w:t>
            </w:r>
          </w:p>
          <w:p w:rsidR="00E12526" w:rsidRPr="0045429A" w:rsidRDefault="00E12526" w:rsidP="0045429A">
            <w:pPr>
              <w:spacing w:line="360" w:lineRule="auto"/>
              <w:rPr>
                <w:rFonts w:ascii="Book Antiqua" w:hAnsi="Book Antiqua"/>
                <w:sz w:val="24"/>
                <w:szCs w:val="24"/>
                <w:lang w:val="en-US"/>
              </w:rPr>
            </w:pPr>
            <w:r w:rsidRPr="0045429A">
              <w:rPr>
                <w:rFonts w:ascii="Book Antiqua" w:hAnsi="Book Antiqua"/>
                <w:sz w:val="24"/>
                <w:szCs w:val="24"/>
                <w:lang w:val="en-US"/>
              </w:rPr>
              <w:t>0.5 mg every 48 hours</w:t>
            </w:r>
          </w:p>
        </w:tc>
        <w:tc>
          <w:tcPr>
            <w:tcW w:w="2401" w:type="dxa"/>
          </w:tcPr>
          <w:p w:rsidR="00E12526" w:rsidRPr="0045429A" w:rsidRDefault="00E12526" w:rsidP="0045429A">
            <w:pPr>
              <w:spacing w:line="360" w:lineRule="auto"/>
              <w:rPr>
                <w:rFonts w:ascii="Book Antiqua" w:hAnsi="Book Antiqua"/>
                <w:sz w:val="24"/>
                <w:szCs w:val="24"/>
                <w:lang w:val="en-US"/>
              </w:rPr>
            </w:pPr>
            <w:r w:rsidRPr="0045429A">
              <w:rPr>
                <w:rFonts w:ascii="Book Antiqua" w:hAnsi="Book Antiqua"/>
                <w:sz w:val="24"/>
                <w:szCs w:val="24"/>
                <w:lang w:val="en-US"/>
              </w:rPr>
              <w:t>0.5 mg once daily OR</w:t>
            </w:r>
          </w:p>
          <w:p w:rsidR="00E12526" w:rsidRPr="0045429A" w:rsidRDefault="00E12526" w:rsidP="0045429A">
            <w:pPr>
              <w:spacing w:line="360" w:lineRule="auto"/>
              <w:rPr>
                <w:rFonts w:ascii="Book Antiqua" w:hAnsi="Book Antiqua"/>
                <w:sz w:val="24"/>
                <w:szCs w:val="24"/>
                <w:lang w:val="en-US"/>
              </w:rPr>
            </w:pPr>
            <w:r w:rsidRPr="0045429A">
              <w:rPr>
                <w:rFonts w:ascii="Book Antiqua" w:hAnsi="Book Antiqua"/>
                <w:sz w:val="24"/>
                <w:szCs w:val="24"/>
                <w:lang w:val="en-US"/>
              </w:rPr>
              <w:t>1 mg every 48 hours</w:t>
            </w:r>
          </w:p>
        </w:tc>
        <w:tc>
          <w:tcPr>
            <w:tcW w:w="2888" w:type="dxa"/>
            <w:vMerge/>
          </w:tcPr>
          <w:p w:rsidR="00E12526" w:rsidRPr="0045429A" w:rsidRDefault="00E12526" w:rsidP="0045429A">
            <w:pPr>
              <w:spacing w:line="360" w:lineRule="auto"/>
              <w:rPr>
                <w:rFonts w:ascii="Book Antiqua" w:hAnsi="Book Antiqua"/>
                <w:sz w:val="24"/>
                <w:szCs w:val="24"/>
                <w:lang w:val="en-US"/>
              </w:rPr>
            </w:pPr>
          </w:p>
        </w:tc>
      </w:tr>
      <w:tr w:rsidR="00E12526" w:rsidRPr="0045429A" w:rsidTr="00645A84">
        <w:tc>
          <w:tcPr>
            <w:tcW w:w="1688" w:type="dxa"/>
          </w:tcPr>
          <w:p w:rsidR="00E12526" w:rsidRPr="0045429A" w:rsidRDefault="00E12526" w:rsidP="0045429A">
            <w:pPr>
              <w:pStyle w:val="NormalWeb"/>
              <w:spacing w:before="0" w:beforeAutospacing="0" w:after="0" w:afterAutospacing="0" w:line="360" w:lineRule="auto"/>
              <w:jc w:val="both"/>
              <w:rPr>
                <w:rFonts w:ascii="Book Antiqua" w:hAnsi="Book Antiqua" w:cs="Arial"/>
                <w:lang w:val="en-US"/>
              </w:rPr>
            </w:pPr>
            <w:r w:rsidRPr="0045429A">
              <w:rPr>
                <w:rFonts w:ascii="Book Antiqua" w:eastAsia="Calibri" w:hAnsi="Book Antiqua"/>
                <w:color w:val="000000"/>
                <w:kern w:val="24"/>
                <w:lang w:val="en-US"/>
              </w:rPr>
              <w:lastRenderedPageBreak/>
              <w:t>10-29</w:t>
            </w:r>
          </w:p>
        </w:tc>
        <w:tc>
          <w:tcPr>
            <w:tcW w:w="2077" w:type="dxa"/>
          </w:tcPr>
          <w:p w:rsidR="00E12526" w:rsidRPr="0045429A" w:rsidRDefault="00E12526" w:rsidP="0045429A">
            <w:pPr>
              <w:spacing w:line="360" w:lineRule="auto"/>
              <w:rPr>
                <w:rFonts w:ascii="Book Antiqua" w:hAnsi="Book Antiqua"/>
                <w:sz w:val="24"/>
                <w:szCs w:val="24"/>
                <w:lang w:val="en-US"/>
              </w:rPr>
            </w:pPr>
            <w:r w:rsidRPr="0045429A">
              <w:rPr>
                <w:rFonts w:ascii="Book Antiqua" w:hAnsi="Book Antiqua"/>
                <w:sz w:val="24"/>
                <w:szCs w:val="24"/>
                <w:lang w:val="en-US"/>
              </w:rPr>
              <w:t>0.15 mg once daily OR</w:t>
            </w:r>
          </w:p>
          <w:p w:rsidR="00E12526" w:rsidRPr="0045429A" w:rsidRDefault="00E12526" w:rsidP="0045429A">
            <w:pPr>
              <w:spacing w:line="360" w:lineRule="auto"/>
              <w:rPr>
                <w:rFonts w:ascii="Book Antiqua" w:hAnsi="Book Antiqua" w:cs="Arial"/>
                <w:sz w:val="24"/>
                <w:szCs w:val="24"/>
                <w:lang w:val="en-US"/>
              </w:rPr>
            </w:pPr>
            <w:r w:rsidRPr="0045429A">
              <w:rPr>
                <w:rFonts w:ascii="Book Antiqua" w:hAnsi="Book Antiqua"/>
                <w:sz w:val="24"/>
                <w:szCs w:val="24"/>
                <w:lang w:val="en-US"/>
              </w:rPr>
              <w:t>0.5 mg every 72 hours</w:t>
            </w:r>
          </w:p>
        </w:tc>
        <w:tc>
          <w:tcPr>
            <w:tcW w:w="2401" w:type="dxa"/>
          </w:tcPr>
          <w:p w:rsidR="00E12526" w:rsidRPr="0045429A" w:rsidRDefault="00E12526" w:rsidP="0045429A">
            <w:pPr>
              <w:spacing w:line="360" w:lineRule="auto"/>
              <w:rPr>
                <w:rFonts w:ascii="Book Antiqua" w:hAnsi="Book Antiqua"/>
                <w:sz w:val="24"/>
                <w:szCs w:val="24"/>
                <w:lang w:val="en-US"/>
              </w:rPr>
            </w:pPr>
            <w:r w:rsidRPr="0045429A">
              <w:rPr>
                <w:rFonts w:ascii="Book Antiqua" w:hAnsi="Book Antiqua"/>
                <w:sz w:val="24"/>
                <w:szCs w:val="24"/>
                <w:lang w:val="en-US"/>
              </w:rPr>
              <w:t>0.3 mg once daily OR</w:t>
            </w:r>
          </w:p>
          <w:p w:rsidR="00E12526" w:rsidRPr="0045429A" w:rsidRDefault="00E12526" w:rsidP="0045429A">
            <w:pPr>
              <w:spacing w:line="360" w:lineRule="auto"/>
              <w:rPr>
                <w:rFonts w:ascii="Book Antiqua" w:hAnsi="Book Antiqua"/>
                <w:sz w:val="24"/>
                <w:szCs w:val="24"/>
                <w:lang w:val="en-US"/>
              </w:rPr>
            </w:pPr>
            <w:r w:rsidRPr="0045429A">
              <w:rPr>
                <w:rFonts w:ascii="Book Antiqua" w:hAnsi="Book Antiqua"/>
                <w:sz w:val="24"/>
                <w:szCs w:val="24"/>
                <w:lang w:val="en-US"/>
              </w:rPr>
              <w:t>1 mg every 72 hours</w:t>
            </w:r>
          </w:p>
        </w:tc>
        <w:tc>
          <w:tcPr>
            <w:tcW w:w="2888" w:type="dxa"/>
            <w:vMerge/>
          </w:tcPr>
          <w:p w:rsidR="00E12526" w:rsidRPr="0045429A" w:rsidRDefault="00E12526" w:rsidP="0045429A">
            <w:pPr>
              <w:spacing w:line="360" w:lineRule="auto"/>
              <w:rPr>
                <w:rFonts w:ascii="Book Antiqua" w:hAnsi="Book Antiqua"/>
                <w:sz w:val="24"/>
                <w:szCs w:val="24"/>
                <w:lang w:val="en-US"/>
              </w:rPr>
            </w:pPr>
          </w:p>
        </w:tc>
      </w:tr>
      <w:tr w:rsidR="00E12526" w:rsidRPr="0045429A" w:rsidTr="00645A84">
        <w:tc>
          <w:tcPr>
            <w:tcW w:w="1688" w:type="dxa"/>
          </w:tcPr>
          <w:p w:rsidR="00E12526" w:rsidRPr="0045429A" w:rsidRDefault="00E12526" w:rsidP="0045429A">
            <w:pPr>
              <w:pStyle w:val="NormalWeb"/>
              <w:spacing w:before="0" w:beforeAutospacing="0" w:after="0" w:afterAutospacing="0" w:line="360" w:lineRule="auto"/>
              <w:jc w:val="both"/>
              <w:rPr>
                <w:rFonts w:ascii="Book Antiqua" w:hAnsi="Book Antiqua" w:cs="Arial"/>
                <w:lang w:val="en-US"/>
              </w:rPr>
            </w:pPr>
            <w:r w:rsidRPr="0045429A">
              <w:rPr>
                <w:rFonts w:ascii="Book Antiqua" w:eastAsia="Calibri" w:hAnsi="Book Antiqua"/>
                <w:color w:val="000000"/>
                <w:kern w:val="24"/>
                <w:lang w:val="en-US"/>
              </w:rPr>
              <w:t>Hemodialysis</w:t>
            </w:r>
          </w:p>
        </w:tc>
        <w:tc>
          <w:tcPr>
            <w:tcW w:w="2077" w:type="dxa"/>
          </w:tcPr>
          <w:p w:rsidR="00E12526" w:rsidRPr="0045429A" w:rsidRDefault="00E12526" w:rsidP="0045429A">
            <w:pPr>
              <w:spacing w:line="360" w:lineRule="auto"/>
              <w:rPr>
                <w:rFonts w:ascii="Book Antiqua" w:hAnsi="Book Antiqua"/>
                <w:sz w:val="24"/>
                <w:szCs w:val="24"/>
                <w:lang w:val="en-US"/>
              </w:rPr>
            </w:pPr>
            <w:r w:rsidRPr="0045429A">
              <w:rPr>
                <w:rFonts w:ascii="Book Antiqua" w:hAnsi="Book Antiqua"/>
                <w:sz w:val="24"/>
                <w:szCs w:val="24"/>
                <w:lang w:val="en-US"/>
              </w:rPr>
              <w:t xml:space="preserve">0.05 mg once daily OR </w:t>
            </w:r>
          </w:p>
          <w:p w:rsidR="00E12526" w:rsidRPr="0045429A" w:rsidRDefault="00E12526" w:rsidP="0045429A">
            <w:pPr>
              <w:spacing w:line="360" w:lineRule="auto"/>
              <w:rPr>
                <w:rFonts w:ascii="Book Antiqua" w:hAnsi="Book Antiqua"/>
                <w:sz w:val="24"/>
                <w:szCs w:val="24"/>
                <w:lang w:val="en-US"/>
              </w:rPr>
            </w:pPr>
            <w:r w:rsidRPr="0045429A">
              <w:rPr>
                <w:rFonts w:ascii="Book Antiqua" w:hAnsi="Book Antiqua"/>
                <w:sz w:val="24"/>
                <w:szCs w:val="24"/>
                <w:lang w:val="en-US"/>
              </w:rPr>
              <w:t>0.5 mg every 7 days following dialysis</w:t>
            </w:r>
          </w:p>
        </w:tc>
        <w:tc>
          <w:tcPr>
            <w:tcW w:w="2401" w:type="dxa"/>
          </w:tcPr>
          <w:p w:rsidR="00E12526" w:rsidRPr="0045429A" w:rsidRDefault="00E12526" w:rsidP="0045429A">
            <w:pPr>
              <w:spacing w:line="360" w:lineRule="auto"/>
              <w:rPr>
                <w:rFonts w:ascii="Book Antiqua" w:hAnsi="Book Antiqua"/>
                <w:sz w:val="24"/>
                <w:szCs w:val="24"/>
                <w:lang w:val="en-US"/>
              </w:rPr>
            </w:pPr>
            <w:r w:rsidRPr="0045429A">
              <w:rPr>
                <w:rFonts w:ascii="Book Antiqua" w:hAnsi="Book Antiqua"/>
                <w:sz w:val="24"/>
                <w:szCs w:val="24"/>
                <w:lang w:val="en-US"/>
              </w:rPr>
              <w:t xml:space="preserve">0.1 mg once daily OR </w:t>
            </w:r>
          </w:p>
          <w:p w:rsidR="00E12526" w:rsidRPr="0045429A" w:rsidRDefault="00E12526" w:rsidP="0045429A">
            <w:pPr>
              <w:spacing w:line="360" w:lineRule="auto"/>
              <w:rPr>
                <w:rFonts w:ascii="Book Antiqua" w:hAnsi="Book Antiqua"/>
                <w:sz w:val="24"/>
                <w:szCs w:val="24"/>
                <w:lang w:val="en-US"/>
              </w:rPr>
            </w:pPr>
            <w:r w:rsidRPr="0045429A">
              <w:rPr>
                <w:rFonts w:ascii="Book Antiqua" w:hAnsi="Book Antiqua"/>
                <w:sz w:val="24"/>
                <w:szCs w:val="24"/>
                <w:lang w:val="en-US"/>
              </w:rPr>
              <w:t>1 mg every 7 days following dialysis</w:t>
            </w:r>
          </w:p>
        </w:tc>
        <w:tc>
          <w:tcPr>
            <w:tcW w:w="2888" w:type="dxa"/>
            <w:vMerge/>
          </w:tcPr>
          <w:p w:rsidR="00E12526" w:rsidRPr="0045429A" w:rsidRDefault="00E12526" w:rsidP="0045429A">
            <w:pPr>
              <w:spacing w:line="360" w:lineRule="auto"/>
              <w:rPr>
                <w:rFonts w:ascii="Book Antiqua" w:hAnsi="Book Antiqua"/>
                <w:sz w:val="24"/>
                <w:szCs w:val="24"/>
                <w:lang w:val="en-US"/>
              </w:rPr>
            </w:pPr>
          </w:p>
        </w:tc>
      </w:tr>
      <w:tr w:rsidR="00E12526" w:rsidRPr="0045429A" w:rsidTr="00645A84">
        <w:tc>
          <w:tcPr>
            <w:tcW w:w="1688" w:type="dxa"/>
          </w:tcPr>
          <w:p w:rsidR="00E12526" w:rsidRPr="0045429A" w:rsidRDefault="00E12526" w:rsidP="0045429A">
            <w:pPr>
              <w:spacing w:line="360" w:lineRule="auto"/>
              <w:jc w:val="center"/>
              <w:rPr>
                <w:rFonts w:ascii="Book Antiqua" w:hAnsi="Book Antiqua"/>
                <w:sz w:val="24"/>
                <w:szCs w:val="24"/>
                <w:lang w:val="en-US"/>
              </w:rPr>
            </w:pPr>
          </w:p>
        </w:tc>
        <w:tc>
          <w:tcPr>
            <w:tcW w:w="4478" w:type="dxa"/>
            <w:gridSpan w:val="2"/>
          </w:tcPr>
          <w:p w:rsidR="00E12526" w:rsidRPr="0045429A" w:rsidRDefault="00E12526" w:rsidP="0045429A">
            <w:pPr>
              <w:spacing w:line="360" w:lineRule="auto"/>
              <w:jc w:val="center"/>
              <w:rPr>
                <w:rFonts w:ascii="Book Antiqua" w:hAnsi="Book Antiqua"/>
                <w:sz w:val="24"/>
                <w:szCs w:val="24"/>
                <w:lang w:val="en-US"/>
              </w:rPr>
            </w:pPr>
            <w:r w:rsidRPr="0045429A">
              <w:rPr>
                <w:rFonts w:ascii="Book Antiqua" w:hAnsi="Book Antiqua"/>
                <w:b/>
                <w:sz w:val="24"/>
                <w:szCs w:val="24"/>
                <w:lang w:val="en-US"/>
              </w:rPr>
              <w:t xml:space="preserve">Tenofovir </w:t>
            </w:r>
            <w:r w:rsidRPr="0045429A">
              <w:rPr>
                <w:rFonts w:ascii="Book Antiqua" w:hAnsi="Book Antiqua"/>
                <w:b/>
                <w:sz w:val="24"/>
                <w:szCs w:val="24"/>
                <w:vertAlign w:val="superscript"/>
                <w:lang w:val="en-US"/>
              </w:rPr>
              <w:t>[29]</w:t>
            </w:r>
          </w:p>
        </w:tc>
        <w:tc>
          <w:tcPr>
            <w:tcW w:w="2888" w:type="dxa"/>
          </w:tcPr>
          <w:p w:rsidR="00E12526" w:rsidRPr="0045429A" w:rsidRDefault="00E12526" w:rsidP="0045429A">
            <w:pPr>
              <w:spacing w:line="360" w:lineRule="auto"/>
              <w:jc w:val="center"/>
              <w:rPr>
                <w:rFonts w:ascii="Book Antiqua" w:hAnsi="Book Antiqua"/>
                <w:sz w:val="24"/>
                <w:szCs w:val="24"/>
                <w:lang w:val="en-US"/>
              </w:rPr>
            </w:pPr>
            <w:r w:rsidRPr="0045429A">
              <w:rPr>
                <w:rFonts w:ascii="Book Antiqua" w:hAnsi="Book Antiqua"/>
                <w:b/>
                <w:sz w:val="24"/>
                <w:szCs w:val="24"/>
                <w:lang w:val="en-US"/>
              </w:rPr>
              <w:t xml:space="preserve">Tenofovir </w:t>
            </w:r>
            <w:r w:rsidRPr="0045429A">
              <w:rPr>
                <w:rFonts w:ascii="Book Antiqua" w:hAnsi="Book Antiqua"/>
                <w:b/>
                <w:sz w:val="24"/>
                <w:szCs w:val="24"/>
                <w:vertAlign w:val="superscript"/>
                <w:lang w:val="en-US"/>
              </w:rPr>
              <w:t>[29]</w:t>
            </w:r>
          </w:p>
        </w:tc>
      </w:tr>
      <w:tr w:rsidR="00E12526" w:rsidRPr="0045429A" w:rsidTr="00645A84">
        <w:tc>
          <w:tcPr>
            <w:tcW w:w="1688" w:type="dxa"/>
          </w:tcPr>
          <w:p w:rsidR="00E12526" w:rsidRPr="0045429A" w:rsidRDefault="00E12526" w:rsidP="0045429A">
            <w:pPr>
              <w:pStyle w:val="NormalWeb"/>
              <w:spacing w:before="0" w:beforeAutospacing="0" w:after="0" w:afterAutospacing="0" w:line="360" w:lineRule="auto"/>
              <w:jc w:val="both"/>
              <w:rPr>
                <w:rFonts w:ascii="Book Antiqua" w:hAnsi="Book Antiqua" w:cs="Arial"/>
                <w:lang w:val="en-US"/>
              </w:rPr>
            </w:pPr>
            <w:r w:rsidRPr="0045429A">
              <w:rPr>
                <w:rFonts w:ascii="Book Antiqua" w:eastAsia="Calibri" w:hAnsi="Book Antiqua"/>
                <w:color w:val="000000"/>
                <w:kern w:val="24"/>
                <w:lang w:val="en-US"/>
              </w:rPr>
              <w:t>&gt;50</w:t>
            </w:r>
          </w:p>
        </w:tc>
        <w:tc>
          <w:tcPr>
            <w:tcW w:w="4478" w:type="dxa"/>
            <w:gridSpan w:val="2"/>
          </w:tcPr>
          <w:p w:rsidR="00E12526" w:rsidRPr="0045429A" w:rsidRDefault="00E12526" w:rsidP="0045429A">
            <w:pPr>
              <w:spacing w:line="360" w:lineRule="auto"/>
              <w:rPr>
                <w:rFonts w:ascii="Book Antiqua" w:hAnsi="Book Antiqua"/>
                <w:sz w:val="24"/>
                <w:szCs w:val="24"/>
                <w:lang w:val="en-US"/>
              </w:rPr>
            </w:pPr>
            <w:r w:rsidRPr="0045429A">
              <w:rPr>
                <w:rFonts w:ascii="Book Antiqua" w:eastAsia="Calibri" w:hAnsi="Book Antiqua"/>
                <w:color w:val="000000"/>
                <w:kern w:val="24"/>
                <w:sz w:val="24"/>
                <w:szCs w:val="24"/>
                <w:lang w:val="en-US"/>
              </w:rPr>
              <w:t>300 mg every 24 hours</w:t>
            </w:r>
          </w:p>
        </w:tc>
        <w:tc>
          <w:tcPr>
            <w:tcW w:w="2888" w:type="dxa"/>
            <w:vMerge w:val="restart"/>
          </w:tcPr>
          <w:p w:rsidR="00E12526" w:rsidRPr="0045429A" w:rsidRDefault="00E12526" w:rsidP="0045429A">
            <w:pPr>
              <w:spacing w:line="360" w:lineRule="auto"/>
              <w:rPr>
                <w:rFonts w:ascii="Book Antiqua" w:hAnsi="Book Antiqua" w:cs="Times New Roman"/>
                <w:sz w:val="24"/>
                <w:szCs w:val="24"/>
                <w:lang w:val="en-US"/>
              </w:rPr>
            </w:pPr>
            <w:r w:rsidRPr="0045429A">
              <w:rPr>
                <w:rFonts w:ascii="Book Antiqua" w:hAnsi="Book Antiqua" w:cs="Times New Roman"/>
                <w:sz w:val="24"/>
                <w:szCs w:val="24"/>
                <w:lang w:val="en-US"/>
              </w:rPr>
              <w:t>Tablets: 300 mg,</w:t>
            </w:r>
          </w:p>
          <w:p w:rsidR="00E12526" w:rsidRPr="0045429A" w:rsidRDefault="00E12526" w:rsidP="0045429A">
            <w:pPr>
              <w:spacing w:line="360" w:lineRule="auto"/>
              <w:rPr>
                <w:rFonts w:ascii="Book Antiqua" w:eastAsia="Calibri" w:hAnsi="Book Antiqua"/>
                <w:color w:val="000000"/>
                <w:kern w:val="24"/>
                <w:sz w:val="24"/>
                <w:szCs w:val="24"/>
                <w:lang w:val="en-US"/>
              </w:rPr>
            </w:pPr>
            <w:r w:rsidRPr="0045429A">
              <w:rPr>
                <w:rFonts w:ascii="Book Antiqua" w:eastAsia="Calibri" w:hAnsi="Book Antiqua"/>
                <w:color w:val="000000"/>
                <w:kern w:val="24"/>
                <w:sz w:val="24"/>
                <w:szCs w:val="24"/>
                <w:lang w:val="en-US"/>
              </w:rPr>
              <w:t>Oral Powder: 40 mg per 1 g of oral powder</w:t>
            </w:r>
          </w:p>
        </w:tc>
      </w:tr>
      <w:tr w:rsidR="00E12526" w:rsidRPr="0045429A" w:rsidTr="00645A84">
        <w:tc>
          <w:tcPr>
            <w:tcW w:w="1688" w:type="dxa"/>
          </w:tcPr>
          <w:p w:rsidR="00E12526" w:rsidRPr="0045429A" w:rsidRDefault="00E12526" w:rsidP="0045429A">
            <w:pPr>
              <w:pStyle w:val="NormalWeb"/>
              <w:spacing w:before="0" w:beforeAutospacing="0" w:after="0" w:afterAutospacing="0" w:line="360" w:lineRule="auto"/>
              <w:jc w:val="both"/>
              <w:rPr>
                <w:rFonts w:ascii="Book Antiqua" w:hAnsi="Book Antiqua" w:cs="Arial"/>
                <w:lang w:val="en-US"/>
              </w:rPr>
            </w:pPr>
            <w:r w:rsidRPr="0045429A">
              <w:rPr>
                <w:rFonts w:ascii="Book Antiqua" w:eastAsia="Calibri" w:hAnsi="Book Antiqua"/>
                <w:color w:val="000000"/>
                <w:kern w:val="24"/>
                <w:lang w:val="en-US"/>
              </w:rPr>
              <w:t>30-49</w:t>
            </w:r>
          </w:p>
        </w:tc>
        <w:tc>
          <w:tcPr>
            <w:tcW w:w="4478" w:type="dxa"/>
            <w:gridSpan w:val="2"/>
          </w:tcPr>
          <w:p w:rsidR="00E12526" w:rsidRPr="0045429A" w:rsidRDefault="00E12526" w:rsidP="0045429A">
            <w:pPr>
              <w:spacing w:line="360" w:lineRule="auto"/>
              <w:rPr>
                <w:rFonts w:ascii="Book Antiqua" w:hAnsi="Book Antiqua"/>
                <w:sz w:val="24"/>
                <w:szCs w:val="24"/>
                <w:lang w:val="en-US"/>
              </w:rPr>
            </w:pPr>
            <w:r w:rsidRPr="0045429A">
              <w:rPr>
                <w:rFonts w:ascii="Book Antiqua" w:eastAsia="Calibri" w:hAnsi="Book Antiqua"/>
                <w:color w:val="000000"/>
                <w:kern w:val="24"/>
                <w:sz w:val="24"/>
                <w:szCs w:val="24"/>
                <w:lang w:val="en-US"/>
              </w:rPr>
              <w:t>300 mg every 48 hours</w:t>
            </w:r>
          </w:p>
        </w:tc>
        <w:tc>
          <w:tcPr>
            <w:tcW w:w="2888" w:type="dxa"/>
            <w:vMerge/>
          </w:tcPr>
          <w:p w:rsidR="00E12526" w:rsidRPr="0045429A" w:rsidRDefault="00E12526" w:rsidP="0045429A">
            <w:pPr>
              <w:spacing w:line="360" w:lineRule="auto"/>
              <w:rPr>
                <w:rFonts w:ascii="Book Antiqua" w:eastAsia="Calibri" w:hAnsi="Book Antiqua"/>
                <w:color w:val="000000"/>
                <w:kern w:val="24"/>
                <w:sz w:val="24"/>
                <w:szCs w:val="24"/>
                <w:lang w:val="en-US"/>
              </w:rPr>
            </w:pPr>
          </w:p>
        </w:tc>
      </w:tr>
      <w:tr w:rsidR="00E12526" w:rsidRPr="0045429A" w:rsidTr="00645A84">
        <w:tc>
          <w:tcPr>
            <w:tcW w:w="1688" w:type="dxa"/>
          </w:tcPr>
          <w:p w:rsidR="00E12526" w:rsidRPr="0045429A" w:rsidRDefault="00E12526" w:rsidP="0045429A">
            <w:pPr>
              <w:pStyle w:val="NormalWeb"/>
              <w:spacing w:before="0" w:beforeAutospacing="0" w:after="0" w:afterAutospacing="0" w:line="360" w:lineRule="auto"/>
              <w:jc w:val="both"/>
              <w:rPr>
                <w:rFonts w:ascii="Book Antiqua" w:hAnsi="Book Antiqua" w:cs="Arial"/>
                <w:lang w:val="en-US"/>
              </w:rPr>
            </w:pPr>
            <w:r w:rsidRPr="0045429A">
              <w:rPr>
                <w:rFonts w:ascii="Book Antiqua" w:eastAsia="Calibri" w:hAnsi="Book Antiqua"/>
                <w:color w:val="000000"/>
                <w:kern w:val="24"/>
                <w:lang w:val="en-US"/>
              </w:rPr>
              <w:t>10-29</w:t>
            </w:r>
          </w:p>
        </w:tc>
        <w:tc>
          <w:tcPr>
            <w:tcW w:w="4478" w:type="dxa"/>
            <w:gridSpan w:val="2"/>
          </w:tcPr>
          <w:p w:rsidR="00E12526" w:rsidRPr="0045429A" w:rsidRDefault="00E12526" w:rsidP="0045429A">
            <w:pPr>
              <w:spacing w:line="360" w:lineRule="auto"/>
              <w:rPr>
                <w:rFonts w:ascii="Book Antiqua" w:hAnsi="Book Antiqua"/>
                <w:sz w:val="24"/>
                <w:szCs w:val="24"/>
                <w:lang w:val="en-US"/>
              </w:rPr>
            </w:pPr>
            <w:r w:rsidRPr="0045429A">
              <w:rPr>
                <w:rFonts w:ascii="Book Antiqua" w:eastAsia="Calibri" w:hAnsi="Book Antiqua"/>
                <w:color w:val="000000"/>
                <w:kern w:val="24"/>
                <w:sz w:val="24"/>
                <w:szCs w:val="24"/>
                <w:lang w:val="en-US"/>
              </w:rPr>
              <w:t>300 mg every 72 to 96 hours</w:t>
            </w:r>
          </w:p>
        </w:tc>
        <w:tc>
          <w:tcPr>
            <w:tcW w:w="2888" w:type="dxa"/>
            <w:vMerge/>
          </w:tcPr>
          <w:p w:rsidR="00E12526" w:rsidRPr="0045429A" w:rsidRDefault="00E12526" w:rsidP="0045429A">
            <w:pPr>
              <w:spacing w:line="360" w:lineRule="auto"/>
              <w:rPr>
                <w:rFonts w:ascii="Book Antiqua" w:eastAsia="Calibri" w:hAnsi="Book Antiqua"/>
                <w:color w:val="000000"/>
                <w:kern w:val="24"/>
                <w:sz w:val="24"/>
                <w:szCs w:val="24"/>
                <w:lang w:val="en-US"/>
              </w:rPr>
            </w:pPr>
          </w:p>
        </w:tc>
      </w:tr>
      <w:tr w:rsidR="00E12526" w:rsidRPr="0045429A" w:rsidTr="00645A84">
        <w:tc>
          <w:tcPr>
            <w:tcW w:w="1688" w:type="dxa"/>
          </w:tcPr>
          <w:p w:rsidR="00E12526" w:rsidRPr="0045429A" w:rsidRDefault="00E12526" w:rsidP="0045429A">
            <w:pPr>
              <w:pStyle w:val="NormalWeb"/>
              <w:spacing w:before="0" w:beforeAutospacing="0" w:after="0" w:afterAutospacing="0" w:line="360" w:lineRule="auto"/>
              <w:jc w:val="both"/>
              <w:rPr>
                <w:rFonts w:ascii="Book Antiqua" w:hAnsi="Book Antiqua" w:cs="Arial"/>
                <w:lang w:val="en-US"/>
              </w:rPr>
            </w:pPr>
            <w:r w:rsidRPr="0045429A">
              <w:rPr>
                <w:rFonts w:ascii="Book Antiqua" w:eastAsia="Calibri" w:hAnsi="Book Antiqua"/>
                <w:color w:val="000000"/>
                <w:kern w:val="24"/>
                <w:lang w:val="en-US"/>
              </w:rPr>
              <w:t>Hemodialysis</w:t>
            </w:r>
          </w:p>
        </w:tc>
        <w:tc>
          <w:tcPr>
            <w:tcW w:w="4478" w:type="dxa"/>
            <w:gridSpan w:val="2"/>
          </w:tcPr>
          <w:p w:rsidR="00E12526" w:rsidRPr="0045429A" w:rsidRDefault="00E12526" w:rsidP="0045429A">
            <w:pPr>
              <w:spacing w:line="360" w:lineRule="auto"/>
              <w:rPr>
                <w:rFonts w:ascii="Book Antiqua" w:hAnsi="Book Antiqua"/>
                <w:sz w:val="24"/>
                <w:szCs w:val="24"/>
                <w:lang w:val="en-US"/>
              </w:rPr>
            </w:pPr>
            <w:r w:rsidRPr="0045429A">
              <w:rPr>
                <w:rFonts w:ascii="Book Antiqua" w:hAnsi="Book Antiqua"/>
                <w:sz w:val="24"/>
                <w:szCs w:val="24"/>
                <w:lang w:val="en-US"/>
              </w:rPr>
              <w:t>300 mg every 7 days or after approximately 12 hours of dialysis</w:t>
            </w:r>
          </w:p>
        </w:tc>
        <w:tc>
          <w:tcPr>
            <w:tcW w:w="2888" w:type="dxa"/>
            <w:vMerge/>
          </w:tcPr>
          <w:p w:rsidR="00E12526" w:rsidRPr="0045429A" w:rsidRDefault="00E12526" w:rsidP="0045429A">
            <w:pPr>
              <w:spacing w:line="360" w:lineRule="auto"/>
              <w:rPr>
                <w:rFonts w:ascii="Book Antiqua" w:hAnsi="Book Antiqua"/>
                <w:sz w:val="24"/>
                <w:szCs w:val="24"/>
                <w:lang w:val="en-US"/>
              </w:rPr>
            </w:pPr>
          </w:p>
        </w:tc>
      </w:tr>
    </w:tbl>
    <w:p w:rsidR="00E12526" w:rsidRPr="0045429A" w:rsidRDefault="00E12526" w:rsidP="0045429A">
      <w:pPr>
        <w:spacing w:line="360" w:lineRule="auto"/>
        <w:rPr>
          <w:rFonts w:ascii="Book Antiqua" w:hAnsi="Book Antiqua"/>
          <w:sz w:val="24"/>
          <w:szCs w:val="24"/>
          <w:lang w:val="en-US"/>
        </w:rPr>
      </w:pPr>
      <w:r w:rsidRPr="0045429A">
        <w:rPr>
          <w:rFonts w:ascii="Book Antiqua" w:hAnsi="Book Antiqua"/>
          <w:b/>
          <w:sz w:val="24"/>
          <w:szCs w:val="24"/>
          <w:highlight w:val="yellow"/>
          <w:lang w:val="en-US"/>
        </w:rPr>
        <w:t>Table 1:</w:t>
      </w:r>
      <w:r w:rsidRPr="0045429A">
        <w:rPr>
          <w:rFonts w:ascii="Book Antiqua" w:hAnsi="Book Antiqua"/>
          <w:sz w:val="24"/>
          <w:szCs w:val="24"/>
          <w:highlight w:val="yellow"/>
          <w:lang w:val="en-US"/>
        </w:rPr>
        <w:t xml:space="preserve"> </w:t>
      </w:r>
      <w:r w:rsidRPr="0045429A">
        <w:rPr>
          <w:rFonts w:ascii="Book Antiqua" w:hAnsi="Book Antiqua"/>
          <w:b/>
          <w:bCs/>
          <w:sz w:val="24"/>
          <w:szCs w:val="24"/>
          <w:highlight w:val="yellow"/>
          <w:lang w:val="en-US"/>
        </w:rPr>
        <w:t xml:space="preserve">Dosage Adjustment of Nucleos(t)ide Analogue for Patients with </w:t>
      </w:r>
      <w:r w:rsidR="00F3328B" w:rsidRPr="0045429A">
        <w:rPr>
          <w:rFonts w:ascii="Book Antiqua" w:hAnsi="Book Antiqua"/>
          <w:b/>
          <w:bCs/>
          <w:sz w:val="24"/>
          <w:szCs w:val="24"/>
          <w:highlight w:val="yellow"/>
          <w:lang w:val="en-US"/>
        </w:rPr>
        <w:t>Reduced</w:t>
      </w:r>
      <w:r w:rsidRPr="0045429A">
        <w:rPr>
          <w:rFonts w:ascii="Book Antiqua" w:hAnsi="Book Antiqua"/>
          <w:b/>
          <w:bCs/>
          <w:sz w:val="24"/>
          <w:szCs w:val="24"/>
          <w:highlight w:val="yellow"/>
          <w:lang w:val="en-US"/>
        </w:rPr>
        <w:t xml:space="preserve"> Creatinine Clearance</w:t>
      </w:r>
    </w:p>
    <w:p w:rsidR="00E12526" w:rsidRPr="0045429A" w:rsidRDefault="00E12526" w:rsidP="0045429A">
      <w:pPr>
        <w:spacing w:line="360" w:lineRule="auto"/>
        <w:rPr>
          <w:rFonts w:ascii="Book Antiqua" w:hAnsi="Book Antiqua"/>
          <w:sz w:val="24"/>
          <w:szCs w:val="24"/>
          <w:lang w:val="en-US"/>
        </w:rPr>
      </w:pPr>
    </w:p>
    <w:p w:rsidR="00E12526" w:rsidRPr="0045429A" w:rsidRDefault="00E12526" w:rsidP="0045429A">
      <w:pPr>
        <w:spacing w:line="360" w:lineRule="auto"/>
        <w:rPr>
          <w:rFonts w:ascii="Book Antiqua" w:hAnsi="Book Antiqua"/>
          <w:sz w:val="24"/>
          <w:szCs w:val="24"/>
          <w:lang w:val="en-US"/>
        </w:rPr>
      </w:pPr>
    </w:p>
    <w:p w:rsidR="00E12526" w:rsidRPr="0045429A" w:rsidRDefault="00E12526" w:rsidP="0045429A">
      <w:pPr>
        <w:autoSpaceDE w:val="0"/>
        <w:autoSpaceDN w:val="0"/>
        <w:adjustRightInd w:val="0"/>
        <w:spacing w:after="0" w:line="360" w:lineRule="auto"/>
        <w:rPr>
          <w:rFonts w:ascii="Book Antiqua" w:hAnsi="Book Antiqua" w:cs="Times New Roman"/>
          <w:sz w:val="24"/>
          <w:szCs w:val="24"/>
          <w:lang w:val="en-US"/>
        </w:rPr>
      </w:pPr>
    </w:p>
    <w:tbl>
      <w:tblPr>
        <w:tblStyle w:val="Tablaconcuadrcula"/>
        <w:tblW w:w="0" w:type="auto"/>
        <w:tblLook w:val="04A0"/>
      </w:tblPr>
      <w:tblGrid>
        <w:gridCol w:w="4489"/>
        <w:gridCol w:w="4489"/>
      </w:tblGrid>
      <w:tr w:rsidR="00E12526" w:rsidRPr="0045429A" w:rsidTr="00645A84">
        <w:tc>
          <w:tcPr>
            <w:tcW w:w="8978" w:type="dxa"/>
            <w:gridSpan w:val="2"/>
          </w:tcPr>
          <w:p w:rsidR="00E12526" w:rsidRPr="0045429A" w:rsidRDefault="00E12526" w:rsidP="0045429A">
            <w:pPr>
              <w:autoSpaceDE w:val="0"/>
              <w:autoSpaceDN w:val="0"/>
              <w:adjustRightInd w:val="0"/>
              <w:spacing w:line="360" w:lineRule="auto"/>
              <w:jc w:val="center"/>
              <w:rPr>
                <w:rFonts w:ascii="Book Antiqua" w:hAnsi="Book Antiqua" w:cs="Times New Roman"/>
                <w:b/>
                <w:sz w:val="24"/>
                <w:szCs w:val="24"/>
                <w:lang w:val="en-US"/>
              </w:rPr>
            </w:pPr>
            <w:r w:rsidRPr="0045429A">
              <w:rPr>
                <w:rFonts w:ascii="Book Antiqua" w:hAnsi="Book Antiqua" w:cs="Times New Roman"/>
                <w:b/>
                <w:sz w:val="24"/>
                <w:szCs w:val="24"/>
                <w:lang w:val="en-US"/>
              </w:rPr>
              <w:t>Category of Response</w:t>
            </w:r>
          </w:p>
        </w:tc>
      </w:tr>
      <w:tr w:rsidR="00E12526" w:rsidRPr="0045429A" w:rsidTr="00645A84">
        <w:tc>
          <w:tcPr>
            <w:tcW w:w="4489" w:type="dxa"/>
          </w:tcPr>
          <w:p w:rsidR="00E12526" w:rsidRPr="0045429A" w:rsidRDefault="00E12526" w:rsidP="0045429A">
            <w:pPr>
              <w:autoSpaceDE w:val="0"/>
              <w:autoSpaceDN w:val="0"/>
              <w:adjustRightInd w:val="0"/>
              <w:spacing w:line="360" w:lineRule="auto"/>
              <w:rPr>
                <w:rFonts w:ascii="Book Antiqua" w:hAnsi="Book Antiqua" w:cs="Times New Roman"/>
                <w:sz w:val="24"/>
                <w:szCs w:val="24"/>
                <w:lang w:val="en-US"/>
              </w:rPr>
            </w:pPr>
            <w:r w:rsidRPr="0045429A">
              <w:rPr>
                <w:rFonts w:ascii="Book Antiqua" w:hAnsi="Book Antiqua" w:cs="Times New Roman"/>
                <w:sz w:val="24"/>
                <w:szCs w:val="24"/>
                <w:lang w:val="en-US"/>
              </w:rPr>
              <w:t>Biochemical (BR)</w:t>
            </w:r>
          </w:p>
        </w:tc>
        <w:tc>
          <w:tcPr>
            <w:tcW w:w="4489" w:type="dxa"/>
          </w:tcPr>
          <w:p w:rsidR="00E12526" w:rsidRPr="0045429A" w:rsidRDefault="00E12526" w:rsidP="0045429A">
            <w:pPr>
              <w:autoSpaceDE w:val="0"/>
              <w:autoSpaceDN w:val="0"/>
              <w:adjustRightInd w:val="0"/>
              <w:spacing w:line="360" w:lineRule="auto"/>
              <w:rPr>
                <w:rFonts w:ascii="Book Antiqua" w:hAnsi="Book Antiqua" w:cs="Times New Roman"/>
                <w:sz w:val="24"/>
                <w:szCs w:val="24"/>
                <w:lang w:val="en-US"/>
              </w:rPr>
            </w:pPr>
            <w:r w:rsidRPr="0045429A">
              <w:rPr>
                <w:rFonts w:ascii="Book Antiqua" w:hAnsi="Book Antiqua" w:cs="Times New Roman"/>
                <w:sz w:val="24"/>
                <w:szCs w:val="24"/>
                <w:lang w:val="en-US"/>
              </w:rPr>
              <w:t>Decrease in serum ALT to within the normal range</w:t>
            </w:r>
          </w:p>
        </w:tc>
      </w:tr>
      <w:tr w:rsidR="00E12526" w:rsidRPr="0045429A" w:rsidTr="00645A84">
        <w:tc>
          <w:tcPr>
            <w:tcW w:w="4489" w:type="dxa"/>
          </w:tcPr>
          <w:p w:rsidR="00E12526" w:rsidRPr="0045429A" w:rsidRDefault="00E12526" w:rsidP="0045429A">
            <w:pPr>
              <w:autoSpaceDE w:val="0"/>
              <w:autoSpaceDN w:val="0"/>
              <w:adjustRightInd w:val="0"/>
              <w:spacing w:line="360" w:lineRule="auto"/>
              <w:rPr>
                <w:rFonts w:ascii="Book Antiqua" w:hAnsi="Book Antiqua" w:cs="Times New Roman"/>
                <w:sz w:val="24"/>
                <w:szCs w:val="24"/>
                <w:lang w:val="en-US"/>
              </w:rPr>
            </w:pPr>
            <w:r w:rsidRPr="0045429A">
              <w:rPr>
                <w:rFonts w:ascii="Book Antiqua" w:hAnsi="Book Antiqua" w:cs="Times New Roman"/>
                <w:sz w:val="24"/>
                <w:szCs w:val="24"/>
                <w:lang w:val="en-US"/>
              </w:rPr>
              <w:t>Virologic (VR)</w:t>
            </w:r>
          </w:p>
        </w:tc>
        <w:tc>
          <w:tcPr>
            <w:tcW w:w="4489" w:type="dxa"/>
          </w:tcPr>
          <w:p w:rsidR="00E12526" w:rsidRPr="0045429A" w:rsidRDefault="00E12526" w:rsidP="0045429A">
            <w:pPr>
              <w:autoSpaceDE w:val="0"/>
              <w:autoSpaceDN w:val="0"/>
              <w:adjustRightInd w:val="0"/>
              <w:spacing w:line="360" w:lineRule="auto"/>
              <w:rPr>
                <w:rFonts w:ascii="Book Antiqua" w:hAnsi="Book Antiqua" w:cs="Times New Roman"/>
                <w:sz w:val="24"/>
                <w:szCs w:val="24"/>
                <w:lang w:val="en-US"/>
              </w:rPr>
            </w:pPr>
            <w:r w:rsidRPr="0045429A">
              <w:rPr>
                <w:rFonts w:ascii="Book Antiqua" w:hAnsi="Book Antiqua" w:cs="Times New Roman"/>
                <w:sz w:val="24"/>
                <w:szCs w:val="24"/>
                <w:lang w:val="en-US"/>
              </w:rPr>
              <w:t>Decrease in serum HBV DNA to undetectable</w:t>
            </w:r>
          </w:p>
          <w:p w:rsidR="00E12526" w:rsidRPr="0045429A" w:rsidRDefault="00E12526" w:rsidP="0045429A">
            <w:pPr>
              <w:autoSpaceDE w:val="0"/>
              <w:autoSpaceDN w:val="0"/>
              <w:adjustRightInd w:val="0"/>
              <w:spacing w:line="360" w:lineRule="auto"/>
              <w:rPr>
                <w:rFonts w:ascii="Book Antiqua" w:hAnsi="Book Antiqua" w:cs="Times New Roman"/>
                <w:sz w:val="24"/>
                <w:szCs w:val="24"/>
                <w:lang w:val="en-US"/>
              </w:rPr>
            </w:pPr>
            <w:r w:rsidRPr="0045429A">
              <w:rPr>
                <w:rFonts w:ascii="Book Antiqua" w:hAnsi="Book Antiqua" w:cs="Times New Roman"/>
                <w:sz w:val="24"/>
                <w:szCs w:val="24"/>
                <w:lang w:val="en-US"/>
              </w:rPr>
              <w:t>levels by PCR assays, and loss of HBeAg in</w:t>
            </w:r>
          </w:p>
          <w:p w:rsidR="00E12526" w:rsidRPr="0045429A" w:rsidRDefault="00E12526" w:rsidP="0045429A">
            <w:pPr>
              <w:autoSpaceDE w:val="0"/>
              <w:autoSpaceDN w:val="0"/>
              <w:adjustRightInd w:val="0"/>
              <w:spacing w:line="360" w:lineRule="auto"/>
              <w:rPr>
                <w:rFonts w:ascii="Book Antiqua" w:hAnsi="Book Antiqua" w:cs="Times New Roman"/>
                <w:sz w:val="24"/>
                <w:szCs w:val="24"/>
                <w:lang w:val="en-US"/>
              </w:rPr>
            </w:pPr>
            <w:r w:rsidRPr="0045429A">
              <w:rPr>
                <w:rFonts w:ascii="Book Antiqua" w:hAnsi="Book Antiqua" w:cs="Times New Roman"/>
                <w:sz w:val="24"/>
                <w:szCs w:val="24"/>
                <w:lang w:val="en-US"/>
              </w:rPr>
              <w:lastRenderedPageBreak/>
              <w:t>patients who were initially HBeAg positive</w:t>
            </w:r>
          </w:p>
        </w:tc>
      </w:tr>
      <w:tr w:rsidR="00E12526" w:rsidRPr="0045429A" w:rsidTr="00645A84">
        <w:tc>
          <w:tcPr>
            <w:tcW w:w="4489" w:type="dxa"/>
          </w:tcPr>
          <w:p w:rsidR="00E12526" w:rsidRPr="0045429A" w:rsidRDefault="00E12526" w:rsidP="0045429A">
            <w:pPr>
              <w:autoSpaceDE w:val="0"/>
              <w:autoSpaceDN w:val="0"/>
              <w:adjustRightInd w:val="0"/>
              <w:spacing w:line="360" w:lineRule="auto"/>
              <w:rPr>
                <w:rFonts w:ascii="Book Antiqua" w:hAnsi="Book Antiqua" w:cs="Times New Roman"/>
                <w:sz w:val="24"/>
                <w:szCs w:val="24"/>
                <w:lang w:val="en-US"/>
              </w:rPr>
            </w:pPr>
            <w:r w:rsidRPr="0045429A">
              <w:rPr>
                <w:rFonts w:ascii="Book Antiqua" w:hAnsi="Book Antiqua" w:cs="Times New Roman"/>
                <w:sz w:val="24"/>
                <w:szCs w:val="24"/>
                <w:lang w:val="en-US"/>
              </w:rPr>
              <w:lastRenderedPageBreak/>
              <w:t>Primary non-response</w:t>
            </w:r>
          </w:p>
          <w:p w:rsidR="00E12526" w:rsidRPr="0045429A" w:rsidRDefault="00E12526" w:rsidP="0045429A">
            <w:pPr>
              <w:autoSpaceDE w:val="0"/>
              <w:autoSpaceDN w:val="0"/>
              <w:adjustRightInd w:val="0"/>
              <w:spacing w:line="360" w:lineRule="auto"/>
              <w:rPr>
                <w:rFonts w:ascii="Book Antiqua" w:hAnsi="Book Antiqua" w:cs="Times New Roman"/>
                <w:sz w:val="24"/>
                <w:szCs w:val="24"/>
                <w:lang w:val="en-US"/>
              </w:rPr>
            </w:pPr>
          </w:p>
        </w:tc>
        <w:tc>
          <w:tcPr>
            <w:tcW w:w="4489" w:type="dxa"/>
          </w:tcPr>
          <w:p w:rsidR="00E12526" w:rsidRPr="0045429A" w:rsidRDefault="00E12526" w:rsidP="0045429A">
            <w:pPr>
              <w:autoSpaceDE w:val="0"/>
              <w:autoSpaceDN w:val="0"/>
              <w:adjustRightInd w:val="0"/>
              <w:spacing w:line="360" w:lineRule="auto"/>
              <w:rPr>
                <w:rFonts w:ascii="Book Antiqua" w:hAnsi="Book Antiqua" w:cs="Times New Roman"/>
                <w:sz w:val="24"/>
                <w:szCs w:val="24"/>
                <w:lang w:val="en-US"/>
              </w:rPr>
            </w:pPr>
            <w:r w:rsidRPr="0045429A">
              <w:rPr>
                <w:rFonts w:ascii="Book Antiqua" w:hAnsi="Book Antiqua" w:cs="Times New Roman"/>
                <w:sz w:val="24"/>
                <w:szCs w:val="24"/>
                <w:lang w:val="en-US"/>
              </w:rPr>
              <w:t>Decrease in serum HBV DNA by 2 log10 IU/mL</w:t>
            </w:r>
          </w:p>
          <w:p w:rsidR="00E12526" w:rsidRPr="0045429A" w:rsidRDefault="00E12526" w:rsidP="0045429A">
            <w:pPr>
              <w:autoSpaceDE w:val="0"/>
              <w:autoSpaceDN w:val="0"/>
              <w:adjustRightInd w:val="0"/>
              <w:spacing w:line="360" w:lineRule="auto"/>
              <w:rPr>
                <w:rFonts w:ascii="Book Antiqua" w:hAnsi="Book Antiqua" w:cs="Times New Roman"/>
                <w:sz w:val="24"/>
                <w:szCs w:val="24"/>
                <w:lang w:val="en-US"/>
              </w:rPr>
            </w:pPr>
            <w:r w:rsidRPr="0045429A">
              <w:rPr>
                <w:rFonts w:ascii="Book Antiqua" w:hAnsi="Book Antiqua" w:cs="Times New Roman"/>
                <w:sz w:val="24"/>
                <w:szCs w:val="24"/>
                <w:lang w:val="en-US"/>
              </w:rPr>
              <w:t>after at least 24 weeks of therapy</w:t>
            </w:r>
          </w:p>
        </w:tc>
      </w:tr>
      <w:tr w:rsidR="00E12526" w:rsidRPr="0045429A" w:rsidTr="00645A84">
        <w:tc>
          <w:tcPr>
            <w:tcW w:w="4489" w:type="dxa"/>
          </w:tcPr>
          <w:p w:rsidR="00E12526" w:rsidRPr="0045429A" w:rsidRDefault="00E12526" w:rsidP="0045429A">
            <w:pPr>
              <w:autoSpaceDE w:val="0"/>
              <w:autoSpaceDN w:val="0"/>
              <w:adjustRightInd w:val="0"/>
              <w:spacing w:line="360" w:lineRule="auto"/>
              <w:rPr>
                <w:rFonts w:ascii="Book Antiqua" w:hAnsi="Book Antiqua" w:cs="Times New Roman"/>
                <w:sz w:val="24"/>
                <w:szCs w:val="24"/>
                <w:lang w:val="en-US"/>
              </w:rPr>
            </w:pPr>
            <w:r w:rsidRPr="0045429A">
              <w:rPr>
                <w:rFonts w:ascii="Book Antiqua" w:hAnsi="Book Antiqua" w:cs="Times New Roman"/>
                <w:sz w:val="24"/>
                <w:szCs w:val="24"/>
                <w:lang w:val="en-US"/>
              </w:rPr>
              <w:t>Virologic relapse</w:t>
            </w:r>
          </w:p>
        </w:tc>
        <w:tc>
          <w:tcPr>
            <w:tcW w:w="4489" w:type="dxa"/>
          </w:tcPr>
          <w:p w:rsidR="00E12526" w:rsidRPr="0045429A" w:rsidRDefault="00E12526" w:rsidP="0045429A">
            <w:pPr>
              <w:autoSpaceDE w:val="0"/>
              <w:autoSpaceDN w:val="0"/>
              <w:adjustRightInd w:val="0"/>
              <w:spacing w:line="360" w:lineRule="auto"/>
              <w:rPr>
                <w:rFonts w:ascii="Book Antiqua" w:hAnsi="Book Antiqua" w:cs="Times New Roman"/>
                <w:sz w:val="24"/>
                <w:szCs w:val="24"/>
                <w:lang w:val="en-US"/>
              </w:rPr>
            </w:pPr>
            <w:r w:rsidRPr="0045429A">
              <w:rPr>
                <w:rFonts w:ascii="Book Antiqua" w:hAnsi="Book Antiqua" w:cs="Times New Roman"/>
                <w:sz w:val="24"/>
                <w:szCs w:val="24"/>
                <w:lang w:val="en-US"/>
              </w:rPr>
              <w:t>Increase in serum HBV DNA of 1 log10 IU/mL</w:t>
            </w:r>
          </w:p>
          <w:p w:rsidR="00E12526" w:rsidRPr="0045429A" w:rsidRDefault="00E12526" w:rsidP="0045429A">
            <w:pPr>
              <w:autoSpaceDE w:val="0"/>
              <w:autoSpaceDN w:val="0"/>
              <w:adjustRightInd w:val="0"/>
              <w:spacing w:line="360" w:lineRule="auto"/>
              <w:rPr>
                <w:rFonts w:ascii="Book Antiqua" w:hAnsi="Book Antiqua" w:cs="Times New Roman"/>
                <w:sz w:val="24"/>
                <w:szCs w:val="24"/>
                <w:lang w:val="en-US"/>
              </w:rPr>
            </w:pPr>
            <w:r w:rsidRPr="0045429A">
              <w:rPr>
                <w:rFonts w:ascii="Book Antiqua" w:hAnsi="Book Antiqua" w:cs="Times New Roman"/>
                <w:sz w:val="24"/>
                <w:szCs w:val="24"/>
                <w:lang w:val="en-US"/>
              </w:rPr>
              <w:t>after discontinuation of treatment in at least</w:t>
            </w:r>
          </w:p>
          <w:p w:rsidR="00E12526" w:rsidRPr="0045429A" w:rsidRDefault="00E12526" w:rsidP="0045429A">
            <w:pPr>
              <w:autoSpaceDE w:val="0"/>
              <w:autoSpaceDN w:val="0"/>
              <w:adjustRightInd w:val="0"/>
              <w:spacing w:line="360" w:lineRule="auto"/>
              <w:rPr>
                <w:rFonts w:ascii="Book Antiqua" w:hAnsi="Book Antiqua" w:cs="Times New Roman"/>
                <w:sz w:val="24"/>
                <w:szCs w:val="24"/>
                <w:lang w:val="en-US"/>
              </w:rPr>
            </w:pPr>
            <w:r w:rsidRPr="0045429A">
              <w:rPr>
                <w:rFonts w:ascii="Book Antiqua" w:hAnsi="Book Antiqua" w:cs="Times New Roman"/>
                <w:sz w:val="24"/>
                <w:szCs w:val="24"/>
                <w:lang w:val="en-US"/>
              </w:rPr>
              <w:t>two determinations more than 4 weeks apart</w:t>
            </w:r>
          </w:p>
          <w:p w:rsidR="00E12526" w:rsidRPr="0045429A" w:rsidRDefault="00E12526" w:rsidP="0045429A">
            <w:pPr>
              <w:autoSpaceDE w:val="0"/>
              <w:autoSpaceDN w:val="0"/>
              <w:adjustRightInd w:val="0"/>
              <w:spacing w:line="360" w:lineRule="auto"/>
              <w:rPr>
                <w:rFonts w:ascii="Book Antiqua" w:hAnsi="Book Antiqua" w:cs="Times New Roman"/>
                <w:sz w:val="24"/>
                <w:szCs w:val="24"/>
                <w:lang w:val="en-US"/>
              </w:rPr>
            </w:pPr>
          </w:p>
        </w:tc>
      </w:tr>
      <w:tr w:rsidR="00E12526" w:rsidRPr="0045429A" w:rsidTr="00645A84">
        <w:tc>
          <w:tcPr>
            <w:tcW w:w="4489" w:type="dxa"/>
          </w:tcPr>
          <w:p w:rsidR="00E12526" w:rsidRPr="0045429A" w:rsidRDefault="00E12526" w:rsidP="0045429A">
            <w:pPr>
              <w:autoSpaceDE w:val="0"/>
              <w:autoSpaceDN w:val="0"/>
              <w:adjustRightInd w:val="0"/>
              <w:spacing w:line="360" w:lineRule="auto"/>
              <w:rPr>
                <w:rFonts w:ascii="Book Antiqua" w:hAnsi="Book Antiqua" w:cs="Times New Roman"/>
                <w:sz w:val="24"/>
                <w:szCs w:val="24"/>
                <w:lang w:val="en-US"/>
              </w:rPr>
            </w:pPr>
            <w:r w:rsidRPr="0045429A">
              <w:rPr>
                <w:rFonts w:ascii="Book Antiqua" w:hAnsi="Book Antiqua" w:cs="Times New Roman"/>
                <w:sz w:val="24"/>
                <w:szCs w:val="24"/>
                <w:lang w:val="en-US"/>
              </w:rPr>
              <w:t>Histologic (HR)</w:t>
            </w:r>
          </w:p>
        </w:tc>
        <w:tc>
          <w:tcPr>
            <w:tcW w:w="4489" w:type="dxa"/>
          </w:tcPr>
          <w:p w:rsidR="00E12526" w:rsidRPr="0045429A" w:rsidRDefault="00E12526" w:rsidP="0045429A">
            <w:pPr>
              <w:autoSpaceDE w:val="0"/>
              <w:autoSpaceDN w:val="0"/>
              <w:adjustRightInd w:val="0"/>
              <w:spacing w:line="360" w:lineRule="auto"/>
              <w:rPr>
                <w:rFonts w:ascii="Book Antiqua" w:hAnsi="Book Antiqua" w:cs="Times New Roman"/>
                <w:sz w:val="24"/>
                <w:szCs w:val="24"/>
                <w:lang w:val="en-US"/>
              </w:rPr>
            </w:pPr>
            <w:r w:rsidRPr="0045429A">
              <w:rPr>
                <w:rFonts w:ascii="Book Antiqua" w:hAnsi="Book Antiqua" w:cs="Times New Roman"/>
                <w:sz w:val="24"/>
                <w:szCs w:val="24"/>
                <w:lang w:val="en-US"/>
              </w:rPr>
              <w:t>Decrease in histology activity index by at least 2</w:t>
            </w:r>
          </w:p>
          <w:p w:rsidR="00E12526" w:rsidRPr="0045429A" w:rsidRDefault="00E12526" w:rsidP="0045429A">
            <w:pPr>
              <w:autoSpaceDE w:val="0"/>
              <w:autoSpaceDN w:val="0"/>
              <w:adjustRightInd w:val="0"/>
              <w:spacing w:line="360" w:lineRule="auto"/>
              <w:rPr>
                <w:rFonts w:ascii="Book Antiqua" w:hAnsi="Book Antiqua" w:cs="Times New Roman"/>
                <w:sz w:val="24"/>
                <w:szCs w:val="24"/>
                <w:lang w:val="en-US"/>
              </w:rPr>
            </w:pPr>
            <w:r w:rsidRPr="0045429A">
              <w:rPr>
                <w:rFonts w:ascii="Book Antiqua" w:hAnsi="Book Antiqua" w:cs="Times New Roman"/>
                <w:sz w:val="24"/>
                <w:szCs w:val="24"/>
                <w:lang w:val="en-US"/>
              </w:rPr>
              <w:t>points and no worsening of fibrosis score</w:t>
            </w:r>
          </w:p>
          <w:p w:rsidR="00E12526" w:rsidRPr="0045429A" w:rsidRDefault="00E12526" w:rsidP="0045429A">
            <w:pPr>
              <w:autoSpaceDE w:val="0"/>
              <w:autoSpaceDN w:val="0"/>
              <w:adjustRightInd w:val="0"/>
              <w:spacing w:line="360" w:lineRule="auto"/>
              <w:rPr>
                <w:rFonts w:ascii="Book Antiqua" w:hAnsi="Book Antiqua" w:cs="Times New Roman"/>
                <w:sz w:val="24"/>
                <w:szCs w:val="24"/>
                <w:lang w:val="en-US"/>
              </w:rPr>
            </w:pPr>
            <w:r w:rsidRPr="0045429A">
              <w:rPr>
                <w:rFonts w:ascii="Book Antiqua" w:hAnsi="Book Antiqua" w:cs="Times New Roman"/>
                <w:sz w:val="24"/>
                <w:szCs w:val="24"/>
                <w:lang w:val="en-US"/>
              </w:rPr>
              <w:t>compared to pre-treatment liver biopsy</w:t>
            </w:r>
          </w:p>
        </w:tc>
      </w:tr>
      <w:tr w:rsidR="00E12526" w:rsidRPr="0045429A" w:rsidTr="00645A84">
        <w:tc>
          <w:tcPr>
            <w:tcW w:w="4489" w:type="dxa"/>
          </w:tcPr>
          <w:p w:rsidR="00E12526" w:rsidRPr="0045429A" w:rsidRDefault="00E12526" w:rsidP="0045429A">
            <w:pPr>
              <w:autoSpaceDE w:val="0"/>
              <w:autoSpaceDN w:val="0"/>
              <w:adjustRightInd w:val="0"/>
              <w:spacing w:line="360" w:lineRule="auto"/>
              <w:rPr>
                <w:rFonts w:ascii="Book Antiqua" w:hAnsi="Book Antiqua" w:cs="Times New Roman"/>
                <w:sz w:val="24"/>
                <w:szCs w:val="24"/>
                <w:lang w:val="en-US"/>
              </w:rPr>
            </w:pPr>
            <w:r w:rsidRPr="0045429A">
              <w:rPr>
                <w:rFonts w:ascii="Book Antiqua" w:hAnsi="Book Antiqua" w:cs="Times New Roman"/>
                <w:sz w:val="24"/>
                <w:szCs w:val="24"/>
                <w:lang w:val="en-US"/>
              </w:rPr>
              <w:t>Complete (CR)</w:t>
            </w:r>
          </w:p>
        </w:tc>
        <w:tc>
          <w:tcPr>
            <w:tcW w:w="4489" w:type="dxa"/>
          </w:tcPr>
          <w:p w:rsidR="00E12526" w:rsidRPr="0045429A" w:rsidRDefault="00E12526" w:rsidP="0045429A">
            <w:pPr>
              <w:autoSpaceDE w:val="0"/>
              <w:autoSpaceDN w:val="0"/>
              <w:adjustRightInd w:val="0"/>
              <w:spacing w:line="360" w:lineRule="auto"/>
              <w:rPr>
                <w:rFonts w:ascii="Book Antiqua" w:hAnsi="Book Antiqua" w:cs="Times New Roman"/>
                <w:sz w:val="24"/>
                <w:szCs w:val="24"/>
                <w:lang w:val="en-US"/>
              </w:rPr>
            </w:pPr>
            <w:r w:rsidRPr="0045429A">
              <w:rPr>
                <w:rFonts w:ascii="Book Antiqua" w:hAnsi="Book Antiqua" w:cs="Times New Roman"/>
                <w:sz w:val="24"/>
                <w:szCs w:val="24"/>
                <w:lang w:val="en-US"/>
              </w:rPr>
              <w:t>Fulfill criteria of biochemical and virological</w:t>
            </w:r>
          </w:p>
          <w:p w:rsidR="00E12526" w:rsidRPr="0045429A" w:rsidRDefault="00E12526" w:rsidP="0045429A">
            <w:pPr>
              <w:autoSpaceDE w:val="0"/>
              <w:autoSpaceDN w:val="0"/>
              <w:adjustRightInd w:val="0"/>
              <w:spacing w:line="360" w:lineRule="auto"/>
              <w:rPr>
                <w:rFonts w:ascii="Book Antiqua" w:hAnsi="Book Antiqua" w:cs="Times New Roman"/>
                <w:sz w:val="24"/>
                <w:szCs w:val="24"/>
                <w:lang w:val="en-US"/>
              </w:rPr>
            </w:pPr>
            <w:r w:rsidRPr="0045429A">
              <w:rPr>
                <w:rFonts w:ascii="Book Antiqua" w:hAnsi="Book Antiqua" w:cs="Times New Roman"/>
                <w:sz w:val="24"/>
                <w:szCs w:val="24"/>
                <w:lang w:val="en-US"/>
              </w:rPr>
              <w:t>response and loss of HBsAg</w:t>
            </w:r>
          </w:p>
        </w:tc>
      </w:tr>
      <w:tr w:rsidR="00E12526" w:rsidRPr="0045429A" w:rsidTr="00645A84">
        <w:tc>
          <w:tcPr>
            <w:tcW w:w="8978" w:type="dxa"/>
            <w:gridSpan w:val="2"/>
          </w:tcPr>
          <w:p w:rsidR="00E12526" w:rsidRPr="0045429A" w:rsidRDefault="00E12526" w:rsidP="0045429A">
            <w:pPr>
              <w:autoSpaceDE w:val="0"/>
              <w:autoSpaceDN w:val="0"/>
              <w:adjustRightInd w:val="0"/>
              <w:spacing w:line="360" w:lineRule="auto"/>
              <w:jc w:val="center"/>
              <w:rPr>
                <w:rFonts w:ascii="Book Antiqua" w:hAnsi="Book Antiqua" w:cs="Times New Roman"/>
                <w:b/>
                <w:sz w:val="24"/>
                <w:szCs w:val="24"/>
                <w:lang w:val="en-US"/>
              </w:rPr>
            </w:pPr>
            <w:r w:rsidRPr="0045429A">
              <w:rPr>
                <w:rFonts w:ascii="Book Antiqua" w:hAnsi="Book Antiqua" w:cs="Times New Roman"/>
                <w:b/>
                <w:sz w:val="24"/>
                <w:szCs w:val="24"/>
                <w:lang w:val="en-US"/>
              </w:rPr>
              <w:t>Time of Assessment</w:t>
            </w:r>
          </w:p>
        </w:tc>
      </w:tr>
      <w:tr w:rsidR="00E12526" w:rsidRPr="0045429A" w:rsidTr="00645A84">
        <w:tc>
          <w:tcPr>
            <w:tcW w:w="4489" w:type="dxa"/>
          </w:tcPr>
          <w:p w:rsidR="00E12526" w:rsidRPr="0045429A" w:rsidRDefault="00E12526" w:rsidP="0045429A">
            <w:pPr>
              <w:autoSpaceDE w:val="0"/>
              <w:autoSpaceDN w:val="0"/>
              <w:adjustRightInd w:val="0"/>
              <w:spacing w:line="360" w:lineRule="auto"/>
              <w:rPr>
                <w:rFonts w:ascii="Book Antiqua" w:hAnsi="Book Antiqua" w:cs="Times New Roman"/>
                <w:sz w:val="24"/>
                <w:szCs w:val="24"/>
                <w:lang w:val="en-US"/>
              </w:rPr>
            </w:pPr>
            <w:r w:rsidRPr="0045429A">
              <w:rPr>
                <w:rFonts w:ascii="Book Antiqua" w:hAnsi="Book Antiqua" w:cs="Times New Roman"/>
                <w:sz w:val="24"/>
                <w:szCs w:val="24"/>
                <w:lang w:val="en-US"/>
              </w:rPr>
              <w:t>On-therapy</w:t>
            </w:r>
          </w:p>
        </w:tc>
        <w:tc>
          <w:tcPr>
            <w:tcW w:w="4489" w:type="dxa"/>
          </w:tcPr>
          <w:p w:rsidR="00E12526" w:rsidRPr="0045429A" w:rsidRDefault="00E12526" w:rsidP="0045429A">
            <w:pPr>
              <w:autoSpaceDE w:val="0"/>
              <w:autoSpaceDN w:val="0"/>
              <w:adjustRightInd w:val="0"/>
              <w:spacing w:line="360" w:lineRule="auto"/>
              <w:rPr>
                <w:rFonts w:ascii="Book Antiqua" w:hAnsi="Book Antiqua" w:cs="Times New Roman"/>
                <w:sz w:val="24"/>
                <w:szCs w:val="24"/>
                <w:lang w:val="en-US"/>
              </w:rPr>
            </w:pPr>
            <w:r w:rsidRPr="0045429A">
              <w:rPr>
                <w:rFonts w:ascii="Book Antiqua" w:hAnsi="Book Antiqua" w:cs="Times New Roman"/>
                <w:sz w:val="24"/>
                <w:szCs w:val="24"/>
                <w:lang w:val="en-US"/>
              </w:rPr>
              <w:t>During therapy</w:t>
            </w:r>
          </w:p>
        </w:tc>
      </w:tr>
      <w:tr w:rsidR="00E12526" w:rsidRPr="0045429A" w:rsidTr="00645A84">
        <w:tc>
          <w:tcPr>
            <w:tcW w:w="4489" w:type="dxa"/>
          </w:tcPr>
          <w:p w:rsidR="00E12526" w:rsidRPr="0045429A" w:rsidRDefault="00E12526" w:rsidP="0045429A">
            <w:pPr>
              <w:autoSpaceDE w:val="0"/>
              <w:autoSpaceDN w:val="0"/>
              <w:adjustRightInd w:val="0"/>
              <w:spacing w:line="360" w:lineRule="auto"/>
              <w:rPr>
                <w:rFonts w:ascii="Book Antiqua" w:hAnsi="Book Antiqua" w:cs="Times New Roman"/>
                <w:sz w:val="24"/>
                <w:szCs w:val="24"/>
                <w:lang w:val="en-US"/>
              </w:rPr>
            </w:pPr>
            <w:r w:rsidRPr="0045429A">
              <w:rPr>
                <w:rFonts w:ascii="Book Antiqua" w:hAnsi="Book Antiqua" w:cs="Times New Roman"/>
                <w:sz w:val="24"/>
                <w:szCs w:val="24"/>
                <w:lang w:val="en-US"/>
              </w:rPr>
              <w:t>Maintained</w:t>
            </w:r>
          </w:p>
        </w:tc>
        <w:tc>
          <w:tcPr>
            <w:tcW w:w="4489" w:type="dxa"/>
          </w:tcPr>
          <w:p w:rsidR="00E12526" w:rsidRPr="0045429A" w:rsidRDefault="00E12526" w:rsidP="0045429A">
            <w:pPr>
              <w:autoSpaceDE w:val="0"/>
              <w:autoSpaceDN w:val="0"/>
              <w:adjustRightInd w:val="0"/>
              <w:spacing w:line="360" w:lineRule="auto"/>
              <w:rPr>
                <w:rFonts w:ascii="Book Antiqua" w:hAnsi="Book Antiqua" w:cs="Times New Roman"/>
                <w:sz w:val="24"/>
                <w:szCs w:val="24"/>
                <w:lang w:val="en-US"/>
              </w:rPr>
            </w:pPr>
            <w:r w:rsidRPr="0045429A">
              <w:rPr>
                <w:rFonts w:ascii="Book Antiqua" w:hAnsi="Book Antiqua" w:cs="Times New Roman"/>
                <w:sz w:val="24"/>
                <w:szCs w:val="24"/>
                <w:lang w:val="en-US"/>
              </w:rPr>
              <w:t>Persist throughout the course of treatment</w:t>
            </w:r>
          </w:p>
        </w:tc>
      </w:tr>
      <w:tr w:rsidR="00E12526" w:rsidRPr="0045429A" w:rsidTr="00645A84">
        <w:tc>
          <w:tcPr>
            <w:tcW w:w="4489" w:type="dxa"/>
          </w:tcPr>
          <w:p w:rsidR="00E12526" w:rsidRPr="0045429A" w:rsidRDefault="00E12526" w:rsidP="0045429A">
            <w:pPr>
              <w:autoSpaceDE w:val="0"/>
              <w:autoSpaceDN w:val="0"/>
              <w:adjustRightInd w:val="0"/>
              <w:spacing w:line="360" w:lineRule="auto"/>
              <w:rPr>
                <w:rFonts w:ascii="Book Antiqua" w:hAnsi="Book Antiqua" w:cs="Times New Roman"/>
                <w:sz w:val="24"/>
                <w:szCs w:val="24"/>
                <w:lang w:val="en-US"/>
              </w:rPr>
            </w:pPr>
            <w:r w:rsidRPr="0045429A">
              <w:rPr>
                <w:rFonts w:ascii="Book Antiqua" w:hAnsi="Book Antiqua" w:cs="Times New Roman"/>
                <w:sz w:val="24"/>
                <w:szCs w:val="24"/>
                <w:lang w:val="en-US"/>
              </w:rPr>
              <w:t>End-of-treatment</w:t>
            </w:r>
          </w:p>
        </w:tc>
        <w:tc>
          <w:tcPr>
            <w:tcW w:w="4489" w:type="dxa"/>
          </w:tcPr>
          <w:p w:rsidR="00E12526" w:rsidRPr="0045429A" w:rsidRDefault="00E12526" w:rsidP="0045429A">
            <w:pPr>
              <w:autoSpaceDE w:val="0"/>
              <w:autoSpaceDN w:val="0"/>
              <w:adjustRightInd w:val="0"/>
              <w:spacing w:line="360" w:lineRule="auto"/>
              <w:rPr>
                <w:rFonts w:ascii="Book Antiqua" w:hAnsi="Book Antiqua" w:cs="Times New Roman"/>
                <w:sz w:val="24"/>
                <w:szCs w:val="24"/>
                <w:lang w:val="en-US"/>
              </w:rPr>
            </w:pPr>
            <w:r w:rsidRPr="0045429A">
              <w:rPr>
                <w:rFonts w:ascii="Book Antiqua" w:hAnsi="Book Antiqua" w:cs="Times New Roman"/>
                <w:sz w:val="24"/>
                <w:szCs w:val="24"/>
                <w:lang w:val="en-US"/>
              </w:rPr>
              <w:t>At the end of a defined course of therapy</w:t>
            </w:r>
          </w:p>
        </w:tc>
      </w:tr>
      <w:tr w:rsidR="00E12526" w:rsidRPr="0045429A" w:rsidTr="00645A84">
        <w:tc>
          <w:tcPr>
            <w:tcW w:w="4489" w:type="dxa"/>
          </w:tcPr>
          <w:p w:rsidR="00E12526" w:rsidRPr="0045429A" w:rsidRDefault="00E12526" w:rsidP="0045429A">
            <w:pPr>
              <w:autoSpaceDE w:val="0"/>
              <w:autoSpaceDN w:val="0"/>
              <w:adjustRightInd w:val="0"/>
              <w:spacing w:line="360" w:lineRule="auto"/>
              <w:rPr>
                <w:rFonts w:ascii="Book Antiqua" w:hAnsi="Book Antiqua" w:cs="Times New Roman"/>
                <w:sz w:val="24"/>
                <w:szCs w:val="24"/>
                <w:lang w:val="en-US"/>
              </w:rPr>
            </w:pPr>
            <w:r w:rsidRPr="0045429A">
              <w:rPr>
                <w:rFonts w:ascii="Book Antiqua" w:hAnsi="Book Antiqua" w:cs="Times New Roman"/>
                <w:sz w:val="24"/>
                <w:szCs w:val="24"/>
                <w:lang w:val="en-US"/>
              </w:rPr>
              <w:t>Off-therapy</w:t>
            </w:r>
          </w:p>
        </w:tc>
        <w:tc>
          <w:tcPr>
            <w:tcW w:w="4489" w:type="dxa"/>
          </w:tcPr>
          <w:p w:rsidR="00E12526" w:rsidRPr="0045429A" w:rsidRDefault="00E12526" w:rsidP="0045429A">
            <w:pPr>
              <w:autoSpaceDE w:val="0"/>
              <w:autoSpaceDN w:val="0"/>
              <w:adjustRightInd w:val="0"/>
              <w:spacing w:line="360" w:lineRule="auto"/>
              <w:rPr>
                <w:rFonts w:ascii="Book Antiqua" w:hAnsi="Book Antiqua" w:cs="Times New Roman"/>
                <w:sz w:val="24"/>
                <w:szCs w:val="24"/>
                <w:lang w:val="en-US"/>
              </w:rPr>
            </w:pPr>
            <w:r w:rsidRPr="0045429A">
              <w:rPr>
                <w:rFonts w:ascii="Book Antiqua" w:hAnsi="Book Antiqua" w:cs="Times New Roman"/>
                <w:sz w:val="24"/>
                <w:szCs w:val="24"/>
                <w:lang w:val="en-US"/>
              </w:rPr>
              <w:t>After discontinuation of therapy</w:t>
            </w:r>
          </w:p>
        </w:tc>
      </w:tr>
      <w:tr w:rsidR="00E12526" w:rsidRPr="0045429A" w:rsidTr="00645A84">
        <w:tc>
          <w:tcPr>
            <w:tcW w:w="4489" w:type="dxa"/>
          </w:tcPr>
          <w:p w:rsidR="00E12526" w:rsidRPr="0045429A" w:rsidRDefault="00E12526" w:rsidP="0045429A">
            <w:pPr>
              <w:autoSpaceDE w:val="0"/>
              <w:autoSpaceDN w:val="0"/>
              <w:adjustRightInd w:val="0"/>
              <w:spacing w:line="360" w:lineRule="auto"/>
              <w:rPr>
                <w:rFonts w:ascii="Book Antiqua" w:hAnsi="Book Antiqua" w:cs="Times New Roman"/>
                <w:sz w:val="24"/>
                <w:szCs w:val="24"/>
                <w:lang w:val="en-US"/>
              </w:rPr>
            </w:pPr>
            <w:r w:rsidRPr="0045429A">
              <w:rPr>
                <w:rFonts w:ascii="Book Antiqua" w:hAnsi="Book Antiqua" w:cs="Times New Roman"/>
                <w:sz w:val="24"/>
                <w:szCs w:val="24"/>
                <w:lang w:val="en-US"/>
              </w:rPr>
              <w:t>Sustained (SR-6)</w:t>
            </w:r>
          </w:p>
        </w:tc>
        <w:tc>
          <w:tcPr>
            <w:tcW w:w="4489" w:type="dxa"/>
          </w:tcPr>
          <w:p w:rsidR="00E12526" w:rsidRPr="0045429A" w:rsidRDefault="00E12526" w:rsidP="0045429A">
            <w:pPr>
              <w:autoSpaceDE w:val="0"/>
              <w:autoSpaceDN w:val="0"/>
              <w:adjustRightInd w:val="0"/>
              <w:spacing w:line="360" w:lineRule="auto"/>
              <w:rPr>
                <w:rFonts w:ascii="Book Antiqua" w:hAnsi="Book Antiqua" w:cs="Times New Roman"/>
                <w:sz w:val="24"/>
                <w:szCs w:val="24"/>
                <w:lang w:val="en-US"/>
              </w:rPr>
            </w:pPr>
            <w:r w:rsidRPr="0045429A">
              <w:rPr>
                <w:rFonts w:ascii="Book Antiqua" w:hAnsi="Book Antiqua" w:cs="Times New Roman"/>
                <w:sz w:val="24"/>
                <w:szCs w:val="24"/>
                <w:lang w:val="en-US"/>
              </w:rPr>
              <w:t xml:space="preserve">6 months after discontinuation of </w:t>
            </w:r>
            <w:r w:rsidRPr="0045429A">
              <w:rPr>
                <w:rFonts w:ascii="Book Antiqua" w:hAnsi="Book Antiqua" w:cs="Times New Roman"/>
                <w:sz w:val="24"/>
                <w:szCs w:val="24"/>
                <w:lang w:val="en-US"/>
              </w:rPr>
              <w:lastRenderedPageBreak/>
              <w:t>therapy</w:t>
            </w:r>
          </w:p>
        </w:tc>
      </w:tr>
      <w:tr w:rsidR="00E12526" w:rsidRPr="0045429A" w:rsidTr="00645A84">
        <w:tc>
          <w:tcPr>
            <w:tcW w:w="4489" w:type="dxa"/>
          </w:tcPr>
          <w:p w:rsidR="00E12526" w:rsidRPr="0045429A" w:rsidRDefault="00E12526" w:rsidP="0045429A">
            <w:pPr>
              <w:autoSpaceDE w:val="0"/>
              <w:autoSpaceDN w:val="0"/>
              <w:adjustRightInd w:val="0"/>
              <w:spacing w:line="360" w:lineRule="auto"/>
              <w:rPr>
                <w:rFonts w:ascii="Book Antiqua" w:hAnsi="Book Antiqua" w:cs="Times New Roman"/>
                <w:sz w:val="24"/>
                <w:szCs w:val="24"/>
                <w:lang w:val="en-US"/>
              </w:rPr>
            </w:pPr>
            <w:r w:rsidRPr="0045429A">
              <w:rPr>
                <w:rFonts w:ascii="Book Antiqua" w:hAnsi="Book Antiqua" w:cs="Times New Roman"/>
                <w:sz w:val="24"/>
                <w:szCs w:val="24"/>
                <w:lang w:val="en-US"/>
              </w:rPr>
              <w:lastRenderedPageBreak/>
              <w:t>Sustained (SR-12)</w:t>
            </w:r>
          </w:p>
        </w:tc>
        <w:tc>
          <w:tcPr>
            <w:tcW w:w="4489" w:type="dxa"/>
          </w:tcPr>
          <w:p w:rsidR="00E12526" w:rsidRPr="0045429A" w:rsidRDefault="00E12526" w:rsidP="0045429A">
            <w:pPr>
              <w:autoSpaceDE w:val="0"/>
              <w:autoSpaceDN w:val="0"/>
              <w:adjustRightInd w:val="0"/>
              <w:spacing w:line="360" w:lineRule="auto"/>
              <w:rPr>
                <w:rFonts w:ascii="Book Antiqua" w:hAnsi="Book Antiqua" w:cs="Times New Roman"/>
                <w:sz w:val="24"/>
                <w:szCs w:val="24"/>
                <w:lang w:val="en-US"/>
              </w:rPr>
            </w:pPr>
            <w:r w:rsidRPr="0045429A">
              <w:rPr>
                <w:rFonts w:ascii="Book Antiqua" w:hAnsi="Book Antiqua" w:cs="Times New Roman"/>
                <w:sz w:val="24"/>
                <w:szCs w:val="24"/>
                <w:lang w:val="en-US"/>
              </w:rPr>
              <w:t>12 months after discontinuation of therapy</w:t>
            </w:r>
          </w:p>
        </w:tc>
      </w:tr>
    </w:tbl>
    <w:p w:rsidR="00E12526" w:rsidRPr="0045429A" w:rsidRDefault="00E12526" w:rsidP="0045429A">
      <w:pPr>
        <w:autoSpaceDE w:val="0"/>
        <w:autoSpaceDN w:val="0"/>
        <w:adjustRightInd w:val="0"/>
        <w:spacing w:after="0" w:line="360" w:lineRule="auto"/>
        <w:rPr>
          <w:rFonts w:ascii="Book Antiqua" w:hAnsi="Book Antiqua" w:cs="Times New Roman"/>
          <w:b/>
          <w:sz w:val="24"/>
          <w:szCs w:val="24"/>
          <w:lang w:val="en-US"/>
        </w:rPr>
      </w:pPr>
      <w:r w:rsidRPr="0045429A">
        <w:rPr>
          <w:rFonts w:ascii="Book Antiqua" w:hAnsi="Book Antiqua" w:cs="Times New Roman"/>
          <w:b/>
          <w:sz w:val="24"/>
          <w:szCs w:val="24"/>
          <w:lang w:val="en-US"/>
        </w:rPr>
        <w:t xml:space="preserve">Table 2. Definition of Response to </w:t>
      </w:r>
      <w:r w:rsidRPr="0045429A">
        <w:rPr>
          <w:rFonts w:ascii="Book Antiqua" w:hAnsi="Book Antiqua"/>
          <w:b/>
          <w:bCs/>
          <w:sz w:val="24"/>
          <w:szCs w:val="24"/>
          <w:lang w:val="en-US"/>
        </w:rPr>
        <w:t xml:space="preserve">Nucleos(t)ide Analogue </w:t>
      </w:r>
      <w:r w:rsidRPr="0045429A">
        <w:rPr>
          <w:rFonts w:ascii="Book Antiqua" w:hAnsi="Book Antiqua" w:cs="Times New Roman"/>
          <w:b/>
          <w:sz w:val="24"/>
          <w:szCs w:val="24"/>
          <w:lang w:val="en-US"/>
        </w:rPr>
        <w:t>Antiviral Therapy of Chronic Hepatitis B</w:t>
      </w:r>
    </w:p>
    <w:p w:rsidR="00E12526" w:rsidRPr="0045429A" w:rsidRDefault="00E12526" w:rsidP="0045429A">
      <w:pPr>
        <w:spacing w:line="360" w:lineRule="auto"/>
        <w:rPr>
          <w:rFonts w:ascii="Book Antiqua" w:hAnsi="Book Antiqua" w:cs="Times New Roman"/>
          <w:sz w:val="24"/>
          <w:szCs w:val="24"/>
          <w:lang w:val="en-US"/>
        </w:rPr>
      </w:pPr>
      <w:r w:rsidRPr="0045429A">
        <w:rPr>
          <w:rFonts w:ascii="Book Antiqua" w:hAnsi="Book Antiqua" w:cs="Times New Roman"/>
          <w:sz w:val="24"/>
          <w:szCs w:val="24"/>
          <w:lang w:val="en-US"/>
        </w:rPr>
        <w:br w:type="page"/>
      </w:r>
    </w:p>
    <w:p w:rsidR="00E12526" w:rsidRPr="0045429A" w:rsidRDefault="00E12526" w:rsidP="0045429A">
      <w:pPr>
        <w:autoSpaceDE w:val="0"/>
        <w:autoSpaceDN w:val="0"/>
        <w:adjustRightInd w:val="0"/>
        <w:spacing w:after="0" w:line="360" w:lineRule="auto"/>
        <w:rPr>
          <w:rFonts w:ascii="Book Antiqua" w:hAnsi="Book Antiqua" w:cs="Times New Roman"/>
          <w:sz w:val="24"/>
          <w:szCs w:val="24"/>
          <w:lang w:val="en-US"/>
        </w:rPr>
      </w:pPr>
    </w:p>
    <w:tbl>
      <w:tblPr>
        <w:tblStyle w:val="Tablaconcuadrcula"/>
        <w:tblW w:w="0" w:type="auto"/>
        <w:tblLook w:val="04A0"/>
      </w:tblPr>
      <w:tblGrid>
        <w:gridCol w:w="4489"/>
        <w:gridCol w:w="4489"/>
      </w:tblGrid>
      <w:tr w:rsidR="00E12526" w:rsidRPr="0045429A" w:rsidTr="00645A84">
        <w:tc>
          <w:tcPr>
            <w:tcW w:w="4489" w:type="dxa"/>
          </w:tcPr>
          <w:p w:rsidR="00E12526" w:rsidRPr="0045429A" w:rsidRDefault="00E12526" w:rsidP="0045429A">
            <w:pPr>
              <w:autoSpaceDE w:val="0"/>
              <w:autoSpaceDN w:val="0"/>
              <w:adjustRightInd w:val="0"/>
              <w:spacing w:line="360" w:lineRule="auto"/>
              <w:jc w:val="center"/>
              <w:rPr>
                <w:rFonts w:ascii="Book Antiqua" w:hAnsi="Book Antiqua" w:cs="Times New Roman"/>
                <w:b/>
                <w:sz w:val="24"/>
                <w:szCs w:val="24"/>
                <w:lang w:val="en-US"/>
              </w:rPr>
            </w:pPr>
            <w:r w:rsidRPr="0045429A">
              <w:rPr>
                <w:rFonts w:ascii="Book Antiqua" w:hAnsi="Book Antiqua" w:cs="Times New Roman"/>
                <w:b/>
                <w:sz w:val="24"/>
                <w:szCs w:val="24"/>
                <w:lang w:val="en-US"/>
              </w:rPr>
              <w:t>Term</w:t>
            </w:r>
          </w:p>
        </w:tc>
        <w:tc>
          <w:tcPr>
            <w:tcW w:w="4489" w:type="dxa"/>
          </w:tcPr>
          <w:p w:rsidR="00E12526" w:rsidRPr="0045429A" w:rsidRDefault="00E12526" w:rsidP="0045429A">
            <w:pPr>
              <w:autoSpaceDE w:val="0"/>
              <w:autoSpaceDN w:val="0"/>
              <w:adjustRightInd w:val="0"/>
              <w:spacing w:line="360" w:lineRule="auto"/>
              <w:jc w:val="center"/>
              <w:rPr>
                <w:rFonts w:ascii="Book Antiqua" w:hAnsi="Book Antiqua" w:cs="Times New Roman"/>
                <w:b/>
                <w:sz w:val="24"/>
                <w:szCs w:val="24"/>
                <w:lang w:val="en-US"/>
              </w:rPr>
            </w:pPr>
            <w:r w:rsidRPr="0045429A">
              <w:rPr>
                <w:rFonts w:ascii="Book Antiqua" w:hAnsi="Book Antiqua" w:cs="Times New Roman"/>
                <w:b/>
                <w:sz w:val="24"/>
                <w:szCs w:val="24"/>
                <w:lang w:val="en-US"/>
              </w:rPr>
              <w:t>Definition</w:t>
            </w:r>
          </w:p>
        </w:tc>
      </w:tr>
      <w:tr w:rsidR="00E12526" w:rsidRPr="0045429A" w:rsidTr="00645A84">
        <w:tc>
          <w:tcPr>
            <w:tcW w:w="4489" w:type="dxa"/>
          </w:tcPr>
          <w:p w:rsidR="00E12526" w:rsidRPr="0045429A" w:rsidRDefault="00E12526" w:rsidP="0045429A">
            <w:pPr>
              <w:autoSpaceDE w:val="0"/>
              <w:autoSpaceDN w:val="0"/>
              <w:adjustRightInd w:val="0"/>
              <w:spacing w:line="360" w:lineRule="auto"/>
              <w:rPr>
                <w:rFonts w:ascii="Book Antiqua" w:hAnsi="Book Antiqua" w:cs="Times New Roman"/>
                <w:sz w:val="24"/>
                <w:szCs w:val="24"/>
                <w:lang w:val="en-US"/>
              </w:rPr>
            </w:pPr>
            <w:r w:rsidRPr="0045429A">
              <w:rPr>
                <w:rFonts w:ascii="Book Antiqua" w:hAnsi="Book Antiqua" w:cs="Times New Roman"/>
                <w:sz w:val="24"/>
                <w:szCs w:val="24"/>
                <w:lang w:val="en-US"/>
              </w:rPr>
              <w:t>Virologic breakthrough</w:t>
            </w:r>
          </w:p>
          <w:p w:rsidR="00E12526" w:rsidRPr="0045429A" w:rsidRDefault="00E12526" w:rsidP="0045429A">
            <w:pPr>
              <w:autoSpaceDE w:val="0"/>
              <w:autoSpaceDN w:val="0"/>
              <w:adjustRightInd w:val="0"/>
              <w:spacing w:line="360" w:lineRule="auto"/>
              <w:rPr>
                <w:rFonts w:ascii="Book Antiqua" w:hAnsi="Book Antiqua" w:cs="Times New Roman"/>
                <w:sz w:val="24"/>
                <w:szCs w:val="24"/>
                <w:lang w:val="en-US"/>
              </w:rPr>
            </w:pPr>
          </w:p>
        </w:tc>
        <w:tc>
          <w:tcPr>
            <w:tcW w:w="4489" w:type="dxa"/>
          </w:tcPr>
          <w:p w:rsidR="00E12526" w:rsidRPr="0045429A" w:rsidRDefault="00E12526" w:rsidP="0045429A">
            <w:pPr>
              <w:autoSpaceDE w:val="0"/>
              <w:autoSpaceDN w:val="0"/>
              <w:adjustRightInd w:val="0"/>
              <w:spacing w:line="360" w:lineRule="auto"/>
              <w:rPr>
                <w:rFonts w:ascii="Book Antiqua" w:hAnsi="Book Antiqua" w:cs="Times New Roman"/>
                <w:sz w:val="24"/>
                <w:szCs w:val="24"/>
                <w:lang w:val="en-US"/>
              </w:rPr>
            </w:pPr>
            <w:r w:rsidRPr="0045429A">
              <w:rPr>
                <w:rFonts w:ascii="Book Antiqua" w:hAnsi="Book Antiqua" w:cs="Times New Roman"/>
                <w:sz w:val="24"/>
                <w:szCs w:val="24"/>
                <w:lang w:val="en-US"/>
              </w:rPr>
              <w:t>Increase in serum HBV DNA by &gt;1 log10 (10-fold) above nadir after achieving virologic response, during continued treatment</w:t>
            </w:r>
          </w:p>
        </w:tc>
      </w:tr>
      <w:tr w:rsidR="00E12526" w:rsidRPr="0045429A" w:rsidTr="00645A84">
        <w:tc>
          <w:tcPr>
            <w:tcW w:w="4489" w:type="dxa"/>
          </w:tcPr>
          <w:p w:rsidR="00E12526" w:rsidRPr="0045429A" w:rsidRDefault="00E12526" w:rsidP="0045429A">
            <w:pPr>
              <w:autoSpaceDE w:val="0"/>
              <w:autoSpaceDN w:val="0"/>
              <w:adjustRightInd w:val="0"/>
              <w:spacing w:line="360" w:lineRule="auto"/>
              <w:rPr>
                <w:rFonts w:ascii="Book Antiqua" w:hAnsi="Book Antiqua" w:cs="Times New Roman"/>
                <w:sz w:val="24"/>
                <w:szCs w:val="24"/>
                <w:lang w:val="en-US"/>
              </w:rPr>
            </w:pPr>
            <w:r w:rsidRPr="0045429A">
              <w:rPr>
                <w:rFonts w:ascii="Book Antiqua" w:hAnsi="Book Antiqua" w:cs="Times New Roman"/>
                <w:sz w:val="24"/>
                <w:szCs w:val="24"/>
                <w:lang w:val="en-US"/>
              </w:rPr>
              <w:t>Viral rebound</w:t>
            </w:r>
          </w:p>
        </w:tc>
        <w:tc>
          <w:tcPr>
            <w:tcW w:w="4489" w:type="dxa"/>
          </w:tcPr>
          <w:p w:rsidR="00E12526" w:rsidRPr="0045429A" w:rsidRDefault="00E12526" w:rsidP="0045429A">
            <w:pPr>
              <w:autoSpaceDE w:val="0"/>
              <w:autoSpaceDN w:val="0"/>
              <w:adjustRightInd w:val="0"/>
              <w:spacing w:line="360" w:lineRule="auto"/>
              <w:rPr>
                <w:rFonts w:ascii="Book Antiqua" w:hAnsi="Book Antiqua" w:cs="Times New Roman"/>
                <w:sz w:val="24"/>
                <w:szCs w:val="24"/>
                <w:lang w:val="en-US"/>
              </w:rPr>
            </w:pPr>
            <w:r w:rsidRPr="0045429A">
              <w:rPr>
                <w:rFonts w:ascii="Book Antiqua" w:hAnsi="Book Antiqua" w:cs="Times New Roman"/>
                <w:sz w:val="24"/>
                <w:szCs w:val="24"/>
                <w:lang w:val="en-US"/>
              </w:rPr>
              <w:t>Increase in serum HBV DNA to &gt; 20,000 IU/mL or above pretreatment level after achieving virologic response, during continued treatment</w:t>
            </w:r>
          </w:p>
        </w:tc>
      </w:tr>
      <w:tr w:rsidR="00E12526" w:rsidRPr="0045429A" w:rsidTr="00645A84">
        <w:tc>
          <w:tcPr>
            <w:tcW w:w="4489" w:type="dxa"/>
          </w:tcPr>
          <w:p w:rsidR="00E12526" w:rsidRPr="0045429A" w:rsidRDefault="00E12526" w:rsidP="0045429A">
            <w:pPr>
              <w:autoSpaceDE w:val="0"/>
              <w:autoSpaceDN w:val="0"/>
              <w:adjustRightInd w:val="0"/>
              <w:spacing w:line="360" w:lineRule="auto"/>
              <w:rPr>
                <w:rFonts w:ascii="Book Antiqua" w:hAnsi="Book Antiqua" w:cs="Times New Roman"/>
                <w:sz w:val="24"/>
                <w:szCs w:val="24"/>
                <w:lang w:val="en-US"/>
              </w:rPr>
            </w:pPr>
            <w:r w:rsidRPr="0045429A">
              <w:rPr>
                <w:rFonts w:ascii="Book Antiqua" w:hAnsi="Book Antiqua" w:cs="Times New Roman"/>
                <w:sz w:val="24"/>
                <w:szCs w:val="24"/>
                <w:lang w:val="en-US"/>
              </w:rPr>
              <w:t>Biochemical breakthrough</w:t>
            </w:r>
          </w:p>
          <w:p w:rsidR="00E12526" w:rsidRPr="0045429A" w:rsidRDefault="00E12526" w:rsidP="0045429A">
            <w:pPr>
              <w:autoSpaceDE w:val="0"/>
              <w:autoSpaceDN w:val="0"/>
              <w:adjustRightInd w:val="0"/>
              <w:spacing w:line="360" w:lineRule="auto"/>
              <w:rPr>
                <w:rFonts w:ascii="Book Antiqua" w:hAnsi="Book Antiqua" w:cs="Times New Roman"/>
                <w:sz w:val="24"/>
                <w:szCs w:val="24"/>
                <w:lang w:val="en-US"/>
              </w:rPr>
            </w:pPr>
          </w:p>
        </w:tc>
        <w:tc>
          <w:tcPr>
            <w:tcW w:w="4489" w:type="dxa"/>
          </w:tcPr>
          <w:p w:rsidR="00E12526" w:rsidRPr="0045429A" w:rsidRDefault="00E12526" w:rsidP="0045429A">
            <w:pPr>
              <w:autoSpaceDE w:val="0"/>
              <w:autoSpaceDN w:val="0"/>
              <w:adjustRightInd w:val="0"/>
              <w:spacing w:line="360" w:lineRule="auto"/>
              <w:rPr>
                <w:rFonts w:ascii="Book Antiqua" w:hAnsi="Book Antiqua" w:cs="Times New Roman"/>
                <w:sz w:val="24"/>
                <w:szCs w:val="24"/>
                <w:lang w:val="en-US"/>
              </w:rPr>
            </w:pPr>
            <w:r w:rsidRPr="0045429A">
              <w:rPr>
                <w:rFonts w:ascii="Book Antiqua" w:hAnsi="Book Antiqua" w:cs="Times New Roman"/>
                <w:sz w:val="24"/>
                <w:szCs w:val="24"/>
                <w:lang w:val="en-US"/>
              </w:rPr>
              <w:t>Increase in ALT above upper limit of normal after achieving normalization, during continued treatment</w:t>
            </w:r>
          </w:p>
        </w:tc>
      </w:tr>
      <w:tr w:rsidR="00E12526" w:rsidRPr="0045429A" w:rsidTr="00645A84">
        <w:tc>
          <w:tcPr>
            <w:tcW w:w="4489" w:type="dxa"/>
          </w:tcPr>
          <w:p w:rsidR="00E12526" w:rsidRPr="0045429A" w:rsidRDefault="00E12526" w:rsidP="0045429A">
            <w:pPr>
              <w:autoSpaceDE w:val="0"/>
              <w:autoSpaceDN w:val="0"/>
              <w:adjustRightInd w:val="0"/>
              <w:spacing w:line="360" w:lineRule="auto"/>
              <w:rPr>
                <w:rFonts w:ascii="Book Antiqua" w:hAnsi="Book Antiqua" w:cs="Times New Roman"/>
                <w:sz w:val="24"/>
                <w:szCs w:val="24"/>
                <w:lang w:val="en-US"/>
              </w:rPr>
            </w:pPr>
            <w:r w:rsidRPr="0045429A">
              <w:rPr>
                <w:rFonts w:ascii="Book Antiqua" w:hAnsi="Book Antiqua" w:cs="Times New Roman"/>
                <w:sz w:val="24"/>
                <w:szCs w:val="24"/>
                <w:lang w:val="en-US"/>
              </w:rPr>
              <w:t>Genotypic resistance</w:t>
            </w:r>
          </w:p>
        </w:tc>
        <w:tc>
          <w:tcPr>
            <w:tcW w:w="4489" w:type="dxa"/>
          </w:tcPr>
          <w:p w:rsidR="00E12526" w:rsidRPr="0045429A" w:rsidRDefault="00E12526" w:rsidP="0045429A">
            <w:pPr>
              <w:autoSpaceDE w:val="0"/>
              <w:autoSpaceDN w:val="0"/>
              <w:adjustRightInd w:val="0"/>
              <w:spacing w:line="360" w:lineRule="auto"/>
              <w:rPr>
                <w:rFonts w:ascii="Book Antiqua" w:hAnsi="Book Antiqua" w:cs="Times New Roman"/>
                <w:sz w:val="24"/>
                <w:szCs w:val="24"/>
                <w:lang w:val="en-US"/>
              </w:rPr>
            </w:pPr>
            <w:r w:rsidRPr="0045429A">
              <w:rPr>
                <w:rFonts w:ascii="Book Antiqua" w:hAnsi="Book Antiqua" w:cs="Times New Roman"/>
                <w:sz w:val="24"/>
                <w:szCs w:val="24"/>
                <w:lang w:val="en-US"/>
              </w:rPr>
              <w:t xml:space="preserve">Detection of mutations that have been shown in “in vitro” studies to confer resistance to the NA that is being administered </w:t>
            </w:r>
          </w:p>
        </w:tc>
      </w:tr>
      <w:tr w:rsidR="00E12526" w:rsidRPr="0045429A" w:rsidTr="00645A84">
        <w:tc>
          <w:tcPr>
            <w:tcW w:w="4489" w:type="dxa"/>
          </w:tcPr>
          <w:p w:rsidR="00E12526" w:rsidRPr="0045429A" w:rsidRDefault="00E12526" w:rsidP="0045429A">
            <w:pPr>
              <w:autoSpaceDE w:val="0"/>
              <w:autoSpaceDN w:val="0"/>
              <w:adjustRightInd w:val="0"/>
              <w:spacing w:line="360" w:lineRule="auto"/>
              <w:rPr>
                <w:rFonts w:ascii="Book Antiqua" w:hAnsi="Book Antiqua" w:cs="Times New Roman"/>
                <w:sz w:val="24"/>
                <w:szCs w:val="24"/>
                <w:lang w:val="en-US"/>
              </w:rPr>
            </w:pPr>
            <w:r w:rsidRPr="0045429A">
              <w:rPr>
                <w:rFonts w:ascii="Book Antiqua" w:hAnsi="Book Antiqua" w:cs="Times New Roman"/>
                <w:sz w:val="24"/>
                <w:szCs w:val="24"/>
                <w:lang w:val="en-US"/>
              </w:rPr>
              <w:t xml:space="preserve">Phenotypic resistance </w:t>
            </w:r>
          </w:p>
        </w:tc>
        <w:tc>
          <w:tcPr>
            <w:tcW w:w="4489" w:type="dxa"/>
          </w:tcPr>
          <w:p w:rsidR="00E12526" w:rsidRPr="0045429A" w:rsidRDefault="00E12526" w:rsidP="0045429A">
            <w:pPr>
              <w:autoSpaceDE w:val="0"/>
              <w:autoSpaceDN w:val="0"/>
              <w:adjustRightInd w:val="0"/>
              <w:spacing w:line="360" w:lineRule="auto"/>
              <w:rPr>
                <w:rFonts w:ascii="Book Antiqua" w:hAnsi="Book Antiqua" w:cs="Times New Roman"/>
                <w:sz w:val="24"/>
                <w:szCs w:val="24"/>
                <w:lang w:val="en-US"/>
              </w:rPr>
            </w:pPr>
            <w:r w:rsidRPr="0045429A">
              <w:rPr>
                <w:rFonts w:ascii="Book Antiqua" w:hAnsi="Book Antiqua" w:cs="Times New Roman"/>
                <w:sz w:val="24"/>
                <w:szCs w:val="24"/>
                <w:lang w:val="en-US"/>
              </w:rPr>
              <w:t>In vitro confirmation that the mutation detected decreases susceptibility (as demonstrated by increase in inhibitory</w:t>
            </w:r>
          </w:p>
          <w:p w:rsidR="00E12526" w:rsidRPr="0045429A" w:rsidRDefault="00E12526" w:rsidP="0045429A">
            <w:pPr>
              <w:autoSpaceDE w:val="0"/>
              <w:autoSpaceDN w:val="0"/>
              <w:adjustRightInd w:val="0"/>
              <w:spacing w:line="360" w:lineRule="auto"/>
              <w:rPr>
                <w:rFonts w:ascii="Book Antiqua" w:hAnsi="Book Antiqua" w:cs="Times New Roman"/>
                <w:sz w:val="24"/>
                <w:szCs w:val="24"/>
                <w:lang w:val="en-US"/>
              </w:rPr>
            </w:pPr>
            <w:r w:rsidRPr="0045429A">
              <w:rPr>
                <w:rFonts w:ascii="Book Antiqua" w:hAnsi="Book Antiqua" w:cs="Times New Roman"/>
                <w:sz w:val="24"/>
                <w:szCs w:val="24"/>
                <w:lang w:val="en-US"/>
              </w:rPr>
              <w:t>concentrations) to the NUC administered</w:t>
            </w:r>
          </w:p>
        </w:tc>
      </w:tr>
    </w:tbl>
    <w:p w:rsidR="00E12526" w:rsidRPr="0045429A" w:rsidRDefault="00E12526" w:rsidP="0045429A">
      <w:pPr>
        <w:autoSpaceDE w:val="0"/>
        <w:autoSpaceDN w:val="0"/>
        <w:adjustRightInd w:val="0"/>
        <w:spacing w:after="0" w:line="360" w:lineRule="auto"/>
        <w:rPr>
          <w:rFonts w:ascii="Book Antiqua" w:hAnsi="Book Antiqua" w:cs="Times New Roman"/>
          <w:b/>
          <w:sz w:val="24"/>
          <w:szCs w:val="24"/>
          <w:lang w:val="en-US"/>
        </w:rPr>
      </w:pPr>
      <w:r w:rsidRPr="0045429A">
        <w:rPr>
          <w:rFonts w:ascii="Book Antiqua" w:hAnsi="Book Antiqua" w:cs="Times New Roman"/>
          <w:b/>
          <w:sz w:val="24"/>
          <w:szCs w:val="24"/>
          <w:lang w:val="en-US"/>
        </w:rPr>
        <w:t xml:space="preserve">Table 3. Definition of Terms Relating to Antiviral Resistance to </w:t>
      </w:r>
      <w:r w:rsidRPr="0045429A">
        <w:rPr>
          <w:rFonts w:ascii="Book Antiqua" w:hAnsi="Book Antiqua"/>
          <w:b/>
          <w:bCs/>
          <w:sz w:val="24"/>
          <w:szCs w:val="24"/>
          <w:lang w:val="en-US"/>
        </w:rPr>
        <w:t xml:space="preserve">Nucleos(t)ide Analogue </w:t>
      </w:r>
      <w:r w:rsidRPr="0045429A">
        <w:rPr>
          <w:rFonts w:ascii="Book Antiqua" w:hAnsi="Book Antiqua" w:cs="Times New Roman"/>
          <w:b/>
          <w:sz w:val="24"/>
          <w:szCs w:val="24"/>
          <w:lang w:val="en-US"/>
        </w:rPr>
        <w:t>Treatment</w:t>
      </w:r>
    </w:p>
    <w:p w:rsidR="00E12526" w:rsidRPr="0045429A" w:rsidRDefault="00E12526" w:rsidP="0045429A">
      <w:pPr>
        <w:autoSpaceDE w:val="0"/>
        <w:autoSpaceDN w:val="0"/>
        <w:adjustRightInd w:val="0"/>
        <w:spacing w:after="0" w:line="360" w:lineRule="auto"/>
        <w:rPr>
          <w:rFonts w:ascii="Book Antiqua" w:hAnsi="Book Antiqua" w:cs="Times New Roman"/>
          <w:sz w:val="24"/>
          <w:szCs w:val="24"/>
          <w:lang w:val="en-US"/>
        </w:rPr>
      </w:pPr>
    </w:p>
    <w:p w:rsidR="00E12526" w:rsidRPr="0045429A" w:rsidRDefault="00E12526" w:rsidP="0045429A">
      <w:pPr>
        <w:spacing w:line="360" w:lineRule="auto"/>
        <w:rPr>
          <w:rFonts w:ascii="Book Antiqua" w:hAnsi="Book Antiqua"/>
          <w:b/>
          <w:sz w:val="24"/>
          <w:szCs w:val="24"/>
          <w:lang w:val="en-US"/>
        </w:rPr>
      </w:pPr>
      <w:r w:rsidRPr="0045429A">
        <w:rPr>
          <w:rFonts w:ascii="Book Antiqua" w:hAnsi="Book Antiqua"/>
          <w:b/>
          <w:sz w:val="24"/>
          <w:szCs w:val="24"/>
          <w:lang w:val="en-US"/>
        </w:rPr>
        <w:br w:type="page"/>
      </w:r>
    </w:p>
    <w:p w:rsidR="00CF516D" w:rsidRPr="0045429A" w:rsidRDefault="00E12526" w:rsidP="0045429A">
      <w:pPr>
        <w:spacing w:line="360" w:lineRule="auto"/>
        <w:jc w:val="both"/>
        <w:rPr>
          <w:rFonts w:ascii="Book Antiqua" w:hAnsi="Book Antiqua"/>
          <w:b/>
          <w:sz w:val="24"/>
          <w:szCs w:val="24"/>
          <w:lang w:val="en-US"/>
        </w:rPr>
      </w:pPr>
      <w:r w:rsidRPr="0045429A">
        <w:rPr>
          <w:rFonts w:ascii="Book Antiqua" w:hAnsi="Book Antiqua"/>
          <w:b/>
          <w:noProof/>
          <w:sz w:val="24"/>
          <w:szCs w:val="24"/>
          <w:lang w:eastAsia="es-AR"/>
        </w:rPr>
        <w:lastRenderedPageBreak/>
        <w:drawing>
          <wp:inline distT="0" distB="0" distL="0" distR="0">
            <wp:extent cx="5612130" cy="3239371"/>
            <wp:effectExtent l="19050" t="0" r="45720" b="0"/>
            <wp:docPr id="3"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E12526" w:rsidRPr="0045429A" w:rsidRDefault="00E12526" w:rsidP="0045429A">
      <w:pPr>
        <w:spacing w:line="360" w:lineRule="auto"/>
        <w:rPr>
          <w:rFonts w:ascii="Book Antiqua" w:hAnsi="Book Antiqua"/>
          <w:sz w:val="24"/>
          <w:szCs w:val="24"/>
          <w:lang w:val="en-US"/>
        </w:rPr>
      </w:pPr>
      <w:r w:rsidRPr="0045429A">
        <w:rPr>
          <w:rFonts w:ascii="Book Antiqua" w:hAnsi="Book Antiqua"/>
          <w:sz w:val="24"/>
          <w:szCs w:val="24"/>
          <w:lang w:val="en-US"/>
        </w:rPr>
        <w:t>Figure 1: Treatment algorithm for management of renal transplant candidates with chronic hepatitis B virus (HBV) infection.</w:t>
      </w:r>
    </w:p>
    <w:p w:rsidR="00E12526" w:rsidRPr="0045429A" w:rsidRDefault="00E12526" w:rsidP="0045429A">
      <w:pPr>
        <w:spacing w:line="360" w:lineRule="auto"/>
        <w:rPr>
          <w:rFonts w:ascii="Book Antiqua" w:hAnsi="Book Antiqua"/>
          <w:sz w:val="24"/>
          <w:szCs w:val="24"/>
          <w:lang w:val="en-US"/>
        </w:rPr>
      </w:pPr>
      <w:r w:rsidRPr="0045429A">
        <w:rPr>
          <w:rFonts w:ascii="Book Antiqua" w:hAnsi="Book Antiqua"/>
          <w:sz w:val="24"/>
          <w:szCs w:val="24"/>
          <w:lang w:val="en-US"/>
        </w:rPr>
        <w:t>Abbreviations; RT: renal transplantation; LRT: liver renal transplantation; NUC: nucleos(t)ide analogue; ETV: entecavir; TDF: tenofovir.</w:t>
      </w:r>
    </w:p>
    <w:p w:rsidR="00E12526" w:rsidRPr="0045429A" w:rsidRDefault="00E12526" w:rsidP="0045429A">
      <w:pPr>
        <w:spacing w:line="360" w:lineRule="auto"/>
        <w:jc w:val="both"/>
        <w:rPr>
          <w:rFonts w:ascii="Book Antiqua" w:hAnsi="Book Antiqua"/>
          <w:b/>
          <w:sz w:val="24"/>
          <w:szCs w:val="24"/>
          <w:lang w:val="en-US"/>
        </w:rPr>
      </w:pPr>
    </w:p>
    <w:sectPr w:rsidR="00E12526" w:rsidRPr="0045429A" w:rsidSect="00D879C5">
      <w:footerReference w:type="default" r:id="rId1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E21" w:rsidRDefault="00757E21" w:rsidP="00FC79F6">
      <w:pPr>
        <w:spacing w:after="0" w:line="240" w:lineRule="auto"/>
      </w:pPr>
      <w:r>
        <w:separator/>
      </w:r>
    </w:p>
  </w:endnote>
  <w:endnote w:type="continuationSeparator" w:id="0">
    <w:p w:rsidR="00757E21" w:rsidRDefault="00757E21" w:rsidP="00FC7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11751"/>
      <w:docPartObj>
        <w:docPartGallery w:val="Page Numbers (Bottom of Page)"/>
        <w:docPartUnique/>
      </w:docPartObj>
    </w:sdtPr>
    <w:sdtContent>
      <w:p w:rsidR="00645A84" w:rsidRDefault="00645A84">
        <w:pPr>
          <w:pStyle w:val="Piedepgina"/>
          <w:jc w:val="center"/>
        </w:pPr>
        <w:fldSimple w:instr=" PAGE   \* MERGEFORMAT ">
          <w:r w:rsidR="0045429A">
            <w:rPr>
              <w:noProof/>
            </w:rPr>
            <w:t>47</w:t>
          </w:r>
        </w:fldSimple>
      </w:p>
    </w:sdtContent>
  </w:sdt>
  <w:p w:rsidR="00645A84" w:rsidRDefault="00645A8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E21" w:rsidRDefault="00757E21" w:rsidP="00FC79F6">
      <w:pPr>
        <w:spacing w:after="0" w:line="240" w:lineRule="auto"/>
      </w:pPr>
      <w:r>
        <w:separator/>
      </w:r>
    </w:p>
  </w:footnote>
  <w:footnote w:type="continuationSeparator" w:id="0">
    <w:p w:rsidR="00757E21" w:rsidRDefault="00757E21" w:rsidP="00FC79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9715B"/>
    <w:multiLevelType w:val="hybridMultilevel"/>
    <w:tmpl w:val="13FAE23C"/>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rsids>
    <w:rsidRoot w:val="0021514C"/>
    <w:rsid w:val="00037949"/>
    <w:rsid w:val="00045039"/>
    <w:rsid w:val="00053083"/>
    <w:rsid w:val="000550C7"/>
    <w:rsid w:val="00056B58"/>
    <w:rsid w:val="0006659F"/>
    <w:rsid w:val="00071E3C"/>
    <w:rsid w:val="00087E23"/>
    <w:rsid w:val="000943C9"/>
    <w:rsid w:val="000A1134"/>
    <w:rsid w:val="000A1E17"/>
    <w:rsid w:val="000D6E31"/>
    <w:rsid w:val="000E0250"/>
    <w:rsid w:val="000F36C4"/>
    <w:rsid w:val="00181F9A"/>
    <w:rsid w:val="00182342"/>
    <w:rsid w:val="001868C3"/>
    <w:rsid w:val="0019042D"/>
    <w:rsid w:val="001B59B9"/>
    <w:rsid w:val="001C75B9"/>
    <w:rsid w:val="001F0918"/>
    <w:rsid w:val="0021514C"/>
    <w:rsid w:val="00216C8B"/>
    <w:rsid w:val="00222865"/>
    <w:rsid w:val="00243EB5"/>
    <w:rsid w:val="00262E6A"/>
    <w:rsid w:val="002630C9"/>
    <w:rsid w:val="002809E3"/>
    <w:rsid w:val="0029299B"/>
    <w:rsid w:val="002A285D"/>
    <w:rsid w:val="002A5AC6"/>
    <w:rsid w:val="002B24FE"/>
    <w:rsid w:val="002C408B"/>
    <w:rsid w:val="002C53CD"/>
    <w:rsid w:val="002E018C"/>
    <w:rsid w:val="002E3133"/>
    <w:rsid w:val="002E4E00"/>
    <w:rsid w:val="00326E9A"/>
    <w:rsid w:val="0033438A"/>
    <w:rsid w:val="00342248"/>
    <w:rsid w:val="0034689F"/>
    <w:rsid w:val="0035405A"/>
    <w:rsid w:val="00375683"/>
    <w:rsid w:val="00380DAB"/>
    <w:rsid w:val="0039170C"/>
    <w:rsid w:val="00394663"/>
    <w:rsid w:val="00396DA3"/>
    <w:rsid w:val="003A5330"/>
    <w:rsid w:val="003B06E0"/>
    <w:rsid w:val="003B4605"/>
    <w:rsid w:val="003C14E0"/>
    <w:rsid w:val="003C75A6"/>
    <w:rsid w:val="003D073C"/>
    <w:rsid w:val="003D2748"/>
    <w:rsid w:val="003F1E7C"/>
    <w:rsid w:val="003F2AB2"/>
    <w:rsid w:val="004078C9"/>
    <w:rsid w:val="0042385C"/>
    <w:rsid w:val="0043484A"/>
    <w:rsid w:val="00434CDA"/>
    <w:rsid w:val="00443E74"/>
    <w:rsid w:val="0045429A"/>
    <w:rsid w:val="0048204F"/>
    <w:rsid w:val="004A7EA7"/>
    <w:rsid w:val="004D0B07"/>
    <w:rsid w:val="004E2291"/>
    <w:rsid w:val="004F4DDA"/>
    <w:rsid w:val="00544328"/>
    <w:rsid w:val="0056786F"/>
    <w:rsid w:val="005A2329"/>
    <w:rsid w:val="005A5D64"/>
    <w:rsid w:val="005A79CD"/>
    <w:rsid w:val="005B0959"/>
    <w:rsid w:val="005C2519"/>
    <w:rsid w:val="005C5BB1"/>
    <w:rsid w:val="005D4062"/>
    <w:rsid w:val="005D4F86"/>
    <w:rsid w:val="00616D16"/>
    <w:rsid w:val="00620F5E"/>
    <w:rsid w:val="00626079"/>
    <w:rsid w:val="00635470"/>
    <w:rsid w:val="00644034"/>
    <w:rsid w:val="00645A84"/>
    <w:rsid w:val="00650638"/>
    <w:rsid w:val="0066217B"/>
    <w:rsid w:val="00662A78"/>
    <w:rsid w:val="00665340"/>
    <w:rsid w:val="00681574"/>
    <w:rsid w:val="00683B22"/>
    <w:rsid w:val="0069138E"/>
    <w:rsid w:val="00696E00"/>
    <w:rsid w:val="006A34F3"/>
    <w:rsid w:val="006B03E9"/>
    <w:rsid w:val="006B3E23"/>
    <w:rsid w:val="006B65C9"/>
    <w:rsid w:val="006B67BA"/>
    <w:rsid w:val="006C522C"/>
    <w:rsid w:val="006E52FB"/>
    <w:rsid w:val="006F2A6F"/>
    <w:rsid w:val="006F41ED"/>
    <w:rsid w:val="006F741D"/>
    <w:rsid w:val="00706E8F"/>
    <w:rsid w:val="0073736C"/>
    <w:rsid w:val="00740493"/>
    <w:rsid w:val="0074324F"/>
    <w:rsid w:val="00746DD7"/>
    <w:rsid w:val="00757E21"/>
    <w:rsid w:val="00765323"/>
    <w:rsid w:val="007838A7"/>
    <w:rsid w:val="00783C3D"/>
    <w:rsid w:val="007873A5"/>
    <w:rsid w:val="007915C3"/>
    <w:rsid w:val="007B4DEA"/>
    <w:rsid w:val="007C63C9"/>
    <w:rsid w:val="007D5C71"/>
    <w:rsid w:val="007E74FB"/>
    <w:rsid w:val="007F2804"/>
    <w:rsid w:val="008031B4"/>
    <w:rsid w:val="0082597A"/>
    <w:rsid w:val="00826ADF"/>
    <w:rsid w:val="00826F73"/>
    <w:rsid w:val="0084303B"/>
    <w:rsid w:val="00865C69"/>
    <w:rsid w:val="00887E2D"/>
    <w:rsid w:val="008A0AE2"/>
    <w:rsid w:val="008C0562"/>
    <w:rsid w:val="008C0D37"/>
    <w:rsid w:val="008C2C74"/>
    <w:rsid w:val="008C5041"/>
    <w:rsid w:val="008D6E42"/>
    <w:rsid w:val="008E1309"/>
    <w:rsid w:val="008F2A78"/>
    <w:rsid w:val="008F43F3"/>
    <w:rsid w:val="0091173A"/>
    <w:rsid w:val="0093028C"/>
    <w:rsid w:val="00934C9C"/>
    <w:rsid w:val="009618FC"/>
    <w:rsid w:val="009630DD"/>
    <w:rsid w:val="00963D87"/>
    <w:rsid w:val="00995417"/>
    <w:rsid w:val="009B67A5"/>
    <w:rsid w:val="009D226E"/>
    <w:rsid w:val="009E7B32"/>
    <w:rsid w:val="009F102A"/>
    <w:rsid w:val="009F2316"/>
    <w:rsid w:val="009F7823"/>
    <w:rsid w:val="00A148DF"/>
    <w:rsid w:val="00A35B45"/>
    <w:rsid w:val="00A525F7"/>
    <w:rsid w:val="00A53F6A"/>
    <w:rsid w:val="00A61855"/>
    <w:rsid w:val="00A634A4"/>
    <w:rsid w:val="00A87274"/>
    <w:rsid w:val="00AB494E"/>
    <w:rsid w:val="00AC5D9A"/>
    <w:rsid w:val="00AC625E"/>
    <w:rsid w:val="00B03B4C"/>
    <w:rsid w:val="00B1782F"/>
    <w:rsid w:val="00B20B1D"/>
    <w:rsid w:val="00B3378C"/>
    <w:rsid w:val="00B5584B"/>
    <w:rsid w:val="00B91971"/>
    <w:rsid w:val="00B94F35"/>
    <w:rsid w:val="00BA21EB"/>
    <w:rsid w:val="00BA4947"/>
    <w:rsid w:val="00BC12CE"/>
    <w:rsid w:val="00BD39BA"/>
    <w:rsid w:val="00BE2D04"/>
    <w:rsid w:val="00BE692F"/>
    <w:rsid w:val="00BF47EE"/>
    <w:rsid w:val="00BF57AF"/>
    <w:rsid w:val="00C01BC4"/>
    <w:rsid w:val="00C211BE"/>
    <w:rsid w:val="00C26766"/>
    <w:rsid w:val="00C27196"/>
    <w:rsid w:val="00C5771B"/>
    <w:rsid w:val="00C84475"/>
    <w:rsid w:val="00C858A0"/>
    <w:rsid w:val="00C90E6E"/>
    <w:rsid w:val="00CA0BC6"/>
    <w:rsid w:val="00CA5B38"/>
    <w:rsid w:val="00CF192B"/>
    <w:rsid w:val="00CF516D"/>
    <w:rsid w:val="00CF6D15"/>
    <w:rsid w:val="00D12903"/>
    <w:rsid w:val="00D20914"/>
    <w:rsid w:val="00D26F05"/>
    <w:rsid w:val="00D72015"/>
    <w:rsid w:val="00D82B63"/>
    <w:rsid w:val="00D879C5"/>
    <w:rsid w:val="00D941DF"/>
    <w:rsid w:val="00DA0C8D"/>
    <w:rsid w:val="00DA2C85"/>
    <w:rsid w:val="00DA46F9"/>
    <w:rsid w:val="00DD2A27"/>
    <w:rsid w:val="00DE18CD"/>
    <w:rsid w:val="00DE4D27"/>
    <w:rsid w:val="00DF059D"/>
    <w:rsid w:val="00DF1E91"/>
    <w:rsid w:val="00E03FDF"/>
    <w:rsid w:val="00E04DB8"/>
    <w:rsid w:val="00E12526"/>
    <w:rsid w:val="00E24324"/>
    <w:rsid w:val="00E5489D"/>
    <w:rsid w:val="00E57E10"/>
    <w:rsid w:val="00E62CCD"/>
    <w:rsid w:val="00E74090"/>
    <w:rsid w:val="00E927B5"/>
    <w:rsid w:val="00E953E5"/>
    <w:rsid w:val="00E97C9D"/>
    <w:rsid w:val="00EB0039"/>
    <w:rsid w:val="00EB432F"/>
    <w:rsid w:val="00EC1DE7"/>
    <w:rsid w:val="00EC7A4A"/>
    <w:rsid w:val="00ED030D"/>
    <w:rsid w:val="00ED7449"/>
    <w:rsid w:val="00F10EF4"/>
    <w:rsid w:val="00F15B28"/>
    <w:rsid w:val="00F23CDC"/>
    <w:rsid w:val="00F3328B"/>
    <w:rsid w:val="00F41821"/>
    <w:rsid w:val="00F535F6"/>
    <w:rsid w:val="00F562FD"/>
    <w:rsid w:val="00F6755F"/>
    <w:rsid w:val="00F72C32"/>
    <w:rsid w:val="00F7753D"/>
    <w:rsid w:val="00F93520"/>
    <w:rsid w:val="00F95D9A"/>
    <w:rsid w:val="00FA61A6"/>
    <w:rsid w:val="00FB35A0"/>
    <w:rsid w:val="00FB6751"/>
    <w:rsid w:val="00FC76E2"/>
    <w:rsid w:val="00FC79F6"/>
    <w:rsid w:val="00FE0BAE"/>
    <w:rsid w:val="00FE423D"/>
    <w:rsid w:val="00FE44EE"/>
    <w:rsid w:val="00FE4AE3"/>
    <w:rsid w:val="00FE4EF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4C"/>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4D27"/>
    <w:pPr>
      <w:ind w:left="720"/>
      <w:contextualSpacing/>
    </w:pPr>
  </w:style>
  <w:style w:type="character" w:customStyle="1" w:styleId="apple-converted-space">
    <w:name w:val="apple-converted-space"/>
    <w:basedOn w:val="Fuentedeprrafopredeter"/>
    <w:rsid w:val="0033438A"/>
  </w:style>
  <w:style w:type="character" w:customStyle="1" w:styleId="highlight">
    <w:name w:val="highlight"/>
    <w:basedOn w:val="Fuentedeprrafopredeter"/>
    <w:rsid w:val="0033438A"/>
  </w:style>
  <w:style w:type="table" w:styleId="Tablaconcuadrcula">
    <w:name w:val="Table Grid"/>
    <w:basedOn w:val="Tablanormal"/>
    <w:uiPriority w:val="59"/>
    <w:rsid w:val="00E125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1252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E125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2526"/>
    <w:rPr>
      <w:rFonts w:ascii="Tahoma" w:hAnsi="Tahoma" w:cs="Tahoma"/>
      <w:sz w:val="16"/>
      <w:szCs w:val="16"/>
    </w:rPr>
  </w:style>
  <w:style w:type="paragraph" w:styleId="Encabezado">
    <w:name w:val="header"/>
    <w:basedOn w:val="Normal"/>
    <w:link w:val="EncabezadoCar"/>
    <w:uiPriority w:val="99"/>
    <w:semiHidden/>
    <w:unhideWhenUsed/>
    <w:rsid w:val="00FC79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C79F6"/>
  </w:style>
  <w:style w:type="paragraph" w:styleId="Piedepgina">
    <w:name w:val="footer"/>
    <w:basedOn w:val="Normal"/>
    <w:link w:val="PiedepginaCar"/>
    <w:uiPriority w:val="99"/>
    <w:unhideWhenUsed/>
    <w:rsid w:val="00FC79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79F6"/>
  </w:style>
</w:styles>
</file>

<file path=word/webSettings.xml><?xml version="1.0" encoding="utf-8"?>
<w:webSettings xmlns:r="http://schemas.openxmlformats.org/officeDocument/2006/relationships" xmlns:w="http://schemas.openxmlformats.org/wordprocessingml/2006/main">
  <w:divs>
    <w:div w:id="18706091">
      <w:bodyDiv w:val="1"/>
      <w:marLeft w:val="0"/>
      <w:marRight w:val="0"/>
      <w:marTop w:val="0"/>
      <w:marBottom w:val="0"/>
      <w:divBdr>
        <w:top w:val="none" w:sz="0" w:space="0" w:color="auto"/>
        <w:left w:val="none" w:sz="0" w:space="0" w:color="auto"/>
        <w:bottom w:val="none" w:sz="0" w:space="0" w:color="auto"/>
        <w:right w:val="none" w:sz="0" w:space="0" w:color="auto"/>
      </w:divBdr>
    </w:div>
    <w:div w:id="36128116">
      <w:bodyDiv w:val="1"/>
      <w:marLeft w:val="0"/>
      <w:marRight w:val="0"/>
      <w:marTop w:val="0"/>
      <w:marBottom w:val="0"/>
      <w:divBdr>
        <w:top w:val="none" w:sz="0" w:space="0" w:color="auto"/>
        <w:left w:val="none" w:sz="0" w:space="0" w:color="auto"/>
        <w:bottom w:val="none" w:sz="0" w:space="0" w:color="auto"/>
        <w:right w:val="none" w:sz="0" w:space="0" w:color="auto"/>
      </w:divBdr>
    </w:div>
    <w:div w:id="90317879">
      <w:bodyDiv w:val="1"/>
      <w:marLeft w:val="0"/>
      <w:marRight w:val="0"/>
      <w:marTop w:val="0"/>
      <w:marBottom w:val="0"/>
      <w:divBdr>
        <w:top w:val="none" w:sz="0" w:space="0" w:color="auto"/>
        <w:left w:val="none" w:sz="0" w:space="0" w:color="auto"/>
        <w:bottom w:val="none" w:sz="0" w:space="0" w:color="auto"/>
        <w:right w:val="none" w:sz="0" w:space="0" w:color="auto"/>
      </w:divBdr>
    </w:div>
    <w:div w:id="122313290">
      <w:bodyDiv w:val="1"/>
      <w:marLeft w:val="0"/>
      <w:marRight w:val="0"/>
      <w:marTop w:val="0"/>
      <w:marBottom w:val="0"/>
      <w:divBdr>
        <w:top w:val="none" w:sz="0" w:space="0" w:color="auto"/>
        <w:left w:val="none" w:sz="0" w:space="0" w:color="auto"/>
        <w:bottom w:val="none" w:sz="0" w:space="0" w:color="auto"/>
        <w:right w:val="none" w:sz="0" w:space="0" w:color="auto"/>
      </w:divBdr>
      <w:divsChild>
        <w:div w:id="984625689">
          <w:marLeft w:val="0"/>
          <w:marRight w:val="0"/>
          <w:marTop w:val="0"/>
          <w:marBottom w:val="0"/>
          <w:divBdr>
            <w:top w:val="none" w:sz="0" w:space="0" w:color="auto"/>
            <w:left w:val="none" w:sz="0" w:space="0" w:color="auto"/>
            <w:bottom w:val="none" w:sz="0" w:space="0" w:color="auto"/>
            <w:right w:val="none" w:sz="0" w:space="0" w:color="auto"/>
          </w:divBdr>
        </w:div>
        <w:div w:id="1114908302">
          <w:marLeft w:val="0"/>
          <w:marRight w:val="0"/>
          <w:marTop w:val="34"/>
          <w:marBottom w:val="34"/>
          <w:divBdr>
            <w:top w:val="none" w:sz="0" w:space="0" w:color="auto"/>
            <w:left w:val="none" w:sz="0" w:space="0" w:color="auto"/>
            <w:bottom w:val="none" w:sz="0" w:space="0" w:color="auto"/>
            <w:right w:val="none" w:sz="0" w:space="0" w:color="auto"/>
          </w:divBdr>
        </w:div>
      </w:divsChild>
    </w:div>
    <w:div w:id="150760956">
      <w:bodyDiv w:val="1"/>
      <w:marLeft w:val="0"/>
      <w:marRight w:val="0"/>
      <w:marTop w:val="0"/>
      <w:marBottom w:val="0"/>
      <w:divBdr>
        <w:top w:val="none" w:sz="0" w:space="0" w:color="auto"/>
        <w:left w:val="none" w:sz="0" w:space="0" w:color="auto"/>
        <w:bottom w:val="none" w:sz="0" w:space="0" w:color="auto"/>
        <w:right w:val="none" w:sz="0" w:space="0" w:color="auto"/>
      </w:divBdr>
    </w:div>
    <w:div w:id="153108250">
      <w:bodyDiv w:val="1"/>
      <w:marLeft w:val="0"/>
      <w:marRight w:val="0"/>
      <w:marTop w:val="0"/>
      <w:marBottom w:val="0"/>
      <w:divBdr>
        <w:top w:val="none" w:sz="0" w:space="0" w:color="auto"/>
        <w:left w:val="none" w:sz="0" w:space="0" w:color="auto"/>
        <w:bottom w:val="none" w:sz="0" w:space="0" w:color="auto"/>
        <w:right w:val="none" w:sz="0" w:space="0" w:color="auto"/>
      </w:divBdr>
    </w:div>
    <w:div w:id="159741404">
      <w:bodyDiv w:val="1"/>
      <w:marLeft w:val="0"/>
      <w:marRight w:val="0"/>
      <w:marTop w:val="0"/>
      <w:marBottom w:val="0"/>
      <w:divBdr>
        <w:top w:val="none" w:sz="0" w:space="0" w:color="auto"/>
        <w:left w:val="none" w:sz="0" w:space="0" w:color="auto"/>
        <w:bottom w:val="none" w:sz="0" w:space="0" w:color="auto"/>
        <w:right w:val="none" w:sz="0" w:space="0" w:color="auto"/>
      </w:divBdr>
    </w:div>
    <w:div w:id="178348251">
      <w:bodyDiv w:val="1"/>
      <w:marLeft w:val="0"/>
      <w:marRight w:val="0"/>
      <w:marTop w:val="0"/>
      <w:marBottom w:val="0"/>
      <w:divBdr>
        <w:top w:val="none" w:sz="0" w:space="0" w:color="auto"/>
        <w:left w:val="none" w:sz="0" w:space="0" w:color="auto"/>
        <w:bottom w:val="none" w:sz="0" w:space="0" w:color="auto"/>
        <w:right w:val="none" w:sz="0" w:space="0" w:color="auto"/>
      </w:divBdr>
      <w:divsChild>
        <w:div w:id="933972627">
          <w:marLeft w:val="0"/>
          <w:marRight w:val="0"/>
          <w:marTop w:val="240"/>
          <w:marBottom w:val="100"/>
          <w:divBdr>
            <w:top w:val="none" w:sz="0" w:space="0" w:color="auto"/>
            <w:left w:val="none" w:sz="0" w:space="0" w:color="auto"/>
            <w:bottom w:val="none" w:sz="0" w:space="0" w:color="auto"/>
            <w:right w:val="none" w:sz="0" w:space="0" w:color="auto"/>
          </w:divBdr>
          <w:divsChild>
            <w:div w:id="106845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6759">
      <w:bodyDiv w:val="1"/>
      <w:marLeft w:val="0"/>
      <w:marRight w:val="0"/>
      <w:marTop w:val="0"/>
      <w:marBottom w:val="0"/>
      <w:divBdr>
        <w:top w:val="none" w:sz="0" w:space="0" w:color="auto"/>
        <w:left w:val="none" w:sz="0" w:space="0" w:color="auto"/>
        <w:bottom w:val="none" w:sz="0" w:space="0" w:color="auto"/>
        <w:right w:val="none" w:sz="0" w:space="0" w:color="auto"/>
      </w:divBdr>
    </w:div>
    <w:div w:id="230821625">
      <w:bodyDiv w:val="1"/>
      <w:marLeft w:val="0"/>
      <w:marRight w:val="0"/>
      <w:marTop w:val="0"/>
      <w:marBottom w:val="0"/>
      <w:divBdr>
        <w:top w:val="none" w:sz="0" w:space="0" w:color="auto"/>
        <w:left w:val="none" w:sz="0" w:space="0" w:color="auto"/>
        <w:bottom w:val="none" w:sz="0" w:space="0" w:color="auto"/>
        <w:right w:val="none" w:sz="0" w:space="0" w:color="auto"/>
      </w:divBdr>
      <w:divsChild>
        <w:div w:id="867791000">
          <w:marLeft w:val="0"/>
          <w:marRight w:val="0"/>
          <w:marTop w:val="0"/>
          <w:marBottom w:val="0"/>
          <w:divBdr>
            <w:top w:val="none" w:sz="0" w:space="0" w:color="auto"/>
            <w:left w:val="none" w:sz="0" w:space="0" w:color="auto"/>
            <w:bottom w:val="none" w:sz="0" w:space="0" w:color="auto"/>
            <w:right w:val="none" w:sz="0" w:space="0" w:color="auto"/>
          </w:divBdr>
        </w:div>
        <w:div w:id="2055350186">
          <w:marLeft w:val="0"/>
          <w:marRight w:val="0"/>
          <w:marTop w:val="34"/>
          <w:marBottom w:val="34"/>
          <w:divBdr>
            <w:top w:val="none" w:sz="0" w:space="0" w:color="auto"/>
            <w:left w:val="none" w:sz="0" w:space="0" w:color="auto"/>
            <w:bottom w:val="none" w:sz="0" w:space="0" w:color="auto"/>
            <w:right w:val="none" w:sz="0" w:space="0" w:color="auto"/>
          </w:divBdr>
        </w:div>
      </w:divsChild>
    </w:div>
    <w:div w:id="271207912">
      <w:bodyDiv w:val="1"/>
      <w:marLeft w:val="0"/>
      <w:marRight w:val="0"/>
      <w:marTop w:val="0"/>
      <w:marBottom w:val="0"/>
      <w:divBdr>
        <w:top w:val="none" w:sz="0" w:space="0" w:color="auto"/>
        <w:left w:val="none" w:sz="0" w:space="0" w:color="auto"/>
        <w:bottom w:val="none" w:sz="0" w:space="0" w:color="auto"/>
        <w:right w:val="none" w:sz="0" w:space="0" w:color="auto"/>
      </w:divBdr>
    </w:div>
    <w:div w:id="274872000">
      <w:bodyDiv w:val="1"/>
      <w:marLeft w:val="0"/>
      <w:marRight w:val="0"/>
      <w:marTop w:val="0"/>
      <w:marBottom w:val="0"/>
      <w:divBdr>
        <w:top w:val="none" w:sz="0" w:space="0" w:color="auto"/>
        <w:left w:val="none" w:sz="0" w:space="0" w:color="auto"/>
        <w:bottom w:val="none" w:sz="0" w:space="0" w:color="auto"/>
        <w:right w:val="none" w:sz="0" w:space="0" w:color="auto"/>
      </w:divBdr>
    </w:div>
    <w:div w:id="307056188">
      <w:bodyDiv w:val="1"/>
      <w:marLeft w:val="0"/>
      <w:marRight w:val="0"/>
      <w:marTop w:val="0"/>
      <w:marBottom w:val="0"/>
      <w:divBdr>
        <w:top w:val="none" w:sz="0" w:space="0" w:color="auto"/>
        <w:left w:val="none" w:sz="0" w:space="0" w:color="auto"/>
        <w:bottom w:val="none" w:sz="0" w:space="0" w:color="auto"/>
        <w:right w:val="none" w:sz="0" w:space="0" w:color="auto"/>
      </w:divBdr>
      <w:divsChild>
        <w:div w:id="349066670">
          <w:marLeft w:val="0"/>
          <w:marRight w:val="0"/>
          <w:marTop w:val="0"/>
          <w:marBottom w:val="0"/>
          <w:divBdr>
            <w:top w:val="none" w:sz="0" w:space="0" w:color="auto"/>
            <w:left w:val="none" w:sz="0" w:space="0" w:color="auto"/>
            <w:bottom w:val="none" w:sz="0" w:space="0" w:color="auto"/>
            <w:right w:val="none" w:sz="0" w:space="0" w:color="auto"/>
          </w:divBdr>
        </w:div>
        <w:div w:id="917907713">
          <w:marLeft w:val="0"/>
          <w:marRight w:val="0"/>
          <w:marTop w:val="34"/>
          <w:marBottom w:val="34"/>
          <w:divBdr>
            <w:top w:val="none" w:sz="0" w:space="0" w:color="auto"/>
            <w:left w:val="none" w:sz="0" w:space="0" w:color="auto"/>
            <w:bottom w:val="none" w:sz="0" w:space="0" w:color="auto"/>
            <w:right w:val="none" w:sz="0" w:space="0" w:color="auto"/>
          </w:divBdr>
        </w:div>
      </w:divsChild>
    </w:div>
    <w:div w:id="348994274">
      <w:bodyDiv w:val="1"/>
      <w:marLeft w:val="0"/>
      <w:marRight w:val="0"/>
      <w:marTop w:val="0"/>
      <w:marBottom w:val="0"/>
      <w:divBdr>
        <w:top w:val="none" w:sz="0" w:space="0" w:color="auto"/>
        <w:left w:val="none" w:sz="0" w:space="0" w:color="auto"/>
        <w:bottom w:val="none" w:sz="0" w:space="0" w:color="auto"/>
        <w:right w:val="none" w:sz="0" w:space="0" w:color="auto"/>
      </w:divBdr>
      <w:divsChild>
        <w:div w:id="828134997">
          <w:marLeft w:val="0"/>
          <w:marRight w:val="0"/>
          <w:marTop w:val="0"/>
          <w:marBottom w:val="0"/>
          <w:divBdr>
            <w:top w:val="none" w:sz="0" w:space="0" w:color="auto"/>
            <w:left w:val="none" w:sz="0" w:space="0" w:color="auto"/>
            <w:bottom w:val="none" w:sz="0" w:space="0" w:color="auto"/>
            <w:right w:val="none" w:sz="0" w:space="0" w:color="auto"/>
          </w:divBdr>
        </w:div>
        <w:div w:id="1283725982">
          <w:marLeft w:val="0"/>
          <w:marRight w:val="0"/>
          <w:marTop w:val="34"/>
          <w:marBottom w:val="34"/>
          <w:divBdr>
            <w:top w:val="none" w:sz="0" w:space="0" w:color="auto"/>
            <w:left w:val="none" w:sz="0" w:space="0" w:color="auto"/>
            <w:bottom w:val="none" w:sz="0" w:space="0" w:color="auto"/>
            <w:right w:val="none" w:sz="0" w:space="0" w:color="auto"/>
          </w:divBdr>
        </w:div>
      </w:divsChild>
    </w:div>
    <w:div w:id="370225983">
      <w:bodyDiv w:val="1"/>
      <w:marLeft w:val="0"/>
      <w:marRight w:val="0"/>
      <w:marTop w:val="0"/>
      <w:marBottom w:val="0"/>
      <w:divBdr>
        <w:top w:val="none" w:sz="0" w:space="0" w:color="auto"/>
        <w:left w:val="none" w:sz="0" w:space="0" w:color="auto"/>
        <w:bottom w:val="none" w:sz="0" w:space="0" w:color="auto"/>
        <w:right w:val="none" w:sz="0" w:space="0" w:color="auto"/>
      </w:divBdr>
      <w:divsChild>
        <w:div w:id="278342095">
          <w:marLeft w:val="0"/>
          <w:marRight w:val="0"/>
          <w:marTop w:val="90"/>
          <w:marBottom w:val="60"/>
          <w:divBdr>
            <w:top w:val="none" w:sz="0" w:space="0" w:color="auto"/>
            <w:left w:val="none" w:sz="0" w:space="0" w:color="auto"/>
            <w:bottom w:val="none" w:sz="0" w:space="0" w:color="auto"/>
            <w:right w:val="none" w:sz="0" w:space="0" w:color="auto"/>
          </w:divBdr>
          <w:divsChild>
            <w:div w:id="762410840">
              <w:marLeft w:val="0"/>
              <w:marRight w:val="30"/>
              <w:marTop w:val="0"/>
              <w:marBottom w:val="0"/>
              <w:divBdr>
                <w:top w:val="none" w:sz="0" w:space="0" w:color="auto"/>
                <w:left w:val="none" w:sz="0" w:space="0" w:color="auto"/>
                <w:bottom w:val="none" w:sz="0" w:space="0" w:color="auto"/>
                <w:right w:val="none" w:sz="0" w:space="0" w:color="auto"/>
              </w:divBdr>
            </w:div>
          </w:divsChild>
        </w:div>
        <w:div w:id="1751384999">
          <w:marLeft w:val="-100"/>
          <w:marRight w:val="0"/>
          <w:marTop w:val="0"/>
          <w:marBottom w:val="150"/>
          <w:divBdr>
            <w:top w:val="dashed" w:sz="4" w:space="3" w:color="666666"/>
            <w:left w:val="none" w:sz="0" w:space="0" w:color="auto"/>
            <w:bottom w:val="dashed" w:sz="4" w:space="5" w:color="666666"/>
            <w:right w:val="none" w:sz="0" w:space="0" w:color="auto"/>
          </w:divBdr>
          <w:divsChild>
            <w:div w:id="264114702">
              <w:marLeft w:val="0"/>
              <w:marRight w:val="0"/>
              <w:marTop w:val="0"/>
              <w:marBottom w:val="0"/>
              <w:divBdr>
                <w:top w:val="none" w:sz="0" w:space="0" w:color="auto"/>
                <w:left w:val="none" w:sz="0" w:space="0" w:color="auto"/>
                <w:bottom w:val="none" w:sz="0" w:space="0" w:color="auto"/>
                <w:right w:val="none" w:sz="0" w:space="0" w:color="auto"/>
              </w:divBdr>
            </w:div>
            <w:div w:id="280233047">
              <w:marLeft w:val="0"/>
              <w:marRight w:val="0"/>
              <w:marTop w:val="0"/>
              <w:marBottom w:val="0"/>
              <w:divBdr>
                <w:top w:val="none" w:sz="0" w:space="0" w:color="auto"/>
                <w:left w:val="none" w:sz="0" w:space="0" w:color="auto"/>
                <w:bottom w:val="none" w:sz="0" w:space="0" w:color="auto"/>
                <w:right w:val="none" w:sz="0" w:space="0" w:color="auto"/>
              </w:divBdr>
            </w:div>
            <w:div w:id="537397401">
              <w:marLeft w:val="0"/>
              <w:marRight w:val="0"/>
              <w:marTop w:val="0"/>
              <w:marBottom w:val="0"/>
              <w:divBdr>
                <w:top w:val="none" w:sz="0" w:space="0" w:color="auto"/>
                <w:left w:val="none" w:sz="0" w:space="0" w:color="auto"/>
                <w:bottom w:val="none" w:sz="0" w:space="0" w:color="auto"/>
                <w:right w:val="none" w:sz="0" w:space="0" w:color="auto"/>
              </w:divBdr>
            </w:div>
            <w:div w:id="617299209">
              <w:marLeft w:val="0"/>
              <w:marRight w:val="0"/>
              <w:marTop w:val="0"/>
              <w:marBottom w:val="0"/>
              <w:divBdr>
                <w:top w:val="none" w:sz="0" w:space="0" w:color="auto"/>
                <w:left w:val="none" w:sz="0" w:space="0" w:color="auto"/>
                <w:bottom w:val="none" w:sz="0" w:space="0" w:color="auto"/>
                <w:right w:val="none" w:sz="0" w:space="0" w:color="auto"/>
              </w:divBdr>
            </w:div>
          </w:divsChild>
        </w:div>
        <w:div w:id="1786659838">
          <w:marLeft w:val="0"/>
          <w:marRight w:val="0"/>
          <w:marTop w:val="150"/>
          <w:marBottom w:val="150"/>
          <w:divBdr>
            <w:top w:val="dashed" w:sz="4" w:space="0" w:color="787878"/>
            <w:left w:val="dashed" w:sz="4" w:space="0" w:color="787878"/>
            <w:bottom w:val="dashed" w:sz="4" w:space="0" w:color="787878"/>
            <w:right w:val="dashed" w:sz="4" w:space="0" w:color="787878"/>
          </w:divBdr>
          <w:divsChild>
            <w:div w:id="151915086">
              <w:marLeft w:val="0"/>
              <w:marRight w:val="0"/>
              <w:marTop w:val="0"/>
              <w:marBottom w:val="0"/>
              <w:divBdr>
                <w:top w:val="none" w:sz="0" w:space="0" w:color="auto"/>
                <w:left w:val="none" w:sz="0" w:space="0" w:color="auto"/>
                <w:bottom w:val="none" w:sz="0" w:space="0" w:color="auto"/>
                <w:right w:val="none" w:sz="0" w:space="0" w:color="auto"/>
              </w:divBdr>
            </w:div>
            <w:div w:id="17360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85428">
      <w:bodyDiv w:val="1"/>
      <w:marLeft w:val="0"/>
      <w:marRight w:val="0"/>
      <w:marTop w:val="0"/>
      <w:marBottom w:val="0"/>
      <w:divBdr>
        <w:top w:val="none" w:sz="0" w:space="0" w:color="auto"/>
        <w:left w:val="none" w:sz="0" w:space="0" w:color="auto"/>
        <w:bottom w:val="none" w:sz="0" w:space="0" w:color="auto"/>
        <w:right w:val="none" w:sz="0" w:space="0" w:color="auto"/>
      </w:divBdr>
    </w:div>
    <w:div w:id="456726254">
      <w:bodyDiv w:val="1"/>
      <w:marLeft w:val="0"/>
      <w:marRight w:val="0"/>
      <w:marTop w:val="0"/>
      <w:marBottom w:val="0"/>
      <w:divBdr>
        <w:top w:val="none" w:sz="0" w:space="0" w:color="auto"/>
        <w:left w:val="none" w:sz="0" w:space="0" w:color="auto"/>
        <w:bottom w:val="none" w:sz="0" w:space="0" w:color="auto"/>
        <w:right w:val="none" w:sz="0" w:space="0" w:color="auto"/>
      </w:divBdr>
    </w:div>
    <w:div w:id="505706556">
      <w:bodyDiv w:val="1"/>
      <w:marLeft w:val="0"/>
      <w:marRight w:val="0"/>
      <w:marTop w:val="0"/>
      <w:marBottom w:val="0"/>
      <w:divBdr>
        <w:top w:val="none" w:sz="0" w:space="0" w:color="auto"/>
        <w:left w:val="none" w:sz="0" w:space="0" w:color="auto"/>
        <w:bottom w:val="none" w:sz="0" w:space="0" w:color="auto"/>
        <w:right w:val="none" w:sz="0" w:space="0" w:color="auto"/>
      </w:divBdr>
    </w:div>
    <w:div w:id="556280755">
      <w:bodyDiv w:val="1"/>
      <w:marLeft w:val="0"/>
      <w:marRight w:val="0"/>
      <w:marTop w:val="0"/>
      <w:marBottom w:val="0"/>
      <w:divBdr>
        <w:top w:val="none" w:sz="0" w:space="0" w:color="auto"/>
        <w:left w:val="none" w:sz="0" w:space="0" w:color="auto"/>
        <w:bottom w:val="none" w:sz="0" w:space="0" w:color="auto"/>
        <w:right w:val="none" w:sz="0" w:space="0" w:color="auto"/>
      </w:divBdr>
    </w:div>
    <w:div w:id="579950349">
      <w:bodyDiv w:val="1"/>
      <w:marLeft w:val="0"/>
      <w:marRight w:val="0"/>
      <w:marTop w:val="0"/>
      <w:marBottom w:val="0"/>
      <w:divBdr>
        <w:top w:val="none" w:sz="0" w:space="0" w:color="auto"/>
        <w:left w:val="none" w:sz="0" w:space="0" w:color="auto"/>
        <w:bottom w:val="none" w:sz="0" w:space="0" w:color="auto"/>
        <w:right w:val="none" w:sz="0" w:space="0" w:color="auto"/>
      </w:divBdr>
    </w:div>
    <w:div w:id="637803663">
      <w:bodyDiv w:val="1"/>
      <w:marLeft w:val="0"/>
      <w:marRight w:val="0"/>
      <w:marTop w:val="0"/>
      <w:marBottom w:val="0"/>
      <w:divBdr>
        <w:top w:val="none" w:sz="0" w:space="0" w:color="auto"/>
        <w:left w:val="none" w:sz="0" w:space="0" w:color="auto"/>
        <w:bottom w:val="none" w:sz="0" w:space="0" w:color="auto"/>
        <w:right w:val="none" w:sz="0" w:space="0" w:color="auto"/>
      </w:divBdr>
    </w:div>
    <w:div w:id="673067007">
      <w:bodyDiv w:val="1"/>
      <w:marLeft w:val="0"/>
      <w:marRight w:val="0"/>
      <w:marTop w:val="0"/>
      <w:marBottom w:val="0"/>
      <w:divBdr>
        <w:top w:val="none" w:sz="0" w:space="0" w:color="auto"/>
        <w:left w:val="none" w:sz="0" w:space="0" w:color="auto"/>
        <w:bottom w:val="none" w:sz="0" w:space="0" w:color="auto"/>
        <w:right w:val="none" w:sz="0" w:space="0" w:color="auto"/>
      </w:divBdr>
    </w:div>
    <w:div w:id="720634422">
      <w:bodyDiv w:val="1"/>
      <w:marLeft w:val="0"/>
      <w:marRight w:val="0"/>
      <w:marTop w:val="0"/>
      <w:marBottom w:val="0"/>
      <w:divBdr>
        <w:top w:val="none" w:sz="0" w:space="0" w:color="auto"/>
        <w:left w:val="none" w:sz="0" w:space="0" w:color="auto"/>
        <w:bottom w:val="none" w:sz="0" w:space="0" w:color="auto"/>
        <w:right w:val="none" w:sz="0" w:space="0" w:color="auto"/>
      </w:divBdr>
    </w:div>
    <w:div w:id="730202623">
      <w:bodyDiv w:val="1"/>
      <w:marLeft w:val="0"/>
      <w:marRight w:val="0"/>
      <w:marTop w:val="0"/>
      <w:marBottom w:val="0"/>
      <w:divBdr>
        <w:top w:val="none" w:sz="0" w:space="0" w:color="auto"/>
        <w:left w:val="none" w:sz="0" w:space="0" w:color="auto"/>
        <w:bottom w:val="none" w:sz="0" w:space="0" w:color="auto"/>
        <w:right w:val="none" w:sz="0" w:space="0" w:color="auto"/>
      </w:divBdr>
    </w:div>
    <w:div w:id="884608520">
      <w:bodyDiv w:val="1"/>
      <w:marLeft w:val="0"/>
      <w:marRight w:val="0"/>
      <w:marTop w:val="0"/>
      <w:marBottom w:val="0"/>
      <w:divBdr>
        <w:top w:val="none" w:sz="0" w:space="0" w:color="auto"/>
        <w:left w:val="none" w:sz="0" w:space="0" w:color="auto"/>
        <w:bottom w:val="none" w:sz="0" w:space="0" w:color="auto"/>
        <w:right w:val="none" w:sz="0" w:space="0" w:color="auto"/>
      </w:divBdr>
      <w:divsChild>
        <w:div w:id="1137911665">
          <w:marLeft w:val="0"/>
          <w:marRight w:val="0"/>
          <w:marTop w:val="0"/>
          <w:marBottom w:val="0"/>
          <w:divBdr>
            <w:top w:val="none" w:sz="0" w:space="0" w:color="auto"/>
            <w:left w:val="none" w:sz="0" w:space="0" w:color="auto"/>
            <w:bottom w:val="none" w:sz="0" w:space="0" w:color="auto"/>
            <w:right w:val="none" w:sz="0" w:space="0" w:color="auto"/>
          </w:divBdr>
        </w:div>
        <w:div w:id="1986348379">
          <w:marLeft w:val="0"/>
          <w:marRight w:val="0"/>
          <w:marTop w:val="34"/>
          <w:marBottom w:val="34"/>
          <w:divBdr>
            <w:top w:val="none" w:sz="0" w:space="0" w:color="auto"/>
            <w:left w:val="none" w:sz="0" w:space="0" w:color="auto"/>
            <w:bottom w:val="none" w:sz="0" w:space="0" w:color="auto"/>
            <w:right w:val="none" w:sz="0" w:space="0" w:color="auto"/>
          </w:divBdr>
        </w:div>
      </w:divsChild>
    </w:div>
    <w:div w:id="999232313">
      <w:bodyDiv w:val="1"/>
      <w:marLeft w:val="0"/>
      <w:marRight w:val="0"/>
      <w:marTop w:val="0"/>
      <w:marBottom w:val="0"/>
      <w:divBdr>
        <w:top w:val="none" w:sz="0" w:space="0" w:color="auto"/>
        <w:left w:val="none" w:sz="0" w:space="0" w:color="auto"/>
        <w:bottom w:val="none" w:sz="0" w:space="0" w:color="auto"/>
        <w:right w:val="none" w:sz="0" w:space="0" w:color="auto"/>
      </w:divBdr>
    </w:div>
    <w:div w:id="1039892167">
      <w:bodyDiv w:val="1"/>
      <w:marLeft w:val="0"/>
      <w:marRight w:val="0"/>
      <w:marTop w:val="0"/>
      <w:marBottom w:val="0"/>
      <w:divBdr>
        <w:top w:val="none" w:sz="0" w:space="0" w:color="auto"/>
        <w:left w:val="none" w:sz="0" w:space="0" w:color="auto"/>
        <w:bottom w:val="none" w:sz="0" w:space="0" w:color="auto"/>
        <w:right w:val="none" w:sz="0" w:space="0" w:color="auto"/>
      </w:divBdr>
      <w:divsChild>
        <w:div w:id="395400634">
          <w:marLeft w:val="0"/>
          <w:marRight w:val="0"/>
          <w:marTop w:val="34"/>
          <w:marBottom w:val="34"/>
          <w:divBdr>
            <w:top w:val="none" w:sz="0" w:space="0" w:color="auto"/>
            <w:left w:val="none" w:sz="0" w:space="0" w:color="auto"/>
            <w:bottom w:val="none" w:sz="0" w:space="0" w:color="auto"/>
            <w:right w:val="none" w:sz="0" w:space="0" w:color="auto"/>
          </w:divBdr>
        </w:div>
        <w:div w:id="1858883127">
          <w:marLeft w:val="0"/>
          <w:marRight w:val="0"/>
          <w:marTop w:val="0"/>
          <w:marBottom w:val="0"/>
          <w:divBdr>
            <w:top w:val="none" w:sz="0" w:space="0" w:color="auto"/>
            <w:left w:val="none" w:sz="0" w:space="0" w:color="auto"/>
            <w:bottom w:val="none" w:sz="0" w:space="0" w:color="auto"/>
            <w:right w:val="none" w:sz="0" w:space="0" w:color="auto"/>
          </w:divBdr>
        </w:div>
      </w:divsChild>
    </w:div>
    <w:div w:id="1041124624">
      <w:bodyDiv w:val="1"/>
      <w:marLeft w:val="0"/>
      <w:marRight w:val="0"/>
      <w:marTop w:val="0"/>
      <w:marBottom w:val="0"/>
      <w:divBdr>
        <w:top w:val="none" w:sz="0" w:space="0" w:color="auto"/>
        <w:left w:val="none" w:sz="0" w:space="0" w:color="auto"/>
        <w:bottom w:val="none" w:sz="0" w:space="0" w:color="auto"/>
        <w:right w:val="none" w:sz="0" w:space="0" w:color="auto"/>
      </w:divBdr>
      <w:divsChild>
        <w:div w:id="437412496">
          <w:marLeft w:val="0"/>
          <w:marRight w:val="0"/>
          <w:marTop w:val="120"/>
          <w:marBottom w:val="360"/>
          <w:divBdr>
            <w:top w:val="none" w:sz="0" w:space="0" w:color="auto"/>
            <w:left w:val="none" w:sz="0" w:space="0" w:color="auto"/>
            <w:bottom w:val="none" w:sz="0" w:space="0" w:color="auto"/>
            <w:right w:val="none" w:sz="0" w:space="0" w:color="auto"/>
          </w:divBdr>
          <w:divsChild>
            <w:div w:id="1303804574">
              <w:marLeft w:val="280"/>
              <w:marRight w:val="0"/>
              <w:marTop w:val="0"/>
              <w:marBottom w:val="0"/>
              <w:divBdr>
                <w:top w:val="none" w:sz="0" w:space="0" w:color="auto"/>
                <w:left w:val="none" w:sz="0" w:space="0" w:color="auto"/>
                <w:bottom w:val="none" w:sz="0" w:space="0" w:color="auto"/>
                <w:right w:val="none" w:sz="0" w:space="0" w:color="auto"/>
              </w:divBdr>
              <w:divsChild>
                <w:div w:id="269825965">
                  <w:marLeft w:val="0"/>
                  <w:marRight w:val="0"/>
                  <w:marTop w:val="34"/>
                  <w:marBottom w:val="34"/>
                  <w:divBdr>
                    <w:top w:val="none" w:sz="0" w:space="0" w:color="auto"/>
                    <w:left w:val="none" w:sz="0" w:space="0" w:color="auto"/>
                    <w:bottom w:val="none" w:sz="0" w:space="0" w:color="auto"/>
                    <w:right w:val="none" w:sz="0" w:space="0" w:color="auto"/>
                  </w:divBdr>
                </w:div>
                <w:div w:id="1981223512">
                  <w:marLeft w:val="0"/>
                  <w:marRight w:val="0"/>
                  <w:marTop w:val="0"/>
                  <w:marBottom w:val="0"/>
                  <w:divBdr>
                    <w:top w:val="none" w:sz="0" w:space="0" w:color="auto"/>
                    <w:left w:val="none" w:sz="0" w:space="0" w:color="auto"/>
                    <w:bottom w:val="none" w:sz="0" w:space="0" w:color="auto"/>
                    <w:right w:val="none" w:sz="0" w:space="0" w:color="auto"/>
                  </w:divBdr>
                  <w:divsChild>
                    <w:div w:id="5112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96141">
          <w:marLeft w:val="0"/>
          <w:marRight w:val="0"/>
          <w:marTop w:val="120"/>
          <w:marBottom w:val="360"/>
          <w:divBdr>
            <w:top w:val="none" w:sz="0" w:space="0" w:color="auto"/>
            <w:left w:val="none" w:sz="0" w:space="0" w:color="auto"/>
            <w:bottom w:val="none" w:sz="0" w:space="0" w:color="auto"/>
            <w:right w:val="none" w:sz="0" w:space="0" w:color="auto"/>
          </w:divBdr>
          <w:divsChild>
            <w:div w:id="1688482938">
              <w:marLeft w:val="0"/>
              <w:marRight w:val="0"/>
              <w:marTop w:val="0"/>
              <w:marBottom w:val="0"/>
              <w:divBdr>
                <w:top w:val="none" w:sz="0" w:space="0" w:color="auto"/>
                <w:left w:val="none" w:sz="0" w:space="0" w:color="auto"/>
                <w:bottom w:val="none" w:sz="0" w:space="0" w:color="auto"/>
                <w:right w:val="none" w:sz="0" w:space="0" w:color="auto"/>
              </w:divBdr>
            </w:div>
            <w:div w:id="1857890562">
              <w:marLeft w:val="280"/>
              <w:marRight w:val="0"/>
              <w:marTop w:val="0"/>
              <w:marBottom w:val="0"/>
              <w:divBdr>
                <w:top w:val="none" w:sz="0" w:space="0" w:color="auto"/>
                <w:left w:val="none" w:sz="0" w:space="0" w:color="auto"/>
                <w:bottom w:val="none" w:sz="0" w:space="0" w:color="auto"/>
                <w:right w:val="none" w:sz="0" w:space="0" w:color="auto"/>
              </w:divBdr>
              <w:divsChild>
                <w:div w:id="1274484365">
                  <w:marLeft w:val="0"/>
                  <w:marRight w:val="0"/>
                  <w:marTop w:val="34"/>
                  <w:marBottom w:val="34"/>
                  <w:divBdr>
                    <w:top w:val="none" w:sz="0" w:space="0" w:color="auto"/>
                    <w:left w:val="none" w:sz="0" w:space="0" w:color="auto"/>
                    <w:bottom w:val="none" w:sz="0" w:space="0" w:color="auto"/>
                    <w:right w:val="none" w:sz="0" w:space="0" w:color="auto"/>
                  </w:divBdr>
                </w:div>
                <w:div w:id="1953244929">
                  <w:marLeft w:val="0"/>
                  <w:marRight w:val="0"/>
                  <w:marTop w:val="0"/>
                  <w:marBottom w:val="0"/>
                  <w:divBdr>
                    <w:top w:val="none" w:sz="0" w:space="0" w:color="auto"/>
                    <w:left w:val="none" w:sz="0" w:space="0" w:color="auto"/>
                    <w:bottom w:val="none" w:sz="0" w:space="0" w:color="auto"/>
                    <w:right w:val="none" w:sz="0" w:space="0" w:color="auto"/>
                  </w:divBdr>
                  <w:divsChild>
                    <w:div w:id="6000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226088">
      <w:bodyDiv w:val="1"/>
      <w:marLeft w:val="0"/>
      <w:marRight w:val="0"/>
      <w:marTop w:val="0"/>
      <w:marBottom w:val="0"/>
      <w:divBdr>
        <w:top w:val="none" w:sz="0" w:space="0" w:color="auto"/>
        <w:left w:val="none" w:sz="0" w:space="0" w:color="auto"/>
        <w:bottom w:val="none" w:sz="0" w:space="0" w:color="auto"/>
        <w:right w:val="none" w:sz="0" w:space="0" w:color="auto"/>
      </w:divBdr>
      <w:divsChild>
        <w:div w:id="1206913603">
          <w:marLeft w:val="0"/>
          <w:marRight w:val="0"/>
          <w:marTop w:val="0"/>
          <w:marBottom w:val="0"/>
          <w:divBdr>
            <w:top w:val="none" w:sz="0" w:space="0" w:color="auto"/>
            <w:left w:val="none" w:sz="0" w:space="0" w:color="auto"/>
            <w:bottom w:val="none" w:sz="0" w:space="0" w:color="auto"/>
            <w:right w:val="none" w:sz="0" w:space="0" w:color="auto"/>
          </w:divBdr>
        </w:div>
        <w:div w:id="1719861467">
          <w:marLeft w:val="0"/>
          <w:marRight w:val="0"/>
          <w:marTop w:val="34"/>
          <w:marBottom w:val="34"/>
          <w:divBdr>
            <w:top w:val="none" w:sz="0" w:space="0" w:color="auto"/>
            <w:left w:val="none" w:sz="0" w:space="0" w:color="auto"/>
            <w:bottom w:val="none" w:sz="0" w:space="0" w:color="auto"/>
            <w:right w:val="none" w:sz="0" w:space="0" w:color="auto"/>
          </w:divBdr>
        </w:div>
      </w:divsChild>
    </w:div>
    <w:div w:id="1118062600">
      <w:bodyDiv w:val="1"/>
      <w:marLeft w:val="0"/>
      <w:marRight w:val="0"/>
      <w:marTop w:val="0"/>
      <w:marBottom w:val="0"/>
      <w:divBdr>
        <w:top w:val="none" w:sz="0" w:space="0" w:color="auto"/>
        <w:left w:val="none" w:sz="0" w:space="0" w:color="auto"/>
        <w:bottom w:val="none" w:sz="0" w:space="0" w:color="auto"/>
        <w:right w:val="none" w:sz="0" w:space="0" w:color="auto"/>
      </w:divBdr>
    </w:div>
    <w:div w:id="1118372719">
      <w:bodyDiv w:val="1"/>
      <w:marLeft w:val="0"/>
      <w:marRight w:val="0"/>
      <w:marTop w:val="0"/>
      <w:marBottom w:val="0"/>
      <w:divBdr>
        <w:top w:val="none" w:sz="0" w:space="0" w:color="auto"/>
        <w:left w:val="none" w:sz="0" w:space="0" w:color="auto"/>
        <w:bottom w:val="none" w:sz="0" w:space="0" w:color="auto"/>
        <w:right w:val="none" w:sz="0" w:space="0" w:color="auto"/>
      </w:divBdr>
    </w:div>
    <w:div w:id="1153371152">
      <w:bodyDiv w:val="1"/>
      <w:marLeft w:val="0"/>
      <w:marRight w:val="0"/>
      <w:marTop w:val="0"/>
      <w:marBottom w:val="0"/>
      <w:divBdr>
        <w:top w:val="none" w:sz="0" w:space="0" w:color="auto"/>
        <w:left w:val="none" w:sz="0" w:space="0" w:color="auto"/>
        <w:bottom w:val="none" w:sz="0" w:space="0" w:color="auto"/>
        <w:right w:val="none" w:sz="0" w:space="0" w:color="auto"/>
      </w:divBdr>
    </w:div>
    <w:div w:id="1170174472">
      <w:bodyDiv w:val="1"/>
      <w:marLeft w:val="0"/>
      <w:marRight w:val="0"/>
      <w:marTop w:val="0"/>
      <w:marBottom w:val="0"/>
      <w:divBdr>
        <w:top w:val="none" w:sz="0" w:space="0" w:color="auto"/>
        <w:left w:val="none" w:sz="0" w:space="0" w:color="auto"/>
        <w:bottom w:val="none" w:sz="0" w:space="0" w:color="auto"/>
        <w:right w:val="none" w:sz="0" w:space="0" w:color="auto"/>
      </w:divBdr>
      <w:divsChild>
        <w:div w:id="218979214">
          <w:marLeft w:val="0"/>
          <w:marRight w:val="0"/>
          <w:marTop w:val="34"/>
          <w:marBottom w:val="34"/>
          <w:divBdr>
            <w:top w:val="none" w:sz="0" w:space="0" w:color="auto"/>
            <w:left w:val="none" w:sz="0" w:space="0" w:color="auto"/>
            <w:bottom w:val="none" w:sz="0" w:space="0" w:color="auto"/>
            <w:right w:val="none" w:sz="0" w:space="0" w:color="auto"/>
          </w:divBdr>
        </w:div>
        <w:div w:id="1931814663">
          <w:marLeft w:val="0"/>
          <w:marRight w:val="0"/>
          <w:marTop w:val="0"/>
          <w:marBottom w:val="0"/>
          <w:divBdr>
            <w:top w:val="none" w:sz="0" w:space="0" w:color="auto"/>
            <w:left w:val="none" w:sz="0" w:space="0" w:color="auto"/>
            <w:bottom w:val="none" w:sz="0" w:space="0" w:color="auto"/>
            <w:right w:val="none" w:sz="0" w:space="0" w:color="auto"/>
          </w:divBdr>
        </w:div>
      </w:divsChild>
    </w:div>
    <w:div w:id="1210647772">
      <w:bodyDiv w:val="1"/>
      <w:marLeft w:val="0"/>
      <w:marRight w:val="0"/>
      <w:marTop w:val="0"/>
      <w:marBottom w:val="0"/>
      <w:divBdr>
        <w:top w:val="none" w:sz="0" w:space="0" w:color="auto"/>
        <w:left w:val="none" w:sz="0" w:space="0" w:color="auto"/>
        <w:bottom w:val="none" w:sz="0" w:space="0" w:color="auto"/>
        <w:right w:val="none" w:sz="0" w:space="0" w:color="auto"/>
      </w:divBdr>
    </w:div>
    <w:div w:id="1238248072">
      <w:bodyDiv w:val="1"/>
      <w:marLeft w:val="0"/>
      <w:marRight w:val="0"/>
      <w:marTop w:val="0"/>
      <w:marBottom w:val="0"/>
      <w:divBdr>
        <w:top w:val="none" w:sz="0" w:space="0" w:color="auto"/>
        <w:left w:val="none" w:sz="0" w:space="0" w:color="auto"/>
        <w:bottom w:val="none" w:sz="0" w:space="0" w:color="auto"/>
        <w:right w:val="none" w:sz="0" w:space="0" w:color="auto"/>
      </w:divBdr>
      <w:divsChild>
        <w:div w:id="208542430">
          <w:marLeft w:val="0"/>
          <w:marRight w:val="0"/>
          <w:marTop w:val="240"/>
          <w:marBottom w:val="100"/>
          <w:divBdr>
            <w:top w:val="none" w:sz="0" w:space="0" w:color="auto"/>
            <w:left w:val="none" w:sz="0" w:space="0" w:color="auto"/>
            <w:bottom w:val="none" w:sz="0" w:space="0" w:color="auto"/>
            <w:right w:val="none" w:sz="0" w:space="0" w:color="auto"/>
          </w:divBdr>
          <w:divsChild>
            <w:div w:id="79344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2047">
      <w:bodyDiv w:val="1"/>
      <w:marLeft w:val="0"/>
      <w:marRight w:val="0"/>
      <w:marTop w:val="0"/>
      <w:marBottom w:val="0"/>
      <w:divBdr>
        <w:top w:val="none" w:sz="0" w:space="0" w:color="auto"/>
        <w:left w:val="none" w:sz="0" w:space="0" w:color="auto"/>
        <w:bottom w:val="none" w:sz="0" w:space="0" w:color="auto"/>
        <w:right w:val="none" w:sz="0" w:space="0" w:color="auto"/>
      </w:divBdr>
    </w:div>
    <w:div w:id="1282344531">
      <w:bodyDiv w:val="1"/>
      <w:marLeft w:val="0"/>
      <w:marRight w:val="0"/>
      <w:marTop w:val="0"/>
      <w:marBottom w:val="0"/>
      <w:divBdr>
        <w:top w:val="none" w:sz="0" w:space="0" w:color="auto"/>
        <w:left w:val="none" w:sz="0" w:space="0" w:color="auto"/>
        <w:bottom w:val="none" w:sz="0" w:space="0" w:color="auto"/>
        <w:right w:val="none" w:sz="0" w:space="0" w:color="auto"/>
      </w:divBdr>
    </w:div>
    <w:div w:id="1308901835">
      <w:bodyDiv w:val="1"/>
      <w:marLeft w:val="0"/>
      <w:marRight w:val="0"/>
      <w:marTop w:val="0"/>
      <w:marBottom w:val="0"/>
      <w:divBdr>
        <w:top w:val="none" w:sz="0" w:space="0" w:color="auto"/>
        <w:left w:val="none" w:sz="0" w:space="0" w:color="auto"/>
        <w:bottom w:val="none" w:sz="0" w:space="0" w:color="auto"/>
        <w:right w:val="none" w:sz="0" w:space="0" w:color="auto"/>
      </w:divBdr>
      <w:divsChild>
        <w:div w:id="582841548">
          <w:marLeft w:val="0"/>
          <w:marRight w:val="0"/>
          <w:marTop w:val="0"/>
          <w:marBottom w:val="0"/>
          <w:divBdr>
            <w:top w:val="none" w:sz="0" w:space="0" w:color="auto"/>
            <w:left w:val="none" w:sz="0" w:space="0" w:color="auto"/>
            <w:bottom w:val="none" w:sz="0" w:space="0" w:color="auto"/>
            <w:right w:val="none" w:sz="0" w:space="0" w:color="auto"/>
          </w:divBdr>
        </w:div>
        <w:div w:id="1641231791">
          <w:marLeft w:val="0"/>
          <w:marRight w:val="0"/>
          <w:marTop w:val="34"/>
          <w:marBottom w:val="34"/>
          <w:divBdr>
            <w:top w:val="none" w:sz="0" w:space="0" w:color="auto"/>
            <w:left w:val="none" w:sz="0" w:space="0" w:color="auto"/>
            <w:bottom w:val="none" w:sz="0" w:space="0" w:color="auto"/>
            <w:right w:val="none" w:sz="0" w:space="0" w:color="auto"/>
          </w:divBdr>
        </w:div>
      </w:divsChild>
    </w:div>
    <w:div w:id="1340540240">
      <w:bodyDiv w:val="1"/>
      <w:marLeft w:val="0"/>
      <w:marRight w:val="0"/>
      <w:marTop w:val="0"/>
      <w:marBottom w:val="0"/>
      <w:divBdr>
        <w:top w:val="none" w:sz="0" w:space="0" w:color="auto"/>
        <w:left w:val="none" w:sz="0" w:space="0" w:color="auto"/>
        <w:bottom w:val="none" w:sz="0" w:space="0" w:color="auto"/>
        <w:right w:val="none" w:sz="0" w:space="0" w:color="auto"/>
      </w:divBdr>
    </w:div>
    <w:div w:id="1506629236">
      <w:bodyDiv w:val="1"/>
      <w:marLeft w:val="0"/>
      <w:marRight w:val="0"/>
      <w:marTop w:val="0"/>
      <w:marBottom w:val="0"/>
      <w:divBdr>
        <w:top w:val="none" w:sz="0" w:space="0" w:color="auto"/>
        <w:left w:val="none" w:sz="0" w:space="0" w:color="auto"/>
        <w:bottom w:val="none" w:sz="0" w:space="0" w:color="auto"/>
        <w:right w:val="none" w:sz="0" w:space="0" w:color="auto"/>
      </w:divBdr>
      <w:divsChild>
        <w:div w:id="481431044">
          <w:marLeft w:val="0"/>
          <w:marRight w:val="0"/>
          <w:marTop w:val="34"/>
          <w:marBottom w:val="34"/>
          <w:divBdr>
            <w:top w:val="none" w:sz="0" w:space="0" w:color="auto"/>
            <w:left w:val="none" w:sz="0" w:space="0" w:color="auto"/>
            <w:bottom w:val="none" w:sz="0" w:space="0" w:color="auto"/>
            <w:right w:val="none" w:sz="0" w:space="0" w:color="auto"/>
          </w:divBdr>
        </w:div>
        <w:div w:id="928271651">
          <w:marLeft w:val="0"/>
          <w:marRight w:val="0"/>
          <w:marTop w:val="0"/>
          <w:marBottom w:val="0"/>
          <w:divBdr>
            <w:top w:val="none" w:sz="0" w:space="0" w:color="auto"/>
            <w:left w:val="none" w:sz="0" w:space="0" w:color="auto"/>
            <w:bottom w:val="none" w:sz="0" w:space="0" w:color="auto"/>
            <w:right w:val="none" w:sz="0" w:space="0" w:color="auto"/>
          </w:divBdr>
        </w:div>
      </w:divsChild>
    </w:div>
    <w:div w:id="1532642529">
      <w:bodyDiv w:val="1"/>
      <w:marLeft w:val="0"/>
      <w:marRight w:val="0"/>
      <w:marTop w:val="0"/>
      <w:marBottom w:val="0"/>
      <w:divBdr>
        <w:top w:val="none" w:sz="0" w:space="0" w:color="auto"/>
        <w:left w:val="none" w:sz="0" w:space="0" w:color="auto"/>
        <w:bottom w:val="none" w:sz="0" w:space="0" w:color="auto"/>
        <w:right w:val="none" w:sz="0" w:space="0" w:color="auto"/>
      </w:divBdr>
    </w:div>
    <w:div w:id="1544753670">
      <w:bodyDiv w:val="1"/>
      <w:marLeft w:val="0"/>
      <w:marRight w:val="0"/>
      <w:marTop w:val="0"/>
      <w:marBottom w:val="0"/>
      <w:divBdr>
        <w:top w:val="none" w:sz="0" w:space="0" w:color="auto"/>
        <w:left w:val="none" w:sz="0" w:space="0" w:color="auto"/>
        <w:bottom w:val="none" w:sz="0" w:space="0" w:color="auto"/>
        <w:right w:val="none" w:sz="0" w:space="0" w:color="auto"/>
      </w:divBdr>
      <w:divsChild>
        <w:div w:id="70740287">
          <w:marLeft w:val="0"/>
          <w:marRight w:val="0"/>
          <w:marTop w:val="34"/>
          <w:marBottom w:val="34"/>
          <w:divBdr>
            <w:top w:val="none" w:sz="0" w:space="0" w:color="auto"/>
            <w:left w:val="none" w:sz="0" w:space="0" w:color="auto"/>
            <w:bottom w:val="none" w:sz="0" w:space="0" w:color="auto"/>
            <w:right w:val="none" w:sz="0" w:space="0" w:color="auto"/>
          </w:divBdr>
        </w:div>
        <w:div w:id="1117531515">
          <w:marLeft w:val="0"/>
          <w:marRight w:val="0"/>
          <w:marTop w:val="0"/>
          <w:marBottom w:val="0"/>
          <w:divBdr>
            <w:top w:val="none" w:sz="0" w:space="0" w:color="auto"/>
            <w:left w:val="none" w:sz="0" w:space="0" w:color="auto"/>
            <w:bottom w:val="none" w:sz="0" w:space="0" w:color="auto"/>
            <w:right w:val="none" w:sz="0" w:space="0" w:color="auto"/>
          </w:divBdr>
        </w:div>
      </w:divsChild>
    </w:div>
    <w:div w:id="1615164606">
      <w:bodyDiv w:val="1"/>
      <w:marLeft w:val="0"/>
      <w:marRight w:val="0"/>
      <w:marTop w:val="0"/>
      <w:marBottom w:val="0"/>
      <w:divBdr>
        <w:top w:val="none" w:sz="0" w:space="0" w:color="auto"/>
        <w:left w:val="none" w:sz="0" w:space="0" w:color="auto"/>
        <w:bottom w:val="none" w:sz="0" w:space="0" w:color="auto"/>
        <w:right w:val="none" w:sz="0" w:space="0" w:color="auto"/>
      </w:divBdr>
    </w:div>
    <w:div w:id="1619220565">
      <w:bodyDiv w:val="1"/>
      <w:marLeft w:val="0"/>
      <w:marRight w:val="0"/>
      <w:marTop w:val="0"/>
      <w:marBottom w:val="0"/>
      <w:divBdr>
        <w:top w:val="none" w:sz="0" w:space="0" w:color="auto"/>
        <w:left w:val="none" w:sz="0" w:space="0" w:color="auto"/>
        <w:bottom w:val="none" w:sz="0" w:space="0" w:color="auto"/>
        <w:right w:val="none" w:sz="0" w:space="0" w:color="auto"/>
      </w:divBdr>
    </w:div>
    <w:div w:id="1636059063">
      <w:bodyDiv w:val="1"/>
      <w:marLeft w:val="0"/>
      <w:marRight w:val="0"/>
      <w:marTop w:val="0"/>
      <w:marBottom w:val="0"/>
      <w:divBdr>
        <w:top w:val="none" w:sz="0" w:space="0" w:color="auto"/>
        <w:left w:val="none" w:sz="0" w:space="0" w:color="auto"/>
        <w:bottom w:val="none" w:sz="0" w:space="0" w:color="auto"/>
        <w:right w:val="none" w:sz="0" w:space="0" w:color="auto"/>
      </w:divBdr>
    </w:div>
    <w:div w:id="1700663212">
      <w:bodyDiv w:val="1"/>
      <w:marLeft w:val="0"/>
      <w:marRight w:val="0"/>
      <w:marTop w:val="0"/>
      <w:marBottom w:val="0"/>
      <w:divBdr>
        <w:top w:val="none" w:sz="0" w:space="0" w:color="auto"/>
        <w:left w:val="none" w:sz="0" w:space="0" w:color="auto"/>
        <w:bottom w:val="none" w:sz="0" w:space="0" w:color="auto"/>
        <w:right w:val="none" w:sz="0" w:space="0" w:color="auto"/>
      </w:divBdr>
    </w:div>
    <w:div w:id="1816019699">
      <w:bodyDiv w:val="1"/>
      <w:marLeft w:val="0"/>
      <w:marRight w:val="0"/>
      <w:marTop w:val="0"/>
      <w:marBottom w:val="0"/>
      <w:divBdr>
        <w:top w:val="none" w:sz="0" w:space="0" w:color="auto"/>
        <w:left w:val="none" w:sz="0" w:space="0" w:color="auto"/>
        <w:bottom w:val="none" w:sz="0" w:space="0" w:color="auto"/>
        <w:right w:val="none" w:sz="0" w:space="0" w:color="auto"/>
      </w:divBdr>
      <w:divsChild>
        <w:div w:id="298537008">
          <w:marLeft w:val="0"/>
          <w:marRight w:val="0"/>
          <w:marTop w:val="240"/>
          <w:marBottom w:val="100"/>
          <w:divBdr>
            <w:top w:val="none" w:sz="0" w:space="0" w:color="auto"/>
            <w:left w:val="none" w:sz="0" w:space="0" w:color="auto"/>
            <w:bottom w:val="none" w:sz="0" w:space="0" w:color="auto"/>
            <w:right w:val="none" w:sz="0" w:space="0" w:color="auto"/>
          </w:divBdr>
          <w:divsChild>
            <w:div w:id="990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54639">
      <w:bodyDiv w:val="1"/>
      <w:marLeft w:val="0"/>
      <w:marRight w:val="0"/>
      <w:marTop w:val="0"/>
      <w:marBottom w:val="0"/>
      <w:divBdr>
        <w:top w:val="none" w:sz="0" w:space="0" w:color="auto"/>
        <w:left w:val="none" w:sz="0" w:space="0" w:color="auto"/>
        <w:bottom w:val="none" w:sz="0" w:space="0" w:color="auto"/>
        <w:right w:val="none" w:sz="0" w:space="0" w:color="auto"/>
      </w:divBdr>
    </w:div>
    <w:div w:id="1862158674">
      <w:bodyDiv w:val="1"/>
      <w:marLeft w:val="0"/>
      <w:marRight w:val="0"/>
      <w:marTop w:val="0"/>
      <w:marBottom w:val="0"/>
      <w:divBdr>
        <w:top w:val="none" w:sz="0" w:space="0" w:color="auto"/>
        <w:left w:val="none" w:sz="0" w:space="0" w:color="auto"/>
        <w:bottom w:val="none" w:sz="0" w:space="0" w:color="auto"/>
        <w:right w:val="none" w:sz="0" w:space="0" w:color="auto"/>
      </w:divBdr>
      <w:divsChild>
        <w:div w:id="1036276985">
          <w:marLeft w:val="0"/>
          <w:marRight w:val="0"/>
          <w:marTop w:val="0"/>
          <w:marBottom w:val="0"/>
          <w:divBdr>
            <w:top w:val="none" w:sz="0" w:space="0" w:color="auto"/>
            <w:left w:val="none" w:sz="0" w:space="0" w:color="auto"/>
            <w:bottom w:val="none" w:sz="0" w:space="0" w:color="auto"/>
            <w:right w:val="none" w:sz="0" w:space="0" w:color="auto"/>
          </w:divBdr>
        </w:div>
        <w:div w:id="1356030681">
          <w:marLeft w:val="0"/>
          <w:marRight w:val="0"/>
          <w:marTop w:val="34"/>
          <w:marBottom w:val="34"/>
          <w:divBdr>
            <w:top w:val="none" w:sz="0" w:space="0" w:color="auto"/>
            <w:left w:val="none" w:sz="0" w:space="0" w:color="auto"/>
            <w:bottom w:val="none" w:sz="0" w:space="0" w:color="auto"/>
            <w:right w:val="none" w:sz="0" w:space="0" w:color="auto"/>
          </w:divBdr>
        </w:div>
      </w:divsChild>
    </w:div>
    <w:div w:id="1890650057">
      <w:bodyDiv w:val="1"/>
      <w:marLeft w:val="0"/>
      <w:marRight w:val="0"/>
      <w:marTop w:val="0"/>
      <w:marBottom w:val="0"/>
      <w:divBdr>
        <w:top w:val="none" w:sz="0" w:space="0" w:color="auto"/>
        <w:left w:val="none" w:sz="0" w:space="0" w:color="auto"/>
        <w:bottom w:val="none" w:sz="0" w:space="0" w:color="auto"/>
        <w:right w:val="none" w:sz="0" w:space="0" w:color="auto"/>
      </w:divBdr>
    </w:div>
    <w:div w:id="1898470229">
      <w:bodyDiv w:val="1"/>
      <w:marLeft w:val="0"/>
      <w:marRight w:val="0"/>
      <w:marTop w:val="0"/>
      <w:marBottom w:val="0"/>
      <w:divBdr>
        <w:top w:val="none" w:sz="0" w:space="0" w:color="auto"/>
        <w:left w:val="none" w:sz="0" w:space="0" w:color="auto"/>
        <w:bottom w:val="none" w:sz="0" w:space="0" w:color="auto"/>
        <w:right w:val="none" w:sz="0" w:space="0" w:color="auto"/>
      </w:divBdr>
      <w:divsChild>
        <w:div w:id="538008324">
          <w:marLeft w:val="0"/>
          <w:marRight w:val="0"/>
          <w:marTop w:val="34"/>
          <w:marBottom w:val="34"/>
          <w:divBdr>
            <w:top w:val="none" w:sz="0" w:space="0" w:color="auto"/>
            <w:left w:val="none" w:sz="0" w:space="0" w:color="auto"/>
            <w:bottom w:val="none" w:sz="0" w:space="0" w:color="auto"/>
            <w:right w:val="none" w:sz="0" w:space="0" w:color="auto"/>
          </w:divBdr>
        </w:div>
        <w:div w:id="1271741597">
          <w:marLeft w:val="0"/>
          <w:marRight w:val="0"/>
          <w:marTop w:val="0"/>
          <w:marBottom w:val="0"/>
          <w:divBdr>
            <w:top w:val="none" w:sz="0" w:space="0" w:color="auto"/>
            <w:left w:val="none" w:sz="0" w:space="0" w:color="auto"/>
            <w:bottom w:val="none" w:sz="0" w:space="0" w:color="auto"/>
            <w:right w:val="none" w:sz="0" w:space="0" w:color="auto"/>
          </w:divBdr>
        </w:div>
      </w:divsChild>
    </w:div>
    <w:div w:id="1907833165">
      <w:bodyDiv w:val="1"/>
      <w:marLeft w:val="0"/>
      <w:marRight w:val="0"/>
      <w:marTop w:val="0"/>
      <w:marBottom w:val="0"/>
      <w:divBdr>
        <w:top w:val="none" w:sz="0" w:space="0" w:color="auto"/>
        <w:left w:val="none" w:sz="0" w:space="0" w:color="auto"/>
        <w:bottom w:val="none" w:sz="0" w:space="0" w:color="auto"/>
        <w:right w:val="none" w:sz="0" w:space="0" w:color="auto"/>
      </w:divBdr>
    </w:div>
    <w:div w:id="1939674666">
      <w:bodyDiv w:val="1"/>
      <w:marLeft w:val="0"/>
      <w:marRight w:val="0"/>
      <w:marTop w:val="0"/>
      <w:marBottom w:val="0"/>
      <w:divBdr>
        <w:top w:val="none" w:sz="0" w:space="0" w:color="auto"/>
        <w:left w:val="none" w:sz="0" w:space="0" w:color="auto"/>
        <w:bottom w:val="none" w:sz="0" w:space="0" w:color="auto"/>
        <w:right w:val="none" w:sz="0" w:space="0" w:color="auto"/>
      </w:divBdr>
    </w:div>
    <w:div w:id="1964842657">
      <w:bodyDiv w:val="1"/>
      <w:marLeft w:val="0"/>
      <w:marRight w:val="0"/>
      <w:marTop w:val="0"/>
      <w:marBottom w:val="0"/>
      <w:divBdr>
        <w:top w:val="none" w:sz="0" w:space="0" w:color="auto"/>
        <w:left w:val="none" w:sz="0" w:space="0" w:color="auto"/>
        <w:bottom w:val="none" w:sz="0" w:space="0" w:color="auto"/>
        <w:right w:val="none" w:sz="0" w:space="0" w:color="auto"/>
      </w:divBdr>
      <w:divsChild>
        <w:div w:id="2061323823">
          <w:marLeft w:val="-100"/>
          <w:marRight w:val="0"/>
          <w:marTop w:val="0"/>
          <w:marBottom w:val="150"/>
          <w:divBdr>
            <w:top w:val="dashed" w:sz="4" w:space="3" w:color="666666"/>
            <w:left w:val="none" w:sz="0" w:space="0" w:color="auto"/>
            <w:bottom w:val="dashed" w:sz="4" w:space="5" w:color="666666"/>
            <w:right w:val="none" w:sz="0" w:space="0" w:color="auto"/>
          </w:divBdr>
          <w:divsChild>
            <w:div w:id="633759416">
              <w:marLeft w:val="0"/>
              <w:marRight w:val="0"/>
              <w:marTop w:val="0"/>
              <w:marBottom w:val="0"/>
              <w:divBdr>
                <w:top w:val="none" w:sz="0" w:space="0" w:color="auto"/>
                <w:left w:val="none" w:sz="0" w:space="0" w:color="auto"/>
                <w:bottom w:val="none" w:sz="0" w:space="0" w:color="auto"/>
                <w:right w:val="none" w:sz="0" w:space="0" w:color="auto"/>
              </w:divBdr>
            </w:div>
            <w:div w:id="1356807375">
              <w:marLeft w:val="0"/>
              <w:marRight w:val="0"/>
              <w:marTop w:val="0"/>
              <w:marBottom w:val="0"/>
              <w:divBdr>
                <w:top w:val="none" w:sz="0" w:space="0" w:color="auto"/>
                <w:left w:val="none" w:sz="0" w:space="0" w:color="auto"/>
                <w:bottom w:val="none" w:sz="0" w:space="0" w:color="auto"/>
                <w:right w:val="none" w:sz="0" w:space="0" w:color="auto"/>
              </w:divBdr>
            </w:div>
            <w:div w:id="19929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7686">
      <w:bodyDiv w:val="1"/>
      <w:marLeft w:val="0"/>
      <w:marRight w:val="0"/>
      <w:marTop w:val="0"/>
      <w:marBottom w:val="0"/>
      <w:divBdr>
        <w:top w:val="none" w:sz="0" w:space="0" w:color="auto"/>
        <w:left w:val="none" w:sz="0" w:space="0" w:color="auto"/>
        <w:bottom w:val="none" w:sz="0" w:space="0" w:color="auto"/>
        <w:right w:val="none" w:sz="0" w:space="0" w:color="auto"/>
      </w:divBdr>
    </w:div>
    <w:div w:id="2027057478">
      <w:bodyDiv w:val="1"/>
      <w:marLeft w:val="0"/>
      <w:marRight w:val="0"/>
      <w:marTop w:val="0"/>
      <w:marBottom w:val="0"/>
      <w:divBdr>
        <w:top w:val="none" w:sz="0" w:space="0" w:color="auto"/>
        <w:left w:val="none" w:sz="0" w:space="0" w:color="auto"/>
        <w:bottom w:val="none" w:sz="0" w:space="0" w:color="auto"/>
        <w:right w:val="none" w:sz="0" w:space="0" w:color="auto"/>
      </w:divBdr>
    </w:div>
    <w:div w:id="2029793466">
      <w:bodyDiv w:val="1"/>
      <w:marLeft w:val="0"/>
      <w:marRight w:val="0"/>
      <w:marTop w:val="0"/>
      <w:marBottom w:val="0"/>
      <w:divBdr>
        <w:top w:val="none" w:sz="0" w:space="0" w:color="auto"/>
        <w:left w:val="none" w:sz="0" w:space="0" w:color="auto"/>
        <w:bottom w:val="none" w:sz="0" w:space="0" w:color="auto"/>
        <w:right w:val="none" w:sz="0" w:space="0" w:color="auto"/>
      </w:divBdr>
    </w:div>
    <w:div w:id="2057776800">
      <w:bodyDiv w:val="1"/>
      <w:marLeft w:val="0"/>
      <w:marRight w:val="0"/>
      <w:marTop w:val="0"/>
      <w:marBottom w:val="0"/>
      <w:divBdr>
        <w:top w:val="none" w:sz="0" w:space="0" w:color="auto"/>
        <w:left w:val="none" w:sz="0" w:space="0" w:color="auto"/>
        <w:bottom w:val="none" w:sz="0" w:space="0" w:color="auto"/>
        <w:right w:val="none" w:sz="0" w:space="0" w:color="auto"/>
      </w:divBdr>
    </w:div>
    <w:div w:id="2082945453">
      <w:bodyDiv w:val="1"/>
      <w:marLeft w:val="0"/>
      <w:marRight w:val="0"/>
      <w:marTop w:val="0"/>
      <w:marBottom w:val="0"/>
      <w:divBdr>
        <w:top w:val="none" w:sz="0" w:space="0" w:color="auto"/>
        <w:left w:val="none" w:sz="0" w:space="0" w:color="auto"/>
        <w:bottom w:val="none" w:sz="0" w:space="0" w:color="auto"/>
        <w:right w:val="none" w:sz="0" w:space="0" w:color="auto"/>
      </w:divBdr>
      <w:divsChild>
        <w:div w:id="910701630">
          <w:marLeft w:val="0"/>
          <w:marRight w:val="0"/>
          <w:marTop w:val="34"/>
          <w:marBottom w:val="34"/>
          <w:divBdr>
            <w:top w:val="none" w:sz="0" w:space="0" w:color="auto"/>
            <w:left w:val="none" w:sz="0" w:space="0" w:color="auto"/>
            <w:bottom w:val="none" w:sz="0" w:space="0" w:color="auto"/>
            <w:right w:val="none" w:sz="0" w:space="0" w:color="auto"/>
          </w:divBdr>
        </w:div>
        <w:div w:id="1350833360">
          <w:marLeft w:val="0"/>
          <w:marRight w:val="0"/>
          <w:marTop w:val="0"/>
          <w:marBottom w:val="0"/>
          <w:divBdr>
            <w:top w:val="none" w:sz="0" w:space="0" w:color="auto"/>
            <w:left w:val="none" w:sz="0" w:space="0" w:color="auto"/>
            <w:bottom w:val="none" w:sz="0" w:space="0" w:color="auto"/>
            <w:right w:val="none" w:sz="0" w:space="0" w:color="auto"/>
          </w:divBdr>
        </w:div>
      </w:divsChild>
    </w:div>
    <w:div w:id="2084443886">
      <w:bodyDiv w:val="1"/>
      <w:marLeft w:val="0"/>
      <w:marRight w:val="0"/>
      <w:marTop w:val="0"/>
      <w:marBottom w:val="0"/>
      <w:divBdr>
        <w:top w:val="none" w:sz="0" w:space="0" w:color="auto"/>
        <w:left w:val="none" w:sz="0" w:space="0" w:color="auto"/>
        <w:bottom w:val="none" w:sz="0" w:space="0" w:color="auto"/>
        <w:right w:val="none" w:sz="0" w:space="0" w:color="auto"/>
      </w:divBdr>
    </w:div>
    <w:div w:id="209879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993A2C-2804-473B-89DB-0CFF7BE9C829}" type="doc">
      <dgm:prSet loTypeId="urn:microsoft.com/office/officeart/2005/8/layout/hierarchy1" loCatId="hierarchy" qsTypeId="urn:microsoft.com/office/officeart/2005/8/quickstyle/simple1" qsCatId="simple" csTypeId="urn:microsoft.com/office/officeart/2005/8/colors/accent0_3" csCatId="mainScheme" phldr="1"/>
      <dgm:spPr/>
      <dgm:t>
        <a:bodyPr/>
        <a:lstStyle/>
        <a:p>
          <a:endParaRPr lang="es-AR"/>
        </a:p>
      </dgm:t>
    </dgm:pt>
    <dgm:pt modelId="{36FDC785-0D94-4754-91F4-5C1473F4FCCB}">
      <dgm:prSet phldrT="[Texto]" custT="1"/>
      <dgm:spPr/>
      <dgm:t>
        <a:bodyPr/>
        <a:lstStyle/>
        <a:p>
          <a:r>
            <a:rPr lang="es-AR" sz="1000"/>
            <a:t>HBsAg + RT candidate</a:t>
          </a:r>
        </a:p>
      </dgm:t>
    </dgm:pt>
    <dgm:pt modelId="{F1DC11D0-128A-4DAC-98A0-FBE4349BB23D}" type="parTrans" cxnId="{FA3A2747-F47F-4156-AA34-F6CE0F31D9BA}">
      <dgm:prSet/>
      <dgm:spPr/>
      <dgm:t>
        <a:bodyPr/>
        <a:lstStyle/>
        <a:p>
          <a:endParaRPr lang="es-AR" sz="1000"/>
        </a:p>
      </dgm:t>
    </dgm:pt>
    <dgm:pt modelId="{F2B0EAD1-8F99-4DA7-92A8-7D08184DCC05}" type="sibTrans" cxnId="{FA3A2747-F47F-4156-AA34-F6CE0F31D9BA}">
      <dgm:prSet/>
      <dgm:spPr/>
      <dgm:t>
        <a:bodyPr/>
        <a:lstStyle/>
        <a:p>
          <a:endParaRPr lang="es-AR" sz="1000"/>
        </a:p>
      </dgm:t>
    </dgm:pt>
    <dgm:pt modelId="{0FDEFB20-B5F0-42C1-8935-6057B866814B}">
      <dgm:prSet phldrT="[Texto]" custT="1"/>
      <dgm:spPr/>
      <dgm:t>
        <a:bodyPr/>
        <a:lstStyle/>
        <a:p>
          <a:r>
            <a:rPr lang="es-AR" sz="1000"/>
            <a:t>Pretransplant assesment includying HBV DNA, HBeAg stauts, grading of liver fibrosis (liver biopsy or non-invasive)</a:t>
          </a:r>
        </a:p>
      </dgm:t>
    </dgm:pt>
    <dgm:pt modelId="{C925660C-C03F-4247-BE2F-EFB0103A5FC7}" type="parTrans" cxnId="{C03C9C89-DC0C-446C-9040-75B4773A824B}">
      <dgm:prSet/>
      <dgm:spPr/>
      <dgm:t>
        <a:bodyPr/>
        <a:lstStyle/>
        <a:p>
          <a:endParaRPr lang="es-AR" sz="1000"/>
        </a:p>
      </dgm:t>
    </dgm:pt>
    <dgm:pt modelId="{779EF109-BA30-4741-84BE-A47DA841EF87}" type="sibTrans" cxnId="{C03C9C89-DC0C-446C-9040-75B4773A824B}">
      <dgm:prSet/>
      <dgm:spPr/>
      <dgm:t>
        <a:bodyPr/>
        <a:lstStyle/>
        <a:p>
          <a:endParaRPr lang="es-AR" sz="1000"/>
        </a:p>
      </dgm:t>
    </dgm:pt>
    <dgm:pt modelId="{47D9F46F-3351-48E8-8B0A-DF11F26BF43D}">
      <dgm:prSet phldrT="[Texto]" custT="1"/>
      <dgm:spPr/>
      <dgm:t>
        <a:bodyPr/>
        <a:lstStyle/>
        <a:p>
          <a:r>
            <a:rPr lang="es-AR" sz="1000"/>
            <a:t>HBV DNA undetectable</a:t>
          </a:r>
        </a:p>
      </dgm:t>
    </dgm:pt>
    <dgm:pt modelId="{AD6876FA-B268-442C-8E16-054EC29BE235}" type="parTrans" cxnId="{A5DD0D68-EA71-4205-B2E4-33095150C751}">
      <dgm:prSet/>
      <dgm:spPr/>
      <dgm:t>
        <a:bodyPr/>
        <a:lstStyle/>
        <a:p>
          <a:endParaRPr lang="es-AR" sz="1000"/>
        </a:p>
      </dgm:t>
    </dgm:pt>
    <dgm:pt modelId="{6ACAB58E-2208-420A-AA3D-882B254C9136}" type="sibTrans" cxnId="{A5DD0D68-EA71-4205-B2E4-33095150C751}">
      <dgm:prSet/>
      <dgm:spPr/>
      <dgm:t>
        <a:bodyPr/>
        <a:lstStyle/>
        <a:p>
          <a:endParaRPr lang="es-AR" sz="1000"/>
        </a:p>
      </dgm:t>
    </dgm:pt>
    <dgm:pt modelId="{5B2D0F41-6EAC-439C-9825-598602C4A14D}">
      <dgm:prSet phldrT="[Texto]" custT="1"/>
      <dgm:spPr/>
      <dgm:t>
        <a:bodyPr/>
        <a:lstStyle/>
        <a:p>
          <a:r>
            <a:rPr lang="es-AR" sz="1000"/>
            <a:t>HBV DNA &lt;2000 IU/ml</a:t>
          </a:r>
        </a:p>
      </dgm:t>
    </dgm:pt>
    <dgm:pt modelId="{D1DE1B22-A77A-4D6D-9501-1208A99ACD71}" type="parTrans" cxnId="{768D808D-DBD8-4137-9800-09AFB04E3C89}">
      <dgm:prSet/>
      <dgm:spPr/>
      <dgm:t>
        <a:bodyPr/>
        <a:lstStyle/>
        <a:p>
          <a:endParaRPr lang="es-AR" sz="1000"/>
        </a:p>
      </dgm:t>
    </dgm:pt>
    <dgm:pt modelId="{A467925E-BF1C-4B67-998E-85F06F017190}" type="sibTrans" cxnId="{768D808D-DBD8-4137-9800-09AFB04E3C89}">
      <dgm:prSet/>
      <dgm:spPr/>
      <dgm:t>
        <a:bodyPr/>
        <a:lstStyle/>
        <a:p>
          <a:endParaRPr lang="es-AR" sz="1000"/>
        </a:p>
      </dgm:t>
    </dgm:pt>
    <dgm:pt modelId="{6FC99175-FCFB-487A-8501-93798763F0B2}">
      <dgm:prSet phldrT="[Texto]" custT="1"/>
      <dgm:spPr/>
      <dgm:t>
        <a:bodyPr/>
        <a:lstStyle/>
        <a:p>
          <a:r>
            <a:rPr lang="es-AR" sz="1000"/>
            <a:t>Decompensated liver disease</a:t>
          </a:r>
        </a:p>
      </dgm:t>
    </dgm:pt>
    <dgm:pt modelId="{C228C6CA-A8AA-4528-878F-BB6A2B0C3572}" type="parTrans" cxnId="{E5737282-B6B4-4936-A2FA-25F110EA6BFE}">
      <dgm:prSet/>
      <dgm:spPr/>
      <dgm:t>
        <a:bodyPr/>
        <a:lstStyle/>
        <a:p>
          <a:endParaRPr lang="es-AR" sz="1000"/>
        </a:p>
      </dgm:t>
    </dgm:pt>
    <dgm:pt modelId="{E7CF2803-85FD-47DE-BE94-859B91054D34}" type="sibTrans" cxnId="{E5737282-B6B4-4936-A2FA-25F110EA6BFE}">
      <dgm:prSet/>
      <dgm:spPr/>
      <dgm:t>
        <a:bodyPr/>
        <a:lstStyle/>
        <a:p>
          <a:endParaRPr lang="es-AR" sz="1000"/>
        </a:p>
      </dgm:t>
    </dgm:pt>
    <dgm:pt modelId="{5F2EA559-FFD3-455D-9F3B-6B896BD69753}">
      <dgm:prSet phldrT="[Texto]" custT="1"/>
      <dgm:spPr/>
      <dgm:t>
        <a:bodyPr/>
        <a:lstStyle/>
        <a:p>
          <a:r>
            <a:rPr lang="es-AR" sz="1000"/>
            <a:t>Assess for combined LRT</a:t>
          </a:r>
        </a:p>
      </dgm:t>
    </dgm:pt>
    <dgm:pt modelId="{AD7A005E-D098-459D-8352-2F23D270E106}" type="parTrans" cxnId="{B2D1AE6B-6397-4D5A-9A36-2DFC2EE8EF91}">
      <dgm:prSet/>
      <dgm:spPr/>
      <dgm:t>
        <a:bodyPr/>
        <a:lstStyle/>
        <a:p>
          <a:endParaRPr lang="es-AR" sz="1000"/>
        </a:p>
      </dgm:t>
    </dgm:pt>
    <dgm:pt modelId="{3B46A75B-9FE4-4E4C-AC7A-DE8FBA7FF8A2}" type="sibTrans" cxnId="{B2D1AE6B-6397-4D5A-9A36-2DFC2EE8EF91}">
      <dgm:prSet/>
      <dgm:spPr/>
      <dgm:t>
        <a:bodyPr/>
        <a:lstStyle/>
        <a:p>
          <a:endParaRPr lang="es-AR" sz="1000"/>
        </a:p>
      </dgm:t>
    </dgm:pt>
    <dgm:pt modelId="{0CDA523F-3886-485D-8614-AEC33DEBD42A}">
      <dgm:prSet custT="1"/>
      <dgm:spPr/>
      <dgm:t>
        <a:bodyPr/>
        <a:lstStyle/>
        <a:p>
          <a:r>
            <a:rPr lang="en-US" sz="1000"/>
            <a:t>Prophylactic therapy</a:t>
          </a:r>
          <a:endParaRPr lang="es-AR" sz="1000"/>
        </a:p>
      </dgm:t>
    </dgm:pt>
    <dgm:pt modelId="{900B6AB2-9759-4BFA-8754-E41F7060E4A3}" type="parTrans" cxnId="{7875DCB4-5BB2-440F-9C9C-7EF7F45C7BB2}">
      <dgm:prSet/>
      <dgm:spPr/>
      <dgm:t>
        <a:bodyPr/>
        <a:lstStyle/>
        <a:p>
          <a:endParaRPr lang="es-AR" sz="1000"/>
        </a:p>
      </dgm:t>
    </dgm:pt>
    <dgm:pt modelId="{2C514C97-FDBA-4D7B-8070-44BFC444154A}" type="sibTrans" cxnId="{7875DCB4-5BB2-440F-9C9C-7EF7F45C7BB2}">
      <dgm:prSet/>
      <dgm:spPr/>
      <dgm:t>
        <a:bodyPr/>
        <a:lstStyle/>
        <a:p>
          <a:endParaRPr lang="es-AR" sz="1000"/>
        </a:p>
      </dgm:t>
    </dgm:pt>
    <dgm:pt modelId="{F0D26753-9E21-4DFB-BEA9-7403E57FB422}">
      <dgm:prSet custT="1"/>
      <dgm:spPr/>
      <dgm:t>
        <a:bodyPr/>
        <a:lstStyle/>
        <a:p>
          <a:r>
            <a:rPr lang="en-US" sz="1000"/>
            <a:t>Preemptive therapy</a:t>
          </a:r>
          <a:endParaRPr lang="es-AR" sz="1000"/>
        </a:p>
      </dgm:t>
    </dgm:pt>
    <dgm:pt modelId="{51ED4B74-E71C-4A7D-8102-7D6AEE7DD445}" type="parTrans" cxnId="{32BF1935-EE04-4E6D-B19D-65D8EDCA4E80}">
      <dgm:prSet/>
      <dgm:spPr/>
      <dgm:t>
        <a:bodyPr/>
        <a:lstStyle/>
        <a:p>
          <a:endParaRPr lang="es-AR" sz="1000"/>
        </a:p>
      </dgm:t>
    </dgm:pt>
    <dgm:pt modelId="{0CAA5877-D5FD-4EED-ADDB-94B91FCA03B3}" type="sibTrans" cxnId="{32BF1935-EE04-4E6D-B19D-65D8EDCA4E80}">
      <dgm:prSet/>
      <dgm:spPr/>
      <dgm:t>
        <a:bodyPr/>
        <a:lstStyle/>
        <a:p>
          <a:endParaRPr lang="es-AR" sz="1000"/>
        </a:p>
      </dgm:t>
    </dgm:pt>
    <dgm:pt modelId="{3DDD915E-70FF-4C12-9143-83864FBBBEE8}">
      <dgm:prSet custT="1"/>
      <dgm:spPr/>
      <dgm:t>
        <a:bodyPr/>
        <a:lstStyle/>
        <a:p>
          <a:r>
            <a:rPr lang="es-AR" sz="1000"/>
            <a:t>HBV DNA &gt;2000 IU/ml</a:t>
          </a:r>
        </a:p>
      </dgm:t>
    </dgm:pt>
    <dgm:pt modelId="{4F1E1CC2-C0BB-40CD-86D0-C6A345BE77EF}" type="parTrans" cxnId="{D80D7E7B-B58D-42E2-B40A-B22EEC80F988}">
      <dgm:prSet/>
      <dgm:spPr/>
      <dgm:t>
        <a:bodyPr/>
        <a:lstStyle/>
        <a:p>
          <a:endParaRPr lang="es-AR"/>
        </a:p>
      </dgm:t>
    </dgm:pt>
    <dgm:pt modelId="{5AEBF5E6-04D0-4A2D-89FB-66BBC84CA111}" type="sibTrans" cxnId="{D80D7E7B-B58D-42E2-B40A-B22EEC80F988}">
      <dgm:prSet/>
      <dgm:spPr/>
      <dgm:t>
        <a:bodyPr/>
        <a:lstStyle/>
        <a:p>
          <a:endParaRPr lang="es-AR"/>
        </a:p>
      </dgm:t>
    </dgm:pt>
    <dgm:pt modelId="{0391AF70-100E-4269-8EFD-DB0FD4B9D905}">
      <dgm:prSet custT="1"/>
      <dgm:spPr/>
      <dgm:t>
        <a:bodyPr/>
        <a:lstStyle/>
        <a:p>
          <a:r>
            <a:rPr lang="es-AR" sz="1000"/>
            <a:t>Treatment</a:t>
          </a:r>
        </a:p>
      </dgm:t>
    </dgm:pt>
    <dgm:pt modelId="{7117F30C-C45D-45AC-AEA1-5B674021A5BF}" type="parTrans" cxnId="{B3E8888A-9152-4748-B608-A0CBF64D4D08}">
      <dgm:prSet/>
      <dgm:spPr/>
      <dgm:t>
        <a:bodyPr/>
        <a:lstStyle/>
        <a:p>
          <a:endParaRPr lang="es-AR"/>
        </a:p>
      </dgm:t>
    </dgm:pt>
    <dgm:pt modelId="{7A04AC37-9580-418E-86FB-034A3C427C0F}" type="sibTrans" cxnId="{B3E8888A-9152-4748-B608-A0CBF64D4D08}">
      <dgm:prSet/>
      <dgm:spPr/>
      <dgm:t>
        <a:bodyPr/>
        <a:lstStyle/>
        <a:p>
          <a:endParaRPr lang="es-AR"/>
        </a:p>
      </dgm:t>
    </dgm:pt>
    <dgm:pt modelId="{15B85C19-3596-43BE-81A3-3666E3E4CFA7}">
      <dgm:prSet custT="1"/>
      <dgm:spPr/>
      <dgm:t>
        <a:bodyPr/>
        <a:lstStyle/>
        <a:p>
          <a:r>
            <a:rPr lang="es-AR" sz="800"/>
            <a:t>NUC Naive: ETV</a:t>
          </a:r>
        </a:p>
        <a:p>
          <a:r>
            <a:rPr lang="es-AR" sz="800"/>
            <a:t>Resistance to any NUC: TDF</a:t>
          </a:r>
        </a:p>
      </dgm:t>
    </dgm:pt>
    <dgm:pt modelId="{0527676D-5E5A-4A2D-89C4-2DE2C199239E}" type="parTrans" cxnId="{2B84685C-8269-46C3-A885-3A6DD3F0D777}">
      <dgm:prSet/>
      <dgm:spPr/>
      <dgm:t>
        <a:bodyPr/>
        <a:lstStyle/>
        <a:p>
          <a:endParaRPr lang="es-AR"/>
        </a:p>
      </dgm:t>
    </dgm:pt>
    <dgm:pt modelId="{AFE3CA05-0F74-43B1-B59F-4CF7C60F01FD}" type="sibTrans" cxnId="{2B84685C-8269-46C3-A885-3A6DD3F0D777}">
      <dgm:prSet/>
      <dgm:spPr/>
      <dgm:t>
        <a:bodyPr/>
        <a:lstStyle/>
        <a:p>
          <a:endParaRPr lang="es-AR"/>
        </a:p>
      </dgm:t>
    </dgm:pt>
    <dgm:pt modelId="{A6F2B155-7DD4-4967-B828-A6BDD39E1F8A}">
      <dgm:prSet custT="1"/>
      <dgm:spPr/>
      <dgm:t>
        <a:bodyPr/>
        <a:lstStyle/>
        <a:p>
          <a:r>
            <a:rPr lang="es-AR" sz="800"/>
            <a:t>NUC Naive: ETV</a:t>
          </a:r>
        </a:p>
        <a:p>
          <a:r>
            <a:rPr lang="es-AR" sz="800"/>
            <a:t>Resistance to any NUC: TDF</a:t>
          </a:r>
        </a:p>
      </dgm:t>
    </dgm:pt>
    <dgm:pt modelId="{32BDD4B3-B983-40BD-B825-35DAC08847DE}" type="parTrans" cxnId="{7D1A1CD8-A6AD-4A87-A1E0-698DD03BF3A0}">
      <dgm:prSet/>
      <dgm:spPr/>
      <dgm:t>
        <a:bodyPr/>
        <a:lstStyle/>
        <a:p>
          <a:endParaRPr lang="es-AR"/>
        </a:p>
      </dgm:t>
    </dgm:pt>
    <dgm:pt modelId="{C6014C4C-4289-4543-A57A-C6A5E9E6B228}" type="sibTrans" cxnId="{7D1A1CD8-A6AD-4A87-A1E0-698DD03BF3A0}">
      <dgm:prSet/>
      <dgm:spPr/>
      <dgm:t>
        <a:bodyPr/>
        <a:lstStyle/>
        <a:p>
          <a:endParaRPr lang="es-AR"/>
        </a:p>
      </dgm:t>
    </dgm:pt>
    <dgm:pt modelId="{1559FD71-214B-4060-ACD0-BBC048756093}">
      <dgm:prSet custT="1"/>
      <dgm:spPr/>
      <dgm:t>
        <a:bodyPr/>
        <a:lstStyle/>
        <a:p>
          <a:r>
            <a:rPr lang="es-AR" sz="800"/>
            <a:t>NUC Naive: ETV</a:t>
          </a:r>
        </a:p>
        <a:p>
          <a:r>
            <a:rPr lang="es-AR" sz="800"/>
            <a:t>Resistance to any NUC: TDF</a:t>
          </a:r>
        </a:p>
      </dgm:t>
    </dgm:pt>
    <dgm:pt modelId="{BFEFB055-7FF6-49D3-9604-268BDDA82844}" type="parTrans" cxnId="{86084B86-82DA-4EFB-9FCA-BB7855E94B7F}">
      <dgm:prSet/>
      <dgm:spPr/>
      <dgm:t>
        <a:bodyPr/>
        <a:lstStyle/>
        <a:p>
          <a:endParaRPr lang="es-AR"/>
        </a:p>
      </dgm:t>
    </dgm:pt>
    <dgm:pt modelId="{D4E02D91-AD68-4981-98B8-FE6D65B0EE26}" type="sibTrans" cxnId="{86084B86-82DA-4EFB-9FCA-BB7855E94B7F}">
      <dgm:prSet/>
      <dgm:spPr/>
      <dgm:t>
        <a:bodyPr/>
        <a:lstStyle/>
        <a:p>
          <a:endParaRPr lang="es-AR"/>
        </a:p>
      </dgm:t>
    </dgm:pt>
    <dgm:pt modelId="{EEACCD17-F083-4CA7-ADC5-C32CEE3E4333}" type="pres">
      <dgm:prSet presAssocID="{D8993A2C-2804-473B-89DB-0CFF7BE9C829}" presName="hierChild1" presStyleCnt="0">
        <dgm:presLayoutVars>
          <dgm:chPref val="1"/>
          <dgm:dir/>
          <dgm:animOne val="branch"/>
          <dgm:animLvl val="lvl"/>
          <dgm:resizeHandles/>
        </dgm:presLayoutVars>
      </dgm:prSet>
      <dgm:spPr/>
      <dgm:t>
        <a:bodyPr/>
        <a:lstStyle/>
        <a:p>
          <a:endParaRPr lang="es-AR"/>
        </a:p>
      </dgm:t>
    </dgm:pt>
    <dgm:pt modelId="{9AA19EDE-D62C-4945-9B9D-C4750B89DD64}" type="pres">
      <dgm:prSet presAssocID="{36FDC785-0D94-4754-91F4-5C1473F4FCCB}" presName="hierRoot1" presStyleCnt="0"/>
      <dgm:spPr/>
      <dgm:t>
        <a:bodyPr/>
        <a:lstStyle/>
        <a:p>
          <a:endParaRPr lang="es-AR"/>
        </a:p>
      </dgm:t>
    </dgm:pt>
    <dgm:pt modelId="{33A5C98E-D3E6-4CD0-9757-1B5462E67F32}" type="pres">
      <dgm:prSet presAssocID="{36FDC785-0D94-4754-91F4-5C1473F4FCCB}" presName="composite" presStyleCnt="0"/>
      <dgm:spPr/>
      <dgm:t>
        <a:bodyPr/>
        <a:lstStyle/>
        <a:p>
          <a:endParaRPr lang="es-AR"/>
        </a:p>
      </dgm:t>
    </dgm:pt>
    <dgm:pt modelId="{2F42DA10-A5A0-4113-B66E-5F37532DBEB7}" type="pres">
      <dgm:prSet presAssocID="{36FDC785-0D94-4754-91F4-5C1473F4FCCB}" presName="background" presStyleLbl="node0" presStyleIdx="0" presStyleCnt="1"/>
      <dgm:spPr/>
      <dgm:t>
        <a:bodyPr/>
        <a:lstStyle/>
        <a:p>
          <a:endParaRPr lang="es-AR"/>
        </a:p>
      </dgm:t>
    </dgm:pt>
    <dgm:pt modelId="{F63A8430-A6D0-4E31-8D1E-357E5EFB3875}" type="pres">
      <dgm:prSet presAssocID="{36FDC785-0D94-4754-91F4-5C1473F4FCCB}" presName="text" presStyleLbl="fgAcc0" presStyleIdx="0" presStyleCnt="1" custScaleX="265459">
        <dgm:presLayoutVars>
          <dgm:chPref val="3"/>
        </dgm:presLayoutVars>
      </dgm:prSet>
      <dgm:spPr/>
      <dgm:t>
        <a:bodyPr/>
        <a:lstStyle/>
        <a:p>
          <a:endParaRPr lang="es-AR"/>
        </a:p>
      </dgm:t>
    </dgm:pt>
    <dgm:pt modelId="{A925B955-4CC9-4135-A122-2338ED2468EF}" type="pres">
      <dgm:prSet presAssocID="{36FDC785-0D94-4754-91F4-5C1473F4FCCB}" presName="hierChild2" presStyleCnt="0"/>
      <dgm:spPr/>
      <dgm:t>
        <a:bodyPr/>
        <a:lstStyle/>
        <a:p>
          <a:endParaRPr lang="es-AR"/>
        </a:p>
      </dgm:t>
    </dgm:pt>
    <dgm:pt modelId="{EAA323A3-79E7-457B-BECC-9D0E3D80CE0E}" type="pres">
      <dgm:prSet presAssocID="{C925660C-C03F-4247-BE2F-EFB0103A5FC7}" presName="Name10" presStyleLbl="parChTrans1D2" presStyleIdx="0" presStyleCnt="2"/>
      <dgm:spPr/>
      <dgm:t>
        <a:bodyPr/>
        <a:lstStyle/>
        <a:p>
          <a:endParaRPr lang="es-AR"/>
        </a:p>
      </dgm:t>
    </dgm:pt>
    <dgm:pt modelId="{0BCC7238-E25B-48C1-A5CF-3CF862D141EF}" type="pres">
      <dgm:prSet presAssocID="{0FDEFB20-B5F0-42C1-8935-6057B866814B}" presName="hierRoot2" presStyleCnt="0"/>
      <dgm:spPr/>
      <dgm:t>
        <a:bodyPr/>
        <a:lstStyle/>
        <a:p>
          <a:endParaRPr lang="es-AR"/>
        </a:p>
      </dgm:t>
    </dgm:pt>
    <dgm:pt modelId="{A290B563-B754-4C50-9258-B33C79C957FC}" type="pres">
      <dgm:prSet presAssocID="{0FDEFB20-B5F0-42C1-8935-6057B866814B}" presName="composite2" presStyleCnt="0"/>
      <dgm:spPr/>
      <dgm:t>
        <a:bodyPr/>
        <a:lstStyle/>
        <a:p>
          <a:endParaRPr lang="es-AR"/>
        </a:p>
      </dgm:t>
    </dgm:pt>
    <dgm:pt modelId="{402FBCE6-9A59-4674-8D0C-00CEB502DF9E}" type="pres">
      <dgm:prSet presAssocID="{0FDEFB20-B5F0-42C1-8935-6057B866814B}" presName="background2" presStyleLbl="node2" presStyleIdx="0" presStyleCnt="2"/>
      <dgm:spPr/>
      <dgm:t>
        <a:bodyPr/>
        <a:lstStyle/>
        <a:p>
          <a:endParaRPr lang="es-AR"/>
        </a:p>
      </dgm:t>
    </dgm:pt>
    <dgm:pt modelId="{36A40E6E-6612-4C69-81F8-AF67F996D6C8}" type="pres">
      <dgm:prSet presAssocID="{0FDEFB20-B5F0-42C1-8935-6057B866814B}" presName="text2" presStyleLbl="fgAcc2" presStyleIdx="0" presStyleCnt="2" custScaleX="484396">
        <dgm:presLayoutVars>
          <dgm:chPref val="3"/>
        </dgm:presLayoutVars>
      </dgm:prSet>
      <dgm:spPr/>
      <dgm:t>
        <a:bodyPr/>
        <a:lstStyle/>
        <a:p>
          <a:endParaRPr lang="es-AR"/>
        </a:p>
      </dgm:t>
    </dgm:pt>
    <dgm:pt modelId="{41E9E5F3-1CEC-4CCA-A19F-94F0329D92E7}" type="pres">
      <dgm:prSet presAssocID="{0FDEFB20-B5F0-42C1-8935-6057B866814B}" presName="hierChild3" presStyleCnt="0"/>
      <dgm:spPr/>
      <dgm:t>
        <a:bodyPr/>
        <a:lstStyle/>
        <a:p>
          <a:endParaRPr lang="es-AR"/>
        </a:p>
      </dgm:t>
    </dgm:pt>
    <dgm:pt modelId="{C88F44CB-E4C2-49BD-A7B7-A583C82D210B}" type="pres">
      <dgm:prSet presAssocID="{AD6876FA-B268-442C-8E16-054EC29BE235}" presName="Name17" presStyleLbl="parChTrans1D3" presStyleIdx="0" presStyleCnt="4"/>
      <dgm:spPr/>
      <dgm:t>
        <a:bodyPr/>
        <a:lstStyle/>
        <a:p>
          <a:endParaRPr lang="es-AR"/>
        </a:p>
      </dgm:t>
    </dgm:pt>
    <dgm:pt modelId="{D31617CA-F69B-4BD4-AC0D-99B10411D331}" type="pres">
      <dgm:prSet presAssocID="{47D9F46F-3351-48E8-8B0A-DF11F26BF43D}" presName="hierRoot3" presStyleCnt="0"/>
      <dgm:spPr/>
      <dgm:t>
        <a:bodyPr/>
        <a:lstStyle/>
        <a:p>
          <a:endParaRPr lang="es-AR"/>
        </a:p>
      </dgm:t>
    </dgm:pt>
    <dgm:pt modelId="{46C85545-6C83-4217-A59E-4CD501DBAD81}" type="pres">
      <dgm:prSet presAssocID="{47D9F46F-3351-48E8-8B0A-DF11F26BF43D}" presName="composite3" presStyleCnt="0"/>
      <dgm:spPr/>
      <dgm:t>
        <a:bodyPr/>
        <a:lstStyle/>
        <a:p>
          <a:endParaRPr lang="es-AR"/>
        </a:p>
      </dgm:t>
    </dgm:pt>
    <dgm:pt modelId="{38B2F504-4FE7-4910-9750-E0E5944AEE91}" type="pres">
      <dgm:prSet presAssocID="{47D9F46F-3351-48E8-8B0A-DF11F26BF43D}" presName="background3" presStyleLbl="node3" presStyleIdx="0" presStyleCnt="4"/>
      <dgm:spPr/>
      <dgm:t>
        <a:bodyPr/>
        <a:lstStyle/>
        <a:p>
          <a:endParaRPr lang="es-AR"/>
        </a:p>
      </dgm:t>
    </dgm:pt>
    <dgm:pt modelId="{AE307FAB-C88F-41BE-BD55-D95F1A5C24C2}" type="pres">
      <dgm:prSet presAssocID="{47D9F46F-3351-48E8-8B0A-DF11F26BF43D}" presName="text3" presStyleLbl="fgAcc3" presStyleIdx="0" presStyleCnt="4" custScaleX="169088">
        <dgm:presLayoutVars>
          <dgm:chPref val="3"/>
        </dgm:presLayoutVars>
      </dgm:prSet>
      <dgm:spPr/>
      <dgm:t>
        <a:bodyPr/>
        <a:lstStyle/>
        <a:p>
          <a:endParaRPr lang="es-AR"/>
        </a:p>
      </dgm:t>
    </dgm:pt>
    <dgm:pt modelId="{8E87CF7F-FD07-469D-A22F-C7F3F759EE29}" type="pres">
      <dgm:prSet presAssocID="{47D9F46F-3351-48E8-8B0A-DF11F26BF43D}" presName="hierChild4" presStyleCnt="0"/>
      <dgm:spPr/>
      <dgm:t>
        <a:bodyPr/>
        <a:lstStyle/>
        <a:p>
          <a:endParaRPr lang="es-AR"/>
        </a:p>
      </dgm:t>
    </dgm:pt>
    <dgm:pt modelId="{1523D8F2-A623-44EA-9C16-87452FF74BD6}" type="pres">
      <dgm:prSet presAssocID="{900B6AB2-9759-4BFA-8754-E41F7060E4A3}" presName="Name23" presStyleLbl="parChTrans1D4" presStyleIdx="0" presStyleCnt="6"/>
      <dgm:spPr/>
      <dgm:t>
        <a:bodyPr/>
        <a:lstStyle/>
        <a:p>
          <a:endParaRPr lang="es-AR"/>
        </a:p>
      </dgm:t>
    </dgm:pt>
    <dgm:pt modelId="{397615E1-D69A-4849-AFDE-1213FF2B49D1}" type="pres">
      <dgm:prSet presAssocID="{0CDA523F-3886-485D-8614-AEC33DEBD42A}" presName="hierRoot4" presStyleCnt="0"/>
      <dgm:spPr/>
      <dgm:t>
        <a:bodyPr/>
        <a:lstStyle/>
        <a:p>
          <a:endParaRPr lang="es-AR"/>
        </a:p>
      </dgm:t>
    </dgm:pt>
    <dgm:pt modelId="{F7D46493-077A-46A7-A6F5-C2B41E82BFF7}" type="pres">
      <dgm:prSet presAssocID="{0CDA523F-3886-485D-8614-AEC33DEBD42A}" presName="composite4" presStyleCnt="0"/>
      <dgm:spPr/>
      <dgm:t>
        <a:bodyPr/>
        <a:lstStyle/>
        <a:p>
          <a:endParaRPr lang="es-AR"/>
        </a:p>
      </dgm:t>
    </dgm:pt>
    <dgm:pt modelId="{523C932A-674E-43BD-8CF0-1E4E8F38C7EC}" type="pres">
      <dgm:prSet presAssocID="{0CDA523F-3886-485D-8614-AEC33DEBD42A}" presName="background4" presStyleLbl="node4" presStyleIdx="0" presStyleCnt="6"/>
      <dgm:spPr/>
      <dgm:t>
        <a:bodyPr/>
        <a:lstStyle/>
        <a:p>
          <a:endParaRPr lang="es-AR"/>
        </a:p>
      </dgm:t>
    </dgm:pt>
    <dgm:pt modelId="{E6B9B091-447E-44E8-BA84-18FC5F2A80B2}" type="pres">
      <dgm:prSet presAssocID="{0CDA523F-3886-485D-8614-AEC33DEBD42A}" presName="text4" presStyleLbl="fgAcc4" presStyleIdx="0" presStyleCnt="6" custScaleX="119355">
        <dgm:presLayoutVars>
          <dgm:chPref val="3"/>
        </dgm:presLayoutVars>
      </dgm:prSet>
      <dgm:spPr/>
      <dgm:t>
        <a:bodyPr/>
        <a:lstStyle/>
        <a:p>
          <a:endParaRPr lang="es-AR"/>
        </a:p>
      </dgm:t>
    </dgm:pt>
    <dgm:pt modelId="{C242E88E-CE8B-4803-AEFF-52340893EB65}" type="pres">
      <dgm:prSet presAssocID="{0CDA523F-3886-485D-8614-AEC33DEBD42A}" presName="hierChild5" presStyleCnt="0"/>
      <dgm:spPr/>
      <dgm:t>
        <a:bodyPr/>
        <a:lstStyle/>
        <a:p>
          <a:endParaRPr lang="es-AR"/>
        </a:p>
      </dgm:t>
    </dgm:pt>
    <dgm:pt modelId="{08B08C27-49FF-436B-B207-7EEAE1A0B4B9}" type="pres">
      <dgm:prSet presAssocID="{32BDD4B3-B983-40BD-B825-35DAC08847DE}" presName="Name23" presStyleLbl="parChTrans1D4" presStyleIdx="1" presStyleCnt="6"/>
      <dgm:spPr/>
      <dgm:t>
        <a:bodyPr/>
        <a:lstStyle/>
        <a:p>
          <a:endParaRPr lang="es-AR"/>
        </a:p>
      </dgm:t>
    </dgm:pt>
    <dgm:pt modelId="{B0ED952A-084D-4DD9-9947-36648965E848}" type="pres">
      <dgm:prSet presAssocID="{A6F2B155-7DD4-4967-B828-A6BDD39E1F8A}" presName="hierRoot4" presStyleCnt="0"/>
      <dgm:spPr/>
    </dgm:pt>
    <dgm:pt modelId="{7B6187F5-CC7B-4424-870E-769E6AC337F0}" type="pres">
      <dgm:prSet presAssocID="{A6F2B155-7DD4-4967-B828-A6BDD39E1F8A}" presName="composite4" presStyleCnt="0"/>
      <dgm:spPr/>
    </dgm:pt>
    <dgm:pt modelId="{1319CC4C-5B41-4EEE-8BE1-35A5208DD929}" type="pres">
      <dgm:prSet presAssocID="{A6F2B155-7DD4-4967-B828-A6BDD39E1F8A}" presName="background4" presStyleLbl="node4" presStyleIdx="1" presStyleCnt="6"/>
      <dgm:spPr/>
    </dgm:pt>
    <dgm:pt modelId="{B6C3D241-54F5-46EE-8380-DC13BB315910}" type="pres">
      <dgm:prSet presAssocID="{A6F2B155-7DD4-4967-B828-A6BDD39E1F8A}" presName="text4" presStyleLbl="fgAcc4" presStyleIdx="1" presStyleCnt="6" custScaleX="179745">
        <dgm:presLayoutVars>
          <dgm:chPref val="3"/>
        </dgm:presLayoutVars>
      </dgm:prSet>
      <dgm:spPr/>
      <dgm:t>
        <a:bodyPr/>
        <a:lstStyle/>
        <a:p>
          <a:endParaRPr lang="es-AR"/>
        </a:p>
      </dgm:t>
    </dgm:pt>
    <dgm:pt modelId="{FE7FBFA8-2460-4AE4-B3E1-812869FF02A2}" type="pres">
      <dgm:prSet presAssocID="{A6F2B155-7DD4-4967-B828-A6BDD39E1F8A}" presName="hierChild5" presStyleCnt="0"/>
      <dgm:spPr/>
    </dgm:pt>
    <dgm:pt modelId="{D7FCB86D-EAB0-47D3-BB55-DEE96651BDFB}" type="pres">
      <dgm:prSet presAssocID="{D1DE1B22-A77A-4D6D-9501-1208A99ACD71}" presName="Name17" presStyleLbl="parChTrans1D3" presStyleIdx="1" presStyleCnt="4"/>
      <dgm:spPr/>
      <dgm:t>
        <a:bodyPr/>
        <a:lstStyle/>
        <a:p>
          <a:endParaRPr lang="es-AR"/>
        </a:p>
      </dgm:t>
    </dgm:pt>
    <dgm:pt modelId="{C9A4EE83-C8CC-4FBF-A2B0-4EAE786670A4}" type="pres">
      <dgm:prSet presAssocID="{5B2D0F41-6EAC-439C-9825-598602C4A14D}" presName="hierRoot3" presStyleCnt="0"/>
      <dgm:spPr/>
      <dgm:t>
        <a:bodyPr/>
        <a:lstStyle/>
        <a:p>
          <a:endParaRPr lang="es-AR"/>
        </a:p>
      </dgm:t>
    </dgm:pt>
    <dgm:pt modelId="{A111D28D-A212-4FD0-AE44-CC0B33D6D062}" type="pres">
      <dgm:prSet presAssocID="{5B2D0F41-6EAC-439C-9825-598602C4A14D}" presName="composite3" presStyleCnt="0"/>
      <dgm:spPr/>
      <dgm:t>
        <a:bodyPr/>
        <a:lstStyle/>
        <a:p>
          <a:endParaRPr lang="es-AR"/>
        </a:p>
      </dgm:t>
    </dgm:pt>
    <dgm:pt modelId="{87CEE332-2A4C-4D8C-8249-B0A437670A30}" type="pres">
      <dgm:prSet presAssocID="{5B2D0F41-6EAC-439C-9825-598602C4A14D}" presName="background3" presStyleLbl="node3" presStyleIdx="1" presStyleCnt="4"/>
      <dgm:spPr/>
      <dgm:t>
        <a:bodyPr/>
        <a:lstStyle/>
        <a:p>
          <a:endParaRPr lang="es-AR"/>
        </a:p>
      </dgm:t>
    </dgm:pt>
    <dgm:pt modelId="{0FDC06EC-7EAB-42EB-AB31-73E805548B4F}" type="pres">
      <dgm:prSet presAssocID="{5B2D0F41-6EAC-439C-9825-598602C4A14D}" presName="text3" presStyleLbl="fgAcc3" presStyleIdx="1" presStyleCnt="4" custScaleX="141093">
        <dgm:presLayoutVars>
          <dgm:chPref val="3"/>
        </dgm:presLayoutVars>
      </dgm:prSet>
      <dgm:spPr/>
      <dgm:t>
        <a:bodyPr/>
        <a:lstStyle/>
        <a:p>
          <a:endParaRPr lang="es-AR"/>
        </a:p>
      </dgm:t>
    </dgm:pt>
    <dgm:pt modelId="{084693A6-A2B9-496B-98B4-7CB87E6161A2}" type="pres">
      <dgm:prSet presAssocID="{5B2D0F41-6EAC-439C-9825-598602C4A14D}" presName="hierChild4" presStyleCnt="0"/>
      <dgm:spPr/>
      <dgm:t>
        <a:bodyPr/>
        <a:lstStyle/>
        <a:p>
          <a:endParaRPr lang="es-AR"/>
        </a:p>
      </dgm:t>
    </dgm:pt>
    <dgm:pt modelId="{DD08DDCF-F465-4EBC-976A-E8C6C08A9B02}" type="pres">
      <dgm:prSet presAssocID="{51ED4B74-E71C-4A7D-8102-7D6AEE7DD445}" presName="Name23" presStyleLbl="parChTrans1D4" presStyleIdx="2" presStyleCnt="6"/>
      <dgm:spPr/>
      <dgm:t>
        <a:bodyPr/>
        <a:lstStyle/>
        <a:p>
          <a:endParaRPr lang="es-AR"/>
        </a:p>
      </dgm:t>
    </dgm:pt>
    <dgm:pt modelId="{CC89E166-E1B4-465D-A02F-5822F4AA1982}" type="pres">
      <dgm:prSet presAssocID="{F0D26753-9E21-4DFB-BEA9-7403E57FB422}" presName="hierRoot4" presStyleCnt="0"/>
      <dgm:spPr/>
      <dgm:t>
        <a:bodyPr/>
        <a:lstStyle/>
        <a:p>
          <a:endParaRPr lang="es-AR"/>
        </a:p>
      </dgm:t>
    </dgm:pt>
    <dgm:pt modelId="{FD184560-824A-485C-8DC2-D80C3D6A0937}" type="pres">
      <dgm:prSet presAssocID="{F0D26753-9E21-4DFB-BEA9-7403E57FB422}" presName="composite4" presStyleCnt="0"/>
      <dgm:spPr/>
      <dgm:t>
        <a:bodyPr/>
        <a:lstStyle/>
        <a:p>
          <a:endParaRPr lang="es-AR"/>
        </a:p>
      </dgm:t>
    </dgm:pt>
    <dgm:pt modelId="{6F56AD38-F1D0-43A2-980D-EF06E194E81F}" type="pres">
      <dgm:prSet presAssocID="{F0D26753-9E21-4DFB-BEA9-7403E57FB422}" presName="background4" presStyleLbl="node4" presStyleIdx="2" presStyleCnt="6"/>
      <dgm:spPr/>
      <dgm:t>
        <a:bodyPr/>
        <a:lstStyle/>
        <a:p>
          <a:endParaRPr lang="es-AR"/>
        </a:p>
      </dgm:t>
    </dgm:pt>
    <dgm:pt modelId="{0BBCAF26-8FE3-436A-B465-79819EAC23BB}" type="pres">
      <dgm:prSet presAssocID="{F0D26753-9E21-4DFB-BEA9-7403E57FB422}" presName="text4" presStyleLbl="fgAcc4" presStyleIdx="2" presStyleCnt="6">
        <dgm:presLayoutVars>
          <dgm:chPref val="3"/>
        </dgm:presLayoutVars>
      </dgm:prSet>
      <dgm:spPr/>
      <dgm:t>
        <a:bodyPr/>
        <a:lstStyle/>
        <a:p>
          <a:endParaRPr lang="es-AR"/>
        </a:p>
      </dgm:t>
    </dgm:pt>
    <dgm:pt modelId="{4E8F1930-18AF-4627-802B-AC673FE47ACC}" type="pres">
      <dgm:prSet presAssocID="{F0D26753-9E21-4DFB-BEA9-7403E57FB422}" presName="hierChild5" presStyleCnt="0"/>
      <dgm:spPr/>
      <dgm:t>
        <a:bodyPr/>
        <a:lstStyle/>
        <a:p>
          <a:endParaRPr lang="es-AR"/>
        </a:p>
      </dgm:t>
    </dgm:pt>
    <dgm:pt modelId="{503472C3-04C9-4154-A058-7BD2F6DD0249}" type="pres">
      <dgm:prSet presAssocID="{0527676D-5E5A-4A2D-89C4-2DE2C199239E}" presName="Name23" presStyleLbl="parChTrans1D4" presStyleIdx="3" presStyleCnt="6"/>
      <dgm:spPr/>
      <dgm:t>
        <a:bodyPr/>
        <a:lstStyle/>
        <a:p>
          <a:endParaRPr lang="es-AR"/>
        </a:p>
      </dgm:t>
    </dgm:pt>
    <dgm:pt modelId="{FAF4F64A-360D-4B1B-8ABA-F74728FA5EF1}" type="pres">
      <dgm:prSet presAssocID="{15B85C19-3596-43BE-81A3-3666E3E4CFA7}" presName="hierRoot4" presStyleCnt="0"/>
      <dgm:spPr/>
    </dgm:pt>
    <dgm:pt modelId="{AD54C128-E566-4846-9067-AC45E22FA5F7}" type="pres">
      <dgm:prSet presAssocID="{15B85C19-3596-43BE-81A3-3666E3E4CFA7}" presName="composite4" presStyleCnt="0"/>
      <dgm:spPr/>
    </dgm:pt>
    <dgm:pt modelId="{40B7BCEE-78E3-4468-8BDD-44D14014625B}" type="pres">
      <dgm:prSet presAssocID="{15B85C19-3596-43BE-81A3-3666E3E4CFA7}" presName="background4" presStyleLbl="node4" presStyleIdx="3" presStyleCnt="6"/>
      <dgm:spPr/>
    </dgm:pt>
    <dgm:pt modelId="{822A84A5-FA63-4E00-81A1-B89FE0511793}" type="pres">
      <dgm:prSet presAssocID="{15B85C19-3596-43BE-81A3-3666E3E4CFA7}" presName="text4" presStyleLbl="fgAcc4" presStyleIdx="3" presStyleCnt="6" custScaleX="180723">
        <dgm:presLayoutVars>
          <dgm:chPref val="3"/>
        </dgm:presLayoutVars>
      </dgm:prSet>
      <dgm:spPr/>
      <dgm:t>
        <a:bodyPr/>
        <a:lstStyle/>
        <a:p>
          <a:endParaRPr lang="es-AR"/>
        </a:p>
      </dgm:t>
    </dgm:pt>
    <dgm:pt modelId="{A9941CF9-C597-4347-9EDB-CD8187194187}" type="pres">
      <dgm:prSet presAssocID="{15B85C19-3596-43BE-81A3-3666E3E4CFA7}" presName="hierChild5" presStyleCnt="0"/>
      <dgm:spPr/>
    </dgm:pt>
    <dgm:pt modelId="{433380C2-E23F-4430-81AF-A51A14A78869}" type="pres">
      <dgm:prSet presAssocID="{4F1E1CC2-C0BB-40CD-86D0-C6A345BE77EF}" presName="Name17" presStyleLbl="parChTrans1D3" presStyleIdx="2" presStyleCnt="4"/>
      <dgm:spPr/>
      <dgm:t>
        <a:bodyPr/>
        <a:lstStyle/>
        <a:p>
          <a:endParaRPr lang="es-AR"/>
        </a:p>
      </dgm:t>
    </dgm:pt>
    <dgm:pt modelId="{96E42F90-5D4C-4494-9879-68F737E74651}" type="pres">
      <dgm:prSet presAssocID="{3DDD915E-70FF-4C12-9143-83864FBBBEE8}" presName="hierRoot3" presStyleCnt="0"/>
      <dgm:spPr/>
    </dgm:pt>
    <dgm:pt modelId="{CCB953BC-A4FC-4581-8183-C34B23524CFE}" type="pres">
      <dgm:prSet presAssocID="{3DDD915E-70FF-4C12-9143-83864FBBBEE8}" presName="composite3" presStyleCnt="0"/>
      <dgm:spPr/>
    </dgm:pt>
    <dgm:pt modelId="{9BDCDD48-24BC-4802-BA70-F81976AD0F40}" type="pres">
      <dgm:prSet presAssocID="{3DDD915E-70FF-4C12-9143-83864FBBBEE8}" presName="background3" presStyleLbl="node3" presStyleIdx="2" presStyleCnt="4"/>
      <dgm:spPr/>
    </dgm:pt>
    <dgm:pt modelId="{F9BE2E8B-7869-4CF8-ACFD-CCE0A25847D4}" type="pres">
      <dgm:prSet presAssocID="{3DDD915E-70FF-4C12-9143-83864FBBBEE8}" presName="text3" presStyleLbl="fgAcc3" presStyleIdx="2" presStyleCnt="4" custScaleX="143299">
        <dgm:presLayoutVars>
          <dgm:chPref val="3"/>
        </dgm:presLayoutVars>
      </dgm:prSet>
      <dgm:spPr/>
      <dgm:t>
        <a:bodyPr/>
        <a:lstStyle/>
        <a:p>
          <a:endParaRPr lang="es-AR"/>
        </a:p>
      </dgm:t>
    </dgm:pt>
    <dgm:pt modelId="{D46FFBB0-87A9-45B3-ADFE-C8F3BB918B6E}" type="pres">
      <dgm:prSet presAssocID="{3DDD915E-70FF-4C12-9143-83864FBBBEE8}" presName="hierChild4" presStyleCnt="0"/>
      <dgm:spPr/>
    </dgm:pt>
    <dgm:pt modelId="{C06CD84B-5178-48E6-B1EF-22C00F5502C6}" type="pres">
      <dgm:prSet presAssocID="{7117F30C-C45D-45AC-AEA1-5B674021A5BF}" presName="Name23" presStyleLbl="parChTrans1D4" presStyleIdx="4" presStyleCnt="6"/>
      <dgm:spPr/>
      <dgm:t>
        <a:bodyPr/>
        <a:lstStyle/>
        <a:p>
          <a:endParaRPr lang="es-AR"/>
        </a:p>
      </dgm:t>
    </dgm:pt>
    <dgm:pt modelId="{8684188A-4A67-40AA-B248-2182D8E4B206}" type="pres">
      <dgm:prSet presAssocID="{0391AF70-100E-4269-8EFD-DB0FD4B9D905}" presName="hierRoot4" presStyleCnt="0"/>
      <dgm:spPr/>
    </dgm:pt>
    <dgm:pt modelId="{E55999CE-C11E-4A3D-99DB-331FA029F7AF}" type="pres">
      <dgm:prSet presAssocID="{0391AF70-100E-4269-8EFD-DB0FD4B9D905}" presName="composite4" presStyleCnt="0"/>
      <dgm:spPr/>
    </dgm:pt>
    <dgm:pt modelId="{9F43A150-1DB2-43FB-96ED-8F4A565C71BF}" type="pres">
      <dgm:prSet presAssocID="{0391AF70-100E-4269-8EFD-DB0FD4B9D905}" presName="background4" presStyleLbl="node4" presStyleIdx="4" presStyleCnt="6"/>
      <dgm:spPr/>
    </dgm:pt>
    <dgm:pt modelId="{189113FA-ED96-4CB7-BAD7-C25E0E39CD9E}" type="pres">
      <dgm:prSet presAssocID="{0391AF70-100E-4269-8EFD-DB0FD4B9D905}" presName="text4" presStyleLbl="fgAcc4" presStyleIdx="4" presStyleCnt="6">
        <dgm:presLayoutVars>
          <dgm:chPref val="3"/>
        </dgm:presLayoutVars>
      </dgm:prSet>
      <dgm:spPr/>
      <dgm:t>
        <a:bodyPr/>
        <a:lstStyle/>
        <a:p>
          <a:endParaRPr lang="es-AR"/>
        </a:p>
      </dgm:t>
    </dgm:pt>
    <dgm:pt modelId="{ABF6F124-9D74-4629-B840-F6777DE86A02}" type="pres">
      <dgm:prSet presAssocID="{0391AF70-100E-4269-8EFD-DB0FD4B9D905}" presName="hierChild5" presStyleCnt="0"/>
      <dgm:spPr/>
    </dgm:pt>
    <dgm:pt modelId="{DFCFD6BF-DFA4-430C-B5D2-0EAD91DFA2FC}" type="pres">
      <dgm:prSet presAssocID="{BFEFB055-7FF6-49D3-9604-268BDDA82844}" presName="Name23" presStyleLbl="parChTrans1D4" presStyleIdx="5" presStyleCnt="6"/>
      <dgm:spPr/>
      <dgm:t>
        <a:bodyPr/>
        <a:lstStyle/>
        <a:p>
          <a:endParaRPr lang="es-AR"/>
        </a:p>
      </dgm:t>
    </dgm:pt>
    <dgm:pt modelId="{5BDDEFC2-E19E-45C7-B09A-D45082A8AADA}" type="pres">
      <dgm:prSet presAssocID="{1559FD71-214B-4060-ACD0-BBC048756093}" presName="hierRoot4" presStyleCnt="0"/>
      <dgm:spPr/>
    </dgm:pt>
    <dgm:pt modelId="{83BD660F-9C4B-4C10-9062-9C44D9B18B50}" type="pres">
      <dgm:prSet presAssocID="{1559FD71-214B-4060-ACD0-BBC048756093}" presName="composite4" presStyleCnt="0"/>
      <dgm:spPr/>
    </dgm:pt>
    <dgm:pt modelId="{64336557-9F0C-4354-B265-0D8ED8D091FD}" type="pres">
      <dgm:prSet presAssocID="{1559FD71-214B-4060-ACD0-BBC048756093}" presName="background4" presStyleLbl="node4" presStyleIdx="5" presStyleCnt="6"/>
      <dgm:spPr/>
    </dgm:pt>
    <dgm:pt modelId="{AB22F3BA-757E-4DD4-8212-542438B30237}" type="pres">
      <dgm:prSet presAssocID="{1559FD71-214B-4060-ACD0-BBC048756093}" presName="text4" presStyleLbl="fgAcc4" presStyleIdx="5" presStyleCnt="6" custScaleX="179193">
        <dgm:presLayoutVars>
          <dgm:chPref val="3"/>
        </dgm:presLayoutVars>
      </dgm:prSet>
      <dgm:spPr/>
      <dgm:t>
        <a:bodyPr/>
        <a:lstStyle/>
        <a:p>
          <a:endParaRPr lang="es-AR"/>
        </a:p>
      </dgm:t>
    </dgm:pt>
    <dgm:pt modelId="{841E5D17-4886-44F6-A642-97A9730EF090}" type="pres">
      <dgm:prSet presAssocID="{1559FD71-214B-4060-ACD0-BBC048756093}" presName="hierChild5" presStyleCnt="0"/>
      <dgm:spPr/>
    </dgm:pt>
    <dgm:pt modelId="{2370D92A-B6F2-4C1B-B99C-38EBB75CE960}" type="pres">
      <dgm:prSet presAssocID="{C228C6CA-A8AA-4528-878F-BB6A2B0C3572}" presName="Name10" presStyleLbl="parChTrans1D2" presStyleIdx="1" presStyleCnt="2"/>
      <dgm:spPr/>
      <dgm:t>
        <a:bodyPr/>
        <a:lstStyle/>
        <a:p>
          <a:endParaRPr lang="es-AR"/>
        </a:p>
      </dgm:t>
    </dgm:pt>
    <dgm:pt modelId="{4E13C724-CD93-4E0A-BF1C-3B3F567F09E7}" type="pres">
      <dgm:prSet presAssocID="{6FC99175-FCFB-487A-8501-93798763F0B2}" presName="hierRoot2" presStyleCnt="0"/>
      <dgm:spPr/>
      <dgm:t>
        <a:bodyPr/>
        <a:lstStyle/>
        <a:p>
          <a:endParaRPr lang="es-AR"/>
        </a:p>
      </dgm:t>
    </dgm:pt>
    <dgm:pt modelId="{94518ECB-9226-4911-A0F3-3605097EA737}" type="pres">
      <dgm:prSet presAssocID="{6FC99175-FCFB-487A-8501-93798763F0B2}" presName="composite2" presStyleCnt="0"/>
      <dgm:spPr/>
      <dgm:t>
        <a:bodyPr/>
        <a:lstStyle/>
        <a:p>
          <a:endParaRPr lang="es-AR"/>
        </a:p>
      </dgm:t>
    </dgm:pt>
    <dgm:pt modelId="{C134B195-B139-4125-AFA9-DC6121874B60}" type="pres">
      <dgm:prSet presAssocID="{6FC99175-FCFB-487A-8501-93798763F0B2}" presName="background2" presStyleLbl="node2" presStyleIdx="1" presStyleCnt="2"/>
      <dgm:spPr/>
      <dgm:t>
        <a:bodyPr/>
        <a:lstStyle/>
        <a:p>
          <a:endParaRPr lang="es-AR"/>
        </a:p>
      </dgm:t>
    </dgm:pt>
    <dgm:pt modelId="{8321EE9E-E72C-494A-90C9-BA075085800C}" type="pres">
      <dgm:prSet presAssocID="{6FC99175-FCFB-487A-8501-93798763F0B2}" presName="text2" presStyleLbl="fgAcc2" presStyleIdx="1" presStyleCnt="2" custScaleX="241598">
        <dgm:presLayoutVars>
          <dgm:chPref val="3"/>
        </dgm:presLayoutVars>
      </dgm:prSet>
      <dgm:spPr/>
      <dgm:t>
        <a:bodyPr/>
        <a:lstStyle/>
        <a:p>
          <a:endParaRPr lang="es-AR"/>
        </a:p>
      </dgm:t>
    </dgm:pt>
    <dgm:pt modelId="{CE8CCEE1-EFC1-4C18-9E3D-B9A38812037B}" type="pres">
      <dgm:prSet presAssocID="{6FC99175-FCFB-487A-8501-93798763F0B2}" presName="hierChild3" presStyleCnt="0"/>
      <dgm:spPr/>
      <dgm:t>
        <a:bodyPr/>
        <a:lstStyle/>
        <a:p>
          <a:endParaRPr lang="es-AR"/>
        </a:p>
      </dgm:t>
    </dgm:pt>
    <dgm:pt modelId="{6B45EC0B-E86B-4007-B386-7FCA1A5C99A5}" type="pres">
      <dgm:prSet presAssocID="{AD7A005E-D098-459D-8352-2F23D270E106}" presName="Name17" presStyleLbl="parChTrans1D3" presStyleIdx="3" presStyleCnt="4"/>
      <dgm:spPr/>
      <dgm:t>
        <a:bodyPr/>
        <a:lstStyle/>
        <a:p>
          <a:endParaRPr lang="es-AR"/>
        </a:p>
      </dgm:t>
    </dgm:pt>
    <dgm:pt modelId="{8A8FB02C-B7D9-44FE-9F7B-16E402B2F487}" type="pres">
      <dgm:prSet presAssocID="{5F2EA559-FFD3-455D-9F3B-6B896BD69753}" presName="hierRoot3" presStyleCnt="0"/>
      <dgm:spPr/>
      <dgm:t>
        <a:bodyPr/>
        <a:lstStyle/>
        <a:p>
          <a:endParaRPr lang="es-AR"/>
        </a:p>
      </dgm:t>
    </dgm:pt>
    <dgm:pt modelId="{23BE2737-08FD-442D-B376-1E370682BB99}" type="pres">
      <dgm:prSet presAssocID="{5F2EA559-FFD3-455D-9F3B-6B896BD69753}" presName="composite3" presStyleCnt="0"/>
      <dgm:spPr/>
      <dgm:t>
        <a:bodyPr/>
        <a:lstStyle/>
        <a:p>
          <a:endParaRPr lang="es-AR"/>
        </a:p>
      </dgm:t>
    </dgm:pt>
    <dgm:pt modelId="{73F8A9A5-DDE7-46AF-ACF5-BDDBFD0688F7}" type="pres">
      <dgm:prSet presAssocID="{5F2EA559-FFD3-455D-9F3B-6B896BD69753}" presName="background3" presStyleLbl="node3" presStyleIdx="3" presStyleCnt="4"/>
      <dgm:spPr/>
      <dgm:t>
        <a:bodyPr/>
        <a:lstStyle/>
        <a:p>
          <a:endParaRPr lang="es-AR"/>
        </a:p>
      </dgm:t>
    </dgm:pt>
    <dgm:pt modelId="{DEF90A9F-CB14-4429-9CE4-5319FE41730D}" type="pres">
      <dgm:prSet presAssocID="{5F2EA559-FFD3-455D-9F3B-6B896BD69753}" presName="text3" presStyleLbl="fgAcc3" presStyleIdx="3" presStyleCnt="4" custScaleX="194644">
        <dgm:presLayoutVars>
          <dgm:chPref val="3"/>
        </dgm:presLayoutVars>
      </dgm:prSet>
      <dgm:spPr/>
      <dgm:t>
        <a:bodyPr/>
        <a:lstStyle/>
        <a:p>
          <a:endParaRPr lang="es-AR"/>
        </a:p>
      </dgm:t>
    </dgm:pt>
    <dgm:pt modelId="{570AFC55-E2FF-4600-A636-175329150EFF}" type="pres">
      <dgm:prSet presAssocID="{5F2EA559-FFD3-455D-9F3B-6B896BD69753}" presName="hierChild4" presStyleCnt="0"/>
      <dgm:spPr/>
      <dgm:t>
        <a:bodyPr/>
        <a:lstStyle/>
        <a:p>
          <a:endParaRPr lang="es-AR"/>
        </a:p>
      </dgm:t>
    </dgm:pt>
  </dgm:ptLst>
  <dgm:cxnLst>
    <dgm:cxn modelId="{B3E8888A-9152-4748-B608-A0CBF64D4D08}" srcId="{3DDD915E-70FF-4C12-9143-83864FBBBEE8}" destId="{0391AF70-100E-4269-8EFD-DB0FD4B9D905}" srcOrd="0" destOrd="0" parTransId="{7117F30C-C45D-45AC-AEA1-5B674021A5BF}" sibTransId="{7A04AC37-9580-418E-86FB-034A3C427C0F}"/>
    <dgm:cxn modelId="{726DD59F-44DB-43DF-917D-6645A0B1B811}" type="presOf" srcId="{AD6876FA-B268-442C-8E16-054EC29BE235}" destId="{C88F44CB-E4C2-49BD-A7B7-A583C82D210B}" srcOrd="0" destOrd="0" presId="urn:microsoft.com/office/officeart/2005/8/layout/hierarchy1"/>
    <dgm:cxn modelId="{BEF57E08-A947-40BD-B416-3ABF6586AD5E}" type="presOf" srcId="{A6F2B155-7DD4-4967-B828-A6BDD39E1F8A}" destId="{B6C3D241-54F5-46EE-8380-DC13BB315910}" srcOrd="0" destOrd="0" presId="urn:microsoft.com/office/officeart/2005/8/layout/hierarchy1"/>
    <dgm:cxn modelId="{4E9A8DDB-9B9A-4EFC-B41A-6118B4EDF664}" type="presOf" srcId="{4F1E1CC2-C0BB-40CD-86D0-C6A345BE77EF}" destId="{433380C2-E23F-4430-81AF-A51A14A78869}" srcOrd="0" destOrd="0" presId="urn:microsoft.com/office/officeart/2005/8/layout/hierarchy1"/>
    <dgm:cxn modelId="{2B84685C-8269-46C3-A885-3A6DD3F0D777}" srcId="{F0D26753-9E21-4DFB-BEA9-7403E57FB422}" destId="{15B85C19-3596-43BE-81A3-3666E3E4CFA7}" srcOrd="0" destOrd="0" parTransId="{0527676D-5E5A-4A2D-89C4-2DE2C199239E}" sibTransId="{AFE3CA05-0F74-43B1-B59F-4CF7C60F01FD}"/>
    <dgm:cxn modelId="{7C67EE1A-69C4-4A18-8A4D-77B1FFCA4F0E}" type="presOf" srcId="{3DDD915E-70FF-4C12-9143-83864FBBBEE8}" destId="{F9BE2E8B-7869-4CF8-ACFD-CCE0A25847D4}" srcOrd="0" destOrd="0" presId="urn:microsoft.com/office/officeart/2005/8/layout/hierarchy1"/>
    <dgm:cxn modelId="{77A5358B-35E0-4309-B8C1-68D75F795868}" type="presOf" srcId="{BFEFB055-7FF6-49D3-9604-268BDDA82844}" destId="{DFCFD6BF-DFA4-430C-B5D2-0EAD91DFA2FC}" srcOrd="0" destOrd="0" presId="urn:microsoft.com/office/officeart/2005/8/layout/hierarchy1"/>
    <dgm:cxn modelId="{776F9B8D-2B69-4CED-98E9-5BA951F6F936}" type="presOf" srcId="{7117F30C-C45D-45AC-AEA1-5B674021A5BF}" destId="{C06CD84B-5178-48E6-B1EF-22C00F5502C6}" srcOrd="0" destOrd="0" presId="urn:microsoft.com/office/officeart/2005/8/layout/hierarchy1"/>
    <dgm:cxn modelId="{904EBE9D-85C5-44DE-899C-166710A86B6C}" type="presOf" srcId="{1559FD71-214B-4060-ACD0-BBC048756093}" destId="{AB22F3BA-757E-4DD4-8212-542438B30237}" srcOrd="0" destOrd="0" presId="urn:microsoft.com/office/officeart/2005/8/layout/hierarchy1"/>
    <dgm:cxn modelId="{E5737282-B6B4-4936-A2FA-25F110EA6BFE}" srcId="{36FDC785-0D94-4754-91F4-5C1473F4FCCB}" destId="{6FC99175-FCFB-487A-8501-93798763F0B2}" srcOrd="1" destOrd="0" parTransId="{C228C6CA-A8AA-4528-878F-BB6A2B0C3572}" sibTransId="{E7CF2803-85FD-47DE-BE94-859B91054D34}"/>
    <dgm:cxn modelId="{C9443419-14B3-4D56-8C92-A91465742F47}" type="presOf" srcId="{0FDEFB20-B5F0-42C1-8935-6057B866814B}" destId="{36A40E6E-6612-4C69-81F8-AF67F996D6C8}" srcOrd="0" destOrd="0" presId="urn:microsoft.com/office/officeart/2005/8/layout/hierarchy1"/>
    <dgm:cxn modelId="{32BF1935-EE04-4E6D-B19D-65D8EDCA4E80}" srcId="{5B2D0F41-6EAC-439C-9825-598602C4A14D}" destId="{F0D26753-9E21-4DFB-BEA9-7403E57FB422}" srcOrd="0" destOrd="0" parTransId="{51ED4B74-E71C-4A7D-8102-7D6AEE7DD445}" sibTransId="{0CAA5877-D5FD-4EED-ADDB-94B91FCA03B3}"/>
    <dgm:cxn modelId="{A5DD0D68-EA71-4205-B2E4-33095150C751}" srcId="{0FDEFB20-B5F0-42C1-8935-6057B866814B}" destId="{47D9F46F-3351-48E8-8B0A-DF11F26BF43D}" srcOrd="0" destOrd="0" parTransId="{AD6876FA-B268-442C-8E16-054EC29BE235}" sibTransId="{6ACAB58E-2208-420A-AA3D-882B254C9136}"/>
    <dgm:cxn modelId="{6F9CC7DB-0091-44D4-8B93-1F40988F7451}" type="presOf" srcId="{0527676D-5E5A-4A2D-89C4-2DE2C199239E}" destId="{503472C3-04C9-4154-A058-7BD2F6DD0249}" srcOrd="0" destOrd="0" presId="urn:microsoft.com/office/officeart/2005/8/layout/hierarchy1"/>
    <dgm:cxn modelId="{C0E0569C-C725-4C46-B667-A98C6FEDE9EE}" type="presOf" srcId="{51ED4B74-E71C-4A7D-8102-7D6AEE7DD445}" destId="{DD08DDCF-F465-4EBC-976A-E8C6C08A9B02}" srcOrd="0" destOrd="0" presId="urn:microsoft.com/office/officeart/2005/8/layout/hierarchy1"/>
    <dgm:cxn modelId="{7875DCB4-5BB2-440F-9C9C-7EF7F45C7BB2}" srcId="{47D9F46F-3351-48E8-8B0A-DF11F26BF43D}" destId="{0CDA523F-3886-485D-8614-AEC33DEBD42A}" srcOrd="0" destOrd="0" parTransId="{900B6AB2-9759-4BFA-8754-E41F7060E4A3}" sibTransId="{2C514C97-FDBA-4D7B-8070-44BFC444154A}"/>
    <dgm:cxn modelId="{6321AF1F-5E1D-4F9C-BE62-CA1983C327B8}" type="presOf" srcId="{D1DE1B22-A77A-4D6D-9501-1208A99ACD71}" destId="{D7FCB86D-EAB0-47D3-BB55-DEE96651BDFB}" srcOrd="0" destOrd="0" presId="urn:microsoft.com/office/officeart/2005/8/layout/hierarchy1"/>
    <dgm:cxn modelId="{FA3A2747-F47F-4156-AA34-F6CE0F31D9BA}" srcId="{D8993A2C-2804-473B-89DB-0CFF7BE9C829}" destId="{36FDC785-0D94-4754-91F4-5C1473F4FCCB}" srcOrd="0" destOrd="0" parTransId="{F1DC11D0-128A-4DAC-98A0-FBE4349BB23D}" sibTransId="{F2B0EAD1-8F99-4DA7-92A8-7D08184DCC05}"/>
    <dgm:cxn modelId="{3C4E249E-66BA-46F2-9322-7212946B0217}" type="presOf" srcId="{0391AF70-100E-4269-8EFD-DB0FD4B9D905}" destId="{189113FA-ED96-4CB7-BAD7-C25E0E39CD9E}" srcOrd="0" destOrd="0" presId="urn:microsoft.com/office/officeart/2005/8/layout/hierarchy1"/>
    <dgm:cxn modelId="{C732A5CB-DCB6-451E-B4DE-799ADC7EBE87}" type="presOf" srcId="{15B85C19-3596-43BE-81A3-3666E3E4CFA7}" destId="{822A84A5-FA63-4E00-81A1-B89FE0511793}" srcOrd="0" destOrd="0" presId="urn:microsoft.com/office/officeart/2005/8/layout/hierarchy1"/>
    <dgm:cxn modelId="{86084B86-82DA-4EFB-9FCA-BB7855E94B7F}" srcId="{0391AF70-100E-4269-8EFD-DB0FD4B9D905}" destId="{1559FD71-214B-4060-ACD0-BBC048756093}" srcOrd="0" destOrd="0" parTransId="{BFEFB055-7FF6-49D3-9604-268BDDA82844}" sibTransId="{D4E02D91-AD68-4981-98B8-FE6D65B0EE26}"/>
    <dgm:cxn modelId="{2E30A75C-D27B-45A9-9A5E-867C35BA45A4}" type="presOf" srcId="{C228C6CA-A8AA-4528-878F-BB6A2B0C3572}" destId="{2370D92A-B6F2-4C1B-B99C-38EBB75CE960}" srcOrd="0" destOrd="0" presId="urn:microsoft.com/office/officeart/2005/8/layout/hierarchy1"/>
    <dgm:cxn modelId="{B8FA1989-221D-4C55-99D2-81DF26FDF7DD}" type="presOf" srcId="{D8993A2C-2804-473B-89DB-0CFF7BE9C829}" destId="{EEACCD17-F083-4CA7-ADC5-C32CEE3E4333}" srcOrd="0" destOrd="0" presId="urn:microsoft.com/office/officeart/2005/8/layout/hierarchy1"/>
    <dgm:cxn modelId="{C03C9C89-DC0C-446C-9040-75B4773A824B}" srcId="{36FDC785-0D94-4754-91F4-5C1473F4FCCB}" destId="{0FDEFB20-B5F0-42C1-8935-6057B866814B}" srcOrd="0" destOrd="0" parTransId="{C925660C-C03F-4247-BE2F-EFB0103A5FC7}" sibTransId="{779EF109-BA30-4741-84BE-A47DA841EF87}"/>
    <dgm:cxn modelId="{97BDB9B4-9141-405B-A835-BE9CDC2B5D9A}" type="presOf" srcId="{36FDC785-0D94-4754-91F4-5C1473F4FCCB}" destId="{F63A8430-A6D0-4E31-8D1E-357E5EFB3875}" srcOrd="0" destOrd="0" presId="urn:microsoft.com/office/officeart/2005/8/layout/hierarchy1"/>
    <dgm:cxn modelId="{7D1A1CD8-A6AD-4A87-A1E0-698DD03BF3A0}" srcId="{0CDA523F-3886-485D-8614-AEC33DEBD42A}" destId="{A6F2B155-7DD4-4967-B828-A6BDD39E1F8A}" srcOrd="0" destOrd="0" parTransId="{32BDD4B3-B983-40BD-B825-35DAC08847DE}" sibTransId="{C6014C4C-4289-4543-A57A-C6A5E9E6B228}"/>
    <dgm:cxn modelId="{D80D7E7B-B58D-42E2-B40A-B22EEC80F988}" srcId="{0FDEFB20-B5F0-42C1-8935-6057B866814B}" destId="{3DDD915E-70FF-4C12-9143-83864FBBBEE8}" srcOrd="2" destOrd="0" parTransId="{4F1E1CC2-C0BB-40CD-86D0-C6A345BE77EF}" sibTransId="{5AEBF5E6-04D0-4A2D-89FB-66BBC84CA111}"/>
    <dgm:cxn modelId="{075B5B88-A434-41B2-8034-171697DE919E}" type="presOf" srcId="{47D9F46F-3351-48E8-8B0A-DF11F26BF43D}" destId="{AE307FAB-C88F-41BE-BD55-D95F1A5C24C2}" srcOrd="0" destOrd="0" presId="urn:microsoft.com/office/officeart/2005/8/layout/hierarchy1"/>
    <dgm:cxn modelId="{B2D1AE6B-6397-4D5A-9A36-2DFC2EE8EF91}" srcId="{6FC99175-FCFB-487A-8501-93798763F0B2}" destId="{5F2EA559-FFD3-455D-9F3B-6B896BD69753}" srcOrd="0" destOrd="0" parTransId="{AD7A005E-D098-459D-8352-2F23D270E106}" sibTransId="{3B46A75B-9FE4-4E4C-AC7A-DE8FBA7FF8A2}"/>
    <dgm:cxn modelId="{4ADF8F1C-D1B6-4B5D-B009-1CE32C5B713E}" type="presOf" srcId="{C925660C-C03F-4247-BE2F-EFB0103A5FC7}" destId="{EAA323A3-79E7-457B-BECC-9D0E3D80CE0E}" srcOrd="0" destOrd="0" presId="urn:microsoft.com/office/officeart/2005/8/layout/hierarchy1"/>
    <dgm:cxn modelId="{5E2CEE69-DB59-41A2-9DAB-89ADC6287A8C}" type="presOf" srcId="{5F2EA559-FFD3-455D-9F3B-6B896BD69753}" destId="{DEF90A9F-CB14-4429-9CE4-5319FE41730D}" srcOrd="0" destOrd="0" presId="urn:microsoft.com/office/officeart/2005/8/layout/hierarchy1"/>
    <dgm:cxn modelId="{29D8C1C5-C519-403E-983D-58565F96A17D}" type="presOf" srcId="{F0D26753-9E21-4DFB-BEA9-7403E57FB422}" destId="{0BBCAF26-8FE3-436A-B465-79819EAC23BB}" srcOrd="0" destOrd="0" presId="urn:microsoft.com/office/officeart/2005/8/layout/hierarchy1"/>
    <dgm:cxn modelId="{AF82CC7C-9EA2-41F0-B88C-C0C87CDFFF06}" type="presOf" srcId="{900B6AB2-9759-4BFA-8754-E41F7060E4A3}" destId="{1523D8F2-A623-44EA-9C16-87452FF74BD6}" srcOrd="0" destOrd="0" presId="urn:microsoft.com/office/officeart/2005/8/layout/hierarchy1"/>
    <dgm:cxn modelId="{AA005F84-F77D-42FC-8041-817FA9B1ECE0}" type="presOf" srcId="{AD7A005E-D098-459D-8352-2F23D270E106}" destId="{6B45EC0B-E86B-4007-B386-7FCA1A5C99A5}" srcOrd="0" destOrd="0" presId="urn:microsoft.com/office/officeart/2005/8/layout/hierarchy1"/>
    <dgm:cxn modelId="{9A1866FA-FFB0-4B8E-B584-8C956D1497DD}" type="presOf" srcId="{5B2D0F41-6EAC-439C-9825-598602C4A14D}" destId="{0FDC06EC-7EAB-42EB-AB31-73E805548B4F}" srcOrd="0" destOrd="0" presId="urn:microsoft.com/office/officeart/2005/8/layout/hierarchy1"/>
    <dgm:cxn modelId="{768D808D-DBD8-4137-9800-09AFB04E3C89}" srcId="{0FDEFB20-B5F0-42C1-8935-6057B866814B}" destId="{5B2D0F41-6EAC-439C-9825-598602C4A14D}" srcOrd="1" destOrd="0" parTransId="{D1DE1B22-A77A-4D6D-9501-1208A99ACD71}" sibTransId="{A467925E-BF1C-4B67-998E-85F06F017190}"/>
    <dgm:cxn modelId="{16B8551C-D696-44CE-B0B1-3C279AAD65DB}" type="presOf" srcId="{32BDD4B3-B983-40BD-B825-35DAC08847DE}" destId="{08B08C27-49FF-436B-B207-7EEAE1A0B4B9}" srcOrd="0" destOrd="0" presId="urn:microsoft.com/office/officeart/2005/8/layout/hierarchy1"/>
    <dgm:cxn modelId="{A6192199-C5E2-4C35-A756-32D690B1C5E8}" type="presOf" srcId="{6FC99175-FCFB-487A-8501-93798763F0B2}" destId="{8321EE9E-E72C-494A-90C9-BA075085800C}" srcOrd="0" destOrd="0" presId="urn:microsoft.com/office/officeart/2005/8/layout/hierarchy1"/>
    <dgm:cxn modelId="{31FFADED-91E4-407E-8B30-2E257791C391}" type="presOf" srcId="{0CDA523F-3886-485D-8614-AEC33DEBD42A}" destId="{E6B9B091-447E-44E8-BA84-18FC5F2A80B2}" srcOrd="0" destOrd="0" presId="urn:microsoft.com/office/officeart/2005/8/layout/hierarchy1"/>
    <dgm:cxn modelId="{9A65F8A9-198E-4090-91CA-DC3EF092FA2A}" type="presParOf" srcId="{EEACCD17-F083-4CA7-ADC5-C32CEE3E4333}" destId="{9AA19EDE-D62C-4945-9B9D-C4750B89DD64}" srcOrd="0" destOrd="0" presId="urn:microsoft.com/office/officeart/2005/8/layout/hierarchy1"/>
    <dgm:cxn modelId="{B4F25371-C0CC-4E73-A91B-320BA443D09A}" type="presParOf" srcId="{9AA19EDE-D62C-4945-9B9D-C4750B89DD64}" destId="{33A5C98E-D3E6-4CD0-9757-1B5462E67F32}" srcOrd="0" destOrd="0" presId="urn:microsoft.com/office/officeart/2005/8/layout/hierarchy1"/>
    <dgm:cxn modelId="{8EF6BCA7-68C0-41D6-AF1E-68A0A5C2EDD8}" type="presParOf" srcId="{33A5C98E-D3E6-4CD0-9757-1B5462E67F32}" destId="{2F42DA10-A5A0-4113-B66E-5F37532DBEB7}" srcOrd="0" destOrd="0" presId="urn:microsoft.com/office/officeart/2005/8/layout/hierarchy1"/>
    <dgm:cxn modelId="{39C6EB99-6ABD-4734-B9C5-03710470EE2D}" type="presParOf" srcId="{33A5C98E-D3E6-4CD0-9757-1B5462E67F32}" destId="{F63A8430-A6D0-4E31-8D1E-357E5EFB3875}" srcOrd="1" destOrd="0" presId="urn:microsoft.com/office/officeart/2005/8/layout/hierarchy1"/>
    <dgm:cxn modelId="{CA2E449F-F602-4DAA-9363-9B137ADFD11E}" type="presParOf" srcId="{9AA19EDE-D62C-4945-9B9D-C4750B89DD64}" destId="{A925B955-4CC9-4135-A122-2338ED2468EF}" srcOrd="1" destOrd="0" presId="urn:microsoft.com/office/officeart/2005/8/layout/hierarchy1"/>
    <dgm:cxn modelId="{813107EF-D748-478A-B8B3-043BC3E16FB7}" type="presParOf" srcId="{A925B955-4CC9-4135-A122-2338ED2468EF}" destId="{EAA323A3-79E7-457B-BECC-9D0E3D80CE0E}" srcOrd="0" destOrd="0" presId="urn:microsoft.com/office/officeart/2005/8/layout/hierarchy1"/>
    <dgm:cxn modelId="{6145F6CC-BB9D-4A18-A584-6820285EEA32}" type="presParOf" srcId="{A925B955-4CC9-4135-A122-2338ED2468EF}" destId="{0BCC7238-E25B-48C1-A5CF-3CF862D141EF}" srcOrd="1" destOrd="0" presId="urn:microsoft.com/office/officeart/2005/8/layout/hierarchy1"/>
    <dgm:cxn modelId="{2C0EF222-E883-420F-8BBF-C26EDCA5CA16}" type="presParOf" srcId="{0BCC7238-E25B-48C1-A5CF-3CF862D141EF}" destId="{A290B563-B754-4C50-9258-B33C79C957FC}" srcOrd="0" destOrd="0" presId="urn:microsoft.com/office/officeart/2005/8/layout/hierarchy1"/>
    <dgm:cxn modelId="{7D164B8D-4743-4A70-9144-8D0FCCD1766F}" type="presParOf" srcId="{A290B563-B754-4C50-9258-B33C79C957FC}" destId="{402FBCE6-9A59-4674-8D0C-00CEB502DF9E}" srcOrd="0" destOrd="0" presId="urn:microsoft.com/office/officeart/2005/8/layout/hierarchy1"/>
    <dgm:cxn modelId="{AD6F3F28-CA9D-4EB5-8A26-14C8B4F73B5C}" type="presParOf" srcId="{A290B563-B754-4C50-9258-B33C79C957FC}" destId="{36A40E6E-6612-4C69-81F8-AF67F996D6C8}" srcOrd="1" destOrd="0" presId="urn:microsoft.com/office/officeart/2005/8/layout/hierarchy1"/>
    <dgm:cxn modelId="{10467788-291F-426D-AB21-7A0558439158}" type="presParOf" srcId="{0BCC7238-E25B-48C1-A5CF-3CF862D141EF}" destId="{41E9E5F3-1CEC-4CCA-A19F-94F0329D92E7}" srcOrd="1" destOrd="0" presId="urn:microsoft.com/office/officeart/2005/8/layout/hierarchy1"/>
    <dgm:cxn modelId="{43D2A73B-3137-496F-A1C7-B30526107DD9}" type="presParOf" srcId="{41E9E5F3-1CEC-4CCA-A19F-94F0329D92E7}" destId="{C88F44CB-E4C2-49BD-A7B7-A583C82D210B}" srcOrd="0" destOrd="0" presId="urn:microsoft.com/office/officeart/2005/8/layout/hierarchy1"/>
    <dgm:cxn modelId="{7FC4C6E5-6C2F-4202-B236-B0F933518F80}" type="presParOf" srcId="{41E9E5F3-1CEC-4CCA-A19F-94F0329D92E7}" destId="{D31617CA-F69B-4BD4-AC0D-99B10411D331}" srcOrd="1" destOrd="0" presId="urn:microsoft.com/office/officeart/2005/8/layout/hierarchy1"/>
    <dgm:cxn modelId="{DFE87652-CCA3-4BF1-B1C5-FF29CD4F17B5}" type="presParOf" srcId="{D31617CA-F69B-4BD4-AC0D-99B10411D331}" destId="{46C85545-6C83-4217-A59E-4CD501DBAD81}" srcOrd="0" destOrd="0" presId="urn:microsoft.com/office/officeart/2005/8/layout/hierarchy1"/>
    <dgm:cxn modelId="{34FC0724-B7E9-4B40-97DA-B67B8BE4C127}" type="presParOf" srcId="{46C85545-6C83-4217-A59E-4CD501DBAD81}" destId="{38B2F504-4FE7-4910-9750-E0E5944AEE91}" srcOrd="0" destOrd="0" presId="urn:microsoft.com/office/officeart/2005/8/layout/hierarchy1"/>
    <dgm:cxn modelId="{CDCD25FD-7C7D-4D94-9ED3-F2C2BCA44D38}" type="presParOf" srcId="{46C85545-6C83-4217-A59E-4CD501DBAD81}" destId="{AE307FAB-C88F-41BE-BD55-D95F1A5C24C2}" srcOrd="1" destOrd="0" presId="urn:microsoft.com/office/officeart/2005/8/layout/hierarchy1"/>
    <dgm:cxn modelId="{CF825A1E-E8B9-47D7-AB34-6F05797A1249}" type="presParOf" srcId="{D31617CA-F69B-4BD4-AC0D-99B10411D331}" destId="{8E87CF7F-FD07-469D-A22F-C7F3F759EE29}" srcOrd="1" destOrd="0" presId="urn:microsoft.com/office/officeart/2005/8/layout/hierarchy1"/>
    <dgm:cxn modelId="{4CF69BBD-7ADE-461F-BCC5-B614EE9E0583}" type="presParOf" srcId="{8E87CF7F-FD07-469D-A22F-C7F3F759EE29}" destId="{1523D8F2-A623-44EA-9C16-87452FF74BD6}" srcOrd="0" destOrd="0" presId="urn:microsoft.com/office/officeart/2005/8/layout/hierarchy1"/>
    <dgm:cxn modelId="{948703FB-D681-43D2-96A4-676FD5AD166E}" type="presParOf" srcId="{8E87CF7F-FD07-469D-A22F-C7F3F759EE29}" destId="{397615E1-D69A-4849-AFDE-1213FF2B49D1}" srcOrd="1" destOrd="0" presId="urn:microsoft.com/office/officeart/2005/8/layout/hierarchy1"/>
    <dgm:cxn modelId="{9EADD3F6-CB09-439A-98BF-5918D7580625}" type="presParOf" srcId="{397615E1-D69A-4849-AFDE-1213FF2B49D1}" destId="{F7D46493-077A-46A7-A6F5-C2B41E82BFF7}" srcOrd="0" destOrd="0" presId="urn:microsoft.com/office/officeart/2005/8/layout/hierarchy1"/>
    <dgm:cxn modelId="{7D8445DF-C4BB-48BD-A441-21642FF9204A}" type="presParOf" srcId="{F7D46493-077A-46A7-A6F5-C2B41E82BFF7}" destId="{523C932A-674E-43BD-8CF0-1E4E8F38C7EC}" srcOrd="0" destOrd="0" presId="urn:microsoft.com/office/officeart/2005/8/layout/hierarchy1"/>
    <dgm:cxn modelId="{2695D373-A4D7-42E1-B2EC-93C962DA7D18}" type="presParOf" srcId="{F7D46493-077A-46A7-A6F5-C2B41E82BFF7}" destId="{E6B9B091-447E-44E8-BA84-18FC5F2A80B2}" srcOrd="1" destOrd="0" presId="urn:microsoft.com/office/officeart/2005/8/layout/hierarchy1"/>
    <dgm:cxn modelId="{28A38DB6-89B9-48A7-93D7-1B6601563597}" type="presParOf" srcId="{397615E1-D69A-4849-AFDE-1213FF2B49D1}" destId="{C242E88E-CE8B-4803-AEFF-52340893EB65}" srcOrd="1" destOrd="0" presId="urn:microsoft.com/office/officeart/2005/8/layout/hierarchy1"/>
    <dgm:cxn modelId="{6A750BAB-D57B-49B4-BBC8-D029F1D2DD2C}" type="presParOf" srcId="{C242E88E-CE8B-4803-AEFF-52340893EB65}" destId="{08B08C27-49FF-436B-B207-7EEAE1A0B4B9}" srcOrd="0" destOrd="0" presId="urn:microsoft.com/office/officeart/2005/8/layout/hierarchy1"/>
    <dgm:cxn modelId="{E4DFE418-2BA5-465E-A3C0-8C8A4FBCB89C}" type="presParOf" srcId="{C242E88E-CE8B-4803-AEFF-52340893EB65}" destId="{B0ED952A-084D-4DD9-9947-36648965E848}" srcOrd="1" destOrd="0" presId="urn:microsoft.com/office/officeart/2005/8/layout/hierarchy1"/>
    <dgm:cxn modelId="{5116F1F8-8017-4A83-8405-86DFF1278718}" type="presParOf" srcId="{B0ED952A-084D-4DD9-9947-36648965E848}" destId="{7B6187F5-CC7B-4424-870E-769E6AC337F0}" srcOrd="0" destOrd="0" presId="urn:microsoft.com/office/officeart/2005/8/layout/hierarchy1"/>
    <dgm:cxn modelId="{E3A4DAC4-4BB8-4CF6-B931-4B0EFEEC306F}" type="presParOf" srcId="{7B6187F5-CC7B-4424-870E-769E6AC337F0}" destId="{1319CC4C-5B41-4EEE-8BE1-35A5208DD929}" srcOrd="0" destOrd="0" presId="urn:microsoft.com/office/officeart/2005/8/layout/hierarchy1"/>
    <dgm:cxn modelId="{48471533-FEEB-416F-B4B2-3F942FDBCCCB}" type="presParOf" srcId="{7B6187F5-CC7B-4424-870E-769E6AC337F0}" destId="{B6C3D241-54F5-46EE-8380-DC13BB315910}" srcOrd="1" destOrd="0" presId="urn:microsoft.com/office/officeart/2005/8/layout/hierarchy1"/>
    <dgm:cxn modelId="{BE34906B-4277-44D1-85C7-121A5E50DE0F}" type="presParOf" srcId="{B0ED952A-084D-4DD9-9947-36648965E848}" destId="{FE7FBFA8-2460-4AE4-B3E1-812869FF02A2}" srcOrd="1" destOrd="0" presId="urn:microsoft.com/office/officeart/2005/8/layout/hierarchy1"/>
    <dgm:cxn modelId="{669C4EFF-C9F7-4B1B-AE7C-211A62753E21}" type="presParOf" srcId="{41E9E5F3-1CEC-4CCA-A19F-94F0329D92E7}" destId="{D7FCB86D-EAB0-47D3-BB55-DEE96651BDFB}" srcOrd="2" destOrd="0" presId="urn:microsoft.com/office/officeart/2005/8/layout/hierarchy1"/>
    <dgm:cxn modelId="{D50E30A8-B3FF-4BA6-BC7C-2DEA9BF11839}" type="presParOf" srcId="{41E9E5F3-1CEC-4CCA-A19F-94F0329D92E7}" destId="{C9A4EE83-C8CC-4FBF-A2B0-4EAE786670A4}" srcOrd="3" destOrd="0" presId="urn:microsoft.com/office/officeart/2005/8/layout/hierarchy1"/>
    <dgm:cxn modelId="{55DEC0EE-7292-4533-BEAE-50564C3301D7}" type="presParOf" srcId="{C9A4EE83-C8CC-4FBF-A2B0-4EAE786670A4}" destId="{A111D28D-A212-4FD0-AE44-CC0B33D6D062}" srcOrd="0" destOrd="0" presId="urn:microsoft.com/office/officeart/2005/8/layout/hierarchy1"/>
    <dgm:cxn modelId="{8ABA7378-4390-4DF9-8C51-327F7FDA17D4}" type="presParOf" srcId="{A111D28D-A212-4FD0-AE44-CC0B33D6D062}" destId="{87CEE332-2A4C-4D8C-8249-B0A437670A30}" srcOrd="0" destOrd="0" presId="urn:microsoft.com/office/officeart/2005/8/layout/hierarchy1"/>
    <dgm:cxn modelId="{C3242E6E-F8E0-4611-BBB0-CA51FFC5668D}" type="presParOf" srcId="{A111D28D-A212-4FD0-AE44-CC0B33D6D062}" destId="{0FDC06EC-7EAB-42EB-AB31-73E805548B4F}" srcOrd="1" destOrd="0" presId="urn:microsoft.com/office/officeart/2005/8/layout/hierarchy1"/>
    <dgm:cxn modelId="{388B2A3A-D651-425C-BD02-1673BFF64145}" type="presParOf" srcId="{C9A4EE83-C8CC-4FBF-A2B0-4EAE786670A4}" destId="{084693A6-A2B9-496B-98B4-7CB87E6161A2}" srcOrd="1" destOrd="0" presId="urn:microsoft.com/office/officeart/2005/8/layout/hierarchy1"/>
    <dgm:cxn modelId="{A9FF5549-1D67-427E-9393-0783C00F7A25}" type="presParOf" srcId="{084693A6-A2B9-496B-98B4-7CB87E6161A2}" destId="{DD08DDCF-F465-4EBC-976A-E8C6C08A9B02}" srcOrd="0" destOrd="0" presId="urn:microsoft.com/office/officeart/2005/8/layout/hierarchy1"/>
    <dgm:cxn modelId="{6A82F56E-F489-47DA-8FB9-EC5B165DF622}" type="presParOf" srcId="{084693A6-A2B9-496B-98B4-7CB87E6161A2}" destId="{CC89E166-E1B4-465D-A02F-5822F4AA1982}" srcOrd="1" destOrd="0" presId="urn:microsoft.com/office/officeart/2005/8/layout/hierarchy1"/>
    <dgm:cxn modelId="{0E2550E0-E390-43A6-85C4-684DA12E3C5A}" type="presParOf" srcId="{CC89E166-E1B4-465D-A02F-5822F4AA1982}" destId="{FD184560-824A-485C-8DC2-D80C3D6A0937}" srcOrd="0" destOrd="0" presId="urn:microsoft.com/office/officeart/2005/8/layout/hierarchy1"/>
    <dgm:cxn modelId="{EADEE38E-727F-4DCD-89D0-403E775B9A67}" type="presParOf" srcId="{FD184560-824A-485C-8DC2-D80C3D6A0937}" destId="{6F56AD38-F1D0-43A2-980D-EF06E194E81F}" srcOrd="0" destOrd="0" presId="urn:microsoft.com/office/officeart/2005/8/layout/hierarchy1"/>
    <dgm:cxn modelId="{B1EBCA45-213D-48C7-91BA-312C7AF2A04B}" type="presParOf" srcId="{FD184560-824A-485C-8DC2-D80C3D6A0937}" destId="{0BBCAF26-8FE3-436A-B465-79819EAC23BB}" srcOrd="1" destOrd="0" presId="urn:microsoft.com/office/officeart/2005/8/layout/hierarchy1"/>
    <dgm:cxn modelId="{CEAED102-DFC3-41D7-9F4A-665D50DE89FD}" type="presParOf" srcId="{CC89E166-E1B4-465D-A02F-5822F4AA1982}" destId="{4E8F1930-18AF-4627-802B-AC673FE47ACC}" srcOrd="1" destOrd="0" presId="urn:microsoft.com/office/officeart/2005/8/layout/hierarchy1"/>
    <dgm:cxn modelId="{1A0E102B-DE06-424F-B1A5-8C77B8D3A446}" type="presParOf" srcId="{4E8F1930-18AF-4627-802B-AC673FE47ACC}" destId="{503472C3-04C9-4154-A058-7BD2F6DD0249}" srcOrd="0" destOrd="0" presId="urn:microsoft.com/office/officeart/2005/8/layout/hierarchy1"/>
    <dgm:cxn modelId="{3518E209-2BD7-459D-B347-23BDFB431618}" type="presParOf" srcId="{4E8F1930-18AF-4627-802B-AC673FE47ACC}" destId="{FAF4F64A-360D-4B1B-8ABA-F74728FA5EF1}" srcOrd="1" destOrd="0" presId="urn:microsoft.com/office/officeart/2005/8/layout/hierarchy1"/>
    <dgm:cxn modelId="{64CE57FE-6276-4754-8994-F58DC223FA56}" type="presParOf" srcId="{FAF4F64A-360D-4B1B-8ABA-F74728FA5EF1}" destId="{AD54C128-E566-4846-9067-AC45E22FA5F7}" srcOrd="0" destOrd="0" presId="urn:microsoft.com/office/officeart/2005/8/layout/hierarchy1"/>
    <dgm:cxn modelId="{C768BB17-47CF-48A6-A0DD-13B7B309BFD0}" type="presParOf" srcId="{AD54C128-E566-4846-9067-AC45E22FA5F7}" destId="{40B7BCEE-78E3-4468-8BDD-44D14014625B}" srcOrd="0" destOrd="0" presId="urn:microsoft.com/office/officeart/2005/8/layout/hierarchy1"/>
    <dgm:cxn modelId="{25159177-1BC3-4EDC-BFD7-164714721825}" type="presParOf" srcId="{AD54C128-E566-4846-9067-AC45E22FA5F7}" destId="{822A84A5-FA63-4E00-81A1-B89FE0511793}" srcOrd="1" destOrd="0" presId="urn:microsoft.com/office/officeart/2005/8/layout/hierarchy1"/>
    <dgm:cxn modelId="{CED2756E-17AA-4FCD-B5AD-951283631DFC}" type="presParOf" srcId="{FAF4F64A-360D-4B1B-8ABA-F74728FA5EF1}" destId="{A9941CF9-C597-4347-9EDB-CD8187194187}" srcOrd="1" destOrd="0" presId="urn:microsoft.com/office/officeart/2005/8/layout/hierarchy1"/>
    <dgm:cxn modelId="{83DE5E2B-D95E-4476-8C30-F562C5E1C602}" type="presParOf" srcId="{41E9E5F3-1CEC-4CCA-A19F-94F0329D92E7}" destId="{433380C2-E23F-4430-81AF-A51A14A78869}" srcOrd="4" destOrd="0" presId="urn:microsoft.com/office/officeart/2005/8/layout/hierarchy1"/>
    <dgm:cxn modelId="{02886BFD-5228-4299-A5D2-DBB9CCCD7B52}" type="presParOf" srcId="{41E9E5F3-1CEC-4CCA-A19F-94F0329D92E7}" destId="{96E42F90-5D4C-4494-9879-68F737E74651}" srcOrd="5" destOrd="0" presId="urn:microsoft.com/office/officeart/2005/8/layout/hierarchy1"/>
    <dgm:cxn modelId="{04ED365C-A180-49DE-9729-BAFDF7C87EB0}" type="presParOf" srcId="{96E42F90-5D4C-4494-9879-68F737E74651}" destId="{CCB953BC-A4FC-4581-8183-C34B23524CFE}" srcOrd="0" destOrd="0" presId="urn:microsoft.com/office/officeart/2005/8/layout/hierarchy1"/>
    <dgm:cxn modelId="{60777C22-7121-4289-8290-234D0B4D0024}" type="presParOf" srcId="{CCB953BC-A4FC-4581-8183-C34B23524CFE}" destId="{9BDCDD48-24BC-4802-BA70-F81976AD0F40}" srcOrd="0" destOrd="0" presId="urn:microsoft.com/office/officeart/2005/8/layout/hierarchy1"/>
    <dgm:cxn modelId="{A8F4B1E7-BDE5-4BA5-BE88-B803B430EF95}" type="presParOf" srcId="{CCB953BC-A4FC-4581-8183-C34B23524CFE}" destId="{F9BE2E8B-7869-4CF8-ACFD-CCE0A25847D4}" srcOrd="1" destOrd="0" presId="urn:microsoft.com/office/officeart/2005/8/layout/hierarchy1"/>
    <dgm:cxn modelId="{DC0025B4-FAF7-4789-BE4B-285B618D6375}" type="presParOf" srcId="{96E42F90-5D4C-4494-9879-68F737E74651}" destId="{D46FFBB0-87A9-45B3-ADFE-C8F3BB918B6E}" srcOrd="1" destOrd="0" presId="urn:microsoft.com/office/officeart/2005/8/layout/hierarchy1"/>
    <dgm:cxn modelId="{20D5F832-CBB8-411B-8F9A-E8013200CB6B}" type="presParOf" srcId="{D46FFBB0-87A9-45B3-ADFE-C8F3BB918B6E}" destId="{C06CD84B-5178-48E6-B1EF-22C00F5502C6}" srcOrd="0" destOrd="0" presId="urn:microsoft.com/office/officeart/2005/8/layout/hierarchy1"/>
    <dgm:cxn modelId="{6308521E-59F5-4DFC-923F-95E076F53ED1}" type="presParOf" srcId="{D46FFBB0-87A9-45B3-ADFE-C8F3BB918B6E}" destId="{8684188A-4A67-40AA-B248-2182D8E4B206}" srcOrd="1" destOrd="0" presId="urn:microsoft.com/office/officeart/2005/8/layout/hierarchy1"/>
    <dgm:cxn modelId="{9A8A5209-5EF3-46CA-AC6B-5372B83FC235}" type="presParOf" srcId="{8684188A-4A67-40AA-B248-2182D8E4B206}" destId="{E55999CE-C11E-4A3D-99DB-331FA029F7AF}" srcOrd="0" destOrd="0" presId="urn:microsoft.com/office/officeart/2005/8/layout/hierarchy1"/>
    <dgm:cxn modelId="{16BA595E-46CE-4009-B601-F3E35D3BD395}" type="presParOf" srcId="{E55999CE-C11E-4A3D-99DB-331FA029F7AF}" destId="{9F43A150-1DB2-43FB-96ED-8F4A565C71BF}" srcOrd="0" destOrd="0" presId="urn:microsoft.com/office/officeart/2005/8/layout/hierarchy1"/>
    <dgm:cxn modelId="{8A9EE1B2-9C36-423F-B988-164FA7430709}" type="presParOf" srcId="{E55999CE-C11E-4A3D-99DB-331FA029F7AF}" destId="{189113FA-ED96-4CB7-BAD7-C25E0E39CD9E}" srcOrd="1" destOrd="0" presId="urn:microsoft.com/office/officeart/2005/8/layout/hierarchy1"/>
    <dgm:cxn modelId="{A756C622-1A22-40AA-98A1-ED2E9918E9DD}" type="presParOf" srcId="{8684188A-4A67-40AA-B248-2182D8E4B206}" destId="{ABF6F124-9D74-4629-B840-F6777DE86A02}" srcOrd="1" destOrd="0" presId="urn:microsoft.com/office/officeart/2005/8/layout/hierarchy1"/>
    <dgm:cxn modelId="{C0504CB9-FC08-4967-9BAD-9BEDB84AFC5A}" type="presParOf" srcId="{ABF6F124-9D74-4629-B840-F6777DE86A02}" destId="{DFCFD6BF-DFA4-430C-B5D2-0EAD91DFA2FC}" srcOrd="0" destOrd="0" presId="urn:microsoft.com/office/officeart/2005/8/layout/hierarchy1"/>
    <dgm:cxn modelId="{995F8027-15FA-45A9-98D7-768346432872}" type="presParOf" srcId="{ABF6F124-9D74-4629-B840-F6777DE86A02}" destId="{5BDDEFC2-E19E-45C7-B09A-D45082A8AADA}" srcOrd="1" destOrd="0" presId="urn:microsoft.com/office/officeart/2005/8/layout/hierarchy1"/>
    <dgm:cxn modelId="{9658EB51-71D7-4082-99F6-DAD29BD884FB}" type="presParOf" srcId="{5BDDEFC2-E19E-45C7-B09A-D45082A8AADA}" destId="{83BD660F-9C4B-4C10-9062-9C44D9B18B50}" srcOrd="0" destOrd="0" presId="urn:microsoft.com/office/officeart/2005/8/layout/hierarchy1"/>
    <dgm:cxn modelId="{AB1A39AC-6553-463B-9558-360243397BD3}" type="presParOf" srcId="{83BD660F-9C4B-4C10-9062-9C44D9B18B50}" destId="{64336557-9F0C-4354-B265-0D8ED8D091FD}" srcOrd="0" destOrd="0" presId="urn:microsoft.com/office/officeart/2005/8/layout/hierarchy1"/>
    <dgm:cxn modelId="{83E871AF-4393-4C25-8FE3-7EF12F4AEEFB}" type="presParOf" srcId="{83BD660F-9C4B-4C10-9062-9C44D9B18B50}" destId="{AB22F3BA-757E-4DD4-8212-542438B30237}" srcOrd="1" destOrd="0" presId="urn:microsoft.com/office/officeart/2005/8/layout/hierarchy1"/>
    <dgm:cxn modelId="{C9DD3B66-3594-4108-8218-3DB17F3C05E9}" type="presParOf" srcId="{5BDDEFC2-E19E-45C7-B09A-D45082A8AADA}" destId="{841E5D17-4886-44F6-A642-97A9730EF090}" srcOrd="1" destOrd="0" presId="urn:microsoft.com/office/officeart/2005/8/layout/hierarchy1"/>
    <dgm:cxn modelId="{88F0B400-A845-4762-9B44-12ECCE4763AE}" type="presParOf" srcId="{A925B955-4CC9-4135-A122-2338ED2468EF}" destId="{2370D92A-B6F2-4C1B-B99C-38EBB75CE960}" srcOrd="2" destOrd="0" presId="urn:microsoft.com/office/officeart/2005/8/layout/hierarchy1"/>
    <dgm:cxn modelId="{E6197461-9568-41FF-BDED-10F8EF3A468D}" type="presParOf" srcId="{A925B955-4CC9-4135-A122-2338ED2468EF}" destId="{4E13C724-CD93-4E0A-BF1C-3B3F567F09E7}" srcOrd="3" destOrd="0" presId="urn:microsoft.com/office/officeart/2005/8/layout/hierarchy1"/>
    <dgm:cxn modelId="{1684598D-F12D-495F-91A0-FCCB53432187}" type="presParOf" srcId="{4E13C724-CD93-4E0A-BF1C-3B3F567F09E7}" destId="{94518ECB-9226-4911-A0F3-3605097EA737}" srcOrd="0" destOrd="0" presId="urn:microsoft.com/office/officeart/2005/8/layout/hierarchy1"/>
    <dgm:cxn modelId="{A6FAA38D-673F-4EC3-BB2F-B7055E2EA0C2}" type="presParOf" srcId="{94518ECB-9226-4911-A0F3-3605097EA737}" destId="{C134B195-B139-4125-AFA9-DC6121874B60}" srcOrd="0" destOrd="0" presId="urn:microsoft.com/office/officeart/2005/8/layout/hierarchy1"/>
    <dgm:cxn modelId="{2F24CD75-710C-4994-B9C5-74C5032C769D}" type="presParOf" srcId="{94518ECB-9226-4911-A0F3-3605097EA737}" destId="{8321EE9E-E72C-494A-90C9-BA075085800C}" srcOrd="1" destOrd="0" presId="urn:microsoft.com/office/officeart/2005/8/layout/hierarchy1"/>
    <dgm:cxn modelId="{60850DE9-DCDC-455F-AECB-8CFE3A3CA0E6}" type="presParOf" srcId="{4E13C724-CD93-4E0A-BF1C-3B3F567F09E7}" destId="{CE8CCEE1-EFC1-4C18-9E3D-B9A38812037B}" srcOrd="1" destOrd="0" presId="urn:microsoft.com/office/officeart/2005/8/layout/hierarchy1"/>
    <dgm:cxn modelId="{467CB9E7-F8F7-4758-B4DC-5DFA50515561}" type="presParOf" srcId="{CE8CCEE1-EFC1-4C18-9E3D-B9A38812037B}" destId="{6B45EC0B-E86B-4007-B386-7FCA1A5C99A5}" srcOrd="0" destOrd="0" presId="urn:microsoft.com/office/officeart/2005/8/layout/hierarchy1"/>
    <dgm:cxn modelId="{487F61E9-CBE5-4CB2-803C-ACED96AF6ADA}" type="presParOf" srcId="{CE8CCEE1-EFC1-4C18-9E3D-B9A38812037B}" destId="{8A8FB02C-B7D9-44FE-9F7B-16E402B2F487}" srcOrd="1" destOrd="0" presId="urn:microsoft.com/office/officeart/2005/8/layout/hierarchy1"/>
    <dgm:cxn modelId="{A95F318D-83EF-48BC-A0EC-75C498D12B0B}" type="presParOf" srcId="{8A8FB02C-B7D9-44FE-9F7B-16E402B2F487}" destId="{23BE2737-08FD-442D-B376-1E370682BB99}" srcOrd="0" destOrd="0" presId="urn:microsoft.com/office/officeart/2005/8/layout/hierarchy1"/>
    <dgm:cxn modelId="{08C422AE-F6DE-4A38-9157-467CB2354BCA}" type="presParOf" srcId="{23BE2737-08FD-442D-B376-1E370682BB99}" destId="{73F8A9A5-DDE7-46AF-ACF5-BDDBFD0688F7}" srcOrd="0" destOrd="0" presId="urn:microsoft.com/office/officeart/2005/8/layout/hierarchy1"/>
    <dgm:cxn modelId="{7BA324F5-79FD-4B7E-911E-EDBB2D9CB748}" type="presParOf" srcId="{23BE2737-08FD-442D-B376-1E370682BB99}" destId="{DEF90A9F-CB14-4429-9CE4-5319FE41730D}" srcOrd="1" destOrd="0" presId="urn:microsoft.com/office/officeart/2005/8/layout/hierarchy1"/>
    <dgm:cxn modelId="{B5007189-33D9-46C6-BD4F-941C22CF859D}" type="presParOf" srcId="{8A8FB02C-B7D9-44FE-9F7B-16E402B2F487}" destId="{570AFC55-E2FF-4600-A636-175329150EFF}" srcOrd="1" destOrd="0" presId="urn:microsoft.com/office/officeart/2005/8/layout/hierarchy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B45EC0B-E86B-4007-B386-7FCA1A5C99A5}">
      <dsp:nvSpPr>
        <dsp:cNvPr id="0" name=""/>
        <dsp:cNvSpPr/>
      </dsp:nvSpPr>
      <dsp:spPr>
        <a:xfrm>
          <a:off x="4658808" y="1166412"/>
          <a:ext cx="91440" cy="199401"/>
        </a:xfrm>
        <a:custGeom>
          <a:avLst/>
          <a:gdLst/>
          <a:ahLst/>
          <a:cxnLst/>
          <a:rect l="0" t="0" r="0" b="0"/>
          <a:pathLst>
            <a:path>
              <a:moveTo>
                <a:pt x="45720" y="0"/>
              </a:moveTo>
              <a:lnTo>
                <a:pt x="45720" y="19940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70D92A-B6F2-4C1B-B99C-38EBB75CE960}">
      <dsp:nvSpPr>
        <dsp:cNvPr id="0" name=""/>
        <dsp:cNvSpPr/>
      </dsp:nvSpPr>
      <dsp:spPr>
        <a:xfrm>
          <a:off x="2917253" y="531640"/>
          <a:ext cx="1787274" cy="199401"/>
        </a:xfrm>
        <a:custGeom>
          <a:avLst/>
          <a:gdLst/>
          <a:ahLst/>
          <a:cxnLst/>
          <a:rect l="0" t="0" r="0" b="0"/>
          <a:pathLst>
            <a:path>
              <a:moveTo>
                <a:pt x="0" y="0"/>
              </a:moveTo>
              <a:lnTo>
                <a:pt x="0" y="135886"/>
              </a:lnTo>
              <a:lnTo>
                <a:pt x="1787274" y="135886"/>
              </a:lnTo>
              <a:lnTo>
                <a:pt x="1787274" y="19940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CFD6BF-DFA4-430C-B5D2-0EAD91DFA2FC}">
      <dsp:nvSpPr>
        <dsp:cNvPr id="0" name=""/>
        <dsp:cNvSpPr/>
      </dsp:nvSpPr>
      <dsp:spPr>
        <a:xfrm>
          <a:off x="3347941" y="2435957"/>
          <a:ext cx="91440" cy="199401"/>
        </a:xfrm>
        <a:custGeom>
          <a:avLst/>
          <a:gdLst/>
          <a:ahLst/>
          <a:cxnLst/>
          <a:rect l="0" t="0" r="0" b="0"/>
          <a:pathLst>
            <a:path>
              <a:moveTo>
                <a:pt x="45720" y="0"/>
              </a:moveTo>
              <a:lnTo>
                <a:pt x="45720" y="19940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6CD84B-5178-48E6-B1EF-22C00F5502C6}">
      <dsp:nvSpPr>
        <dsp:cNvPr id="0" name=""/>
        <dsp:cNvSpPr/>
      </dsp:nvSpPr>
      <dsp:spPr>
        <a:xfrm>
          <a:off x="3347941" y="1801185"/>
          <a:ext cx="91440" cy="199401"/>
        </a:xfrm>
        <a:custGeom>
          <a:avLst/>
          <a:gdLst/>
          <a:ahLst/>
          <a:cxnLst/>
          <a:rect l="0" t="0" r="0" b="0"/>
          <a:pathLst>
            <a:path>
              <a:moveTo>
                <a:pt x="45720" y="0"/>
              </a:moveTo>
              <a:lnTo>
                <a:pt x="45720" y="19940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3380C2-E23F-4430-81AF-A51A14A78869}">
      <dsp:nvSpPr>
        <dsp:cNvPr id="0" name=""/>
        <dsp:cNvSpPr/>
      </dsp:nvSpPr>
      <dsp:spPr>
        <a:xfrm>
          <a:off x="1962317" y="1166412"/>
          <a:ext cx="1431343" cy="199401"/>
        </a:xfrm>
        <a:custGeom>
          <a:avLst/>
          <a:gdLst/>
          <a:ahLst/>
          <a:cxnLst/>
          <a:rect l="0" t="0" r="0" b="0"/>
          <a:pathLst>
            <a:path>
              <a:moveTo>
                <a:pt x="0" y="0"/>
              </a:moveTo>
              <a:lnTo>
                <a:pt x="0" y="135886"/>
              </a:lnTo>
              <a:lnTo>
                <a:pt x="1431343" y="135886"/>
              </a:lnTo>
              <a:lnTo>
                <a:pt x="1431343" y="19940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3472C3-04C9-4154-A058-7BD2F6DD0249}">
      <dsp:nvSpPr>
        <dsp:cNvPr id="0" name=""/>
        <dsp:cNvSpPr/>
      </dsp:nvSpPr>
      <dsp:spPr>
        <a:xfrm>
          <a:off x="1961747" y="2435957"/>
          <a:ext cx="91440" cy="199401"/>
        </a:xfrm>
        <a:custGeom>
          <a:avLst/>
          <a:gdLst/>
          <a:ahLst/>
          <a:cxnLst/>
          <a:rect l="0" t="0" r="0" b="0"/>
          <a:pathLst>
            <a:path>
              <a:moveTo>
                <a:pt x="45720" y="0"/>
              </a:moveTo>
              <a:lnTo>
                <a:pt x="45720" y="19940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08DDCF-F465-4EBC-976A-E8C6C08A9B02}">
      <dsp:nvSpPr>
        <dsp:cNvPr id="0" name=""/>
        <dsp:cNvSpPr/>
      </dsp:nvSpPr>
      <dsp:spPr>
        <a:xfrm>
          <a:off x="1961747" y="1801185"/>
          <a:ext cx="91440" cy="199401"/>
        </a:xfrm>
        <a:custGeom>
          <a:avLst/>
          <a:gdLst/>
          <a:ahLst/>
          <a:cxnLst/>
          <a:rect l="0" t="0" r="0" b="0"/>
          <a:pathLst>
            <a:path>
              <a:moveTo>
                <a:pt x="45720" y="0"/>
              </a:moveTo>
              <a:lnTo>
                <a:pt x="45720" y="19940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FCB86D-EAB0-47D3-BB55-DEE96651BDFB}">
      <dsp:nvSpPr>
        <dsp:cNvPr id="0" name=""/>
        <dsp:cNvSpPr/>
      </dsp:nvSpPr>
      <dsp:spPr>
        <a:xfrm>
          <a:off x="1916597" y="1166412"/>
          <a:ext cx="91440" cy="199401"/>
        </a:xfrm>
        <a:custGeom>
          <a:avLst/>
          <a:gdLst/>
          <a:ahLst/>
          <a:cxnLst/>
          <a:rect l="0" t="0" r="0" b="0"/>
          <a:pathLst>
            <a:path>
              <a:moveTo>
                <a:pt x="45720" y="0"/>
              </a:moveTo>
              <a:lnTo>
                <a:pt x="45720" y="135886"/>
              </a:lnTo>
              <a:lnTo>
                <a:pt x="90869" y="135886"/>
              </a:lnTo>
              <a:lnTo>
                <a:pt x="90869" y="19940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B08C27-49FF-436B-B207-7EEAE1A0B4B9}">
      <dsp:nvSpPr>
        <dsp:cNvPr id="0" name=""/>
        <dsp:cNvSpPr/>
      </dsp:nvSpPr>
      <dsp:spPr>
        <a:xfrm>
          <a:off x="573662" y="2435957"/>
          <a:ext cx="91440" cy="199401"/>
        </a:xfrm>
        <a:custGeom>
          <a:avLst/>
          <a:gdLst/>
          <a:ahLst/>
          <a:cxnLst/>
          <a:rect l="0" t="0" r="0" b="0"/>
          <a:pathLst>
            <a:path>
              <a:moveTo>
                <a:pt x="45720" y="0"/>
              </a:moveTo>
              <a:lnTo>
                <a:pt x="45720" y="19940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23D8F2-A623-44EA-9C16-87452FF74BD6}">
      <dsp:nvSpPr>
        <dsp:cNvPr id="0" name=""/>
        <dsp:cNvSpPr/>
      </dsp:nvSpPr>
      <dsp:spPr>
        <a:xfrm>
          <a:off x="573662" y="1801185"/>
          <a:ext cx="91440" cy="199401"/>
        </a:xfrm>
        <a:custGeom>
          <a:avLst/>
          <a:gdLst/>
          <a:ahLst/>
          <a:cxnLst/>
          <a:rect l="0" t="0" r="0" b="0"/>
          <a:pathLst>
            <a:path>
              <a:moveTo>
                <a:pt x="45720" y="0"/>
              </a:moveTo>
              <a:lnTo>
                <a:pt x="45720" y="19940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8F44CB-E4C2-49BD-A7B7-A583C82D210B}">
      <dsp:nvSpPr>
        <dsp:cNvPr id="0" name=""/>
        <dsp:cNvSpPr/>
      </dsp:nvSpPr>
      <dsp:spPr>
        <a:xfrm>
          <a:off x="619382" y="1166412"/>
          <a:ext cx="1342935" cy="199401"/>
        </a:xfrm>
        <a:custGeom>
          <a:avLst/>
          <a:gdLst/>
          <a:ahLst/>
          <a:cxnLst/>
          <a:rect l="0" t="0" r="0" b="0"/>
          <a:pathLst>
            <a:path>
              <a:moveTo>
                <a:pt x="1342935" y="0"/>
              </a:moveTo>
              <a:lnTo>
                <a:pt x="1342935" y="135886"/>
              </a:lnTo>
              <a:lnTo>
                <a:pt x="0" y="135886"/>
              </a:lnTo>
              <a:lnTo>
                <a:pt x="0" y="19940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A323A3-79E7-457B-BECC-9D0E3D80CE0E}">
      <dsp:nvSpPr>
        <dsp:cNvPr id="0" name=""/>
        <dsp:cNvSpPr/>
      </dsp:nvSpPr>
      <dsp:spPr>
        <a:xfrm>
          <a:off x="1962317" y="531640"/>
          <a:ext cx="954935" cy="199401"/>
        </a:xfrm>
        <a:custGeom>
          <a:avLst/>
          <a:gdLst/>
          <a:ahLst/>
          <a:cxnLst/>
          <a:rect l="0" t="0" r="0" b="0"/>
          <a:pathLst>
            <a:path>
              <a:moveTo>
                <a:pt x="954935" y="0"/>
              </a:moveTo>
              <a:lnTo>
                <a:pt x="954935" y="135886"/>
              </a:lnTo>
              <a:lnTo>
                <a:pt x="0" y="135886"/>
              </a:lnTo>
              <a:lnTo>
                <a:pt x="0" y="19940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42DA10-A5A0-4113-B66E-5F37532DBEB7}">
      <dsp:nvSpPr>
        <dsp:cNvPr id="0" name=""/>
        <dsp:cNvSpPr/>
      </dsp:nvSpPr>
      <dsp:spPr>
        <a:xfrm>
          <a:off x="2007230" y="96270"/>
          <a:ext cx="1820046" cy="435370"/>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63A8430-A6D0-4E31-8D1E-357E5EFB3875}">
      <dsp:nvSpPr>
        <dsp:cNvPr id="0" name=""/>
        <dsp:cNvSpPr/>
      </dsp:nvSpPr>
      <dsp:spPr>
        <a:xfrm>
          <a:off x="2083410" y="168641"/>
          <a:ext cx="1820046" cy="435370"/>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AR" sz="1000" kern="1200"/>
            <a:t>HBsAg + RT candidate</a:t>
          </a:r>
        </a:p>
      </dsp:txBody>
      <dsp:txXfrm>
        <a:off x="2083410" y="168641"/>
        <a:ext cx="1820046" cy="435370"/>
      </dsp:txXfrm>
    </dsp:sp>
    <dsp:sp modelId="{402FBCE6-9A59-4674-8D0C-00CEB502DF9E}">
      <dsp:nvSpPr>
        <dsp:cNvPr id="0" name=""/>
        <dsp:cNvSpPr/>
      </dsp:nvSpPr>
      <dsp:spPr>
        <a:xfrm>
          <a:off x="301753" y="731042"/>
          <a:ext cx="3321128" cy="435370"/>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6A40E6E-6612-4C69-81F8-AF67F996D6C8}">
      <dsp:nvSpPr>
        <dsp:cNvPr id="0" name=""/>
        <dsp:cNvSpPr/>
      </dsp:nvSpPr>
      <dsp:spPr>
        <a:xfrm>
          <a:off x="377934" y="803413"/>
          <a:ext cx="3321128" cy="435370"/>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AR" sz="1000" kern="1200"/>
            <a:t>Pretransplant assesment includying HBV DNA, HBeAg stauts, grading of liver fibrosis (liver biopsy or non-invasive)</a:t>
          </a:r>
        </a:p>
      </dsp:txBody>
      <dsp:txXfrm>
        <a:off x="377934" y="803413"/>
        <a:ext cx="3321128" cy="435370"/>
      </dsp:txXfrm>
    </dsp:sp>
    <dsp:sp modelId="{38B2F504-4FE7-4910-9750-E0E5944AEE91}">
      <dsp:nvSpPr>
        <dsp:cNvPr id="0" name=""/>
        <dsp:cNvSpPr/>
      </dsp:nvSpPr>
      <dsp:spPr>
        <a:xfrm>
          <a:off x="39729" y="1365814"/>
          <a:ext cx="1159305" cy="435370"/>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E307FAB-C88F-41BE-BD55-D95F1A5C24C2}">
      <dsp:nvSpPr>
        <dsp:cNvPr id="0" name=""/>
        <dsp:cNvSpPr/>
      </dsp:nvSpPr>
      <dsp:spPr>
        <a:xfrm>
          <a:off x="115910" y="1438185"/>
          <a:ext cx="1159305" cy="435370"/>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AR" sz="1000" kern="1200"/>
            <a:t>HBV DNA undetectable</a:t>
          </a:r>
        </a:p>
      </dsp:txBody>
      <dsp:txXfrm>
        <a:off x="115910" y="1438185"/>
        <a:ext cx="1159305" cy="435370"/>
      </dsp:txXfrm>
    </dsp:sp>
    <dsp:sp modelId="{523C932A-674E-43BD-8CF0-1E4E8F38C7EC}">
      <dsp:nvSpPr>
        <dsp:cNvPr id="0" name=""/>
        <dsp:cNvSpPr/>
      </dsp:nvSpPr>
      <dsp:spPr>
        <a:xfrm>
          <a:off x="210220" y="2000586"/>
          <a:ext cx="818324" cy="435370"/>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6B9B091-447E-44E8-BA84-18FC5F2A80B2}">
      <dsp:nvSpPr>
        <dsp:cNvPr id="0" name=""/>
        <dsp:cNvSpPr/>
      </dsp:nvSpPr>
      <dsp:spPr>
        <a:xfrm>
          <a:off x="286400" y="2072958"/>
          <a:ext cx="818324" cy="435370"/>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Prophylactic therapy</a:t>
          </a:r>
          <a:endParaRPr lang="es-AR" sz="1000" kern="1200"/>
        </a:p>
      </dsp:txBody>
      <dsp:txXfrm>
        <a:off x="286400" y="2072958"/>
        <a:ext cx="818324" cy="435370"/>
      </dsp:txXfrm>
    </dsp:sp>
    <dsp:sp modelId="{1319CC4C-5B41-4EEE-8BE1-35A5208DD929}">
      <dsp:nvSpPr>
        <dsp:cNvPr id="0" name=""/>
        <dsp:cNvSpPr/>
      </dsp:nvSpPr>
      <dsp:spPr>
        <a:xfrm>
          <a:off x="3196" y="2635359"/>
          <a:ext cx="1232372" cy="435370"/>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6C3D241-54F5-46EE-8380-DC13BB315910}">
      <dsp:nvSpPr>
        <dsp:cNvPr id="0" name=""/>
        <dsp:cNvSpPr/>
      </dsp:nvSpPr>
      <dsp:spPr>
        <a:xfrm>
          <a:off x="79376" y="2707730"/>
          <a:ext cx="1232372" cy="435370"/>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AR" sz="800" kern="1200"/>
            <a:t>NUC Naive: ETV</a:t>
          </a:r>
        </a:p>
        <a:p>
          <a:pPr lvl="0" algn="ctr" defTabSz="355600">
            <a:lnSpc>
              <a:spcPct val="90000"/>
            </a:lnSpc>
            <a:spcBef>
              <a:spcPct val="0"/>
            </a:spcBef>
            <a:spcAft>
              <a:spcPct val="35000"/>
            </a:spcAft>
          </a:pPr>
          <a:r>
            <a:rPr lang="es-AR" sz="800" kern="1200"/>
            <a:t>Resistance to any NUC: TDF</a:t>
          </a:r>
        </a:p>
      </dsp:txBody>
      <dsp:txXfrm>
        <a:off x="79376" y="2707730"/>
        <a:ext cx="1232372" cy="435370"/>
      </dsp:txXfrm>
    </dsp:sp>
    <dsp:sp modelId="{87CEE332-2A4C-4D8C-8249-B0A437670A30}">
      <dsp:nvSpPr>
        <dsp:cNvPr id="0" name=""/>
        <dsp:cNvSpPr/>
      </dsp:nvSpPr>
      <dsp:spPr>
        <a:xfrm>
          <a:off x="1523785" y="1365814"/>
          <a:ext cx="967365" cy="435370"/>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FDC06EC-7EAB-42EB-AB31-73E805548B4F}">
      <dsp:nvSpPr>
        <dsp:cNvPr id="0" name=""/>
        <dsp:cNvSpPr/>
      </dsp:nvSpPr>
      <dsp:spPr>
        <a:xfrm>
          <a:off x="1599965" y="1438185"/>
          <a:ext cx="967365" cy="435370"/>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AR" sz="1000" kern="1200"/>
            <a:t>HBV DNA &lt;2000 IU/ml</a:t>
          </a:r>
        </a:p>
      </dsp:txBody>
      <dsp:txXfrm>
        <a:off x="1599965" y="1438185"/>
        <a:ext cx="967365" cy="435370"/>
      </dsp:txXfrm>
    </dsp:sp>
    <dsp:sp modelId="{6F56AD38-F1D0-43A2-980D-EF06E194E81F}">
      <dsp:nvSpPr>
        <dsp:cNvPr id="0" name=""/>
        <dsp:cNvSpPr/>
      </dsp:nvSpPr>
      <dsp:spPr>
        <a:xfrm>
          <a:off x="1664656" y="2000586"/>
          <a:ext cx="685622" cy="435370"/>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BBCAF26-8FE3-436A-B465-79819EAC23BB}">
      <dsp:nvSpPr>
        <dsp:cNvPr id="0" name=""/>
        <dsp:cNvSpPr/>
      </dsp:nvSpPr>
      <dsp:spPr>
        <a:xfrm>
          <a:off x="1740836" y="2072958"/>
          <a:ext cx="685622" cy="435370"/>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Preemptive therapy</a:t>
          </a:r>
          <a:endParaRPr lang="es-AR" sz="1000" kern="1200"/>
        </a:p>
      </dsp:txBody>
      <dsp:txXfrm>
        <a:off x="1740836" y="2072958"/>
        <a:ext cx="685622" cy="435370"/>
      </dsp:txXfrm>
    </dsp:sp>
    <dsp:sp modelId="{40B7BCEE-78E3-4468-8BDD-44D14014625B}">
      <dsp:nvSpPr>
        <dsp:cNvPr id="0" name=""/>
        <dsp:cNvSpPr/>
      </dsp:nvSpPr>
      <dsp:spPr>
        <a:xfrm>
          <a:off x="1387929" y="2635359"/>
          <a:ext cx="1239077" cy="435370"/>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22A84A5-FA63-4E00-81A1-B89FE0511793}">
      <dsp:nvSpPr>
        <dsp:cNvPr id="0" name=""/>
        <dsp:cNvSpPr/>
      </dsp:nvSpPr>
      <dsp:spPr>
        <a:xfrm>
          <a:off x="1464109" y="2707730"/>
          <a:ext cx="1239077" cy="435370"/>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AR" sz="800" kern="1200"/>
            <a:t>NUC Naive: ETV</a:t>
          </a:r>
        </a:p>
        <a:p>
          <a:pPr lvl="0" algn="ctr" defTabSz="355600">
            <a:lnSpc>
              <a:spcPct val="90000"/>
            </a:lnSpc>
            <a:spcBef>
              <a:spcPct val="0"/>
            </a:spcBef>
            <a:spcAft>
              <a:spcPct val="35000"/>
            </a:spcAft>
          </a:pPr>
          <a:r>
            <a:rPr lang="es-AR" sz="800" kern="1200"/>
            <a:t>Resistance to any NUC: TDF</a:t>
          </a:r>
        </a:p>
      </dsp:txBody>
      <dsp:txXfrm>
        <a:off x="1464109" y="2707730"/>
        <a:ext cx="1239077" cy="435370"/>
      </dsp:txXfrm>
    </dsp:sp>
    <dsp:sp modelId="{9BDCDD48-24BC-4802-BA70-F81976AD0F40}">
      <dsp:nvSpPr>
        <dsp:cNvPr id="0" name=""/>
        <dsp:cNvSpPr/>
      </dsp:nvSpPr>
      <dsp:spPr>
        <a:xfrm>
          <a:off x="2902415" y="1365814"/>
          <a:ext cx="982490" cy="435370"/>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9BE2E8B-7869-4CF8-ACFD-CCE0A25847D4}">
      <dsp:nvSpPr>
        <dsp:cNvPr id="0" name=""/>
        <dsp:cNvSpPr/>
      </dsp:nvSpPr>
      <dsp:spPr>
        <a:xfrm>
          <a:off x="2978596" y="1438185"/>
          <a:ext cx="982490" cy="435370"/>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AR" sz="1000" kern="1200"/>
            <a:t>HBV DNA &gt;2000 IU/ml</a:t>
          </a:r>
        </a:p>
      </dsp:txBody>
      <dsp:txXfrm>
        <a:off x="2978596" y="1438185"/>
        <a:ext cx="982490" cy="435370"/>
      </dsp:txXfrm>
    </dsp:sp>
    <dsp:sp modelId="{9F43A150-1DB2-43FB-96ED-8F4A565C71BF}">
      <dsp:nvSpPr>
        <dsp:cNvPr id="0" name=""/>
        <dsp:cNvSpPr/>
      </dsp:nvSpPr>
      <dsp:spPr>
        <a:xfrm>
          <a:off x="3050849" y="2000586"/>
          <a:ext cx="685622" cy="435370"/>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89113FA-ED96-4CB7-BAD7-C25E0E39CD9E}">
      <dsp:nvSpPr>
        <dsp:cNvPr id="0" name=""/>
        <dsp:cNvSpPr/>
      </dsp:nvSpPr>
      <dsp:spPr>
        <a:xfrm>
          <a:off x="3127030" y="2072958"/>
          <a:ext cx="685622" cy="435370"/>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AR" sz="1000" kern="1200"/>
            <a:t>Treatment</a:t>
          </a:r>
        </a:p>
      </dsp:txBody>
      <dsp:txXfrm>
        <a:off x="3127030" y="2072958"/>
        <a:ext cx="685622" cy="435370"/>
      </dsp:txXfrm>
    </dsp:sp>
    <dsp:sp modelId="{64336557-9F0C-4354-B265-0D8ED8D091FD}">
      <dsp:nvSpPr>
        <dsp:cNvPr id="0" name=""/>
        <dsp:cNvSpPr/>
      </dsp:nvSpPr>
      <dsp:spPr>
        <a:xfrm>
          <a:off x="2779367" y="2635359"/>
          <a:ext cx="1228587" cy="435370"/>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B22F3BA-757E-4DD4-8212-542438B30237}">
      <dsp:nvSpPr>
        <dsp:cNvPr id="0" name=""/>
        <dsp:cNvSpPr/>
      </dsp:nvSpPr>
      <dsp:spPr>
        <a:xfrm>
          <a:off x="2855547" y="2707730"/>
          <a:ext cx="1228587" cy="435370"/>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AR" sz="800" kern="1200"/>
            <a:t>NUC Naive: ETV</a:t>
          </a:r>
        </a:p>
        <a:p>
          <a:pPr lvl="0" algn="ctr" defTabSz="355600">
            <a:lnSpc>
              <a:spcPct val="90000"/>
            </a:lnSpc>
            <a:spcBef>
              <a:spcPct val="0"/>
            </a:spcBef>
            <a:spcAft>
              <a:spcPct val="35000"/>
            </a:spcAft>
          </a:pPr>
          <a:r>
            <a:rPr lang="es-AR" sz="800" kern="1200"/>
            <a:t>Resistance to any NUC: TDF</a:t>
          </a:r>
        </a:p>
      </dsp:txBody>
      <dsp:txXfrm>
        <a:off x="2855547" y="2707730"/>
        <a:ext cx="1228587" cy="435370"/>
      </dsp:txXfrm>
    </dsp:sp>
    <dsp:sp modelId="{C134B195-B139-4125-AFA9-DC6121874B60}">
      <dsp:nvSpPr>
        <dsp:cNvPr id="0" name=""/>
        <dsp:cNvSpPr/>
      </dsp:nvSpPr>
      <dsp:spPr>
        <a:xfrm>
          <a:off x="3876303" y="731042"/>
          <a:ext cx="1656450" cy="435370"/>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321EE9E-E72C-494A-90C9-BA075085800C}">
      <dsp:nvSpPr>
        <dsp:cNvPr id="0" name=""/>
        <dsp:cNvSpPr/>
      </dsp:nvSpPr>
      <dsp:spPr>
        <a:xfrm>
          <a:off x="3952483" y="803413"/>
          <a:ext cx="1656450" cy="435370"/>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AR" sz="1000" kern="1200"/>
            <a:t>Decompensated liver disease</a:t>
          </a:r>
        </a:p>
      </dsp:txBody>
      <dsp:txXfrm>
        <a:off x="3952483" y="803413"/>
        <a:ext cx="1656450" cy="435370"/>
      </dsp:txXfrm>
    </dsp:sp>
    <dsp:sp modelId="{73F8A9A5-DDE7-46AF-ACF5-BDDBFD0688F7}">
      <dsp:nvSpPr>
        <dsp:cNvPr id="0" name=""/>
        <dsp:cNvSpPr/>
      </dsp:nvSpPr>
      <dsp:spPr>
        <a:xfrm>
          <a:off x="4037266" y="1365814"/>
          <a:ext cx="1334523" cy="435370"/>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EF90A9F-CB14-4429-9CE4-5319FE41730D}">
      <dsp:nvSpPr>
        <dsp:cNvPr id="0" name=""/>
        <dsp:cNvSpPr/>
      </dsp:nvSpPr>
      <dsp:spPr>
        <a:xfrm>
          <a:off x="4113446" y="1438185"/>
          <a:ext cx="1334523" cy="435370"/>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AR" sz="1000" kern="1200"/>
            <a:t>Assess for combined LRT</a:t>
          </a:r>
        </a:p>
      </dsp:txBody>
      <dsp:txXfrm>
        <a:off x="4113446" y="1438185"/>
        <a:ext cx="1334523" cy="43537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47</Pages>
  <Words>12530</Words>
  <Characters>68916</Characters>
  <Application>Microsoft Office Word</Application>
  <DocSecurity>0</DocSecurity>
  <Lines>574</Lines>
  <Paragraphs>162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Ezequiel Ridruejo</dc:creator>
  <cp:lastModifiedBy>Ezequiel Ridruejo</cp:lastModifiedBy>
  <cp:revision>7</cp:revision>
  <dcterms:created xsi:type="dcterms:W3CDTF">2014-10-17T11:13:00Z</dcterms:created>
  <dcterms:modified xsi:type="dcterms:W3CDTF">2014-10-17T12:03:00Z</dcterms:modified>
</cp:coreProperties>
</file>