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F8D4E3" w14:textId="6E641686" w:rsidR="00B74C23" w:rsidRPr="00B00AC1" w:rsidRDefault="00B74C23" w:rsidP="00B00AC1">
      <w:pPr>
        <w:spacing w:line="360" w:lineRule="auto"/>
        <w:rPr>
          <w:rFonts w:ascii="Book Antiqua" w:hAnsi="Book Antiqua" w:cs="Arial"/>
          <w:b/>
          <w:bCs/>
          <w:sz w:val="24"/>
        </w:rPr>
      </w:pPr>
      <w:r w:rsidRPr="00B00AC1">
        <w:rPr>
          <w:rFonts w:ascii="Book Antiqua" w:hAnsi="Book Antiqua" w:cs="Arial"/>
          <w:b/>
          <w:bCs/>
          <w:sz w:val="24"/>
        </w:rPr>
        <w:t>Name of journal: World Journal of Hepatology</w:t>
      </w:r>
    </w:p>
    <w:p w14:paraId="7C0BBBB6" w14:textId="07C7CC81" w:rsidR="00B74C23" w:rsidRPr="00B00AC1" w:rsidRDefault="00B74C23" w:rsidP="00B00AC1">
      <w:pPr>
        <w:spacing w:line="360" w:lineRule="auto"/>
        <w:rPr>
          <w:rFonts w:ascii="Book Antiqua" w:hAnsi="Book Antiqua" w:cs="Arial"/>
          <w:b/>
          <w:bCs/>
          <w:sz w:val="24"/>
        </w:rPr>
      </w:pPr>
      <w:r w:rsidRPr="00B00AC1">
        <w:rPr>
          <w:rFonts w:ascii="Book Antiqua" w:hAnsi="Book Antiqua" w:cs="Arial"/>
          <w:b/>
          <w:bCs/>
          <w:sz w:val="24"/>
        </w:rPr>
        <w:t>ESPS Manuscript NO: 13610</w:t>
      </w:r>
    </w:p>
    <w:p w14:paraId="21806DA5" w14:textId="73C7E098" w:rsidR="00B74C23" w:rsidRPr="00B00AC1" w:rsidRDefault="00B74C23" w:rsidP="00B00AC1">
      <w:pPr>
        <w:spacing w:line="360" w:lineRule="auto"/>
        <w:rPr>
          <w:rFonts w:ascii="Book Antiqua" w:hAnsi="Book Antiqua" w:cs="Arial"/>
          <w:b/>
          <w:bCs/>
          <w:sz w:val="24"/>
        </w:rPr>
      </w:pPr>
      <w:r w:rsidRPr="00B00AC1">
        <w:rPr>
          <w:rFonts w:ascii="Book Antiqua" w:hAnsi="Book Antiqua" w:cs="Arial"/>
          <w:b/>
          <w:bCs/>
          <w:sz w:val="24"/>
        </w:rPr>
        <w:t xml:space="preserve">Columns: </w:t>
      </w:r>
      <w:r w:rsidR="00B00AC1" w:rsidRPr="00B00AC1">
        <w:rPr>
          <w:rFonts w:ascii="Book Antiqua" w:hAnsi="Book Antiqua" w:cs="Arial"/>
          <w:b/>
          <w:bCs/>
          <w:sz w:val="24"/>
        </w:rPr>
        <w:t>R</w:t>
      </w:r>
      <w:r w:rsidR="00B00AC1">
        <w:rPr>
          <w:rFonts w:ascii="Book Antiqua" w:hAnsi="Book Antiqua" w:cs="Arial" w:hint="eastAsia"/>
          <w:b/>
          <w:bCs/>
          <w:sz w:val="24"/>
        </w:rPr>
        <w:t>eview</w:t>
      </w:r>
    </w:p>
    <w:p w14:paraId="7E7EFE3A" w14:textId="77777777" w:rsidR="00B74C23" w:rsidRPr="00B00AC1" w:rsidRDefault="00B74C23" w:rsidP="00B00AC1">
      <w:pPr>
        <w:spacing w:line="360" w:lineRule="auto"/>
        <w:rPr>
          <w:rFonts w:ascii="Book Antiqua" w:hAnsi="Book Antiqua" w:cs="Arial"/>
          <w:b/>
          <w:bCs/>
          <w:sz w:val="24"/>
        </w:rPr>
      </w:pPr>
    </w:p>
    <w:p w14:paraId="010B1462" w14:textId="77777777" w:rsidR="00F45BC7" w:rsidRPr="00B00AC1" w:rsidRDefault="00F45BC7" w:rsidP="00B00AC1">
      <w:pPr>
        <w:spacing w:line="360" w:lineRule="auto"/>
        <w:rPr>
          <w:rFonts w:ascii="Book Antiqua" w:hAnsi="Book Antiqua" w:cs="Arial"/>
          <w:b/>
          <w:bCs/>
          <w:sz w:val="24"/>
        </w:rPr>
      </w:pPr>
      <w:r w:rsidRPr="00B00AC1">
        <w:rPr>
          <w:rFonts w:ascii="Book Antiqua" w:hAnsi="Book Antiqua" w:cs="Arial"/>
          <w:b/>
          <w:bCs/>
          <w:sz w:val="24"/>
        </w:rPr>
        <w:t>Immunotherapy for hepatocellular carcinoma: From basic research to clinical use</w:t>
      </w:r>
    </w:p>
    <w:p w14:paraId="2119A296" w14:textId="77777777" w:rsidR="00F45BC7" w:rsidRPr="00B00AC1" w:rsidRDefault="00F45BC7" w:rsidP="00B00AC1">
      <w:pPr>
        <w:spacing w:line="360" w:lineRule="auto"/>
        <w:rPr>
          <w:rFonts w:ascii="Book Antiqua" w:hAnsi="Book Antiqua" w:cs="Arial"/>
          <w:b/>
          <w:bCs/>
          <w:sz w:val="24"/>
        </w:rPr>
      </w:pPr>
    </w:p>
    <w:p w14:paraId="6F7F0F32" w14:textId="3ADFC36E" w:rsidR="00F45BC7" w:rsidRPr="00B00AC1" w:rsidRDefault="00B00AC1" w:rsidP="00B00AC1">
      <w:pPr>
        <w:spacing w:line="360" w:lineRule="auto"/>
        <w:rPr>
          <w:rFonts w:ascii="Book Antiqua" w:hAnsi="Book Antiqua" w:cs="Arial"/>
          <w:bCs/>
          <w:sz w:val="24"/>
        </w:rPr>
      </w:pPr>
      <w:r w:rsidRPr="00B00AC1">
        <w:rPr>
          <w:rFonts w:ascii="Book Antiqua" w:hAnsi="Book Antiqua" w:cs="Arial"/>
          <w:sz w:val="24"/>
          <w:lang w:val="fr-FR"/>
        </w:rPr>
        <w:t>Hong</w:t>
      </w:r>
      <w:r w:rsidRPr="00B00AC1">
        <w:rPr>
          <w:rFonts w:ascii="Book Antiqua" w:hAnsi="Book Antiqua" w:cs="Arial"/>
          <w:bCs/>
          <w:sz w:val="24"/>
        </w:rPr>
        <w:t xml:space="preserve"> </w:t>
      </w:r>
      <w:r>
        <w:rPr>
          <w:rFonts w:ascii="Book Antiqua" w:hAnsi="Book Antiqua" w:cs="Arial" w:hint="eastAsia"/>
          <w:bCs/>
          <w:sz w:val="24"/>
        </w:rPr>
        <w:t xml:space="preserve">YP </w:t>
      </w:r>
      <w:r w:rsidRPr="00B00AC1">
        <w:rPr>
          <w:rFonts w:ascii="Book Antiqua" w:hAnsi="Book Antiqua" w:cs="Arial" w:hint="eastAsia"/>
          <w:bCs/>
          <w:i/>
          <w:sz w:val="24"/>
        </w:rPr>
        <w:t>et al</w:t>
      </w:r>
      <w:r>
        <w:rPr>
          <w:rFonts w:ascii="Book Antiqua" w:hAnsi="Book Antiqua" w:cs="Arial" w:hint="eastAsia"/>
          <w:bCs/>
          <w:sz w:val="24"/>
        </w:rPr>
        <w:t xml:space="preserve">. </w:t>
      </w:r>
      <w:r w:rsidR="00F45BC7" w:rsidRPr="00B00AC1">
        <w:rPr>
          <w:rFonts w:ascii="Book Antiqua" w:hAnsi="Book Antiqua" w:cs="Arial"/>
          <w:bCs/>
          <w:sz w:val="24"/>
        </w:rPr>
        <w:t>Immunotherapy for HCC</w:t>
      </w:r>
    </w:p>
    <w:p w14:paraId="7876D348" w14:textId="77777777" w:rsidR="00F45BC7" w:rsidRPr="00B00AC1" w:rsidRDefault="00F45BC7" w:rsidP="00B00AC1">
      <w:pPr>
        <w:spacing w:line="360" w:lineRule="auto"/>
        <w:rPr>
          <w:rFonts w:ascii="Book Antiqua" w:hAnsi="Book Antiqua" w:cs="Arial"/>
          <w:sz w:val="24"/>
        </w:rPr>
      </w:pPr>
    </w:p>
    <w:p w14:paraId="019458C9" w14:textId="38CE42CE" w:rsidR="00F45BC7" w:rsidRPr="00B00AC1" w:rsidRDefault="00F45BC7" w:rsidP="00B00AC1">
      <w:pPr>
        <w:spacing w:line="360" w:lineRule="auto"/>
        <w:rPr>
          <w:rFonts w:ascii="Book Antiqua" w:hAnsi="Book Antiqua" w:cs="Arial"/>
          <w:sz w:val="24"/>
          <w:lang w:val="fr-FR"/>
        </w:rPr>
      </w:pPr>
      <w:r w:rsidRPr="00B00AC1">
        <w:rPr>
          <w:rFonts w:ascii="Book Antiqua" w:hAnsi="Book Antiqua" w:cs="Arial"/>
          <w:sz w:val="24"/>
          <w:lang w:val="fr-FR"/>
        </w:rPr>
        <w:t>Yu</w:t>
      </w:r>
      <w:r w:rsidR="00B00AC1">
        <w:rPr>
          <w:rFonts w:ascii="Book Antiqua" w:hAnsi="Book Antiqua" w:cs="Arial" w:hint="eastAsia"/>
          <w:sz w:val="24"/>
          <w:lang w:val="fr-FR"/>
        </w:rPr>
        <w:t>-</w:t>
      </w:r>
      <w:r w:rsidR="00B00AC1" w:rsidRPr="00B00AC1">
        <w:rPr>
          <w:rFonts w:ascii="Book Antiqua" w:hAnsi="Book Antiqua" w:cs="Arial"/>
          <w:sz w:val="24"/>
          <w:lang w:val="fr-FR"/>
        </w:rPr>
        <w:t>P</w:t>
      </w:r>
      <w:r w:rsidRPr="00B00AC1">
        <w:rPr>
          <w:rFonts w:ascii="Book Antiqua" w:hAnsi="Book Antiqua" w:cs="Arial"/>
          <w:sz w:val="24"/>
          <w:lang w:val="fr-FR"/>
        </w:rPr>
        <w:t>eng Hong, Zi</w:t>
      </w:r>
      <w:r w:rsidR="00B00AC1">
        <w:rPr>
          <w:rFonts w:ascii="Book Antiqua" w:hAnsi="Book Antiqua" w:cs="Arial" w:hint="eastAsia"/>
          <w:sz w:val="24"/>
          <w:lang w:val="fr-FR"/>
        </w:rPr>
        <w:t>-</w:t>
      </w:r>
      <w:r w:rsidR="00B00AC1" w:rsidRPr="00B00AC1">
        <w:rPr>
          <w:rFonts w:ascii="Book Antiqua" w:hAnsi="Book Antiqua" w:cs="Arial"/>
          <w:sz w:val="24"/>
          <w:lang w:val="fr-FR"/>
        </w:rPr>
        <w:t>D</w:t>
      </w:r>
      <w:r w:rsidRPr="00B00AC1">
        <w:rPr>
          <w:rFonts w:ascii="Book Antiqua" w:hAnsi="Book Antiqua" w:cs="Arial"/>
          <w:sz w:val="24"/>
          <w:lang w:val="fr-FR"/>
        </w:rPr>
        <w:t>uo Li, Pankaj Prasoon, Qi Zhang</w:t>
      </w:r>
    </w:p>
    <w:p w14:paraId="331ED297" w14:textId="77777777" w:rsidR="00F45BC7" w:rsidRDefault="00F45BC7" w:rsidP="00B00AC1">
      <w:pPr>
        <w:spacing w:line="360" w:lineRule="auto"/>
        <w:rPr>
          <w:rFonts w:ascii="Book Antiqua" w:hAnsi="Book Antiqua" w:cs="Arial"/>
          <w:sz w:val="24"/>
          <w:lang w:val="fr-FR"/>
        </w:rPr>
      </w:pPr>
    </w:p>
    <w:p w14:paraId="2CFD34B0" w14:textId="4735AE12" w:rsidR="00B00AC1" w:rsidRPr="00B00AC1" w:rsidRDefault="00B00AC1" w:rsidP="00B00AC1">
      <w:pPr>
        <w:spacing w:line="360" w:lineRule="auto"/>
        <w:rPr>
          <w:rFonts w:ascii="Book Antiqua" w:hAnsi="Book Antiqua" w:cs="Arial"/>
          <w:b/>
          <w:sz w:val="24"/>
          <w:lang w:val="fr-FR"/>
        </w:rPr>
      </w:pPr>
      <w:r w:rsidRPr="00B00AC1">
        <w:rPr>
          <w:rFonts w:ascii="Book Antiqua" w:hAnsi="Book Antiqua" w:cs="Arial"/>
          <w:b/>
          <w:sz w:val="24"/>
          <w:lang w:val="fr-FR"/>
        </w:rPr>
        <w:t>Yu</w:t>
      </w:r>
      <w:r w:rsidRPr="00B00AC1">
        <w:rPr>
          <w:rFonts w:ascii="Book Antiqua" w:hAnsi="Book Antiqua" w:cs="Arial" w:hint="eastAsia"/>
          <w:b/>
          <w:sz w:val="24"/>
          <w:lang w:val="fr-FR"/>
        </w:rPr>
        <w:t>-</w:t>
      </w:r>
      <w:r w:rsidRPr="00B00AC1">
        <w:rPr>
          <w:rFonts w:ascii="Book Antiqua" w:hAnsi="Book Antiqua" w:cs="Arial"/>
          <w:b/>
          <w:sz w:val="24"/>
          <w:lang w:val="fr-FR"/>
        </w:rPr>
        <w:t>Peng Hong,</w:t>
      </w:r>
      <w:r w:rsidRPr="00B00AC1">
        <w:rPr>
          <w:rFonts w:ascii="Book Antiqua" w:hAnsi="Book Antiqua" w:cs="Arial" w:hint="eastAsia"/>
          <w:b/>
          <w:sz w:val="24"/>
          <w:lang w:val="fr-FR"/>
        </w:rPr>
        <w:t xml:space="preserve"> </w:t>
      </w:r>
      <w:r w:rsidRPr="00B00AC1">
        <w:rPr>
          <w:rFonts w:ascii="Book Antiqua" w:hAnsi="Book Antiqua" w:cs="Arial"/>
          <w:kern w:val="0"/>
          <w:sz w:val="24"/>
        </w:rPr>
        <w:t xml:space="preserve">Department of Oncology, Zhejiang Provincial People’s Hospital, Hangzhou 310014, </w:t>
      </w:r>
      <w:r>
        <w:rPr>
          <w:rFonts w:ascii="Book Antiqua" w:hAnsi="Book Antiqua" w:cs="Arial" w:hint="eastAsia"/>
          <w:kern w:val="0"/>
          <w:sz w:val="24"/>
        </w:rPr>
        <w:t xml:space="preserve">Zhejiang Province, </w:t>
      </w:r>
      <w:r w:rsidRPr="00B00AC1">
        <w:rPr>
          <w:rFonts w:ascii="Book Antiqua" w:hAnsi="Book Antiqua" w:cs="Arial"/>
          <w:kern w:val="0"/>
          <w:sz w:val="24"/>
        </w:rPr>
        <w:t>China</w:t>
      </w:r>
    </w:p>
    <w:p w14:paraId="77EF28CD" w14:textId="77777777" w:rsidR="00B00AC1" w:rsidRDefault="00B00AC1" w:rsidP="00B00AC1">
      <w:pPr>
        <w:spacing w:line="360" w:lineRule="auto"/>
        <w:rPr>
          <w:rFonts w:ascii="Book Antiqua" w:hAnsi="Book Antiqua" w:cs="Arial"/>
          <w:sz w:val="24"/>
          <w:lang w:val="fr-FR"/>
        </w:rPr>
      </w:pPr>
    </w:p>
    <w:p w14:paraId="577FBF12" w14:textId="58F41D22" w:rsidR="00B00AC1" w:rsidRPr="00B00AC1" w:rsidRDefault="00B00AC1" w:rsidP="00B00AC1">
      <w:pPr>
        <w:spacing w:line="360" w:lineRule="auto"/>
        <w:rPr>
          <w:rFonts w:ascii="Book Antiqua" w:hAnsi="Book Antiqua" w:cs="Arial"/>
          <w:b/>
          <w:sz w:val="24"/>
          <w:lang w:val="fr-FR"/>
        </w:rPr>
      </w:pPr>
      <w:r w:rsidRPr="00B00AC1">
        <w:rPr>
          <w:rFonts w:ascii="Book Antiqua" w:hAnsi="Book Antiqua" w:cs="Arial"/>
          <w:b/>
          <w:sz w:val="24"/>
          <w:lang w:val="fr-FR"/>
        </w:rPr>
        <w:t>Zi</w:t>
      </w:r>
      <w:r w:rsidRPr="00B00AC1">
        <w:rPr>
          <w:rFonts w:ascii="Book Antiqua" w:hAnsi="Book Antiqua" w:cs="Arial" w:hint="eastAsia"/>
          <w:b/>
          <w:sz w:val="24"/>
          <w:lang w:val="fr-FR"/>
        </w:rPr>
        <w:t>-</w:t>
      </w:r>
      <w:r w:rsidRPr="00B00AC1">
        <w:rPr>
          <w:rFonts w:ascii="Book Antiqua" w:hAnsi="Book Antiqua" w:cs="Arial"/>
          <w:b/>
          <w:sz w:val="24"/>
          <w:lang w:val="fr-FR"/>
        </w:rPr>
        <w:t xml:space="preserve">Duo Li, </w:t>
      </w:r>
      <w:r w:rsidRPr="00B00AC1">
        <w:rPr>
          <w:rFonts w:ascii="Book Antiqua" w:hAnsi="Book Antiqua" w:cs="Arial"/>
          <w:bCs/>
          <w:sz w:val="24"/>
        </w:rPr>
        <w:t>Department of Oncology, Shijitan Hospital, Capi</w:t>
      </w:r>
      <w:r>
        <w:rPr>
          <w:rFonts w:ascii="Book Antiqua" w:hAnsi="Book Antiqua" w:cs="Arial"/>
          <w:bCs/>
          <w:sz w:val="24"/>
        </w:rPr>
        <w:t>tal Medical University, Beijing</w:t>
      </w:r>
      <w:r w:rsidRPr="00B00AC1">
        <w:rPr>
          <w:rFonts w:ascii="Book Antiqua" w:hAnsi="Book Antiqua" w:cs="Arial"/>
          <w:bCs/>
          <w:sz w:val="24"/>
        </w:rPr>
        <w:t xml:space="preserve"> 100038, China</w:t>
      </w:r>
    </w:p>
    <w:p w14:paraId="08DB134A" w14:textId="6807767E" w:rsidR="00B00AC1" w:rsidRDefault="00B00AC1">
      <w:pPr>
        <w:widowControl/>
        <w:jc w:val="left"/>
        <w:rPr>
          <w:rFonts w:ascii="Book Antiqua" w:hAnsi="Book Antiqua" w:cs="Arial"/>
          <w:sz w:val="24"/>
          <w:lang w:val="fr-FR"/>
        </w:rPr>
      </w:pPr>
    </w:p>
    <w:p w14:paraId="289CE781" w14:textId="25B65D2A" w:rsidR="00B00AC1" w:rsidRPr="00B00AC1" w:rsidRDefault="00B00AC1" w:rsidP="00B00AC1">
      <w:pPr>
        <w:spacing w:line="360" w:lineRule="auto"/>
        <w:rPr>
          <w:rFonts w:ascii="Book Antiqua" w:hAnsi="Book Antiqua" w:cs="Arial"/>
          <w:b/>
          <w:sz w:val="24"/>
          <w:lang w:val="fr-FR"/>
        </w:rPr>
      </w:pPr>
      <w:r w:rsidRPr="00B00AC1">
        <w:rPr>
          <w:rFonts w:ascii="Book Antiqua" w:hAnsi="Book Antiqua" w:cs="Arial"/>
          <w:b/>
          <w:sz w:val="24"/>
          <w:lang w:val="fr-FR"/>
        </w:rPr>
        <w:t>Pankaj Prasoon, Qi Zhang</w:t>
      </w:r>
      <w:r w:rsidRPr="00B00AC1">
        <w:rPr>
          <w:rFonts w:ascii="Book Antiqua" w:hAnsi="Book Antiqua" w:cs="Arial" w:hint="eastAsia"/>
          <w:b/>
          <w:sz w:val="24"/>
          <w:lang w:val="fr-FR"/>
        </w:rPr>
        <w:t xml:space="preserve">, </w:t>
      </w:r>
      <w:r w:rsidRPr="00B00AC1">
        <w:rPr>
          <w:rFonts w:ascii="Book Antiqua" w:hAnsi="Book Antiqua" w:cs="Arial"/>
          <w:bCs/>
          <w:sz w:val="24"/>
        </w:rPr>
        <w:t xml:space="preserve">Department of Hepatobiliary and Pancreatic Surgery, the Second Affiliated Hospital, Zhejiang University School of Medicine, Hangzhou 310009, </w:t>
      </w:r>
      <w:r>
        <w:rPr>
          <w:rFonts w:ascii="Book Antiqua" w:hAnsi="Book Antiqua" w:cs="Arial" w:hint="eastAsia"/>
          <w:kern w:val="0"/>
          <w:sz w:val="24"/>
        </w:rPr>
        <w:t xml:space="preserve">Zhejiang Province, </w:t>
      </w:r>
      <w:r w:rsidRPr="00B00AC1">
        <w:rPr>
          <w:rFonts w:ascii="Book Antiqua" w:hAnsi="Book Antiqua" w:cs="Arial"/>
          <w:bCs/>
          <w:sz w:val="24"/>
        </w:rPr>
        <w:t>China</w:t>
      </w:r>
    </w:p>
    <w:p w14:paraId="43016C1A" w14:textId="77777777" w:rsidR="00B00AC1" w:rsidRDefault="00B00AC1" w:rsidP="00B00AC1">
      <w:pPr>
        <w:spacing w:line="360" w:lineRule="auto"/>
        <w:rPr>
          <w:rFonts w:ascii="Book Antiqua" w:hAnsi="Book Antiqua" w:cs="Arial"/>
          <w:sz w:val="24"/>
          <w:lang w:val="fr-FR"/>
        </w:rPr>
      </w:pPr>
    </w:p>
    <w:p w14:paraId="22658363" w14:textId="3D93F3FD" w:rsidR="00F45BC7" w:rsidRPr="00B00AC1" w:rsidRDefault="00B00AC1" w:rsidP="00B00AC1">
      <w:pPr>
        <w:spacing w:line="360" w:lineRule="auto"/>
        <w:rPr>
          <w:rFonts w:ascii="Book Antiqua" w:hAnsi="Book Antiqua" w:cs="Arial"/>
          <w:b/>
          <w:sz w:val="24"/>
          <w:lang w:val="fr-FR"/>
        </w:rPr>
      </w:pPr>
      <w:r w:rsidRPr="00B00AC1">
        <w:rPr>
          <w:rFonts w:ascii="Book Antiqua" w:hAnsi="Book Antiqua" w:cs="Arial"/>
          <w:b/>
          <w:sz w:val="24"/>
          <w:lang w:val="fr-FR"/>
        </w:rPr>
        <w:t>Qi Zhang</w:t>
      </w:r>
      <w:r w:rsidRPr="00B00AC1">
        <w:rPr>
          <w:rFonts w:ascii="Book Antiqua" w:hAnsi="Book Antiqua" w:cs="Arial" w:hint="eastAsia"/>
          <w:b/>
          <w:sz w:val="24"/>
          <w:lang w:val="fr-FR"/>
        </w:rPr>
        <w:t xml:space="preserve">, </w:t>
      </w:r>
      <w:r w:rsidR="00F45BC7" w:rsidRPr="00B00AC1">
        <w:rPr>
          <w:rFonts w:ascii="Book Antiqua" w:hAnsi="Book Antiqua" w:cs="Arial"/>
          <w:sz w:val="24"/>
          <w:shd w:val="clear" w:color="auto" w:fill="FFFFFF"/>
        </w:rPr>
        <w:t xml:space="preserve">Key Laboratory of Cancer Prevention and Intervention, </w:t>
      </w:r>
      <w:r w:rsidR="00A50F92" w:rsidRPr="00B00AC1">
        <w:rPr>
          <w:rFonts w:ascii="Book Antiqua" w:hAnsi="Book Antiqua" w:cs="Arial"/>
          <w:sz w:val="24"/>
          <w:shd w:val="clear" w:color="auto" w:fill="FFFFFF"/>
        </w:rPr>
        <w:t xml:space="preserve">National </w:t>
      </w:r>
      <w:r w:rsidR="00A50F92" w:rsidRPr="00B00AC1">
        <w:rPr>
          <w:rFonts w:ascii="Book Antiqua" w:hAnsi="Book Antiqua" w:cs="Arial"/>
          <w:sz w:val="24"/>
          <w:shd w:val="clear" w:color="auto" w:fill="FFFFFF"/>
        </w:rPr>
        <w:lastRenderedPageBreak/>
        <w:t>Ministry of Education</w:t>
      </w:r>
      <w:r w:rsidR="00F45BC7" w:rsidRPr="00B00AC1">
        <w:rPr>
          <w:rFonts w:ascii="Book Antiqua" w:hAnsi="Book Antiqua" w:cs="Arial"/>
          <w:kern w:val="0"/>
          <w:sz w:val="24"/>
        </w:rPr>
        <w:t xml:space="preserve">, Hangzhou 310009, </w:t>
      </w:r>
      <w:r>
        <w:rPr>
          <w:rFonts w:ascii="Book Antiqua" w:hAnsi="Book Antiqua" w:cs="Arial" w:hint="eastAsia"/>
          <w:kern w:val="0"/>
          <w:sz w:val="24"/>
        </w:rPr>
        <w:t xml:space="preserve">Zhejiang Province, </w:t>
      </w:r>
      <w:r w:rsidR="00F45BC7" w:rsidRPr="00B00AC1">
        <w:rPr>
          <w:rFonts w:ascii="Book Antiqua" w:hAnsi="Book Antiqua" w:cs="Arial"/>
          <w:kern w:val="0"/>
          <w:sz w:val="24"/>
        </w:rPr>
        <w:t>China</w:t>
      </w:r>
    </w:p>
    <w:p w14:paraId="2B6E368C" w14:textId="77777777" w:rsidR="00F45BC7" w:rsidRPr="00B00AC1" w:rsidRDefault="00F45BC7" w:rsidP="00B00AC1">
      <w:pPr>
        <w:spacing w:line="360" w:lineRule="auto"/>
        <w:rPr>
          <w:rFonts w:ascii="Book Antiqua" w:hAnsi="Book Antiqua" w:cs="Arial"/>
          <w:sz w:val="24"/>
        </w:rPr>
      </w:pPr>
    </w:p>
    <w:p w14:paraId="3E2F5A92" w14:textId="5D3095EC" w:rsidR="00F45BC7" w:rsidRPr="00B00AC1" w:rsidRDefault="00B00AC1" w:rsidP="00B00AC1">
      <w:pPr>
        <w:spacing w:line="360" w:lineRule="auto"/>
        <w:rPr>
          <w:rFonts w:ascii="Book Antiqua" w:hAnsi="Book Antiqua" w:cs="Arial"/>
          <w:sz w:val="24"/>
        </w:rPr>
      </w:pPr>
      <w:r w:rsidRPr="0077673F">
        <w:rPr>
          <w:rFonts w:ascii="Book Antiqua" w:hAnsi="Book Antiqua"/>
          <w:b/>
          <w:sz w:val="24"/>
        </w:rPr>
        <w:t>Author contributions:</w:t>
      </w:r>
      <w:r w:rsidR="00F45BC7" w:rsidRPr="00B00AC1">
        <w:rPr>
          <w:rFonts w:ascii="Book Antiqua" w:hAnsi="Book Antiqua" w:cs="Arial"/>
          <w:sz w:val="24"/>
        </w:rPr>
        <w:t xml:space="preserve"> Hong YP and Zhang Q wrote the manuscript; Li ZD performed the searches and made critical revision to the manuscript</w:t>
      </w:r>
      <w:r>
        <w:rPr>
          <w:rFonts w:ascii="Book Antiqua" w:hAnsi="Book Antiqua" w:cs="Arial" w:hint="eastAsia"/>
          <w:sz w:val="24"/>
        </w:rPr>
        <w:t>;</w:t>
      </w:r>
      <w:r w:rsidR="003E22BD" w:rsidRPr="00B00AC1">
        <w:rPr>
          <w:rFonts w:ascii="Book Antiqua" w:hAnsi="Book Antiqua" w:cs="Arial"/>
          <w:sz w:val="24"/>
        </w:rPr>
        <w:t xml:space="preserve"> Prasoon P revised the manuscript.</w:t>
      </w:r>
    </w:p>
    <w:p w14:paraId="39B27858" w14:textId="77777777" w:rsidR="00F45BC7" w:rsidRPr="00B00AC1" w:rsidRDefault="00F45BC7" w:rsidP="00B00AC1">
      <w:pPr>
        <w:spacing w:line="360" w:lineRule="auto"/>
        <w:rPr>
          <w:rFonts w:ascii="Book Antiqua" w:hAnsi="Book Antiqua" w:cs="Arial"/>
          <w:sz w:val="24"/>
        </w:rPr>
      </w:pPr>
    </w:p>
    <w:p w14:paraId="0EBF91A0" w14:textId="52A5920C" w:rsidR="00F45BC7" w:rsidRPr="00B00AC1" w:rsidRDefault="00B00AC1" w:rsidP="00B00AC1">
      <w:pPr>
        <w:spacing w:line="360" w:lineRule="auto"/>
        <w:rPr>
          <w:rFonts w:ascii="Book Antiqua" w:hAnsi="Book Antiqua" w:cs="Arial"/>
          <w:sz w:val="24"/>
        </w:rPr>
      </w:pPr>
      <w:r w:rsidRPr="005C3E57">
        <w:rPr>
          <w:rFonts w:ascii="Book Antiqua" w:hAnsi="Book Antiqua"/>
          <w:b/>
          <w:sz w:val="24"/>
        </w:rPr>
        <w:t>Supported by</w:t>
      </w:r>
      <w:r w:rsidR="00F45BC7" w:rsidRPr="00B00AC1">
        <w:rPr>
          <w:rFonts w:ascii="Book Antiqua" w:hAnsi="Book Antiqua" w:cs="Arial"/>
          <w:sz w:val="24"/>
        </w:rPr>
        <w:t xml:space="preserve"> the National Natural Science Foundation of China</w:t>
      </w:r>
      <w:r>
        <w:rPr>
          <w:rFonts w:ascii="Book Antiqua" w:hAnsi="Book Antiqua" w:cs="Arial" w:hint="eastAsia"/>
          <w:sz w:val="24"/>
        </w:rPr>
        <w:t xml:space="preserve">, </w:t>
      </w:r>
      <w:r>
        <w:rPr>
          <w:rFonts w:ascii="Book Antiqua" w:hAnsi="Book Antiqua" w:cs="Arial"/>
          <w:sz w:val="24"/>
        </w:rPr>
        <w:t>No. 81401954</w:t>
      </w:r>
      <w:r>
        <w:rPr>
          <w:rFonts w:ascii="Book Antiqua" w:hAnsi="Book Antiqua" w:cs="Arial" w:hint="eastAsia"/>
          <w:sz w:val="24"/>
        </w:rPr>
        <w:t>.</w:t>
      </w:r>
    </w:p>
    <w:p w14:paraId="2AE89B57" w14:textId="77777777" w:rsidR="00EC079F" w:rsidRPr="00B00AC1" w:rsidRDefault="00EC079F" w:rsidP="00B00AC1">
      <w:pPr>
        <w:spacing w:line="360" w:lineRule="auto"/>
        <w:rPr>
          <w:rFonts w:ascii="Book Antiqua" w:hAnsi="Book Antiqua" w:cs="Arial"/>
          <w:sz w:val="24"/>
        </w:rPr>
      </w:pPr>
    </w:p>
    <w:p w14:paraId="66426FCE" w14:textId="34E0ACE7" w:rsidR="00F45BC7" w:rsidRPr="00B00AC1" w:rsidRDefault="00E73675" w:rsidP="00B00AC1">
      <w:pPr>
        <w:spacing w:line="360" w:lineRule="auto"/>
        <w:rPr>
          <w:rFonts w:ascii="Book Antiqua" w:eastAsiaTheme="minorEastAsia" w:hAnsi="Book Antiqua"/>
          <w:b/>
          <w:sz w:val="24"/>
        </w:rPr>
      </w:pPr>
      <w:r w:rsidRPr="00B00AC1">
        <w:rPr>
          <w:rFonts w:ascii="Book Antiqua" w:eastAsia="Times New Roman" w:hAnsi="Book Antiqua"/>
          <w:b/>
          <w:sz w:val="24"/>
        </w:rPr>
        <w:t>Conflict-of-interest</w:t>
      </w:r>
      <w:r w:rsidR="00451CC4" w:rsidRPr="00B00AC1">
        <w:rPr>
          <w:rFonts w:ascii="Book Antiqua" w:eastAsia="Times New Roman" w:hAnsi="Book Antiqua"/>
          <w:b/>
          <w:sz w:val="24"/>
        </w:rPr>
        <w:t xml:space="preserve">: </w:t>
      </w:r>
      <w:r w:rsidR="00451CC4" w:rsidRPr="00B00AC1">
        <w:rPr>
          <w:rFonts w:ascii="Book Antiqua" w:eastAsia="Times New Roman" w:hAnsi="Book Antiqua"/>
          <w:sz w:val="24"/>
        </w:rPr>
        <w:t>The authors declared no conflict of interest</w:t>
      </w:r>
      <w:r w:rsidR="00EC079F" w:rsidRPr="00B00AC1">
        <w:rPr>
          <w:rFonts w:ascii="Book Antiqua" w:eastAsia="Times New Roman" w:hAnsi="Book Antiqua"/>
          <w:sz w:val="24"/>
        </w:rPr>
        <w:t>s</w:t>
      </w:r>
      <w:r w:rsidR="00451CC4" w:rsidRPr="00B00AC1">
        <w:rPr>
          <w:rFonts w:ascii="Book Antiqua" w:eastAsia="Times New Roman" w:hAnsi="Book Antiqua"/>
          <w:sz w:val="24"/>
        </w:rPr>
        <w:t>.</w:t>
      </w:r>
    </w:p>
    <w:p w14:paraId="69B826A4" w14:textId="77777777" w:rsidR="00E73675" w:rsidRDefault="00E73675" w:rsidP="001975A8">
      <w:pPr>
        <w:spacing w:line="360" w:lineRule="auto"/>
        <w:rPr>
          <w:rFonts w:ascii="Book Antiqua" w:eastAsiaTheme="minorEastAsia" w:hAnsi="Book Antiqua" w:cs="Arial"/>
          <w:sz w:val="24"/>
        </w:rPr>
      </w:pPr>
    </w:p>
    <w:p w14:paraId="655574FA" w14:textId="77777777" w:rsidR="001975A8" w:rsidRPr="00665E0C" w:rsidRDefault="001975A8" w:rsidP="001975A8">
      <w:pPr>
        <w:pStyle w:val="CommentText"/>
        <w:adjustRightInd w:val="0"/>
        <w:snapToGrid w:val="0"/>
        <w:spacing w:line="360" w:lineRule="auto"/>
        <w:jc w:val="both"/>
        <w:rPr>
          <w:rFonts w:ascii="Book Antiqua" w:hAnsi="Book Antiqua"/>
          <w:sz w:val="24"/>
        </w:rPr>
      </w:pPr>
      <w:bookmarkStart w:id="0" w:name="OLE_LINK507"/>
      <w:bookmarkStart w:id="1" w:name="OLE_LINK506"/>
      <w:bookmarkStart w:id="2" w:name="OLE_LINK496"/>
      <w:bookmarkStart w:id="3" w:name="OLE_LINK479"/>
      <w:r w:rsidRPr="00665E0C">
        <w:rPr>
          <w:rFonts w:ascii="Book Antiqua" w:hAnsi="Book Antiqua"/>
          <w:b/>
          <w:sz w:val="24"/>
        </w:rPr>
        <w:t xml:space="preserve">Open-Access: </w:t>
      </w:r>
      <w:r w:rsidRPr="00665E0C">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0F07F6E" w14:textId="77777777" w:rsidR="001975A8" w:rsidRPr="001975A8" w:rsidRDefault="001975A8" w:rsidP="00B00AC1">
      <w:pPr>
        <w:spacing w:line="360" w:lineRule="auto"/>
        <w:rPr>
          <w:rFonts w:ascii="Book Antiqua" w:eastAsiaTheme="minorEastAsia" w:hAnsi="Book Antiqua" w:cs="Arial"/>
          <w:sz w:val="24"/>
        </w:rPr>
      </w:pPr>
    </w:p>
    <w:p w14:paraId="2A55EBE4" w14:textId="6C88BADC" w:rsidR="00B00AC1" w:rsidRDefault="00F45BC7" w:rsidP="00B00AC1">
      <w:pPr>
        <w:spacing w:line="360" w:lineRule="auto"/>
        <w:rPr>
          <w:rFonts w:ascii="Book Antiqua" w:hAnsi="Book Antiqua" w:cs="Arial"/>
          <w:sz w:val="24"/>
        </w:rPr>
      </w:pPr>
      <w:r w:rsidRPr="00B00AC1">
        <w:rPr>
          <w:rFonts w:ascii="Book Antiqua" w:hAnsi="Book Antiqua" w:cs="Arial"/>
          <w:b/>
          <w:sz w:val="24"/>
        </w:rPr>
        <w:t>Correspondence to:</w:t>
      </w:r>
      <w:r w:rsidRPr="00B00AC1">
        <w:rPr>
          <w:rFonts w:ascii="Book Antiqua" w:hAnsi="Book Antiqua" w:cs="Arial"/>
          <w:sz w:val="24"/>
        </w:rPr>
        <w:t xml:space="preserve"> </w:t>
      </w:r>
      <w:r w:rsidR="00B00AC1" w:rsidRPr="00B00AC1">
        <w:rPr>
          <w:rFonts w:ascii="Book Antiqua" w:hAnsi="Book Antiqua" w:cs="Arial"/>
          <w:b/>
          <w:sz w:val="24"/>
          <w:lang w:val="fr-FR"/>
        </w:rPr>
        <w:t>Qi Zhang</w:t>
      </w:r>
      <w:r w:rsidR="00B00AC1" w:rsidRPr="00B00AC1">
        <w:rPr>
          <w:rFonts w:ascii="Book Antiqua" w:hAnsi="Book Antiqua" w:cs="Arial" w:hint="eastAsia"/>
          <w:b/>
          <w:sz w:val="24"/>
          <w:lang w:val="fr-FR"/>
        </w:rPr>
        <w:t xml:space="preserve">, </w:t>
      </w:r>
      <w:r w:rsidR="00B00AC1" w:rsidRPr="00B00AC1">
        <w:rPr>
          <w:rFonts w:ascii="Book Antiqua" w:hAnsi="Book Antiqua" w:cs="Arial"/>
          <w:b/>
          <w:sz w:val="24"/>
        </w:rPr>
        <w:t>MD</w:t>
      </w:r>
      <w:r w:rsidR="00B00AC1" w:rsidRPr="00B00AC1">
        <w:rPr>
          <w:rFonts w:ascii="Book Antiqua" w:hAnsi="Book Antiqua" w:cs="Arial"/>
          <w:sz w:val="24"/>
        </w:rPr>
        <w:t>,</w:t>
      </w:r>
      <w:r w:rsidR="00B00AC1">
        <w:rPr>
          <w:rFonts w:ascii="Book Antiqua" w:hAnsi="Book Antiqua" w:cs="Arial" w:hint="eastAsia"/>
          <w:sz w:val="24"/>
        </w:rPr>
        <w:t xml:space="preserve"> </w:t>
      </w:r>
      <w:r w:rsidR="00B00AC1" w:rsidRPr="00B00AC1">
        <w:rPr>
          <w:rFonts w:ascii="Book Antiqua" w:hAnsi="Book Antiqua" w:cs="Arial"/>
          <w:bCs/>
          <w:sz w:val="24"/>
        </w:rPr>
        <w:t xml:space="preserve">Department of Hepatobiliary and Pancreatic Surgery, the Second Affiliated Hospital, Zhejiang University School of Medicine, </w:t>
      </w:r>
      <w:r w:rsidR="00B00AC1" w:rsidRPr="00B00AC1">
        <w:rPr>
          <w:rFonts w:ascii="Book Antiqua" w:hAnsi="Book Antiqua" w:cs="Arial"/>
          <w:sz w:val="24"/>
        </w:rPr>
        <w:t>No.</w:t>
      </w:r>
      <w:r w:rsidR="00B00AC1">
        <w:rPr>
          <w:rFonts w:ascii="Book Antiqua" w:hAnsi="Book Antiqua" w:cs="Arial" w:hint="eastAsia"/>
          <w:sz w:val="24"/>
        </w:rPr>
        <w:t xml:space="preserve"> </w:t>
      </w:r>
      <w:r w:rsidR="00B00AC1" w:rsidRPr="00B00AC1">
        <w:rPr>
          <w:rFonts w:ascii="Book Antiqua" w:hAnsi="Book Antiqua" w:cs="Arial"/>
          <w:sz w:val="24"/>
        </w:rPr>
        <w:t>88 Jiefang Road,</w:t>
      </w:r>
      <w:r w:rsidR="00B00AC1">
        <w:rPr>
          <w:rFonts w:ascii="Book Antiqua" w:hAnsi="Book Antiqua" w:cs="Arial" w:hint="eastAsia"/>
          <w:sz w:val="24"/>
        </w:rPr>
        <w:t xml:space="preserve"> </w:t>
      </w:r>
      <w:r w:rsidR="00B00AC1" w:rsidRPr="00B00AC1">
        <w:rPr>
          <w:rFonts w:ascii="Book Antiqua" w:hAnsi="Book Antiqua" w:cs="Arial"/>
          <w:bCs/>
          <w:sz w:val="24"/>
        </w:rPr>
        <w:t xml:space="preserve">Hangzhou 310009, </w:t>
      </w:r>
      <w:r w:rsidR="00B00AC1">
        <w:rPr>
          <w:rFonts w:ascii="Book Antiqua" w:hAnsi="Book Antiqua" w:cs="Arial" w:hint="eastAsia"/>
          <w:kern w:val="0"/>
          <w:sz w:val="24"/>
        </w:rPr>
        <w:t xml:space="preserve">Zhejiang Province, </w:t>
      </w:r>
      <w:r w:rsidR="00B00AC1" w:rsidRPr="00B00AC1">
        <w:rPr>
          <w:rFonts w:ascii="Book Antiqua" w:hAnsi="Book Antiqua" w:cs="Arial"/>
          <w:bCs/>
          <w:sz w:val="24"/>
        </w:rPr>
        <w:t>China</w:t>
      </w:r>
      <w:r w:rsidR="00B00AC1">
        <w:rPr>
          <w:rFonts w:ascii="Book Antiqua" w:hAnsi="Book Antiqua" w:cs="Arial" w:hint="eastAsia"/>
          <w:sz w:val="24"/>
        </w:rPr>
        <w:t>.</w:t>
      </w:r>
      <w:r w:rsidR="00B00AC1">
        <w:rPr>
          <w:rFonts w:ascii="Book Antiqua" w:hAnsi="Book Antiqua" w:cs="Arial"/>
          <w:sz w:val="24"/>
        </w:rPr>
        <w:t xml:space="preserve"> zhangqi86@gmail.com</w:t>
      </w:r>
    </w:p>
    <w:p w14:paraId="7523BBAC" w14:textId="77777777" w:rsidR="00B00AC1" w:rsidRDefault="00B00AC1" w:rsidP="00B00AC1">
      <w:pPr>
        <w:spacing w:line="360" w:lineRule="auto"/>
        <w:rPr>
          <w:rFonts w:ascii="Book Antiqua" w:hAnsi="Book Antiqua" w:cs="Arial"/>
          <w:sz w:val="24"/>
        </w:rPr>
      </w:pPr>
    </w:p>
    <w:p w14:paraId="1DC81305" w14:textId="15F3D1E4" w:rsidR="00F45BC7" w:rsidRPr="00B00AC1" w:rsidRDefault="00F45BC7" w:rsidP="00B00AC1">
      <w:pPr>
        <w:spacing w:line="360" w:lineRule="auto"/>
        <w:rPr>
          <w:rFonts w:ascii="Book Antiqua" w:hAnsi="Book Antiqua" w:cs="Arial"/>
          <w:sz w:val="24"/>
        </w:rPr>
      </w:pPr>
      <w:r w:rsidRPr="00B00AC1">
        <w:rPr>
          <w:rFonts w:ascii="Book Antiqua" w:hAnsi="Book Antiqua" w:cs="Arial"/>
          <w:b/>
          <w:sz w:val="24"/>
        </w:rPr>
        <w:t xml:space="preserve">Telephone: </w:t>
      </w:r>
      <w:r w:rsidR="00B00AC1">
        <w:rPr>
          <w:rFonts w:ascii="Book Antiqua" w:hAnsi="Book Antiqua" w:cs="Arial"/>
          <w:sz w:val="24"/>
        </w:rPr>
        <w:t>+86</w:t>
      </w:r>
      <w:r w:rsidR="00B00AC1">
        <w:rPr>
          <w:rFonts w:ascii="Book Antiqua" w:hAnsi="Book Antiqua" w:cs="Arial" w:hint="eastAsia"/>
          <w:sz w:val="24"/>
        </w:rPr>
        <w:t>-</w:t>
      </w:r>
      <w:r w:rsidR="00B00AC1">
        <w:rPr>
          <w:rFonts w:ascii="Book Antiqua" w:hAnsi="Book Antiqua" w:cs="Arial"/>
          <w:sz w:val="24"/>
        </w:rPr>
        <w:t>571</w:t>
      </w:r>
      <w:r w:rsidR="00B00AC1">
        <w:rPr>
          <w:rFonts w:ascii="Book Antiqua" w:hAnsi="Book Antiqua" w:cs="Arial" w:hint="eastAsia"/>
          <w:sz w:val="24"/>
        </w:rPr>
        <w:t>-</w:t>
      </w:r>
      <w:r w:rsidRPr="00B00AC1">
        <w:rPr>
          <w:rFonts w:ascii="Book Antiqua" w:hAnsi="Book Antiqua" w:cs="Arial"/>
          <w:sz w:val="24"/>
        </w:rPr>
        <w:t>8731</w:t>
      </w:r>
      <w:r w:rsidR="00B00AC1">
        <w:rPr>
          <w:rFonts w:ascii="Book Antiqua" w:hAnsi="Book Antiqua" w:cs="Arial"/>
          <w:sz w:val="24"/>
        </w:rPr>
        <w:t>5207</w:t>
      </w:r>
    </w:p>
    <w:p w14:paraId="28AB4B47" w14:textId="77777777" w:rsidR="00F45BC7" w:rsidRDefault="00F45BC7" w:rsidP="00B00AC1">
      <w:pPr>
        <w:spacing w:line="360" w:lineRule="auto"/>
        <w:rPr>
          <w:rFonts w:ascii="Book Antiqua" w:hAnsi="Book Antiqua" w:cs="Arial"/>
          <w:b/>
          <w:bCs/>
          <w:sz w:val="24"/>
        </w:rPr>
      </w:pPr>
    </w:p>
    <w:p w14:paraId="720D691C" w14:textId="408DF9F2" w:rsidR="00B00AC1" w:rsidRPr="00B00AC1" w:rsidRDefault="00B00AC1" w:rsidP="00B00AC1">
      <w:pPr>
        <w:spacing w:line="360" w:lineRule="auto"/>
        <w:rPr>
          <w:rFonts w:ascii="Book Antiqua" w:hAnsi="Book Antiqua"/>
          <w:sz w:val="24"/>
        </w:rPr>
      </w:pPr>
      <w:r>
        <w:rPr>
          <w:rFonts w:ascii="Book Antiqua" w:hAnsi="Book Antiqua"/>
          <w:b/>
          <w:sz w:val="24"/>
        </w:rPr>
        <w:t>Received:</w:t>
      </w:r>
      <w:r w:rsidRPr="00B00AC1">
        <w:rPr>
          <w:rFonts w:ascii="Book Antiqua" w:hAnsi="Book Antiqua" w:hint="eastAsia"/>
          <w:sz w:val="24"/>
        </w:rPr>
        <w:t xml:space="preserve"> August 28, 2014</w:t>
      </w:r>
    </w:p>
    <w:p w14:paraId="078640C0" w14:textId="62299EC4" w:rsidR="00B00AC1" w:rsidRPr="00B00AC1" w:rsidRDefault="00B00AC1" w:rsidP="00B00AC1">
      <w:pPr>
        <w:spacing w:line="360" w:lineRule="auto"/>
        <w:rPr>
          <w:rFonts w:ascii="Book Antiqua" w:hAnsi="Book Antiqua"/>
          <w:sz w:val="24"/>
        </w:rPr>
      </w:pPr>
      <w:r w:rsidRPr="009659DA">
        <w:rPr>
          <w:rFonts w:ascii="Book Antiqua" w:hAnsi="Book Antiqua" w:hint="eastAsia"/>
          <w:b/>
          <w:sz w:val="24"/>
        </w:rPr>
        <w:t>Peer-review started</w:t>
      </w:r>
      <w:r>
        <w:rPr>
          <w:rFonts w:ascii="Book Antiqua" w:hAnsi="Book Antiqua"/>
          <w:b/>
          <w:sz w:val="24"/>
        </w:rPr>
        <w:t>:</w:t>
      </w:r>
      <w:r w:rsidRPr="00B00AC1">
        <w:rPr>
          <w:rFonts w:ascii="Book Antiqua" w:hAnsi="Book Antiqua" w:hint="eastAsia"/>
          <w:sz w:val="24"/>
        </w:rPr>
        <w:t xml:space="preserve"> August 2</w:t>
      </w:r>
      <w:r>
        <w:rPr>
          <w:rFonts w:ascii="Book Antiqua" w:hAnsi="Book Antiqua" w:hint="eastAsia"/>
          <w:sz w:val="24"/>
        </w:rPr>
        <w:t>9</w:t>
      </w:r>
      <w:r w:rsidRPr="00B00AC1">
        <w:rPr>
          <w:rFonts w:ascii="Book Antiqua" w:hAnsi="Book Antiqua" w:hint="eastAsia"/>
          <w:sz w:val="24"/>
        </w:rPr>
        <w:t>, 2014</w:t>
      </w:r>
    </w:p>
    <w:p w14:paraId="446EB6AE" w14:textId="71BCC268" w:rsidR="00B00AC1" w:rsidRDefault="00B00AC1" w:rsidP="00B00AC1">
      <w:pPr>
        <w:spacing w:line="360" w:lineRule="auto"/>
        <w:rPr>
          <w:rFonts w:ascii="Book Antiqua" w:hAnsi="Book Antiqua"/>
          <w:b/>
          <w:sz w:val="24"/>
        </w:rPr>
      </w:pPr>
      <w:r w:rsidRPr="009659DA">
        <w:rPr>
          <w:rFonts w:ascii="Book Antiqua" w:hAnsi="Book Antiqua"/>
          <w:b/>
          <w:sz w:val="24"/>
        </w:rPr>
        <w:t>First decision:</w:t>
      </w:r>
      <w:r>
        <w:rPr>
          <w:rFonts w:ascii="Book Antiqua" w:hAnsi="Book Antiqua" w:hint="eastAsia"/>
          <w:b/>
          <w:sz w:val="24"/>
        </w:rPr>
        <w:t xml:space="preserve"> </w:t>
      </w:r>
      <w:r w:rsidRPr="00B00AC1">
        <w:rPr>
          <w:rFonts w:ascii="Book Antiqua" w:hAnsi="Book Antiqua" w:hint="eastAsia"/>
          <w:sz w:val="24"/>
        </w:rPr>
        <w:t>October 14, 2014</w:t>
      </w:r>
    </w:p>
    <w:p w14:paraId="6662FC23" w14:textId="7D130BEA" w:rsidR="00B00AC1" w:rsidRPr="00B00AC1" w:rsidRDefault="00B00AC1" w:rsidP="00B00AC1">
      <w:pPr>
        <w:spacing w:line="360" w:lineRule="auto"/>
        <w:rPr>
          <w:rFonts w:ascii="Book Antiqua" w:hAnsi="Book Antiqua"/>
          <w:sz w:val="24"/>
        </w:rPr>
      </w:pPr>
      <w:r>
        <w:rPr>
          <w:rFonts w:ascii="Book Antiqua" w:hAnsi="Book Antiqua"/>
          <w:b/>
          <w:sz w:val="24"/>
        </w:rPr>
        <w:t>Revised:</w:t>
      </w:r>
      <w:r>
        <w:rPr>
          <w:rFonts w:ascii="Book Antiqua" w:hAnsi="Book Antiqua" w:hint="eastAsia"/>
          <w:b/>
          <w:sz w:val="24"/>
        </w:rPr>
        <w:t xml:space="preserve"> </w:t>
      </w:r>
      <w:r w:rsidRPr="00B00AC1">
        <w:rPr>
          <w:rFonts w:ascii="Book Antiqua" w:hAnsi="Book Antiqua" w:hint="eastAsia"/>
          <w:sz w:val="24"/>
        </w:rPr>
        <w:t>December 22, 2014</w:t>
      </w:r>
    </w:p>
    <w:p w14:paraId="7E6FBD20" w14:textId="3A223F2E" w:rsidR="00B00AC1" w:rsidRPr="00DD3811" w:rsidRDefault="00B00AC1" w:rsidP="00DD3811">
      <w:pPr>
        <w:rPr>
          <w:rFonts w:ascii="Book Antiqua" w:hAnsi="Book Antiqua"/>
          <w:iCs/>
          <w:sz w:val="24"/>
          <w:szCs w:val="21"/>
        </w:rPr>
      </w:pPr>
      <w:r>
        <w:rPr>
          <w:rFonts w:ascii="Book Antiqua" w:hAnsi="Book Antiqua"/>
          <w:b/>
          <w:sz w:val="24"/>
        </w:rPr>
        <w:t>Accepted:</w:t>
      </w:r>
      <w:bookmarkStart w:id="4" w:name="OLE_LINK7"/>
      <w:bookmarkStart w:id="5" w:name="OLE_LINK9"/>
      <w:bookmarkStart w:id="6" w:name="OLE_LINK10"/>
      <w:bookmarkStart w:id="7" w:name="OLE_LINK13"/>
      <w:bookmarkStart w:id="8" w:name="OLE_LINK14"/>
      <w:bookmarkStart w:id="9" w:name="OLE_LINK17"/>
      <w:bookmarkStart w:id="10" w:name="OLE_LINK18"/>
      <w:bookmarkStart w:id="11" w:name="OLE_LINK19"/>
      <w:bookmarkStart w:id="12" w:name="OLE_LINK22"/>
      <w:bookmarkStart w:id="13" w:name="OLE_LINK24"/>
      <w:bookmarkStart w:id="14" w:name="OLE_LINK25"/>
      <w:bookmarkStart w:id="15" w:name="OLE_LINK26"/>
      <w:bookmarkStart w:id="16" w:name="OLE_LINK27"/>
      <w:bookmarkStart w:id="17" w:name="OLE_LINK28"/>
      <w:bookmarkStart w:id="18" w:name="OLE_LINK29"/>
      <w:bookmarkStart w:id="19" w:name="OLE_LINK30"/>
      <w:bookmarkStart w:id="20" w:name="OLE_LINK31"/>
      <w:bookmarkStart w:id="21" w:name="OLE_LINK32"/>
      <w:bookmarkStart w:id="22" w:name="OLE_LINK34"/>
      <w:bookmarkStart w:id="23" w:name="OLE_LINK36"/>
      <w:bookmarkStart w:id="24" w:name="OLE_LINK37"/>
      <w:bookmarkStart w:id="25" w:name="OLE_LINK38"/>
      <w:bookmarkStart w:id="26" w:name="OLE_LINK41"/>
      <w:bookmarkStart w:id="27" w:name="OLE_LINK42"/>
      <w:bookmarkStart w:id="28" w:name="OLE_LINK44"/>
      <w:bookmarkStart w:id="29" w:name="OLE_LINK45"/>
      <w:bookmarkStart w:id="30" w:name="OLE_LINK46"/>
      <w:bookmarkStart w:id="31" w:name="OLE_LINK47"/>
      <w:bookmarkStart w:id="32" w:name="OLE_LINK52"/>
      <w:bookmarkStart w:id="33" w:name="OLE_LINK43"/>
      <w:bookmarkStart w:id="34" w:name="OLE_LINK57"/>
      <w:bookmarkStart w:id="35" w:name="OLE_LINK58"/>
      <w:bookmarkStart w:id="36" w:name="OLE_LINK8"/>
      <w:bookmarkStart w:id="37" w:name="OLE_LINK62"/>
      <w:bookmarkStart w:id="38" w:name="OLE_LINK66"/>
      <w:bookmarkStart w:id="39" w:name="OLE_LINK68"/>
      <w:bookmarkStart w:id="40" w:name="OLE_LINK69"/>
      <w:bookmarkStart w:id="41" w:name="OLE_LINK71"/>
      <w:bookmarkStart w:id="42" w:name="OLE_LINK74"/>
      <w:bookmarkStart w:id="43" w:name="OLE_LINK77"/>
      <w:bookmarkStart w:id="44" w:name="OLE_LINK78"/>
      <w:bookmarkStart w:id="45" w:name="OLE_LINK72"/>
      <w:bookmarkStart w:id="46" w:name="OLE_LINK73"/>
      <w:bookmarkStart w:id="47" w:name="OLE_LINK79"/>
      <w:bookmarkStart w:id="48" w:name="OLE_LINK81"/>
      <w:bookmarkStart w:id="49" w:name="OLE_LINK86"/>
      <w:bookmarkStart w:id="50" w:name="OLE_LINK87"/>
      <w:bookmarkStart w:id="51" w:name="OLE_LINK88"/>
      <w:bookmarkStart w:id="52" w:name="OLE_LINK89"/>
      <w:bookmarkStart w:id="53" w:name="OLE_LINK92"/>
      <w:bookmarkStart w:id="54" w:name="OLE_LINK94"/>
      <w:bookmarkStart w:id="55" w:name="OLE_LINK95"/>
      <w:r w:rsidR="00DD3811" w:rsidRPr="00DD3811">
        <w:rPr>
          <w:rStyle w:val="Emphasis"/>
          <w:szCs w:val="21"/>
        </w:rPr>
        <w:t xml:space="preserve"> </w:t>
      </w:r>
      <w:r w:rsidR="00DD3811" w:rsidRPr="00765DC7">
        <w:rPr>
          <w:rStyle w:val="Emphasis"/>
          <w:szCs w:val="21"/>
        </w:rPr>
        <w:t xml:space="preserve">February </w:t>
      </w:r>
      <w:r w:rsidR="00DD3811">
        <w:rPr>
          <w:rStyle w:val="Emphasis"/>
          <w:szCs w:val="21"/>
        </w:rPr>
        <w:t>4</w:t>
      </w:r>
      <w:r w:rsidR="00DD3811" w:rsidRPr="00B50B5E">
        <w:rPr>
          <w:rStyle w:val="Emphasis"/>
          <w:szCs w:val="21"/>
        </w:rPr>
        <w:t>, 201</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00DD3811" w:rsidRPr="00B50B5E">
        <w:rPr>
          <w:rStyle w:val="Emphasis"/>
          <w:szCs w:val="21"/>
        </w:rPr>
        <w:t>5</w:t>
      </w:r>
      <w:bookmarkStart w:id="56" w:name="_GoBack"/>
      <w:bookmarkEnd w:id="56"/>
    </w:p>
    <w:p w14:paraId="1FB782D7" w14:textId="77777777" w:rsidR="00B00AC1" w:rsidRDefault="00B00AC1" w:rsidP="00B00AC1">
      <w:pPr>
        <w:spacing w:line="360" w:lineRule="auto"/>
        <w:rPr>
          <w:rFonts w:ascii="Book Antiqua" w:hAnsi="Book Antiqua"/>
          <w:b/>
          <w:sz w:val="24"/>
        </w:rPr>
      </w:pPr>
      <w:r w:rsidRPr="009659DA">
        <w:rPr>
          <w:rFonts w:ascii="Book Antiqua" w:hAnsi="Book Antiqua"/>
          <w:b/>
          <w:sz w:val="24"/>
        </w:rPr>
        <w:t>Article in press:</w:t>
      </w:r>
    </w:p>
    <w:p w14:paraId="5B1FE7D3" w14:textId="5E234281" w:rsidR="00B00AC1" w:rsidRPr="00B00AC1" w:rsidRDefault="00B00AC1" w:rsidP="00B00AC1">
      <w:pPr>
        <w:spacing w:line="360" w:lineRule="auto"/>
        <w:rPr>
          <w:rFonts w:ascii="Book Antiqua" w:hAnsi="Book Antiqua" w:cs="Arial"/>
          <w:b/>
          <w:bCs/>
          <w:sz w:val="24"/>
        </w:rPr>
      </w:pPr>
      <w:r>
        <w:rPr>
          <w:rFonts w:ascii="Book Antiqua" w:hAnsi="Book Antiqua"/>
          <w:b/>
          <w:sz w:val="24"/>
        </w:rPr>
        <w:t>Published online:</w:t>
      </w:r>
    </w:p>
    <w:p w14:paraId="5EBD196D" w14:textId="77777777" w:rsidR="00B00AC1" w:rsidRDefault="00B00AC1" w:rsidP="00B00AC1">
      <w:pPr>
        <w:spacing w:line="360" w:lineRule="auto"/>
        <w:rPr>
          <w:rFonts w:ascii="Book Antiqua" w:hAnsi="Book Antiqua" w:cs="Arial"/>
          <w:b/>
          <w:sz w:val="24"/>
        </w:rPr>
      </w:pPr>
    </w:p>
    <w:p w14:paraId="4E73B823" w14:textId="77777777" w:rsidR="00F45BC7" w:rsidRPr="00B00AC1" w:rsidRDefault="00F45BC7" w:rsidP="00B00AC1">
      <w:pPr>
        <w:spacing w:line="360" w:lineRule="auto"/>
        <w:rPr>
          <w:rFonts w:ascii="Book Antiqua" w:hAnsi="Book Antiqua" w:cs="Arial"/>
          <w:b/>
          <w:sz w:val="24"/>
        </w:rPr>
      </w:pPr>
      <w:r w:rsidRPr="00B00AC1">
        <w:rPr>
          <w:rFonts w:ascii="Book Antiqua" w:hAnsi="Book Antiqua" w:cs="Arial"/>
          <w:b/>
          <w:sz w:val="24"/>
        </w:rPr>
        <w:t>Abstract</w:t>
      </w:r>
    </w:p>
    <w:p w14:paraId="486BEC48" w14:textId="0A3B3C6B"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Hepatocellular carcinoma (HCC) is a common cancer worldwide with poor prognosis. Few</w:t>
      </w:r>
      <w:r w:rsidR="00E8782D" w:rsidRPr="00B00AC1">
        <w:rPr>
          <w:rFonts w:ascii="Book Antiqua" w:hAnsi="Book Antiqua" w:cs="Arial"/>
          <w:sz w:val="24"/>
        </w:rPr>
        <w:t xml:space="preserve"> strategies</w:t>
      </w:r>
      <w:r w:rsidRPr="00B00AC1">
        <w:rPr>
          <w:rFonts w:ascii="Book Antiqua" w:hAnsi="Book Antiqua" w:cs="Arial"/>
          <w:sz w:val="24"/>
        </w:rPr>
        <w:t xml:space="preserve"> have been prove</w:t>
      </w:r>
      <w:r w:rsidR="00E8782D" w:rsidRPr="00B00AC1">
        <w:rPr>
          <w:rFonts w:ascii="Book Antiqua" w:hAnsi="Book Antiqua" w:cs="Arial"/>
          <w:sz w:val="24"/>
        </w:rPr>
        <w:t>n</w:t>
      </w:r>
      <w:r w:rsidRPr="00B00AC1">
        <w:rPr>
          <w:rFonts w:ascii="Book Antiqua" w:hAnsi="Book Antiqua" w:cs="Arial"/>
          <w:sz w:val="24"/>
        </w:rPr>
        <w:t xml:space="preserve"> efficient in HCC treatment, </w:t>
      </w:r>
      <w:r w:rsidR="00CC1300" w:rsidRPr="00B00AC1">
        <w:rPr>
          <w:rFonts w:ascii="Book Antiqua" w:hAnsi="Book Antiqua" w:cs="Arial"/>
          <w:sz w:val="24"/>
        </w:rPr>
        <w:t xml:space="preserve">particularly </w:t>
      </w:r>
      <w:r w:rsidRPr="00B00AC1">
        <w:rPr>
          <w:rFonts w:ascii="Book Antiqua" w:hAnsi="Book Antiqua" w:cs="Arial"/>
          <w:sz w:val="24"/>
        </w:rPr>
        <w:t xml:space="preserve">for those patients not indicated for curative resection or transplantation. Immunotherapy has been developed for decades for cancer control, and is </w:t>
      </w:r>
      <w:r w:rsidR="00E51382" w:rsidRPr="00B00AC1">
        <w:rPr>
          <w:rFonts w:ascii="Book Antiqua" w:hAnsi="Book Antiqua" w:cs="Arial"/>
          <w:sz w:val="24"/>
        </w:rPr>
        <w:t>attaining</w:t>
      </w:r>
      <w:r w:rsidRPr="00B00AC1">
        <w:rPr>
          <w:rFonts w:ascii="Book Antiqua" w:hAnsi="Book Antiqua" w:cs="Arial"/>
          <w:sz w:val="24"/>
        </w:rPr>
        <w:t xml:space="preserve"> more attention </w:t>
      </w:r>
      <w:r w:rsidR="00F35762" w:rsidRPr="00B00AC1">
        <w:rPr>
          <w:rFonts w:ascii="Book Antiqua" w:hAnsi="Book Antiqua" w:cs="Arial"/>
          <w:sz w:val="24"/>
        </w:rPr>
        <w:t>as a result of encouraging outcomes</w:t>
      </w:r>
      <w:r w:rsidRPr="00B00AC1">
        <w:rPr>
          <w:rFonts w:ascii="Book Antiqua" w:hAnsi="Book Antiqua" w:cs="Arial"/>
          <w:sz w:val="24"/>
        </w:rPr>
        <w:t xml:space="preserve"> of new strategies such as chimeric antigen receptor T cells and immune checkpoint blockade. </w:t>
      </w:r>
      <w:r w:rsidR="00F35762" w:rsidRPr="00B00AC1">
        <w:rPr>
          <w:rFonts w:ascii="Book Antiqua" w:hAnsi="Book Antiqua" w:cs="Arial"/>
          <w:sz w:val="24"/>
        </w:rPr>
        <w:t>Right i</w:t>
      </w:r>
      <w:r w:rsidRPr="00B00AC1">
        <w:rPr>
          <w:rFonts w:ascii="Book Antiqua" w:hAnsi="Book Antiqua" w:cs="Arial"/>
          <w:sz w:val="24"/>
        </w:rPr>
        <w:t xml:space="preserve">n the front of new era of immunotherapy, we reviewed the immunotherapy in HCC treatment, from basic research to clinical trials, </w:t>
      </w:r>
      <w:r w:rsidR="00103965" w:rsidRPr="00B00AC1">
        <w:rPr>
          <w:rFonts w:ascii="Book Antiqua" w:hAnsi="Book Antiqua" w:cs="Arial"/>
          <w:sz w:val="24"/>
        </w:rPr>
        <w:t xml:space="preserve">covering anything </w:t>
      </w:r>
      <w:r w:rsidRPr="00B00AC1">
        <w:rPr>
          <w:rFonts w:ascii="Book Antiqua" w:hAnsi="Book Antiqua" w:cs="Arial"/>
          <w:sz w:val="24"/>
        </w:rPr>
        <w:t xml:space="preserve">from immunomodulators, tumor vaccines, and adoptive immunotherapy. The mechanisms, efficacy and safety as well as the </w:t>
      </w:r>
      <w:r w:rsidR="00103965" w:rsidRPr="00B00AC1">
        <w:rPr>
          <w:rFonts w:ascii="Book Antiqua" w:hAnsi="Book Antiqua" w:cs="Arial"/>
          <w:sz w:val="24"/>
        </w:rPr>
        <w:t>approach particulars</w:t>
      </w:r>
      <w:r w:rsidRPr="00B00AC1">
        <w:rPr>
          <w:rFonts w:ascii="Book Antiqua" w:hAnsi="Book Antiqua" w:cs="Arial"/>
          <w:sz w:val="24"/>
        </w:rPr>
        <w:t xml:space="preserve"> were </w:t>
      </w:r>
      <w:r w:rsidR="00EE7A38" w:rsidRPr="00B00AC1">
        <w:rPr>
          <w:rFonts w:ascii="Book Antiqua" w:hAnsi="Book Antiqua" w:cs="Arial"/>
          <w:sz w:val="24"/>
        </w:rPr>
        <w:t xml:space="preserve">unveiled </w:t>
      </w:r>
      <w:r w:rsidR="00103965" w:rsidRPr="00B00AC1">
        <w:rPr>
          <w:rFonts w:ascii="Book Antiqua" w:hAnsi="Book Antiqua" w:cs="Arial"/>
          <w:sz w:val="24"/>
        </w:rPr>
        <w:t>in assist the</w:t>
      </w:r>
      <w:r w:rsidRPr="00B00AC1">
        <w:rPr>
          <w:rFonts w:ascii="Book Antiqua" w:hAnsi="Book Antiqua" w:cs="Arial"/>
          <w:sz w:val="24"/>
        </w:rPr>
        <w:t xml:space="preserve"> readers </w:t>
      </w:r>
      <w:r w:rsidR="00103965" w:rsidRPr="00B00AC1">
        <w:rPr>
          <w:rFonts w:ascii="Book Antiqua" w:hAnsi="Book Antiqua" w:cs="Arial"/>
          <w:sz w:val="24"/>
        </w:rPr>
        <w:t xml:space="preserve">to </w:t>
      </w:r>
      <w:r w:rsidRPr="00B00AC1">
        <w:rPr>
          <w:rFonts w:ascii="Book Antiqua" w:hAnsi="Book Antiqua" w:cs="Arial"/>
          <w:sz w:val="24"/>
        </w:rPr>
        <w:t xml:space="preserve">gain a concise but </w:t>
      </w:r>
      <w:r w:rsidR="00103965" w:rsidRPr="00B00AC1">
        <w:rPr>
          <w:rFonts w:ascii="Book Antiqua" w:hAnsi="Book Antiqua" w:cs="Arial"/>
          <w:sz w:val="24"/>
        </w:rPr>
        <w:t xml:space="preserve">extensive </w:t>
      </w:r>
      <w:r w:rsidRPr="00B00AC1">
        <w:rPr>
          <w:rFonts w:ascii="Book Antiqua" w:hAnsi="Book Antiqua" w:cs="Arial"/>
          <w:sz w:val="24"/>
        </w:rPr>
        <w:t>understanding of immunotherapy of HCC</w:t>
      </w:r>
    </w:p>
    <w:p w14:paraId="1571AE9A" w14:textId="77777777" w:rsidR="00F45BC7" w:rsidRPr="00B00AC1" w:rsidRDefault="00F45BC7" w:rsidP="00B00AC1">
      <w:pPr>
        <w:spacing w:line="360" w:lineRule="auto"/>
        <w:rPr>
          <w:rFonts w:ascii="Book Antiqua" w:hAnsi="Book Antiqua" w:cs="Arial"/>
          <w:sz w:val="24"/>
        </w:rPr>
      </w:pPr>
    </w:p>
    <w:p w14:paraId="454402D1" w14:textId="22AE82C1" w:rsidR="00F45BC7" w:rsidRPr="00B00AC1" w:rsidRDefault="00F45BC7" w:rsidP="00B00AC1">
      <w:pPr>
        <w:spacing w:line="360" w:lineRule="auto"/>
        <w:rPr>
          <w:rFonts w:ascii="Book Antiqua" w:hAnsi="Book Antiqua" w:cs="Arial"/>
          <w:sz w:val="24"/>
        </w:rPr>
      </w:pPr>
      <w:r w:rsidRPr="00B00AC1">
        <w:rPr>
          <w:rFonts w:ascii="Book Antiqua" w:hAnsi="Book Antiqua" w:cs="Arial"/>
          <w:b/>
          <w:sz w:val="24"/>
        </w:rPr>
        <w:t>Key words:</w:t>
      </w:r>
      <w:r w:rsidRPr="00B00AC1">
        <w:rPr>
          <w:rFonts w:ascii="Book Antiqua" w:hAnsi="Book Antiqua" w:cs="Arial"/>
          <w:sz w:val="24"/>
        </w:rPr>
        <w:t xml:space="preserve"> </w:t>
      </w:r>
      <w:r w:rsidR="00B00AC1" w:rsidRPr="00B00AC1">
        <w:rPr>
          <w:rFonts w:ascii="Book Antiqua" w:hAnsi="Book Antiqua" w:cs="Arial"/>
          <w:sz w:val="24"/>
        </w:rPr>
        <w:t>I</w:t>
      </w:r>
      <w:r w:rsidRPr="00B00AC1">
        <w:rPr>
          <w:rFonts w:ascii="Book Antiqua" w:hAnsi="Book Antiqua" w:cs="Arial"/>
          <w:sz w:val="24"/>
        </w:rPr>
        <w:t>nterferon</w:t>
      </w:r>
      <w:r w:rsidR="00B00AC1">
        <w:rPr>
          <w:rFonts w:ascii="Book Antiqua" w:hAnsi="Book Antiqua" w:cs="Arial" w:hint="eastAsia"/>
          <w:sz w:val="24"/>
        </w:rPr>
        <w:t>;</w:t>
      </w:r>
      <w:r w:rsidRPr="00B00AC1">
        <w:rPr>
          <w:rFonts w:ascii="Book Antiqua" w:hAnsi="Book Antiqua" w:cs="Arial"/>
          <w:sz w:val="24"/>
        </w:rPr>
        <w:t xml:space="preserve"> </w:t>
      </w:r>
      <w:r w:rsidR="00B00AC1" w:rsidRPr="00B00AC1">
        <w:rPr>
          <w:rFonts w:ascii="Book Antiqua" w:hAnsi="Book Antiqua" w:cs="Arial"/>
          <w:sz w:val="24"/>
        </w:rPr>
        <w:t>C</w:t>
      </w:r>
      <w:r w:rsidRPr="00B00AC1">
        <w:rPr>
          <w:rFonts w:ascii="Book Antiqua" w:hAnsi="Book Antiqua" w:cs="Arial"/>
          <w:sz w:val="24"/>
        </w:rPr>
        <w:t>hemokine</w:t>
      </w:r>
      <w:r w:rsidR="00B00AC1">
        <w:rPr>
          <w:rFonts w:ascii="Book Antiqua" w:hAnsi="Book Antiqua" w:cs="Arial" w:hint="eastAsia"/>
          <w:sz w:val="24"/>
        </w:rPr>
        <w:t>;</w:t>
      </w:r>
      <w:r w:rsidRPr="00B00AC1">
        <w:rPr>
          <w:rFonts w:ascii="Book Antiqua" w:hAnsi="Book Antiqua" w:cs="Arial"/>
          <w:sz w:val="24"/>
        </w:rPr>
        <w:t xml:space="preserve"> </w:t>
      </w:r>
      <w:r w:rsidR="00B00AC1" w:rsidRPr="00B00AC1">
        <w:rPr>
          <w:rFonts w:ascii="Book Antiqua" w:hAnsi="Book Antiqua" w:cs="Arial"/>
          <w:sz w:val="24"/>
        </w:rPr>
        <w:t>T</w:t>
      </w:r>
      <w:r w:rsidRPr="00B00AC1">
        <w:rPr>
          <w:rFonts w:ascii="Book Antiqua" w:hAnsi="Book Antiqua" w:cs="Arial"/>
          <w:sz w:val="24"/>
        </w:rPr>
        <w:t>umor vaccine</w:t>
      </w:r>
      <w:r w:rsidR="00B00AC1">
        <w:rPr>
          <w:rFonts w:ascii="Book Antiqua" w:hAnsi="Book Antiqua" w:cs="Arial" w:hint="eastAsia"/>
          <w:sz w:val="24"/>
        </w:rPr>
        <w:t>;</w:t>
      </w:r>
      <w:r w:rsidRPr="00B00AC1">
        <w:rPr>
          <w:rFonts w:ascii="Book Antiqua" w:hAnsi="Book Antiqua" w:cs="Arial"/>
          <w:sz w:val="24"/>
        </w:rPr>
        <w:t xml:space="preserve"> </w:t>
      </w:r>
      <w:r w:rsidR="00B00AC1" w:rsidRPr="00B00AC1">
        <w:rPr>
          <w:rFonts w:ascii="Book Antiqua" w:hAnsi="Book Antiqua" w:cs="Arial"/>
          <w:sz w:val="24"/>
        </w:rPr>
        <w:t>A</w:t>
      </w:r>
      <w:r w:rsidRPr="00B00AC1">
        <w:rPr>
          <w:rFonts w:ascii="Book Antiqua" w:hAnsi="Book Antiqua" w:cs="Arial"/>
          <w:sz w:val="24"/>
        </w:rPr>
        <w:t xml:space="preserve">doptive </w:t>
      </w:r>
      <w:r w:rsidR="00B00AC1">
        <w:rPr>
          <w:rFonts w:ascii="Book Antiqua" w:hAnsi="Book Antiqua" w:cs="Arial"/>
          <w:sz w:val="24"/>
        </w:rPr>
        <w:t>immunotherapy</w:t>
      </w:r>
      <w:r w:rsidR="00B00AC1">
        <w:rPr>
          <w:rFonts w:ascii="Book Antiqua" w:hAnsi="Book Antiqua" w:cs="Arial" w:hint="eastAsia"/>
          <w:sz w:val="24"/>
        </w:rPr>
        <w:t>;</w:t>
      </w:r>
      <w:r w:rsidRPr="00B00AC1">
        <w:rPr>
          <w:rFonts w:ascii="Book Antiqua" w:hAnsi="Book Antiqua" w:cs="Arial"/>
          <w:sz w:val="24"/>
        </w:rPr>
        <w:t xml:space="preserve"> </w:t>
      </w:r>
      <w:r w:rsidR="00B00AC1" w:rsidRPr="00B00AC1">
        <w:rPr>
          <w:rFonts w:ascii="Book Antiqua" w:hAnsi="Book Antiqua" w:cs="Arial"/>
          <w:sz w:val="24"/>
        </w:rPr>
        <w:t>C</w:t>
      </w:r>
      <w:r w:rsidRPr="00B00AC1">
        <w:rPr>
          <w:rFonts w:ascii="Book Antiqua" w:hAnsi="Book Antiqua" w:cs="Arial"/>
          <w:sz w:val="24"/>
        </w:rPr>
        <w:t>heckpoint blockade</w:t>
      </w:r>
      <w:r w:rsidR="00B00AC1">
        <w:rPr>
          <w:rFonts w:ascii="Book Antiqua" w:hAnsi="Book Antiqua" w:cs="Arial" w:hint="eastAsia"/>
          <w:sz w:val="24"/>
        </w:rPr>
        <w:t>;</w:t>
      </w:r>
      <w:r w:rsidRPr="00B00AC1">
        <w:rPr>
          <w:rFonts w:ascii="Book Antiqua" w:hAnsi="Book Antiqua" w:cs="Arial"/>
          <w:sz w:val="24"/>
        </w:rPr>
        <w:t xml:space="preserve"> </w:t>
      </w:r>
      <w:r w:rsidR="00B00AC1" w:rsidRPr="00B00AC1">
        <w:rPr>
          <w:rFonts w:ascii="Book Antiqua" w:hAnsi="Book Antiqua" w:cs="Arial"/>
          <w:sz w:val="24"/>
        </w:rPr>
        <w:t>C</w:t>
      </w:r>
      <w:r w:rsidRPr="00B00AC1">
        <w:rPr>
          <w:rFonts w:ascii="Book Antiqua" w:hAnsi="Book Antiqua" w:cs="Arial"/>
          <w:sz w:val="24"/>
        </w:rPr>
        <w:t>himeric antigen recept</w:t>
      </w:r>
      <w:r w:rsidR="00062171" w:rsidRPr="00B00AC1">
        <w:rPr>
          <w:rFonts w:ascii="Book Antiqua" w:hAnsi="Book Antiqua" w:cs="Arial"/>
          <w:sz w:val="24"/>
        </w:rPr>
        <w:t>o</w:t>
      </w:r>
      <w:r w:rsidRPr="00B00AC1">
        <w:rPr>
          <w:rFonts w:ascii="Book Antiqua" w:hAnsi="Book Antiqua" w:cs="Arial"/>
          <w:sz w:val="24"/>
        </w:rPr>
        <w:t>r</w:t>
      </w:r>
    </w:p>
    <w:p w14:paraId="5D2CE098" w14:textId="77777777" w:rsidR="00F45BC7" w:rsidRPr="00B00AC1" w:rsidRDefault="00F45BC7" w:rsidP="00B00AC1">
      <w:pPr>
        <w:spacing w:line="360" w:lineRule="auto"/>
        <w:rPr>
          <w:rFonts w:ascii="Book Antiqua" w:hAnsi="Book Antiqua" w:cs="Arial"/>
          <w:sz w:val="24"/>
        </w:rPr>
      </w:pPr>
    </w:p>
    <w:p w14:paraId="1DB10ACD" w14:textId="38108E0D" w:rsidR="00F45BC7" w:rsidRPr="00B00AC1" w:rsidRDefault="00B00AC1" w:rsidP="00B00AC1">
      <w:pPr>
        <w:spacing w:line="360" w:lineRule="auto"/>
        <w:rPr>
          <w:rFonts w:ascii="Book Antiqua" w:hAnsi="Book Antiqua" w:cs="Arial"/>
          <w:sz w:val="24"/>
        </w:rPr>
      </w:pPr>
      <w:proofErr w:type="gramStart"/>
      <w:r w:rsidRPr="00B00AC1">
        <w:rPr>
          <w:rFonts w:ascii="Book Antiqua" w:hAnsi="Book Antiqua"/>
          <w:b/>
          <w:bCs/>
          <w:sz w:val="24"/>
        </w:rPr>
        <w:t>© The Author(s) 2015.</w:t>
      </w:r>
      <w:proofErr w:type="gramEnd"/>
      <w:r w:rsidRPr="00B00AC1">
        <w:rPr>
          <w:rFonts w:ascii="Book Antiqua" w:hAnsi="Book Antiqua"/>
          <w:bCs/>
          <w:sz w:val="24"/>
        </w:rPr>
        <w:t xml:space="preserve"> Published by Baishideng Publishing Group Inc. All rights reserved.</w:t>
      </w:r>
    </w:p>
    <w:p w14:paraId="6E265BE4" w14:textId="77777777" w:rsidR="00B00AC1" w:rsidRDefault="00B00AC1" w:rsidP="00B00AC1">
      <w:pPr>
        <w:spacing w:line="360" w:lineRule="auto"/>
        <w:rPr>
          <w:rFonts w:ascii="Book Antiqua" w:hAnsi="Book Antiqua" w:cs="Arial"/>
          <w:b/>
          <w:sz w:val="24"/>
        </w:rPr>
      </w:pPr>
    </w:p>
    <w:p w14:paraId="2BF81D4F" w14:textId="2BB16FBE" w:rsidR="00F45BC7" w:rsidRPr="00B00AC1" w:rsidRDefault="00F45BC7" w:rsidP="00B00AC1">
      <w:pPr>
        <w:spacing w:line="360" w:lineRule="auto"/>
        <w:rPr>
          <w:rFonts w:ascii="Book Antiqua" w:hAnsi="Book Antiqua" w:cs="Arial"/>
          <w:b/>
          <w:sz w:val="24"/>
        </w:rPr>
      </w:pPr>
      <w:r w:rsidRPr="00B00AC1">
        <w:rPr>
          <w:rFonts w:ascii="Book Antiqua" w:hAnsi="Book Antiqua" w:cs="Arial"/>
          <w:b/>
          <w:sz w:val="24"/>
        </w:rPr>
        <w:t xml:space="preserve">Core </w:t>
      </w:r>
      <w:r w:rsidR="00B00AC1">
        <w:rPr>
          <w:rFonts w:ascii="Book Antiqua" w:hAnsi="Book Antiqua" w:cs="Arial" w:hint="eastAsia"/>
          <w:b/>
          <w:sz w:val="24"/>
        </w:rPr>
        <w:t>t</w:t>
      </w:r>
      <w:r w:rsidRPr="00B00AC1">
        <w:rPr>
          <w:rFonts w:ascii="Book Antiqua" w:hAnsi="Book Antiqua" w:cs="Arial"/>
          <w:b/>
          <w:sz w:val="24"/>
        </w:rPr>
        <w:t xml:space="preserve">ip: </w:t>
      </w:r>
      <w:r w:rsidRPr="00B00AC1">
        <w:rPr>
          <w:rFonts w:ascii="Book Antiqua" w:hAnsi="Book Antiqua" w:cs="Arial"/>
          <w:sz w:val="24"/>
        </w:rPr>
        <w:t>The paper supplied a comprehensive review on immunotherapy for hepatocellular carcinoma from basic experiments to clinical trials. The development of interferon, chemokine, tumor vaccine, adoptive immunotherapy including NK, NKT, CAR-T as well as Treg was summed up.</w:t>
      </w:r>
    </w:p>
    <w:p w14:paraId="39E827A8" w14:textId="77777777" w:rsidR="00B00AC1" w:rsidRDefault="00B00AC1" w:rsidP="00B00AC1">
      <w:pPr>
        <w:spacing w:line="360" w:lineRule="auto"/>
        <w:rPr>
          <w:rFonts w:ascii="Book Antiqua" w:hAnsi="Book Antiqua" w:cs="Arial"/>
          <w:bCs/>
          <w:sz w:val="24"/>
        </w:rPr>
      </w:pPr>
    </w:p>
    <w:p w14:paraId="68893A6F" w14:textId="69D0598A" w:rsidR="00F45BC7" w:rsidRPr="00B00AC1" w:rsidRDefault="00B00AC1" w:rsidP="00B00AC1">
      <w:pPr>
        <w:spacing w:line="360" w:lineRule="auto"/>
        <w:rPr>
          <w:rFonts w:ascii="Book Antiqua" w:hAnsi="Book Antiqua" w:cs="Arial"/>
          <w:sz w:val="24"/>
          <w:lang w:val="fr-FR"/>
        </w:rPr>
      </w:pPr>
      <w:r w:rsidRPr="00B00AC1">
        <w:rPr>
          <w:rFonts w:ascii="Book Antiqua" w:hAnsi="Book Antiqua" w:cs="Arial"/>
          <w:sz w:val="24"/>
          <w:lang w:val="fr-FR"/>
        </w:rPr>
        <w:t>Hong</w:t>
      </w:r>
      <w:r>
        <w:rPr>
          <w:rFonts w:ascii="Book Antiqua" w:hAnsi="Book Antiqua" w:cs="Arial" w:hint="eastAsia"/>
          <w:sz w:val="24"/>
          <w:lang w:val="fr-FR"/>
        </w:rPr>
        <w:t xml:space="preserve"> YP</w:t>
      </w:r>
      <w:r w:rsidRPr="00B00AC1">
        <w:rPr>
          <w:rFonts w:ascii="Book Antiqua" w:hAnsi="Book Antiqua" w:cs="Arial"/>
          <w:sz w:val="24"/>
          <w:lang w:val="fr-FR"/>
        </w:rPr>
        <w:t>, Li</w:t>
      </w:r>
      <w:r>
        <w:rPr>
          <w:rFonts w:ascii="Book Antiqua" w:hAnsi="Book Antiqua" w:cs="Arial" w:hint="eastAsia"/>
          <w:sz w:val="24"/>
          <w:lang w:val="fr-FR"/>
        </w:rPr>
        <w:t xml:space="preserve"> ZD</w:t>
      </w:r>
      <w:r w:rsidRPr="00B00AC1">
        <w:rPr>
          <w:rFonts w:ascii="Book Antiqua" w:hAnsi="Book Antiqua" w:cs="Arial"/>
          <w:sz w:val="24"/>
          <w:lang w:val="fr-FR"/>
        </w:rPr>
        <w:t>, Prasoon</w:t>
      </w:r>
      <w:r>
        <w:rPr>
          <w:rFonts w:ascii="Book Antiqua" w:hAnsi="Book Antiqua" w:cs="Arial" w:hint="eastAsia"/>
          <w:sz w:val="24"/>
          <w:lang w:val="fr-FR"/>
        </w:rPr>
        <w:t xml:space="preserve"> P</w:t>
      </w:r>
      <w:r w:rsidRPr="00B00AC1">
        <w:rPr>
          <w:rFonts w:ascii="Book Antiqua" w:hAnsi="Book Antiqua" w:cs="Arial"/>
          <w:sz w:val="24"/>
          <w:lang w:val="fr-FR"/>
        </w:rPr>
        <w:t>, Zhang</w:t>
      </w:r>
      <w:r>
        <w:rPr>
          <w:rFonts w:ascii="Book Antiqua" w:hAnsi="Book Antiqua" w:cs="Arial" w:hint="eastAsia"/>
          <w:sz w:val="24"/>
          <w:lang w:val="fr-FR"/>
        </w:rPr>
        <w:t xml:space="preserve"> Q. </w:t>
      </w:r>
      <w:r w:rsidRPr="00B00AC1">
        <w:rPr>
          <w:rFonts w:ascii="Book Antiqua" w:hAnsi="Book Antiqua" w:cs="Arial"/>
          <w:bCs/>
          <w:sz w:val="24"/>
        </w:rPr>
        <w:t>Immunotherapy for hepatocellular carcinoma: From basic research to clinical use</w:t>
      </w:r>
      <w:r>
        <w:rPr>
          <w:rFonts w:ascii="Book Antiqua" w:hAnsi="Book Antiqua" w:cs="Arial" w:hint="eastAsia"/>
          <w:bCs/>
          <w:sz w:val="24"/>
        </w:rPr>
        <w:t xml:space="preserve">. </w:t>
      </w:r>
      <w:r w:rsidRPr="00C341A0">
        <w:rPr>
          <w:rFonts w:ascii="Book Antiqua" w:hAnsi="Book Antiqua"/>
          <w:i/>
          <w:iCs/>
          <w:sz w:val="24"/>
        </w:rPr>
        <w:t>World J Hepatol</w:t>
      </w:r>
      <w:r>
        <w:rPr>
          <w:rFonts w:ascii="Book Antiqua" w:hAnsi="Book Antiqua" w:hint="eastAsia"/>
          <w:iCs/>
          <w:sz w:val="24"/>
        </w:rPr>
        <w:t xml:space="preserve"> 2015; </w:t>
      </w:r>
      <w:proofErr w:type="gramStart"/>
      <w:r>
        <w:rPr>
          <w:rFonts w:ascii="Book Antiqua" w:hAnsi="Book Antiqua" w:hint="eastAsia"/>
          <w:iCs/>
          <w:sz w:val="24"/>
        </w:rPr>
        <w:t>In</w:t>
      </w:r>
      <w:proofErr w:type="gramEnd"/>
      <w:r>
        <w:rPr>
          <w:rFonts w:ascii="Book Antiqua" w:hAnsi="Book Antiqua" w:hint="eastAsia"/>
          <w:iCs/>
          <w:sz w:val="24"/>
        </w:rPr>
        <w:t xml:space="preserve"> press</w:t>
      </w:r>
    </w:p>
    <w:p w14:paraId="5118A63D" w14:textId="77777777" w:rsidR="00B00AC1" w:rsidRPr="00B00AC1" w:rsidRDefault="00B00AC1" w:rsidP="00B00AC1">
      <w:pPr>
        <w:spacing w:line="360" w:lineRule="auto"/>
        <w:rPr>
          <w:rFonts w:ascii="Book Antiqua" w:hAnsi="Book Antiqua" w:cs="Arial"/>
          <w:sz w:val="24"/>
        </w:rPr>
      </w:pPr>
    </w:p>
    <w:p w14:paraId="2C0EFA83" w14:textId="33F155A5" w:rsidR="00FE0FF8" w:rsidRPr="00B00AC1" w:rsidRDefault="00B00AC1" w:rsidP="00B00AC1">
      <w:pPr>
        <w:widowControl/>
        <w:spacing w:line="360" w:lineRule="auto"/>
        <w:rPr>
          <w:rFonts w:ascii="Book Antiqua" w:hAnsi="Book Antiqua" w:cs="Arial"/>
          <w:b/>
          <w:sz w:val="24"/>
        </w:rPr>
      </w:pPr>
      <w:r w:rsidRPr="00B00AC1">
        <w:rPr>
          <w:rFonts w:ascii="Book Antiqua" w:hAnsi="Book Antiqua" w:cs="Arial"/>
          <w:b/>
          <w:sz w:val="24"/>
        </w:rPr>
        <w:t>INTRODUCTION</w:t>
      </w:r>
    </w:p>
    <w:p w14:paraId="2220EDCE" w14:textId="6AEB2A58" w:rsidR="00F45BC7" w:rsidRPr="00B00AC1" w:rsidRDefault="00F45BC7" w:rsidP="00B00AC1">
      <w:pPr>
        <w:widowControl/>
        <w:spacing w:line="360" w:lineRule="auto"/>
        <w:rPr>
          <w:rFonts w:ascii="Book Antiqua" w:hAnsi="Book Antiqua" w:cs="Arial"/>
          <w:b/>
          <w:sz w:val="24"/>
        </w:rPr>
      </w:pPr>
      <w:r w:rsidRPr="00B00AC1">
        <w:rPr>
          <w:rFonts w:ascii="Book Antiqua" w:hAnsi="Book Antiqua" w:cs="Arial"/>
          <w:sz w:val="24"/>
        </w:rPr>
        <w:t>Hepatocellular carcinoma (HCC) accounts for 95% of primary liver cancer</w:t>
      </w:r>
      <w:r w:rsidR="00E73675" w:rsidRPr="00B00AC1">
        <w:rPr>
          <w:rFonts w:ascii="Book Antiqua" w:hAnsi="Book Antiqua" w:cs="Arial"/>
          <w:noProof/>
          <w:sz w:val="24"/>
          <w:vertAlign w:val="superscript"/>
        </w:rPr>
        <w:t>[1]</w:t>
      </w:r>
      <w:r w:rsidRPr="00B00AC1">
        <w:rPr>
          <w:rFonts w:ascii="Book Antiqua" w:hAnsi="Book Antiqua" w:cs="Arial"/>
          <w:sz w:val="24"/>
        </w:rPr>
        <w:t>, which is the second most common cause of cancer-associated death worldwide and is estimated t</w:t>
      </w:r>
      <w:r w:rsidR="006E6897">
        <w:rPr>
          <w:rFonts w:ascii="Book Antiqua" w:hAnsi="Book Antiqua" w:cs="Arial"/>
          <w:sz w:val="24"/>
        </w:rPr>
        <w:t>o be responsible for around 746</w:t>
      </w:r>
      <w:r w:rsidRPr="00B00AC1">
        <w:rPr>
          <w:rFonts w:ascii="Book Antiqua" w:hAnsi="Book Antiqua" w:cs="Arial"/>
          <w:sz w:val="24"/>
        </w:rPr>
        <w:t>000 deaths in 2012</w:t>
      </w:r>
      <w:r w:rsidR="00E73675" w:rsidRPr="00B00AC1">
        <w:rPr>
          <w:rFonts w:ascii="Book Antiqua" w:hAnsi="Book Antiqua" w:cs="Arial"/>
          <w:noProof/>
          <w:sz w:val="24"/>
          <w:vertAlign w:val="superscript"/>
        </w:rPr>
        <w:t>[2]</w:t>
      </w:r>
      <w:r w:rsidRPr="00B00AC1">
        <w:rPr>
          <w:rFonts w:ascii="Book Antiqua" w:hAnsi="Book Antiqua" w:cs="Arial"/>
          <w:sz w:val="24"/>
        </w:rPr>
        <w:t xml:space="preserve">. Only liver resection and liver transplantation are considered curative, with poor efficiency of other modalities such as radiofrequency ablation (RFA) and transarterial chemoembolization (TACE). However, very few patients are indicated for liver resection, and donors of liver are </w:t>
      </w:r>
      <w:r w:rsidR="006D73AF" w:rsidRPr="00B00AC1">
        <w:rPr>
          <w:rFonts w:ascii="Book Antiqua" w:hAnsi="Book Antiqua" w:cs="Arial"/>
          <w:sz w:val="24"/>
        </w:rPr>
        <w:t>usually exceptional</w:t>
      </w:r>
      <w:r w:rsidRPr="00B00AC1">
        <w:rPr>
          <w:rFonts w:ascii="Book Antiqua" w:hAnsi="Book Antiqua" w:cs="Arial"/>
          <w:sz w:val="24"/>
        </w:rPr>
        <w:t xml:space="preserve">. Postoperative recurrence </w:t>
      </w:r>
      <w:r w:rsidR="00B8077C" w:rsidRPr="00B00AC1">
        <w:rPr>
          <w:rFonts w:ascii="Book Antiqua" w:hAnsi="Book Antiqua" w:cs="Arial"/>
          <w:sz w:val="24"/>
        </w:rPr>
        <w:t>frequently occurs to</w:t>
      </w:r>
      <w:r w:rsidRPr="00B00AC1">
        <w:rPr>
          <w:rFonts w:ascii="Book Antiqua" w:hAnsi="Book Antiqua" w:cs="Arial"/>
          <w:sz w:val="24"/>
        </w:rPr>
        <w:t xml:space="preserve"> result in </w:t>
      </w:r>
      <w:r w:rsidR="00CE217A" w:rsidRPr="00B00AC1">
        <w:rPr>
          <w:rFonts w:ascii="Book Antiqua" w:hAnsi="Book Antiqua" w:cs="Arial"/>
          <w:sz w:val="24"/>
        </w:rPr>
        <w:t xml:space="preserve">dismal </w:t>
      </w:r>
      <w:r w:rsidRPr="00B00AC1">
        <w:rPr>
          <w:rFonts w:ascii="Book Antiqua" w:hAnsi="Book Antiqua" w:cs="Arial"/>
          <w:sz w:val="24"/>
        </w:rPr>
        <w:t xml:space="preserve">prognosis in most </w:t>
      </w:r>
      <w:r w:rsidR="00DF4BC0" w:rsidRPr="00B00AC1">
        <w:rPr>
          <w:rFonts w:ascii="Book Antiqua" w:hAnsi="Book Antiqua" w:cs="Arial"/>
          <w:sz w:val="24"/>
        </w:rPr>
        <w:t xml:space="preserve">affected </w:t>
      </w:r>
      <w:proofErr w:type="gramStart"/>
      <w:r w:rsidR="00EC21D1" w:rsidRPr="00B00AC1">
        <w:rPr>
          <w:rFonts w:ascii="Book Antiqua" w:hAnsi="Book Antiqua" w:cs="Arial"/>
          <w:sz w:val="24"/>
        </w:rPr>
        <w:t>individuals</w:t>
      </w:r>
      <w:r w:rsidR="00E73675" w:rsidRPr="00B00AC1">
        <w:rPr>
          <w:rFonts w:ascii="Book Antiqua" w:hAnsi="Book Antiqua" w:cs="Arial"/>
          <w:noProof/>
          <w:sz w:val="24"/>
          <w:vertAlign w:val="superscript"/>
        </w:rPr>
        <w:t>[</w:t>
      </w:r>
      <w:proofErr w:type="gramEnd"/>
      <w:r w:rsidR="00E73675" w:rsidRPr="00B00AC1">
        <w:rPr>
          <w:rFonts w:ascii="Book Antiqua" w:hAnsi="Book Antiqua" w:cs="Arial"/>
          <w:noProof/>
          <w:sz w:val="24"/>
          <w:vertAlign w:val="superscript"/>
        </w:rPr>
        <w:t>3]</w:t>
      </w:r>
      <w:r w:rsidRPr="00B00AC1">
        <w:rPr>
          <w:rFonts w:ascii="Book Antiqua" w:hAnsi="Book Antiqua" w:cs="Arial"/>
          <w:sz w:val="24"/>
        </w:rPr>
        <w:t xml:space="preserve">. </w:t>
      </w:r>
    </w:p>
    <w:p w14:paraId="644FC6A9" w14:textId="4BC3AD75" w:rsidR="00F45BC7" w:rsidRPr="006E6897"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 xml:space="preserve">Immunotherapy has been explored in HCC for </w:t>
      </w:r>
      <w:proofErr w:type="gramStart"/>
      <w:r w:rsidRPr="00B00AC1">
        <w:rPr>
          <w:rFonts w:ascii="Book Antiqua" w:hAnsi="Book Antiqua" w:cs="Arial"/>
          <w:sz w:val="24"/>
        </w:rPr>
        <w:t>decades</w:t>
      </w:r>
      <w:r w:rsidR="003D4868" w:rsidRPr="00B00AC1">
        <w:rPr>
          <w:rFonts w:ascii="Book Antiqua" w:hAnsi="Book Antiqua" w:cs="Arial"/>
          <w:noProof/>
          <w:sz w:val="24"/>
          <w:vertAlign w:val="superscript"/>
        </w:rPr>
        <w:t>[</w:t>
      </w:r>
      <w:proofErr w:type="gramEnd"/>
      <w:r w:rsidR="003D4868" w:rsidRPr="00B00AC1">
        <w:rPr>
          <w:rFonts w:ascii="Book Antiqua" w:hAnsi="Book Antiqua" w:cs="Arial"/>
          <w:noProof/>
          <w:sz w:val="24"/>
          <w:vertAlign w:val="superscript"/>
        </w:rPr>
        <w:t>4]</w:t>
      </w:r>
      <w:r w:rsidRPr="00B00AC1">
        <w:rPr>
          <w:rFonts w:ascii="Book Antiqua" w:hAnsi="Book Antiqua" w:cs="Arial"/>
          <w:sz w:val="24"/>
        </w:rPr>
        <w:t xml:space="preserve">, and is placed high expectations due to the recent progress in other malignancies such as melanoma. Different from other organs, liver shows its distinguished characteristics, such as an “immune organ”, and patients with HCC presented unique anti- or pro-tumor responses during the development and progression of </w:t>
      </w:r>
      <w:proofErr w:type="gramStart"/>
      <w:r w:rsidRPr="00B00AC1">
        <w:rPr>
          <w:rFonts w:ascii="Book Antiqua" w:hAnsi="Book Antiqua" w:cs="Arial"/>
          <w:sz w:val="24"/>
        </w:rPr>
        <w:t>HCC</w:t>
      </w:r>
      <w:r w:rsidR="003D4868" w:rsidRPr="00B00AC1">
        <w:rPr>
          <w:rFonts w:ascii="Book Antiqua" w:hAnsi="Book Antiqua" w:cs="Arial"/>
          <w:noProof/>
          <w:sz w:val="24"/>
          <w:vertAlign w:val="superscript"/>
        </w:rPr>
        <w:t>[</w:t>
      </w:r>
      <w:proofErr w:type="gramEnd"/>
      <w:r w:rsidR="003D4868" w:rsidRPr="00B00AC1">
        <w:rPr>
          <w:rFonts w:ascii="Book Antiqua" w:hAnsi="Book Antiqua" w:cs="Arial"/>
          <w:noProof/>
          <w:sz w:val="24"/>
          <w:vertAlign w:val="superscript"/>
        </w:rPr>
        <w:t>5]</w:t>
      </w:r>
      <w:r w:rsidRPr="00B00AC1">
        <w:rPr>
          <w:rFonts w:ascii="Book Antiqua" w:hAnsi="Book Antiqua" w:cs="Arial"/>
          <w:sz w:val="24"/>
        </w:rPr>
        <w:t>. Immunotherapy can be categorized into several types according to their distinct strategies. For instance, immunomodulators and tumor vaccines are used to enhance the immune response to HCC as an indirect way; adoptive immunotherapy introduces great amount of effective immune cells to directly remove tumor cells. In this review, we summarized the critical immune characteristics of liver, and covered the immunotherapy of HCC in animal models as well as clinical trials</w:t>
      </w:r>
      <w:r w:rsidR="00B158E5" w:rsidRPr="006E6897">
        <w:rPr>
          <w:rFonts w:ascii="Book Antiqua" w:hAnsi="Book Antiqua" w:cs="Arial"/>
          <w:sz w:val="24"/>
        </w:rPr>
        <w:t xml:space="preserve"> (Figure 1)</w:t>
      </w:r>
      <w:r w:rsidRPr="006E6897">
        <w:rPr>
          <w:rFonts w:ascii="Book Antiqua" w:hAnsi="Book Antiqua" w:cs="Arial"/>
          <w:sz w:val="24"/>
        </w:rPr>
        <w:t>.</w:t>
      </w:r>
    </w:p>
    <w:p w14:paraId="63851E87" w14:textId="77777777" w:rsidR="00F45BC7" w:rsidRPr="00B00AC1" w:rsidRDefault="00F45BC7" w:rsidP="00B00AC1">
      <w:pPr>
        <w:spacing w:line="360" w:lineRule="auto"/>
        <w:rPr>
          <w:rFonts w:ascii="Book Antiqua" w:hAnsi="Book Antiqua" w:cs="Arial"/>
          <w:sz w:val="24"/>
        </w:rPr>
      </w:pPr>
    </w:p>
    <w:p w14:paraId="04F118C8" w14:textId="0A89BD40" w:rsidR="00F45BC7" w:rsidRPr="00B00AC1" w:rsidRDefault="006E6897" w:rsidP="00B00AC1">
      <w:pPr>
        <w:spacing w:line="360" w:lineRule="auto"/>
        <w:rPr>
          <w:rFonts w:ascii="Book Antiqua" w:hAnsi="Book Antiqua" w:cs="Arial"/>
          <w:b/>
          <w:sz w:val="24"/>
        </w:rPr>
      </w:pPr>
      <w:r w:rsidRPr="00B00AC1">
        <w:rPr>
          <w:rFonts w:ascii="Book Antiqua" w:hAnsi="Book Antiqua" w:cs="Arial"/>
          <w:b/>
          <w:sz w:val="24"/>
        </w:rPr>
        <w:t>ROLES OF IMMUNE SYSTEM IN CARCINOGENESIS AND PROGRESSION OF HCC</w:t>
      </w:r>
    </w:p>
    <w:p w14:paraId="189F6CB2" w14:textId="2CE23DD1"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The inherent immune tolerance of liver </w:t>
      </w:r>
      <w:r w:rsidR="00820E1E" w:rsidRPr="00B00AC1">
        <w:rPr>
          <w:rFonts w:ascii="Book Antiqua" w:hAnsi="Book Antiqua" w:cs="Arial"/>
          <w:sz w:val="24"/>
        </w:rPr>
        <w:t>hinders</w:t>
      </w:r>
      <w:r w:rsidRPr="00B00AC1">
        <w:rPr>
          <w:rFonts w:ascii="Book Antiqua" w:hAnsi="Book Antiqua" w:cs="Arial"/>
          <w:sz w:val="24"/>
        </w:rPr>
        <w:t xml:space="preserve"> immune surveillance and </w:t>
      </w:r>
      <w:r w:rsidR="00A2687D" w:rsidRPr="00B00AC1">
        <w:rPr>
          <w:rFonts w:ascii="Book Antiqua" w:hAnsi="Book Antiqua" w:cs="Arial"/>
          <w:sz w:val="24"/>
        </w:rPr>
        <w:t>therefore, makes it possible</w:t>
      </w:r>
      <w:r w:rsidRPr="00B00AC1">
        <w:rPr>
          <w:rFonts w:ascii="Book Antiqua" w:hAnsi="Book Antiqua" w:cs="Arial"/>
          <w:sz w:val="24"/>
        </w:rPr>
        <w:t xml:space="preserve"> the carcinogenesis of HCC. Liver confronts abundant xenogenous antigens within blood from gut </w:t>
      </w:r>
      <w:r w:rsidRPr="006E6897">
        <w:rPr>
          <w:rFonts w:ascii="Book Antiqua" w:hAnsi="Book Antiqua" w:cs="Arial"/>
          <w:i/>
          <w:sz w:val="24"/>
        </w:rPr>
        <w:t>via</w:t>
      </w:r>
      <w:r w:rsidRPr="00B00AC1">
        <w:rPr>
          <w:rFonts w:ascii="Book Antiqua" w:hAnsi="Book Antiqua" w:cs="Arial"/>
          <w:sz w:val="24"/>
        </w:rPr>
        <w:t xml:space="preserve"> portal vein. </w:t>
      </w:r>
      <w:r w:rsidR="00335081" w:rsidRPr="00B00AC1">
        <w:rPr>
          <w:rFonts w:ascii="Book Antiqua" w:hAnsi="Book Antiqua" w:cs="Arial"/>
          <w:sz w:val="24"/>
        </w:rPr>
        <w:t xml:space="preserve">Specific </w:t>
      </w:r>
      <w:r w:rsidRPr="00B00AC1">
        <w:rPr>
          <w:rFonts w:ascii="Book Antiqua" w:hAnsi="Book Antiqua" w:cs="Arial"/>
          <w:sz w:val="24"/>
        </w:rPr>
        <w:t xml:space="preserve">mechanisms </w:t>
      </w:r>
      <w:r w:rsidR="00D53CF1" w:rsidRPr="00B00AC1">
        <w:rPr>
          <w:rFonts w:ascii="Book Antiqua" w:hAnsi="Book Antiqua" w:cs="Arial"/>
          <w:sz w:val="24"/>
        </w:rPr>
        <w:t xml:space="preserve">with regards to </w:t>
      </w:r>
      <w:r w:rsidRPr="00B00AC1">
        <w:rPr>
          <w:rFonts w:ascii="Book Antiqua" w:hAnsi="Book Antiqua" w:cs="Arial"/>
          <w:sz w:val="24"/>
        </w:rPr>
        <w:t>immune tolerance are activated to inhibit unne</w:t>
      </w:r>
      <w:r w:rsidR="00D53CF1" w:rsidRPr="00B00AC1">
        <w:rPr>
          <w:rFonts w:ascii="Book Antiqua" w:hAnsi="Book Antiqua" w:cs="Arial"/>
          <w:sz w:val="24"/>
        </w:rPr>
        <w:t>eded</w:t>
      </w:r>
      <w:r w:rsidRPr="00B00AC1">
        <w:rPr>
          <w:rFonts w:ascii="Book Antiqua" w:hAnsi="Book Antiqua" w:cs="Arial"/>
          <w:sz w:val="24"/>
        </w:rPr>
        <w:t xml:space="preserve"> immune responses. Unfortunately, these mechanisms such as recruitment of regulatory T cells (Tregs) and myeloid-derived suppressor cells, as well as overexpression of inhibitory ligands such as programmed death ligand 1 (PD-L1) contribute to weaken anti-tumor immune response</w:t>
      </w:r>
      <w:r w:rsidR="00B55BA3" w:rsidRPr="00B00AC1">
        <w:rPr>
          <w:rFonts w:ascii="Book Antiqua" w:hAnsi="Book Antiqua" w:cs="Arial"/>
          <w:sz w:val="24"/>
        </w:rPr>
        <w:t>s</w:t>
      </w:r>
      <w:r w:rsidR="003D4868" w:rsidRPr="00B00AC1">
        <w:rPr>
          <w:rFonts w:ascii="Book Antiqua" w:hAnsi="Book Antiqua" w:cs="Arial"/>
          <w:noProof/>
          <w:sz w:val="24"/>
          <w:vertAlign w:val="superscript"/>
        </w:rPr>
        <w:t>[6]</w:t>
      </w:r>
      <w:r w:rsidRPr="00B00AC1">
        <w:rPr>
          <w:rFonts w:ascii="Book Antiqua" w:hAnsi="Book Antiqua" w:cs="Arial"/>
          <w:sz w:val="24"/>
        </w:rPr>
        <w:t>.</w:t>
      </w:r>
    </w:p>
    <w:p w14:paraId="3719B2EB" w14:textId="7E6A4C5F"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ab/>
        <w:t>As an “immune privileged” organ, multiple pathways exist within liver to maintain its function. Not only can hepatocytes cause T cell anergy in certain conditions, but many other nonparenchymal cells including stellate cells, hepatic dendritic cells, and liver sinusoidal endothelial cells also induce tolerance or apoptosis of effective or naive T cells</w:t>
      </w:r>
      <w:r w:rsidR="00EF2580" w:rsidRPr="00B00AC1">
        <w:rPr>
          <w:rFonts w:ascii="Book Antiqua" w:hAnsi="Book Antiqua" w:cs="Arial"/>
          <w:sz w:val="24"/>
        </w:rPr>
        <w:t>.</w:t>
      </w:r>
      <w:r w:rsidRPr="00B00AC1">
        <w:rPr>
          <w:rFonts w:ascii="Book Antiqua" w:hAnsi="Book Antiqua" w:cs="Arial"/>
          <w:sz w:val="24"/>
        </w:rPr>
        <w:t xml:space="preserve"> In particular, HCC lacks major histocompatibility complex (MHC) class II, which is the activator of CD4</w:t>
      </w:r>
      <w:r w:rsidRPr="00B00AC1">
        <w:rPr>
          <w:rFonts w:ascii="Book Antiqua" w:hAnsi="Book Antiqua" w:cs="Arial"/>
          <w:sz w:val="24"/>
          <w:vertAlign w:val="superscript"/>
        </w:rPr>
        <w:t>+</w:t>
      </w:r>
      <w:r w:rsidRPr="00B00AC1">
        <w:rPr>
          <w:rFonts w:ascii="Book Antiqua" w:hAnsi="Book Antiqua" w:cs="Arial"/>
          <w:sz w:val="24"/>
        </w:rPr>
        <w:t xml:space="preserve"> T helper (Th) </w:t>
      </w:r>
      <w:proofErr w:type="gramStart"/>
      <w:r w:rsidRPr="00B00AC1">
        <w:rPr>
          <w:rFonts w:ascii="Book Antiqua" w:hAnsi="Book Antiqua" w:cs="Arial"/>
          <w:sz w:val="24"/>
        </w:rPr>
        <w:t>cells</w:t>
      </w:r>
      <w:r w:rsidR="003D4868" w:rsidRPr="00B00AC1">
        <w:rPr>
          <w:rFonts w:ascii="Book Antiqua" w:hAnsi="Book Antiqua" w:cs="Arial"/>
          <w:noProof/>
          <w:sz w:val="24"/>
          <w:vertAlign w:val="superscript"/>
        </w:rPr>
        <w:t>[</w:t>
      </w:r>
      <w:proofErr w:type="gramEnd"/>
      <w:r w:rsidR="003D4868" w:rsidRPr="00B00AC1">
        <w:rPr>
          <w:rFonts w:ascii="Book Antiqua" w:hAnsi="Book Antiqua" w:cs="Arial"/>
          <w:noProof/>
          <w:sz w:val="24"/>
          <w:vertAlign w:val="superscript"/>
        </w:rPr>
        <w:t>6]</w:t>
      </w:r>
      <w:r w:rsidRPr="00B00AC1">
        <w:rPr>
          <w:rFonts w:ascii="Book Antiqua" w:hAnsi="Book Antiqua" w:cs="Arial"/>
          <w:sz w:val="24"/>
        </w:rPr>
        <w:t>.</w:t>
      </w:r>
    </w:p>
    <w:p w14:paraId="6FF1BB6F" w14:textId="3B3C749F"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 xml:space="preserve">Clinically, various cytokines dysregulate and contribute to HCC </w:t>
      </w:r>
      <w:proofErr w:type="gramStart"/>
      <w:r w:rsidRPr="00B00AC1">
        <w:rPr>
          <w:rFonts w:ascii="Book Antiqua" w:hAnsi="Book Antiqua" w:cs="Arial"/>
          <w:sz w:val="24"/>
        </w:rPr>
        <w:t>progression</w:t>
      </w:r>
      <w:r w:rsidR="003D4868" w:rsidRPr="00B00AC1">
        <w:rPr>
          <w:rFonts w:ascii="Book Antiqua" w:hAnsi="Book Antiqua" w:cs="Arial"/>
          <w:noProof/>
          <w:sz w:val="24"/>
          <w:vertAlign w:val="superscript"/>
        </w:rPr>
        <w:t>[</w:t>
      </w:r>
      <w:proofErr w:type="gramEnd"/>
      <w:r w:rsidR="003D4868" w:rsidRPr="00B00AC1">
        <w:rPr>
          <w:rFonts w:ascii="Book Antiqua" w:hAnsi="Book Antiqua" w:cs="Arial"/>
          <w:noProof/>
          <w:sz w:val="24"/>
          <w:vertAlign w:val="superscript"/>
        </w:rPr>
        <w:t>7]</w:t>
      </w:r>
      <w:r w:rsidRPr="00B00AC1">
        <w:rPr>
          <w:rFonts w:ascii="Book Antiqua" w:hAnsi="Book Antiqua" w:cs="Arial"/>
          <w:sz w:val="24"/>
        </w:rPr>
        <w:t xml:space="preserve">. Increased immunosuppress cells in patients parallel with poorer prognosis. Th17 and its secretory product interleukin 17 (IL-17) promote angiogenesis of HCC, and recruit neutrophil to enhance </w:t>
      </w:r>
      <w:proofErr w:type="gramStart"/>
      <w:r w:rsidRPr="00B00AC1">
        <w:rPr>
          <w:rFonts w:ascii="Book Antiqua" w:hAnsi="Book Antiqua" w:cs="Arial"/>
          <w:sz w:val="24"/>
        </w:rPr>
        <w:t>angiogenesis</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8,</w:t>
      </w:r>
      <w:r w:rsidR="003D4868" w:rsidRPr="00B00AC1">
        <w:rPr>
          <w:rFonts w:ascii="Book Antiqua" w:hAnsi="Book Antiqua" w:cs="Arial"/>
          <w:noProof/>
          <w:sz w:val="24"/>
          <w:vertAlign w:val="superscript"/>
        </w:rPr>
        <w:t>9]</w:t>
      </w:r>
      <w:r w:rsidRPr="00B00AC1">
        <w:rPr>
          <w:rFonts w:ascii="Book Antiqua" w:hAnsi="Book Antiqua" w:cs="Arial"/>
          <w:sz w:val="24"/>
        </w:rPr>
        <w:t>. Effector function of CD8</w:t>
      </w:r>
      <w:r w:rsidRPr="00B00AC1">
        <w:rPr>
          <w:rFonts w:ascii="Book Antiqua" w:hAnsi="Book Antiqua" w:cs="Arial"/>
          <w:sz w:val="24"/>
          <w:vertAlign w:val="superscript"/>
        </w:rPr>
        <w:t>+</w:t>
      </w:r>
      <w:r w:rsidRPr="00B00AC1">
        <w:rPr>
          <w:rFonts w:ascii="Book Antiqua" w:hAnsi="Book Antiqua" w:cs="Arial"/>
          <w:sz w:val="24"/>
        </w:rPr>
        <w:t xml:space="preserve"> T cells is prone to be impaired by increased Tregs, which predicts poor prognosis of HCC </w:t>
      </w:r>
      <w:proofErr w:type="gramStart"/>
      <w:r w:rsidRPr="00B00AC1">
        <w:rPr>
          <w:rFonts w:ascii="Book Antiqua" w:hAnsi="Book Antiqua" w:cs="Arial"/>
          <w:sz w:val="24"/>
        </w:rPr>
        <w:t>patients</w:t>
      </w:r>
      <w:r w:rsidR="003D4868" w:rsidRPr="00B00AC1">
        <w:rPr>
          <w:rFonts w:ascii="Book Antiqua" w:hAnsi="Book Antiqua" w:cs="Arial"/>
          <w:noProof/>
          <w:sz w:val="24"/>
          <w:vertAlign w:val="superscript"/>
        </w:rPr>
        <w:t>[</w:t>
      </w:r>
      <w:proofErr w:type="gramEnd"/>
      <w:r w:rsidR="003D4868" w:rsidRPr="00B00AC1">
        <w:rPr>
          <w:rFonts w:ascii="Book Antiqua" w:hAnsi="Book Antiqua" w:cs="Arial"/>
          <w:noProof/>
          <w:sz w:val="24"/>
          <w:vertAlign w:val="superscript"/>
        </w:rPr>
        <w:t>10]</w:t>
      </w:r>
      <w:r w:rsidRPr="00B00AC1">
        <w:rPr>
          <w:rFonts w:ascii="Book Antiqua" w:hAnsi="Book Antiqua" w:cs="Arial"/>
          <w:sz w:val="24"/>
        </w:rPr>
        <w:t xml:space="preserve">. In addition, the function impairment of other cells like natural killer (NK) cell also contributes to tumor </w:t>
      </w:r>
      <w:proofErr w:type="gramStart"/>
      <w:r w:rsidRPr="00B00AC1">
        <w:rPr>
          <w:rFonts w:ascii="Book Antiqua" w:hAnsi="Book Antiqua" w:cs="Arial"/>
          <w:sz w:val="24"/>
        </w:rPr>
        <w:t>progression</w:t>
      </w:r>
      <w:r w:rsidR="003D4868" w:rsidRPr="00B00AC1">
        <w:rPr>
          <w:rFonts w:ascii="Book Antiqua" w:hAnsi="Book Antiqua" w:cs="Arial"/>
          <w:noProof/>
          <w:sz w:val="24"/>
          <w:vertAlign w:val="superscript"/>
        </w:rPr>
        <w:t>[</w:t>
      </w:r>
      <w:proofErr w:type="gramEnd"/>
      <w:r w:rsidR="003D4868" w:rsidRPr="00B00AC1">
        <w:rPr>
          <w:rFonts w:ascii="Book Antiqua" w:hAnsi="Book Antiqua" w:cs="Arial"/>
          <w:noProof/>
          <w:sz w:val="24"/>
          <w:vertAlign w:val="superscript"/>
        </w:rPr>
        <w:t>11]</w:t>
      </w:r>
      <w:r w:rsidRPr="00B00AC1">
        <w:rPr>
          <w:rFonts w:ascii="Book Antiqua" w:hAnsi="Book Antiqua" w:cs="Arial"/>
          <w:sz w:val="24"/>
        </w:rPr>
        <w:t>.</w:t>
      </w:r>
    </w:p>
    <w:p w14:paraId="27B077E7" w14:textId="77777777" w:rsidR="00F45BC7" w:rsidRPr="00B00AC1" w:rsidRDefault="00F45BC7" w:rsidP="00B00AC1">
      <w:pPr>
        <w:spacing w:line="360" w:lineRule="auto"/>
        <w:rPr>
          <w:rFonts w:ascii="Book Antiqua" w:hAnsi="Book Antiqua" w:cs="Arial"/>
          <w:sz w:val="24"/>
        </w:rPr>
      </w:pPr>
    </w:p>
    <w:p w14:paraId="37F4A605" w14:textId="71BFADE1" w:rsidR="00F45BC7" w:rsidRPr="00B00AC1" w:rsidRDefault="006E6897" w:rsidP="00B00AC1">
      <w:pPr>
        <w:spacing w:line="360" w:lineRule="auto"/>
        <w:rPr>
          <w:rFonts w:ascii="Book Antiqua" w:hAnsi="Book Antiqua" w:cs="Arial"/>
          <w:b/>
          <w:sz w:val="24"/>
        </w:rPr>
      </w:pPr>
      <w:r w:rsidRPr="00B00AC1">
        <w:rPr>
          <w:rFonts w:ascii="Book Antiqua" w:hAnsi="Book Antiqua" w:cs="Arial"/>
          <w:b/>
          <w:sz w:val="24"/>
        </w:rPr>
        <w:t>IMMUNOMODULATORS</w:t>
      </w:r>
    </w:p>
    <w:p w14:paraId="3F91E422" w14:textId="617E8194" w:rsidR="00F45BC7" w:rsidRPr="006E6897" w:rsidRDefault="00F45BC7" w:rsidP="00B00AC1">
      <w:pPr>
        <w:spacing w:line="360" w:lineRule="auto"/>
        <w:rPr>
          <w:rFonts w:ascii="Book Antiqua" w:hAnsi="Book Antiqua" w:cs="Arial"/>
          <w:i/>
          <w:sz w:val="24"/>
        </w:rPr>
      </w:pPr>
      <w:r w:rsidRPr="006E6897">
        <w:rPr>
          <w:rFonts w:ascii="Book Antiqua" w:hAnsi="Book Antiqua" w:cs="Arial"/>
          <w:i/>
          <w:sz w:val="24"/>
        </w:rPr>
        <w:t>Cytokines</w:t>
      </w:r>
    </w:p>
    <w:p w14:paraId="5AE9CFC8" w14:textId="6E22F7A5"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Various cytokines involve in immune responses. Certain cytokines can directly inhibit tumor cell growth, or enhance the capacity of relevant immune cells to delay tumor development.</w:t>
      </w:r>
    </w:p>
    <w:p w14:paraId="56D506EB" w14:textId="0CDA647E" w:rsidR="00F45BC7" w:rsidRPr="00B00AC1" w:rsidRDefault="00F45BC7" w:rsidP="00B00AC1">
      <w:pPr>
        <w:spacing w:afterLines="50" w:after="211" w:line="360" w:lineRule="auto"/>
        <w:rPr>
          <w:rFonts w:ascii="Book Antiqua" w:hAnsi="Book Antiqua" w:cs="Arial"/>
          <w:sz w:val="24"/>
        </w:rPr>
      </w:pPr>
      <w:r w:rsidRPr="00B00AC1">
        <w:rPr>
          <w:rFonts w:ascii="Book Antiqua" w:hAnsi="Book Antiqua" w:cs="Arial"/>
          <w:sz w:val="24"/>
        </w:rPr>
        <w:tab/>
        <w:t xml:space="preserve">Interferon is well known for immunomodulation, anti-proliferation, and anti-angiogenesis. They were found decreased in serum of patients with HCC. All three types of interferon </w:t>
      </w:r>
      <w:r w:rsidRPr="00B00AC1">
        <w:rPr>
          <w:rFonts w:ascii="Book Antiqua" w:hAnsi="Book Antiqua" w:cs="Book Antiqua"/>
          <w:kern w:val="0"/>
          <w:sz w:val="24"/>
        </w:rPr>
        <w:t>(IFN-</w:t>
      </w:r>
      <w:r w:rsidR="00FF3007" w:rsidRPr="00B00AC1">
        <w:rPr>
          <w:rFonts w:ascii="Book Antiqua" w:hAnsi="Book Antiqua"/>
          <w:kern w:val="0"/>
          <w:sz w:val="24"/>
        </w:rPr>
        <w:t>α</w:t>
      </w:r>
      <w:r w:rsidRPr="00B00AC1">
        <w:rPr>
          <w:rFonts w:ascii="Book Antiqua" w:hAnsi="Book Antiqua" w:cs="Book Antiqua"/>
          <w:kern w:val="0"/>
          <w:sz w:val="24"/>
        </w:rPr>
        <w:t>, IFN-</w:t>
      </w:r>
      <w:r w:rsidRPr="00B00AC1">
        <w:rPr>
          <w:rFonts w:ascii="Book Antiqua" w:hAnsi="Book Antiqua"/>
          <w:kern w:val="0"/>
          <w:sz w:val="24"/>
        </w:rPr>
        <w:t>β</w:t>
      </w:r>
      <w:r w:rsidRPr="00B00AC1">
        <w:rPr>
          <w:rFonts w:ascii="Book Antiqua" w:hAnsi="Book Antiqua" w:cs="Book Antiqua"/>
          <w:kern w:val="0"/>
          <w:sz w:val="24"/>
        </w:rPr>
        <w:t>, IFN-</w:t>
      </w:r>
      <w:r w:rsidRPr="00B00AC1">
        <w:rPr>
          <w:rFonts w:ascii="Book Antiqua" w:hAnsi="Book Antiqua"/>
          <w:kern w:val="0"/>
          <w:sz w:val="24"/>
        </w:rPr>
        <w:t>γ</w:t>
      </w:r>
      <w:r w:rsidRPr="00B00AC1">
        <w:rPr>
          <w:rFonts w:ascii="Book Antiqua" w:hAnsi="Book Antiqua" w:cs="Book Antiqua"/>
          <w:kern w:val="0"/>
          <w:sz w:val="24"/>
        </w:rPr>
        <w:t xml:space="preserve">) </w:t>
      </w:r>
      <w:r w:rsidRPr="00B00AC1">
        <w:rPr>
          <w:rFonts w:ascii="Book Antiqua" w:hAnsi="Book Antiqua" w:cs="Arial"/>
          <w:sz w:val="24"/>
        </w:rPr>
        <w:t xml:space="preserve">have been proved effective to inhibit HCC by inducing tumor cell apoptosis or </w:t>
      </w:r>
      <w:proofErr w:type="gramStart"/>
      <w:r w:rsidRPr="00B00AC1">
        <w:rPr>
          <w:rFonts w:ascii="Book Antiqua" w:hAnsi="Book Antiqua" w:cs="Arial"/>
          <w:sz w:val="24"/>
        </w:rPr>
        <w:t>autophagy</w:t>
      </w:r>
      <w:r w:rsidR="00902A08" w:rsidRPr="00B00AC1">
        <w:rPr>
          <w:rFonts w:ascii="Book Antiqua" w:hAnsi="Book Antiqua" w:cs="Arial"/>
          <w:noProof/>
          <w:sz w:val="24"/>
          <w:vertAlign w:val="superscript"/>
        </w:rPr>
        <w:t>[</w:t>
      </w:r>
      <w:proofErr w:type="gramEnd"/>
      <w:r w:rsidR="00902A08" w:rsidRPr="00B00AC1">
        <w:rPr>
          <w:rFonts w:ascii="Book Antiqua" w:hAnsi="Book Antiqua" w:cs="Arial"/>
          <w:noProof/>
          <w:sz w:val="24"/>
          <w:vertAlign w:val="superscript"/>
        </w:rPr>
        <w:t>12-14]</w:t>
      </w:r>
      <w:r w:rsidRPr="00B00AC1">
        <w:rPr>
          <w:rFonts w:ascii="Book Antiqua" w:hAnsi="Book Antiqua" w:cs="Arial"/>
          <w:sz w:val="24"/>
        </w:rPr>
        <w:t>.</w:t>
      </w:r>
      <w:hyperlink w:anchor="_ENREF_5" w:tooltip="Li, 2012 #8" w:history="1"/>
      <w:r w:rsidRPr="00B00AC1">
        <w:rPr>
          <w:rFonts w:ascii="Book Antiqua" w:hAnsi="Book Antiqua" w:cs="Arial"/>
          <w:sz w:val="24"/>
        </w:rPr>
        <w:t xml:space="preserve"> However, the efficiencies among different types of interferon are under debate. Although some investigators addressed that IFN-</w:t>
      </w:r>
      <w:r w:rsidR="00FE0FF8" w:rsidRPr="00B00AC1">
        <w:rPr>
          <w:rFonts w:ascii="Book Antiqua" w:hAnsi="Book Antiqua"/>
          <w:kern w:val="0"/>
          <w:sz w:val="24"/>
        </w:rPr>
        <w:t xml:space="preserve">β </w:t>
      </w:r>
      <w:r w:rsidRPr="00B00AC1">
        <w:rPr>
          <w:rFonts w:ascii="Book Antiqua" w:hAnsi="Book Antiqua" w:cs="Arial"/>
          <w:sz w:val="24"/>
        </w:rPr>
        <w:t xml:space="preserve">showed better anti-HCC </w:t>
      </w:r>
      <w:proofErr w:type="gramStart"/>
      <w:r w:rsidRPr="00B00AC1">
        <w:rPr>
          <w:rFonts w:ascii="Book Antiqua" w:hAnsi="Book Antiqua" w:cs="Arial"/>
          <w:sz w:val="24"/>
        </w:rPr>
        <w:t>effects</w:t>
      </w:r>
      <w:r w:rsidR="00902A08" w:rsidRPr="00B00AC1">
        <w:rPr>
          <w:rFonts w:ascii="Book Antiqua" w:hAnsi="Book Antiqua" w:cs="Arial"/>
          <w:noProof/>
          <w:sz w:val="24"/>
          <w:vertAlign w:val="superscript"/>
        </w:rPr>
        <w:t>[</w:t>
      </w:r>
      <w:proofErr w:type="gramEnd"/>
      <w:r w:rsidR="00902A08" w:rsidRPr="00B00AC1">
        <w:rPr>
          <w:rFonts w:ascii="Book Antiqua" w:hAnsi="Book Antiqua" w:cs="Arial"/>
          <w:noProof/>
          <w:sz w:val="24"/>
          <w:vertAlign w:val="superscript"/>
        </w:rPr>
        <w:t>15]</w:t>
      </w:r>
      <w:r w:rsidRPr="00B00AC1">
        <w:rPr>
          <w:rFonts w:ascii="Book Antiqua" w:hAnsi="Book Antiqua" w:cs="Arial"/>
          <w:sz w:val="24"/>
        </w:rPr>
        <w:t>, the use of IFN-</w:t>
      </w:r>
      <w:r w:rsidR="00FE0FF8" w:rsidRPr="00B00AC1">
        <w:rPr>
          <w:rFonts w:ascii="Book Antiqua" w:hAnsi="Book Antiqua"/>
          <w:kern w:val="0"/>
          <w:sz w:val="24"/>
        </w:rPr>
        <w:t xml:space="preserve">α </w:t>
      </w:r>
      <w:r w:rsidRPr="00B00AC1">
        <w:rPr>
          <w:rFonts w:ascii="Book Antiqua" w:hAnsi="Book Antiqua" w:cs="Arial"/>
          <w:sz w:val="24"/>
        </w:rPr>
        <w:t>in HCC treatment were more frequently reported. However, IFN-</w:t>
      </w:r>
      <w:r w:rsidRPr="00B00AC1">
        <w:rPr>
          <w:rFonts w:ascii="Book Antiqua" w:hAnsi="Book Antiqua"/>
          <w:sz w:val="24"/>
        </w:rPr>
        <w:t xml:space="preserve">α </w:t>
      </w:r>
      <w:r w:rsidRPr="00B00AC1">
        <w:rPr>
          <w:rFonts w:ascii="Book Antiqua" w:hAnsi="Book Antiqua" w:cs="Arial"/>
          <w:sz w:val="24"/>
        </w:rPr>
        <w:t>alone did not show satisfactory survival benefit in pat</w:t>
      </w:r>
      <w:r w:rsidR="00F53E14" w:rsidRPr="00B00AC1">
        <w:rPr>
          <w:rFonts w:ascii="Book Antiqua" w:hAnsi="Book Antiqua" w:cs="Arial"/>
          <w:sz w:val="24"/>
        </w:rPr>
        <w:t>i</w:t>
      </w:r>
      <w:r w:rsidRPr="00B00AC1">
        <w:rPr>
          <w:rFonts w:ascii="Book Antiqua" w:hAnsi="Book Antiqua" w:cs="Arial"/>
          <w:sz w:val="24"/>
        </w:rPr>
        <w:t>ents with unresectable HCC, confirmed by randomized controlled trials (RCTs)</w:t>
      </w:r>
      <w:r w:rsidR="006E6897">
        <w:rPr>
          <w:rFonts w:ascii="Book Antiqua" w:hAnsi="Book Antiqua" w:cs="Arial"/>
          <w:noProof/>
          <w:sz w:val="24"/>
          <w:vertAlign w:val="superscript"/>
        </w:rPr>
        <w:t xml:space="preserve"> [16,</w:t>
      </w:r>
      <w:r w:rsidR="00902A08" w:rsidRPr="00B00AC1">
        <w:rPr>
          <w:rFonts w:ascii="Book Antiqua" w:hAnsi="Book Antiqua" w:cs="Arial"/>
          <w:noProof/>
          <w:sz w:val="24"/>
          <w:vertAlign w:val="superscript"/>
        </w:rPr>
        <w:t>17]</w:t>
      </w:r>
      <w:r w:rsidRPr="00B00AC1">
        <w:rPr>
          <w:rFonts w:ascii="Book Antiqua" w:hAnsi="Book Antiqua" w:cs="Arial"/>
          <w:sz w:val="24"/>
        </w:rPr>
        <w:t>. IFN-</w:t>
      </w:r>
      <w:r w:rsidRPr="00B00AC1">
        <w:rPr>
          <w:rFonts w:ascii="Book Antiqua" w:hAnsi="Book Antiqua"/>
          <w:sz w:val="24"/>
        </w:rPr>
        <w:t>α</w:t>
      </w:r>
      <w:r w:rsidRPr="00B00AC1">
        <w:rPr>
          <w:rFonts w:ascii="Book Antiqua" w:hAnsi="Book Antiqua" w:cs="Arial"/>
          <w:sz w:val="24"/>
        </w:rPr>
        <w:t xml:space="preserve">-2b also failed to decrease the risk of postoperative </w:t>
      </w:r>
      <w:proofErr w:type="gramStart"/>
      <w:r w:rsidRPr="00B00AC1">
        <w:rPr>
          <w:rFonts w:ascii="Book Antiqua" w:hAnsi="Book Antiqua" w:cs="Arial"/>
          <w:sz w:val="24"/>
        </w:rPr>
        <w:t>recurrence</w:t>
      </w:r>
      <w:r w:rsidR="00902A08" w:rsidRPr="00B00AC1">
        <w:rPr>
          <w:rFonts w:ascii="Book Antiqua" w:hAnsi="Book Antiqua" w:cs="Arial"/>
          <w:noProof/>
          <w:sz w:val="24"/>
          <w:vertAlign w:val="superscript"/>
        </w:rPr>
        <w:t>[</w:t>
      </w:r>
      <w:proofErr w:type="gramEnd"/>
      <w:r w:rsidR="00902A08" w:rsidRPr="00B00AC1">
        <w:rPr>
          <w:rFonts w:ascii="Book Antiqua" w:hAnsi="Book Antiqua" w:cs="Arial"/>
          <w:noProof/>
          <w:sz w:val="24"/>
          <w:vertAlign w:val="superscript"/>
        </w:rPr>
        <w:t>18]</w:t>
      </w:r>
      <w:r w:rsidRPr="00B00AC1">
        <w:rPr>
          <w:rFonts w:ascii="Book Antiqua" w:hAnsi="Book Antiqua" w:cs="Arial"/>
          <w:sz w:val="24"/>
        </w:rPr>
        <w:t xml:space="preserve">. In contrast, interferon showed some benefits when combined with other modalities such as chemotherapy, curative resection, and </w:t>
      </w:r>
      <w:proofErr w:type="gramStart"/>
      <w:r w:rsidRPr="00B00AC1">
        <w:rPr>
          <w:rFonts w:ascii="Book Antiqua" w:hAnsi="Book Antiqua" w:cs="Arial"/>
          <w:sz w:val="24"/>
        </w:rPr>
        <w:t>TACE</w:t>
      </w:r>
      <w:r w:rsidR="00D14A4E" w:rsidRPr="00B00AC1">
        <w:rPr>
          <w:rFonts w:ascii="Book Antiqua" w:hAnsi="Book Antiqua" w:cs="Arial"/>
          <w:noProof/>
          <w:sz w:val="24"/>
          <w:vertAlign w:val="superscript"/>
        </w:rPr>
        <w:t>[</w:t>
      </w:r>
      <w:proofErr w:type="gramEnd"/>
      <w:r w:rsidR="00D14A4E" w:rsidRPr="00B00AC1">
        <w:rPr>
          <w:rFonts w:ascii="Book Antiqua" w:hAnsi="Book Antiqua" w:cs="Arial"/>
          <w:noProof/>
          <w:sz w:val="24"/>
          <w:vertAlign w:val="superscript"/>
        </w:rPr>
        <w:t>19-22]</w:t>
      </w:r>
      <w:r w:rsidRPr="00B00AC1">
        <w:rPr>
          <w:rFonts w:ascii="Book Antiqua" w:hAnsi="Book Antiqua" w:cs="Arial"/>
          <w:sz w:val="24"/>
        </w:rPr>
        <w:t>.</w:t>
      </w:r>
      <w:hyperlink w:anchor="_ENREF_15" w:tooltip="Li, 2009 #19" w:history="1"/>
      <w:r w:rsidRPr="00B00AC1">
        <w:rPr>
          <w:rFonts w:ascii="Book Antiqua" w:hAnsi="Book Antiqua" w:cs="Arial"/>
          <w:sz w:val="24"/>
        </w:rPr>
        <w:t xml:space="preserve"> Two meta-analyses revealed that adjuvant interferon therapy after curative therapy for HCC could improve both overall survival and recurrence-free </w:t>
      </w:r>
      <w:proofErr w:type="gramStart"/>
      <w:r w:rsidRPr="00B00AC1">
        <w:rPr>
          <w:rFonts w:ascii="Book Antiqua" w:hAnsi="Book Antiqua" w:cs="Arial"/>
          <w:sz w:val="24"/>
        </w:rPr>
        <w:t>survival</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23,</w:t>
      </w:r>
      <w:r w:rsidR="00D14A4E" w:rsidRPr="00B00AC1">
        <w:rPr>
          <w:rFonts w:ascii="Book Antiqua" w:hAnsi="Book Antiqua" w:cs="Arial"/>
          <w:noProof/>
          <w:sz w:val="24"/>
          <w:vertAlign w:val="superscript"/>
        </w:rPr>
        <w:t>24]</w:t>
      </w:r>
      <w:r w:rsidRPr="00B00AC1">
        <w:rPr>
          <w:rFonts w:ascii="Book Antiqua" w:hAnsi="Book Antiqua" w:cs="Arial"/>
          <w:sz w:val="24"/>
        </w:rPr>
        <w:t>. Combination of IFN-</w:t>
      </w:r>
      <w:r w:rsidRPr="00B00AC1">
        <w:rPr>
          <w:rFonts w:ascii="Book Antiqua" w:hAnsi="Book Antiqua"/>
          <w:sz w:val="24"/>
        </w:rPr>
        <w:t xml:space="preserve">α </w:t>
      </w:r>
      <w:r w:rsidRPr="00B00AC1">
        <w:rPr>
          <w:rFonts w:ascii="Book Antiqua" w:hAnsi="Book Antiqua" w:cs="Arial"/>
          <w:sz w:val="24"/>
        </w:rPr>
        <w:t xml:space="preserve">with sorafenib was also reported to be efficient in a mouse </w:t>
      </w:r>
      <w:proofErr w:type="gramStart"/>
      <w:r w:rsidRPr="00B00AC1">
        <w:rPr>
          <w:rFonts w:ascii="Book Antiqua" w:hAnsi="Book Antiqua" w:cs="Arial"/>
          <w:sz w:val="24"/>
        </w:rPr>
        <w:t>model</w:t>
      </w:r>
      <w:r w:rsidR="006E6897" w:rsidRPr="00B00AC1">
        <w:rPr>
          <w:rFonts w:ascii="Book Antiqua" w:hAnsi="Book Antiqua" w:cs="Arial"/>
          <w:noProof/>
          <w:sz w:val="24"/>
          <w:vertAlign w:val="superscript"/>
        </w:rPr>
        <w:t>[</w:t>
      </w:r>
      <w:proofErr w:type="gramEnd"/>
      <w:r w:rsidR="006E6897" w:rsidRPr="00B00AC1">
        <w:rPr>
          <w:rFonts w:ascii="Book Antiqua" w:hAnsi="Book Antiqua" w:cs="Arial"/>
          <w:noProof/>
          <w:sz w:val="24"/>
          <w:vertAlign w:val="superscript"/>
        </w:rPr>
        <w:t>25]</w:t>
      </w:r>
      <w:r w:rsidRPr="00B00AC1">
        <w:rPr>
          <w:rFonts w:ascii="Book Antiqua" w:hAnsi="Book Antiqua" w:cs="Arial"/>
          <w:sz w:val="24"/>
        </w:rPr>
        <w:t xml:space="preserve">, but this has not been tested in human. In addition, interferon treatment may gain further benefits for HCC patients with hepatitis B or C virus infection from removing the </w:t>
      </w:r>
      <w:proofErr w:type="gramStart"/>
      <w:r w:rsidRPr="00B00AC1">
        <w:rPr>
          <w:rFonts w:ascii="Book Antiqua" w:hAnsi="Book Antiqua" w:cs="Arial"/>
          <w:sz w:val="24"/>
        </w:rPr>
        <w:t>viruses</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26,</w:t>
      </w:r>
      <w:r w:rsidR="00D14A4E" w:rsidRPr="00B00AC1">
        <w:rPr>
          <w:rFonts w:ascii="Book Antiqua" w:hAnsi="Book Antiqua" w:cs="Arial"/>
          <w:noProof/>
          <w:sz w:val="24"/>
          <w:vertAlign w:val="superscript"/>
        </w:rPr>
        <w:t>27]</w:t>
      </w:r>
      <w:r w:rsidRPr="00B00AC1">
        <w:rPr>
          <w:rFonts w:ascii="Book Antiqua" w:hAnsi="Book Antiqua" w:cs="Arial"/>
          <w:sz w:val="24"/>
        </w:rPr>
        <w:t xml:space="preserve">. </w:t>
      </w:r>
      <w:r w:rsidR="00546E21" w:rsidRPr="00B00AC1">
        <w:rPr>
          <w:rFonts w:ascii="Book Antiqua" w:hAnsi="Book Antiqua" w:cs="Arial"/>
          <w:sz w:val="24"/>
        </w:rPr>
        <w:t>Currently, two registered clinical trials regarding IFN-</w:t>
      </w:r>
      <w:r w:rsidR="00546E21" w:rsidRPr="00B00AC1">
        <w:rPr>
          <w:rFonts w:ascii="Book Antiqua" w:hAnsi="Book Antiqua"/>
          <w:kern w:val="0"/>
          <w:sz w:val="24"/>
        </w:rPr>
        <w:t>α</w:t>
      </w:r>
      <w:r w:rsidR="00014A3C" w:rsidRPr="00B00AC1">
        <w:rPr>
          <w:rFonts w:ascii="Book Antiqua" w:hAnsi="Book Antiqua"/>
          <w:kern w:val="0"/>
          <w:sz w:val="24"/>
        </w:rPr>
        <w:t xml:space="preserve"> </w:t>
      </w:r>
      <w:r w:rsidR="00546E21" w:rsidRPr="00B00AC1">
        <w:rPr>
          <w:rFonts w:ascii="Book Antiqua" w:hAnsi="Book Antiqua"/>
          <w:kern w:val="0"/>
          <w:sz w:val="24"/>
        </w:rPr>
        <w:t>are still recruiting participants</w:t>
      </w:r>
      <w:r w:rsidR="00014A3C" w:rsidRPr="00B00AC1">
        <w:rPr>
          <w:rFonts w:ascii="Book Antiqua" w:hAnsi="Book Antiqua"/>
          <w:kern w:val="0"/>
          <w:sz w:val="24"/>
        </w:rPr>
        <w:t xml:space="preserve">. One multicenter RCT is planning to test </w:t>
      </w:r>
      <w:r w:rsidR="00014A3C" w:rsidRPr="00B00AC1">
        <w:rPr>
          <w:rFonts w:ascii="Book Antiqua" w:hAnsi="Book Antiqua" w:cs="Arial"/>
          <w:sz w:val="24"/>
        </w:rPr>
        <w:t>IFN-</w:t>
      </w:r>
      <w:r w:rsidR="00014A3C" w:rsidRPr="00B00AC1">
        <w:rPr>
          <w:rFonts w:ascii="Book Antiqua" w:hAnsi="Book Antiqua"/>
          <w:kern w:val="0"/>
          <w:sz w:val="24"/>
        </w:rPr>
        <w:t xml:space="preserve">α as an adjuvant therapy in HCC with low miR-26 expression </w:t>
      </w:r>
      <w:r w:rsidR="00546E21" w:rsidRPr="00B00AC1">
        <w:rPr>
          <w:rFonts w:ascii="Book Antiqua" w:hAnsi="Book Antiqua"/>
          <w:kern w:val="0"/>
          <w:sz w:val="24"/>
        </w:rPr>
        <w:t>(</w:t>
      </w:r>
      <w:r w:rsidR="00014A3C" w:rsidRPr="00B00AC1">
        <w:rPr>
          <w:rFonts w:ascii="Book Antiqua" w:hAnsi="Book Antiqua"/>
          <w:kern w:val="0"/>
          <w:sz w:val="24"/>
        </w:rPr>
        <w:t>NCT011681446</w:t>
      </w:r>
      <w:r w:rsidR="00546E21" w:rsidRPr="00B00AC1">
        <w:rPr>
          <w:rFonts w:ascii="Book Antiqua" w:hAnsi="Book Antiqua"/>
          <w:kern w:val="0"/>
          <w:sz w:val="24"/>
        </w:rPr>
        <w:t>)</w:t>
      </w:r>
      <w:r w:rsidR="00014A3C" w:rsidRPr="00B00AC1">
        <w:rPr>
          <w:rFonts w:ascii="Book Antiqua" w:hAnsi="Book Antiqua"/>
          <w:kern w:val="0"/>
          <w:sz w:val="24"/>
        </w:rPr>
        <w:t xml:space="preserve">, and the other phase II trial is trying to combine </w:t>
      </w:r>
      <w:r w:rsidR="00014A3C" w:rsidRPr="00B00AC1">
        <w:rPr>
          <w:rFonts w:ascii="Book Antiqua" w:hAnsi="Book Antiqua" w:cs="Arial"/>
          <w:sz w:val="24"/>
        </w:rPr>
        <w:t>IFN-</w:t>
      </w:r>
      <w:r w:rsidR="00014A3C" w:rsidRPr="00B00AC1">
        <w:rPr>
          <w:rFonts w:ascii="Book Antiqua" w:hAnsi="Book Antiqua"/>
          <w:kern w:val="0"/>
          <w:sz w:val="24"/>
        </w:rPr>
        <w:t xml:space="preserve">α with fluorouracil to treat </w:t>
      </w:r>
      <w:r w:rsidR="00F07252" w:rsidRPr="00B00AC1">
        <w:rPr>
          <w:rFonts w:ascii="Book Antiqua" w:hAnsi="Book Antiqua"/>
          <w:kern w:val="0"/>
          <w:sz w:val="24"/>
        </w:rPr>
        <w:t xml:space="preserve">HCC patients underwent liver resection </w:t>
      </w:r>
      <w:r w:rsidR="00014A3C" w:rsidRPr="00B00AC1">
        <w:rPr>
          <w:rFonts w:ascii="Book Antiqua" w:hAnsi="Book Antiqua"/>
          <w:kern w:val="0"/>
          <w:sz w:val="24"/>
        </w:rPr>
        <w:t>(NCT0183</w:t>
      </w:r>
      <w:r w:rsidR="008A001E" w:rsidRPr="00B00AC1">
        <w:rPr>
          <w:rFonts w:ascii="Book Antiqua" w:hAnsi="Book Antiqua"/>
          <w:kern w:val="0"/>
          <w:sz w:val="24"/>
        </w:rPr>
        <w:t>4963</w:t>
      </w:r>
      <w:r w:rsidR="00014A3C" w:rsidRPr="00B00AC1">
        <w:rPr>
          <w:rFonts w:ascii="Book Antiqua" w:hAnsi="Book Antiqua"/>
          <w:kern w:val="0"/>
          <w:sz w:val="24"/>
        </w:rPr>
        <w:t>)</w:t>
      </w:r>
      <w:r w:rsidR="00546E21" w:rsidRPr="00B00AC1">
        <w:rPr>
          <w:rFonts w:ascii="Book Antiqua" w:hAnsi="Book Antiqua"/>
          <w:kern w:val="0"/>
          <w:sz w:val="24"/>
        </w:rPr>
        <w:t xml:space="preserve">. </w:t>
      </w:r>
      <w:r w:rsidRPr="00B00AC1">
        <w:rPr>
          <w:rFonts w:ascii="Book Antiqua" w:hAnsi="Book Antiqua" w:cs="Arial"/>
          <w:sz w:val="24"/>
        </w:rPr>
        <w:t>Generally, IFN-</w:t>
      </w:r>
      <w:r w:rsidRPr="00B00AC1">
        <w:rPr>
          <w:rFonts w:ascii="Book Antiqua" w:hAnsi="Book Antiqua"/>
          <w:sz w:val="24"/>
        </w:rPr>
        <w:t>α</w:t>
      </w:r>
      <w:r w:rsidRPr="00B00AC1">
        <w:rPr>
          <w:rFonts w:ascii="Book Antiqua" w:hAnsi="Book Antiqua" w:cs="Arial"/>
          <w:sz w:val="24"/>
        </w:rPr>
        <w:t xml:space="preserve"> showed </w:t>
      </w:r>
      <w:r w:rsidR="00196B58" w:rsidRPr="00B00AC1">
        <w:rPr>
          <w:rFonts w:ascii="Book Antiqua" w:hAnsi="Book Antiqua" w:cs="Arial"/>
          <w:sz w:val="24"/>
        </w:rPr>
        <w:t>demonstrated</w:t>
      </w:r>
      <w:r w:rsidRPr="00B00AC1">
        <w:rPr>
          <w:rFonts w:ascii="Book Antiqua" w:hAnsi="Book Antiqua" w:cs="Arial"/>
          <w:sz w:val="24"/>
        </w:rPr>
        <w:t xml:space="preserve"> equivocal effects and should only be applied to selected patients as supportive or adjuvant therapy </w:t>
      </w:r>
      <w:r w:rsidR="00196B58" w:rsidRPr="00B00AC1">
        <w:rPr>
          <w:rFonts w:ascii="Book Antiqua" w:hAnsi="Book Antiqua" w:cs="Arial"/>
          <w:sz w:val="24"/>
        </w:rPr>
        <w:t>within the assumption</w:t>
      </w:r>
      <w:r w:rsidRPr="00B00AC1">
        <w:rPr>
          <w:rFonts w:ascii="Book Antiqua" w:hAnsi="Book Antiqua" w:cs="Arial"/>
          <w:sz w:val="24"/>
        </w:rPr>
        <w:t xml:space="preserve"> of current evidence.</w:t>
      </w:r>
    </w:p>
    <w:p w14:paraId="4577485A" w14:textId="314DEE0C" w:rsidR="00F45BC7" w:rsidRPr="006E6897" w:rsidRDefault="00F45BC7" w:rsidP="00B00AC1">
      <w:pPr>
        <w:spacing w:line="360" w:lineRule="auto"/>
        <w:rPr>
          <w:rFonts w:ascii="Book Antiqua" w:hAnsi="Book Antiqua" w:cs="Arial"/>
          <w:b/>
          <w:i/>
          <w:sz w:val="24"/>
        </w:rPr>
      </w:pPr>
      <w:r w:rsidRPr="006E6897">
        <w:rPr>
          <w:rFonts w:ascii="Book Antiqua" w:hAnsi="Book Antiqua" w:cs="Arial"/>
          <w:b/>
          <w:i/>
          <w:sz w:val="24"/>
        </w:rPr>
        <w:t>Interleukins</w:t>
      </w:r>
      <w:hyperlink w:anchor="_ENREF_12" w:tooltip="Xu, 2014 #12" w:history="1"/>
    </w:p>
    <w:p w14:paraId="2EF882EF" w14:textId="698F6920"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Interleukins have been applied to enhance anti-tumor responses of immune system. However, few studies concerning these interleukins were performed in human. Small-scaled clinical studies evaluated the efficacies of IL-2 or IL-12 alone or combined together in HCC treatment, but the results were </w:t>
      </w:r>
      <w:proofErr w:type="gramStart"/>
      <w:r w:rsidRPr="00B00AC1">
        <w:rPr>
          <w:rFonts w:ascii="Book Antiqua" w:hAnsi="Book Antiqua" w:cs="Arial"/>
          <w:sz w:val="24"/>
        </w:rPr>
        <w:t>inclusive</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28,</w:t>
      </w:r>
      <w:r w:rsidRPr="00B00AC1">
        <w:rPr>
          <w:rFonts w:ascii="Book Antiqua" w:hAnsi="Book Antiqua" w:cs="Arial"/>
          <w:noProof/>
          <w:sz w:val="24"/>
          <w:vertAlign w:val="superscript"/>
        </w:rPr>
        <w:t>29]</w:t>
      </w:r>
      <w:r w:rsidRPr="00B00AC1">
        <w:rPr>
          <w:rFonts w:ascii="Book Antiqua" w:hAnsi="Book Antiqua" w:cs="Arial"/>
          <w:sz w:val="24"/>
        </w:rPr>
        <w:t xml:space="preserve">. Other sorts of interleukins were also studied. For instance, IL-37 was found to selectively recruit NK cells to conduct anti-tumor activity in HCC </w:t>
      </w:r>
      <w:proofErr w:type="gramStart"/>
      <w:r w:rsidRPr="00B00AC1">
        <w:rPr>
          <w:rFonts w:ascii="Book Antiqua" w:hAnsi="Book Antiqua" w:cs="Arial"/>
          <w:sz w:val="24"/>
        </w:rPr>
        <w:t>patients</w:t>
      </w:r>
      <w:r w:rsidR="00D14A4E" w:rsidRPr="00B00AC1">
        <w:rPr>
          <w:rFonts w:ascii="Book Antiqua" w:hAnsi="Book Antiqua" w:cs="Arial"/>
          <w:noProof/>
          <w:sz w:val="24"/>
          <w:vertAlign w:val="superscript"/>
        </w:rPr>
        <w:t>[</w:t>
      </w:r>
      <w:proofErr w:type="gramEnd"/>
      <w:r w:rsidR="00D14A4E" w:rsidRPr="00B00AC1">
        <w:rPr>
          <w:rFonts w:ascii="Book Antiqua" w:hAnsi="Book Antiqua" w:cs="Arial"/>
          <w:noProof/>
          <w:sz w:val="24"/>
          <w:vertAlign w:val="superscript"/>
        </w:rPr>
        <w:t>30]</w:t>
      </w:r>
      <w:r w:rsidRPr="00B00AC1">
        <w:rPr>
          <w:rFonts w:ascii="Book Antiqua" w:hAnsi="Book Antiqua" w:cs="Arial"/>
          <w:sz w:val="24"/>
        </w:rPr>
        <w:t xml:space="preserve">. IL-24 was reported to show </w:t>
      </w:r>
      <w:r w:rsidRPr="00B00AC1">
        <w:rPr>
          <w:rFonts w:ascii="Book Antiqua" w:hAnsi="Book Antiqua" w:cs="Arial"/>
          <w:i/>
          <w:sz w:val="24"/>
        </w:rPr>
        <w:t>in vivo</w:t>
      </w:r>
      <w:r w:rsidRPr="00B00AC1">
        <w:rPr>
          <w:rFonts w:ascii="Book Antiqua" w:hAnsi="Book Antiqua" w:cs="Arial"/>
          <w:sz w:val="24"/>
        </w:rPr>
        <w:t xml:space="preserve"> anti-tumor activity in the presence of </w:t>
      </w:r>
      <w:proofErr w:type="gramStart"/>
      <w:r w:rsidRPr="00B00AC1">
        <w:rPr>
          <w:rFonts w:ascii="Book Antiqua" w:hAnsi="Book Antiqua" w:cs="Arial"/>
          <w:sz w:val="24"/>
        </w:rPr>
        <w:t>apoptin</w:t>
      </w:r>
      <w:r w:rsidR="00D14A4E" w:rsidRPr="00B00AC1">
        <w:rPr>
          <w:rFonts w:ascii="Book Antiqua" w:hAnsi="Book Antiqua" w:cs="Arial"/>
          <w:noProof/>
          <w:sz w:val="24"/>
          <w:vertAlign w:val="superscript"/>
        </w:rPr>
        <w:t>[</w:t>
      </w:r>
      <w:proofErr w:type="gramEnd"/>
      <w:r w:rsidR="00D14A4E" w:rsidRPr="00B00AC1">
        <w:rPr>
          <w:rFonts w:ascii="Book Antiqua" w:hAnsi="Book Antiqua" w:cs="Arial"/>
          <w:noProof/>
          <w:sz w:val="24"/>
          <w:vertAlign w:val="superscript"/>
        </w:rPr>
        <w:t>31]</w:t>
      </w:r>
      <w:r w:rsidRPr="00B00AC1">
        <w:rPr>
          <w:rFonts w:ascii="Book Antiqua" w:hAnsi="Book Antiqua" w:cs="Arial"/>
          <w:sz w:val="24"/>
        </w:rPr>
        <w:t>. However, c</w:t>
      </w:r>
      <w:r w:rsidRPr="00B00AC1">
        <w:rPr>
          <w:rFonts w:ascii="Book Antiqua" w:hAnsi="Book Antiqua" w:cs="Book Antiqua"/>
          <w:kern w:val="0"/>
          <w:sz w:val="24"/>
        </w:rPr>
        <w:t>linical trials are lacking to determine the therapeutic effects of interleukins in human.</w:t>
      </w:r>
    </w:p>
    <w:p w14:paraId="0EC3E065" w14:textId="77777777" w:rsidR="00F45BC7" w:rsidRPr="00B00AC1" w:rsidRDefault="00F45BC7" w:rsidP="00B00AC1">
      <w:pPr>
        <w:spacing w:line="360" w:lineRule="auto"/>
        <w:rPr>
          <w:rFonts w:ascii="Book Antiqua" w:hAnsi="Book Antiqua" w:cs="Arial"/>
          <w:sz w:val="24"/>
        </w:rPr>
      </w:pPr>
    </w:p>
    <w:p w14:paraId="0B8446CE" w14:textId="3DC0D6D4" w:rsidR="00F45BC7" w:rsidRPr="006E6897" w:rsidRDefault="00F45BC7" w:rsidP="00B00AC1">
      <w:pPr>
        <w:spacing w:line="360" w:lineRule="auto"/>
        <w:rPr>
          <w:rFonts w:ascii="Book Antiqua" w:hAnsi="Book Antiqua" w:cs="Arial"/>
          <w:b/>
          <w:i/>
          <w:sz w:val="24"/>
        </w:rPr>
      </w:pPr>
      <w:r w:rsidRPr="006E6897">
        <w:rPr>
          <w:rFonts w:ascii="Book Antiqua" w:hAnsi="Book Antiqua" w:cs="Arial"/>
          <w:b/>
          <w:i/>
          <w:sz w:val="24"/>
        </w:rPr>
        <w:t>Chemokines</w:t>
      </w:r>
    </w:p>
    <w:p w14:paraId="6C9D0495" w14:textId="1CD89F45"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Chemokines regulate activities and behavior of cells including hepatocytes, immune cells, and the tumor microenvironment. By mediating pro- and anti-inflammatory responses, chemokines can regulate leukocyte recruitment, angiogenesis, and tumor </w:t>
      </w:r>
      <w:proofErr w:type="gramStart"/>
      <w:r w:rsidRPr="00B00AC1">
        <w:rPr>
          <w:rFonts w:ascii="Book Antiqua" w:hAnsi="Book Antiqua" w:cs="Arial"/>
          <w:sz w:val="24"/>
        </w:rPr>
        <w:t>progression</w:t>
      </w:r>
      <w:r w:rsidR="00317843" w:rsidRPr="00B00AC1">
        <w:rPr>
          <w:rFonts w:ascii="Book Antiqua" w:hAnsi="Book Antiqua" w:cs="Arial"/>
          <w:noProof/>
          <w:sz w:val="24"/>
          <w:vertAlign w:val="superscript"/>
        </w:rPr>
        <w:t>[</w:t>
      </w:r>
      <w:proofErr w:type="gramEnd"/>
      <w:r w:rsidR="00317843" w:rsidRPr="00B00AC1">
        <w:rPr>
          <w:rFonts w:ascii="Book Antiqua" w:hAnsi="Book Antiqua" w:cs="Arial"/>
          <w:noProof/>
          <w:sz w:val="24"/>
          <w:vertAlign w:val="superscript"/>
        </w:rPr>
        <w:t>32]</w:t>
      </w:r>
      <w:r w:rsidRPr="00B00AC1">
        <w:rPr>
          <w:rFonts w:ascii="Book Antiqua" w:hAnsi="Book Antiqua" w:cs="Arial"/>
          <w:sz w:val="24"/>
        </w:rPr>
        <w:t xml:space="preserve">. Several chemokine associating signaling including CXCR4/CXCL12, CCR6/CCL20 axes were evident to promote </w:t>
      </w:r>
      <w:proofErr w:type="gramStart"/>
      <w:r w:rsidRPr="00B00AC1">
        <w:rPr>
          <w:rFonts w:ascii="Book Antiqua" w:hAnsi="Book Antiqua" w:cs="Arial"/>
          <w:sz w:val="24"/>
        </w:rPr>
        <w:t>HCC</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33,</w:t>
      </w:r>
      <w:r w:rsidR="00317843" w:rsidRPr="00B00AC1">
        <w:rPr>
          <w:rFonts w:ascii="Book Antiqua" w:hAnsi="Book Antiqua" w:cs="Arial"/>
          <w:noProof/>
          <w:sz w:val="24"/>
          <w:vertAlign w:val="superscript"/>
        </w:rPr>
        <w:t>34]</w:t>
      </w:r>
      <w:r w:rsidRPr="00B00AC1">
        <w:rPr>
          <w:rFonts w:ascii="Book Antiqua" w:hAnsi="Book Antiqua" w:cs="Arial"/>
          <w:sz w:val="24"/>
        </w:rPr>
        <w:t xml:space="preserve">. Blockade of these signalings by relevant receptors seems logical to control HCC. </w:t>
      </w:r>
    </w:p>
    <w:p w14:paraId="5EC5A75C" w14:textId="474BBF32"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 xml:space="preserve">Chemokines can regulate the function of immune cells by interacting the receptors on the membrane of these cells. Tumor infiltrating anti-tumor cells including T cells, NK cells, and natural killer T (NKT) cells showed enhanced expression of certain chemokine </w:t>
      </w:r>
      <w:proofErr w:type="gramStart"/>
      <w:r w:rsidRPr="00B00AC1">
        <w:rPr>
          <w:rFonts w:ascii="Book Antiqua" w:hAnsi="Book Antiqua" w:cs="Arial"/>
          <w:sz w:val="24"/>
        </w:rPr>
        <w:t>receptors</w:t>
      </w:r>
      <w:r w:rsidR="00317843" w:rsidRPr="00B00AC1">
        <w:rPr>
          <w:rFonts w:ascii="Book Antiqua" w:hAnsi="Book Antiqua" w:cs="Arial"/>
          <w:noProof/>
          <w:sz w:val="24"/>
          <w:vertAlign w:val="superscript"/>
        </w:rPr>
        <w:t>[</w:t>
      </w:r>
      <w:proofErr w:type="gramEnd"/>
      <w:r w:rsidR="00317843" w:rsidRPr="00B00AC1">
        <w:rPr>
          <w:rFonts w:ascii="Book Antiqua" w:hAnsi="Book Antiqua" w:cs="Arial"/>
          <w:noProof/>
          <w:sz w:val="24"/>
          <w:vertAlign w:val="superscript"/>
        </w:rPr>
        <w:t>35]</w:t>
      </w:r>
      <w:r w:rsidRPr="00B00AC1">
        <w:rPr>
          <w:rFonts w:ascii="Book Antiqua" w:hAnsi="Book Antiqua" w:cs="Arial"/>
          <w:sz w:val="24"/>
        </w:rPr>
        <w:t xml:space="preserve">. Consistently, overexpression of certain chemokine genes such as CXCL10, CCL5, and CCL2 in HCC tissue correlated with Th1, CTL, and NK cells, and predicted better </w:t>
      </w:r>
      <w:proofErr w:type="gramStart"/>
      <w:r w:rsidRPr="00B00AC1">
        <w:rPr>
          <w:rFonts w:ascii="Book Antiqua" w:hAnsi="Book Antiqua" w:cs="Arial"/>
          <w:sz w:val="24"/>
        </w:rPr>
        <w:t>prognosis</w:t>
      </w:r>
      <w:r w:rsidR="00317843" w:rsidRPr="00B00AC1">
        <w:rPr>
          <w:rFonts w:ascii="Book Antiqua" w:hAnsi="Book Antiqua" w:cs="Arial"/>
          <w:noProof/>
          <w:sz w:val="24"/>
          <w:vertAlign w:val="superscript"/>
        </w:rPr>
        <w:t>[</w:t>
      </w:r>
      <w:proofErr w:type="gramEnd"/>
      <w:r w:rsidR="00317843" w:rsidRPr="00B00AC1">
        <w:rPr>
          <w:rFonts w:ascii="Book Antiqua" w:hAnsi="Book Antiqua" w:cs="Arial"/>
          <w:noProof/>
          <w:sz w:val="24"/>
          <w:vertAlign w:val="superscript"/>
        </w:rPr>
        <w:t>36]</w:t>
      </w:r>
      <w:r w:rsidRPr="00B00AC1">
        <w:rPr>
          <w:rFonts w:ascii="Book Antiqua" w:hAnsi="Book Antiqua" w:cs="Arial"/>
          <w:sz w:val="24"/>
        </w:rPr>
        <w:t xml:space="preserve">. Regulated release of chemokines or genetic modification of chemokine receptors in immune cells may enhance anti-tumor immune response. </w:t>
      </w:r>
      <w:r w:rsidR="00F53E14" w:rsidRPr="00B00AC1">
        <w:rPr>
          <w:rFonts w:ascii="Book Antiqua" w:hAnsi="Book Antiqua" w:cs="Arial"/>
          <w:sz w:val="24"/>
        </w:rPr>
        <w:t>Unfortunately,</w:t>
      </w:r>
      <w:r w:rsidRPr="00B00AC1">
        <w:rPr>
          <w:rFonts w:ascii="Book Antiqua" w:hAnsi="Book Antiqua" w:cs="Arial"/>
          <w:sz w:val="24"/>
        </w:rPr>
        <w:t xml:space="preserve"> only preclinical data can be found in this field.</w:t>
      </w:r>
    </w:p>
    <w:p w14:paraId="5FB26F87" w14:textId="77777777" w:rsidR="00F45BC7" w:rsidRPr="00B00AC1" w:rsidRDefault="00F45BC7" w:rsidP="00B00AC1">
      <w:pPr>
        <w:spacing w:line="360" w:lineRule="auto"/>
        <w:rPr>
          <w:rFonts w:ascii="Book Antiqua" w:hAnsi="Book Antiqua" w:cs="Arial"/>
          <w:sz w:val="24"/>
        </w:rPr>
      </w:pPr>
    </w:p>
    <w:p w14:paraId="5F6134EF" w14:textId="1B51E8BD" w:rsidR="00F45BC7" w:rsidRPr="00B00AC1" w:rsidRDefault="006E6897" w:rsidP="00B00AC1">
      <w:pPr>
        <w:spacing w:line="360" w:lineRule="auto"/>
        <w:rPr>
          <w:rFonts w:ascii="Book Antiqua" w:hAnsi="Book Antiqua" w:cs="Arial"/>
          <w:b/>
          <w:sz w:val="24"/>
        </w:rPr>
      </w:pPr>
      <w:r w:rsidRPr="00B00AC1">
        <w:rPr>
          <w:rFonts w:ascii="Book Antiqua" w:hAnsi="Book Antiqua" w:cs="Arial"/>
          <w:b/>
          <w:sz w:val="24"/>
        </w:rPr>
        <w:t>IMMUNE CHECKPOINT BLOCKADE THERAPY</w:t>
      </w:r>
    </w:p>
    <w:p w14:paraId="2F38B03C" w14:textId="284E7E2F"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Due to the great achievements acquired in melanoma, immune checkpoint blockade therapy sheds light on other solid tumor including HCC. Co-inhibitory signals diminish the intensity of anti-tumor response even though HCC specific antigen has been presented with MHC receptors. To overcome these, immune checkpoints should be a promising approach to restore anti-tumor function of immune cells. Many immune checkpoints have been identified in the lab. In addition to PD-1 and CTLA-4, which have been intensively studied nowadays, other checkpoints like TIM-3, OX40, VISTA, LAG-3 and BTLA are also potential</w:t>
      </w:r>
      <w:r w:rsidR="00942911" w:rsidRPr="00B00AC1">
        <w:rPr>
          <w:rFonts w:ascii="Book Antiqua" w:hAnsi="Book Antiqua" w:cs="Arial"/>
          <w:noProof/>
          <w:sz w:val="24"/>
          <w:vertAlign w:val="superscript"/>
        </w:rPr>
        <w:t>[37]</w:t>
      </w:r>
      <w:r w:rsidRPr="00B00AC1">
        <w:rPr>
          <w:rFonts w:ascii="Book Antiqua" w:hAnsi="Book Antiqua" w:cs="Arial"/>
          <w:sz w:val="24"/>
        </w:rPr>
        <w:t xml:space="preserve">. </w:t>
      </w:r>
    </w:p>
    <w:p w14:paraId="2CCDA77E" w14:textId="14D5F67C"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Anti-CTLA-4 antibody blocks the binding of CTLA-4 and CD80/86, which defunct antigen-presenting cell (APC) and results in suppressed anti-tumor immune responses mediated by T cells</w:t>
      </w:r>
      <w:r w:rsidR="006E6897">
        <w:rPr>
          <w:rFonts w:ascii="Book Antiqua" w:hAnsi="Book Antiqua" w:cs="Arial"/>
          <w:noProof/>
          <w:sz w:val="24"/>
          <w:vertAlign w:val="superscript"/>
        </w:rPr>
        <w:t>[38,</w:t>
      </w:r>
      <w:r w:rsidR="00942911" w:rsidRPr="00B00AC1">
        <w:rPr>
          <w:rFonts w:ascii="Book Antiqua" w:hAnsi="Book Antiqua" w:cs="Arial"/>
          <w:noProof/>
          <w:sz w:val="24"/>
          <w:vertAlign w:val="superscript"/>
        </w:rPr>
        <w:t>39]</w:t>
      </w:r>
      <w:r w:rsidRPr="00B00AC1">
        <w:rPr>
          <w:rFonts w:ascii="Book Antiqua" w:hAnsi="Book Antiqua" w:cs="Arial"/>
          <w:sz w:val="24"/>
        </w:rPr>
        <w:t>. Basically, the efficacy of CTLA-4 blockade correlates with the immunogenicity of the tumor. A phase I trial of tremelimumab (anti-CTLA-4</w:t>
      </w:r>
      <w:r w:rsidR="00A46E9D" w:rsidRPr="00B00AC1">
        <w:rPr>
          <w:rFonts w:ascii="Book Antiqua" w:hAnsi="Book Antiqua" w:cs="Arial"/>
          <w:sz w:val="24"/>
        </w:rPr>
        <w:t xml:space="preserve"> mono</w:t>
      </w:r>
      <w:r w:rsidR="00930D06" w:rsidRPr="00B00AC1">
        <w:rPr>
          <w:rFonts w:ascii="Book Antiqua" w:hAnsi="Book Antiqua" w:cs="Arial"/>
          <w:sz w:val="24"/>
        </w:rPr>
        <w:t xml:space="preserve">clonal </w:t>
      </w:r>
      <w:r w:rsidR="00A46E9D" w:rsidRPr="00B00AC1">
        <w:rPr>
          <w:rFonts w:ascii="Book Antiqua" w:hAnsi="Book Antiqua" w:cs="Arial"/>
          <w:sz w:val="24"/>
        </w:rPr>
        <w:t>antibody</w:t>
      </w:r>
      <w:r w:rsidRPr="00B00AC1">
        <w:rPr>
          <w:rFonts w:ascii="Book Antiqua" w:hAnsi="Book Antiqua" w:cs="Arial"/>
          <w:sz w:val="24"/>
        </w:rPr>
        <w:t>) in HCC patients has been reported in 2013</w:t>
      </w:r>
      <w:r w:rsidR="00942911" w:rsidRPr="00B00AC1">
        <w:rPr>
          <w:rFonts w:ascii="Book Antiqua" w:hAnsi="Book Antiqua" w:cs="Arial"/>
          <w:noProof/>
          <w:sz w:val="24"/>
          <w:vertAlign w:val="superscript"/>
        </w:rPr>
        <w:t>[40]</w:t>
      </w:r>
      <w:r w:rsidRPr="00B00AC1">
        <w:rPr>
          <w:rFonts w:ascii="Book Antiqua" w:hAnsi="Book Antiqua" w:cs="Arial"/>
          <w:sz w:val="24"/>
        </w:rPr>
        <w:t xml:space="preserve">. The study enrolled 21 patients with advanced HCC not amenable to percutaneous ablation or </w:t>
      </w:r>
      <w:r w:rsidR="00C52C41" w:rsidRPr="00B00AC1">
        <w:rPr>
          <w:rFonts w:ascii="Book Antiqua" w:hAnsi="Book Antiqua" w:cs="Arial"/>
          <w:sz w:val="24"/>
        </w:rPr>
        <w:t>TACE</w:t>
      </w:r>
      <w:r w:rsidRPr="00B00AC1">
        <w:rPr>
          <w:rFonts w:ascii="Book Antiqua" w:hAnsi="Book Antiqua" w:cs="Arial"/>
          <w:sz w:val="24"/>
        </w:rPr>
        <w:t xml:space="preserve">, and showed that tremelimumab was well tolerated. Partial response was found in 17.6% of the patients, and 45% of the cases had stable disease for more than 6 months. Another phase I clinical trial of tremlimumab combined with RFA or TACE is now ongoing (NCT01853618; </w:t>
      </w:r>
      <w:r w:rsidRPr="006E6897">
        <w:rPr>
          <w:rFonts w:ascii="Book Antiqua" w:hAnsi="Book Antiqua" w:cs="Arial"/>
          <w:sz w:val="24"/>
        </w:rPr>
        <w:t xml:space="preserve">Table </w:t>
      </w:r>
      <w:r w:rsidR="00942911" w:rsidRPr="006E6897">
        <w:rPr>
          <w:rFonts w:ascii="Book Antiqua" w:hAnsi="Book Antiqua" w:cs="Arial"/>
          <w:sz w:val="24"/>
        </w:rPr>
        <w:t>1</w:t>
      </w:r>
      <w:r w:rsidRPr="00B00AC1">
        <w:rPr>
          <w:rFonts w:ascii="Book Antiqua" w:hAnsi="Book Antiqua" w:cs="Arial"/>
          <w:sz w:val="24"/>
        </w:rPr>
        <w:t>).</w:t>
      </w:r>
    </w:p>
    <w:p w14:paraId="689F615E" w14:textId="30A7C8D7"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 xml:space="preserve">Anti-PD-1 and anti-PD-L1 antibodies interfere the binding of PD-1 and PD-L1/2, which inhibits T cell proliferation and cytokine </w:t>
      </w:r>
      <w:proofErr w:type="gramStart"/>
      <w:r w:rsidRPr="00B00AC1">
        <w:rPr>
          <w:rFonts w:ascii="Book Antiqua" w:hAnsi="Book Antiqua" w:cs="Arial"/>
          <w:sz w:val="24"/>
        </w:rPr>
        <w:t>release</w:t>
      </w:r>
      <w:r w:rsidR="00942911" w:rsidRPr="00B00AC1">
        <w:rPr>
          <w:rFonts w:ascii="Book Antiqua" w:hAnsi="Book Antiqua" w:cs="Arial"/>
          <w:noProof/>
          <w:sz w:val="24"/>
          <w:vertAlign w:val="superscript"/>
        </w:rPr>
        <w:t>[</w:t>
      </w:r>
      <w:proofErr w:type="gramEnd"/>
      <w:r w:rsidR="00942911" w:rsidRPr="00B00AC1">
        <w:rPr>
          <w:rFonts w:ascii="Book Antiqua" w:hAnsi="Book Antiqua" w:cs="Arial"/>
          <w:noProof/>
          <w:sz w:val="24"/>
          <w:vertAlign w:val="superscript"/>
        </w:rPr>
        <w:t>41]</w:t>
      </w:r>
      <w:r w:rsidRPr="00B00AC1">
        <w:rPr>
          <w:rFonts w:ascii="Book Antiqua" w:hAnsi="Book Antiqua" w:cs="Arial"/>
          <w:sz w:val="24"/>
        </w:rPr>
        <w:t xml:space="preserve">. Although CTLA-4 and PD-1 were found predominantly expressed in T cells with anti-tumor </w:t>
      </w:r>
      <w:proofErr w:type="gramStart"/>
      <w:r w:rsidRPr="00B00AC1">
        <w:rPr>
          <w:rFonts w:ascii="Book Antiqua" w:hAnsi="Book Antiqua" w:cs="Arial"/>
          <w:sz w:val="24"/>
        </w:rPr>
        <w:t>function</w:t>
      </w:r>
      <w:r w:rsidR="00942911" w:rsidRPr="00B00AC1">
        <w:rPr>
          <w:rFonts w:ascii="Book Antiqua" w:hAnsi="Book Antiqua" w:cs="Arial"/>
          <w:noProof/>
          <w:sz w:val="24"/>
          <w:vertAlign w:val="superscript"/>
        </w:rPr>
        <w:t>[</w:t>
      </w:r>
      <w:proofErr w:type="gramEnd"/>
      <w:r w:rsidR="00942911" w:rsidRPr="00B00AC1">
        <w:rPr>
          <w:rFonts w:ascii="Book Antiqua" w:hAnsi="Book Antiqua" w:cs="Arial"/>
          <w:noProof/>
          <w:sz w:val="24"/>
          <w:vertAlign w:val="superscript"/>
        </w:rPr>
        <w:t>42, 43]</w:t>
      </w:r>
      <w:r w:rsidRPr="00B00AC1">
        <w:rPr>
          <w:rFonts w:ascii="Book Antiqua" w:hAnsi="Book Antiqua" w:cs="Arial"/>
          <w:sz w:val="24"/>
        </w:rPr>
        <w:t>, and showed similar effects when used alone, different mechanisms and indicated patients concerning the two pathways were suggested by clinical observations</w:t>
      </w:r>
      <w:r w:rsidR="00942911" w:rsidRPr="00B00AC1">
        <w:rPr>
          <w:rFonts w:ascii="Book Antiqua" w:hAnsi="Book Antiqua" w:cs="Arial"/>
          <w:noProof/>
          <w:sz w:val="24"/>
          <w:vertAlign w:val="superscript"/>
        </w:rPr>
        <w:t>[44]</w:t>
      </w:r>
      <w:r w:rsidRPr="00B00AC1">
        <w:rPr>
          <w:rFonts w:ascii="Book Antiqua" w:hAnsi="Book Antiqua" w:cs="Arial"/>
          <w:sz w:val="24"/>
        </w:rPr>
        <w:t>. Unfortunately, the phase I/II trial (NCT00966251) of a new PD-1 blockade CT-011 was terminated because of slow accrual. Another phase I trial of nivolumab (anti-PD-1</w:t>
      </w:r>
      <w:r w:rsidR="00C52C41" w:rsidRPr="00B00AC1">
        <w:rPr>
          <w:rFonts w:ascii="Book Antiqua" w:hAnsi="Book Antiqua" w:cs="Arial"/>
          <w:sz w:val="24"/>
        </w:rPr>
        <w:t xml:space="preserve"> monoclonal antibody</w:t>
      </w:r>
      <w:r w:rsidRPr="00B00AC1">
        <w:rPr>
          <w:rFonts w:ascii="Book Antiqua" w:hAnsi="Book Antiqua" w:cs="Arial"/>
          <w:sz w:val="24"/>
        </w:rPr>
        <w:t>) is ongoing. This trial plans to recruit three cohorts of patients stratified by viral infection-HCV, HBV and no viral infection.</w:t>
      </w:r>
    </w:p>
    <w:p w14:paraId="45672FC3" w14:textId="2FD0A737"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ab/>
        <w:t>With the satisfactory effects in animal models, more and more trials are being conducted to investigate the role of immune checkpoint blockade therapy in HCC treatment (</w:t>
      </w:r>
      <w:r w:rsidRPr="006E6897">
        <w:rPr>
          <w:rFonts w:ascii="Book Antiqua" w:hAnsi="Book Antiqua" w:cs="Arial"/>
          <w:sz w:val="24"/>
        </w:rPr>
        <w:t xml:space="preserve">Table </w:t>
      </w:r>
      <w:r w:rsidR="00942911" w:rsidRPr="006E6897">
        <w:rPr>
          <w:rFonts w:ascii="Book Antiqua" w:hAnsi="Book Antiqua" w:cs="Arial"/>
          <w:sz w:val="24"/>
        </w:rPr>
        <w:t>1</w:t>
      </w:r>
      <w:r w:rsidRPr="00B00AC1">
        <w:rPr>
          <w:rFonts w:ascii="Book Antiqua" w:hAnsi="Book Antiqua" w:cs="Arial"/>
          <w:sz w:val="24"/>
        </w:rPr>
        <w:t>). Immune checkpoint blockade therapy is considered as a strategy with bright future, and is casted into the limelight by oncologists worldwide.</w:t>
      </w:r>
    </w:p>
    <w:p w14:paraId="22A012CD" w14:textId="77777777" w:rsidR="00F45BC7" w:rsidRPr="00B00AC1" w:rsidRDefault="00F45BC7" w:rsidP="00B00AC1">
      <w:pPr>
        <w:spacing w:line="360" w:lineRule="auto"/>
        <w:rPr>
          <w:rFonts w:ascii="Book Antiqua" w:hAnsi="Book Antiqua" w:cs="Arial"/>
          <w:sz w:val="24"/>
        </w:rPr>
      </w:pPr>
    </w:p>
    <w:p w14:paraId="71FDF678" w14:textId="3CA5A8BC" w:rsidR="00F45BC7" w:rsidRPr="00B00AC1" w:rsidRDefault="006E6897" w:rsidP="00B00AC1">
      <w:pPr>
        <w:spacing w:line="360" w:lineRule="auto"/>
        <w:rPr>
          <w:rFonts w:ascii="Book Antiqua" w:hAnsi="Book Antiqua" w:cs="Arial"/>
          <w:b/>
          <w:sz w:val="24"/>
        </w:rPr>
      </w:pPr>
      <w:r w:rsidRPr="00B00AC1">
        <w:rPr>
          <w:rFonts w:ascii="Book Antiqua" w:hAnsi="Book Antiqua" w:cs="Arial"/>
          <w:b/>
          <w:sz w:val="24"/>
        </w:rPr>
        <w:t>TUMOR VACCINE</w:t>
      </w:r>
    </w:p>
    <w:p w14:paraId="36E55C0B" w14:textId="72ABAAEA"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Although prophylactic vaccine for HCC such as HBV vaccine showed great contribution to the decrease of HCC </w:t>
      </w:r>
      <w:proofErr w:type="gramStart"/>
      <w:r w:rsidRPr="00B00AC1">
        <w:rPr>
          <w:rFonts w:ascii="Book Antiqua" w:hAnsi="Book Antiqua" w:cs="Arial"/>
          <w:sz w:val="24"/>
        </w:rPr>
        <w:t>patients</w:t>
      </w:r>
      <w:r w:rsidR="000C13B1" w:rsidRPr="00B00AC1">
        <w:rPr>
          <w:rFonts w:ascii="Book Antiqua" w:hAnsi="Book Antiqua" w:cs="Arial"/>
          <w:noProof/>
          <w:sz w:val="24"/>
          <w:vertAlign w:val="superscript"/>
        </w:rPr>
        <w:t>[</w:t>
      </w:r>
      <w:proofErr w:type="gramEnd"/>
      <w:r w:rsidR="000C13B1" w:rsidRPr="00B00AC1">
        <w:rPr>
          <w:rFonts w:ascii="Book Antiqua" w:hAnsi="Book Antiqua" w:cs="Arial"/>
          <w:noProof/>
          <w:sz w:val="24"/>
          <w:vertAlign w:val="superscript"/>
        </w:rPr>
        <w:t>45]</w:t>
      </w:r>
      <w:r w:rsidRPr="00B00AC1">
        <w:rPr>
          <w:rFonts w:ascii="Book Antiqua" w:hAnsi="Book Antiqua" w:cs="Arial"/>
          <w:sz w:val="24"/>
        </w:rPr>
        <w:t xml:space="preserve">, the therapeutic vaccine for HCC </w:t>
      </w:r>
      <w:r w:rsidR="008910AE" w:rsidRPr="00B00AC1">
        <w:rPr>
          <w:rFonts w:ascii="Book Antiqua" w:hAnsi="Book Antiqua" w:cs="Arial"/>
          <w:sz w:val="24"/>
        </w:rPr>
        <w:t>remains arriving</w:t>
      </w:r>
      <w:r w:rsidRPr="00B00AC1">
        <w:rPr>
          <w:rFonts w:ascii="Book Antiqua" w:hAnsi="Book Antiqua" w:cs="Arial"/>
          <w:sz w:val="24"/>
        </w:rPr>
        <w:t xml:space="preserve">. </w:t>
      </w:r>
      <w:r w:rsidR="00735A53" w:rsidRPr="00B00AC1">
        <w:rPr>
          <w:rFonts w:ascii="Book Antiqua" w:hAnsi="Book Antiqua" w:cs="Arial"/>
          <w:sz w:val="24"/>
        </w:rPr>
        <w:t>Numerous approaches happen to be investigated</w:t>
      </w:r>
      <w:r w:rsidRPr="00B00AC1">
        <w:rPr>
          <w:rFonts w:ascii="Book Antiqua" w:hAnsi="Book Antiqua" w:cs="Arial"/>
          <w:sz w:val="24"/>
        </w:rPr>
        <w:t xml:space="preserve">, </w:t>
      </w:r>
      <w:r w:rsidR="00735A53" w:rsidRPr="00B00AC1">
        <w:rPr>
          <w:rFonts w:ascii="Book Antiqua" w:hAnsi="Book Antiqua" w:cs="Arial"/>
          <w:sz w:val="24"/>
        </w:rPr>
        <w:t>seeking to trigger</w:t>
      </w:r>
      <w:r w:rsidRPr="00B00AC1">
        <w:rPr>
          <w:rFonts w:ascii="Book Antiqua" w:hAnsi="Book Antiqua" w:cs="Arial"/>
          <w:sz w:val="24"/>
        </w:rPr>
        <w:t xml:space="preserve"> the host immune system to remove cancer cells. The </w:t>
      </w:r>
      <w:r w:rsidR="00735A53" w:rsidRPr="00B00AC1">
        <w:rPr>
          <w:rFonts w:ascii="Book Antiqua" w:hAnsi="Book Antiqua" w:cs="Arial"/>
          <w:sz w:val="24"/>
        </w:rPr>
        <w:t>most important constraint for progression</w:t>
      </w:r>
      <w:r w:rsidRPr="00B00AC1">
        <w:rPr>
          <w:rFonts w:ascii="Book Antiqua" w:hAnsi="Book Antiqua" w:cs="Arial"/>
          <w:sz w:val="24"/>
        </w:rPr>
        <w:t xml:space="preserve"> of tumor vaccine is lacking of tumor specific antigens or tumor associated antigens (TAA). With </w:t>
      </w:r>
      <w:r w:rsidR="007A35B2" w:rsidRPr="00B00AC1">
        <w:rPr>
          <w:rFonts w:ascii="Book Antiqua" w:hAnsi="Book Antiqua" w:cs="Arial"/>
          <w:sz w:val="24"/>
        </w:rPr>
        <w:t xml:space="preserve">all </w:t>
      </w:r>
      <w:r w:rsidRPr="00B00AC1">
        <w:rPr>
          <w:rFonts w:ascii="Book Antiqua" w:hAnsi="Book Antiqua" w:cs="Arial"/>
          <w:sz w:val="24"/>
        </w:rPr>
        <w:t xml:space="preserve">the </w:t>
      </w:r>
      <w:r w:rsidR="007A35B2" w:rsidRPr="00B00AC1">
        <w:rPr>
          <w:rFonts w:ascii="Book Antiqua" w:hAnsi="Book Antiqua" w:cs="Arial"/>
          <w:sz w:val="24"/>
        </w:rPr>
        <w:t>evolving understanding</w:t>
      </w:r>
      <w:r w:rsidRPr="00B00AC1">
        <w:rPr>
          <w:rFonts w:ascii="Book Antiqua" w:hAnsi="Book Antiqua" w:cs="Arial"/>
          <w:sz w:val="24"/>
        </w:rPr>
        <w:t xml:space="preserve"> of tumor heterogeneity, it </w:t>
      </w:r>
      <w:r w:rsidR="00C27FB7" w:rsidRPr="00B00AC1">
        <w:rPr>
          <w:rFonts w:ascii="Book Antiqua" w:hAnsi="Book Antiqua" w:cs="Arial"/>
          <w:sz w:val="24"/>
        </w:rPr>
        <w:t xml:space="preserve">appears to be </w:t>
      </w:r>
      <w:r w:rsidRPr="00B00AC1">
        <w:rPr>
          <w:rFonts w:ascii="Book Antiqua" w:hAnsi="Book Antiqua" w:cs="Arial"/>
          <w:sz w:val="24"/>
        </w:rPr>
        <w:t xml:space="preserve">unprecedentedly </w:t>
      </w:r>
      <w:r w:rsidR="00C27FB7" w:rsidRPr="00B00AC1">
        <w:rPr>
          <w:rFonts w:ascii="Book Antiqua" w:hAnsi="Book Antiqua" w:cs="Arial"/>
          <w:sz w:val="24"/>
        </w:rPr>
        <w:t>challenging</w:t>
      </w:r>
      <w:r w:rsidRPr="00B00AC1">
        <w:rPr>
          <w:rFonts w:ascii="Book Antiqua" w:hAnsi="Book Antiqua" w:cs="Arial"/>
          <w:sz w:val="24"/>
        </w:rPr>
        <w:t xml:space="preserve"> to exterminate cancer cells by tumor vaccine alone. </w:t>
      </w:r>
      <w:r w:rsidR="00C27FB7" w:rsidRPr="00B00AC1">
        <w:rPr>
          <w:rFonts w:ascii="Book Antiqua" w:hAnsi="Book Antiqua" w:cs="Arial"/>
          <w:sz w:val="24"/>
        </w:rPr>
        <w:t>On the other hand</w:t>
      </w:r>
      <w:r w:rsidRPr="00B00AC1">
        <w:rPr>
          <w:rFonts w:ascii="Book Antiqua" w:hAnsi="Book Antiqua" w:cs="Arial"/>
          <w:sz w:val="24"/>
        </w:rPr>
        <w:t xml:space="preserve">, it could </w:t>
      </w:r>
      <w:r w:rsidR="00C27FB7" w:rsidRPr="00B00AC1">
        <w:rPr>
          <w:rFonts w:ascii="Book Antiqua" w:hAnsi="Book Antiqua" w:cs="Arial"/>
          <w:sz w:val="24"/>
        </w:rPr>
        <w:t xml:space="preserve">possibly </w:t>
      </w:r>
      <w:r w:rsidRPr="00B00AC1">
        <w:rPr>
          <w:rFonts w:ascii="Book Antiqua" w:hAnsi="Book Antiqua" w:cs="Arial"/>
          <w:sz w:val="24"/>
        </w:rPr>
        <w:t>be an eff</w:t>
      </w:r>
      <w:r w:rsidR="00C27FB7" w:rsidRPr="00B00AC1">
        <w:rPr>
          <w:rFonts w:ascii="Book Antiqua" w:hAnsi="Book Antiqua" w:cs="Arial"/>
          <w:sz w:val="24"/>
        </w:rPr>
        <w:t>ective</w:t>
      </w:r>
      <w:r w:rsidRPr="00B00AC1">
        <w:rPr>
          <w:rFonts w:ascii="Book Antiqua" w:hAnsi="Book Antiqua" w:cs="Arial"/>
          <w:sz w:val="24"/>
        </w:rPr>
        <w:t xml:space="preserve"> </w:t>
      </w:r>
      <w:r w:rsidR="00C27FB7" w:rsidRPr="00B00AC1">
        <w:rPr>
          <w:rFonts w:ascii="Book Antiqua" w:hAnsi="Book Antiqua" w:cs="Arial"/>
          <w:sz w:val="24"/>
        </w:rPr>
        <w:t xml:space="preserve">apporach </w:t>
      </w:r>
      <w:r w:rsidRPr="00B00AC1">
        <w:rPr>
          <w:rFonts w:ascii="Book Antiqua" w:hAnsi="Book Antiqua" w:cs="Arial"/>
          <w:sz w:val="24"/>
        </w:rPr>
        <w:t xml:space="preserve">to </w:t>
      </w:r>
      <w:r w:rsidR="00C27FB7" w:rsidRPr="00B00AC1">
        <w:rPr>
          <w:rFonts w:ascii="Book Antiqua" w:hAnsi="Book Antiqua" w:cs="Arial"/>
          <w:sz w:val="24"/>
        </w:rPr>
        <w:t>exhibit positive aspects in certain</w:t>
      </w:r>
      <w:r w:rsidRPr="00B00AC1">
        <w:rPr>
          <w:rFonts w:ascii="Book Antiqua" w:hAnsi="Book Antiqua" w:cs="Arial"/>
          <w:sz w:val="24"/>
        </w:rPr>
        <w:t xml:space="preserve"> patients and plays important role</w:t>
      </w:r>
      <w:r w:rsidR="00C15942" w:rsidRPr="00B00AC1">
        <w:rPr>
          <w:rFonts w:ascii="Book Antiqua" w:hAnsi="Book Antiqua" w:cs="Arial"/>
          <w:sz w:val="24"/>
        </w:rPr>
        <w:t>s</w:t>
      </w:r>
      <w:r w:rsidRPr="00B00AC1">
        <w:rPr>
          <w:rFonts w:ascii="Book Antiqua" w:hAnsi="Book Antiqua" w:cs="Arial"/>
          <w:sz w:val="24"/>
        </w:rPr>
        <w:t xml:space="preserve"> in regimens.</w:t>
      </w:r>
    </w:p>
    <w:p w14:paraId="5191B66C" w14:textId="77777777" w:rsidR="006E6897" w:rsidRDefault="006E6897" w:rsidP="00B00AC1">
      <w:pPr>
        <w:spacing w:line="360" w:lineRule="auto"/>
        <w:rPr>
          <w:rFonts w:ascii="Book Antiqua" w:hAnsi="Book Antiqua" w:cs="Arial"/>
          <w:sz w:val="24"/>
        </w:rPr>
      </w:pPr>
    </w:p>
    <w:p w14:paraId="1808F4FB" w14:textId="3A4704D8" w:rsidR="00F45BC7" w:rsidRPr="006E6897" w:rsidRDefault="00F45BC7" w:rsidP="00B00AC1">
      <w:pPr>
        <w:spacing w:line="360" w:lineRule="auto"/>
        <w:rPr>
          <w:rFonts w:ascii="Book Antiqua" w:hAnsi="Book Antiqua" w:cs="Arial"/>
          <w:b/>
          <w:i/>
          <w:sz w:val="24"/>
        </w:rPr>
      </w:pPr>
      <w:r w:rsidRPr="006E6897">
        <w:rPr>
          <w:rFonts w:ascii="Book Antiqua" w:hAnsi="Book Antiqua" w:cs="Arial"/>
          <w:b/>
          <w:i/>
          <w:sz w:val="24"/>
        </w:rPr>
        <w:t>Peptide based vaccine</w:t>
      </w:r>
    </w:p>
    <w:p w14:paraId="2AAAF2A3" w14:textId="32FE9C85"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Alpha-fetoprotein (AFP) and glypican-3 (GPC3) are two frequently used TAAs in HCC vaccines. GPC3 can be overexpressed in more than 80% of HCC, and AFP can be positive in 60</w:t>
      </w:r>
      <w:r w:rsidR="006E6897">
        <w:rPr>
          <w:rFonts w:ascii="Book Antiqua" w:hAnsi="Book Antiqua" w:cs="Arial" w:hint="eastAsia"/>
          <w:sz w:val="24"/>
        </w:rPr>
        <w:t>%</w:t>
      </w:r>
      <w:r w:rsidRPr="00B00AC1">
        <w:rPr>
          <w:rFonts w:ascii="Book Antiqua" w:hAnsi="Book Antiqua" w:cs="Arial"/>
          <w:sz w:val="24"/>
        </w:rPr>
        <w:t xml:space="preserve">-80% of HCC. Other HCC biomarkers that might be candidates for vaccine involved antigen include squamous cell carcinoma antigen, heat shock protein 70, NY-ESO-1b, </w:t>
      </w:r>
      <w:proofErr w:type="gramStart"/>
      <w:r w:rsidRPr="006E6897">
        <w:rPr>
          <w:rFonts w:ascii="Book Antiqua" w:hAnsi="Book Antiqua" w:cs="Arial"/>
          <w:i/>
          <w:sz w:val="24"/>
        </w:rPr>
        <w:t>etc</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46,</w:t>
      </w:r>
      <w:r w:rsidR="000C13B1" w:rsidRPr="00B00AC1">
        <w:rPr>
          <w:rFonts w:ascii="Book Antiqua" w:hAnsi="Book Antiqua" w:cs="Arial"/>
          <w:noProof/>
          <w:sz w:val="24"/>
          <w:vertAlign w:val="superscript"/>
        </w:rPr>
        <w:t>47]</w:t>
      </w:r>
      <w:r w:rsidRPr="00B00AC1">
        <w:rPr>
          <w:rFonts w:ascii="Book Antiqua" w:hAnsi="Book Antiqua" w:cs="Arial"/>
          <w:sz w:val="24"/>
        </w:rPr>
        <w:t>.</w:t>
      </w:r>
    </w:p>
    <w:p w14:paraId="42593F84" w14:textId="3661C683"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AFP is rare in healthy adults, but</w:t>
      </w:r>
      <w:r w:rsidR="006E6897">
        <w:rPr>
          <w:rFonts w:ascii="Book Antiqua" w:hAnsi="Book Antiqua" w:cs="Arial"/>
          <w:sz w:val="24"/>
        </w:rPr>
        <w:t xml:space="preserve"> can be highly expressed in HCC</w:t>
      </w:r>
      <w:r w:rsidRPr="00B00AC1">
        <w:rPr>
          <w:rFonts w:ascii="Book Antiqua" w:hAnsi="Book Antiqua" w:cs="Arial"/>
          <w:sz w:val="24"/>
        </w:rPr>
        <w:t xml:space="preserve">, making it an ideal target for anti-HCC immunotherapy. Actually, AFP is currently the most well studied target antigen for HCC immunotherapy. The earliest relevant clinical trial can be found more than a decade ago, testing AFP-specific T cell response to an AFP-derived peptide in six </w:t>
      </w:r>
      <w:proofErr w:type="gramStart"/>
      <w:r w:rsidRPr="00B00AC1">
        <w:rPr>
          <w:rFonts w:ascii="Book Antiqua" w:hAnsi="Book Antiqua" w:cs="Arial"/>
          <w:sz w:val="24"/>
        </w:rPr>
        <w:t>patients</w:t>
      </w:r>
      <w:r w:rsidR="000C13B1" w:rsidRPr="00B00AC1">
        <w:rPr>
          <w:rFonts w:ascii="Book Antiqua" w:hAnsi="Book Antiqua" w:cs="Arial"/>
          <w:noProof/>
          <w:sz w:val="24"/>
          <w:vertAlign w:val="superscript"/>
        </w:rPr>
        <w:t>[</w:t>
      </w:r>
      <w:proofErr w:type="gramEnd"/>
      <w:r w:rsidR="000C13B1" w:rsidRPr="00B00AC1">
        <w:rPr>
          <w:rFonts w:ascii="Book Antiqua" w:hAnsi="Book Antiqua" w:cs="Arial"/>
          <w:noProof/>
          <w:sz w:val="24"/>
          <w:vertAlign w:val="superscript"/>
        </w:rPr>
        <w:t>48]</w:t>
      </w:r>
      <w:r w:rsidRPr="00B00AC1">
        <w:rPr>
          <w:rFonts w:ascii="Book Antiqua" w:hAnsi="Book Antiqua" w:cs="Arial"/>
          <w:sz w:val="24"/>
        </w:rPr>
        <w:t>.</w:t>
      </w:r>
      <w:r w:rsidR="0004244B" w:rsidRPr="00B00AC1">
        <w:rPr>
          <w:rFonts w:ascii="Book Antiqua" w:hAnsi="Book Antiqua" w:cs="Arial"/>
          <w:sz w:val="24"/>
        </w:rPr>
        <w:t xml:space="preserve"> </w:t>
      </w:r>
      <w:proofErr w:type="gramStart"/>
      <w:r w:rsidRPr="00B00AC1">
        <w:rPr>
          <w:rFonts w:ascii="Book Antiqua" w:hAnsi="Book Antiqua" w:cs="Arial"/>
          <w:sz w:val="24"/>
        </w:rPr>
        <w:t>GPC3(</w:t>
      </w:r>
      <w:proofErr w:type="gramEnd"/>
      <w:r w:rsidRPr="00B00AC1">
        <w:rPr>
          <w:rFonts w:ascii="Book Antiqua" w:hAnsi="Book Antiqua" w:cs="Arial"/>
          <w:sz w:val="24"/>
        </w:rPr>
        <w:t>144-152) (FVGEFFTDV) and GPC3(298-306) (EYILSLEEL) peptides were proved to induce specific CD8</w:t>
      </w:r>
      <w:r w:rsidRPr="00B00AC1">
        <w:rPr>
          <w:rFonts w:ascii="Book Antiqua" w:hAnsi="Book Antiqua" w:cs="Arial"/>
          <w:sz w:val="24"/>
          <w:vertAlign w:val="superscript"/>
        </w:rPr>
        <w:t>+</w:t>
      </w:r>
      <w:r w:rsidRPr="00B00AC1">
        <w:rPr>
          <w:rFonts w:ascii="Book Antiqua" w:hAnsi="Book Antiqua" w:cs="Arial"/>
          <w:sz w:val="24"/>
        </w:rPr>
        <w:t xml:space="preserve"> CTLs in HCC patients with HLA-A2 and HLA-A24 restriction, respectively</w:t>
      </w:r>
      <w:r w:rsidR="000C13B1" w:rsidRPr="00B00AC1">
        <w:rPr>
          <w:rFonts w:ascii="Book Antiqua" w:hAnsi="Book Antiqua" w:cs="Arial"/>
          <w:noProof/>
          <w:sz w:val="24"/>
          <w:vertAlign w:val="superscript"/>
        </w:rPr>
        <w:t>[49]</w:t>
      </w:r>
      <w:r w:rsidRPr="00B00AC1">
        <w:rPr>
          <w:rFonts w:ascii="Book Antiqua" w:hAnsi="Book Antiqua" w:cs="Arial"/>
          <w:sz w:val="24"/>
        </w:rPr>
        <w:t>. Encouraged by this result, a phase II trial of GPC3 based vaccine as adjuvant therapy for patients after operation or RFA was registered and is now ongoing (UMIN-CTR: 000002614).</w:t>
      </w:r>
    </w:p>
    <w:p w14:paraId="56EE56EB" w14:textId="23C314DA"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    Proper design of epitopes with cross-recognition of wild-type antigens can enhance immune responses. To overcome the limitation of weak immune responses induced by native TAAs, He Y and colleagues created a highly immunogenic AFP </w:t>
      </w:r>
      <w:r w:rsidRPr="006E6897">
        <w:rPr>
          <w:rFonts w:ascii="Book Antiqua" w:hAnsi="Book Antiqua" w:cs="Arial"/>
          <w:i/>
          <w:sz w:val="24"/>
        </w:rPr>
        <w:t>via</w:t>
      </w:r>
      <w:r w:rsidRPr="00B00AC1">
        <w:rPr>
          <w:rFonts w:ascii="Book Antiqua" w:hAnsi="Book Antiqua" w:cs="Arial"/>
          <w:sz w:val="24"/>
        </w:rPr>
        <w:t xml:space="preserve"> computer-guided methodical epitope-optimization. This genetic modified AFP vaccine showed amazing anti-tumor effects in xenograft and </w:t>
      </w:r>
      <w:r w:rsidR="0004244B" w:rsidRPr="00B00AC1">
        <w:rPr>
          <w:rFonts w:ascii="Book Antiqua" w:hAnsi="Book Antiqua" w:cs="Arial"/>
          <w:sz w:val="24"/>
        </w:rPr>
        <w:t>diethylnitrosamine</w:t>
      </w:r>
      <w:r w:rsidRPr="00B00AC1">
        <w:rPr>
          <w:rFonts w:ascii="Book Antiqua" w:hAnsi="Book Antiqua" w:cs="Arial"/>
          <w:sz w:val="24"/>
        </w:rPr>
        <w:t xml:space="preserve">-induced mouse model of HCC by means of activating CD8+ T </w:t>
      </w:r>
      <w:proofErr w:type="gramStart"/>
      <w:r w:rsidRPr="00B00AC1">
        <w:rPr>
          <w:rFonts w:ascii="Book Antiqua" w:hAnsi="Book Antiqua" w:cs="Arial"/>
          <w:sz w:val="24"/>
        </w:rPr>
        <w:t>cells</w:t>
      </w:r>
      <w:r w:rsidR="000C13B1" w:rsidRPr="00B00AC1">
        <w:rPr>
          <w:rFonts w:ascii="Book Antiqua" w:hAnsi="Book Antiqua" w:cs="Arial"/>
          <w:noProof/>
          <w:sz w:val="24"/>
          <w:vertAlign w:val="superscript"/>
        </w:rPr>
        <w:t>[</w:t>
      </w:r>
      <w:proofErr w:type="gramEnd"/>
      <w:r w:rsidR="000C13B1" w:rsidRPr="00B00AC1">
        <w:rPr>
          <w:rFonts w:ascii="Book Antiqua" w:hAnsi="Book Antiqua" w:cs="Arial"/>
          <w:noProof/>
          <w:sz w:val="24"/>
          <w:vertAlign w:val="superscript"/>
        </w:rPr>
        <w:t>50]</w:t>
      </w:r>
      <w:r w:rsidRPr="00B00AC1">
        <w:rPr>
          <w:rFonts w:ascii="Book Antiqua" w:hAnsi="Book Antiqua" w:cs="Arial"/>
          <w:sz w:val="24"/>
        </w:rPr>
        <w:t>. Polypeptide or fusion peptide was another method to amplify anti-tumor immune response</w:t>
      </w:r>
      <w:r w:rsidR="007044AC" w:rsidRPr="00B00AC1">
        <w:rPr>
          <w:rFonts w:ascii="Book Antiqua" w:hAnsi="Book Antiqua" w:cs="Arial"/>
          <w:sz w:val="24"/>
        </w:rPr>
        <w:t>s</w:t>
      </w:r>
      <w:r w:rsidRPr="00B00AC1">
        <w:rPr>
          <w:rFonts w:ascii="Book Antiqua" w:hAnsi="Book Antiqua" w:cs="Arial"/>
          <w:sz w:val="24"/>
        </w:rPr>
        <w:t>. A combination of full-length HBV core protein, HBV-X protein (</w:t>
      </w:r>
      <w:proofErr w:type="gramStart"/>
      <w:r w:rsidRPr="00B00AC1">
        <w:rPr>
          <w:rFonts w:ascii="Book Antiqua" w:hAnsi="Book Antiqua" w:cs="Arial"/>
          <w:sz w:val="24"/>
        </w:rPr>
        <w:t>HBx)</w:t>
      </w:r>
      <w:r w:rsidRPr="00B00AC1">
        <w:rPr>
          <w:rFonts w:ascii="Book Antiqua" w:hAnsi="Book Antiqua" w:cs="Arial"/>
          <w:sz w:val="24"/>
          <w:vertAlign w:val="subscript"/>
        </w:rPr>
        <w:t>52</w:t>
      </w:r>
      <w:proofErr w:type="gramEnd"/>
      <w:r w:rsidRPr="00B00AC1">
        <w:rPr>
          <w:rFonts w:ascii="Book Antiqua" w:hAnsi="Book Antiqua" w:cs="Arial"/>
          <w:sz w:val="24"/>
          <w:vertAlign w:val="subscript"/>
        </w:rPr>
        <w:t>-60</w:t>
      </w:r>
      <w:r w:rsidRPr="00B00AC1">
        <w:rPr>
          <w:rFonts w:ascii="Book Antiqua" w:hAnsi="Book Antiqua" w:cs="Arial"/>
          <w:sz w:val="24"/>
        </w:rPr>
        <w:t>, HBx</w:t>
      </w:r>
      <w:r w:rsidRPr="00B00AC1">
        <w:rPr>
          <w:rFonts w:ascii="Book Antiqua" w:hAnsi="Book Antiqua" w:cs="Arial"/>
          <w:sz w:val="24"/>
          <w:vertAlign w:val="subscript"/>
        </w:rPr>
        <w:t>140-148</w:t>
      </w:r>
      <w:r w:rsidRPr="00B00AC1">
        <w:rPr>
          <w:rFonts w:ascii="Book Antiqua" w:hAnsi="Book Antiqua" w:cs="Arial"/>
          <w:sz w:val="24"/>
        </w:rPr>
        <w:t>, AFP</w:t>
      </w:r>
      <w:r w:rsidRPr="00B00AC1">
        <w:rPr>
          <w:rFonts w:ascii="Book Antiqua" w:hAnsi="Book Antiqua" w:cs="Arial"/>
          <w:sz w:val="24"/>
          <w:vertAlign w:val="subscript"/>
        </w:rPr>
        <w:t>158-166</w:t>
      </w:r>
      <w:r w:rsidRPr="00B00AC1">
        <w:rPr>
          <w:rFonts w:ascii="Book Antiqua" w:hAnsi="Book Antiqua" w:cs="Arial"/>
          <w:sz w:val="24"/>
        </w:rPr>
        <w:t>, and melanoma antigen gene-A</w:t>
      </w:r>
      <w:r w:rsidRPr="00B00AC1">
        <w:rPr>
          <w:rFonts w:ascii="Book Antiqua" w:hAnsi="Book Antiqua" w:cs="Arial"/>
          <w:sz w:val="24"/>
          <w:vertAlign w:val="subscript"/>
        </w:rPr>
        <w:t>271-279</w:t>
      </w:r>
      <w:r w:rsidRPr="00B00AC1">
        <w:rPr>
          <w:rFonts w:ascii="Book Antiqua" w:hAnsi="Book Antiqua" w:cs="Arial"/>
          <w:sz w:val="24"/>
        </w:rPr>
        <w:t xml:space="preserve"> is an example</w:t>
      </w:r>
      <w:r w:rsidR="00BA0A1E" w:rsidRPr="00B00AC1">
        <w:rPr>
          <w:rFonts w:ascii="Book Antiqua" w:hAnsi="Book Antiqua" w:cs="Arial"/>
          <w:sz w:val="24"/>
        </w:rPr>
        <w:t xml:space="preserve"> for HCC vaccine</w:t>
      </w:r>
      <w:r w:rsidR="000C13B1" w:rsidRPr="00B00AC1">
        <w:rPr>
          <w:rFonts w:ascii="Book Antiqua" w:hAnsi="Book Antiqua" w:cs="Arial"/>
          <w:noProof/>
          <w:sz w:val="24"/>
          <w:vertAlign w:val="superscript"/>
        </w:rPr>
        <w:t>[51]</w:t>
      </w:r>
      <w:r w:rsidRPr="00B00AC1">
        <w:rPr>
          <w:rFonts w:ascii="Book Antiqua" w:hAnsi="Book Antiqua" w:cs="Arial"/>
          <w:sz w:val="24"/>
        </w:rPr>
        <w:t xml:space="preserve">. Innovative creation of fusion peptide containing different epitopes that involving multiple steps of immune response was also proved to inhibit HCC in </w:t>
      </w:r>
      <w:proofErr w:type="gramStart"/>
      <w:r w:rsidRPr="00B00AC1">
        <w:rPr>
          <w:rFonts w:ascii="Book Antiqua" w:hAnsi="Book Antiqua" w:cs="Arial"/>
          <w:sz w:val="24"/>
        </w:rPr>
        <w:t>animals</w:t>
      </w:r>
      <w:r w:rsidR="000C13B1" w:rsidRPr="00B00AC1">
        <w:rPr>
          <w:rFonts w:ascii="Book Antiqua" w:hAnsi="Book Antiqua" w:cs="Arial"/>
          <w:noProof/>
          <w:sz w:val="24"/>
          <w:vertAlign w:val="superscript"/>
        </w:rPr>
        <w:t>[</w:t>
      </w:r>
      <w:proofErr w:type="gramEnd"/>
      <w:r w:rsidR="000C13B1" w:rsidRPr="00B00AC1">
        <w:rPr>
          <w:rFonts w:ascii="Book Antiqua" w:hAnsi="Book Antiqua" w:cs="Arial"/>
          <w:noProof/>
          <w:sz w:val="24"/>
          <w:vertAlign w:val="superscript"/>
        </w:rPr>
        <w:t>52]</w:t>
      </w:r>
      <w:r w:rsidRPr="00B00AC1">
        <w:rPr>
          <w:rFonts w:ascii="Book Antiqua" w:hAnsi="Book Antiqua" w:cs="Arial"/>
          <w:sz w:val="24"/>
        </w:rPr>
        <w:t>.</w:t>
      </w:r>
    </w:p>
    <w:p w14:paraId="108958BB" w14:textId="62D6C160"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 xml:space="preserve">For peptide based tumor vaccine, the choice of peptide is critical for clinical response. Not all proteins that contribute to tumor progression are suitable for vaccine development. For instance, although expression and activity of telomerase was found up-regulated in most </w:t>
      </w:r>
      <w:proofErr w:type="gramStart"/>
      <w:r w:rsidRPr="00B00AC1">
        <w:rPr>
          <w:rFonts w:ascii="Book Antiqua" w:hAnsi="Book Antiqua" w:cs="Arial"/>
          <w:sz w:val="24"/>
        </w:rPr>
        <w:t>HCCs</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53,</w:t>
      </w:r>
      <w:r w:rsidR="000C13B1" w:rsidRPr="00B00AC1">
        <w:rPr>
          <w:rFonts w:ascii="Book Antiqua" w:hAnsi="Book Antiqua" w:cs="Arial"/>
          <w:noProof/>
          <w:sz w:val="24"/>
          <w:vertAlign w:val="superscript"/>
        </w:rPr>
        <w:t>54]</w:t>
      </w:r>
      <w:r w:rsidRPr="00B00AC1">
        <w:rPr>
          <w:rFonts w:ascii="Book Antiqua" w:hAnsi="Book Antiqua" w:cs="Arial"/>
          <w:sz w:val="24"/>
        </w:rPr>
        <w:t>, telomerase peptide did not lead to any complete or partial responses in a phase II study on advanced HCC</w:t>
      </w:r>
      <w:r w:rsidR="000C13B1" w:rsidRPr="00B00AC1">
        <w:rPr>
          <w:rFonts w:ascii="Book Antiqua" w:hAnsi="Book Antiqua" w:cs="Arial"/>
          <w:noProof/>
          <w:sz w:val="24"/>
          <w:vertAlign w:val="superscript"/>
        </w:rPr>
        <w:t>[55]</w:t>
      </w:r>
      <w:r w:rsidRPr="00B00AC1">
        <w:rPr>
          <w:rFonts w:ascii="Book Antiqua" w:hAnsi="Book Antiqua" w:cs="Arial"/>
          <w:sz w:val="24"/>
        </w:rPr>
        <w:t xml:space="preserve">. Additionally, the origin of peptide affects induction efficiency of CLTs and consequent anti-tumor effects. Peptides originated from endogenously presented antigen are thought to be sparse on tumor cells, and is inefficient to induce </w:t>
      </w:r>
      <w:proofErr w:type="gramStart"/>
      <w:r w:rsidRPr="00B00AC1">
        <w:rPr>
          <w:rFonts w:ascii="Book Antiqua" w:hAnsi="Book Antiqua" w:cs="Arial"/>
          <w:sz w:val="24"/>
        </w:rPr>
        <w:t>CTLs</w:t>
      </w:r>
      <w:r w:rsidR="000C13B1" w:rsidRPr="00B00AC1">
        <w:rPr>
          <w:rFonts w:ascii="Book Antiqua" w:hAnsi="Book Antiqua" w:cs="Arial"/>
          <w:noProof/>
          <w:sz w:val="24"/>
          <w:vertAlign w:val="superscript"/>
        </w:rPr>
        <w:t>[</w:t>
      </w:r>
      <w:proofErr w:type="gramEnd"/>
      <w:r w:rsidR="000C13B1" w:rsidRPr="00B00AC1">
        <w:rPr>
          <w:rFonts w:ascii="Book Antiqua" w:hAnsi="Book Antiqua" w:cs="Arial"/>
          <w:noProof/>
          <w:sz w:val="24"/>
          <w:vertAlign w:val="superscript"/>
        </w:rPr>
        <w:t>56]</w:t>
      </w:r>
      <w:r w:rsidRPr="00B00AC1">
        <w:rPr>
          <w:rFonts w:ascii="Book Antiqua" w:hAnsi="Book Antiqua" w:cs="Arial"/>
          <w:sz w:val="24"/>
        </w:rPr>
        <w:t xml:space="preserve">. Intratumoral peptide injection was thus developed to enhance tumor cell </w:t>
      </w:r>
      <w:proofErr w:type="gramStart"/>
      <w:r w:rsidRPr="00B00AC1">
        <w:rPr>
          <w:rFonts w:ascii="Book Antiqua" w:hAnsi="Book Antiqua" w:cs="Arial"/>
          <w:sz w:val="24"/>
        </w:rPr>
        <w:t>antigenicity</w:t>
      </w:r>
      <w:r w:rsidR="000C13B1" w:rsidRPr="00B00AC1">
        <w:rPr>
          <w:rFonts w:ascii="Book Antiqua" w:hAnsi="Book Antiqua" w:cs="Arial"/>
          <w:noProof/>
          <w:sz w:val="24"/>
          <w:vertAlign w:val="superscript"/>
        </w:rPr>
        <w:t>[</w:t>
      </w:r>
      <w:proofErr w:type="gramEnd"/>
      <w:r w:rsidR="000C13B1" w:rsidRPr="00B00AC1">
        <w:rPr>
          <w:rFonts w:ascii="Book Antiqua" w:hAnsi="Book Antiqua" w:cs="Arial"/>
          <w:noProof/>
          <w:sz w:val="24"/>
          <w:vertAlign w:val="superscript"/>
        </w:rPr>
        <w:t>56]</w:t>
      </w:r>
      <w:r w:rsidRPr="00B00AC1">
        <w:rPr>
          <w:rFonts w:ascii="Book Antiqua" w:hAnsi="Book Antiqua" w:cs="Arial"/>
          <w:sz w:val="24"/>
        </w:rPr>
        <w:t>, however, this need further investigation.</w:t>
      </w:r>
    </w:p>
    <w:p w14:paraId="266883A3" w14:textId="77777777" w:rsidR="006E6897" w:rsidRDefault="006E6897" w:rsidP="00B00AC1">
      <w:pPr>
        <w:spacing w:line="360" w:lineRule="auto"/>
        <w:rPr>
          <w:rFonts w:ascii="Book Antiqua" w:hAnsi="Book Antiqua" w:cs="Arial"/>
          <w:sz w:val="24"/>
        </w:rPr>
      </w:pPr>
    </w:p>
    <w:p w14:paraId="001DABDE" w14:textId="63C562B4" w:rsidR="00F45BC7" w:rsidRPr="006E6897" w:rsidRDefault="00F45BC7" w:rsidP="00B00AC1">
      <w:pPr>
        <w:spacing w:line="360" w:lineRule="auto"/>
        <w:rPr>
          <w:rFonts w:ascii="Book Antiqua" w:hAnsi="Book Antiqua" w:cs="Arial"/>
          <w:b/>
          <w:i/>
          <w:sz w:val="24"/>
        </w:rPr>
      </w:pPr>
      <w:r w:rsidRPr="006E6897">
        <w:rPr>
          <w:rFonts w:ascii="Book Antiqua" w:hAnsi="Book Antiqua" w:cs="Arial"/>
          <w:b/>
          <w:i/>
          <w:sz w:val="24"/>
        </w:rPr>
        <w:t>DNA based vaccine</w:t>
      </w:r>
    </w:p>
    <w:p w14:paraId="0D572464" w14:textId="6E7D02DB"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DNA based vaccine assumes that DNA directly injected into body undergoes transcription and translation in host cells, and the expressed peptide induces immune responses. Theoretically, all peptide vaccines can be transformed to DNA vaccines. AFP and GPC3 DNA vaccines were both developed and tested in the lab, showing tumor growth inhibition and survival improvement in mouse </w:t>
      </w:r>
      <w:proofErr w:type="gramStart"/>
      <w:r w:rsidRPr="00B00AC1">
        <w:rPr>
          <w:rFonts w:ascii="Book Antiqua" w:hAnsi="Book Antiqua" w:cs="Arial"/>
          <w:sz w:val="24"/>
        </w:rPr>
        <w:t>models</w:t>
      </w:r>
      <w:r w:rsidR="000C13B1" w:rsidRPr="00B00AC1">
        <w:rPr>
          <w:rFonts w:ascii="Book Antiqua" w:hAnsi="Book Antiqua" w:cs="Arial"/>
          <w:noProof/>
          <w:sz w:val="24"/>
          <w:vertAlign w:val="superscript"/>
        </w:rPr>
        <w:t>[</w:t>
      </w:r>
      <w:proofErr w:type="gramEnd"/>
      <w:r w:rsidR="000C13B1" w:rsidRPr="00B00AC1">
        <w:rPr>
          <w:rFonts w:ascii="Book Antiqua" w:hAnsi="Book Antiqua" w:cs="Arial"/>
          <w:noProof/>
          <w:sz w:val="24"/>
          <w:vertAlign w:val="superscript"/>
        </w:rPr>
        <w:t>57-59]</w:t>
      </w:r>
      <w:r w:rsidRPr="00B00AC1">
        <w:rPr>
          <w:rFonts w:ascii="Book Antiqua" w:hAnsi="Book Antiqua" w:cs="Arial"/>
          <w:sz w:val="24"/>
        </w:rPr>
        <w:t xml:space="preserve">. In a recent small-scale clinical observation, two HCC (stage II) patients after locoregional therapy underwent AFP DNA vaccine and adenovirus boost immunization. This </w:t>
      </w:r>
      <w:r w:rsidR="00310401" w:rsidRPr="00B00AC1">
        <w:rPr>
          <w:rFonts w:ascii="Book Antiqua" w:hAnsi="Book Antiqua" w:cs="Arial"/>
          <w:sz w:val="24"/>
        </w:rPr>
        <w:t xml:space="preserve">approach </w:t>
      </w:r>
      <w:r w:rsidRPr="00B00AC1">
        <w:rPr>
          <w:rFonts w:ascii="Book Antiqua" w:hAnsi="Book Antiqua" w:cs="Arial"/>
          <w:sz w:val="24"/>
        </w:rPr>
        <w:t xml:space="preserve">was </w:t>
      </w:r>
      <w:r w:rsidR="00310401" w:rsidRPr="00B00AC1">
        <w:rPr>
          <w:rFonts w:ascii="Book Antiqua" w:hAnsi="Book Antiqua" w:cs="Arial"/>
          <w:sz w:val="24"/>
        </w:rPr>
        <w:t>confirmed</w:t>
      </w:r>
      <w:r w:rsidR="00744D96" w:rsidRPr="00B00AC1">
        <w:rPr>
          <w:rFonts w:ascii="Book Antiqua" w:hAnsi="Book Antiqua" w:cs="Arial"/>
          <w:sz w:val="24"/>
        </w:rPr>
        <w:t xml:space="preserve"> </w:t>
      </w:r>
      <w:r w:rsidR="00527E6B" w:rsidRPr="00B00AC1">
        <w:rPr>
          <w:rFonts w:ascii="Book Antiqua" w:hAnsi="Book Antiqua" w:cs="Arial"/>
          <w:sz w:val="24"/>
        </w:rPr>
        <w:t xml:space="preserve">to be </w:t>
      </w:r>
      <w:r w:rsidRPr="00B00AC1">
        <w:rPr>
          <w:rFonts w:ascii="Book Antiqua" w:hAnsi="Book Antiqua" w:cs="Arial"/>
          <w:sz w:val="24"/>
        </w:rPr>
        <w:t>safe and well tolerated</w:t>
      </w:r>
      <w:r w:rsidR="001217A1" w:rsidRPr="00B00AC1">
        <w:rPr>
          <w:rFonts w:ascii="Book Antiqua" w:hAnsi="Book Antiqua" w:cs="Arial"/>
          <w:sz w:val="24"/>
        </w:rPr>
        <w:t>;</w:t>
      </w:r>
      <w:r w:rsidRPr="00B00AC1">
        <w:rPr>
          <w:rFonts w:ascii="Book Antiqua" w:hAnsi="Book Antiqua" w:cs="Arial"/>
          <w:sz w:val="24"/>
        </w:rPr>
        <w:t xml:space="preserve"> however, both patients </w:t>
      </w:r>
      <w:r w:rsidR="00310401" w:rsidRPr="00B00AC1">
        <w:rPr>
          <w:rFonts w:ascii="Book Antiqua" w:hAnsi="Book Antiqua" w:cs="Arial"/>
          <w:sz w:val="24"/>
        </w:rPr>
        <w:t>experienced</w:t>
      </w:r>
      <w:r w:rsidRPr="00B00AC1">
        <w:rPr>
          <w:rFonts w:ascii="Book Antiqua" w:hAnsi="Book Antiqua" w:cs="Arial"/>
          <w:sz w:val="24"/>
        </w:rPr>
        <w:t xml:space="preserve"> HCC recurrence after merely </w:t>
      </w:r>
      <w:r w:rsidR="00310401" w:rsidRPr="00B00AC1">
        <w:rPr>
          <w:rFonts w:ascii="Book Antiqua" w:hAnsi="Book Antiqua" w:cs="Arial"/>
          <w:sz w:val="24"/>
        </w:rPr>
        <w:t xml:space="preserve">nine </w:t>
      </w:r>
      <w:r w:rsidRPr="00B00AC1">
        <w:rPr>
          <w:rFonts w:ascii="Book Antiqua" w:hAnsi="Book Antiqua" w:cs="Arial"/>
          <w:sz w:val="24"/>
        </w:rPr>
        <w:t xml:space="preserve">and </w:t>
      </w:r>
      <w:r w:rsidR="00310401" w:rsidRPr="00B00AC1">
        <w:rPr>
          <w:rFonts w:ascii="Book Antiqua" w:hAnsi="Book Antiqua" w:cs="Arial"/>
          <w:sz w:val="24"/>
        </w:rPr>
        <w:t>eighteen</w:t>
      </w:r>
      <w:r w:rsidRPr="00B00AC1">
        <w:rPr>
          <w:rFonts w:ascii="Book Antiqua" w:hAnsi="Book Antiqua" w:cs="Arial"/>
          <w:sz w:val="24"/>
        </w:rPr>
        <w:t xml:space="preserve"> months, </w:t>
      </w:r>
      <w:proofErr w:type="gramStart"/>
      <w:r w:rsidR="00310401" w:rsidRPr="00B00AC1">
        <w:rPr>
          <w:rFonts w:ascii="Book Antiqua" w:hAnsi="Book Antiqua" w:cs="Arial"/>
          <w:sz w:val="24"/>
        </w:rPr>
        <w:t>correspondingly</w:t>
      </w:r>
      <w:r w:rsidR="000C13B1" w:rsidRPr="00B00AC1">
        <w:rPr>
          <w:rFonts w:ascii="Book Antiqua" w:hAnsi="Book Antiqua" w:cs="Arial"/>
          <w:noProof/>
          <w:sz w:val="24"/>
          <w:vertAlign w:val="superscript"/>
        </w:rPr>
        <w:t>[</w:t>
      </w:r>
      <w:proofErr w:type="gramEnd"/>
      <w:r w:rsidR="000C13B1" w:rsidRPr="00B00AC1">
        <w:rPr>
          <w:rFonts w:ascii="Book Antiqua" w:hAnsi="Book Antiqua" w:cs="Arial"/>
          <w:noProof/>
          <w:sz w:val="24"/>
          <w:vertAlign w:val="superscript"/>
        </w:rPr>
        <w:t>60]</w:t>
      </w:r>
      <w:r w:rsidRPr="00B00AC1">
        <w:rPr>
          <w:rFonts w:ascii="Book Antiqua" w:hAnsi="Book Antiqua" w:cs="Arial"/>
          <w:sz w:val="24"/>
        </w:rPr>
        <w:t xml:space="preserve">. To our </w:t>
      </w:r>
      <w:r w:rsidR="00643BAE" w:rsidRPr="00B00AC1">
        <w:rPr>
          <w:rFonts w:ascii="Book Antiqua" w:hAnsi="Book Antiqua" w:cs="Arial"/>
          <w:sz w:val="24"/>
        </w:rPr>
        <w:t>best information</w:t>
      </w:r>
      <w:r w:rsidRPr="00B00AC1">
        <w:rPr>
          <w:rFonts w:ascii="Book Antiqua" w:hAnsi="Book Antiqua" w:cs="Arial"/>
          <w:sz w:val="24"/>
        </w:rPr>
        <w:t xml:space="preserve">, no clinical trial </w:t>
      </w:r>
      <w:r w:rsidR="00643BAE" w:rsidRPr="00B00AC1">
        <w:rPr>
          <w:rFonts w:ascii="Book Antiqua" w:hAnsi="Book Antiqua" w:cs="Arial"/>
          <w:sz w:val="24"/>
        </w:rPr>
        <w:t>with regard to</w:t>
      </w:r>
      <w:r w:rsidR="001217A1" w:rsidRPr="00B00AC1">
        <w:rPr>
          <w:rFonts w:ascii="Book Antiqua" w:hAnsi="Book Antiqua" w:cs="Arial"/>
          <w:sz w:val="24"/>
        </w:rPr>
        <w:t xml:space="preserve"> DNA vaccine </w:t>
      </w:r>
      <w:r w:rsidRPr="00B00AC1">
        <w:rPr>
          <w:rFonts w:ascii="Book Antiqua" w:hAnsi="Book Antiqua" w:cs="Arial"/>
          <w:sz w:val="24"/>
        </w:rPr>
        <w:t>on</w:t>
      </w:r>
      <w:r w:rsidR="00643BAE" w:rsidRPr="00B00AC1">
        <w:rPr>
          <w:rFonts w:ascii="Book Antiqua" w:hAnsi="Book Antiqua" w:cs="Arial"/>
          <w:sz w:val="24"/>
        </w:rPr>
        <w:t xml:space="preserve"> HCC was reported or ongoing currently</w:t>
      </w:r>
      <w:r w:rsidRPr="00B00AC1">
        <w:rPr>
          <w:rFonts w:ascii="Book Antiqua" w:hAnsi="Book Antiqua" w:cs="Arial"/>
          <w:sz w:val="24"/>
        </w:rPr>
        <w:t>.</w:t>
      </w:r>
      <w:hyperlink w:anchor="_ENREF_53" w:tooltip="Li, 2014 #43" w:history="1"/>
    </w:p>
    <w:p w14:paraId="08B98C83" w14:textId="77777777" w:rsidR="006E6897" w:rsidRDefault="006E6897" w:rsidP="00B00AC1">
      <w:pPr>
        <w:spacing w:line="360" w:lineRule="auto"/>
        <w:rPr>
          <w:rFonts w:ascii="Book Antiqua" w:hAnsi="Book Antiqua" w:cs="Arial"/>
          <w:sz w:val="24"/>
        </w:rPr>
      </w:pPr>
    </w:p>
    <w:p w14:paraId="631BC168" w14:textId="128EBB71" w:rsidR="00F45BC7" w:rsidRPr="006E6897" w:rsidRDefault="00F45BC7" w:rsidP="00B00AC1">
      <w:pPr>
        <w:spacing w:line="360" w:lineRule="auto"/>
        <w:rPr>
          <w:rFonts w:ascii="Book Antiqua" w:hAnsi="Book Antiqua" w:cs="Arial"/>
          <w:b/>
          <w:i/>
          <w:sz w:val="24"/>
        </w:rPr>
      </w:pPr>
      <w:r w:rsidRPr="006E6897">
        <w:rPr>
          <w:rFonts w:ascii="Book Antiqua" w:hAnsi="Book Antiqua" w:cs="Arial"/>
          <w:b/>
          <w:i/>
          <w:sz w:val="24"/>
        </w:rPr>
        <w:t>Tumor vaccine using antigen presenting cells</w:t>
      </w:r>
    </w:p>
    <w:p w14:paraId="3AD79A06" w14:textId="08C9B87F"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APC plays a key role in anti-tumor function of immune responses. Dendritic cells (DCs) are the most potent APC, and are closely related to HCC. Numerous studies have proved that DCs from peripheral blood and lymph nodes of HCC patients were decreased, with an immature phenotype and an impaired </w:t>
      </w:r>
      <w:proofErr w:type="gramStart"/>
      <w:r w:rsidRPr="00B00AC1">
        <w:rPr>
          <w:rFonts w:ascii="Book Antiqua" w:hAnsi="Book Antiqua" w:cs="Arial"/>
          <w:sz w:val="24"/>
        </w:rPr>
        <w:t>function</w:t>
      </w:r>
      <w:r w:rsidR="00C95565" w:rsidRPr="00B00AC1">
        <w:rPr>
          <w:rFonts w:ascii="Book Antiqua" w:hAnsi="Book Antiqua" w:cs="Arial"/>
          <w:noProof/>
          <w:sz w:val="24"/>
          <w:vertAlign w:val="superscript"/>
        </w:rPr>
        <w:t>[</w:t>
      </w:r>
      <w:proofErr w:type="gramEnd"/>
      <w:r w:rsidR="00C95565" w:rsidRPr="00B00AC1">
        <w:rPr>
          <w:rFonts w:ascii="Book Antiqua" w:hAnsi="Book Antiqua" w:cs="Arial"/>
          <w:noProof/>
          <w:sz w:val="24"/>
          <w:vertAlign w:val="superscript"/>
        </w:rPr>
        <w:t>61-63]</w:t>
      </w:r>
      <w:r w:rsidRPr="00B00AC1">
        <w:rPr>
          <w:rFonts w:ascii="Book Antiqua" w:hAnsi="Book Antiqua" w:cs="Arial"/>
          <w:sz w:val="24"/>
        </w:rPr>
        <w:t xml:space="preserve">. A study revealed that the more DCs were detected in HCC nodules, the better the prognosis would be. Infiltration of DCs in HCC nodules was strongly associated with the prognosis of HCC patients after surgical </w:t>
      </w:r>
      <w:proofErr w:type="gramStart"/>
      <w:r w:rsidRPr="00B00AC1">
        <w:rPr>
          <w:rFonts w:ascii="Book Antiqua" w:hAnsi="Book Antiqua" w:cs="Arial"/>
          <w:sz w:val="24"/>
        </w:rPr>
        <w:t>resection</w:t>
      </w:r>
      <w:r w:rsidR="00C95565" w:rsidRPr="00B00AC1">
        <w:rPr>
          <w:rFonts w:ascii="Book Antiqua" w:hAnsi="Book Antiqua" w:cs="Arial"/>
          <w:noProof/>
          <w:sz w:val="24"/>
          <w:vertAlign w:val="superscript"/>
        </w:rPr>
        <w:t>[</w:t>
      </w:r>
      <w:proofErr w:type="gramEnd"/>
      <w:r w:rsidR="00C95565" w:rsidRPr="00B00AC1">
        <w:rPr>
          <w:rFonts w:ascii="Book Antiqua" w:hAnsi="Book Antiqua" w:cs="Arial"/>
          <w:noProof/>
          <w:sz w:val="24"/>
          <w:vertAlign w:val="superscript"/>
        </w:rPr>
        <w:t>64]</w:t>
      </w:r>
      <w:r w:rsidRPr="00B00AC1">
        <w:rPr>
          <w:rFonts w:ascii="Book Antiqua" w:hAnsi="Book Antiqua" w:cs="Arial"/>
          <w:sz w:val="24"/>
        </w:rPr>
        <w:t xml:space="preserve">. The composition of DCs in the hepatic lymph nodes of HCC patients was aberrant which may be one of the causes of the inadequate T cell response against HCC in these </w:t>
      </w:r>
      <w:proofErr w:type="gramStart"/>
      <w:r w:rsidRPr="00B00AC1">
        <w:rPr>
          <w:rFonts w:ascii="Book Antiqua" w:hAnsi="Book Antiqua" w:cs="Arial"/>
          <w:sz w:val="24"/>
        </w:rPr>
        <w:t>patients</w:t>
      </w:r>
      <w:r w:rsidR="00C95565" w:rsidRPr="00B00AC1">
        <w:rPr>
          <w:rFonts w:ascii="Book Antiqua" w:hAnsi="Book Antiqua" w:cs="Arial"/>
          <w:noProof/>
          <w:sz w:val="24"/>
          <w:vertAlign w:val="superscript"/>
        </w:rPr>
        <w:t>[</w:t>
      </w:r>
      <w:proofErr w:type="gramEnd"/>
      <w:r w:rsidR="00C95565" w:rsidRPr="00B00AC1">
        <w:rPr>
          <w:rFonts w:ascii="Book Antiqua" w:hAnsi="Book Antiqua" w:cs="Arial"/>
          <w:noProof/>
          <w:sz w:val="24"/>
          <w:vertAlign w:val="superscript"/>
        </w:rPr>
        <w:t>65]</w:t>
      </w:r>
      <w:r w:rsidRPr="00B00AC1">
        <w:rPr>
          <w:rFonts w:ascii="Book Antiqua" w:hAnsi="Book Antiqua" w:cs="Arial"/>
          <w:sz w:val="24"/>
        </w:rPr>
        <w:t xml:space="preserve">. In addition, some tumor-derived factors, such as vascular endothelial growth factor, granulocyte macrophage colony-stimulating factor, IL-6 and IL-10 would influence the differentiation, number, and phenotype of </w:t>
      </w:r>
      <w:proofErr w:type="gramStart"/>
      <w:r w:rsidRPr="00B00AC1">
        <w:rPr>
          <w:rFonts w:ascii="Book Antiqua" w:hAnsi="Book Antiqua" w:cs="Arial"/>
          <w:sz w:val="24"/>
        </w:rPr>
        <w:t>DCs</w:t>
      </w:r>
      <w:r w:rsidR="00C95565" w:rsidRPr="00B00AC1">
        <w:rPr>
          <w:rFonts w:ascii="Book Antiqua" w:hAnsi="Book Antiqua" w:cs="Arial"/>
          <w:noProof/>
          <w:sz w:val="24"/>
          <w:vertAlign w:val="superscript"/>
        </w:rPr>
        <w:t>[</w:t>
      </w:r>
      <w:proofErr w:type="gramEnd"/>
      <w:r w:rsidR="00C95565" w:rsidRPr="00B00AC1">
        <w:rPr>
          <w:rFonts w:ascii="Book Antiqua" w:hAnsi="Book Antiqua" w:cs="Arial"/>
          <w:noProof/>
          <w:sz w:val="24"/>
          <w:vertAlign w:val="superscript"/>
        </w:rPr>
        <w:t>66]</w:t>
      </w:r>
      <w:r w:rsidRPr="00B00AC1">
        <w:rPr>
          <w:rFonts w:ascii="Book Antiqua" w:hAnsi="Book Antiqua" w:cs="Arial"/>
          <w:sz w:val="24"/>
        </w:rPr>
        <w:t>.</w:t>
      </w:r>
    </w:p>
    <w:p w14:paraId="7C3CAE45" w14:textId="0A43C433"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 xml:space="preserve">Given the importance in cancer development, DCs are increasingly applied for vaccination in various cancers including HCC. DC based vaccine was reported to not only induce tumor antigen-specific </w:t>
      </w:r>
      <w:proofErr w:type="gramStart"/>
      <w:r w:rsidRPr="00B00AC1">
        <w:rPr>
          <w:rFonts w:ascii="Book Antiqua" w:hAnsi="Book Antiqua" w:cs="Arial"/>
          <w:sz w:val="24"/>
        </w:rPr>
        <w:t>CTLs</w:t>
      </w:r>
      <w:r w:rsidR="00C95565" w:rsidRPr="00B00AC1">
        <w:rPr>
          <w:rFonts w:ascii="Book Antiqua" w:hAnsi="Book Antiqua" w:cs="Arial"/>
          <w:noProof/>
          <w:sz w:val="24"/>
          <w:vertAlign w:val="superscript"/>
        </w:rPr>
        <w:t>[</w:t>
      </w:r>
      <w:proofErr w:type="gramEnd"/>
      <w:r w:rsidR="00C95565" w:rsidRPr="00B00AC1">
        <w:rPr>
          <w:rFonts w:ascii="Book Antiqua" w:hAnsi="Book Antiqua" w:cs="Arial"/>
          <w:noProof/>
          <w:sz w:val="24"/>
          <w:vertAlign w:val="superscript"/>
        </w:rPr>
        <w:t>67]</w:t>
      </w:r>
      <w:r w:rsidRPr="00B00AC1">
        <w:rPr>
          <w:rFonts w:ascii="Book Antiqua" w:hAnsi="Book Antiqua" w:cs="Arial"/>
          <w:sz w:val="24"/>
        </w:rPr>
        <w:t>, but also activate NK cells, and inhibit Tregs in HCC patients</w:t>
      </w:r>
      <w:r w:rsidR="006E6897">
        <w:rPr>
          <w:rFonts w:ascii="Book Antiqua" w:hAnsi="Book Antiqua" w:cs="Arial"/>
          <w:noProof/>
          <w:sz w:val="24"/>
          <w:vertAlign w:val="superscript"/>
        </w:rPr>
        <w:t>[51,</w:t>
      </w:r>
      <w:r w:rsidR="00C95565" w:rsidRPr="00B00AC1">
        <w:rPr>
          <w:rFonts w:ascii="Book Antiqua" w:hAnsi="Book Antiqua" w:cs="Arial"/>
          <w:noProof/>
          <w:sz w:val="24"/>
          <w:vertAlign w:val="superscript"/>
        </w:rPr>
        <w:t>68]</w:t>
      </w:r>
      <w:r w:rsidRPr="00B00AC1">
        <w:rPr>
          <w:rFonts w:ascii="Book Antiqua" w:hAnsi="Book Antiqua" w:cs="Arial"/>
          <w:sz w:val="24"/>
        </w:rPr>
        <w:t xml:space="preserve">. Logically, DCs pulsed with tumor tissue of individual patient should be used. However, the tumor tissue is not always available. Therefore, peptides or cell line lysate was commonly used to substitute tumor tissue by many investigators. At least in HCC, this replacement strategy was proved feasible and </w:t>
      </w:r>
      <w:proofErr w:type="gramStart"/>
      <w:r w:rsidRPr="00B00AC1">
        <w:rPr>
          <w:rFonts w:ascii="Book Antiqua" w:hAnsi="Book Antiqua" w:cs="Arial"/>
          <w:sz w:val="24"/>
        </w:rPr>
        <w:t>safe</w:t>
      </w:r>
      <w:r w:rsidR="00C95565" w:rsidRPr="00B00AC1">
        <w:rPr>
          <w:rFonts w:ascii="Book Antiqua" w:hAnsi="Book Antiqua" w:cs="Arial"/>
          <w:noProof/>
          <w:sz w:val="24"/>
          <w:vertAlign w:val="superscript"/>
        </w:rPr>
        <w:t>[</w:t>
      </w:r>
      <w:proofErr w:type="gramEnd"/>
      <w:r w:rsidR="00C95565" w:rsidRPr="00B00AC1">
        <w:rPr>
          <w:rFonts w:ascii="Book Antiqua" w:hAnsi="Book Antiqua" w:cs="Arial"/>
          <w:noProof/>
          <w:sz w:val="24"/>
          <w:vertAlign w:val="superscript"/>
        </w:rPr>
        <w:t>69]</w:t>
      </w:r>
      <w:r w:rsidRPr="00B00AC1">
        <w:rPr>
          <w:rFonts w:ascii="Book Antiqua" w:hAnsi="Book Antiqua" w:cs="Arial"/>
          <w:sz w:val="24"/>
        </w:rPr>
        <w:t xml:space="preserve">. DCs infused with cancer cells, or transfected with total RNA of cancer cells, or transfected with designed plasmids were all able to mature and prime Th1 cells and </w:t>
      </w:r>
      <w:proofErr w:type="gramStart"/>
      <w:r w:rsidRPr="00B00AC1">
        <w:rPr>
          <w:rFonts w:ascii="Book Antiqua" w:hAnsi="Book Antiqua" w:cs="Arial"/>
          <w:sz w:val="24"/>
        </w:rPr>
        <w:t>CTLs</w:t>
      </w:r>
      <w:r w:rsidR="00C95565" w:rsidRPr="00B00AC1">
        <w:rPr>
          <w:rFonts w:ascii="Book Antiqua" w:hAnsi="Book Antiqua" w:cs="Arial"/>
          <w:noProof/>
          <w:sz w:val="24"/>
          <w:vertAlign w:val="superscript"/>
        </w:rPr>
        <w:t>[</w:t>
      </w:r>
      <w:proofErr w:type="gramEnd"/>
      <w:r w:rsidR="00C95565" w:rsidRPr="00B00AC1">
        <w:rPr>
          <w:rFonts w:ascii="Book Antiqua" w:hAnsi="Book Antiqua" w:cs="Arial"/>
          <w:noProof/>
          <w:sz w:val="24"/>
          <w:vertAlign w:val="superscript"/>
        </w:rPr>
        <w:t>69-71]</w:t>
      </w:r>
      <w:r w:rsidRPr="00B00AC1">
        <w:rPr>
          <w:rFonts w:ascii="Book Antiqua" w:hAnsi="Book Antiqua" w:cs="Arial"/>
          <w:sz w:val="24"/>
        </w:rPr>
        <w:t>.</w:t>
      </w:r>
    </w:p>
    <w:p w14:paraId="3EF681F4" w14:textId="127784A3"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 xml:space="preserve">Based </w:t>
      </w:r>
      <w:r w:rsidR="00C42A95" w:rsidRPr="00B00AC1">
        <w:rPr>
          <w:rFonts w:ascii="Book Antiqua" w:hAnsi="Book Antiqua" w:cs="Arial"/>
          <w:sz w:val="24"/>
        </w:rPr>
        <w:t>up</w:t>
      </w:r>
      <w:r w:rsidRPr="00B00AC1">
        <w:rPr>
          <w:rFonts w:ascii="Book Antiqua" w:hAnsi="Book Antiqua" w:cs="Arial"/>
          <w:sz w:val="24"/>
        </w:rPr>
        <w:t xml:space="preserve">on these </w:t>
      </w:r>
      <w:r w:rsidR="00C42A95" w:rsidRPr="00B00AC1">
        <w:rPr>
          <w:rFonts w:ascii="Book Antiqua" w:hAnsi="Book Antiqua" w:cs="Arial"/>
          <w:sz w:val="24"/>
        </w:rPr>
        <w:t xml:space="preserve">characteristics </w:t>
      </w:r>
      <w:r w:rsidRPr="00B00AC1">
        <w:rPr>
          <w:rFonts w:ascii="Book Antiqua" w:hAnsi="Book Antiqua" w:cs="Arial"/>
          <w:sz w:val="24"/>
        </w:rPr>
        <w:t>and success in preclinical studies,</w:t>
      </w:r>
      <w:hyperlink w:anchor="_ENREF_79" w:tooltip="Yang, 2006 #72" w:history="1"/>
      <w:r w:rsidRPr="00B00AC1">
        <w:rPr>
          <w:rFonts w:ascii="Book Antiqua" w:hAnsi="Book Antiqua" w:cs="Arial"/>
          <w:sz w:val="24"/>
        </w:rPr>
        <w:t xml:space="preserve"> many clinical trials were </w:t>
      </w:r>
      <w:r w:rsidR="00C42A95" w:rsidRPr="00B00AC1">
        <w:rPr>
          <w:rFonts w:ascii="Book Antiqua" w:hAnsi="Book Antiqua" w:cs="Arial"/>
          <w:sz w:val="24"/>
        </w:rPr>
        <w:t xml:space="preserve">being carried out </w:t>
      </w:r>
      <w:r w:rsidRPr="00B00AC1">
        <w:rPr>
          <w:rFonts w:ascii="Book Antiqua" w:hAnsi="Book Antiqua" w:cs="Arial"/>
          <w:sz w:val="24"/>
        </w:rPr>
        <w:t xml:space="preserve">to evaluate the efficacy of DCs based immunotherapy to treat HCC patients. Two phase I studies showed immunization by tumor lysate pulsed DCs was feasible for end stage HCC </w:t>
      </w:r>
      <w:proofErr w:type="gramStart"/>
      <w:r w:rsidRPr="00B00AC1">
        <w:rPr>
          <w:rFonts w:ascii="Book Antiqua" w:hAnsi="Book Antiqua" w:cs="Arial"/>
          <w:sz w:val="24"/>
        </w:rPr>
        <w:t>patients</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72,</w:t>
      </w:r>
      <w:r w:rsidR="00C95565" w:rsidRPr="00B00AC1">
        <w:rPr>
          <w:rFonts w:ascii="Book Antiqua" w:hAnsi="Book Antiqua" w:cs="Arial"/>
          <w:noProof/>
          <w:sz w:val="24"/>
          <w:vertAlign w:val="superscript"/>
        </w:rPr>
        <w:t>73]</w:t>
      </w:r>
      <w:r w:rsidRPr="00B00AC1">
        <w:rPr>
          <w:rFonts w:ascii="Book Antiqua" w:hAnsi="Book Antiqua" w:cs="Arial"/>
          <w:sz w:val="24"/>
        </w:rPr>
        <w:t xml:space="preserve">. Another clinical trial of DC vaccine pulsed with autologous tumor lysate addressed that 12.9% of advanced HCC patients had PR and 54.8% had </w:t>
      </w:r>
      <w:proofErr w:type="gramStart"/>
      <w:r w:rsidRPr="00B00AC1">
        <w:rPr>
          <w:rFonts w:ascii="Book Antiqua" w:hAnsi="Book Antiqua" w:cs="Arial"/>
          <w:sz w:val="24"/>
        </w:rPr>
        <w:t>SD</w:t>
      </w:r>
      <w:r w:rsidR="004E2D12" w:rsidRPr="00B00AC1">
        <w:rPr>
          <w:rFonts w:ascii="Book Antiqua" w:hAnsi="Book Antiqua" w:cs="Arial"/>
          <w:noProof/>
          <w:sz w:val="24"/>
          <w:vertAlign w:val="superscript"/>
        </w:rPr>
        <w:t>[</w:t>
      </w:r>
      <w:proofErr w:type="gramEnd"/>
      <w:r w:rsidR="004E2D12" w:rsidRPr="00B00AC1">
        <w:rPr>
          <w:rFonts w:ascii="Book Antiqua" w:hAnsi="Book Antiqua" w:cs="Arial"/>
          <w:noProof/>
          <w:sz w:val="24"/>
          <w:vertAlign w:val="superscript"/>
        </w:rPr>
        <w:t>74]</w:t>
      </w:r>
      <w:r w:rsidRPr="00B00AC1">
        <w:rPr>
          <w:rFonts w:ascii="Book Antiqua" w:hAnsi="Book Antiqua" w:cs="Arial"/>
          <w:sz w:val="24"/>
        </w:rPr>
        <w:t xml:space="preserve">. Notably, monthly boost vaccination resulted in a significantly better 1-year </w:t>
      </w:r>
      <w:proofErr w:type="gramStart"/>
      <w:r w:rsidRPr="00B00AC1">
        <w:rPr>
          <w:rFonts w:ascii="Book Antiqua" w:hAnsi="Book Antiqua" w:cs="Arial"/>
          <w:sz w:val="24"/>
        </w:rPr>
        <w:t>survival</w:t>
      </w:r>
      <w:r w:rsidR="004E2D12" w:rsidRPr="00B00AC1">
        <w:rPr>
          <w:rFonts w:ascii="Book Antiqua" w:hAnsi="Book Antiqua" w:cs="Arial"/>
          <w:noProof/>
          <w:sz w:val="24"/>
          <w:vertAlign w:val="superscript"/>
        </w:rPr>
        <w:t>[</w:t>
      </w:r>
      <w:proofErr w:type="gramEnd"/>
      <w:r w:rsidR="004E2D12" w:rsidRPr="00B00AC1">
        <w:rPr>
          <w:rFonts w:ascii="Book Antiqua" w:hAnsi="Book Antiqua" w:cs="Arial"/>
          <w:noProof/>
          <w:sz w:val="24"/>
          <w:vertAlign w:val="superscript"/>
        </w:rPr>
        <w:t>74]</w:t>
      </w:r>
      <w:r w:rsidRPr="00B00AC1">
        <w:rPr>
          <w:rFonts w:ascii="Book Antiqua" w:hAnsi="Book Antiqua" w:cs="Arial"/>
          <w:sz w:val="24"/>
        </w:rPr>
        <w:t xml:space="preserve">. In another RCT on advanced HCC, DCs pulsed with HepG2 cell lysate resulted in 13.3% patients with PR and 60% with SD after 6 mo of </w:t>
      </w:r>
      <w:proofErr w:type="gramStart"/>
      <w:r w:rsidRPr="00B00AC1">
        <w:rPr>
          <w:rFonts w:ascii="Book Antiqua" w:hAnsi="Book Antiqua" w:cs="Arial"/>
          <w:sz w:val="24"/>
        </w:rPr>
        <w:t>treatment</w:t>
      </w:r>
      <w:r w:rsidR="0008311E" w:rsidRPr="00B00AC1">
        <w:rPr>
          <w:rFonts w:ascii="Book Antiqua" w:hAnsi="Book Antiqua" w:cs="Arial"/>
          <w:noProof/>
          <w:sz w:val="24"/>
          <w:vertAlign w:val="superscript"/>
        </w:rPr>
        <w:t>[</w:t>
      </w:r>
      <w:proofErr w:type="gramEnd"/>
      <w:r w:rsidR="0008311E" w:rsidRPr="00B00AC1">
        <w:rPr>
          <w:rFonts w:ascii="Book Antiqua" w:hAnsi="Book Antiqua" w:cs="Arial"/>
          <w:noProof/>
          <w:sz w:val="24"/>
          <w:vertAlign w:val="superscript"/>
        </w:rPr>
        <w:t>75]</w:t>
      </w:r>
      <w:r w:rsidRPr="00B00AC1">
        <w:rPr>
          <w:rFonts w:ascii="Book Antiqua" w:hAnsi="Book Antiqua" w:cs="Arial"/>
          <w:sz w:val="24"/>
        </w:rPr>
        <w:t xml:space="preserve">. However, </w:t>
      </w:r>
      <w:r w:rsidR="004D5A8D" w:rsidRPr="00B00AC1">
        <w:rPr>
          <w:rFonts w:ascii="Book Antiqua" w:hAnsi="Book Antiqua" w:cs="Arial"/>
          <w:sz w:val="24"/>
        </w:rPr>
        <w:t>the proportion of clinical response regarding this therapy is relatively low</w:t>
      </w:r>
      <w:r w:rsidRPr="00B00AC1">
        <w:rPr>
          <w:rFonts w:ascii="Book Antiqua" w:hAnsi="Book Antiqua" w:cs="Arial"/>
          <w:sz w:val="24"/>
        </w:rPr>
        <w:t xml:space="preserve">. </w:t>
      </w:r>
      <w:r w:rsidR="002235D7" w:rsidRPr="00B00AC1">
        <w:rPr>
          <w:rFonts w:ascii="Book Antiqua" w:hAnsi="Book Antiqua" w:cs="Arial"/>
          <w:sz w:val="24"/>
        </w:rPr>
        <w:t>As an illustration</w:t>
      </w:r>
      <w:r w:rsidRPr="00B00AC1">
        <w:rPr>
          <w:rFonts w:ascii="Book Antiqua" w:hAnsi="Book Antiqua" w:cs="Arial"/>
          <w:sz w:val="24"/>
        </w:rPr>
        <w:t>, one phase II study using DCs pulsed with tumor lysate in HCC revealed only one out of 39 patients exhibited PR</w:t>
      </w:r>
      <w:r w:rsidR="00E811A4" w:rsidRPr="00B00AC1">
        <w:rPr>
          <w:rFonts w:ascii="Book Antiqua" w:hAnsi="Book Antiqua" w:cs="Arial"/>
          <w:noProof/>
          <w:sz w:val="24"/>
          <w:vertAlign w:val="superscript"/>
        </w:rPr>
        <w:t>[76]</w:t>
      </w:r>
      <w:r w:rsidRPr="00B00AC1">
        <w:rPr>
          <w:rFonts w:ascii="Book Antiqua" w:hAnsi="Book Antiqua" w:cs="Arial"/>
          <w:sz w:val="24"/>
        </w:rPr>
        <w:t>. Furthermore, a phase I/II study using a multiple TAA-pulsed DC vaccine showed clinical response in only one out of five patients with advanced HCC</w:t>
      </w:r>
      <w:r w:rsidR="00E811A4" w:rsidRPr="00B00AC1">
        <w:rPr>
          <w:rFonts w:ascii="Book Antiqua" w:hAnsi="Book Antiqua" w:cs="Arial"/>
          <w:noProof/>
          <w:sz w:val="24"/>
          <w:vertAlign w:val="superscript"/>
        </w:rPr>
        <w:t>[77]</w:t>
      </w:r>
      <w:r w:rsidRPr="00B00AC1">
        <w:rPr>
          <w:rFonts w:ascii="Book Antiqua" w:hAnsi="Book Antiqua" w:cs="Arial"/>
          <w:sz w:val="24"/>
        </w:rPr>
        <w:t xml:space="preserve">. There are also some studies evaluated the efficacy of DCs immunotherapy combined with local </w:t>
      </w:r>
      <w:proofErr w:type="gramStart"/>
      <w:r w:rsidRPr="00B00AC1">
        <w:rPr>
          <w:rFonts w:ascii="Book Antiqua" w:hAnsi="Book Antiqua" w:cs="Arial"/>
          <w:sz w:val="24"/>
        </w:rPr>
        <w:t>radiation</w:t>
      </w:r>
      <w:r w:rsidR="00E811A4" w:rsidRPr="00B00AC1">
        <w:rPr>
          <w:rFonts w:ascii="Book Antiqua" w:hAnsi="Book Antiqua" w:cs="Arial"/>
          <w:noProof/>
          <w:sz w:val="24"/>
          <w:vertAlign w:val="superscript"/>
        </w:rPr>
        <w:t>[</w:t>
      </w:r>
      <w:proofErr w:type="gramEnd"/>
      <w:r w:rsidR="00E811A4" w:rsidRPr="00B00AC1">
        <w:rPr>
          <w:rFonts w:ascii="Book Antiqua" w:hAnsi="Book Antiqua" w:cs="Arial"/>
          <w:noProof/>
          <w:sz w:val="24"/>
          <w:vertAlign w:val="superscript"/>
        </w:rPr>
        <w:t>78]</w:t>
      </w:r>
      <w:r w:rsidRPr="00B00AC1">
        <w:rPr>
          <w:rFonts w:ascii="Book Antiqua" w:hAnsi="Book Antiqua" w:cs="Arial"/>
          <w:sz w:val="24"/>
        </w:rPr>
        <w:t xml:space="preserve"> or TACE</w:t>
      </w:r>
      <w:r w:rsidR="006E6897">
        <w:rPr>
          <w:rFonts w:ascii="Book Antiqua" w:hAnsi="Book Antiqua" w:cs="Arial"/>
          <w:noProof/>
          <w:sz w:val="24"/>
          <w:vertAlign w:val="superscript"/>
        </w:rPr>
        <w:t>[79,</w:t>
      </w:r>
      <w:r w:rsidR="00E811A4" w:rsidRPr="00B00AC1">
        <w:rPr>
          <w:rFonts w:ascii="Book Antiqua" w:hAnsi="Book Antiqua" w:cs="Arial"/>
          <w:noProof/>
          <w:sz w:val="24"/>
          <w:vertAlign w:val="superscript"/>
        </w:rPr>
        <w:t>80]</w:t>
      </w:r>
      <w:r w:rsidRPr="00B00AC1">
        <w:rPr>
          <w:rFonts w:ascii="Book Antiqua" w:hAnsi="Book Antiqua" w:cs="Arial"/>
          <w:sz w:val="24"/>
        </w:rPr>
        <w:t xml:space="preserve">, but the results showed that DC infusion could not prevent HCC recurrence. Therefore further studies are needed to increase the efficacy of this therapeutic approach. A new phase I trial on DC vaccine for HCC was registered last year and is now recruiting participants (NCT 01974661; </w:t>
      </w:r>
      <w:r w:rsidRPr="006E6897">
        <w:rPr>
          <w:rFonts w:ascii="Book Antiqua" w:hAnsi="Book Antiqua" w:cs="Arial"/>
          <w:sz w:val="24"/>
        </w:rPr>
        <w:t>Table 2</w:t>
      </w:r>
      <w:r w:rsidRPr="00B00AC1">
        <w:rPr>
          <w:rFonts w:ascii="Book Antiqua" w:hAnsi="Book Antiqua" w:cs="Arial"/>
          <w:sz w:val="24"/>
        </w:rPr>
        <w:t>).</w:t>
      </w:r>
    </w:p>
    <w:p w14:paraId="5A90F68D" w14:textId="77777777" w:rsidR="00F45BC7" w:rsidRPr="00B00AC1" w:rsidRDefault="00F45BC7" w:rsidP="00B00AC1">
      <w:pPr>
        <w:spacing w:line="360" w:lineRule="auto"/>
        <w:rPr>
          <w:rFonts w:ascii="Book Antiqua" w:hAnsi="Book Antiqua" w:cs="Arial"/>
          <w:sz w:val="24"/>
        </w:rPr>
      </w:pPr>
    </w:p>
    <w:p w14:paraId="064F5FE2" w14:textId="7AD3DB9F" w:rsidR="00F45BC7" w:rsidRPr="00B00AC1" w:rsidRDefault="006E6897" w:rsidP="00B00AC1">
      <w:pPr>
        <w:spacing w:line="360" w:lineRule="auto"/>
        <w:rPr>
          <w:rFonts w:ascii="Book Antiqua" w:hAnsi="Book Antiqua" w:cs="Arial"/>
          <w:b/>
          <w:sz w:val="24"/>
        </w:rPr>
      </w:pPr>
      <w:r w:rsidRPr="00B00AC1">
        <w:rPr>
          <w:rFonts w:ascii="Book Antiqua" w:hAnsi="Book Antiqua" w:cs="Arial"/>
          <w:b/>
          <w:sz w:val="24"/>
        </w:rPr>
        <w:t>ADOPTIVE IMMUNOTHERAPY</w:t>
      </w:r>
    </w:p>
    <w:p w14:paraId="2E1E20B8" w14:textId="09A5DC1A"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Adoptive immunotherapy now becomes promising in the scenario of potential approaches for the treatment of solid tumors, which are refractory to the conventional therapies. An increasing number of literatures discussed the efficacy of adoptive immunotherapy to control tumors. Meanwhile, many clinical trials have demonstrated that adoptive immunotherapy showed potentially promising anti-tumor effects on various cancers including HCC.</w:t>
      </w:r>
    </w:p>
    <w:p w14:paraId="2A218F8D" w14:textId="77777777" w:rsidR="006E6897" w:rsidRDefault="006E6897" w:rsidP="00B00AC1">
      <w:pPr>
        <w:spacing w:line="360" w:lineRule="auto"/>
        <w:rPr>
          <w:rFonts w:ascii="Book Antiqua" w:hAnsi="Book Antiqua" w:cs="Arial"/>
          <w:sz w:val="24"/>
        </w:rPr>
      </w:pPr>
      <w:bookmarkStart w:id="57" w:name="OLE_LINK3"/>
      <w:bookmarkStart w:id="58" w:name="OLE_LINK4"/>
    </w:p>
    <w:p w14:paraId="54D9EE7C" w14:textId="41526F61" w:rsidR="00F45BC7" w:rsidRPr="006E6897" w:rsidRDefault="00F45BC7" w:rsidP="00B00AC1">
      <w:pPr>
        <w:spacing w:line="360" w:lineRule="auto"/>
        <w:rPr>
          <w:rFonts w:ascii="Book Antiqua" w:hAnsi="Book Antiqua" w:cs="Arial"/>
          <w:b/>
          <w:i/>
          <w:sz w:val="24"/>
        </w:rPr>
      </w:pPr>
      <w:r w:rsidRPr="006E6897">
        <w:rPr>
          <w:rFonts w:ascii="Book Antiqua" w:hAnsi="Book Antiqua" w:cs="Arial"/>
          <w:b/>
          <w:i/>
          <w:sz w:val="24"/>
        </w:rPr>
        <w:t>Lymphokine-activated killer</w:t>
      </w:r>
      <w:bookmarkEnd w:id="57"/>
      <w:bookmarkEnd w:id="58"/>
      <w:r w:rsidR="006E6897">
        <w:rPr>
          <w:rFonts w:ascii="Book Antiqua" w:hAnsi="Book Antiqua" w:cs="Arial" w:hint="eastAsia"/>
          <w:b/>
          <w:i/>
          <w:sz w:val="24"/>
        </w:rPr>
        <w:t xml:space="preserve"> </w:t>
      </w:r>
      <w:r w:rsidRPr="006E6897">
        <w:rPr>
          <w:rFonts w:ascii="Book Antiqua" w:hAnsi="Book Antiqua" w:cs="Arial"/>
          <w:b/>
          <w:i/>
          <w:sz w:val="24"/>
        </w:rPr>
        <w:t>cells</w:t>
      </w:r>
    </w:p>
    <w:p w14:paraId="479EFB5D" w14:textId="7D15DB47"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First reported in the early 1980s, </w:t>
      </w:r>
      <w:r w:rsidR="006E6897">
        <w:rPr>
          <w:rFonts w:ascii="Book Antiqua" w:hAnsi="Book Antiqua" w:cs="Arial" w:hint="eastAsia"/>
          <w:sz w:val="24"/>
        </w:rPr>
        <w:t>l</w:t>
      </w:r>
      <w:r w:rsidR="006E6897" w:rsidRPr="00B00AC1">
        <w:rPr>
          <w:rFonts w:ascii="Book Antiqua" w:hAnsi="Book Antiqua" w:cs="Arial"/>
          <w:sz w:val="24"/>
        </w:rPr>
        <w:t>y</w:t>
      </w:r>
      <w:r w:rsidR="006E6897">
        <w:rPr>
          <w:rFonts w:ascii="Book Antiqua" w:hAnsi="Book Antiqua" w:cs="Arial"/>
          <w:sz w:val="24"/>
        </w:rPr>
        <w:t>mphokine-activated killer (LAK)</w:t>
      </w:r>
      <w:r w:rsidRPr="00B00AC1">
        <w:rPr>
          <w:rFonts w:ascii="Book Antiqua" w:hAnsi="Book Antiqua" w:cs="Arial"/>
          <w:sz w:val="24"/>
        </w:rPr>
        <w:t xml:space="preserve"> cells are cytotoxic effector lymphocytes whose cytolytic activities are not restricted by MHC and are capable of killing tumor cells as well as NK-resistant tumor cell lines. There are </w:t>
      </w:r>
      <w:r w:rsidR="005C0872" w:rsidRPr="00B00AC1">
        <w:rPr>
          <w:rFonts w:ascii="Book Antiqua" w:hAnsi="Book Antiqua" w:cs="Arial"/>
          <w:sz w:val="24"/>
        </w:rPr>
        <w:t>actually constrained</w:t>
      </w:r>
      <w:r w:rsidRPr="00B00AC1">
        <w:rPr>
          <w:rFonts w:ascii="Book Antiqua" w:hAnsi="Book Antiqua" w:cs="Arial"/>
          <w:sz w:val="24"/>
        </w:rPr>
        <w:t xml:space="preserve"> </w:t>
      </w:r>
      <w:r w:rsidR="005C0872" w:rsidRPr="00B00AC1">
        <w:rPr>
          <w:rFonts w:ascii="Book Antiqua" w:hAnsi="Book Antiqua" w:cs="Arial"/>
          <w:sz w:val="24"/>
        </w:rPr>
        <w:t xml:space="preserve">studies </w:t>
      </w:r>
      <w:r w:rsidRPr="00B00AC1">
        <w:rPr>
          <w:rFonts w:ascii="Book Antiqua" w:hAnsi="Book Antiqua" w:cs="Arial"/>
          <w:sz w:val="24"/>
        </w:rPr>
        <w:t xml:space="preserve">concerning the </w:t>
      </w:r>
      <w:r w:rsidR="005C0872" w:rsidRPr="00B00AC1">
        <w:rPr>
          <w:rFonts w:ascii="Book Antiqua" w:hAnsi="Book Antiqua" w:cs="Arial"/>
          <w:sz w:val="24"/>
        </w:rPr>
        <w:t xml:space="preserve">effectiveness </w:t>
      </w:r>
      <w:r w:rsidRPr="00B00AC1">
        <w:rPr>
          <w:rFonts w:ascii="Book Antiqua" w:hAnsi="Book Antiqua" w:cs="Arial"/>
          <w:sz w:val="24"/>
        </w:rPr>
        <w:t xml:space="preserve">of LAK cells for HCC treatment. A </w:t>
      </w:r>
      <w:r w:rsidR="005C0872" w:rsidRPr="00B00AC1">
        <w:rPr>
          <w:rFonts w:ascii="Book Antiqua" w:hAnsi="Book Antiqua" w:cs="Arial"/>
          <w:sz w:val="24"/>
        </w:rPr>
        <w:t>report stated</w:t>
      </w:r>
      <w:r w:rsidRPr="00B00AC1">
        <w:rPr>
          <w:rFonts w:ascii="Book Antiqua" w:hAnsi="Book Antiqua" w:cs="Arial"/>
          <w:sz w:val="24"/>
        </w:rPr>
        <w:t xml:space="preserve"> that </w:t>
      </w:r>
      <w:r w:rsidR="005C0872" w:rsidRPr="00B00AC1">
        <w:rPr>
          <w:rFonts w:ascii="Book Antiqua" w:hAnsi="Book Antiqua" w:cs="Arial"/>
          <w:sz w:val="24"/>
        </w:rPr>
        <w:t>dealing with</w:t>
      </w:r>
      <w:r w:rsidRPr="00B00AC1">
        <w:rPr>
          <w:rFonts w:ascii="Book Antiqua" w:hAnsi="Book Antiqua" w:cs="Arial"/>
          <w:sz w:val="24"/>
        </w:rPr>
        <w:t xml:space="preserve"> LAK cells cultivated by IL-2 reduced recurrence rate in postoperative HCC </w:t>
      </w:r>
      <w:proofErr w:type="gramStart"/>
      <w:r w:rsidRPr="00B00AC1">
        <w:rPr>
          <w:rFonts w:ascii="Book Antiqua" w:hAnsi="Book Antiqua" w:cs="Arial"/>
          <w:sz w:val="24"/>
        </w:rPr>
        <w:t>patients</w:t>
      </w:r>
      <w:r w:rsidR="00E811A4" w:rsidRPr="00B00AC1">
        <w:rPr>
          <w:rFonts w:ascii="Book Antiqua" w:hAnsi="Book Antiqua" w:cs="Arial"/>
          <w:noProof/>
          <w:sz w:val="24"/>
          <w:vertAlign w:val="superscript"/>
        </w:rPr>
        <w:t>[</w:t>
      </w:r>
      <w:proofErr w:type="gramEnd"/>
      <w:r w:rsidR="00E811A4" w:rsidRPr="00B00AC1">
        <w:rPr>
          <w:rFonts w:ascii="Book Antiqua" w:hAnsi="Book Antiqua" w:cs="Arial"/>
          <w:noProof/>
          <w:sz w:val="24"/>
          <w:vertAlign w:val="superscript"/>
        </w:rPr>
        <w:t>81]</w:t>
      </w:r>
      <w:r w:rsidRPr="00B00AC1">
        <w:rPr>
          <w:rFonts w:ascii="Book Antiqua" w:hAnsi="Book Antiqua" w:cs="Arial"/>
          <w:sz w:val="24"/>
        </w:rPr>
        <w:t xml:space="preserve">. Another study found that LAK cells based immunotherapy was not an ideal adjuvant strategy after hepatic </w:t>
      </w:r>
      <w:proofErr w:type="gramStart"/>
      <w:r w:rsidRPr="00B00AC1">
        <w:rPr>
          <w:rFonts w:ascii="Book Antiqua" w:hAnsi="Book Antiqua" w:cs="Arial"/>
          <w:sz w:val="24"/>
        </w:rPr>
        <w:t>resection</w:t>
      </w:r>
      <w:r w:rsidR="00E811A4" w:rsidRPr="00B00AC1">
        <w:rPr>
          <w:rFonts w:ascii="Book Antiqua" w:hAnsi="Book Antiqua" w:cs="Arial"/>
          <w:noProof/>
          <w:sz w:val="24"/>
          <w:vertAlign w:val="superscript"/>
        </w:rPr>
        <w:t>[</w:t>
      </w:r>
      <w:proofErr w:type="gramEnd"/>
      <w:r w:rsidR="00E811A4" w:rsidRPr="00B00AC1">
        <w:rPr>
          <w:rFonts w:ascii="Book Antiqua" w:hAnsi="Book Antiqua" w:cs="Arial"/>
          <w:noProof/>
          <w:sz w:val="24"/>
          <w:vertAlign w:val="superscript"/>
        </w:rPr>
        <w:t>82]</w:t>
      </w:r>
      <w:r w:rsidRPr="00B00AC1">
        <w:rPr>
          <w:rFonts w:ascii="Book Antiqua" w:hAnsi="Book Antiqua" w:cs="Arial"/>
          <w:sz w:val="24"/>
        </w:rPr>
        <w:t>.</w:t>
      </w:r>
      <w:r w:rsidR="00E811A4" w:rsidRPr="00B00AC1">
        <w:rPr>
          <w:rFonts w:ascii="Book Antiqua" w:hAnsi="Book Antiqua" w:cs="Arial"/>
          <w:noProof/>
          <w:sz w:val="24"/>
          <w:vertAlign w:val="superscript"/>
        </w:rPr>
        <w:t xml:space="preserve"> </w:t>
      </w:r>
      <w:r w:rsidRPr="00B00AC1">
        <w:rPr>
          <w:rFonts w:ascii="Book Antiqua" w:hAnsi="Book Antiqua" w:cs="Arial"/>
          <w:sz w:val="24"/>
        </w:rPr>
        <w:t xml:space="preserve">Results from a clinical trial indicated that tumor-specific CTL therapy is more effective than LAK cell therapy in advanced HCC </w:t>
      </w:r>
      <w:proofErr w:type="gramStart"/>
      <w:r w:rsidRPr="00B00AC1">
        <w:rPr>
          <w:rFonts w:ascii="Book Antiqua" w:hAnsi="Book Antiqua" w:cs="Arial"/>
          <w:sz w:val="24"/>
        </w:rPr>
        <w:t>patients</w:t>
      </w:r>
      <w:r w:rsidR="00E811A4" w:rsidRPr="00B00AC1">
        <w:rPr>
          <w:rFonts w:ascii="Book Antiqua" w:hAnsi="Book Antiqua" w:cs="Arial"/>
          <w:noProof/>
          <w:sz w:val="24"/>
          <w:vertAlign w:val="superscript"/>
        </w:rPr>
        <w:t>[</w:t>
      </w:r>
      <w:proofErr w:type="gramEnd"/>
      <w:r w:rsidR="00E811A4" w:rsidRPr="00B00AC1">
        <w:rPr>
          <w:rFonts w:ascii="Book Antiqua" w:hAnsi="Book Antiqua" w:cs="Arial"/>
          <w:noProof/>
          <w:sz w:val="24"/>
          <w:vertAlign w:val="superscript"/>
        </w:rPr>
        <w:t>83]</w:t>
      </w:r>
      <w:r w:rsidRPr="00B00AC1">
        <w:rPr>
          <w:rFonts w:ascii="Book Antiqua" w:hAnsi="Book Antiqua" w:cs="Arial"/>
          <w:sz w:val="24"/>
        </w:rPr>
        <w:t>. The enthusiasm of study on LAK for HCC treatment significantly declined since last decade.</w:t>
      </w:r>
    </w:p>
    <w:p w14:paraId="30DF08E3" w14:textId="77777777" w:rsidR="006E6897" w:rsidRDefault="006E6897" w:rsidP="00B00AC1">
      <w:pPr>
        <w:spacing w:line="360" w:lineRule="auto"/>
        <w:rPr>
          <w:rFonts w:ascii="Book Antiqua" w:hAnsi="Book Antiqua" w:cs="Arial"/>
          <w:sz w:val="24"/>
        </w:rPr>
      </w:pPr>
    </w:p>
    <w:p w14:paraId="391E0357" w14:textId="7DD124F0" w:rsidR="00F45BC7" w:rsidRPr="006E6897" w:rsidRDefault="00F45BC7" w:rsidP="00B00AC1">
      <w:pPr>
        <w:spacing w:line="360" w:lineRule="auto"/>
        <w:rPr>
          <w:rFonts w:ascii="Book Antiqua" w:hAnsi="Book Antiqua" w:cs="Arial"/>
          <w:b/>
          <w:i/>
          <w:sz w:val="24"/>
        </w:rPr>
      </w:pPr>
      <w:r w:rsidRPr="006E6897">
        <w:rPr>
          <w:rFonts w:ascii="Book Antiqua" w:hAnsi="Book Antiqua" w:cs="Arial"/>
          <w:b/>
          <w:i/>
          <w:sz w:val="24"/>
        </w:rPr>
        <w:t>Cytokine-induced killer cells</w:t>
      </w:r>
    </w:p>
    <w:p w14:paraId="4F72F14D" w14:textId="5ED8FCC8" w:rsidR="00F45BC7" w:rsidRPr="00B00AC1" w:rsidRDefault="006E6897" w:rsidP="00B00AC1">
      <w:pPr>
        <w:spacing w:line="360" w:lineRule="auto"/>
        <w:rPr>
          <w:rFonts w:ascii="Book Antiqua" w:hAnsi="Book Antiqua" w:cs="Arial"/>
          <w:sz w:val="24"/>
        </w:rPr>
      </w:pPr>
      <w:r w:rsidRPr="00B00AC1">
        <w:rPr>
          <w:rFonts w:ascii="Book Antiqua" w:hAnsi="Book Antiqua" w:cs="Arial"/>
          <w:sz w:val="24"/>
        </w:rPr>
        <w:t xml:space="preserve">Cytokine-induced killer (CIK) </w:t>
      </w:r>
      <w:r w:rsidR="00F45BC7" w:rsidRPr="00B00AC1">
        <w:rPr>
          <w:rFonts w:ascii="Book Antiqua" w:hAnsi="Book Antiqua" w:cs="Arial"/>
          <w:sz w:val="24"/>
        </w:rPr>
        <w:t xml:space="preserve">cells exhibit potent, non-MHC restricted cytolytic activities against susceptible tumor cells of both autologous and allogeneic </w:t>
      </w:r>
      <w:proofErr w:type="gramStart"/>
      <w:r w:rsidR="00F45BC7" w:rsidRPr="00B00AC1">
        <w:rPr>
          <w:rFonts w:ascii="Book Antiqua" w:hAnsi="Book Antiqua" w:cs="Arial"/>
          <w:sz w:val="24"/>
        </w:rPr>
        <w:t>origins</w:t>
      </w:r>
      <w:r w:rsidR="00E811A4" w:rsidRPr="00B00AC1">
        <w:rPr>
          <w:rFonts w:ascii="Book Antiqua" w:hAnsi="Book Antiqua" w:cs="Arial"/>
          <w:noProof/>
          <w:sz w:val="24"/>
          <w:vertAlign w:val="superscript"/>
        </w:rPr>
        <w:t>[</w:t>
      </w:r>
      <w:proofErr w:type="gramEnd"/>
      <w:r w:rsidR="00E811A4" w:rsidRPr="00B00AC1">
        <w:rPr>
          <w:rFonts w:ascii="Book Antiqua" w:hAnsi="Book Antiqua" w:cs="Arial"/>
          <w:noProof/>
          <w:sz w:val="24"/>
          <w:vertAlign w:val="superscript"/>
        </w:rPr>
        <w:t>84]</w:t>
      </w:r>
      <w:r w:rsidR="00F45BC7" w:rsidRPr="00B00AC1">
        <w:rPr>
          <w:rFonts w:ascii="Book Antiqua" w:hAnsi="Book Antiqua" w:cs="Arial"/>
          <w:sz w:val="24"/>
        </w:rPr>
        <w:t xml:space="preserve">. CIK cells are characterized by expression of both T cell biomarker CD3 and NK cell biomarker </w:t>
      </w:r>
      <w:proofErr w:type="gramStart"/>
      <w:r w:rsidR="00F45BC7" w:rsidRPr="00B00AC1">
        <w:rPr>
          <w:rFonts w:ascii="Book Antiqua" w:hAnsi="Book Antiqua" w:cs="Arial"/>
          <w:sz w:val="24"/>
        </w:rPr>
        <w:t>CD56</w:t>
      </w:r>
      <w:r w:rsidR="00E811A4" w:rsidRPr="00B00AC1">
        <w:rPr>
          <w:rFonts w:ascii="Book Antiqua" w:hAnsi="Book Antiqua" w:cs="Arial"/>
          <w:noProof/>
          <w:sz w:val="24"/>
          <w:vertAlign w:val="superscript"/>
        </w:rPr>
        <w:t>[</w:t>
      </w:r>
      <w:proofErr w:type="gramEnd"/>
      <w:r w:rsidR="00E811A4" w:rsidRPr="00B00AC1">
        <w:rPr>
          <w:rFonts w:ascii="Book Antiqua" w:hAnsi="Book Antiqua" w:cs="Arial"/>
          <w:noProof/>
          <w:sz w:val="24"/>
          <w:vertAlign w:val="superscript"/>
        </w:rPr>
        <w:t>85]</w:t>
      </w:r>
      <w:r w:rsidR="00F45BC7" w:rsidRPr="00B00AC1">
        <w:rPr>
          <w:rFonts w:ascii="Book Antiqua" w:hAnsi="Book Antiqua" w:cs="Arial"/>
          <w:sz w:val="24"/>
        </w:rPr>
        <w:t>, and can be generated from the human peripheral blood mononuclear cells (PBMC) induced by IFN-</w:t>
      </w:r>
      <w:r w:rsidR="00F45BC7" w:rsidRPr="00B00AC1">
        <w:rPr>
          <w:rFonts w:ascii="Book Antiqua" w:hAnsi="Book Antiqua"/>
          <w:sz w:val="24"/>
        </w:rPr>
        <w:t>γ</w:t>
      </w:r>
      <w:r w:rsidR="00F45BC7" w:rsidRPr="00B00AC1">
        <w:rPr>
          <w:rFonts w:ascii="Book Antiqua" w:hAnsi="Book Antiqua" w:cs="Arial"/>
          <w:sz w:val="24"/>
        </w:rPr>
        <w:t>, anti-CD3 antibody and IL-2</w:t>
      </w:r>
      <w:r>
        <w:rPr>
          <w:rFonts w:ascii="Book Antiqua" w:hAnsi="Book Antiqua" w:cs="Arial"/>
          <w:noProof/>
          <w:sz w:val="24"/>
          <w:vertAlign w:val="superscript"/>
        </w:rPr>
        <w:t>[84,86,</w:t>
      </w:r>
      <w:r w:rsidR="00E811A4" w:rsidRPr="00B00AC1">
        <w:rPr>
          <w:rFonts w:ascii="Book Antiqua" w:hAnsi="Book Antiqua" w:cs="Arial"/>
          <w:noProof/>
          <w:sz w:val="24"/>
          <w:vertAlign w:val="superscript"/>
        </w:rPr>
        <w:t>87]</w:t>
      </w:r>
      <w:r w:rsidR="00F45BC7" w:rsidRPr="00B00AC1">
        <w:rPr>
          <w:rFonts w:ascii="Book Antiqua" w:hAnsi="Book Antiqua" w:cs="Arial"/>
          <w:sz w:val="24"/>
        </w:rPr>
        <w:t>.</w:t>
      </w:r>
    </w:p>
    <w:p w14:paraId="07A008DE" w14:textId="0854657C"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 xml:space="preserve">Compared with other immune cells, CIK cells possess some advantages. Firstly, CIK cells have higher proliferation rate and can be obtained from cancer patients by </w:t>
      </w:r>
      <w:r w:rsidRPr="00B00AC1">
        <w:rPr>
          <w:rFonts w:ascii="Book Antiqua" w:hAnsi="Book Antiqua" w:cs="Arial"/>
          <w:i/>
          <w:sz w:val="24"/>
        </w:rPr>
        <w:t>in vitro</w:t>
      </w:r>
      <w:r w:rsidRPr="00B00AC1">
        <w:rPr>
          <w:rFonts w:ascii="Book Antiqua" w:hAnsi="Book Antiqua" w:cs="Arial"/>
          <w:sz w:val="24"/>
        </w:rPr>
        <w:t xml:space="preserve"> </w:t>
      </w:r>
      <w:proofErr w:type="gramStart"/>
      <w:r w:rsidRPr="00B00AC1">
        <w:rPr>
          <w:rFonts w:ascii="Book Antiqua" w:hAnsi="Book Antiqua" w:cs="Arial"/>
          <w:sz w:val="24"/>
        </w:rPr>
        <w:t>culture</w:t>
      </w:r>
      <w:r w:rsidR="00572E79" w:rsidRPr="00B00AC1">
        <w:rPr>
          <w:rFonts w:ascii="Book Antiqua" w:hAnsi="Book Antiqua" w:cs="Arial"/>
          <w:noProof/>
          <w:sz w:val="24"/>
          <w:vertAlign w:val="superscript"/>
        </w:rPr>
        <w:t>[</w:t>
      </w:r>
      <w:proofErr w:type="gramEnd"/>
      <w:r w:rsidR="00572E79" w:rsidRPr="00B00AC1">
        <w:rPr>
          <w:rFonts w:ascii="Book Antiqua" w:hAnsi="Book Antiqua" w:cs="Arial"/>
          <w:noProof/>
          <w:sz w:val="24"/>
          <w:vertAlign w:val="superscript"/>
        </w:rPr>
        <w:t>88]</w:t>
      </w:r>
      <w:r w:rsidRPr="00B00AC1">
        <w:rPr>
          <w:rFonts w:ascii="Book Antiqua" w:hAnsi="Book Antiqua" w:cs="Arial"/>
          <w:sz w:val="24"/>
        </w:rPr>
        <w:t xml:space="preserve">. Secondly, CIK cells have strong </w:t>
      </w:r>
      <w:bookmarkStart w:id="59" w:name="OLE_LINK2"/>
      <w:r w:rsidRPr="00B00AC1">
        <w:rPr>
          <w:rFonts w:ascii="Book Antiqua" w:hAnsi="Book Antiqua" w:cs="Arial"/>
          <w:sz w:val="24"/>
        </w:rPr>
        <w:t xml:space="preserve">cytolytic </w:t>
      </w:r>
      <w:bookmarkEnd w:id="59"/>
      <w:r w:rsidRPr="00B00AC1">
        <w:rPr>
          <w:rFonts w:ascii="Book Antiqua" w:hAnsi="Book Antiqua" w:cs="Arial"/>
          <w:sz w:val="24"/>
        </w:rPr>
        <w:t xml:space="preserve">activities and cover a broad spectrum of targeted tumors, including those are insusceptible to LAK cells or NK </w:t>
      </w:r>
      <w:proofErr w:type="gramStart"/>
      <w:r w:rsidRPr="00B00AC1">
        <w:rPr>
          <w:rFonts w:ascii="Book Antiqua" w:hAnsi="Book Antiqua" w:cs="Arial"/>
          <w:sz w:val="24"/>
        </w:rPr>
        <w:t>cells</w:t>
      </w:r>
      <w:r w:rsidR="00572E79" w:rsidRPr="00B00AC1">
        <w:rPr>
          <w:rFonts w:ascii="Book Antiqua" w:hAnsi="Book Antiqua" w:cs="Arial"/>
          <w:noProof/>
          <w:sz w:val="24"/>
          <w:vertAlign w:val="superscript"/>
        </w:rPr>
        <w:t>[</w:t>
      </w:r>
      <w:proofErr w:type="gramEnd"/>
      <w:r w:rsidR="00572E79" w:rsidRPr="00B00AC1">
        <w:rPr>
          <w:rFonts w:ascii="Book Antiqua" w:hAnsi="Book Antiqua" w:cs="Arial"/>
          <w:noProof/>
          <w:sz w:val="24"/>
          <w:vertAlign w:val="superscript"/>
        </w:rPr>
        <w:t>89]</w:t>
      </w:r>
      <w:r w:rsidRPr="00B00AC1">
        <w:rPr>
          <w:rFonts w:ascii="Book Antiqua" w:hAnsi="Book Antiqua" w:cs="Arial"/>
          <w:sz w:val="24"/>
        </w:rPr>
        <w:t xml:space="preserve">. Finally, CIK cells show minimal toxicity and do not cause graft-versus-host </w:t>
      </w:r>
      <w:proofErr w:type="gramStart"/>
      <w:r w:rsidRPr="00B00AC1">
        <w:rPr>
          <w:rFonts w:ascii="Book Antiqua" w:hAnsi="Book Antiqua" w:cs="Arial"/>
          <w:sz w:val="24"/>
        </w:rPr>
        <w:t>disease</w:t>
      </w:r>
      <w:r w:rsidR="006E6897">
        <w:rPr>
          <w:rFonts w:ascii="Book Antiqua" w:hAnsi="Book Antiqua" w:cs="Arial"/>
          <w:noProof/>
          <w:sz w:val="24"/>
          <w:vertAlign w:val="superscript"/>
        </w:rPr>
        <w:t>[</w:t>
      </w:r>
      <w:proofErr w:type="gramEnd"/>
      <w:r w:rsidR="006E6897">
        <w:rPr>
          <w:rFonts w:ascii="Book Antiqua" w:hAnsi="Book Antiqua" w:cs="Arial"/>
          <w:noProof/>
          <w:sz w:val="24"/>
          <w:vertAlign w:val="superscript"/>
        </w:rPr>
        <w:t>84,</w:t>
      </w:r>
      <w:r w:rsidR="00572E79" w:rsidRPr="00B00AC1">
        <w:rPr>
          <w:rFonts w:ascii="Book Antiqua" w:hAnsi="Book Antiqua" w:cs="Arial"/>
          <w:noProof/>
          <w:sz w:val="24"/>
          <w:vertAlign w:val="superscript"/>
        </w:rPr>
        <w:t>90]</w:t>
      </w:r>
      <w:r w:rsidRPr="00B00AC1">
        <w:rPr>
          <w:rFonts w:ascii="Book Antiqua" w:hAnsi="Book Antiqua" w:cs="Arial"/>
          <w:sz w:val="24"/>
        </w:rPr>
        <w:t xml:space="preserve">. These merits make CIK cells a </w:t>
      </w:r>
      <w:bookmarkStart w:id="60" w:name="OLE_LINK1"/>
      <w:r w:rsidRPr="00B00AC1">
        <w:rPr>
          <w:rFonts w:ascii="Book Antiqua" w:hAnsi="Book Antiqua" w:cs="Arial"/>
          <w:sz w:val="24"/>
        </w:rPr>
        <w:t xml:space="preserve">preferential </w:t>
      </w:r>
      <w:bookmarkEnd w:id="60"/>
      <w:r w:rsidRPr="00B00AC1">
        <w:rPr>
          <w:rFonts w:ascii="Book Antiqua" w:hAnsi="Book Antiqua" w:cs="Arial"/>
          <w:sz w:val="24"/>
        </w:rPr>
        <w:t xml:space="preserve">adoptive immunotherapy for selected cancer </w:t>
      </w:r>
      <w:proofErr w:type="gramStart"/>
      <w:r w:rsidRPr="00B00AC1">
        <w:rPr>
          <w:rFonts w:ascii="Book Antiqua" w:hAnsi="Book Antiqua" w:cs="Arial"/>
          <w:sz w:val="24"/>
        </w:rPr>
        <w:t>patients</w:t>
      </w:r>
      <w:r w:rsidR="00572E79" w:rsidRPr="00B00AC1">
        <w:rPr>
          <w:rFonts w:ascii="Book Antiqua" w:hAnsi="Book Antiqua" w:cs="Arial"/>
          <w:noProof/>
          <w:sz w:val="24"/>
          <w:vertAlign w:val="superscript"/>
        </w:rPr>
        <w:t>[</w:t>
      </w:r>
      <w:proofErr w:type="gramEnd"/>
      <w:r w:rsidR="00572E79" w:rsidRPr="00B00AC1">
        <w:rPr>
          <w:rFonts w:ascii="Book Antiqua" w:hAnsi="Book Antiqua" w:cs="Arial"/>
          <w:noProof/>
          <w:sz w:val="24"/>
          <w:vertAlign w:val="superscript"/>
        </w:rPr>
        <w:t>91]</w:t>
      </w:r>
      <w:r w:rsidRPr="00B00AC1">
        <w:rPr>
          <w:rFonts w:ascii="Book Antiqua" w:hAnsi="Book Antiqua" w:cs="Arial"/>
          <w:sz w:val="24"/>
        </w:rPr>
        <w:t>.</w:t>
      </w:r>
    </w:p>
    <w:p w14:paraId="2180E3B9" w14:textId="14F1927A" w:rsidR="00F45BC7" w:rsidRPr="00B00AC1" w:rsidRDefault="00BB2799" w:rsidP="006E6897">
      <w:pPr>
        <w:spacing w:line="360" w:lineRule="auto"/>
        <w:ind w:firstLineChars="100" w:firstLine="240"/>
        <w:rPr>
          <w:rFonts w:ascii="Book Antiqua" w:hAnsi="Book Antiqua" w:cs="Arial"/>
          <w:sz w:val="24"/>
        </w:rPr>
      </w:pPr>
      <w:r w:rsidRPr="00B00AC1">
        <w:rPr>
          <w:rFonts w:ascii="Book Antiqua" w:hAnsi="Book Antiqua" w:cs="Arial"/>
          <w:sz w:val="24"/>
        </w:rPr>
        <w:t>Recently</w:t>
      </w:r>
      <w:r w:rsidR="00F45BC7" w:rsidRPr="00B00AC1">
        <w:rPr>
          <w:rFonts w:ascii="Book Antiqua" w:hAnsi="Book Antiqua" w:cs="Arial"/>
          <w:sz w:val="24"/>
        </w:rPr>
        <w:t xml:space="preserve">, </w:t>
      </w:r>
      <w:r w:rsidRPr="00B00AC1">
        <w:rPr>
          <w:rFonts w:ascii="Book Antiqua" w:hAnsi="Book Antiqua" w:cs="Arial"/>
          <w:sz w:val="24"/>
        </w:rPr>
        <w:t>escalating proofs</w:t>
      </w:r>
      <w:r w:rsidR="00F45BC7" w:rsidRPr="00B00AC1">
        <w:rPr>
          <w:rFonts w:ascii="Book Antiqua" w:hAnsi="Book Antiqua" w:cs="Arial"/>
          <w:sz w:val="24"/>
        </w:rPr>
        <w:t xml:space="preserve"> from clinical trials demonstrated that CIK cells adoptive transfer </w:t>
      </w:r>
      <w:r w:rsidR="004C7D35" w:rsidRPr="00B00AC1">
        <w:rPr>
          <w:rFonts w:ascii="Book Antiqua" w:hAnsi="Book Antiqua" w:cs="Arial"/>
          <w:sz w:val="24"/>
        </w:rPr>
        <w:t xml:space="preserve">demonstrated </w:t>
      </w:r>
      <w:r w:rsidR="00F45BC7" w:rsidRPr="00B00AC1">
        <w:rPr>
          <w:rFonts w:ascii="Book Antiqua" w:hAnsi="Book Antiqua" w:cs="Arial"/>
          <w:sz w:val="24"/>
        </w:rPr>
        <w:t xml:space="preserve">a </w:t>
      </w:r>
      <w:r w:rsidR="004C7D35" w:rsidRPr="00B00AC1">
        <w:rPr>
          <w:rFonts w:ascii="Book Antiqua" w:hAnsi="Book Antiqua" w:cs="Arial"/>
          <w:sz w:val="24"/>
        </w:rPr>
        <w:t xml:space="preserve">substantial </w:t>
      </w:r>
      <w:r w:rsidR="00F45BC7" w:rsidRPr="00B00AC1">
        <w:rPr>
          <w:rFonts w:ascii="Book Antiqua" w:hAnsi="Book Antiqua" w:cs="Arial"/>
          <w:sz w:val="24"/>
        </w:rPr>
        <w:t xml:space="preserve">anti-tumor effect in patients with solid tumors and hematological </w:t>
      </w:r>
      <w:proofErr w:type="gramStart"/>
      <w:r w:rsidR="00F45BC7" w:rsidRPr="00B00AC1">
        <w:rPr>
          <w:rFonts w:ascii="Book Antiqua" w:hAnsi="Book Antiqua" w:cs="Arial"/>
          <w:sz w:val="24"/>
        </w:rPr>
        <w:t>malignancies</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92-94]</w:t>
      </w:r>
      <w:r w:rsidR="00F45BC7" w:rsidRPr="00B00AC1">
        <w:rPr>
          <w:rFonts w:ascii="Book Antiqua" w:hAnsi="Book Antiqua" w:cs="Arial"/>
          <w:sz w:val="24"/>
        </w:rPr>
        <w:t xml:space="preserve">. Some reports showed that CIK adjuvant immunotherapy significantly improved the outcomes of HCC </w:t>
      </w:r>
      <w:proofErr w:type="gramStart"/>
      <w:r w:rsidR="00F45BC7" w:rsidRPr="00B00AC1">
        <w:rPr>
          <w:rFonts w:ascii="Book Antiqua" w:hAnsi="Book Antiqua" w:cs="Arial"/>
          <w:sz w:val="24"/>
        </w:rPr>
        <w:t>patients</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95-101]</w:t>
      </w:r>
      <w:r w:rsidR="00F45BC7" w:rsidRPr="00B00AC1">
        <w:rPr>
          <w:rFonts w:ascii="Book Antiqua" w:hAnsi="Book Antiqua" w:cs="Arial"/>
          <w:sz w:val="24"/>
        </w:rPr>
        <w:t>. In these studies, CIK cells transfusion reduced the relapse rate of HCC in patients after TACE and RFA therapy, and prolo</w:t>
      </w:r>
      <w:r w:rsidR="006E6897">
        <w:rPr>
          <w:rFonts w:ascii="Book Antiqua" w:hAnsi="Book Antiqua" w:cs="Arial"/>
          <w:sz w:val="24"/>
        </w:rPr>
        <w:t>nged the disease-free survival</w:t>
      </w:r>
      <w:r w:rsidR="00F45BC7" w:rsidRPr="00B00AC1">
        <w:rPr>
          <w:rFonts w:ascii="Book Antiqua" w:hAnsi="Book Antiqua" w:cs="Arial"/>
          <w:sz w:val="24"/>
        </w:rPr>
        <w:t xml:space="preserve"> and OS for HCC patients after radically resection or TACE. A meta-analysis including 13 RCTs evaluated the efficacy of CIK immunotherapy in the treatment of HCC, and revealed a significant superiority in prolonging the OS</w:t>
      </w:r>
      <w:r w:rsidR="006E6897">
        <w:rPr>
          <w:rFonts w:ascii="Book Antiqua" w:hAnsi="Book Antiqua" w:cs="Arial"/>
          <w:sz w:val="24"/>
        </w:rPr>
        <w:t xml:space="preserve"> and progressive-free survival</w:t>
      </w:r>
      <w:r w:rsidR="00F45BC7" w:rsidRPr="00B00AC1">
        <w:rPr>
          <w:rFonts w:ascii="Book Antiqua" w:hAnsi="Book Antiqua" w:cs="Arial"/>
          <w:sz w:val="24"/>
        </w:rPr>
        <w:t xml:space="preserve"> of </w:t>
      </w:r>
      <w:proofErr w:type="gramStart"/>
      <w:r w:rsidR="00F45BC7" w:rsidRPr="00B00AC1">
        <w:rPr>
          <w:rFonts w:ascii="Book Antiqua" w:hAnsi="Book Antiqua" w:cs="Arial"/>
          <w:sz w:val="24"/>
        </w:rPr>
        <w:t>patients</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102]</w:t>
      </w:r>
      <w:r w:rsidR="00F45BC7" w:rsidRPr="00B00AC1">
        <w:rPr>
          <w:rFonts w:ascii="Book Antiqua" w:hAnsi="Book Antiqua" w:cs="Arial"/>
          <w:sz w:val="24"/>
        </w:rPr>
        <w:t xml:space="preserve">. Recently, another meta-analysis assessed the efficacy of CIK therapy after TACE or TACE plus RFA, showing that CIK therapy combined with TACE plus RFA treatment was associated with higher 1-year RFS rate and 1-, 2-year OS </w:t>
      </w:r>
      <w:proofErr w:type="gramStart"/>
      <w:r w:rsidR="00F45BC7" w:rsidRPr="00B00AC1">
        <w:rPr>
          <w:rFonts w:ascii="Book Antiqua" w:hAnsi="Book Antiqua" w:cs="Arial"/>
          <w:sz w:val="24"/>
        </w:rPr>
        <w:t>rates</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103]</w:t>
      </w:r>
      <w:r w:rsidR="00F45BC7" w:rsidRPr="00B00AC1">
        <w:rPr>
          <w:rFonts w:ascii="Book Antiqua" w:hAnsi="Book Antiqua" w:cs="Arial"/>
          <w:sz w:val="24"/>
        </w:rPr>
        <w:t>. However, due to limited number of patients in this field, the efficacy of CIK immunotherapy for HCC is still not convincible.</w:t>
      </w:r>
    </w:p>
    <w:p w14:paraId="68ACF716" w14:textId="56F3CBCD" w:rsidR="00F45BC7" w:rsidRPr="00B00AC1" w:rsidRDefault="00F45BC7" w:rsidP="006E6897">
      <w:pPr>
        <w:spacing w:line="360" w:lineRule="auto"/>
        <w:ind w:firstLineChars="100" w:firstLine="240"/>
        <w:rPr>
          <w:rFonts w:ascii="Book Antiqua" w:hAnsi="Book Antiqua" w:cs="Arial"/>
          <w:sz w:val="24"/>
        </w:rPr>
      </w:pPr>
      <w:r w:rsidRPr="00B00AC1">
        <w:rPr>
          <w:rFonts w:ascii="Book Antiqua" w:hAnsi="Book Antiqua" w:cs="Arial"/>
          <w:sz w:val="24"/>
        </w:rPr>
        <w:t>CIK cells represent a</w:t>
      </w:r>
      <w:r w:rsidR="00024F44" w:rsidRPr="00B00AC1">
        <w:rPr>
          <w:rFonts w:ascii="Book Antiqua" w:hAnsi="Book Antiqua" w:cs="Arial"/>
          <w:sz w:val="24"/>
        </w:rPr>
        <w:t>n</w:t>
      </w:r>
      <w:r w:rsidRPr="00B00AC1">
        <w:rPr>
          <w:rFonts w:ascii="Book Antiqua" w:hAnsi="Book Antiqua" w:cs="Arial"/>
          <w:sz w:val="24"/>
        </w:rPr>
        <w:t xml:space="preserve"> </w:t>
      </w:r>
      <w:r w:rsidR="002A020E" w:rsidRPr="00B00AC1">
        <w:rPr>
          <w:rFonts w:ascii="Book Antiqua" w:hAnsi="Book Antiqua" w:cs="Arial"/>
          <w:sz w:val="24"/>
        </w:rPr>
        <w:t xml:space="preserve">encouraging </w:t>
      </w:r>
      <w:r w:rsidRPr="00B00AC1">
        <w:rPr>
          <w:rFonts w:ascii="Book Antiqua" w:hAnsi="Book Antiqua" w:cs="Arial"/>
          <w:sz w:val="24"/>
        </w:rPr>
        <w:t xml:space="preserve">tool </w:t>
      </w:r>
      <w:r w:rsidR="00281DEF" w:rsidRPr="00B00AC1">
        <w:rPr>
          <w:rFonts w:ascii="Book Antiqua" w:hAnsi="Book Antiqua" w:cs="Arial"/>
          <w:sz w:val="24"/>
        </w:rPr>
        <w:t>with</w:t>
      </w:r>
      <w:r w:rsidRPr="00B00AC1">
        <w:rPr>
          <w:rFonts w:ascii="Book Antiqua" w:hAnsi="Book Antiqua" w:cs="Arial"/>
          <w:sz w:val="24"/>
        </w:rPr>
        <w:t xml:space="preserve">in the cancer adoptive immunotherapy, but more basic researches and clinical trials with high quality are urgently </w:t>
      </w:r>
      <w:r w:rsidR="00281DEF" w:rsidRPr="00B00AC1">
        <w:rPr>
          <w:rFonts w:ascii="Book Antiqua" w:hAnsi="Book Antiqua" w:cs="Arial"/>
          <w:sz w:val="24"/>
        </w:rPr>
        <w:t>desired</w:t>
      </w:r>
      <w:r w:rsidRPr="00B00AC1">
        <w:rPr>
          <w:rFonts w:ascii="Book Antiqua" w:hAnsi="Book Antiqua" w:cs="Arial"/>
          <w:sz w:val="24"/>
        </w:rPr>
        <w:t>.</w:t>
      </w:r>
      <w:r w:rsidR="007C508C" w:rsidRPr="00B00AC1">
        <w:rPr>
          <w:rFonts w:ascii="Book Antiqua" w:hAnsi="Book Antiqua" w:cs="Arial"/>
          <w:sz w:val="24"/>
        </w:rPr>
        <w:t xml:space="preserve"> T</w:t>
      </w:r>
      <w:r w:rsidRPr="00B00AC1">
        <w:rPr>
          <w:rFonts w:ascii="Book Antiqua" w:hAnsi="Book Antiqua" w:cs="Arial"/>
          <w:sz w:val="24"/>
        </w:rPr>
        <w:t xml:space="preserve">o date, </w:t>
      </w:r>
      <w:r w:rsidR="00330286" w:rsidRPr="00B00AC1">
        <w:rPr>
          <w:rFonts w:ascii="Book Antiqua" w:hAnsi="Book Antiqua" w:cs="Arial"/>
          <w:sz w:val="24"/>
        </w:rPr>
        <w:t>we have witnessed</w:t>
      </w:r>
      <w:r w:rsidRPr="00B00AC1">
        <w:rPr>
          <w:rFonts w:ascii="Book Antiqua" w:hAnsi="Book Antiqua" w:cs="Arial"/>
          <w:sz w:val="24"/>
        </w:rPr>
        <w:t xml:space="preserve"> at least four registered clinical trials regarding CIK therapy for HCC ongoing (</w:t>
      </w:r>
      <w:r w:rsidRPr="006E6897">
        <w:rPr>
          <w:rFonts w:ascii="Book Antiqua" w:hAnsi="Book Antiqua" w:cs="Arial"/>
          <w:sz w:val="24"/>
        </w:rPr>
        <w:t>Table 3</w:t>
      </w:r>
      <w:r w:rsidRPr="00B00AC1">
        <w:rPr>
          <w:rFonts w:ascii="Book Antiqua" w:hAnsi="Book Antiqua" w:cs="Arial"/>
          <w:sz w:val="24"/>
        </w:rPr>
        <w:t>).</w:t>
      </w:r>
    </w:p>
    <w:p w14:paraId="45FF01F9" w14:textId="77777777" w:rsidR="006E6897" w:rsidRDefault="006E6897" w:rsidP="00B00AC1">
      <w:pPr>
        <w:spacing w:line="360" w:lineRule="auto"/>
        <w:rPr>
          <w:rFonts w:ascii="Book Antiqua" w:hAnsi="Book Antiqua" w:cs="Arial"/>
          <w:sz w:val="24"/>
        </w:rPr>
      </w:pPr>
    </w:p>
    <w:p w14:paraId="4E9000C0" w14:textId="128CFE28" w:rsidR="00F45BC7" w:rsidRPr="006E6897" w:rsidRDefault="00F45BC7" w:rsidP="00B00AC1">
      <w:pPr>
        <w:spacing w:line="360" w:lineRule="auto"/>
        <w:rPr>
          <w:rFonts w:ascii="Book Antiqua" w:hAnsi="Book Antiqua" w:cs="Arial"/>
          <w:b/>
          <w:i/>
          <w:sz w:val="24"/>
        </w:rPr>
      </w:pPr>
      <w:r w:rsidRPr="006E6897">
        <w:rPr>
          <w:rFonts w:ascii="Book Antiqua" w:hAnsi="Book Antiqua" w:cs="Arial"/>
          <w:b/>
          <w:i/>
          <w:sz w:val="24"/>
        </w:rPr>
        <w:t>Natural killer cell</w:t>
      </w:r>
    </w:p>
    <w:p w14:paraId="0579A5F6" w14:textId="21E23AB0" w:rsidR="00F45BC7" w:rsidRPr="00B00AC1" w:rsidRDefault="006E6897" w:rsidP="00B00AC1">
      <w:pPr>
        <w:spacing w:line="360" w:lineRule="auto"/>
        <w:rPr>
          <w:rFonts w:ascii="Book Antiqua" w:hAnsi="Book Antiqua" w:cs="Arial"/>
          <w:sz w:val="24"/>
        </w:rPr>
      </w:pPr>
      <w:r w:rsidRPr="00B00AC1">
        <w:rPr>
          <w:rFonts w:ascii="Book Antiqua" w:hAnsi="Book Antiqua" w:cs="Arial"/>
          <w:sz w:val="24"/>
        </w:rPr>
        <w:t xml:space="preserve">Natural killer </w:t>
      </w:r>
      <w:r>
        <w:rPr>
          <w:rFonts w:ascii="Book Antiqua" w:hAnsi="Book Antiqua" w:cs="Arial" w:hint="eastAsia"/>
          <w:sz w:val="24"/>
        </w:rPr>
        <w:t>(</w:t>
      </w:r>
      <w:r w:rsidR="00F45BC7" w:rsidRPr="00B00AC1">
        <w:rPr>
          <w:rFonts w:ascii="Book Antiqua" w:hAnsi="Book Antiqua" w:cs="Arial"/>
          <w:sz w:val="24"/>
        </w:rPr>
        <w:t>NK</w:t>
      </w:r>
      <w:r>
        <w:rPr>
          <w:rFonts w:ascii="Book Antiqua" w:hAnsi="Book Antiqua" w:cs="Arial" w:hint="eastAsia"/>
          <w:sz w:val="24"/>
        </w:rPr>
        <w:t>)</w:t>
      </w:r>
      <w:r w:rsidR="00F45BC7" w:rsidRPr="00B00AC1">
        <w:rPr>
          <w:rFonts w:ascii="Book Antiqua" w:hAnsi="Book Antiqua" w:cs="Arial"/>
          <w:sz w:val="24"/>
        </w:rPr>
        <w:t xml:space="preserve"> cells, which belong to innate immune system, predominantly reside in the liver and play a critical role in the host defense against </w:t>
      </w:r>
      <w:proofErr w:type="gramStart"/>
      <w:r w:rsidR="00F45BC7" w:rsidRPr="00B00AC1">
        <w:rPr>
          <w:rFonts w:ascii="Book Antiqua" w:hAnsi="Book Antiqua" w:cs="Arial"/>
          <w:sz w:val="24"/>
        </w:rPr>
        <w:t>tumorigenesis</w:t>
      </w:r>
      <w:r>
        <w:rPr>
          <w:rFonts w:ascii="Book Antiqua" w:hAnsi="Book Antiqua" w:cs="Arial"/>
          <w:noProof/>
          <w:sz w:val="24"/>
          <w:vertAlign w:val="superscript"/>
        </w:rPr>
        <w:t>[</w:t>
      </w:r>
      <w:proofErr w:type="gramEnd"/>
      <w:r>
        <w:rPr>
          <w:rFonts w:ascii="Book Antiqua" w:hAnsi="Book Antiqua" w:cs="Arial"/>
          <w:noProof/>
          <w:sz w:val="24"/>
          <w:vertAlign w:val="superscript"/>
        </w:rPr>
        <w:t>104,</w:t>
      </w:r>
      <w:r w:rsidR="00024F44" w:rsidRPr="00B00AC1">
        <w:rPr>
          <w:rFonts w:ascii="Book Antiqua" w:hAnsi="Book Antiqua" w:cs="Arial"/>
          <w:noProof/>
          <w:sz w:val="24"/>
          <w:vertAlign w:val="superscript"/>
        </w:rPr>
        <w:t>105]</w:t>
      </w:r>
      <w:r w:rsidR="00F45BC7" w:rsidRPr="00B00AC1">
        <w:rPr>
          <w:rFonts w:ascii="Book Antiqua" w:hAnsi="Book Antiqua" w:cs="Arial"/>
          <w:sz w:val="24"/>
        </w:rPr>
        <w:t xml:space="preserve">. The carcinogenesis is under close surveillance of NK cells and other members of immune system. In addition to the capability of killing tumor cells directly, NK cells are able to release immunomodulatory cytokines which can activate leukocytes of both innate and adaptive immune </w:t>
      </w:r>
      <w:proofErr w:type="gramStart"/>
      <w:r w:rsidR="00F45BC7" w:rsidRPr="00B00AC1">
        <w:rPr>
          <w:rFonts w:ascii="Book Antiqua" w:hAnsi="Book Antiqua" w:cs="Arial"/>
          <w:sz w:val="24"/>
        </w:rPr>
        <w:t>system</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105]</w:t>
      </w:r>
      <w:r w:rsidR="00F45BC7" w:rsidRPr="00B00AC1">
        <w:rPr>
          <w:rFonts w:ascii="Book Antiqua" w:hAnsi="Book Antiqua" w:cs="Arial"/>
          <w:sz w:val="24"/>
        </w:rPr>
        <w:t xml:space="preserve">. Unfortunately, cytotoxicity of NK cells was significantly inhibited in patients with advanced </w:t>
      </w:r>
      <w:proofErr w:type="gramStart"/>
      <w:r w:rsidR="00F45BC7" w:rsidRPr="00B00AC1">
        <w:rPr>
          <w:rFonts w:ascii="Book Antiqua" w:hAnsi="Book Antiqua" w:cs="Arial"/>
          <w:sz w:val="24"/>
        </w:rPr>
        <w:t>HCC</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104]</w:t>
      </w:r>
      <w:r w:rsidR="00F45BC7" w:rsidRPr="00B00AC1">
        <w:rPr>
          <w:rFonts w:ascii="Book Antiqua" w:hAnsi="Book Antiqua" w:cs="Arial"/>
          <w:sz w:val="24"/>
        </w:rPr>
        <w:t xml:space="preserve">. In line with this, NK cells derived from the HCC patients displayed a reduced cytotoxicity against HCC cell lines after stimulation with IL-2 </w:t>
      </w:r>
      <w:r w:rsidR="00F45BC7" w:rsidRPr="00B00AC1">
        <w:rPr>
          <w:rFonts w:ascii="Book Antiqua" w:hAnsi="Book Antiqua" w:cs="Arial"/>
          <w:i/>
          <w:sz w:val="24"/>
        </w:rPr>
        <w:t xml:space="preserve">in </w:t>
      </w:r>
      <w:proofErr w:type="gramStart"/>
      <w:r w:rsidR="00F45BC7" w:rsidRPr="00B00AC1">
        <w:rPr>
          <w:rFonts w:ascii="Book Antiqua" w:hAnsi="Book Antiqua" w:cs="Arial"/>
          <w:i/>
          <w:sz w:val="24"/>
        </w:rPr>
        <w:t>vivo</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106]</w:t>
      </w:r>
      <w:r w:rsidR="00F45BC7" w:rsidRPr="00B00AC1">
        <w:rPr>
          <w:rFonts w:ascii="Book Antiqua" w:hAnsi="Book Antiqua" w:cs="Arial"/>
          <w:sz w:val="24"/>
        </w:rPr>
        <w:t>. The authors suggested that functional defects of NK cells might be responsible for the failure of anti-tumor immune responses. The NK cells from HCC patients were also impaired in their IFN-</w:t>
      </w:r>
      <w:r w:rsidR="00F45BC7" w:rsidRPr="00B00AC1">
        <w:rPr>
          <w:rFonts w:ascii="Book Antiqua" w:hAnsi="Book Antiqua"/>
          <w:sz w:val="24"/>
        </w:rPr>
        <w:t>γ</w:t>
      </w:r>
      <w:r w:rsidR="00F45BC7" w:rsidRPr="00B00AC1">
        <w:rPr>
          <w:rFonts w:ascii="Book Antiqua" w:hAnsi="Book Antiqua" w:cs="Arial"/>
          <w:sz w:val="24"/>
        </w:rPr>
        <w:t xml:space="preserve"> production and cytotoxicity, and this functional impairment was found to be associated with increased </w:t>
      </w:r>
      <w:proofErr w:type="gramStart"/>
      <w:r w:rsidR="00F45BC7" w:rsidRPr="00B00AC1">
        <w:rPr>
          <w:rFonts w:ascii="Book Antiqua" w:hAnsi="Book Antiqua" w:cs="Arial"/>
          <w:sz w:val="24"/>
        </w:rPr>
        <w:t>Tregs</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107]</w:t>
      </w:r>
      <w:r w:rsidR="00F45BC7" w:rsidRPr="00B00AC1">
        <w:rPr>
          <w:rFonts w:ascii="Book Antiqua" w:hAnsi="Book Antiqua" w:cs="Arial"/>
          <w:sz w:val="24"/>
        </w:rPr>
        <w:t xml:space="preserve">. Meanwhile, myeloid-derived suppressor cells inhibited NK cell cytotoxicity and cytokine </w:t>
      </w:r>
      <w:proofErr w:type="gramStart"/>
      <w:r w:rsidR="00F45BC7" w:rsidRPr="00B00AC1">
        <w:rPr>
          <w:rFonts w:ascii="Book Antiqua" w:hAnsi="Book Antiqua" w:cs="Arial"/>
          <w:sz w:val="24"/>
        </w:rPr>
        <w:t>secretion</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108]</w:t>
      </w:r>
      <w:r w:rsidR="00F45BC7" w:rsidRPr="00B00AC1">
        <w:rPr>
          <w:rFonts w:ascii="Book Antiqua" w:hAnsi="Book Antiqua" w:cs="Arial"/>
          <w:sz w:val="24"/>
        </w:rPr>
        <w:t xml:space="preserve">. These evidences suggested that HCC patients could be benefited from reactivation of NK cells. In a mouse model, administration of IL-12 and IL-18 increased NK cells in the liver, and resulted in reduction of intrahepatic tumor </w:t>
      </w:r>
      <w:proofErr w:type="gramStart"/>
      <w:r w:rsidR="00F45BC7" w:rsidRPr="00B00AC1">
        <w:rPr>
          <w:rFonts w:ascii="Book Antiqua" w:hAnsi="Book Antiqua" w:cs="Arial"/>
          <w:sz w:val="24"/>
        </w:rPr>
        <w:t>nodules</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109]</w:t>
      </w:r>
      <w:r w:rsidR="00F45BC7" w:rsidRPr="00B00AC1">
        <w:rPr>
          <w:rFonts w:ascii="Book Antiqua" w:hAnsi="Book Antiqua" w:cs="Arial"/>
          <w:sz w:val="24"/>
        </w:rPr>
        <w:t xml:space="preserve">. Similar </w:t>
      </w:r>
      <w:r w:rsidR="00251566" w:rsidRPr="00B00AC1">
        <w:rPr>
          <w:rFonts w:ascii="Book Antiqua" w:hAnsi="Book Antiqua" w:cs="Arial"/>
          <w:sz w:val="24"/>
        </w:rPr>
        <w:t xml:space="preserve">outcome </w:t>
      </w:r>
      <w:r w:rsidR="00F45BC7" w:rsidRPr="00B00AC1">
        <w:rPr>
          <w:rFonts w:ascii="Book Antiqua" w:hAnsi="Book Antiqua" w:cs="Arial"/>
          <w:sz w:val="24"/>
        </w:rPr>
        <w:t>w</w:t>
      </w:r>
      <w:r w:rsidR="00251566" w:rsidRPr="00B00AC1">
        <w:rPr>
          <w:rFonts w:ascii="Book Antiqua" w:hAnsi="Book Antiqua" w:cs="Arial"/>
          <w:sz w:val="24"/>
        </w:rPr>
        <w:t>as</w:t>
      </w:r>
      <w:r w:rsidR="00F45BC7" w:rsidRPr="00B00AC1">
        <w:rPr>
          <w:rFonts w:ascii="Book Antiqua" w:hAnsi="Book Antiqua" w:cs="Arial"/>
          <w:sz w:val="24"/>
        </w:rPr>
        <w:t xml:space="preserve"> </w:t>
      </w:r>
      <w:r w:rsidR="00251566" w:rsidRPr="00B00AC1">
        <w:rPr>
          <w:rFonts w:ascii="Book Antiqua" w:hAnsi="Book Antiqua" w:cs="Arial"/>
          <w:sz w:val="24"/>
        </w:rPr>
        <w:t xml:space="preserve">obtained </w:t>
      </w:r>
      <w:r w:rsidR="00F45BC7" w:rsidRPr="00B00AC1">
        <w:rPr>
          <w:rFonts w:ascii="Book Antiqua" w:hAnsi="Book Antiqua" w:cs="Arial"/>
          <w:sz w:val="24"/>
        </w:rPr>
        <w:t xml:space="preserve">in </w:t>
      </w:r>
      <w:r w:rsidR="00251566" w:rsidRPr="00B00AC1">
        <w:rPr>
          <w:rFonts w:ascii="Book Antiqua" w:hAnsi="Book Antiqua" w:cs="Arial"/>
          <w:sz w:val="24"/>
        </w:rPr>
        <w:t xml:space="preserve">an additional </w:t>
      </w:r>
      <w:r w:rsidR="00F45BC7" w:rsidRPr="00B00AC1">
        <w:rPr>
          <w:rFonts w:ascii="Book Antiqua" w:hAnsi="Book Antiqua" w:cs="Arial"/>
          <w:sz w:val="24"/>
        </w:rPr>
        <w:t xml:space="preserve">research, which </w:t>
      </w:r>
      <w:r w:rsidR="00251566" w:rsidRPr="00B00AC1">
        <w:rPr>
          <w:rFonts w:ascii="Book Antiqua" w:hAnsi="Book Antiqua" w:cs="Arial"/>
          <w:sz w:val="24"/>
        </w:rPr>
        <w:t xml:space="preserve">established </w:t>
      </w:r>
      <w:r w:rsidR="00F45BC7" w:rsidRPr="00B00AC1">
        <w:rPr>
          <w:rFonts w:ascii="Book Antiqua" w:hAnsi="Book Antiqua" w:cs="Arial"/>
          <w:sz w:val="24"/>
        </w:rPr>
        <w:t xml:space="preserve">that activation of NK cells increased survival in a xenograft mouse </w:t>
      </w:r>
      <w:proofErr w:type="gramStart"/>
      <w:r w:rsidR="00F45BC7" w:rsidRPr="00B00AC1">
        <w:rPr>
          <w:rFonts w:ascii="Book Antiqua" w:hAnsi="Book Antiqua" w:cs="Arial"/>
          <w:sz w:val="24"/>
        </w:rPr>
        <w:t>model</w:t>
      </w:r>
      <w:r w:rsidR="00024F44" w:rsidRPr="00B00AC1">
        <w:rPr>
          <w:rFonts w:ascii="Book Antiqua" w:hAnsi="Book Antiqua" w:cs="Arial"/>
          <w:noProof/>
          <w:sz w:val="24"/>
          <w:vertAlign w:val="superscript"/>
        </w:rPr>
        <w:t>[</w:t>
      </w:r>
      <w:proofErr w:type="gramEnd"/>
      <w:r w:rsidR="00024F44" w:rsidRPr="00B00AC1">
        <w:rPr>
          <w:rFonts w:ascii="Book Antiqua" w:hAnsi="Book Antiqua" w:cs="Arial"/>
          <w:noProof/>
          <w:sz w:val="24"/>
          <w:vertAlign w:val="superscript"/>
        </w:rPr>
        <w:t>110]</w:t>
      </w:r>
      <w:r w:rsidR="00F45BC7" w:rsidRPr="00B00AC1">
        <w:rPr>
          <w:rFonts w:ascii="Book Antiqua" w:hAnsi="Book Antiqua" w:cs="Arial"/>
          <w:sz w:val="24"/>
        </w:rPr>
        <w:t xml:space="preserve">. Thus the approach of enhancing function of NK cells could </w:t>
      </w:r>
      <w:r w:rsidR="000D73B6" w:rsidRPr="00B00AC1">
        <w:rPr>
          <w:rFonts w:ascii="Book Antiqua" w:hAnsi="Book Antiqua" w:cs="Arial"/>
          <w:sz w:val="24"/>
        </w:rPr>
        <w:t xml:space="preserve">possibly </w:t>
      </w:r>
      <w:r w:rsidR="00F45BC7" w:rsidRPr="00B00AC1">
        <w:rPr>
          <w:rFonts w:ascii="Book Antiqua" w:hAnsi="Book Antiqua" w:cs="Arial"/>
          <w:sz w:val="24"/>
        </w:rPr>
        <w:t xml:space="preserve">be </w:t>
      </w:r>
      <w:r w:rsidR="000D73B6" w:rsidRPr="00B00AC1">
        <w:rPr>
          <w:rFonts w:ascii="Book Antiqua" w:hAnsi="Book Antiqua" w:cs="Arial"/>
          <w:sz w:val="24"/>
        </w:rPr>
        <w:t>accomplished at</w:t>
      </w:r>
      <w:r w:rsidR="00F45BC7" w:rsidRPr="00B00AC1">
        <w:rPr>
          <w:rFonts w:ascii="Book Antiqua" w:hAnsi="Book Antiqua" w:cs="Arial"/>
          <w:sz w:val="24"/>
        </w:rPr>
        <w:t xml:space="preserve"> human HCC treatment. Although many solid evidences </w:t>
      </w:r>
      <w:r w:rsidR="000D73B6" w:rsidRPr="00B00AC1">
        <w:rPr>
          <w:rFonts w:ascii="Book Antiqua" w:hAnsi="Book Antiqua" w:cs="Arial"/>
          <w:sz w:val="24"/>
        </w:rPr>
        <w:t>turned out</w:t>
      </w:r>
      <w:r w:rsidR="00F45BC7" w:rsidRPr="00B00AC1">
        <w:rPr>
          <w:rFonts w:ascii="Book Antiqua" w:hAnsi="Book Antiqua" w:cs="Arial"/>
          <w:sz w:val="24"/>
        </w:rPr>
        <w:t xml:space="preserve"> the role of NK cells in anti-tumor reaction, there </w:t>
      </w:r>
      <w:r w:rsidR="000D73B6" w:rsidRPr="00B00AC1">
        <w:rPr>
          <w:rFonts w:ascii="Book Antiqua" w:hAnsi="Book Antiqua" w:cs="Arial"/>
          <w:sz w:val="24"/>
        </w:rPr>
        <w:t>are, however,</w:t>
      </w:r>
      <w:r w:rsidR="00F45BC7" w:rsidRPr="00B00AC1">
        <w:rPr>
          <w:rFonts w:ascii="Book Antiqua" w:hAnsi="Book Antiqua" w:cs="Arial"/>
          <w:sz w:val="24"/>
        </w:rPr>
        <w:t xml:space="preserve"> </w:t>
      </w:r>
      <w:r w:rsidR="000D73B6" w:rsidRPr="00B00AC1">
        <w:rPr>
          <w:rFonts w:ascii="Book Antiqua" w:hAnsi="Book Antiqua" w:cs="Arial"/>
          <w:sz w:val="24"/>
        </w:rPr>
        <w:t>insufficient</w:t>
      </w:r>
      <w:r w:rsidR="00F45BC7" w:rsidRPr="00B00AC1">
        <w:rPr>
          <w:rFonts w:ascii="Book Antiqua" w:hAnsi="Book Antiqua" w:cs="Arial"/>
          <w:sz w:val="24"/>
        </w:rPr>
        <w:t xml:space="preserve"> clinical </w:t>
      </w:r>
      <w:r w:rsidR="000D73B6" w:rsidRPr="00B00AC1">
        <w:rPr>
          <w:rFonts w:ascii="Book Antiqua" w:hAnsi="Book Antiqua" w:cs="Arial"/>
          <w:sz w:val="24"/>
        </w:rPr>
        <w:t>studies</w:t>
      </w:r>
      <w:r w:rsidR="00F45BC7" w:rsidRPr="00B00AC1">
        <w:rPr>
          <w:rFonts w:ascii="Book Antiqua" w:hAnsi="Book Antiqua" w:cs="Arial"/>
          <w:sz w:val="24"/>
        </w:rPr>
        <w:t xml:space="preserve"> to corroborate the efficacy of NK cell immunotherapy in HCC. Recently, a study </w:t>
      </w:r>
      <w:r w:rsidR="000D73B6" w:rsidRPr="00B00AC1">
        <w:rPr>
          <w:rFonts w:ascii="Book Antiqua" w:hAnsi="Book Antiqua" w:cs="Arial"/>
          <w:sz w:val="24"/>
        </w:rPr>
        <w:t>has demonstrated</w:t>
      </w:r>
      <w:r w:rsidR="00F45BC7" w:rsidRPr="00B00AC1">
        <w:rPr>
          <w:rFonts w:ascii="Book Antiqua" w:hAnsi="Book Antiqua" w:cs="Arial"/>
          <w:sz w:val="24"/>
        </w:rPr>
        <w:t xml:space="preserve"> that RFA could activate the peripheral blood circulating NK cells in HCC </w:t>
      </w:r>
      <w:proofErr w:type="gramStart"/>
      <w:r w:rsidR="00F45BC7" w:rsidRPr="00B00AC1">
        <w:rPr>
          <w:rFonts w:ascii="Book Antiqua" w:hAnsi="Book Antiqua" w:cs="Arial"/>
          <w:sz w:val="24"/>
        </w:rPr>
        <w:t>patients</w:t>
      </w:r>
      <w:r w:rsidR="00E11F87" w:rsidRPr="00B00AC1">
        <w:rPr>
          <w:rFonts w:ascii="Book Antiqua" w:hAnsi="Book Antiqua" w:cs="Arial"/>
          <w:noProof/>
          <w:sz w:val="24"/>
          <w:vertAlign w:val="superscript"/>
        </w:rPr>
        <w:t>[</w:t>
      </w:r>
      <w:proofErr w:type="gramEnd"/>
      <w:r w:rsidR="00E11F87" w:rsidRPr="00B00AC1">
        <w:rPr>
          <w:rFonts w:ascii="Book Antiqua" w:hAnsi="Book Antiqua" w:cs="Arial"/>
          <w:noProof/>
          <w:sz w:val="24"/>
          <w:vertAlign w:val="superscript"/>
        </w:rPr>
        <w:t>111]</w:t>
      </w:r>
      <w:r w:rsidR="00F45BC7" w:rsidRPr="00B00AC1">
        <w:rPr>
          <w:rFonts w:ascii="Book Antiqua" w:hAnsi="Book Antiqua" w:cs="Arial"/>
          <w:sz w:val="24"/>
        </w:rPr>
        <w:t xml:space="preserve">. </w:t>
      </w:r>
      <w:r w:rsidR="00F45BC7" w:rsidRPr="00B00AC1">
        <w:rPr>
          <w:rFonts w:ascii="Book Antiqua" w:hAnsi="Book Antiqua" w:cs="Book Antiqua"/>
          <w:kern w:val="0"/>
          <w:sz w:val="24"/>
        </w:rPr>
        <w:t xml:space="preserve">Two ongoing clinical trials are trying to assess NK cells therapy combined with liver resection (NCT02008929) or liver transplantation for HCC (NCT01147380; </w:t>
      </w:r>
      <w:r w:rsidR="00F45BC7" w:rsidRPr="006E6897">
        <w:rPr>
          <w:rFonts w:ascii="Book Antiqua" w:hAnsi="Book Antiqua" w:cs="Book Antiqua"/>
          <w:bCs/>
          <w:kern w:val="0"/>
          <w:sz w:val="24"/>
        </w:rPr>
        <w:t>Table 3</w:t>
      </w:r>
      <w:r w:rsidR="00F45BC7" w:rsidRPr="00B00AC1">
        <w:rPr>
          <w:rFonts w:ascii="Book Antiqua" w:hAnsi="Book Antiqua" w:cs="Book Antiqua"/>
          <w:kern w:val="0"/>
          <w:sz w:val="24"/>
        </w:rPr>
        <w:t xml:space="preserve">). </w:t>
      </w:r>
      <w:r w:rsidR="00F45BC7" w:rsidRPr="00B00AC1">
        <w:rPr>
          <w:rFonts w:ascii="Book Antiqua" w:hAnsi="Book Antiqua" w:cs="Arial"/>
          <w:sz w:val="24"/>
        </w:rPr>
        <w:t>In the future, it would be of great interest to investigate the efficacy of NK cells combined with other strategies to improve the immunotherapy in HCC.</w:t>
      </w:r>
    </w:p>
    <w:p w14:paraId="6DED8ED4" w14:textId="77777777" w:rsidR="00226E1E" w:rsidRDefault="00226E1E" w:rsidP="00B00AC1">
      <w:pPr>
        <w:spacing w:line="360" w:lineRule="auto"/>
        <w:rPr>
          <w:rFonts w:ascii="Book Antiqua" w:hAnsi="Book Antiqua" w:cs="Arial"/>
          <w:sz w:val="24"/>
        </w:rPr>
      </w:pPr>
    </w:p>
    <w:p w14:paraId="26E08A89" w14:textId="36622336" w:rsidR="00F45BC7" w:rsidRPr="00226E1E" w:rsidRDefault="00F45BC7" w:rsidP="00B00AC1">
      <w:pPr>
        <w:spacing w:line="360" w:lineRule="auto"/>
        <w:rPr>
          <w:rFonts w:ascii="Book Antiqua" w:hAnsi="Book Antiqua" w:cs="Arial"/>
          <w:b/>
          <w:i/>
          <w:sz w:val="24"/>
        </w:rPr>
      </w:pPr>
      <w:r w:rsidRPr="00226E1E">
        <w:rPr>
          <w:rFonts w:ascii="Book Antiqua" w:hAnsi="Book Antiqua" w:cs="Arial"/>
          <w:b/>
          <w:i/>
          <w:sz w:val="24"/>
        </w:rPr>
        <w:t xml:space="preserve">Natural killer T cells </w:t>
      </w:r>
    </w:p>
    <w:p w14:paraId="0F2F7E24" w14:textId="46366F26" w:rsidR="00F45BC7" w:rsidRPr="00B00AC1" w:rsidRDefault="00226E1E" w:rsidP="00B00AC1">
      <w:pPr>
        <w:spacing w:line="360" w:lineRule="auto"/>
        <w:rPr>
          <w:rFonts w:ascii="Book Antiqua" w:hAnsi="Book Antiqua" w:cs="Arial"/>
          <w:sz w:val="24"/>
        </w:rPr>
      </w:pPr>
      <w:r w:rsidRPr="00B00AC1">
        <w:rPr>
          <w:rFonts w:ascii="Book Antiqua" w:hAnsi="Book Antiqua" w:cs="Arial"/>
          <w:sz w:val="24"/>
        </w:rPr>
        <w:t xml:space="preserve">Natural killer T </w:t>
      </w:r>
      <w:r>
        <w:rPr>
          <w:rFonts w:ascii="Book Antiqua" w:hAnsi="Book Antiqua" w:cs="Arial" w:hint="eastAsia"/>
          <w:sz w:val="24"/>
        </w:rPr>
        <w:t>(</w:t>
      </w:r>
      <w:r w:rsidR="00F45BC7" w:rsidRPr="00B00AC1">
        <w:rPr>
          <w:rFonts w:ascii="Book Antiqua" w:hAnsi="Book Antiqua" w:cs="Arial"/>
          <w:sz w:val="24"/>
        </w:rPr>
        <w:t>NKT</w:t>
      </w:r>
      <w:r>
        <w:rPr>
          <w:rFonts w:ascii="Book Antiqua" w:hAnsi="Book Antiqua" w:cs="Arial" w:hint="eastAsia"/>
          <w:sz w:val="24"/>
        </w:rPr>
        <w:t>)</w:t>
      </w:r>
      <w:r w:rsidR="00F45BC7" w:rsidRPr="00B00AC1">
        <w:rPr>
          <w:rFonts w:ascii="Book Antiqua" w:hAnsi="Book Antiqua" w:cs="Arial"/>
          <w:sz w:val="24"/>
        </w:rPr>
        <w:t xml:space="preserve"> cells are a heterogeneous group of T cells, having a range of characteristics different from conventional T cells. Human NKT cells are found in small numbers in healthy liver (0.5%) and blood (0.02%)</w:t>
      </w:r>
      <w:r w:rsidR="00E11F87" w:rsidRPr="00B00AC1">
        <w:rPr>
          <w:rFonts w:ascii="Book Antiqua" w:hAnsi="Book Antiqua" w:cs="Arial"/>
          <w:noProof/>
          <w:sz w:val="24"/>
          <w:vertAlign w:val="superscript"/>
        </w:rPr>
        <w:t>[112,113]</w:t>
      </w:r>
      <w:r w:rsidR="00F45BC7" w:rsidRPr="00B00AC1">
        <w:rPr>
          <w:rFonts w:ascii="Book Antiqua" w:hAnsi="Book Antiqua" w:cs="Arial"/>
          <w:sz w:val="24"/>
        </w:rPr>
        <w:t xml:space="preserve">, however they are critical players in the regulation of anti-tumor </w:t>
      </w:r>
      <w:proofErr w:type="gramStart"/>
      <w:r w:rsidR="00F45BC7" w:rsidRPr="00B00AC1">
        <w:rPr>
          <w:rFonts w:ascii="Book Antiqua" w:hAnsi="Book Antiqua" w:cs="Arial"/>
          <w:sz w:val="24"/>
        </w:rPr>
        <w:t>immunity</w:t>
      </w:r>
      <w:r w:rsidR="00E11F87" w:rsidRPr="00B00AC1">
        <w:rPr>
          <w:rFonts w:ascii="Book Antiqua" w:hAnsi="Book Antiqua" w:cs="Arial"/>
          <w:noProof/>
          <w:sz w:val="24"/>
          <w:vertAlign w:val="superscript"/>
        </w:rPr>
        <w:t>[</w:t>
      </w:r>
      <w:proofErr w:type="gramEnd"/>
      <w:r w:rsidR="00E11F87" w:rsidRPr="00B00AC1">
        <w:rPr>
          <w:rFonts w:ascii="Book Antiqua" w:hAnsi="Book Antiqua" w:cs="Arial"/>
          <w:noProof/>
          <w:sz w:val="24"/>
          <w:vertAlign w:val="superscript"/>
        </w:rPr>
        <w:t>114-116]</w:t>
      </w:r>
      <w:r w:rsidR="00F45BC7" w:rsidRPr="00B00AC1">
        <w:rPr>
          <w:rFonts w:ascii="Book Antiqua" w:hAnsi="Book Antiqua" w:cs="Arial"/>
          <w:sz w:val="24"/>
        </w:rPr>
        <w:t xml:space="preserve">. NKT cells are best known for their immunosuppressive functions, however they can interact with many other immune cells such as DC, macrophage as well as NK cells, and the outcome of NKT cell stimulation depends on these interactions and the cytokine </w:t>
      </w:r>
      <w:proofErr w:type="gramStart"/>
      <w:r w:rsidR="00F45BC7" w:rsidRPr="00B00AC1">
        <w:rPr>
          <w:rFonts w:ascii="Book Antiqua" w:hAnsi="Book Antiqua" w:cs="Arial"/>
          <w:sz w:val="24"/>
        </w:rPr>
        <w:t>milieu</w:t>
      </w:r>
      <w:r w:rsidR="00E11F87" w:rsidRPr="00B00AC1">
        <w:rPr>
          <w:rFonts w:ascii="Book Antiqua" w:hAnsi="Book Antiqua" w:cs="Arial"/>
          <w:noProof/>
          <w:sz w:val="24"/>
          <w:vertAlign w:val="superscript"/>
        </w:rPr>
        <w:t>[</w:t>
      </w:r>
      <w:proofErr w:type="gramEnd"/>
      <w:r w:rsidR="00E11F87" w:rsidRPr="00B00AC1">
        <w:rPr>
          <w:rFonts w:ascii="Book Antiqua" w:hAnsi="Book Antiqua" w:cs="Arial"/>
          <w:noProof/>
          <w:sz w:val="24"/>
          <w:vertAlign w:val="superscript"/>
        </w:rPr>
        <w:t>115]</w:t>
      </w:r>
      <w:r w:rsidR="00F45BC7" w:rsidRPr="00B00AC1">
        <w:rPr>
          <w:rFonts w:ascii="Book Antiqua" w:hAnsi="Book Antiqua" w:cs="Arial"/>
          <w:sz w:val="24"/>
        </w:rPr>
        <w:t xml:space="preserve">. NKT cells can manifest anti-tumor effects mediated by their reactivation with exogenous cytokines or ligands. But recently, the natural role of NKT cells in anti-tumor immunity was </w:t>
      </w:r>
      <w:proofErr w:type="gramStart"/>
      <w:r w:rsidR="00F45BC7" w:rsidRPr="00B00AC1">
        <w:rPr>
          <w:rFonts w:ascii="Book Antiqua" w:hAnsi="Book Antiqua" w:cs="Arial"/>
          <w:sz w:val="24"/>
        </w:rPr>
        <w:t>reported</w:t>
      </w:r>
      <w:r>
        <w:rPr>
          <w:rFonts w:ascii="Book Antiqua" w:hAnsi="Book Antiqua" w:cs="Arial"/>
          <w:noProof/>
          <w:sz w:val="24"/>
          <w:vertAlign w:val="superscript"/>
        </w:rPr>
        <w:t>[</w:t>
      </w:r>
      <w:proofErr w:type="gramEnd"/>
      <w:r>
        <w:rPr>
          <w:rFonts w:ascii="Book Antiqua" w:hAnsi="Book Antiqua" w:cs="Arial"/>
          <w:noProof/>
          <w:sz w:val="24"/>
          <w:vertAlign w:val="superscript"/>
        </w:rPr>
        <w:t>112,</w:t>
      </w:r>
      <w:r w:rsidR="00064107" w:rsidRPr="00B00AC1">
        <w:rPr>
          <w:rFonts w:ascii="Book Antiqua" w:hAnsi="Book Antiqua" w:cs="Arial"/>
          <w:noProof/>
          <w:sz w:val="24"/>
          <w:vertAlign w:val="superscript"/>
        </w:rPr>
        <w:t>115]</w:t>
      </w:r>
      <w:r w:rsidR="00F45BC7" w:rsidRPr="00B00AC1">
        <w:rPr>
          <w:rFonts w:ascii="Book Antiqua" w:hAnsi="Book Antiqua" w:cs="Arial"/>
          <w:sz w:val="24"/>
        </w:rPr>
        <w:t xml:space="preserve">. </w:t>
      </w:r>
      <w:r w:rsidR="00F45BC7" w:rsidRPr="00B00AC1">
        <w:rPr>
          <w:rFonts w:ascii="Book Antiqua" w:hAnsi="Book Antiqua" w:cs="Book Antiqua"/>
          <w:kern w:val="0"/>
          <w:sz w:val="24"/>
        </w:rPr>
        <w:t xml:space="preserve">A phase I trial using autologous NKT cells to treat advanced HCC is now ongoing (NCT01801852; </w:t>
      </w:r>
      <w:r w:rsidR="00F45BC7" w:rsidRPr="00226E1E">
        <w:rPr>
          <w:rFonts w:ascii="Book Antiqua" w:hAnsi="Book Antiqua" w:cs="Book Antiqua"/>
          <w:bCs/>
          <w:kern w:val="0"/>
          <w:sz w:val="24"/>
        </w:rPr>
        <w:t>Table 3</w:t>
      </w:r>
      <w:r w:rsidR="00F45BC7" w:rsidRPr="00B00AC1">
        <w:rPr>
          <w:rFonts w:ascii="Book Antiqua" w:hAnsi="Book Antiqua" w:cs="Book Antiqua"/>
          <w:kern w:val="0"/>
          <w:sz w:val="24"/>
        </w:rPr>
        <w:t xml:space="preserve">). </w:t>
      </w:r>
      <w:r w:rsidR="00F45BC7" w:rsidRPr="00B00AC1">
        <w:rPr>
          <w:rFonts w:ascii="Book Antiqua" w:hAnsi="Book Antiqua" w:cs="Arial"/>
          <w:sz w:val="24"/>
        </w:rPr>
        <w:t>Further investigation is needed to elucidate the role of NKT cells in human HCC.</w:t>
      </w:r>
    </w:p>
    <w:p w14:paraId="53E389B9" w14:textId="77777777" w:rsidR="00226E1E" w:rsidRDefault="00226E1E" w:rsidP="00B00AC1">
      <w:pPr>
        <w:spacing w:line="360" w:lineRule="auto"/>
        <w:rPr>
          <w:rFonts w:ascii="Book Antiqua" w:hAnsi="Book Antiqua" w:cs="Arial"/>
          <w:sz w:val="24"/>
        </w:rPr>
      </w:pPr>
    </w:p>
    <w:p w14:paraId="2C06F2C9" w14:textId="5C19310D" w:rsidR="00F45BC7" w:rsidRPr="00226E1E" w:rsidRDefault="00F45BC7" w:rsidP="00B00AC1">
      <w:pPr>
        <w:spacing w:line="360" w:lineRule="auto"/>
        <w:rPr>
          <w:rFonts w:ascii="Book Antiqua" w:hAnsi="Book Antiqua" w:cs="Arial"/>
          <w:b/>
          <w:i/>
          <w:sz w:val="24"/>
        </w:rPr>
      </w:pPr>
      <w:r w:rsidRPr="00226E1E">
        <w:rPr>
          <w:rFonts w:ascii="Book Antiqua" w:hAnsi="Book Antiqua" w:cs="Arial"/>
          <w:b/>
          <w:i/>
          <w:sz w:val="24"/>
        </w:rPr>
        <w:t>Chimeric antigen receptor-T</w:t>
      </w:r>
      <w:r w:rsidR="00226E1E" w:rsidRPr="00226E1E">
        <w:rPr>
          <w:rFonts w:ascii="Book Antiqua" w:hAnsi="Book Antiqua" w:cs="Arial" w:hint="eastAsia"/>
          <w:b/>
          <w:i/>
          <w:sz w:val="24"/>
        </w:rPr>
        <w:t xml:space="preserve"> </w:t>
      </w:r>
      <w:r w:rsidRPr="00226E1E">
        <w:rPr>
          <w:rFonts w:ascii="Book Antiqua" w:hAnsi="Book Antiqua" w:cs="Arial"/>
          <w:b/>
          <w:i/>
          <w:sz w:val="24"/>
        </w:rPr>
        <w:t>cells</w:t>
      </w:r>
    </w:p>
    <w:p w14:paraId="219CDC58" w14:textId="40B02B27"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One of the most important aims of T cell engineering is to generate tumor-targeted T cells through the genetic transfer of antigen specific receptors. T cell engineering was consisted of either physiological, MHC-restricted T cell receptors (TCRs) or non-MHC-restricted chimeric antigen receptors. The conception of the chimeric antigen receptor (CAR) originally generated from the growing understanding of the barriers to the effective immune therapy of various types of cancers. T cells armed with CARs (CAR-T cells) are able to recognize the cell surface antigens directly and are not blunted by tumor variations possessing lower surface expression of major MHC antigens which considered as a commonly mechanism of tumor immune </w:t>
      </w:r>
      <w:proofErr w:type="gramStart"/>
      <w:r w:rsidRPr="00B00AC1">
        <w:rPr>
          <w:rFonts w:ascii="Book Antiqua" w:hAnsi="Book Antiqua" w:cs="Arial"/>
          <w:sz w:val="24"/>
        </w:rPr>
        <w:t>escape</w:t>
      </w:r>
      <w:r w:rsidR="004535C1" w:rsidRPr="00B00AC1">
        <w:rPr>
          <w:rFonts w:ascii="Book Antiqua" w:hAnsi="Book Antiqua" w:cs="Arial"/>
          <w:noProof/>
          <w:sz w:val="24"/>
          <w:vertAlign w:val="superscript"/>
        </w:rPr>
        <w:t>[</w:t>
      </w:r>
      <w:proofErr w:type="gramEnd"/>
      <w:r w:rsidR="004535C1" w:rsidRPr="00B00AC1">
        <w:rPr>
          <w:rFonts w:ascii="Book Antiqua" w:hAnsi="Book Antiqua" w:cs="Arial"/>
          <w:noProof/>
          <w:sz w:val="24"/>
          <w:vertAlign w:val="superscript"/>
        </w:rPr>
        <w:t>117, 118]</w:t>
      </w:r>
      <w:r w:rsidRPr="00B00AC1">
        <w:rPr>
          <w:rFonts w:ascii="Book Antiqua" w:hAnsi="Book Antiqua" w:cs="Arial"/>
          <w:sz w:val="24"/>
        </w:rPr>
        <w:t>. The three basic elements of CAR are an extracellular antigen binding domain, a transmembrane domain and a cytoplasmic signaling domain.</w:t>
      </w:r>
    </w:p>
    <w:p w14:paraId="19BDCED9" w14:textId="3A9C6ED7" w:rsidR="00F45BC7" w:rsidRPr="00B00AC1" w:rsidRDefault="00F45BC7" w:rsidP="00226E1E">
      <w:pPr>
        <w:spacing w:line="360" w:lineRule="auto"/>
        <w:ind w:firstLineChars="100" w:firstLine="240"/>
        <w:rPr>
          <w:rFonts w:ascii="Book Antiqua" w:hAnsi="Book Antiqua" w:cs="Arial"/>
          <w:sz w:val="24"/>
        </w:rPr>
      </w:pPr>
      <w:r w:rsidRPr="00B00AC1">
        <w:rPr>
          <w:rFonts w:ascii="Book Antiqua" w:hAnsi="Book Antiqua" w:cs="Arial"/>
          <w:sz w:val="24"/>
        </w:rPr>
        <w:t xml:space="preserve">Up to now, three generations of CARs have been developed. The first-generation CAR only contains a T cell signaling domain that transmits the activation signal. It owns a feature of a single signaling domain most commonly derived from the </w:t>
      </w:r>
      <w:bookmarkStart w:id="61" w:name="OLE_LINK5"/>
      <w:bookmarkStart w:id="62" w:name="OLE_LINK6"/>
      <w:r w:rsidRPr="00B00AC1">
        <w:rPr>
          <w:rFonts w:ascii="Book Antiqua" w:hAnsi="Book Antiqua" w:cs="Arial"/>
          <w:sz w:val="24"/>
        </w:rPr>
        <w:t>CD3</w:t>
      </w:r>
      <w:r w:rsidR="004535C1" w:rsidRPr="00B00AC1">
        <w:rPr>
          <w:rFonts w:ascii="Book Antiqua" w:hAnsi="Book Antiqua" w:cs="Arial"/>
          <w:sz w:val="24"/>
        </w:rPr>
        <w:t>ζ</w:t>
      </w:r>
      <w:bookmarkEnd w:id="61"/>
      <w:bookmarkEnd w:id="62"/>
      <w:r w:rsidRPr="00B00AC1">
        <w:rPr>
          <w:rFonts w:ascii="Book Antiqua" w:hAnsi="Book Antiqua" w:cs="Arial"/>
          <w:sz w:val="24"/>
        </w:rPr>
        <w:t xml:space="preserve"> component of the TCR/CD3 complex. The full activation of T cells need multiple signals, and it is obviously that the signaling from these first-generation CARs only provided the so-called “signal one” that could drive T cell effector functions; however, since absence of further signals, the T cells are unable to fully engage their effector machinery</w:t>
      </w:r>
      <w:r w:rsidR="006B20D2" w:rsidRPr="00B00AC1">
        <w:rPr>
          <w:rFonts w:ascii="Book Antiqua" w:hAnsi="Book Antiqua" w:cs="Arial"/>
          <w:noProof/>
          <w:sz w:val="24"/>
          <w:vertAlign w:val="superscript"/>
        </w:rPr>
        <w:t>[119]</w:t>
      </w:r>
      <w:r w:rsidRPr="00B00AC1">
        <w:rPr>
          <w:rFonts w:ascii="Book Antiqua" w:hAnsi="Book Antiqua" w:cs="Arial"/>
          <w:sz w:val="24"/>
        </w:rPr>
        <w:t>. Considering this modular nature of the CAR, later designs aimed to add additional signaling domains which would increase the potency of the CARs and the consequent effector function of T cells. The second-generation CARs incorporate a single co-stimulatory molecule endodomain, such as the endodomain of CD28 or 4-1BB</w:t>
      </w:r>
      <w:r w:rsidR="006B20D2" w:rsidRPr="00B00AC1">
        <w:rPr>
          <w:rFonts w:ascii="Book Antiqua" w:hAnsi="Book Antiqua" w:cs="Arial"/>
          <w:noProof/>
          <w:sz w:val="24"/>
          <w:vertAlign w:val="superscript"/>
        </w:rPr>
        <w:t>[120]</w:t>
      </w:r>
      <w:r w:rsidRPr="00B00AC1">
        <w:rPr>
          <w:rFonts w:ascii="Book Antiqua" w:hAnsi="Book Antiqua" w:cs="Arial"/>
          <w:sz w:val="24"/>
        </w:rPr>
        <w:t>. The third-generation CARs incorporate at least two co-stimulatory molecule endodomains, such as the endodomains of CD28 and 4-1BB</w:t>
      </w:r>
      <w:r w:rsidR="006B20D2" w:rsidRPr="00B00AC1">
        <w:rPr>
          <w:rFonts w:ascii="Book Antiqua" w:hAnsi="Book Antiqua" w:cs="Arial"/>
          <w:noProof/>
          <w:sz w:val="24"/>
          <w:vertAlign w:val="superscript"/>
        </w:rPr>
        <w:t>[121]</w:t>
      </w:r>
      <w:r w:rsidRPr="00B00AC1">
        <w:rPr>
          <w:rFonts w:ascii="Book Antiqua" w:hAnsi="Book Antiqua" w:cs="Arial"/>
          <w:sz w:val="24"/>
        </w:rPr>
        <w:t>. Ligation of CD28 on CAR-T cells through the expression of B7 co-stimulatory ligands on target cells or co-expression of the CD28 molecule together with the scFv (specific monoclonal antibody) and CD3</w:t>
      </w:r>
      <w:r w:rsidRPr="00B00AC1">
        <w:rPr>
          <w:rFonts w:ascii="Book Antiqua" w:hAnsi="Book Antiqua"/>
          <w:sz w:val="24"/>
        </w:rPr>
        <w:t>ζ</w:t>
      </w:r>
      <w:r w:rsidRPr="00B00AC1">
        <w:rPr>
          <w:rFonts w:ascii="Book Antiqua" w:hAnsi="Book Antiqua" w:cs="Arial"/>
          <w:sz w:val="24"/>
        </w:rPr>
        <w:t xml:space="preserve"> domain of the CAR was shown to promote the proliferation of CAR-modified T cells and anti-tumor </w:t>
      </w:r>
      <w:proofErr w:type="gramStart"/>
      <w:r w:rsidRPr="00B00AC1">
        <w:rPr>
          <w:rFonts w:ascii="Book Antiqua" w:hAnsi="Book Antiqua" w:cs="Arial"/>
          <w:sz w:val="24"/>
        </w:rPr>
        <w:t>activity</w:t>
      </w:r>
      <w:r w:rsidR="00050E88" w:rsidRPr="00B00AC1">
        <w:rPr>
          <w:rFonts w:ascii="Book Antiqua" w:hAnsi="Book Antiqua" w:cs="Arial"/>
          <w:noProof/>
          <w:sz w:val="24"/>
          <w:vertAlign w:val="superscript"/>
        </w:rPr>
        <w:t>[</w:t>
      </w:r>
      <w:proofErr w:type="gramEnd"/>
      <w:r w:rsidR="00050E88" w:rsidRPr="00B00AC1">
        <w:rPr>
          <w:rFonts w:ascii="Book Antiqua" w:hAnsi="Book Antiqua" w:cs="Arial"/>
          <w:noProof/>
          <w:sz w:val="24"/>
          <w:vertAlign w:val="superscript"/>
        </w:rPr>
        <w:t>122-124]</w:t>
      </w:r>
      <w:r w:rsidRPr="00B00AC1">
        <w:rPr>
          <w:rFonts w:ascii="Book Antiqua" w:hAnsi="Book Antiqua" w:cs="Arial"/>
          <w:sz w:val="24"/>
        </w:rPr>
        <w:t>.</w:t>
      </w:r>
    </w:p>
    <w:p w14:paraId="21B51B1F" w14:textId="43E33F01" w:rsidR="00F45BC7" w:rsidRPr="00B00AC1" w:rsidRDefault="00F45BC7" w:rsidP="00226E1E">
      <w:pPr>
        <w:spacing w:line="360" w:lineRule="auto"/>
        <w:ind w:firstLineChars="100" w:firstLine="240"/>
        <w:rPr>
          <w:rFonts w:ascii="Book Antiqua" w:hAnsi="Book Antiqua" w:cs="Arial"/>
          <w:sz w:val="24"/>
        </w:rPr>
      </w:pPr>
      <w:r w:rsidRPr="00B00AC1">
        <w:rPr>
          <w:rFonts w:ascii="Book Antiqua" w:hAnsi="Book Antiqua" w:cs="Arial"/>
          <w:sz w:val="24"/>
        </w:rPr>
        <w:t xml:space="preserve">Plenty of studies have evaluated the efficacy of CAR-T cell treatment in hematological malignancies such as lymphoid </w:t>
      </w:r>
      <w:proofErr w:type="gramStart"/>
      <w:r w:rsidRPr="00B00AC1">
        <w:rPr>
          <w:rFonts w:ascii="Book Antiqua" w:hAnsi="Book Antiqua" w:cs="Arial"/>
          <w:sz w:val="24"/>
        </w:rPr>
        <w:t>leukemia</w:t>
      </w:r>
      <w:r w:rsidR="00226E1E">
        <w:rPr>
          <w:rFonts w:ascii="Book Antiqua" w:hAnsi="Book Antiqua" w:cs="Arial"/>
          <w:noProof/>
          <w:sz w:val="24"/>
          <w:vertAlign w:val="superscript"/>
        </w:rPr>
        <w:t>[</w:t>
      </w:r>
      <w:proofErr w:type="gramEnd"/>
      <w:r w:rsidR="00226E1E">
        <w:rPr>
          <w:rFonts w:ascii="Book Antiqua" w:hAnsi="Book Antiqua" w:cs="Arial"/>
          <w:noProof/>
          <w:sz w:val="24"/>
          <w:vertAlign w:val="superscript"/>
        </w:rPr>
        <w:t>125,</w:t>
      </w:r>
      <w:r w:rsidR="004278A7" w:rsidRPr="00B00AC1">
        <w:rPr>
          <w:rFonts w:ascii="Book Antiqua" w:hAnsi="Book Antiqua" w:cs="Arial"/>
          <w:noProof/>
          <w:sz w:val="24"/>
          <w:vertAlign w:val="superscript"/>
        </w:rPr>
        <w:t>126]</w:t>
      </w:r>
      <w:r w:rsidRPr="00B00AC1">
        <w:rPr>
          <w:rFonts w:ascii="Book Antiqua" w:hAnsi="Book Antiqua" w:cs="Arial"/>
          <w:sz w:val="24"/>
        </w:rPr>
        <w:t>,</w:t>
      </w:r>
      <w:hyperlink w:anchor="_ENREF_120" w:tooltip="Grupp, 2013 #900" w:history="1"/>
      <w:r w:rsidRPr="00B00AC1">
        <w:rPr>
          <w:rFonts w:ascii="Book Antiqua" w:hAnsi="Book Antiqua" w:cs="Arial"/>
          <w:sz w:val="24"/>
        </w:rPr>
        <w:t xml:space="preserve"> and acute myeloid leukemia</w:t>
      </w:r>
      <w:r w:rsidR="004278A7" w:rsidRPr="00B00AC1">
        <w:rPr>
          <w:rFonts w:ascii="Book Antiqua" w:hAnsi="Book Antiqua" w:cs="Arial"/>
          <w:noProof/>
          <w:sz w:val="24"/>
          <w:vertAlign w:val="superscript"/>
        </w:rPr>
        <w:t>[127, 128]</w:t>
      </w:r>
      <w:r w:rsidRPr="00B00AC1">
        <w:rPr>
          <w:rFonts w:ascii="Book Antiqua" w:hAnsi="Book Antiqua" w:cs="Arial"/>
          <w:sz w:val="24"/>
        </w:rPr>
        <w:t xml:space="preserve">. </w:t>
      </w:r>
      <w:r w:rsidR="006C1301" w:rsidRPr="00B00AC1">
        <w:rPr>
          <w:rFonts w:ascii="Book Antiqua" w:hAnsi="Book Antiqua" w:cs="Arial"/>
          <w:sz w:val="24"/>
        </w:rPr>
        <w:t>Nonetheless</w:t>
      </w:r>
      <w:r w:rsidRPr="00B00AC1">
        <w:rPr>
          <w:rFonts w:ascii="Book Antiqua" w:hAnsi="Book Antiqua" w:cs="Arial"/>
          <w:sz w:val="24"/>
        </w:rPr>
        <w:t xml:space="preserve">, the clinical efficacy of CAR-T cells </w:t>
      </w:r>
      <w:r w:rsidR="006C1301" w:rsidRPr="00B00AC1">
        <w:rPr>
          <w:rFonts w:ascii="Book Antiqua" w:hAnsi="Book Antiqua" w:cs="Arial"/>
          <w:sz w:val="24"/>
        </w:rPr>
        <w:t xml:space="preserve">continues to be </w:t>
      </w:r>
      <w:r w:rsidRPr="00B00AC1">
        <w:rPr>
          <w:rFonts w:ascii="Book Antiqua" w:hAnsi="Book Antiqua" w:cs="Arial"/>
          <w:sz w:val="24"/>
        </w:rPr>
        <w:t xml:space="preserve">marginal in solid tumors </w:t>
      </w:r>
      <w:r w:rsidR="006C1301" w:rsidRPr="00B00AC1">
        <w:rPr>
          <w:rFonts w:ascii="Book Antiqua" w:hAnsi="Book Antiqua" w:cs="Arial"/>
          <w:sz w:val="24"/>
        </w:rPr>
        <w:t xml:space="preserve">as </w:t>
      </w:r>
      <w:r w:rsidRPr="00B00AC1">
        <w:rPr>
          <w:rFonts w:ascii="Book Antiqua" w:hAnsi="Book Antiqua" w:cs="Arial"/>
          <w:sz w:val="24"/>
        </w:rPr>
        <w:t xml:space="preserve">compared to leukemia. </w:t>
      </w:r>
      <w:r w:rsidR="006C1301" w:rsidRPr="00B00AC1">
        <w:rPr>
          <w:rFonts w:ascii="Book Antiqua" w:hAnsi="Book Antiqua" w:cs="Arial"/>
          <w:sz w:val="24"/>
        </w:rPr>
        <w:t>So far, as we now have acknowledged</w:t>
      </w:r>
      <w:r w:rsidRPr="00B00AC1">
        <w:rPr>
          <w:rFonts w:ascii="Book Antiqua" w:hAnsi="Book Antiqua" w:cs="Arial"/>
          <w:sz w:val="24"/>
        </w:rPr>
        <w:t>, there are</w:t>
      </w:r>
      <w:r w:rsidR="006C1301" w:rsidRPr="00B00AC1">
        <w:rPr>
          <w:rFonts w:ascii="Book Antiqua" w:hAnsi="Book Antiqua" w:cs="Arial"/>
          <w:sz w:val="24"/>
        </w:rPr>
        <w:t xml:space="preserve"> not any</w:t>
      </w:r>
      <w:r w:rsidRPr="00B00AC1">
        <w:rPr>
          <w:rFonts w:ascii="Book Antiqua" w:hAnsi="Book Antiqua" w:cs="Arial"/>
          <w:sz w:val="24"/>
        </w:rPr>
        <w:t xml:space="preserve"> clinical trials reported evaluating the efficacy of CAR-T in HCC. </w:t>
      </w:r>
      <w:r w:rsidR="00834429" w:rsidRPr="00B00AC1">
        <w:rPr>
          <w:rFonts w:ascii="Book Antiqua" w:hAnsi="Book Antiqua" w:cs="Arial"/>
          <w:sz w:val="24"/>
        </w:rPr>
        <w:t>Only one research stated</w:t>
      </w:r>
      <w:r w:rsidRPr="00B00AC1">
        <w:rPr>
          <w:rFonts w:ascii="Book Antiqua" w:hAnsi="Book Antiqua" w:cs="Arial"/>
          <w:sz w:val="24"/>
        </w:rPr>
        <w:t xml:space="preserve"> that genetically modified T cells could be used to reconstitute virus-specific T cell immunity in chronic HBV patients and target tumors in HBV-related HCC. They found TCR re-directed HBV-specific T cells </w:t>
      </w:r>
      <w:r w:rsidR="00834429" w:rsidRPr="00B00AC1">
        <w:rPr>
          <w:rFonts w:ascii="Book Antiqua" w:hAnsi="Book Antiqua" w:cs="Arial"/>
          <w:sz w:val="24"/>
        </w:rPr>
        <w:t>prouduced</w:t>
      </w:r>
      <w:r w:rsidRPr="00B00AC1">
        <w:rPr>
          <w:rFonts w:ascii="Book Antiqua" w:hAnsi="Book Antiqua" w:cs="Arial"/>
          <w:sz w:val="24"/>
        </w:rPr>
        <w:t xml:space="preserve"> from PBMC of </w:t>
      </w:r>
      <w:r w:rsidR="00CC4036" w:rsidRPr="00B00AC1">
        <w:rPr>
          <w:rFonts w:ascii="Book Antiqua" w:hAnsi="Book Antiqua" w:cs="Arial"/>
          <w:sz w:val="24"/>
        </w:rPr>
        <w:t xml:space="preserve">hepatitis B </w:t>
      </w:r>
      <w:r w:rsidRPr="00B00AC1">
        <w:rPr>
          <w:rFonts w:ascii="Book Antiqua" w:hAnsi="Book Antiqua" w:cs="Arial"/>
          <w:sz w:val="24"/>
        </w:rPr>
        <w:t xml:space="preserve">related HCC patients were capable of recognizing HCC tumor </w:t>
      </w:r>
      <w:proofErr w:type="gramStart"/>
      <w:r w:rsidRPr="00B00AC1">
        <w:rPr>
          <w:rFonts w:ascii="Book Antiqua" w:hAnsi="Book Antiqua" w:cs="Arial"/>
          <w:sz w:val="24"/>
        </w:rPr>
        <w:t>cells</w:t>
      </w:r>
      <w:r w:rsidRPr="00B00AC1">
        <w:rPr>
          <w:rFonts w:ascii="Book Antiqua" w:hAnsi="Book Antiqua" w:cs="Arial"/>
          <w:noProof/>
          <w:sz w:val="24"/>
          <w:vertAlign w:val="superscript"/>
        </w:rPr>
        <w:t>[</w:t>
      </w:r>
      <w:proofErr w:type="gramEnd"/>
      <w:r w:rsidR="004278A7" w:rsidRPr="00B00AC1">
        <w:rPr>
          <w:rFonts w:ascii="Book Antiqua" w:hAnsi="Book Antiqua" w:cs="Arial"/>
          <w:noProof/>
          <w:sz w:val="24"/>
          <w:vertAlign w:val="superscript"/>
        </w:rPr>
        <w:t>129</w:t>
      </w:r>
      <w:r w:rsidRPr="00B00AC1">
        <w:rPr>
          <w:rFonts w:ascii="Book Antiqua" w:hAnsi="Book Antiqua" w:cs="Arial"/>
          <w:noProof/>
          <w:sz w:val="24"/>
          <w:vertAlign w:val="superscript"/>
        </w:rPr>
        <w:t>]</w:t>
      </w:r>
      <w:r w:rsidRPr="00B00AC1">
        <w:rPr>
          <w:rFonts w:ascii="Book Antiqua" w:hAnsi="Book Antiqua" w:cs="Arial"/>
          <w:sz w:val="24"/>
        </w:rPr>
        <w:t>.</w:t>
      </w:r>
    </w:p>
    <w:p w14:paraId="3BDE4842" w14:textId="28BD0B55" w:rsidR="00F45BC7" w:rsidRPr="00B00AC1" w:rsidRDefault="00F45BC7" w:rsidP="00226E1E">
      <w:pPr>
        <w:spacing w:line="360" w:lineRule="auto"/>
        <w:ind w:firstLineChars="100" w:firstLine="240"/>
        <w:rPr>
          <w:rFonts w:ascii="Book Antiqua" w:hAnsi="Book Antiqua" w:cs="Arial"/>
          <w:sz w:val="24"/>
        </w:rPr>
      </w:pPr>
      <w:r w:rsidRPr="00B00AC1">
        <w:rPr>
          <w:rFonts w:ascii="Book Antiqua" w:hAnsi="Book Antiqua" w:cs="Arial"/>
          <w:sz w:val="24"/>
        </w:rPr>
        <w:t xml:space="preserve">Besides the failed clinical trials of CAR-T cells in renal cell cancer and ovarian </w:t>
      </w:r>
      <w:proofErr w:type="gramStart"/>
      <w:r w:rsidRPr="00B00AC1">
        <w:rPr>
          <w:rFonts w:ascii="Book Antiqua" w:hAnsi="Book Antiqua" w:cs="Arial"/>
          <w:sz w:val="24"/>
        </w:rPr>
        <w:t>cancer</w:t>
      </w:r>
      <w:r w:rsidR="004278A7" w:rsidRPr="00B00AC1">
        <w:rPr>
          <w:rFonts w:ascii="Book Antiqua" w:hAnsi="Book Antiqua" w:cs="Arial"/>
          <w:noProof/>
          <w:sz w:val="24"/>
          <w:vertAlign w:val="superscript"/>
        </w:rPr>
        <w:t>[</w:t>
      </w:r>
      <w:proofErr w:type="gramEnd"/>
      <w:r w:rsidR="004278A7" w:rsidRPr="00B00AC1">
        <w:rPr>
          <w:rFonts w:ascii="Book Antiqua" w:hAnsi="Book Antiqua" w:cs="Arial"/>
          <w:noProof/>
          <w:sz w:val="24"/>
          <w:vertAlign w:val="superscript"/>
        </w:rPr>
        <w:t>130-132]</w:t>
      </w:r>
      <w:r w:rsidRPr="00B00AC1">
        <w:rPr>
          <w:rFonts w:ascii="Book Antiqua" w:hAnsi="Book Antiqua" w:cs="Arial"/>
          <w:sz w:val="24"/>
        </w:rPr>
        <w:t xml:space="preserve">, the safety and tolerance of CAR-T cells </w:t>
      </w:r>
      <w:r w:rsidR="00612DE6" w:rsidRPr="00B00AC1">
        <w:rPr>
          <w:rFonts w:ascii="Book Antiqua" w:hAnsi="Book Antiqua" w:cs="Arial"/>
          <w:sz w:val="24"/>
        </w:rPr>
        <w:t>likewise</w:t>
      </w:r>
      <w:r w:rsidRPr="00B00AC1">
        <w:rPr>
          <w:rFonts w:ascii="Book Antiqua" w:hAnsi="Book Antiqua" w:cs="Arial"/>
          <w:sz w:val="24"/>
        </w:rPr>
        <w:t xml:space="preserve"> need further assessment </w:t>
      </w:r>
      <w:r w:rsidR="00612DE6" w:rsidRPr="00B00AC1">
        <w:rPr>
          <w:rFonts w:ascii="Book Antiqua" w:hAnsi="Book Antiqua" w:cs="Arial"/>
          <w:sz w:val="24"/>
        </w:rPr>
        <w:t xml:space="preserve">since </w:t>
      </w:r>
      <w:r w:rsidRPr="00B00AC1">
        <w:rPr>
          <w:rFonts w:ascii="Book Antiqua" w:hAnsi="Book Antiqua" w:cs="Arial"/>
          <w:sz w:val="24"/>
        </w:rPr>
        <w:t xml:space="preserve">trial </w:t>
      </w:r>
      <w:r w:rsidR="005C3E03" w:rsidRPr="00B00AC1">
        <w:rPr>
          <w:rFonts w:ascii="Book Antiqua" w:hAnsi="Book Antiqua" w:cs="Arial"/>
          <w:sz w:val="24"/>
        </w:rPr>
        <w:t xml:space="preserve">cease </w:t>
      </w:r>
      <w:r w:rsidRPr="00B00AC1">
        <w:rPr>
          <w:rFonts w:ascii="Book Antiqua" w:hAnsi="Book Antiqua" w:cs="Arial"/>
          <w:sz w:val="24"/>
        </w:rPr>
        <w:t xml:space="preserve">and </w:t>
      </w:r>
      <w:r w:rsidR="005C3E03" w:rsidRPr="00B00AC1">
        <w:rPr>
          <w:rFonts w:ascii="Book Antiqua" w:hAnsi="Book Antiqua" w:cs="Arial"/>
          <w:sz w:val="24"/>
        </w:rPr>
        <w:t>demise</w:t>
      </w:r>
      <w:r w:rsidRPr="00B00AC1">
        <w:rPr>
          <w:rFonts w:ascii="Book Antiqua" w:hAnsi="Book Antiqua" w:cs="Arial"/>
          <w:sz w:val="24"/>
        </w:rPr>
        <w:t xml:space="preserve"> of patients were </w:t>
      </w:r>
      <w:r w:rsidR="00612DE6" w:rsidRPr="00B00AC1">
        <w:rPr>
          <w:rFonts w:ascii="Book Antiqua" w:hAnsi="Book Antiqua" w:cs="Arial"/>
          <w:sz w:val="24"/>
        </w:rPr>
        <w:t>being often documented</w:t>
      </w:r>
      <w:r w:rsidR="00226E1E">
        <w:rPr>
          <w:rFonts w:ascii="Book Antiqua" w:hAnsi="Book Antiqua" w:cs="Arial"/>
          <w:noProof/>
          <w:sz w:val="24"/>
          <w:vertAlign w:val="superscript"/>
        </w:rPr>
        <w:t>[124,133,</w:t>
      </w:r>
      <w:r w:rsidR="00860B87" w:rsidRPr="00B00AC1">
        <w:rPr>
          <w:rFonts w:ascii="Book Antiqua" w:hAnsi="Book Antiqua" w:cs="Arial"/>
          <w:noProof/>
          <w:sz w:val="24"/>
          <w:vertAlign w:val="superscript"/>
        </w:rPr>
        <w:t>134]</w:t>
      </w:r>
      <w:r w:rsidRPr="00B00AC1">
        <w:rPr>
          <w:rFonts w:ascii="Book Antiqua" w:hAnsi="Book Antiqua" w:cs="Arial"/>
          <w:sz w:val="24"/>
        </w:rPr>
        <w:t>.</w:t>
      </w:r>
      <w:hyperlink w:anchor="_ENREF_126" w:tooltip="Lamers, 2013 #910" w:history="1"/>
      <w:r w:rsidRPr="00B00AC1">
        <w:rPr>
          <w:rFonts w:ascii="Book Antiqua" w:hAnsi="Book Antiqua" w:cs="Arial"/>
          <w:sz w:val="24"/>
        </w:rPr>
        <w:t xml:space="preserve"> In a clinical trial of renal cell cancer, the patients administrated with a maximum of 10 infusions of a total 0.2 to 2.1</w:t>
      </w:r>
      <w:r w:rsidR="00226E1E">
        <w:rPr>
          <w:rFonts w:ascii="Book Antiqua" w:hAnsi="Book Antiqua" w:cs="Arial" w:hint="eastAsia"/>
          <w:sz w:val="24"/>
        </w:rPr>
        <w:t xml:space="preserve"> </w:t>
      </w:r>
      <w:r w:rsidRPr="00B00AC1">
        <w:rPr>
          <w:rFonts w:ascii="Book Antiqua" w:hAnsi="Book Antiqua" w:cs="Arial"/>
          <w:sz w:val="24"/>
        </w:rPr>
        <w:t>×</w:t>
      </w:r>
      <w:r w:rsidR="00226E1E">
        <w:rPr>
          <w:rFonts w:ascii="Book Antiqua" w:hAnsi="Book Antiqua" w:cs="Arial" w:hint="eastAsia"/>
          <w:sz w:val="24"/>
        </w:rPr>
        <w:t xml:space="preserve"> </w:t>
      </w:r>
      <w:r w:rsidRPr="00B00AC1">
        <w:rPr>
          <w:rFonts w:ascii="Book Antiqua" w:hAnsi="Book Antiqua" w:cs="Arial"/>
          <w:sz w:val="24"/>
        </w:rPr>
        <w:t>10</w:t>
      </w:r>
      <w:r w:rsidRPr="00B00AC1">
        <w:rPr>
          <w:rFonts w:ascii="Book Antiqua" w:hAnsi="Book Antiqua" w:cs="Arial"/>
          <w:sz w:val="24"/>
          <w:vertAlign w:val="superscript"/>
        </w:rPr>
        <w:t>9</w:t>
      </w:r>
      <w:r w:rsidRPr="00B00AC1">
        <w:rPr>
          <w:rFonts w:ascii="Book Antiqua" w:hAnsi="Book Antiqua" w:cs="Arial"/>
          <w:sz w:val="24"/>
        </w:rPr>
        <w:t xml:space="preserve"> CAR-T cells manifested liver enzyme disturbances and finally stopped the </w:t>
      </w:r>
      <w:proofErr w:type="gramStart"/>
      <w:r w:rsidRPr="00B00AC1">
        <w:rPr>
          <w:rFonts w:ascii="Book Antiqua" w:hAnsi="Book Antiqua" w:cs="Arial"/>
          <w:sz w:val="24"/>
        </w:rPr>
        <w:t>treatment</w:t>
      </w:r>
      <w:r w:rsidR="00860B87" w:rsidRPr="00B00AC1">
        <w:rPr>
          <w:rFonts w:ascii="Book Antiqua" w:hAnsi="Book Antiqua" w:cs="Arial"/>
          <w:noProof/>
          <w:sz w:val="24"/>
          <w:vertAlign w:val="superscript"/>
        </w:rPr>
        <w:t>[</w:t>
      </w:r>
      <w:proofErr w:type="gramEnd"/>
      <w:r w:rsidR="00860B87" w:rsidRPr="00B00AC1">
        <w:rPr>
          <w:rFonts w:ascii="Book Antiqua" w:hAnsi="Book Antiqua" w:cs="Arial"/>
          <w:noProof/>
          <w:sz w:val="24"/>
          <w:vertAlign w:val="superscript"/>
        </w:rPr>
        <w:t>133]</w:t>
      </w:r>
      <w:r w:rsidRPr="00B00AC1">
        <w:rPr>
          <w:rFonts w:ascii="Book Antiqua" w:hAnsi="Book Antiqua" w:cs="Arial"/>
          <w:sz w:val="24"/>
        </w:rPr>
        <w:t xml:space="preserve">. A patient administrated with CAR-T cells based on a Her2/neu-specific CARs died soon after the </w:t>
      </w:r>
      <w:proofErr w:type="gramStart"/>
      <w:r w:rsidRPr="00B00AC1">
        <w:rPr>
          <w:rFonts w:ascii="Book Antiqua" w:hAnsi="Book Antiqua" w:cs="Arial"/>
          <w:sz w:val="24"/>
        </w:rPr>
        <w:t>treatment</w:t>
      </w:r>
      <w:r w:rsidR="00860B87" w:rsidRPr="00B00AC1">
        <w:rPr>
          <w:rFonts w:ascii="Book Antiqua" w:hAnsi="Book Antiqua" w:cs="Arial"/>
          <w:noProof/>
          <w:sz w:val="24"/>
          <w:vertAlign w:val="superscript"/>
        </w:rPr>
        <w:t>[</w:t>
      </w:r>
      <w:proofErr w:type="gramEnd"/>
      <w:r w:rsidR="00860B87" w:rsidRPr="00B00AC1">
        <w:rPr>
          <w:rFonts w:ascii="Book Antiqua" w:hAnsi="Book Antiqua" w:cs="Arial"/>
          <w:noProof/>
          <w:sz w:val="24"/>
          <w:vertAlign w:val="superscript"/>
        </w:rPr>
        <w:t>124]</w:t>
      </w:r>
      <w:r w:rsidRPr="00B00AC1">
        <w:rPr>
          <w:rFonts w:ascii="Book Antiqua" w:hAnsi="Book Antiqua" w:cs="Arial"/>
          <w:sz w:val="24"/>
        </w:rPr>
        <w:t>. These data from renal carcinoma seemed to indicate a dim future of CAR-T applications in solid tumors. To achieve a better clinical response, CAR-T cells need to overcome two major barriers, which are insufficient T-cell migration into the lesions and highly immunosuppressive micr</w:t>
      </w:r>
      <w:r w:rsidR="00226E1E">
        <w:rPr>
          <w:rFonts w:ascii="Book Antiqua" w:hAnsi="Book Antiqua" w:cs="Arial"/>
          <w:sz w:val="24"/>
        </w:rPr>
        <w:t xml:space="preserve">oenvironments within the </w:t>
      </w:r>
      <w:proofErr w:type="gramStart"/>
      <w:r w:rsidR="00226E1E">
        <w:rPr>
          <w:rFonts w:ascii="Book Antiqua" w:hAnsi="Book Antiqua" w:cs="Arial"/>
          <w:sz w:val="24"/>
        </w:rPr>
        <w:t>tumors</w:t>
      </w:r>
      <w:r w:rsidRPr="00B00AC1">
        <w:rPr>
          <w:rFonts w:ascii="Book Antiqua" w:hAnsi="Book Antiqua" w:cs="Arial"/>
          <w:noProof/>
          <w:sz w:val="24"/>
          <w:vertAlign w:val="superscript"/>
        </w:rPr>
        <w:t>[</w:t>
      </w:r>
      <w:proofErr w:type="gramEnd"/>
      <w:r w:rsidR="00860B87" w:rsidRPr="00B00AC1">
        <w:rPr>
          <w:rFonts w:ascii="Book Antiqua" w:hAnsi="Book Antiqua" w:cs="Arial"/>
          <w:noProof/>
          <w:sz w:val="24"/>
          <w:vertAlign w:val="superscript"/>
        </w:rPr>
        <w:t>118</w:t>
      </w:r>
      <w:r w:rsidR="00226E1E">
        <w:rPr>
          <w:rFonts w:ascii="Book Antiqua" w:hAnsi="Book Antiqua" w:cs="Arial"/>
          <w:noProof/>
          <w:sz w:val="24"/>
          <w:vertAlign w:val="superscript"/>
        </w:rPr>
        <w:t>,</w:t>
      </w:r>
      <w:r w:rsidR="00860B87" w:rsidRPr="00B00AC1">
        <w:rPr>
          <w:rFonts w:ascii="Book Antiqua" w:hAnsi="Book Antiqua" w:cs="Arial"/>
          <w:noProof/>
          <w:sz w:val="24"/>
          <w:vertAlign w:val="superscript"/>
        </w:rPr>
        <w:t>135</w:t>
      </w:r>
      <w:r w:rsidR="00226E1E">
        <w:rPr>
          <w:rFonts w:ascii="Book Antiqua" w:hAnsi="Book Antiqua" w:cs="Arial"/>
          <w:noProof/>
          <w:sz w:val="24"/>
          <w:vertAlign w:val="superscript"/>
        </w:rPr>
        <w:t>,</w:t>
      </w:r>
      <w:r w:rsidR="00860B87" w:rsidRPr="00B00AC1">
        <w:rPr>
          <w:rFonts w:ascii="Book Antiqua" w:hAnsi="Book Antiqua" w:cs="Arial"/>
          <w:noProof/>
          <w:sz w:val="24"/>
          <w:vertAlign w:val="superscript"/>
        </w:rPr>
        <w:t>136</w:t>
      </w:r>
      <w:r w:rsidRPr="00B00AC1">
        <w:rPr>
          <w:rFonts w:ascii="Book Antiqua" w:hAnsi="Book Antiqua" w:cs="Arial"/>
          <w:noProof/>
          <w:sz w:val="24"/>
          <w:vertAlign w:val="superscript"/>
        </w:rPr>
        <w:t>]</w:t>
      </w:r>
      <w:r w:rsidRPr="00B00AC1">
        <w:rPr>
          <w:rFonts w:ascii="Book Antiqua" w:hAnsi="Book Antiqua" w:cs="Arial"/>
          <w:sz w:val="24"/>
        </w:rPr>
        <w:t>.</w:t>
      </w:r>
    </w:p>
    <w:p w14:paraId="5986D734" w14:textId="2528F3CB" w:rsidR="00F45BC7" w:rsidRPr="00B00AC1" w:rsidRDefault="00553414" w:rsidP="00226E1E">
      <w:pPr>
        <w:spacing w:line="360" w:lineRule="auto"/>
        <w:ind w:firstLineChars="100" w:firstLine="240"/>
        <w:rPr>
          <w:rFonts w:ascii="Book Antiqua" w:hAnsi="Book Antiqua" w:cs="Arial"/>
          <w:sz w:val="24"/>
        </w:rPr>
      </w:pPr>
      <w:r w:rsidRPr="00B00AC1">
        <w:rPr>
          <w:rFonts w:ascii="Book Antiqua" w:hAnsi="Book Antiqua" w:cs="Arial"/>
          <w:sz w:val="24"/>
        </w:rPr>
        <w:t>Considered collectively</w:t>
      </w:r>
      <w:r w:rsidR="00F45BC7" w:rsidRPr="00B00AC1">
        <w:rPr>
          <w:rFonts w:ascii="Book Antiqua" w:hAnsi="Book Antiqua" w:cs="Arial"/>
          <w:sz w:val="24"/>
        </w:rPr>
        <w:t xml:space="preserve">, the </w:t>
      </w:r>
      <w:r w:rsidR="0007330F" w:rsidRPr="00B00AC1">
        <w:rPr>
          <w:rFonts w:ascii="Book Antiqua" w:hAnsi="Book Antiqua" w:cs="Arial"/>
          <w:sz w:val="24"/>
        </w:rPr>
        <w:t>original studies</w:t>
      </w:r>
      <w:r w:rsidR="00F45BC7" w:rsidRPr="00B00AC1">
        <w:rPr>
          <w:rFonts w:ascii="Book Antiqua" w:hAnsi="Book Antiqua" w:cs="Arial"/>
          <w:sz w:val="24"/>
        </w:rPr>
        <w:t xml:space="preserve"> have </w:t>
      </w:r>
      <w:r w:rsidR="0007330F" w:rsidRPr="00B00AC1">
        <w:rPr>
          <w:rFonts w:ascii="Book Antiqua" w:hAnsi="Book Antiqua" w:cs="Arial"/>
          <w:sz w:val="24"/>
        </w:rPr>
        <w:t xml:space="preserve">highlighted </w:t>
      </w:r>
      <w:r w:rsidR="00F45BC7" w:rsidRPr="00B00AC1">
        <w:rPr>
          <w:rFonts w:ascii="Book Antiqua" w:hAnsi="Book Antiqua" w:cs="Arial"/>
          <w:sz w:val="24"/>
        </w:rPr>
        <w:t xml:space="preserve">two important lessons to </w:t>
      </w:r>
      <w:r w:rsidR="0007330F" w:rsidRPr="00B00AC1">
        <w:rPr>
          <w:rFonts w:ascii="Book Antiqua" w:hAnsi="Book Antiqua" w:cs="Arial"/>
          <w:sz w:val="24"/>
        </w:rPr>
        <w:t xml:space="preserve">all of </w:t>
      </w:r>
      <w:r w:rsidR="00F45BC7" w:rsidRPr="00B00AC1">
        <w:rPr>
          <w:rFonts w:ascii="Book Antiqua" w:hAnsi="Book Antiqua" w:cs="Arial"/>
          <w:sz w:val="24"/>
        </w:rPr>
        <w:t xml:space="preserve">us. </w:t>
      </w:r>
      <w:r w:rsidR="0007330F" w:rsidRPr="00B00AC1">
        <w:rPr>
          <w:rFonts w:ascii="Book Antiqua" w:hAnsi="Book Antiqua" w:cs="Arial"/>
          <w:sz w:val="24"/>
        </w:rPr>
        <w:t>To begin with</w:t>
      </w:r>
      <w:r w:rsidR="00F45BC7" w:rsidRPr="00B00AC1">
        <w:rPr>
          <w:rFonts w:ascii="Book Antiqua" w:hAnsi="Book Antiqua" w:cs="Arial"/>
          <w:sz w:val="24"/>
        </w:rPr>
        <w:t xml:space="preserve">, clinical anti-tumor responses of T cells </w:t>
      </w:r>
      <w:r w:rsidR="00484F2E" w:rsidRPr="00B00AC1">
        <w:rPr>
          <w:rFonts w:ascii="Book Antiqua" w:hAnsi="Book Antiqua" w:cs="Arial"/>
          <w:sz w:val="24"/>
        </w:rPr>
        <w:t xml:space="preserve">seem </w:t>
      </w:r>
      <w:r w:rsidR="00F45BC7" w:rsidRPr="00B00AC1">
        <w:rPr>
          <w:rFonts w:ascii="Book Antiqua" w:hAnsi="Book Antiqua" w:cs="Arial"/>
          <w:sz w:val="24"/>
        </w:rPr>
        <w:t xml:space="preserve">to be </w:t>
      </w:r>
      <w:r w:rsidR="00484F2E" w:rsidRPr="00B00AC1">
        <w:rPr>
          <w:rFonts w:ascii="Book Antiqua" w:hAnsi="Book Antiqua" w:cs="Arial"/>
          <w:sz w:val="24"/>
        </w:rPr>
        <w:t xml:space="preserve">proportional to </w:t>
      </w:r>
      <w:r w:rsidR="00F45BC7" w:rsidRPr="00B00AC1">
        <w:rPr>
          <w:rFonts w:ascii="Book Antiqua" w:hAnsi="Book Antiqua" w:cs="Arial"/>
          <w:sz w:val="24"/>
        </w:rPr>
        <w:t xml:space="preserve">T cell persistence. </w:t>
      </w:r>
      <w:r w:rsidR="00484F2E" w:rsidRPr="00B00AC1">
        <w:rPr>
          <w:rFonts w:ascii="Book Antiqua" w:hAnsi="Book Antiqua" w:cs="Arial"/>
          <w:sz w:val="24"/>
        </w:rPr>
        <w:t>Consequently,</w:t>
      </w:r>
      <w:r w:rsidR="00F45BC7" w:rsidRPr="00B00AC1">
        <w:rPr>
          <w:rFonts w:ascii="Book Antiqua" w:hAnsi="Book Antiqua" w:cs="Arial"/>
          <w:sz w:val="24"/>
        </w:rPr>
        <w:t xml:space="preserve"> we </w:t>
      </w:r>
      <w:r w:rsidR="00484F2E" w:rsidRPr="00B00AC1">
        <w:rPr>
          <w:rFonts w:ascii="Book Antiqua" w:hAnsi="Book Antiqua" w:cs="Arial"/>
          <w:sz w:val="24"/>
        </w:rPr>
        <w:t xml:space="preserve">ought to enhance </w:t>
      </w:r>
      <w:r w:rsidR="00F45BC7" w:rsidRPr="00B00AC1">
        <w:rPr>
          <w:rFonts w:ascii="Book Antiqua" w:hAnsi="Book Antiqua" w:cs="Arial"/>
          <w:sz w:val="24"/>
        </w:rPr>
        <w:t xml:space="preserve">the T cell persistence and </w:t>
      </w:r>
      <w:r w:rsidR="00484F2E" w:rsidRPr="00B00AC1">
        <w:rPr>
          <w:rFonts w:ascii="Book Antiqua" w:hAnsi="Book Antiqua" w:cs="Arial"/>
          <w:sz w:val="24"/>
        </w:rPr>
        <w:t xml:space="preserve">then </w:t>
      </w:r>
      <w:r w:rsidR="00F45BC7" w:rsidRPr="00B00AC1">
        <w:rPr>
          <w:rFonts w:ascii="Book Antiqua" w:hAnsi="Book Antiqua" w:cs="Arial"/>
          <w:sz w:val="24"/>
        </w:rPr>
        <w:t xml:space="preserve">try to efficiently traffic </w:t>
      </w:r>
      <w:r w:rsidR="00484F2E" w:rsidRPr="00B00AC1">
        <w:rPr>
          <w:rFonts w:ascii="Book Antiqua" w:hAnsi="Book Antiqua" w:cs="Arial"/>
          <w:sz w:val="24"/>
        </w:rPr>
        <w:t xml:space="preserve">adequate quantities </w:t>
      </w:r>
      <w:r w:rsidR="00F45BC7" w:rsidRPr="00B00AC1">
        <w:rPr>
          <w:rFonts w:ascii="Book Antiqua" w:hAnsi="Book Antiqua" w:cs="Arial"/>
          <w:sz w:val="24"/>
        </w:rPr>
        <w:t>of CAR-T cells from the peripheral blood to</w:t>
      </w:r>
      <w:r w:rsidR="00484F2E" w:rsidRPr="00B00AC1">
        <w:rPr>
          <w:rFonts w:ascii="Book Antiqua" w:hAnsi="Book Antiqua" w:cs="Arial"/>
          <w:sz w:val="24"/>
        </w:rPr>
        <w:t>wards</w:t>
      </w:r>
      <w:r w:rsidR="00F45BC7" w:rsidRPr="00B00AC1">
        <w:rPr>
          <w:rFonts w:ascii="Book Antiqua" w:hAnsi="Book Antiqua" w:cs="Arial"/>
          <w:sz w:val="24"/>
        </w:rPr>
        <w:t xml:space="preserve"> tumor tissues. Once arrived, these CAR-T cells must functionally respond against tumor cells within such immunosuppressive context. Secondly, understanding and defining the specific target is crucial for the safety of CAR-T treatment. Increasing evidences demonstrated that a careful choice of target antigen, including an understanding of accessibility and expression level must be under consideration for future CAR-T clinical trials. </w:t>
      </w:r>
    </w:p>
    <w:p w14:paraId="7F98644B" w14:textId="77777777" w:rsidR="00226E1E" w:rsidRDefault="00226E1E" w:rsidP="00B00AC1">
      <w:pPr>
        <w:spacing w:line="360" w:lineRule="auto"/>
        <w:rPr>
          <w:rFonts w:ascii="Book Antiqua" w:hAnsi="Book Antiqua" w:cs="Arial"/>
          <w:sz w:val="24"/>
        </w:rPr>
      </w:pPr>
    </w:p>
    <w:p w14:paraId="24FACDD1" w14:textId="776883E2" w:rsidR="00F45BC7" w:rsidRPr="00226E1E" w:rsidRDefault="00F45BC7" w:rsidP="00B00AC1">
      <w:pPr>
        <w:spacing w:line="360" w:lineRule="auto"/>
        <w:rPr>
          <w:rFonts w:ascii="Book Antiqua" w:hAnsi="Book Antiqua" w:cs="Arial"/>
          <w:b/>
          <w:i/>
          <w:sz w:val="24"/>
        </w:rPr>
      </w:pPr>
      <w:r w:rsidRPr="00226E1E">
        <w:rPr>
          <w:rFonts w:ascii="Book Antiqua" w:hAnsi="Book Antiqua" w:cs="Arial"/>
          <w:b/>
          <w:i/>
          <w:sz w:val="24"/>
        </w:rPr>
        <w:t>Treg based immunotherapy</w:t>
      </w:r>
    </w:p>
    <w:p w14:paraId="44B6A24B" w14:textId="55E55802" w:rsidR="00F45BC7" w:rsidRPr="00B00AC1" w:rsidRDefault="00F45BC7" w:rsidP="00B00AC1">
      <w:pPr>
        <w:spacing w:line="360" w:lineRule="auto"/>
        <w:rPr>
          <w:rFonts w:ascii="Book Antiqua" w:hAnsi="Book Antiqua" w:cs="Arial"/>
          <w:sz w:val="24"/>
        </w:rPr>
      </w:pPr>
      <w:r w:rsidRPr="00B00AC1">
        <w:rPr>
          <w:rFonts w:ascii="Book Antiqua" w:hAnsi="Book Antiqua" w:cs="Arial"/>
          <w:sz w:val="24"/>
        </w:rPr>
        <w:t xml:space="preserve">Treg mediated immunosuppression is the </w:t>
      </w:r>
      <w:r w:rsidR="00902B09" w:rsidRPr="00B00AC1">
        <w:rPr>
          <w:rFonts w:ascii="Book Antiqua" w:hAnsi="Book Antiqua" w:cs="Arial"/>
          <w:sz w:val="24"/>
        </w:rPr>
        <w:t xml:space="preserve">essential </w:t>
      </w:r>
      <w:r w:rsidRPr="00B00AC1">
        <w:rPr>
          <w:rFonts w:ascii="Book Antiqua" w:hAnsi="Book Antiqua" w:cs="Arial"/>
          <w:sz w:val="24"/>
        </w:rPr>
        <w:t xml:space="preserve">mechanism </w:t>
      </w:r>
      <w:r w:rsidR="00290747" w:rsidRPr="00B00AC1">
        <w:rPr>
          <w:rFonts w:ascii="Book Antiqua" w:hAnsi="Book Antiqua" w:cs="Arial"/>
          <w:sz w:val="24"/>
        </w:rPr>
        <w:t xml:space="preserve">accountable </w:t>
      </w:r>
      <w:r w:rsidRPr="00B00AC1">
        <w:rPr>
          <w:rFonts w:ascii="Book Antiqua" w:hAnsi="Book Antiqua" w:cs="Arial"/>
          <w:sz w:val="24"/>
        </w:rPr>
        <w:t xml:space="preserve">for tumor immune evasion, and </w:t>
      </w:r>
      <w:r w:rsidR="00290747" w:rsidRPr="00B00AC1">
        <w:rPr>
          <w:rFonts w:ascii="Book Antiqua" w:hAnsi="Book Antiqua" w:cs="Arial"/>
          <w:sz w:val="24"/>
        </w:rPr>
        <w:t xml:space="preserve">could </w:t>
      </w:r>
      <w:r w:rsidRPr="00B00AC1">
        <w:rPr>
          <w:rFonts w:ascii="Book Antiqua" w:hAnsi="Book Antiqua" w:cs="Arial"/>
          <w:sz w:val="24"/>
        </w:rPr>
        <w:t xml:space="preserve">be the </w:t>
      </w:r>
      <w:r w:rsidR="00290747" w:rsidRPr="00B00AC1">
        <w:rPr>
          <w:rFonts w:ascii="Book Antiqua" w:hAnsi="Book Antiqua" w:cs="Arial"/>
          <w:sz w:val="24"/>
        </w:rPr>
        <w:t>primary hurdle of</w:t>
      </w:r>
      <w:r w:rsidRPr="00B00AC1">
        <w:rPr>
          <w:rFonts w:ascii="Book Antiqua" w:hAnsi="Book Antiqua" w:cs="Arial"/>
          <w:sz w:val="24"/>
        </w:rPr>
        <w:t xml:space="preserve"> tumor </w:t>
      </w:r>
      <w:proofErr w:type="gramStart"/>
      <w:r w:rsidRPr="00B00AC1">
        <w:rPr>
          <w:rFonts w:ascii="Book Antiqua" w:hAnsi="Book Antiqua" w:cs="Arial"/>
          <w:sz w:val="24"/>
        </w:rPr>
        <w:t>immunotherapy</w:t>
      </w:r>
      <w:r w:rsidR="00A727BF" w:rsidRPr="00B00AC1">
        <w:rPr>
          <w:rFonts w:ascii="Book Antiqua" w:hAnsi="Book Antiqua" w:cs="Arial"/>
          <w:noProof/>
          <w:sz w:val="24"/>
          <w:vertAlign w:val="superscript"/>
        </w:rPr>
        <w:t>[</w:t>
      </w:r>
      <w:proofErr w:type="gramEnd"/>
      <w:r w:rsidR="00A727BF" w:rsidRPr="00B00AC1">
        <w:rPr>
          <w:rFonts w:ascii="Book Antiqua" w:hAnsi="Book Antiqua" w:cs="Arial"/>
          <w:noProof/>
          <w:sz w:val="24"/>
          <w:vertAlign w:val="superscript"/>
        </w:rPr>
        <w:t>137]</w:t>
      </w:r>
      <w:r w:rsidRPr="00B00AC1">
        <w:rPr>
          <w:rFonts w:ascii="Book Antiqua" w:hAnsi="Book Antiqua" w:cs="Arial"/>
          <w:sz w:val="24"/>
        </w:rPr>
        <w:t>. Tregs characterized by the CD4</w:t>
      </w:r>
      <w:r w:rsidRPr="00B00AC1">
        <w:rPr>
          <w:rFonts w:ascii="Book Antiqua" w:hAnsi="Book Antiqua" w:cs="Arial"/>
          <w:sz w:val="24"/>
          <w:vertAlign w:val="superscript"/>
        </w:rPr>
        <w:t>+</w:t>
      </w:r>
      <w:r w:rsidRPr="00B00AC1">
        <w:rPr>
          <w:rFonts w:ascii="Book Antiqua" w:hAnsi="Book Antiqua" w:cs="Arial"/>
          <w:sz w:val="24"/>
        </w:rPr>
        <w:t>CD25</w:t>
      </w:r>
      <w:r w:rsidRPr="00B00AC1">
        <w:rPr>
          <w:rFonts w:ascii="Book Antiqua" w:hAnsi="Book Antiqua" w:cs="Arial"/>
          <w:sz w:val="24"/>
          <w:vertAlign w:val="superscript"/>
        </w:rPr>
        <w:t>+</w:t>
      </w:r>
      <w:r w:rsidRPr="00B00AC1">
        <w:rPr>
          <w:rFonts w:ascii="Book Antiqua" w:hAnsi="Book Antiqua" w:cs="Arial"/>
          <w:sz w:val="24"/>
        </w:rPr>
        <w:t>FoxP3</w:t>
      </w:r>
      <w:r w:rsidRPr="00B00AC1">
        <w:rPr>
          <w:rFonts w:ascii="Book Antiqua" w:hAnsi="Book Antiqua" w:cs="Arial"/>
          <w:sz w:val="24"/>
          <w:vertAlign w:val="superscript"/>
        </w:rPr>
        <w:t>+</w:t>
      </w:r>
      <w:r w:rsidRPr="00B00AC1">
        <w:rPr>
          <w:rFonts w:ascii="Book Antiqua" w:hAnsi="Book Antiqua" w:cs="Arial"/>
          <w:sz w:val="24"/>
        </w:rPr>
        <w:t>, playing a critical role in immune homeostasis and suppress function of immune cells such as CD8</w:t>
      </w:r>
      <w:r w:rsidRPr="00B00AC1">
        <w:rPr>
          <w:rFonts w:ascii="Book Antiqua" w:hAnsi="Book Antiqua" w:cs="Arial"/>
          <w:sz w:val="24"/>
          <w:vertAlign w:val="superscript"/>
        </w:rPr>
        <w:t>+</w:t>
      </w:r>
      <w:r w:rsidRPr="00B00AC1">
        <w:rPr>
          <w:rFonts w:ascii="Book Antiqua" w:hAnsi="Book Antiqua" w:cs="Arial"/>
          <w:sz w:val="24"/>
        </w:rPr>
        <w:t>T cells, CD4</w:t>
      </w:r>
      <w:r w:rsidRPr="00B00AC1">
        <w:rPr>
          <w:rFonts w:ascii="Book Antiqua" w:hAnsi="Book Antiqua" w:cs="Arial"/>
          <w:sz w:val="24"/>
          <w:vertAlign w:val="superscript"/>
        </w:rPr>
        <w:t>+</w:t>
      </w:r>
      <w:r w:rsidRPr="00B00AC1">
        <w:rPr>
          <w:rFonts w:ascii="Book Antiqua" w:hAnsi="Book Antiqua" w:cs="Arial"/>
          <w:sz w:val="24"/>
        </w:rPr>
        <w:t xml:space="preserve"> T cells and NKT cells. Many reports have demonstrated that the amount of Tregs in solid tumor decreased and inversely related to the prognosis of HCC </w:t>
      </w:r>
      <w:proofErr w:type="gramStart"/>
      <w:r w:rsidRPr="00B00AC1">
        <w:rPr>
          <w:rFonts w:ascii="Book Antiqua" w:hAnsi="Book Antiqua" w:cs="Arial"/>
          <w:sz w:val="24"/>
        </w:rPr>
        <w:t>patients</w:t>
      </w:r>
      <w:r w:rsidR="00226E1E">
        <w:rPr>
          <w:rFonts w:ascii="Book Antiqua" w:hAnsi="Book Antiqua" w:cs="Arial"/>
          <w:noProof/>
          <w:sz w:val="24"/>
          <w:vertAlign w:val="superscript"/>
        </w:rPr>
        <w:t>[</w:t>
      </w:r>
      <w:proofErr w:type="gramEnd"/>
      <w:r w:rsidR="00226E1E">
        <w:rPr>
          <w:rFonts w:ascii="Book Antiqua" w:hAnsi="Book Antiqua" w:cs="Arial"/>
          <w:noProof/>
          <w:sz w:val="24"/>
          <w:vertAlign w:val="superscript"/>
        </w:rPr>
        <w:t>10,</w:t>
      </w:r>
      <w:r w:rsidR="00A727BF" w:rsidRPr="00B00AC1">
        <w:rPr>
          <w:rFonts w:ascii="Book Antiqua" w:hAnsi="Book Antiqua" w:cs="Arial"/>
          <w:noProof/>
          <w:sz w:val="24"/>
          <w:vertAlign w:val="superscript"/>
        </w:rPr>
        <w:t>138-141]</w:t>
      </w:r>
      <w:r w:rsidRPr="00B00AC1">
        <w:rPr>
          <w:rFonts w:ascii="Book Antiqua" w:hAnsi="Book Antiqua" w:cs="Arial"/>
          <w:sz w:val="24"/>
        </w:rPr>
        <w:t>.</w:t>
      </w:r>
    </w:p>
    <w:p w14:paraId="2D7CE925" w14:textId="7B7BF8C1" w:rsidR="00F45BC7" w:rsidRPr="00B00AC1" w:rsidRDefault="00F45BC7" w:rsidP="00226E1E">
      <w:pPr>
        <w:spacing w:line="360" w:lineRule="auto"/>
        <w:ind w:firstLineChars="100" w:firstLine="240"/>
        <w:rPr>
          <w:rFonts w:ascii="Book Antiqua" w:hAnsi="Book Antiqua" w:cs="Arial"/>
          <w:sz w:val="24"/>
        </w:rPr>
      </w:pPr>
      <w:r w:rsidRPr="00B00AC1">
        <w:rPr>
          <w:rFonts w:ascii="Book Antiqua" w:hAnsi="Book Antiqua" w:cs="Arial"/>
          <w:sz w:val="24"/>
        </w:rPr>
        <w:t xml:space="preserve">Targeting Tregs has been of great interest to change the immune suppression milieu and enhance tumor specific immune responses. Depletion of Tregs using anti-CD25 monoclonal antibody has shown substantial anti-tumor effects in murine tumor </w:t>
      </w:r>
      <w:proofErr w:type="gramStart"/>
      <w:r w:rsidRPr="00B00AC1">
        <w:rPr>
          <w:rFonts w:ascii="Book Antiqua" w:hAnsi="Book Antiqua" w:cs="Arial"/>
          <w:sz w:val="24"/>
        </w:rPr>
        <w:t>models</w:t>
      </w:r>
      <w:r w:rsidR="00A727BF" w:rsidRPr="00B00AC1">
        <w:rPr>
          <w:rFonts w:ascii="Book Antiqua" w:hAnsi="Book Antiqua" w:cs="Arial"/>
          <w:noProof/>
          <w:sz w:val="24"/>
          <w:vertAlign w:val="superscript"/>
        </w:rPr>
        <w:t>[</w:t>
      </w:r>
      <w:proofErr w:type="gramEnd"/>
      <w:r w:rsidR="00A727BF" w:rsidRPr="00B00AC1">
        <w:rPr>
          <w:rFonts w:ascii="Book Antiqua" w:hAnsi="Book Antiqua" w:cs="Arial"/>
          <w:noProof/>
          <w:sz w:val="24"/>
          <w:vertAlign w:val="superscript"/>
        </w:rPr>
        <w:t>142]</w:t>
      </w:r>
      <w:r w:rsidRPr="00B00AC1">
        <w:rPr>
          <w:rFonts w:ascii="Book Antiqua" w:hAnsi="Book Antiqua" w:cs="Arial"/>
          <w:sz w:val="24"/>
        </w:rPr>
        <w:t>. Nonspecific approach of CD25</w:t>
      </w:r>
      <w:r w:rsidRPr="00B00AC1">
        <w:rPr>
          <w:rFonts w:ascii="Book Antiqua" w:hAnsi="Book Antiqua" w:cs="Arial"/>
          <w:sz w:val="24"/>
          <w:vertAlign w:val="superscript"/>
        </w:rPr>
        <w:t>+</w:t>
      </w:r>
      <w:r w:rsidRPr="00B00AC1">
        <w:rPr>
          <w:rFonts w:ascii="Book Antiqua" w:hAnsi="Book Antiqua" w:cs="Arial"/>
          <w:sz w:val="24"/>
        </w:rPr>
        <w:t xml:space="preserve"> T cell depletion by injection of PC61 antibody was also tested on an orthotropic HCC model, leading to a significant protection against tumor </w:t>
      </w:r>
      <w:proofErr w:type="gramStart"/>
      <w:r w:rsidRPr="00B00AC1">
        <w:rPr>
          <w:rFonts w:ascii="Book Antiqua" w:hAnsi="Book Antiqua" w:cs="Arial"/>
          <w:sz w:val="24"/>
        </w:rPr>
        <w:t>development</w:t>
      </w:r>
      <w:r w:rsidR="00A727BF" w:rsidRPr="00B00AC1">
        <w:rPr>
          <w:rFonts w:ascii="Book Antiqua" w:hAnsi="Book Antiqua" w:cs="Arial"/>
          <w:noProof/>
          <w:sz w:val="24"/>
          <w:vertAlign w:val="superscript"/>
        </w:rPr>
        <w:t>[</w:t>
      </w:r>
      <w:proofErr w:type="gramEnd"/>
      <w:r w:rsidR="00A727BF" w:rsidRPr="00B00AC1">
        <w:rPr>
          <w:rFonts w:ascii="Book Antiqua" w:hAnsi="Book Antiqua" w:cs="Arial"/>
          <w:noProof/>
          <w:sz w:val="24"/>
          <w:vertAlign w:val="superscript"/>
        </w:rPr>
        <w:t>143]</w:t>
      </w:r>
      <w:r w:rsidRPr="00B00AC1">
        <w:rPr>
          <w:rFonts w:ascii="Book Antiqua" w:hAnsi="Book Antiqua" w:cs="Arial"/>
          <w:sz w:val="24"/>
        </w:rPr>
        <w:t xml:space="preserve">. </w:t>
      </w:r>
      <w:r w:rsidRPr="00B00AC1">
        <w:rPr>
          <w:rFonts w:ascii="Book Antiqua" w:hAnsi="Book Antiqua" w:cs="Book Antiqua"/>
          <w:kern w:val="0"/>
          <w:sz w:val="24"/>
        </w:rPr>
        <w:t>No such strategy has been performed on human till now.</w:t>
      </w:r>
    </w:p>
    <w:p w14:paraId="2C08F860" w14:textId="77777777" w:rsidR="00F45BC7" w:rsidRPr="00B00AC1" w:rsidRDefault="00F45BC7" w:rsidP="00B00AC1">
      <w:pPr>
        <w:spacing w:line="360" w:lineRule="auto"/>
        <w:ind w:firstLineChars="200" w:firstLine="480"/>
        <w:rPr>
          <w:rFonts w:ascii="Book Antiqua" w:hAnsi="Book Antiqua" w:cs="Arial"/>
          <w:sz w:val="24"/>
        </w:rPr>
      </w:pPr>
    </w:p>
    <w:p w14:paraId="6F2D3CBC" w14:textId="30E85464" w:rsidR="00F45BC7" w:rsidRPr="00B00AC1" w:rsidRDefault="00226E1E" w:rsidP="00226E1E">
      <w:pPr>
        <w:spacing w:line="360" w:lineRule="auto"/>
        <w:rPr>
          <w:rFonts w:ascii="Book Antiqua" w:hAnsi="Book Antiqua" w:cs="Arial"/>
          <w:b/>
          <w:sz w:val="24"/>
        </w:rPr>
      </w:pPr>
      <w:r w:rsidRPr="00F1220F">
        <w:rPr>
          <w:rFonts w:ascii="Book Antiqua" w:hAnsi="Book Antiqua"/>
          <w:b/>
          <w:sz w:val="24"/>
        </w:rPr>
        <w:t>CONCLUSION</w:t>
      </w:r>
    </w:p>
    <w:p w14:paraId="357FEB8A" w14:textId="23CA1433" w:rsidR="00F45BC7" w:rsidRPr="00B00AC1" w:rsidRDefault="00F45BC7" w:rsidP="00226E1E">
      <w:pPr>
        <w:spacing w:line="360" w:lineRule="auto"/>
        <w:rPr>
          <w:rFonts w:ascii="Book Antiqua" w:hAnsi="Book Antiqua" w:cs="Arial"/>
          <w:b/>
          <w:sz w:val="24"/>
        </w:rPr>
      </w:pPr>
      <w:r w:rsidRPr="00B00AC1">
        <w:rPr>
          <w:rFonts w:ascii="Book Antiqua" w:hAnsi="Book Antiqua"/>
          <w:sz w:val="24"/>
        </w:rPr>
        <w:t>A</w:t>
      </w:r>
      <w:r w:rsidR="00D352AE" w:rsidRPr="00B00AC1">
        <w:rPr>
          <w:rFonts w:ascii="Book Antiqua" w:hAnsi="Book Antiqua"/>
          <w:sz w:val="24"/>
        </w:rPr>
        <w:t xml:space="preserve">n array </w:t>
      </w:r>
      <w:r w:rsidRPr="00B00AC1">
        <w:rPr>
          <w:rFonts w:ascii="Book Antiqua" w:hAnsi="Book Antiqua"/>
          <w:sz w:val="24"/>
        </w:rPr>
        <w:t>of translational research and pilot clinical trials have revealed that immunotherapy is safe and tolerant for patients with cancers. The efficac</w:t>
      </w:r>
      <w:r w:rsidR="00D352AE" w:rsidRPr="00B00AC1">
        <w:rPr>
          <w:rFonts w:ascii="Book Antiqua" w:hAnsi="Book Antiqua"/>
          <w:sz w:val="24"/>
        </w:rPr>
        <w:t>ies</w:t>
      </w:r>
      <w:r w:rsidRPr="00B00AC1">
        <w:rPr>
          <w:rFonts w:ascii="Book Antiqua" w:hAnsi="Book Antiqua"/>
          <w:sz w:val="24"/>
        </w:rPr>
        <w:t xml:space="preserve"> </w:t>
      </w:r>
      <w:r w:rsidR="00D352AE" w:rsidRPr="00B00AC1">
        <w:rPr>
          <w:rFonts w:ascii="Book Antiqua" w:hAnsi="Book Antiqua"/>
          <w:sz w:val="24"/>
        </w:rPr>
        <w:t>are also offered</w:t>
      </w:r>
      <w:r w:rsidRPr="00B00AC1">
        <w:rPr>
          <w:rFonts w:ascii="Book Antiqua" w:hAnsi="Book Antiqua"/>
          <w:sz w:val="24"/>
        </w:rPr>
        <w:t xml:space="preserve"> in some type of immunotherapy in selected patients. In HCC, more studies, </w:t>
      </w:r>
      <w:r w:rsidR="00C95E73" w:rsidRPr="00B00AC1">
        <w:rPr>
          <w:rFonts w:ascii="Book Antiqua" w:hAnsi="Book Antiqua"/>
          <w:sz w:val="24"/>
        </w:rPr>
        <w:t>including</w:t>
      </w:r>
      <w:r w:rsidRPr="00B00AC1">
        <w:rPr>
          <w:rFonts w:ascii="Book Antiqua" w:hAnsi="Book Antiqua"/>
          <w:sz w:val="24"/>
        </w:rPr>
        <w:t xml:space="preserve"> basic and clinical researches, are urgently </w:t>
      </w:r>
      <w:r w:rsidR="00C95E73" w:rsidRPr="00B00AC1">
        <w:rPr>
          <w:rFonts w:ascii="Book Antiqua" w:hAnsi="Book Antiqua"/>
          <w:sz w:val="24"/>
        </w:rPr>
        <w:t>required</w:t>
      </w:r>
      <w:r w:rsidRPr="00B00AC1">
        <w:rPr>
          <w:rFonts w:ascii="Book Antiqua" w:hAnsi="Book Antiqua"/>
          <w:sz w:val="24"/>
        </w:rPr>
        <w:t xml:space="preserve"> to improve the </w:t>
      </w:r>
      <w:r w:rsidR="00C95E73" w:rsidRPr="00B00AC1">
        <w:rPr>
          <w:rFonts w:ascii="Book Antiqua" w:hAnsi="Book Antiqua"/>
          <w:sz w:val="24"/>
        </w:rPr>
        <w:t>outcomes</w:t>
      </w:r>
      <w:r w:rsidRPr="00B00AC1">
        <w:rPr>
          <w:rFonts w:ascii="Book Antiqua" w:hAnsi="Book Antiqua"/>
          <w:sz w:val="24"/>
        </w:rPr>
        <w:t xml:space="preserve"> of immunotherapy with best-cost performance. </w:t>
      </w:r>
      <w:r w:rsidR="00C95E73" w:rsidRPr="00B00AC1">
        <w:rPr>
          <w:rFonts w:ascii="Book Antiqua" w:hAnsi="Book Antiqua"/>
          <w:sz w:val="24"/>
        </w:rPr>
        <w:t>Currently</w:t>
      </w:r>
      <w:r w:rsidRPr="00B00AC1">
        <w:rPr>
          <w:rFonts w:ascii="Book Antiqua" w:hAnsi="Book Antiqua"/>
          <w:sz w:val="24"/>
        </w:rPr>
        <w:t xml:space="preserve">, immune checkpoint blockade and CAR-T strategies are </w:t>
      </w:r>
      <w:r w:rsidR="00C95E73" w:rsidRPr="00B00AC1">
        <w:rPr>
          <w:rFonts w:ascii="Book Antiqua" w:hAnsi="Book Antiqua"/>
          <w:sz w:val="24"/>
        </w:rPr>
        <w:t>specifically</w:t>
      </w:r>
      <w:r w:rsidRPr="00B00AC1">
        <w:rPr>
          <w:rFonts w:ascii="Book Antiqua" w:hAnsi="Book Antiqua"/>
          <w:sz w:val="24"/>
        </w:rPr>
        <w:t xml:space="preserve"> </w:t>
      </w:r>
      <w:r w:rsidR="00C95E73" w:rsidRPr="00B00AC1">
        <w:rPr>
          <w:rFonts w:ascii="Book Antiqua" w:hAnsi="Book Antiqua"/>
          <w:sz w:val="24"/>
        </w:rPr>
        <w:t>expected</w:t>
      </w:r>
      <w:r w:rsidRPr="00B00AC1">
        <w:rPr>
          <w:rFonts w:ascii="Book Antiqua" w:hAnsi="Book Antiqua"/>
          <w:sz w:val="24"/>
        </w:rPr>
        <w:t xml:space="preserve">. In addition, it </w:t>
      </w:r>
      <w:r w:rsidR="00C95E73" w:rsidRPr="00B00AC1">
        <w:rPr>
          <w:rFonts w:ascii="Book Antiqua" w:hAnsi="Book Antiqua"/>
          <w:sz w:val="24"/>
        </w:rPr>
        <w:t>is</w:t>
      </w:r>
      <w:r w:rsidRPr="00B00AC1">
        <w:rPr>
          <w:rFonts w:ascii="Book Antiqua" w:hAnsi="Book Antiqua"/>
          <w:sz w:val="24"/>
        </w:rPr>
        <w:t xml:space="preserve"> become </w:t>
      </w:r>
      <w:r w:rsidR="00C95E73" w:rsidRPr="00B00AC1">
        <w:rPr>
          <w:rFonts w:ascii="Book Antiqua" w:hAnsi="Book Antiqua"/>
          <w:sz w:val="24"/>
        </w:rPr>
        <w:t>obvious</w:t>
      </w:r>
      <w:r w:rsidRPr="00B00AC1">
        <w:rPr>
          <w:rFonts w:ascii="Book Antiqua" w:hAnsi="Book Antiqua"/>
          <w:sz w:val="24"/>
        </w:rPr>
        <w:t xml:space="preserve"> that </w:t>
      </w:r>
      <w:r w:rsidR="00C95E73" w:rsidRPr="00B00AC1">
        <w:rPr>
          <w:rFonts w:ascii="Book Antiqua" w:hAnsi="Book Antiqua"/>
          <w:sz w:val="24"/>
        </w:rPr>
        <w:t>incorporating</w:t>
      </w:r>
      <w:r w:rsidRPr="00B00AC1">
        <w:rPr>
          <w:rFonts w:ascii="Book Antiqua" w:hAnsi="Book Antiqua"/>
          <w:sz w:val="24"/>
        </w:rPr>
        <w:t xml:space="preserve"> </w:t>
      </w:r>
      <w:r w:rsidR="00C95E73" w:rsidRPr="00B00AC1">
        <w:rPr>
          <w:rFonts w:ascii="Book Antiqua" w:hAnsi="Book Antiqua"/>
          <w:sz w:val="24"/>
        </w:rPr>
        <w:t>standard</w:t>
      </w:r>
      <w:r w:rsidRPr="00B00AC1">
        <w:rPr>
          <w:rFonts w:ascii="Book Antiqua" w:hAnsi="Book Antiqua"/>
          <w:sz w:val="24"/>
        </w:rPr>
        <w:t xml:space="preserve"> anti-tumor therapies with immunotherapy is a </w:t>
      </w:r>
      <w:r w:rsidR="00C95E73" w:rsidRPr="00B00AC1">
        <w:rPr>
          <w:rFonts w:ascii="Book Antiqua" w:hAnsi="Book Antiqua"/>
          <w:sz w:val="24"/>
        </w:rPr>
        <w:t>most likely effective alternative. Ultimately</w:t>
      </w:r>
      <w:r w:rsidRPr="00B00AC1">
        <w:rPr>
          <w:rFonts w:ascii="Book Antiqua" w:hAnsi="Book Antiqua"/>
          <w:sz w:val="24"/>
        </w:rPr>
        <w:t xml:space="preserve">, </w:t>
      </w:r>
      <w:r w:rsidR="00C95E73" w:rsidRPr="00B00AC1">
        <w:rPr>
          <w:rFonts w:ascii="Book Antiqua" w:hAnsi="Book Antiqua"/>
          <w:sz w:val="24"/>
        </w:rPr>
        <w:t>more substantial</w:t>
      </w:r>
      <w:r w:rsidRPr="00B00AC1">
        <w:rPr>
          <w:rFonts w:ascii="Book Antiqua" w:hAnsi="Book Antiqua"/>
          <w:sz w:val="24"/>
        </w:rPr>
        <w:t xml:space="preserve"> randomized, controlled trials are </w:t>
      </w:r>
      <w:r w:rsidR="00C95E73" w:rsidRPr="00B00AC1">
        <w:rPr>
          <w:rFonts w:ascii="Book Antiqua" w:hAnsi="Book Antiqua"/>
          <w:sz w:val="24"/>
        </w:rPr>
        <w:t>required</w:t>
      </w:r>
      <w:r w:rsidRPr="00B00AC1">
        <w:rPr>
          <w:rFonts w:ascii="Book Antiqua" w:hAnsi="Book Antiqua"/>
          <w:sz w:val="24"/>
        </w:rPr>
        <w:t xml:space="preserve"> to </w:t>
      </w:r>
      <w:r w:rsidR="00C95E73" w:rsidRPr="00B00AC1">
        <w:rPr>
          <w:rFonts w:ascii="Book Antiqua" w:hAnsi="Book Antiqua"/>
          <w:sz w:val="24"/>
        </w:rPr>
        <w:t>authenticate</w:t>
      </w:r>
      <w:r w:rsidRPr="00B00AC1">
        <w:rPr>
          <w:rFonts w:ascii="Book Antiqua" w:hAnsi="Book Antiqua"/>
          <w:sz w:val="24"/>
        </w:rPr>
        <w:t xml:space="preserve"> the efficacy of immunotherapy for HCC patients.</w:t>
      </w:r>
    </w:p>
    <w:p w14:paraId="21C33606" w14:textId="77777777" w:rsidR="00226E1E" w:rsidRPr="00226E1E" w:rsidRDefault="00226E1E" w:rsidP="00226E1E">
      <w:pPr>
        <w:spacing w:line="360" w:lineRule="auto"/>
        <w:rPr>
          <w:rFonts w:ascii="Book Antiqua" w:hAnsi="Book Antiqua" w:cs="Arial"/>
          <w:b/>
          <w:sz w:val="24"/>
        </w:rPr>
      </w:pPr>
    </w:p>
    <w:p w14:paraId="077BCEB3" w14:textId="3BF38754" w:rsidR="00F45BC7" w:rsidRPr="00226E1E" w:rsidRDefault="00226E1E" w:rsidP="00226E1E">
      <w:pPr>
        <w:spacing w:line="360" w:lineRule="auto"/>
        <w:rPr>
          <w:rFonts w:ascii="Book Antiqua" w:hAnsi="Book Antiqua" w:cs="Arial"/>
          <w:sz w:val="24"/>
        </w:rPr>
      </w:pPr>
      <w:r w:rsidRPr="00226E1E">
        <w:rPr>
          <w:rFonts w:ascii="Book Antiqua" w:hAnsi="Book Antiqua" w:cs="Arial"/>
          <w:b/>
          <w:sz w:val="24"/>
        </w:rPr>
        <w:t>REFERENCES</w:t>
      </w:r>
    </w:p>
    <w:p w14:paraId="15459E73" w14:textId="3A114752"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1 </w:t>
      </w:r>
      <w:r w:rsidRPr="00226E1E">
        <w:rPr>
          <w:rFonts w:ascii="Book Antiqua" w:hAnsi="Book Antiqua" w:cs="宋体"/>
          <w:b/>
          <w:bCs/>
          <w:color w:val="000000"/>
          <w:kern w:val="0"/>
          <w:sz w:val="24"/>
        </w:rPr>
        <w:t>Lau WY</w:t>
      </w:r>
      <w:r w:rsidRPr="00226E1E">
        <w:rPr>
          <w:rFonts w:ascii="Book Antiqua" w:hAnsi="Book Antiqua" w:cs="宋体"/>
          <w:color w:val="000000"/>
          <w:kern w:val="0"/>
          <w:sz w:val="24"/>
        </w:rPr>
        <w:t xml:space="preserve">. </w:t>
      </w:r>
      <w:proofErr w:type="gramStart"/>
      <w:r w:rsidRPr="00226E1E">
        <w:rPr>
          <w:rFonts w:ascii="Book Antiqua" w:hAnsi="Book Antiqua" w:cs="宋体"/>
          <w:color w:val="000000"/>
          <w:kern w:val="0"/>
          <w:sz w:val="24"/>
        </w:rPr>
        <w:t>Primary liver tumors.</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Semin Surg Oncol</w:t>
      </w:r>
      <w:r w:rsidRPr="00226E1E">
        <w:rPr>
          <w:rFonts w:ascii="Book Antiqua" w:hAnsi="Book Antiqua" w:cs="宋体"/>
          <w:color w:val="000000"/>
          <w:kern w:val="0"/>
          <w:sz w:val="24"/>
        </w:rPr>
        <w:t> </w:t>
      </w:r>
      <w:r>
        <w:rPr>
          <w:rFonts w:ascii="Book Antiqua" w:hAnsi="Book Antiqua" w:cs="宋体" w:hint="eastAsia"/>
          <w:color w:val="000000"/>
          <w:kern w:val="0"/>
          <w:sz w:val="24"/>
        </w:rPr>
        <w:t>2000</w:t>
      </w:r>
      <w:r w:rsidRPr="00226E1E">
        <w:rPr>
          <w:rFonts w:ascii="Book Antiqua" w:hAnsi="Book Antiqua" w:cs="宋体"/>
          <w:color w:val="000000"/>
          <w:kern w:val="0"/>
          <w:sz w:val="24"/>
        </w:rPr>
        <w:t>; </w:t>
      </w:r>
      <w:r w:rsidRPr="00226E1E">
        <w:rPr>
          <w:rFonts w:ascii="Book Antiqua" w:hAnsi="Book Antiqua" w:cs="宋体"/>
          <w:b/>
          <w:bCs/>
          <w:color w:val="000000"/>
          <w:kern w:val="0"/>
          <w:sz w:val="24"/>
        </w:rPr>
        <w:t>19</w:t>
      </w:r>
      <w:r w:rsidRPr="00226E1E">
        <w:rPr>
          <w:rFonts w:ascii="Book Antiqua" w:hAnsi="Book Antiqua" w:cs="宋体"/>
          <w:color w:val="000000"/>
          <w:kern w:val="0"/>
          <w:sz w:val="24"/>
        </w:rPr>
        <w:t>: 135-144 [PMID: 11126378]</w:t>
      </w:r>
    </w:p>
    <w:p w14:paraId="2ADC6032" w14:textId="7D32CDA9"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 xml:space="preserve">2 </w:t>
      </w:r>
      <w:r w:rsidRPr="00226E1E">
        <w:rPr>
          <w:rFonts w:ascii="Book Antiqua" w:hAnsi="Book Antiqua" w:cs="宋体"/>
          <w:b/>
          <w:color w:val="000000"/>
          <w:kern w:val="0"/>
          <w:sz w:val="24"/>
        </w:rPr>
        <w:t>Cancer IAfRo.</w:t>
      </w:r>
      <w:proofErr w:type="gramEnd"/>
      <w:r w:rsidRPr="00226E1E">
        <w:rPr>
          <w:rFonts w:ascii="Book Antiqua" w:hAnsi="Book Antiqua" w:cs="宋体"/>
          <w:b/>
          <w:color w:val="000000"/>
          <w:kern w:val="0"/>
          <w:sz w:val="24"/>
        </w:rPr>
        <w:t xml:space="preserve"> </w:t>
      </w:r>
      <w:r w:rsidRPr="00226E1E">
        <w:rPr>
          <w:rFonts w:ascii="Book Antiqua" w:hAnsi="Book Antiqua" w:cs="宋体"/>
          <w:color w:val="000000"/>
          <w:kern w:val="0"/>
          <w:sz w:val="24"/>
        </w:rPr>
        <w:t>GLOBOCAN 2012: estimated cancer incidence, motality and prevalence worldwide in 2012. Available from: http: //globocan.iarc.fr/Pages/fact_sheets_cancer.as</w:t>
      </w:r>
      <w:r>
        <w:rPr>
          <w:rFonts w:ascii="Book Antiqua" w:hAnsi="Book Antiqua" w:cs="宋体"/>
          <w:color w:val="000000"/>
          <w:kern w:val="0"/>
          <w:sz w:val="24"/>
        </w:rPr>
        <w:t>px. Accessed in 26 August, 2014</w:t>
      </w:r>
    </w:p>
    <w:p w14:paraId="63631D67" w14:textId="6BC1CE00"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3 </w:t>
      </w:r>
      <w:r w:rsidRPr="00226E1E">
        <w:rPr>
          <w:rFonts w:ascii="Book Antiqua" w:hAnsi="Book Antiqua" w:cs="宋体"/>
          <w:b/>
          <w:bCs/>
          <w:color w:val="000000"/>
          <w:kern w:val="0"/>
          <w:sz w:val="24"/>
        </w:rPr>
        <w:t>Bruix J</w:t>
      </w:r>
      <w:r w:rsidRPr="00226E1E">
        <w:rPr>
          <w:rFonts w:ascii="Book Antiqua" w:hAnsi="Book Antiqua" w:cs="宋体"/>
          <w:color w:val="000000"/>
          <w:kern w:val="0"/>
          <w:sz w:val="24"/>
        </w:rPr>
        <w:t>, Sherman M</w:t>
      </w:r>
      <w:r>
        <w:rPr>
          <w:rFonts w:ascii="Book Antiqua" w:hAnsi="Book Antiqua" w:cs="宋体" w:hint="eastAsia"/>
          <w:color w:val="000000"/>
          <w:kern w:val="0"/>
          <w:sz w:val="24"/>
        </w:rPr>
        <w:t xml:space="preserve">; </w:t>
      </w:r>
      <w:r w:rsidRPr="00B00AC1">
        <w:rPr>
          <w:rFonts w:ascii="Book Antiqua" w:hAnsi="Book Antiqua"/>
          <w:noProof/>
          <w:sz w:val="24"/>
        </w:rPr>
        <w:t>American Association for the Study of Liver D</w:t>
      </w:r>
      <w:r w:rsidRPr="00226E1E">
        <w:rPr>
          <w:rFonts w:ascii="Book Antiqua" w:hAnsi="Book Antiqua" w:cs="宋体"/>
          <w:color w:val="000000"/>
          <w:kern w:val="0"/>
          <w:sz w:val="24"/>
        </w:rPr>
        <w:t>. Management of hepatocellular carcinoma: an update.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53</w:t>
      </w:r>
      <w:r w:rsidRPr="00226E1E">
        <w:rPr>
          <w:rFonts w:ascii="Book Antiqua" w:hAnsi="Book Antiqua" w:cs="宋体"/>
          <w:color w:val="000000"/>
          <w:kern w:val="0"/>
          <w:sz w:val="24"/>
        </w:rPr>
        <w:t>: 1020-1022 [PMID: 21374666 DOI: 10.1002/hep.24199]</w:t>
      </w:r>
    </w:p>
    <w:p w14:paraId="6C6BDDF2" w14:textId="77777777"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4 </w:t>
      </w:r>
      <w:r w:rsidRPr="00226E1E">
        <w:rPr>
          <w:rFonts w:ascii="Book Antiqua" w:hAnsi="Book Antiqua" w:cs="宋体"/>
          <w:b/>
          <w:bCs/>
          <w:color w:val="000000"/>
          <w:kern w:val="0"/>
          <w:sz w:val="24"/>
        </w:rPr>
        <w:t>Greten TF</w:t>
      </w:r>
      <w:r w:rsidRPr="00226E1E">
        <w:rPr>
          <w:rFonts w:ascii="Book Antiqua" w:hAnsi="Book Antiqua" w:cs="宋体"/>
          <w:color w:val="000000"/>
          <w:kern w:val="0"/>
          <w:sz w:val="24"/>
        </w:rPr>
        <w:t>, Manns MP, Korangy F. Immunotherapy of HCC.</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Rev Recent Clin Trials</w:t>
      </w:r>
      <w:r w:rsidRPr="00226E1E">
        <w:rPr>
          <w:rFonts w:ascii="Book Antiqua" w:hAnsi="Book Antiqua" w:cs="宋体"/>
          <w:color w:val="000000"/>
          <w:kern w:val="0"/>
          <w:sz w:val="24"/>
        </w:rPr>
        <w:t> 2008; </w:t>
      </w:r>
      <w:r w:rsidRPr="00226E1E">
        <w:rPr>
          <w:rFonts w:ascii="Book Antiqua" w:hAnsi="Book Antiqua" w:cs="宋体"/>
          <w:b/>
          <w:bCs/>
          <w:color w:val="000000"/>
          <w:kern w:val="0"/>
          <w:sz w:val="24"/>
        </w:rPr>
        <w:t>3</w:t>
      </w:r>
      <w:r w:rsidRPr="00226E1E">
        <w:rPr>
          <w:rFonts w:ascii="Book Antiqua" w:hAnsi="Book Antiqua" w:cs="宋体"/>
          <w:color w:val="000000"/>
          <w:kern w:val="0"/>
          <w:sz w:val="24"/>
        </w:rPr>
        <w:t>: 31-39 [PMID: 18474013 DOI: 10.2174/157488708783330549]</w:t>
      </w:r>
    </w:p>
    <w:p w14:paraId="012E6B7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5 </w:t>
      </w:r>
      <w:r w:rsidRPr="00226E1E">
        <w:rPr>
          <w:rFonts w:ascii="Book Antiqua" w:hAnsi="Book Antiqua" w:cs="宋体"/>
          <w:b/>
          <w:bCs/>
          <w:color w:val="000000"/>
          <w:kern w:val="0"/>
          <w:sz w:val="24"/>
        </w:rPr>
        <w:t>Flecken T</w:t>
      </w:r>
      <w:r w:rsidRPr="00226E1E">
        <w:rPr>
          <w:rFonts w:ascii="Book Antiqua" w:hAnsi="Book Antiqua" w:cs="宋体"/>
          <w:color w:val="000000"/>
          <w:kern w:val="0"/>
          <w:sz w:val="24"/>
        </w:rPr>
        <w:t>, Spangenberg HC, Thimme R. Immunobiology of hepatocellular carcinoma. </w:t>
      </w:r>
      <w:r w:rsidRPr="00226E1E">
        <w:rPr>
          <w:rFonts w:ascii="Book Antiqua" w:hAnsi="Book Antiqua" w:cs="宋体"/>
          <w:i/>
          <w:iCs/>
          <w:color w:val="000000"/>
          <w:kern w:val="0"/>
          <w:sz w:val="24"/>
        </w:rPr>
        <w:t>Langenbecks Arch Surg</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397</w:t>
      </w:r>
      <w:r w:rsidRPr="00226E1E">
        <w:rPr>
          <w:rFonts w:ascii="Book Antiqua" w:hAnsi="Book Antiqua" w:cs="宋体"/>
          <w:color w:val="000000"/>
          <w:kern w:val="0"/>
          <w:sz w:val="24"/>
        </w:rPr>
        <w:t>: 673-680 [PMID: 21479622 DOI: 10.1007/s00423-011-0783-x]</w:t>
      </w:r>
    </w:p>
    <w:p w14:paraId="6CDDE3A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6 </w:t>
      </w:r>
      <w:r w:rsidRPr="00226E1E">
        <w:rPr>
          <w:rFonts w:ascii="Book Antiqua" w:hAnsi="Book Antiqua" w:cs="宋体"/>
          <w:b/>
          <w:bCs/>
          <w:color w:val="000000"/>
          <w:kern w:val="0"/>
          <w:sz w:val="24"/>
        </w:rPr>
        <w:t>Miamen AG</w:t>
      </w:r>
      <w:r w:rsidRPr="00226E1E">
        <w:rPr>
          <w:rFonts w:ascii="Book Antiqua" w:hAnsi="Book Antiqua" w:cs="宋体"/>
          <w:color w:val="000000"/>
          <w:kern w:val="0"/>
          <w:sz w:val="24"/>
        </w:rPr>
        <w:t>, Dong H, Roberts LR. Immunotherapeutic approaches to hepatocellular carcinoma treatment. </w:t>
      </w:r>
      <w:r w:rsidRPr="00226E1E">
        <w:rPr>
          <w:rFonts w:ascii="Book Antiqua" w:hAnsi="Book Antiqua" w:cs="宋体"/>
          <w:i/>
          <w:iCs/>
          <w:color w:val="000000"/>
          <w:kern w:val="0"/>
          <w:sz w:val="24"/>
        </w:rPr>
        <w:t>Liver Cancer</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1</w:t>
      </w:r>
      <w:r w:rsidRPr="00226E1E">
        <w:rPr>
          <w:rFonts w:ascii="Book Antiqua" w:hAnsi="Book Antiqua" w:cs="宋体"/>
          <w:color w:val="000000"/>
          <w:kern w:val="0"/>
          <w:sz w:val="24"/>
        </w:rPr>
        <w:t>: 226-237 [PMID: 24159587 DOI: 10.1159/000343837]</w:t>
      </w:r>
    </w:p>
    <w:p w14:paraId="1772C68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7 </w:t>
      </w:r>
      <w:r w:rsidRPr="00226E1E">
        <w:rPr>
          <w:rFonts w:ascii="Book Antiqua" w:hAnsi="Book Antiqua" w:cs="宋体"/>
          <w:b/>
          <w:bCs/>
          <w:color w:val="000000"/>
          <w:kern w:val="0"/>
          <w:sz w:val="24"/>
        </w:rPr>
        <w:t>Budhu A</w:t>
      </w:r>
      <w:r w:rsidRPr="00226E1E">
        <w:rPr>
          <w:rFonts w:ascii="Book Antiqua" w:hAnsi="Book Antiqua" w:cs="宋体"/>
          <w:color w:val="000000"/>
          <w:kern w:val="0"/>
          <w:sz w:val="24"/>
        </w:rPr>
        <w:t xml:space="preserve">, Wang XW. </w:t>
      </w:r>
      <w:proofErr w:type="gramStart"/>
      <w:r w:rsidRPr="00226E1E">
        <w:rPr>
          <w:rFonts w:ascii="Book Antiqua" w:hAnsi="Book Antiqua" w:cs="宋体"/>
          <w:color w:val="000000"/>
          <w:kern w:val="0"/>
          <w:sz w:val="24"/>
        </w:rPr>
        <w:t>The role of cytokines in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J Leukoc Biol</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80</w:t>
      </w:r>
      <w:r w:rsidRPr="00226E1E">
        <w:rPr>
          <w:rFonts w:ascii="Book Antiqua" w:hAnsi="Book Antiqua" w:cs="宋体"/>
          <w:color w:val="000000"/>
          <w:kern w:val="0"/>
          <w:sz w:val="24"/>
        </w:rPr>
        <w:t>: 1197-1213 [PMID: 16946019 DOI: 10.1189/jlb.0506297]</w:t>
      </w:r>
    </w:p>
    <w:p w14:paraId="2936CDAF"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8 </w:t>
      </w:r>
      <w:r w:rsidRPr="00226E1E">
        <w:rPr>
          <w:rFonts w:ascii="Book Antiqua" w:hAnsi="Book Antiqua" w:cs="宋体"/>
          <w:b/>
          <w:bCs/>
          <w:color w:val="000000"/>
          <w:kern w:val="0"/>
          <w:sz w:val="24"/>
        </w:rPr>
        <w:t>Kuang DM</w:t>
      </w:r>
      <w:r w:rsidRPr="00226E1E">
        <w:rPr>
          <w:rFonts w:ascii="Book Antiqua" w:hAnsi="Book Antiqua" w:cs="宋体"/>
          <w:color w:val="000000"/>
          <w:kern w:val="0"/>
          <w:sz w:val="24"/>
        </w:rPr>
        <w:t>, Zhao Q, Wu Y, Peng C, Wang J, Xu Z, Yin XY, Zheng L. Peritumoral neutrophils link inflammatory response to disease progression by fostering angiogenesis in hepatocellular carcinoma. </w:t>
      </w:r>
      <w:r w:rsidRPr="00226E1E">
        <w:rPr>
          <w:rFonts w:ascii="Book Antiqua" w:hAnsi="Book Antiqua" w:cs="宋体"/>
          <w:i/>
          <w:iCs/>
          <w:color w:val="000000"/>
          <w:kern w:val="0"/>
          <w:sz w:val="24"/>
        </w:rPr>
        <w:t>J Hepatol</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54</w:t>
      </w:r>
      <w:r w:rsidRPr="00226E1E">
        <w:rPr>
          <w:rFonts w:ascii="Book Antiqua" w:hAnsi="Book Antiqua" w:cs="宋体"/>
          <w:color w:val="000000"/>
          <w:kern w:val="0"/>
          <w:sz w:val="24"/>
        </w:rPr>
        <w:t>: 948-955 [PMID: 21145847 DOI: 10.1016/j.jhep.2010.08.041]</w:t>
      </w:r>
    </w:p>
    <w:p w14:paraId="367D8598"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9 </w:t>
      </w:r>
      <w:r w:rsidRPr="00226E1E">
        <w:rPr>
          <w:rFonts w:ascii="Book Antiqua" w:hAnsi="Book Antiqua" w:cs="宋体"/>
          <w:b/>
          <w:bCs/>
          <w:color w:val="000000"/>
          <w:kern w:val="0"/>
          <w:sz w:val="24"/>
        </w:rPr>
        <w:t>Zhang JP</w:t>
      </w:r>
      <w:r w:rsidRPr="00226E1E">
        <w:rPr>
          <w:rFonts w:ascii="Book Antiqua" w:hAnsi="Book Antiqua" w:cs="宋体"/>
          <w:color w:val="000000"/>
          <w:kern w:val="0"/>
          <w:sz w:val="24"/>
        </w:rPr>
        <w:t>, Yan J, Xu J, Pang XH, Chen MS, Li L, Wu C, Li SP, Zheng L. Increased intratumoral IL-17-producing cells correlate with poor survival in hepatocellular carcinoma patients. </w:t>
      </w:r>
      <w:r w:rsidRPr="00226E1E">
        <w:rPr>
          <w:rFonts w:ascii="Book Antiqua" w:hAnsi="Book Antiqua" w:cs="宋体"/>
          <w:i/>
          <w:iCs/>
          <w:color w:val="000000"/>
          <w:kern w:val="0"/>
          <w:sz w:val="24"/>
        </w:rPr>
        <w:t>J Hepatol</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50</w:t>
      </w:r>
      <w:r w:rsidRPr="00226E1E">
        <w:rPr>
          <w:rFonts w:ascii="Book Antiqua" w:hAnsi="Book Antiqua" w:cs="宋体"/>
          <w:color w:val="000000"/>
          <w:kern w:val="0"/>
          <w:sz w:val="24"/>
        </w:rPr>
        <w:t>: 980-989 [PMID: 19329213 DOI: 10.1016/j.jhep.2008.12.033]</w:t>
      </w:r>
    </w:p>
    <w:p w14:paraId="087AFBF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10 </w:t>
      </w:r>
      <w:r w:rsidRPr="00226E1E">
        <w:rPr>
          <w:rFonts w:ascii="Book Antiqua" w:hAnsi="Book Antiqua" w:cs="宋体"/>
          <w:b/>
          <w:bCs/>
          <w:color w:val="000000"/>
          <w:kern w:val="0"/>
          <w:sz w:val="24"/>
        </w:rPr>
        <w:t>Fu J</w:t>
      </w:r>
      <w:r w:rsidRPr="00226E1E">
        <w:rPr>
          <w:rFonts w:ascii="Book Antiqua" w:hAnsi="Book Antiqua" w:cs="宋体"/>
          <w:color w:val="000000"/>
          <w:kern w:val="0"/>
          <w:sz w:val="24"/>
        </w:rPr>
        <w:t>, Xu D, Liu Z, Shi M, Zhao P, Fu B, Zhang Z, Yang H, Zhang H, Zhou C, Yao J, Jin L, Wang H, Yang Y, Fu YX, Wang FS. Increased regulatory T cells correlate with CD8 T-cell impairment and poor survival in hepatocellular carcinoma patients. </w:t>
      </w:r>
      <w:r w:rsidRPr="00226E1E">
        <w:rPr>
          <w:rFonts w:ascii="Book Antiqua" w:hAnsi="Book Antiqua" w:cs="宋体"/>
          <w:i/>
          <w:iCs/>
          <w:color w:val="000000"/>
          <w:kern w:val="0"/>
          <w:sz w:val="24"/>
        </w:rPr>
        <w:t>Gastroenterology</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132</w:t>
      </w:r>
      <w:r w:rsidRPr="00226E1E">
        <w:rPr>
          <w:rFonts w:ascii="Book Antiqua" w:hAnsi="Book Antiqua" w:cs="宋体"/>
          <w:color w:val="000000"/>
          <w:kern w:val="0"/>
          <w:sz w:val="24"/>
        </w:rPr>
        <w:t>: 2328-2339 [PMID: 17570208 DOI: 10.1053/j.gastro.2007.03.102]</w:t>
      </w:r>
    </w:p>
    <w:p w14:paraId="71206A0C"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11 </w:t>
      </w:r>
      <w:r w:rsidRPr="00226E1E">
        <w:rPr>
          <w:rFonts w:ascii="Book Antiqua" w:hAnsi="Book Antiqua" w:cs="宋体"/>
          <w:b/>
          <w:bCs/>
          <w:color w:val="000000"/>
          <w:kern w:val="0"/>
          <w:sz w:val="24"/>
        </w:rPr>
        <w:t>Li T</w:t>
      </w:r>
      <w:r w:rsidRPr="00226E1E">
        <w:rPr>
          <w:rFonts w:ascii="Book Antiqua" w:hAnsi="Book Antiqua" w:cs="宋体"/>
          <w:color w:val="000000"/>
          <w:kern w:val="0"/>
          <w:sz w:val="24"/>
        </w:rPr>
        <w:t>, Yang Y, Hua X, Wang G, Liu W, Jia C, Tai Y, Zhang Q, Chen G. Hepatocellular carcinoma-associated fibroblasts trigger NK cell dysfunction via PGE2 and IDO. </w:t>
      </w:r>
      <w:r w:rsidRPr="00226E1E">
        <w:rPr>
          <w:rFonts w:ascii="Book Antiqua" w:hAnsi="Book Antiqua" w:cs="宋体"/>
          <w:i/>
          <w:iCs/>
          <w:color w:val="000000"/>
          <w:kern w:val="0"/>
          <w:sz w:val="24"/>
        </w:rPr>
        <w:t>Cancer Lett</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318</w:t>
      </w:r>
      <w:r w:rsidRPr="00226E1E">
        <w:rPr>
          <w:rFonts w:ascii="Book Antiqua" w:hAnsi="Book Antiqua" w:cs="宋体"/>
          <w:color w:val="000000"/>
          <w:kern w:val="0"/>
          <w:sz w:val="24"/>
        </w:rPr>
        <w:t>: 154-161 [PMID: 22182446 DOI: 10.1016/j.canlet.2011.12.020]</w:t>
      </w:r>
    </w:p>
    <w:p w14:paraId="03914739"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12 </w:t>
      </w:r>
      <w:r w:rsidRPr="00226E1E">
        <w:rPr>
          <w:rFonts w:ascii="Book Antiqua" w:hAnsi="Book Antiqua" w:cs="宋体"/>
          <w:b/>
          <w:bCs/>
          <w:color w:val="000000"/>
          <w:kern w:val="0"/>
          <w:sz w:val="24"/>
        </w:rPr>
        <w:t>Herzer K</w:t>
      </w:r>
      <w:r w:rsidRPr="00226E1E">
        <w:rPr>
          <w:rFonts w:ascii="Book Antiqua" w:hAnsi="Book Antiqua" w:cs="宋体"/>
          <w:color w:val="000000"/>
          <w:kern w:val="0"/>
          <w:sz w:val="24"/>
        </w:rPr>
        <w:t>, Hofmann TG, Teufel A, Schimanski CC, Moehler M, Kanzler S, Schulze-Bergkamen H, Galle PR. IFN-alpha-induced apoptosis in hepatocellular carcinoma involves promyelocytic leukemia protein and TRAIL independently of p53. </w:t>
      </w:r>
      <w:r w:rsidRPr="00226E1E">
        <w:rPr>
          <w:rFonts w:ascii="Book Antiqua" w:hAnsi="Book Antiqua" w:cs="宋体"/>
          <w:i/>
          <w:iCs/>
          <w:color w:val="000000"/>
          <w:kern w:val="0"/>
          <w:sz w:val="24"/>
        </w:rPr>
        <w:t>Cancer Res</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69</w:t>
      </w:r>
      <w:r w:rsidRPr="00226E1E">
        <w:rPr>
          <w:rFonts w:ascii="Book Antiqua" w:hAnsi="Book Antiqua" w:cs="宋体"/>
          <w:color w:val="000000"/>
          <w:kern w:val="0"/>
          <w:sz w:val="24"/>
        </w:rPr>
        <w:t>: 855-862 [PMID: 19141642 DOI: 10.1158/0008-5472.CAN-08-2831]</w:t>
      </w:r>
    </w:p>
    <w:p w14:paraId="776608BB"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13 </w:t>
      </w:r>
      <w:r w:rsidRPr="00226E1E">
        <w:rPr>
          <w:rFonts w:ascii="Book Antiqua" w:hAnsi="Book Antiqua" w:cs="宋体"/>
          <w:b/>
          <w:bCs/>
          <w:color w:val="000000"/>
          <w:kern w:val="0"/>
          <w:sz w:val="24"/>
        </w:rPr>
        <w:t>Li P</w:t>
      </w:r>
      <w:r w:rsidRPr="00226E1E">
        <w:rPr>
          <w:rFonts w:ascii="Book Antiqua" w:hAnsi="Book Antiqua" w:cs="宋体"/>
          <w:color w:val="000000"/>
          <w:kern w:val="0"/>
          <w:sz w:val="24"/>
        </w:rPr>
        <w:t>, Du Q, Cao Z, Guo Z, Evankovich J, Yan W, Chang Y, Shao L, Stolz DB, Tsung A, Geller DA. Interferon-γ induces autophagy with growth inhibition and cell death in human hepatocellular carcinoma (HCC) cells through interferon-regulatory factor-1 (IRF-1). </w:t>
      </w:r>
      <w:r w:rsidRPr="00226E1E">
        <w:rPr>
          <w:rFonts w:ascii="Book Antiqua" w:hAnsi="Book Antiqua" w:cs="宋体"/>
          <w:i/>
          <w:iCs/>
          <w:color w:val="000000"/>
          <w:kern w:val="0"/>
          <w:sz w:val="24"/>
        </w:rPr>
        <w:t>Cancer Lett</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314</w:t>
      </w:r>
      <w:r w:rsidRPr="00226E1E">
        <w:rPr>
          <w:rFonts w:ascii="Book Antiqua" w:hAnsi="Book Antiqua" w:cs="宋体"/>
          <w:color w:val="000000"/>
          <w:kern w:val="0"/>
          <w:sz w:val="24"/>
        </w:rPr>
        <w:t>: 213-222 [PMID: 22056812 DOI: 10.1016/j.canlet.2011.09.031]</w:t>
      </w:r>
    </w:p>
    <w:p w14:paraId="2069E28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14 </w:t>
      </w:r>
      <w:r w:rsidRPr="00226E1E">
        <w:rPr>
          <w:rFonts w:ascii="Book Antiqua" w:hAnsi="Book Antiqua" w:cs="宋体"/>
          <w:b/>
          <w:bCs/>
          <w:color w:val="000000"/>
          <w:kern w:val="0"/>
          <w:sz w:val="24"/>
        </w:rPr>
        <w:t>Obora A</w:t>
      </w:r>
      <w:r w:rsidRPr="00226E1E">
        <w:rPr>
          <w:rFonts w:ascii="Book Antiqua" w:hAnsi="Book Antiqua" w:cs="宋体"/>
          <w:color w:val="000000"/>
          <w:kern w:val="0"/>
          <w:sz w:val="24"/>
        </w:rPr>
        <w:t>, Shiratori Y, Okuno M, Adachi S, Takano Y, Matsushima-Nishiwaki R, Yasuda I, Yamada Y, Akita K, Sano T, Shimada J, Kojima S, Okano Y, Friedman SL, Moriwaki H. Synergistic induction of apoptosis by acyclic retinoid and interferon-beta in human hepatocellular carcinoma cells.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2002; </w:t>
      </w:r>
      <w:r w:rsidRPr="00226E1E">
        <w:rPr>
          <w:rFonts w:ascii="Book Antiqua" w:hAnsi="Book Antiqua" w:cs="宋体"/>
          <w:b/>
          <w:bCs/>
          <w:color w:val="000000"/>
          <w:kern w:val="0"/>
          <w:sz w:val="24"/>
        </w:rPr>
        <w:t>36</w:t>
      </w:r>
      <w:r w:rsidRPr="00226E1E">
        <w:rPr>
          <w:rFonts w:ascii="Book Antiqua" w:hAnsi="Book Antiqua" w:cs="宋体"/>
          <w:color w:val="000000"/>
          <w:kern w:val="0"/>
          <w:sz w:val="24"/>
        </w:rPr>
        <w:t>: 1115-1124 [PMID: 12395321 DOI: 10.1053/jhep.2002.36369]</w:t>
      </w:r>
    </w:p>
    <w:p w14:paraId="1923FA6F"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15 </w:t>
      </w:r>
      <w:r w:rsidRPr="00226E1E">
        <w:rPr>
          <w:rFonts w:ascii="Book Antiqua" w:hAnsi="Book Antiqua" w:cs="宋体"/>
          <w:b/>
          <w:bCs/>
          <w:color w:val="000000"/>
          <w:kern w:val="0"/>
          <w:sz w:val="24"/>
        </w:rPr>
        <w:t>Damdinsuren B</w:t>
      </w:r>
      <w:r w:rsidRPr="00226E1E">
        <w:rPr>
          <w:rFonts w:ascii="Book Antiqua" w:hAnsi="Book Antiqua" w:cs="宋体"/>
          <w:color w:val="000000"/>
          <w:kern w:val="0"/>
          <w:sz w:val="24"/>
        </w:rPr>
        <w:t>, Nagano H, Wada H, Kondo M, Ota H, Nakamura M, Noda T, Natsag J, Yamamoto H, Doki Y, Umeshita K, Dono K, Nakamori S, Sakon M, Monden M. Stronger growth-inhibitory effect of interferon (IFN)-beta compared to IFN-alpha is mediated by IFN signaling pathway in hepatocellular carcinoma cells. </w:t>
      </w:r>
      <w:r w:rsidRPr="00226E1E">
        <w:rPr>
          <w:rFonts w:ascii="Book Antiqua" w:hAnsi="Book Antiqua" w:cs="宋体"/>
          <w:i/>
          <w:iCs/>
          <w:color w:val="000000"/>
          <w:kern w:val="0"/>
          <w:sz w:val="24"/>
        </w:rPr>
        <w:t>Int J Oncol</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30</w:t>
      </w:r>
      <w:r w:rsidRPr="00226E1E">
        <w:rPr>
          <w:rFonts w:ascii="Book Antiqua" w:hAnsi="Book Antiqua" w:cs="宋体"/>
          <w:color w:val="000000"/>
          <w:kern w:val="0"/>
          <w:sz w:val="24"/>
        </w:rPr>
        <w:t>: 201-208 [PMID: 17143530 DOI: 10.1016/j.canlet.2011.09.031.]</w:t>
      </w:r>
    </w:p>
    <w:p w14:paraId="144B404E"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16 </w:t>
      </w:r>
      <w:r w:rsidRPr="00226E1E">
        <w:rPr>
          <w:rFonts w:ascii="Book Antiqua" w:hAnsi="Book Antiqua" w:cs="宋体"/>
          <w:b/>
          <w:bCs/>
          <w:color w:val="000000"/>
          <w:kern w:val="0"/>
          <w:sz w:val="24"/>
        </w:rPr>
        <w:t>Lai CL</w:t>
      </w:r>
      <w:r w:rsidRPr="00226E1E">
        <w:rPr>
          <w:rFonts w:ascii="Book Antiqua" w:hAnsi="Book Antiqua" w:cs="宋体"/>
          <w:color w:val="000000"/>
          <w:kern w:val="0"/>
          <w:sz w:val="24"/>
        </w:rPr>
        <w:t>, Lau JY, Wu PC, Ngan H, Chung HT, Mitchell SJ, Corbett TJ, Chow AW, Lin HJ. Recombinant interferon-alpha in inoperable hepatocellular carcinoma: a randomized controlled trial.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1993; </w:t>
      </w:r>
      <w:r w:rsidRPr="00226E1E">
        <w:rPr>
          <w:rFonts w:ascii="Book Antiqua" w:hAnsi="Book Antiqua" w:cs="宋体"/>
          <w:b/>
          <w:bCs/>
          <w:color w:val="000000"/>
          <w:kern w:val="0"/>
          <w:sz w:val="24"/>
        </w:rPr>
        <w:t>17</w:t>
      </w:r>
      <w:r w:rsidRPr="00226E1E">
        <w:rPr>
          <w:rFonts w:ascii="Book Antiqua" w:hAnsi="Book Antiqua" w:cs="宋体"/>
          <w:color w:val="000000"/>
          <w:kern w:val="0"/>
          <w:sz w:val="24"/>
        </w:rPr>
        <w:t>: 389-394 [PMID: 8383088]</w:t>
      </w:r>
    </w:p>
    <w:p w14:paraId="25EEAADB"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17 </w:t>
      </w:r>
      <w:r w:rsidRPr="00226E1E">
        <w:rPr>
          <w:rFonts w:ascii="Book Antiqua" w:hAnsi="Book Antiqua" w:cs="宋体"/>
          <w:b/>
          <w:bCs/>
          <w:color w:val="000000"/>
          <w:kern w:val="0"/>
          <w:sz w:val="24"/>
        </w:rPr>
        <w:t>Llovet JM</w:t>
      </w:r>
      <w:r w:rsidRPr="00226E1E">
        <w:rPr>
          <w:rFonts w:ascii="Book Antiqua" w:hAnsi="Book Antiqua" w:cs="宋体"/>
          <w:color w:val="000000"/>
          <w:kern w:val="0"/>
          <w:sz w:val="24"/>
        </w:rPr>
        <w:t>, Sala M, Castells L, Suarez Y, Vilana R, Bianchi L, Ayuso C, Vargas V, Rodés J, Bruix J. Randomized controlled trial of interferon treatment for advanced hepatocellular carcinoma.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2000; </w:t>
      </w:r>
      <w:r w:rsidRPr="00226E1E">
        <w:rPr>
          <w:rFonts w:ascii="Book Antiqua" w:hAnsi="Book Antiqua" w:cs="宋体"/>
          <w:b/>
          <w:bCs/>
          <w:color w:val="000000"/>
          <w:kern w:val="0"/>
          <w:sz w:val="24"/>
        </w:rPr>
        <w:t>31</w:t>
      </w:r>
      <w:r w:rsidRPr="00226E1E">
        <w:rPr>
          <w:rFonts w:ascii="Book Antiqua" w:hAnsi="Book Antiqua" w:cs="宋体"/>
          <w:color w:val="000000"/>
          <w:kern w:val="0"/>
          <w:sz w:val="24"/>
        </w:rPr>
        <w:t>: 54-58 [PMID: 10613728 DOI: 10.1002/hep.510310111]</w:t>
      </w:r>
    </w:p>
    <w:p w14:paraId="501D681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18 </w:t>
      </w:r>
      <w:r w:rsidRPr="00226E1E">
        <w:rPr>
          <w:rFonts w:ascii="Book Antiqua" w:hAnsi="Book Antiqua" w:cs="宋体"/>
          <w:b/>
          <w:bCs/>
          <w:color w:val="000000"/>
          <w:kern w:val="0"/>
          <w:sz w:val="24"/>
        </w:rPr>
        <w:t>Chen LT</w:t>
      </w:r>
      <w:r w:rsidRPr="00226E1E">
        <w:rPr>
          <w:rFonts w:ascii="Book Antiqua" w:hAnsi="Book Antiqua" w:cs="宋体"/>
          <w:color w:val="000000"/>
          <w:kern w:val="0"/>
          <w:sz w:val="24"/>
        </w:rPr>
        <w:t xml:space="preserve">, Chen MF, Li LA, Lee PH, Jeng LB, Lin DY, Wu CC, Mok KT, Chen CL, Lee WC, Chau GY, Chen YS, Lui WY, Hsiao CF, Whang-Peng J, Chen PJ. </w:t>
      </w:r>
      <w:proofErr w:type="gramStart"/>
      <w:r w:rsidRPr="00226E1E">
        <w:rPr>
          <w:rFonts w:ascii="Book Antiqua" w:hAnsi="Book Antiqua" w:cs="宋体"/>
          <w:color w:val="000000"/>
          <w:kern w:val="0"/>
          <w:sz w:val="24"/>
        </w:rPr>
        <w:t>Long-term results of a randomized, observation-controlled, phase III trial of adjuvant interferon Alfa-2b in hepatocellular carcinoma after curative resection.</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Ann Surg</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255</w:t>
      </w:r>
      <w:r w:rsidRPr="00226E1E">
        <w:rPr>
          <w:rFonts w:ascii="Book Antiqua" w:hAnsi="Book Antiqua" w:cs="宋体"/>
          <w:color w:val="000000"/>
          <w:kern w:val="0"/>
          <w:sz w:val="24"/>
        </w:rPr>
        <w:t>: 8-17 [PMID: 22104564 DOI: 10.1097/SLA.0b013e3182363ff9]</w:t>
      </w:r>
    </w:p>
    <w:p w14:paraId="132E9CE9"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19 </w:t>
      </w:r>
      <w:r w:rsidRPr="00226E1E">
        <w:rPr>
          <w:rFonts w:ascii="Book Antiqua" w:hAnsi="Book Antiqua" w:cs="宋体"/>
          <w:b/>
          <w:bCs/>
          <w:color w:val="000000"/>
          <w:kern w:val="0"/>
          <w:sz w:val="24"/>
        </w:rPr>
        <w:t>Yeo W</w:t>
      </w:r>
      <w:r w:rsidRPr="00226E1E">
        <w:rPr>
          <w:rFonts w:ascii="Book Antiqua" w:hAnsi="Book Antiqua" w:cs="宋体"/>
          <w:color w:val="000000"/>
          <w:kern w:val="0"/>
          <w:sz w:val="24"/>
        </w:rPr>
        <w:t>, Mok TS, Zee B, Leung TW, Lai PB, Lau WY, Koh J, Mo FK, Yu SC, Chan AT, Hui P, Ma B, Lam KC, Ho WM, Wong HT, Tang A, Johnson PJ. A randomized phase III study of doxorubicin versus cisplatin/interferon alpha-2b/doxorubicin/fluorouracil (PIAF) combination chemotherapy for unresectable hepatocellular carcinoma. </w:t>
      </w:r>
      <w:r w:rsidRPr="00226E1E">
        <w:rPr>
          <w:rFonts w:ascii="Book Antiqua" w:hAnsi="Book Antiqua" w:cs="宋体"/>
          <w:i/>
          <w:iCs/>
          <w:color w:val="000000"/>
          <w:kern w:val="0"/>
          <w:sz w:val="24"/>
        </w:rPr>
        <w:t>J Natl Cancer Inst</w:t>
      </w:r>
      <w:r w:rsidRPr="00226E1E">
        <w:rPr>
          <w:rFonts w:ascii="Book Antiqua" w:hAnsi="Book Antiqua" w:cs="宋体"/>
          <w:color w:val="000000"/>
          <w:kern w:val="0"/>
          <w:sz w:val="24"/>
        </w:rPr>
        <w:t> 2005; </w:t>
      </w:r>
      <w:r w:rsidRPr="00226E1E">
        <w:rPr>
          <w:rFonts w:ascii="Book Antiqua" w:hAnsi="Book Antiqua" w:cs="宋体"/>
          <w:b/>
          <w:bCs/>
          <w:color w:val="000000"/>
          <w:kern w:val="0"/>
          <w:sz w:val="24"/>
        </w:rPr>
        <w:t>97</w:t>
      </w:r>
      <w:r w:rsidRPr="00226E1E">
        <w:rPr>
          <w:rFonts w:ascii="Book Antiqua" w:hAnsi="Book Antiqua" w:cs="宋体"/>
          <w:color w:val="000000"/>
          <w:kern w:val="0"/>
          <w:sz w:val="24"/>
        </w:rPr>
        <w:t>: 1532-1538 [PMID: 16234567 DOI: 10.1093/jnci/dji315]</w:t>
      </w:r>
    </w:p>
    <w:p w14:paraId="7E4661B8"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20 </w:t>
      </w:r>
      <w:r w:rsidRPr="00226E1E">
        <w:rPr>
          <w:rFonts w:ascii="Book Antiqua" w:hAnsi="Book Antiqua" w:cs="宋体"/>
          <w:b/>
          <w:bCs/>
          <w:color w:val="000000"/>
          <w:kern w:val="0"/>
          <w:sz w:val="24"/>
        </w:rPr>
        <w:t>Kasai K</w:t>
      </w:r>
      <w:r w:rsidRPr="00226E1E">
        <w:rPr>
          <w:rFonts w:ascii="Book Antiqua" w:hAnsi="Book Antiqua" w:cs="宋体"/>
          <w:color w:val="000000"/>
          <w:kern w:val="0"/>
          <w:sz w:val="24"/>
        </w:rPr>
        <w:t>, Ushio A, Kasai Y, Sawara K, Miyamoto Y, Oikawa K, Kuroda H, Takikawa Y, Suzuki K. Therapeutic efficacy of combination therapy with intra-arterial 5-fluorouracil and systemic pegylated interferon α-2b for advanced hepatocellular carcinoma with portal venous invasion. </w:t>
      </w:r>
      <w:r w:rsidRPr="00226E1E">
        <w:rPr>
          <w:rFonts w:ascii="Book Antiqua" w:hAnsi="Book Antiqua" w:cs="宋体"/>
          <w:i/>
          <w:iCs/>
          <w:color w:val="000000"/>
          <w:kern w:val="0"/>
          <w:sz w:val="24"/>
        </w:rPr>
        <w:t>Cancer</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118</w:t>
      </w:r>
      <w:r w:rsidRPr="00226E1E">
        <w:rPr>
          <w:rFonts w:ascii="Book Antiqua" w:hAnsi="Book Antiqua" w:cs="宋体"/>
          <w:color w:val="000000"/>
          <w:kern w:val="0"/>
          <w:sz w:val="24"/>
        </w:rPr>
        <w:t>: 3302-3310 [PMID: 22072099 DOI: 10.1002/cncr.26648]</w:t>
      </w:r>
    </w:p>
    <w:p w14:paraId="6D1FD032"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21 </w:t>
      </w:r>
      <w:r w:rsidRPr="00226E1E">
        <w:rPr>
          <w:rFonts w:ascii="Book Antiqua" w:hAnsi="Book Antiqua" w:cs="宋体"/>
          <w:b/>
          <w:bCs/>
          <w:color w:val="000000"/>
          <w:kern w:val="0"/>
          <w:sz w:val="24"/>
        </w:rPr>
        <w:t>Lee D</w:t>
      </w:r>
      <w:r w:rsidRPr="00226E1E">
        <w:rPr>
          <w:rFonts w:ascii="Book Antiqua" w:hAnsi="Book Antiqua" w:cs="宋体"/>
          <w:color w:val="000000"/>
          <w:kern w:val="0"/>
          <w:sz w:val="24"/>
        </w:rPr>
        <w:t xml:space="preserve">, Chung YH, Kim JA, Park WH, Jin YJ, Shim JH, Ryu SH, Jang MK, Yu E, Lee YJ. </w:t>
      </w:r>
      <w:proofErr w:type="gramStart"/>
      <w:r w:rsidRPr="00226E1E">
        <w:rPr>
          <w:rFonts w:ascii="Book Antiqua" w:hAnsi="Book Antiqua" w:cs="宋体"/>
          <w:color w:val="000000"/>
          <w:kern w:val="0"/>
          <w:sz w:val="24"/>
        </w:rPr>
        <w:t>Safety and efficacy of adjuvant pegylated interferon therapy for metastatic tumor antigen 1-positive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Cancer</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119</w:t>
      </w:r>
      <w:r w:rsidRPr="00226E1E">
        <w:rPr>
          <w:rFonts w:ascii="Book Antiqua" w:hAnsi="Book Antiqua" w:cs="宋体"/>
          <w:color w:val="000000"/>
          <w:kern w:val="0"/>
          <w:sz w:val="24"/>
        </w:rPr>
        <w:t>: 2239-2246 [PMID: 23564564 DOI: 10.1002/cncr.28082]</w:t>
      </w:r>
    </w:p>
    <w:p w14:paraId="7882EDD8"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22 </w:t>
      </w:r>
      <w:r w:rsidRPr="00226E1E">
        <w:rPr>
          <w:rFonts w:ascii="Book Antiqua" w:hAnsi="Book Antiqua" w:cs="宋体"/>
          <w:b/>
          <w:bCs/>
          <w:color w:val="000000"/>
          <w:kern w:val="0"/>
          <w:sz w:val="24"/>
        </w:rPr>
        <w:t>Li M</w:t>
      </w:r>
      <w:r w:rsidRPr="00226E1E">
        <w:rPr>
          <w:rFonts w:ascii="Book Antiqua" w:hAnsi="Book Antiqua" w:cs="宋体"/>
          <w:color w:val="000000"/>
          <w:kern w:val="0"/>
          <w:sz w:val="24"/>
        </w:rPr>
        <w:t>, Lu C, Cheng J, Zhang J, Cao C, Xu J, Xu J, Pan H, Zhong B, Tucker S, Wang D. Combination therapy with transarterial chemoembolization and interferon-alpha compared with transarterial chemoembolization alone for hepatitis B virus related unresectable hepatocellular carcinoma. </w:t>
      </w:r>
      <w:r w:rsidRPr="00226E1E">
        <w:rPr>
          <w:rFonts w:ascii="Book Antiqua" w:hAnsi="Book Antiqua" w:cs="宋体"/>
          <w:i/>
          <w:iCs/>
          <w:color w:val="000000"/>
          <w:kern w:val="0"/>
          <w:sz w:val="24"/>
        </w:rPr>
        <w:t>J Gastroenterol Hepatol</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24</w:t>
      </w:r>
      <w:r w:rsidRPr="00226E1E">
        <w:rPr>
          <w:rFonts w:ascii="Book Antiqua" w:hAnsi="Book Antiqua" w:cs="宋体"/>
          <w:color w:val="000000"/>
          <w:kern w:val="0"/>
          <w:sz w:val="24"/>
        </w:rPr>
        <w:t>: 1437-1444 [PMID: 19486255 DOI: 10.1111/j.1440-1746.2009.05863.x]</w:t>
      </w:r>
    </w:p>
    <w:p w14:paraId="51EB760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23 </w:t>
      </w:r>
      <w:r w:rsidRPr="00226E1E">
        <w:rPr>
          <w:rFonts w:ascii="Book Antiqua" w:hAnsi="Book Antiqua" w:cs="宋体"/>
          <w:b/>
          <w:bCs/>
          <w:color w:val="000000"/>
          <w:kern w:val="0"/>
          <w:sz w:val="24"/>
        </w:rPr>
        <w:t>Shen YC</w:t>
      </w:r>
      <w:r w:rsidRPr="00226E1E">
        <w:rPr>
          <w:rFonts w:ascii="Book Antiqua" w:hAnsi="Book Antiqua" w:cs="宋体"/>
          <w:color w:val="000000"/>
          <w:kern w:val="0"/>
          <w:sz w:val="24"/>
        </w:rPr>
        <w:t>, Hsu C, Chen LT, Cheng CC, Hu FC, Cheng AL. Adjuvant interferon therapy after curative therapy for hepatocellular carcinoma (HCC): a meta-regression approach. </w:t>
      </w:r>
      <w:r w:rsidRPr="00226E1E">
        <w:rPr>
          <w:rFonts w:ascii="Book Antiqua" w:hAnsi="Book Antiqua" w:cs="宋体"/>
          <w:i/>
          <w:iCs/>
          <w:color w:val="000000"/>
          <w:kern w:val="0"/>
          <w:sz w:val="24"/>
        </w:rPr>
        <w:t>J Hepatol</w:t>
      </w:r>
      <w:r w:rsidRPr="00226E1E">
        <w:rPr>
          <w:rFonts w:ascii="Book Antiqua" w:hAnsi="Book Antiqua" w:cs="宋体"/>
          <w:color w:val="000000"/>
          <w:kern w:val="0"/>
          <w:sz w:val="24"/>
        </w:rPr>
        <w:t> 2010; </w:t>
      </w:r>
      <w:r w:rsidRPr="00226E1E">
        <w:rPr>
          <w:rFonts w:ascii="Book Antiqua" w:hAnsi="Book Antiqua" w:cs="宋体"/>
          <w:b/>
          <w:bCs/>
          <w:color w:val="000000"/>
          <w:kern w:val="0"/>
          <w:sz w:val="24"/>
        </w:rPr>
        <w:t>52</w:t>
      </w:r>
      <w:r w:rsidRPr="00226E1E">
        <w:rPr>
          <w:rFonts w:ascii="Book Antiqua" w:hAnsi="Book Antiqua" w:cs="宋体"/>
          <w:color w:val="000000"/>
          <w:kern w:val="0"/>
          <w:sz w:val="24"/>
        </w:rPr>
        <w:t>: 889-894 [PMID: 20395009 DOI: 10.1016/j.jhep.2009.12.041]</w:t>
      </w:r>
    </w:p>
    <w:p w14:paraId="511B961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24 </w:t>
      </w:r>
      <w:r w:rsidRPr="00226E1E">
        <w:rPr>
          <w:rFonts w:ascii="Book Antiqua" w:hAnsi="Book Antiqua" w:cs="宋体"/>
          <w:b/>
          <w:bCs/>
          <w:color w:val="000000"/>
          <w:kern w:val="0"/>
          <w:sz w:val="24"/>
        </w:rPr>
        <w:t>Wang J</w:t>
      </w:r>
      <w:r w:rsidRPr="00226E1E">
        <w:rPr>
          <w:rFonts w:ascii="Book Antiqua" w:hAnsi="Book Antiqua" w:cs="宋体"/>
          <w:color w:val="000000"/>
          <w:kern w:val="0"/>
          <w:sz w:val="24"/>
        </w:rPr>
        <w:t xml:space="preserve">, He XD, Yao N, Liang WJ, Zhang YC. </w:t>
      </w:r>
      <w:proofErr w:type="gramStart"/>
      <w:r w:rsidRPr="00226E1E">
        <w:rPr>
          <w:rFonts w:ascii="Book Antiqua" w:hAnsi="Book Antiqua" w:cs="宋体"/>
          <w:color w:val="000000"/>
          <w:kern w:val="0"/>
          <w:sz w:val="24"/>
        </w:rPr>
        <w:t>A meta-analysis of adjuvant therapy after potentially curative treatment for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Can J Gastroenterol</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27</w:t>
      </w:r>
      <w:r w:rsidRPr="00226E1E">
        <w:rPr>
          <w:rFonts w:ascii="Book Antiqua" w:hAnsi="Book Antiqua" w:cs="宋体"/>
          <w:color w:val="000000"/>
          <w:kern w:val="0"/>
          <w:sz w:val="24"/>
        </w:rPr>
        <w:t>: 351-363 [PMID: 23781519]</w:t>
      </w:r>
    </w:p>
    <w:p w14:paraId="2A59453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25 </w:t>
      </w:r>
      <w:r w:rsidRPr="00226E1E">
        <w:rPr>
          <w:rFonts w:ascii="Book Antiqua" w:hAnsi="Book Antiqua" w:cs="宋体"/>
          <w:b/>
          <w:bCs/>
          <w:color w:val="000000"/>
          <w:kern w:val="0"/>
          <w:sz w:val="24"/>
        </w:rPr>
        <w:t>Wang L</w:t>
      </w:r>
      <w:r w:rsidRPr="00226E1E">
        <w:rPr>
          <w:rFonts w:ascii="Book Antiqua" w:hAnsi="Book Antiqua" w:cs="宋体"/>
          <w:color w:val="000000"/>
          <w:kern w:val="0"/>
          <w:sz w:val="24"/>
        </w:rPr>
        <w:t>, Jia D, Duan F, Sun Z, Liu X, Zhou L, Sun L, Ren S, Ruan Y, Gu J. Combined anti-tumor effects of IFN-α and sorafenib on hepatocellular carcinoma in vitro and in vivo. </w:t>
      </w:r>
      <w:r w:rsidRPr="00226E1E">
        <w:rPr>
          <w:rFonts w:ascii="Book Antiqua" w:hAnsi="Book Antiqua" w:cs="宋体"/>
          <w:i/>
          <w:iCs/>
          <w:color w:val="000000"/>
          <w:kern w:val="0"/>
          <w:sz w:val="24"/>
        </w:rPr>
        <w:t>Biochem Biophys Res Commun</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422</w:t>
      </w:r>
      <w:r w:rsidRPr="00226E1E">
        <w:rPr>
          <w:rFonts w:ascii="Book Antiqua" w:hAnsi="Book Antiqua" w:cs="宋体"/>
          <w:color w:val="000000"/>
          <w:kern w:val="0"/>
          <w:sz w:val="24"/>
        </w:rPr>
        <w:t>: 687-692 [PMID: 22634008 DOI: 10.1016/j.bbrc.2012.05.056]</w:t>
      </w:r>
    </w:p>
    <w:p w14:paraId="3DC0776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26 </w:t>
      </w:r>
      <w:r w:rsidRPr="00226E1E">
        <w:rPr>
          <w:rFonts w:ascii="Book Antiqua" w:hAnsi="Book Antiqua" w:cs="宋体"/>
          <w:b/>
          <w:bCs/>
          <w:color w:val="000000"/>
          <w:kern w:val="0"/>
          <w:sz w:val="24"/>
        </w:rPr>
        <w:t>Perrillo R</w:t>
      </w:r>
      <w:r w:rsidRPr="00226E1E">
        <w:rPr>
          <w:rFonts w:ascii="Book Antiqua" w:hAnsi="Book Antiqua" w:cs="宋体"/>
          <w:color w:val="000000"/>
          <w:kern w:val="0"/>
          <w:sz w:val="24"/>
        </w:rPr>
        <w:t>. Benefits and risks of interferon therapy for hepatitis B.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49</w:t>
      </w:r>
      <w:r w:rsidRPr="00226E1E">
        <w:rPr>
          <w:rFonts w:ascii="Book Antiqua" w:hAnsi="Book Antiqua" w:cs="宋体"/>
          <w:color w:val="000000"/>
          <w:kern w:val="0"/>
          <w:sz w:val="24"/>
        </w:rPr>
        <w:t>: S103-S111 [PMID: 19399806 DOI: 10.1002/hep.22956]</w:t>
      </w:r>
    </w:p>
    <w:p w14:paraId="1BB10435"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27 </w:t>
      </w:r>
      <w:r w:rsidRPr="00226E1E">
        <w:rPr>
          <w:rFonts w:ascii="Book Antiqua" w:hAnsi="Book Antiqua" w:cs="宋体"/>
          <w:b/>
          <w:bCs/>
          <w:color w:val="000000"/>
          <w:kern w:val="0"/>
          <w:sz w:val="24"/>
        </w:rPr>
        <w:t>Xu G</w:t>
      </w:r>
      <w:r w:rsidRPr="00226E1E">
        <w:rPr>
          <w:rFonts w:ascii="Book Antiqua" w:hAnsi="Book Antiqua" w:cs="宋体"/>
          <w:color w:val="000000"/>
          <w:kern w:val="0"/>
          <w:sz w:val="24"/>
        </w:rPr>
        <w:t>, Yang F, Ding CL, Wang J, Zhao P, Wang W, Ren H. MiR-221 accentuates IFN</w:t>
      </w:r>
      <w:r w:rsidRPr="00226E1E">
        <w:rPr>
          <w:color w:val="000000"/>
          <w:kern w:val="0"/>
          <w:sz w:val="24"/>
        </w:rPr>
        <w:t>׳</w:t>
      </w:r>
      <w:r w:rsidRPr="00226E1E">
        <w:rPr>
          <w:rFonts w:ascii="Book Antiqua" w:hAnsi="Book Antiqua" w:cs="宋体"/>
          <w:color w:val="000000"/>
          <w:kern w:val="0"/>
          <w:sz w:val="24"/>
        </w:rPr>
        <w:t>s anti-HCV effect by downregulating SOCS1 and SOCS3. </w:t>
      </w:r>
      <w:r w:rsidRPr="00226E1E">
        <w:rPr>
          <w:rFonts w:ascii="Book Antiqua" w:hAnsi="Book Antiqua" w:cs="宋体"/>
          <w:i/>
          <w:iCs/>
          <w:color w:val="000000"/>
          <w:kern w:val="0"/>
          <w:sz w:val="24"/>
        </w:rPr>
        <w:t>Virology</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462-463</w:t>
      </w:r>
      <w:r w:rsidRPr="00226E1E">
        <w:rPr>
          <w:rFonts w:ascii="Book Antiqua" w:hAnsi="Book Antiqua" w:cs="宋体"/>
          <w:color w:val="000000"/>
          <w:kern w:val="0"/>
          <w:sz w:val="24"/>
        </w:rPr>
        <w:t>: 343-350 [PMID: 25019494 DOI: 10.1016/j.virol.2014.06.024]</w:t>
      </w:r>
    </w:p>
    <w:p w14:paraId="70FB26A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28 </w:t>
      </w:r>
      <w:r w:rsidRPr="00226E1E">
        <w:rPr>
          <w:rFonts w:ascii="Book Antiqua" w:hAnsi="Book Antiqua" w:cs="宋体"/>
          <w:b/>
          <w:bCs/>
          <w:color w:val="000000"/>
          <w:kern w:val="0"/>
          <w:sz w:val="24"/>
        </w:rPr>
        <w:t>Lygidakis NJ</w:t>
      </w:r>
      <w:r w:rsidRPr="00226E1E">
        <w:rPr>
          <w:rFonts w:ascii="Book Antiqua" w:hAnsi="Book Antiqua" w:cs="宋体"/>
          <w:color w:val="000000"/>
          <w:kern w:val="0"/>
          <w:sz w:val="24"/>
        </w:rPr>
        <w:t>, Kosmidis P, Ziras N, Parissis J, Kyparidou E. Combined transarterial targeting locoregional immunotherapy-chemotherapy for patients with unresectable hepatocellular carcinoma: a new alternative for an old problem. </w:t>
      </w:r>
      <w:r w:rsidRPr="00226E1E">
        <w:rPr>
          <w:rFonts w:ascii="Book Antiqua" w:hAnsi="Book Antiqua" w:cs="宋体"/>
          <w:i/>
          <w:iCs/>
          <w:color w:val="000000"/>
          <w:kern w:val="0"/>
          <w:sz w:val="24"/>
        </w:rPr>
        <w:t>J Interferon Cytokine Res</w:t>
      </w:r>
      <w:r w:rsidRPr="00226E1E">
        <w:rPr>
          <w:rFonts w:ascii="Book Antiqua" w:hAnsi="Book Antiqua" w:cs="宋体"/>
          <w:color w:val="000000"/>
          <w:kern w:val="0"/>
          <w:sz w:val="24"/>
        </w:rPr>
        <w:t> 1995; </w:t>
      </w:r>
      <w:r w:rsidRPr="00226E1E">
        <w:rPr>
          <w:rFonts w:ascii="Book Antiqua" w:hAnsi="Book Antiqua" w:cs="宋体"/>
          <w:b/>
          <w:bCs/>
          <w:color w:val="000000"/>
          <w:kern w:val="0"/>
          <w:sz w:val="24"/>
        </w:rPr>
        <w:t>15</w:t>
      </w:r>
      <w:r w:rsidRPr="00226E1E">
        <w:rPr>
          <w:rFonts w:ascii="Book Antiqua" w:hAnsi="Book Antiqua" w:cs="宋体"/>
          <w:color w:val="000000"/>
          <w:kern w:val="0"/>
          <w:sz w:val="24"/>
        </w:rPr>
        <w:t>: 467-472 [PMID: 7544232 DOI: 10.1089/jir.1995.15.467]</w:t>
      </w:r>
    </w:p>
    <w:p w14:paraId="6E07378C"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29 </w:t>
      </w:r>
      <w:r w:rsidRPr="00226E1E">
        <w:rPr>
          <w:rFonts w:ascii="Book Antiqua" w:hAnsi="Book Antiqua" w:cs="宋体"/>
          <w:b/>
          <w:bCs/>
          <w:color w:val="000000"/>
          <w:kern w:val="0"/>
          <w:sz w:val="24"/>
        </w:rPr>
        <w:t>Sangro B</w:t>
      </w:r>
      <w:r w:rsidRPr="00226E1E">
        <w:rPr>
          <w:rFonts w:ascii="Book Antiqua" w:hAnsi="Book Antiqua" w:cs="宋体"/>
          <w:color w:val="000000"/>
          <w:kern w:val="0"/>
          <w:sz w:val="24"/>
        </w:rPr>
        <w:t>, Mazzolini G, Ruiz J, Herraiz M, Quiroga J, Herrero I, Benito A, Larrache J, Pueyo J, Subtil JC, Olagüe C, Sola J, Sádaba B, Lacasa C, Melero I, Qian C, Prieto J. Phase I trial of intratumoral injection of an adenovirus encoding interleukin-12 for advanced digestive tumors. </w:t>
      </w:r>
      <w:r w:rsidRPr="00226E1E">
        <w:rPr>
          <w:rFonts w:ascii="Book Antiqua" w:hAnsi="Book Antiqua" w:cs="宋体"/>
          <w:i/>
          <w:iCs/>
          <w:color w:val="000000"/>
          <w:kern w:val="0"/>
          <w:sz w:val="24"/>
        </w:rPr>
        <w:t>J Clin Oncol</w:t>
      </w:r>
      <w:r w:rsidRPr="00226E1E">
        <w:rPr>
          <w:rFonts w:ascii="Book Antiqua" w:hAnsi="Book Antiqua" w:cs="宋体"/>
          <w:color w:val="000000"/>
          <w:kern w:val="0"/>
          <w:sz w:val="24"/>
        </w:rPr>
        <w:t> 2004; </w:t>
      </w:r>
      <w:r w:rsidRPr="00226E1E">
        <w:rPr>
          <w:rFonts w:ascii="Book Antiqua" w:hAnsi="Book Antiqua" w:cs="宋体"/>
          <w:b/>
          <w:bCs/>
          <w:color w:val="000000"/>
          <w:kern w:val="0"/>
          <w:sz w:val="24"/>
        </w:rPr>
        <w:t>22</w:t>
      </w:r>
      <w:r w:rsidRPr="00226E1E">
        <w:rPr>
          <w:rFonts w:ascii="Book Antiqua" w:hAnsi="Book Antiqua" w:cs="宋体"/>
          <w:color w:val="000000"/>
          <w:kern w:val="0"/>
          <w:sz w:val="24"/>
        </w:rPr>
        <w:t>: 1389-1397 [PMID: 15084613 DOI: 10.1200/JCO.2004.04.059]</w:t>
      </w:r>
    </w:p>
    <w:p w14:paraId="25EAF65D"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30 </w:t>
      </w:r>
      <w:r w:rsidRPr="00226E1E">
        <w:rPr>
          <w:rFonts w:ascii="Book Antiqua" w:hAnsi="Book Antiqua" w:cs="宋体"/>
          <w:b/>
          <w:bCs/>
          <w:color w:val="000000"/>
          <w:kern w:val="0"/>
          <w:sz w:val="24"/>
        </w:rPr>
        <w:t>Zhao JJ</w:t>
      </w:r>
      <w:r w:rsidRPr="00226E1E">
        <w:rPr>
          <w:rFonts w:ascii="Book Antiqua" w:hAnsi="Book Antiqua" w:cs="宋体"/>
          <w:color w:val="000000"/>
          <w:kern w:val="0"/>
          <w:sz w:val="24"/>
        </w:rPr>
        <w:t>, Pan QZ, Pan K, Weng DS, Wang QJ, Li JJ, Lv L, Wang DD, Zheng HX, Jiang SS, Zhang XF, Xia JC. Interleukin-37 mediates the antitumor activity in hepatocellular carcinoma: role for CD57+ NK cells. </w:t>
      </w:r>
      <w:r w:rsidRPr="00226E1E">
        <w:rPr>
          <w:rFonts w:ascii="Book Antiqua" w:hAnsi="Book Antiqua" w:cs="宋体"/>
          <w:i/>
          <w:iCs/>
          <w:color w:val="000000"/>
          <w:kern w:val="0"/>
          <w:sz w:val="24"/>
        </w:rPr>
        <w:t>Sci Rep</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4</w:t>
      </w:r>
      <w:r w:rsidRPr="00226E1E">
        <w:rPr>
          <w:rFonts w:ascii="Book Antiqua" w:hAnsi="Book Antiqua" w:cs="宋体"/>
          <w:color w:val="000000"/>
          <w:kern w:val="0"/>
          <w:sz w:val="24"/>
        </w:rPr>
        <w:t>: 5177 [PMID: 24898887 DOI: 10.1038/srep05177]</w:t>
      </w:r>
    </w:p>
    <w:p w14:paraId="41FA150B" w14:textId="77777777"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31 </w:t>
      </w:r>
      <w:r w:rsidRPr="00226E1E">
        <w:rPr>
          <w:rFonts w:ascii="Book Antiqua" w:hAnsi="Book Antiqua" w:cs="宋体"/>
          <w:b/>
          <w:bCs/>
          <w:color w:val="000000"/>
          <w:kern w:val="0"/>
          <w:sz w:val="24"/>
        </w:rPr>
        <w:t>Yuan L</w:t>
      </w:r>
      <w:r w:rsidRPr="00226E1E">
        <w:rPr>
          <w:rFonts w:ascii="Book Antiqua" w:hAnsi="Book Antiqua" w:cs="宋体"/>
          <w:color w:val="000000"/>
          <w:kern w:val="0"/>
          <w:sz w:val="24"/>
        </w:rPr>
        <w:t>, Zhao H, Zhang L, Liu X.</w:t>
      </w:r>
      <w:proofErr w:type="gramEnd"/>
      <w:r w:rsidRPr="00226E1E">
        <w:rPr>
          <w:rFonts w:ascii="Book Antiqua" w:hAnsi="Book Antiqua" w:cs="宋体"/>
          <w:color w:val="000000"/>
          <w:kern w:val="0"/>
          <w:sz w:val="24"/>
        </w:rPr>
        <w:t xml:space="preserve"> </w:t>
      </w:r>
      <w:proofErr w:type="gramStart"/>
      <w:r w:rsidRPr="00226E1E">
        <w:rPr>
          <w:rFonts w:ascii="Book Antiqua" w:hAnsi="Book Antiqua" w:cs="宋体"/>
          <w:color w:val="000000"/>
          <w:kern w:val="0"/>
          <w:sz w:val="24"/>
        </w:rPr>
        <w:t>The efficacy of combination therapy using adeno-associated virus-mediated co-expression of apoptin and interleukin-24 on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Tumour Biol</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34</w:t>
      </w:r>
      <w:r w:rsidRPr="00226E1E">
        <w:rPr>
          <w:rFonts w:ascii="Book Antiqua" w:hAnsi="Book Antiqua" w:cs="宋体"/>
          <w:color w:val="000000"/>
          <w:kern w:val="0"/>
          <w:sz w:val="24"/>
        </w:rPr>
        <w:t>: 3027-3034 [PMID: 23907578 DOI: 10.1007/s13277-013-0867-z]</w:t>
      </w:r>
    </w:p>
    <w:p w14:paraId="320616DF" w14:textId="77777777"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32 </w:t>
      </w:r>
      <w:r w:rsidRPr="00226E1E">
        <w:rPr>
          <w:rFonts w:ascii="Book Antiqua" w:hAnsi="Book Antiqua" w:cs="宋体"/>
          <w:b/>
          <w:bCs/>
          <w:color w:val="000000"/>
          <w:kern w:val="0"/>
          <w:sz w:val="24"/>
        </w:rPr>
        <w:t>Marra F</w:t>
      </w:r>
      <w:r w:rsidRPr="00226E1E">
        <w:rPr>
          <w:rFonts w:ascii="Book Antiqua" w:hAnsi="Book Antiqua" w:cs="宋体"/>
          <w:color w:val="000000"/>
          <w:kern w:val="0"/>
          <w:sz w:val="24"/>
        </w:rPr>
        <w:t>, Tacke F. Roles for chemokines in liver disease.</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Gastroenterology</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147</w:t>
      </w:r>
      <w:r w:rsidRPr="00226E1E">
        <w:rPr>
          <w:rFonts w:ascii="Book Antiqua" w:hAnsi="Book Antiqua" w:cs="宋体"/>
          <w:color w:val="000000"/>
          <w:kern w:val="0"/>
          <w:sz w:val="24"/>
        </w:rPr>
        <w:t>: 577-594.e1 [PMID: 25066692 DOI: 10.1053/j.gastro.2014.06.043]</w:t>
      </w:r>
    </w:p>
    <w:p w14:paraId="2EA8349E"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33 </w:t>
      </w:r>
      <w:r w:rsidRPr="00226E1E">
        <w:rPr>
          <w:rFonts w:ascii="Book Antiqua" w:hAnsi="Book Antiqua" w:cs="宋体"/>
          <w:b/>
          <w:bCs/>
          <w:color w:val="000000"/>
          <w:kern w:val="0"/>
          <w:sz w:val="24"/>
        </w:rPr>
        <w:t>Ghanem I</w:t>
      </w:r>
      <w:r w:rsidRPr="00226E1E">
        <w:rPr>
          <w:rFonts w:ascii="Book Antiqua" w:hAnsi="Book Antiqua" w:cs="宋体"/>
          <w:color w:val="000000"/>
          <w:kern w:val="0"/>
          <w:sz w:val="24"/>
        </w:rPr>
        <w:t>, Riveiro ME, Paradis V, Faivre S, de Parga PM, Raymond E. Insights on the CXCL12-CXCR4 axis in hepatocellular carcinoma carcinogenesis. </w:t>
      </w:r>
      <w:r w:rsidRPr="00226E1E">
        <w:rPr>
          <w:rFonts w:ascii="Book Antiqua" w:hAnsi="Book Antiqua" w:cs="宋体"/>
          <w:i/>
          <w:iCs/>
          <w:color w:val="000000"/>
          <w:kern w:val="0"/>
          <w:sz w:val="24"/>
        </w:rPr>
        <w:t>Am J Transl Res</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6</w:t>
      </w:r>
      <w:r w:rsidRPr="00226E1E">
        <w:rPr>
          <w:rFonts w:ascii="Book Antiqua" w:hAnsi="Book Antiqua" w:cs="宋体"/>
          <w:color w:val="000000"/>
          <w:kern w:val="0"/>
          <w:sz w:val="24"/>
        </w:rPr>
        <w:t>: 340-352 [PMID: 25075251]</w:t>
      </w:r>
    </w:p>
    <w:p w14:paraId="05F74F71"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34 </w:t>
      </w:r>
      <w:r w:rsidRPr="00226E1E">
        <w:rPr>
          <w:rFonts w:ascii="Book Antiqua" w:hAnsi="Book Antiqua" w:cs="宋体"/>
          <w:b/>
          <w:bCs/>
          <w:color w:val="000000"/>
          <w:kern w:val="0"/>
          <w:sz w:val="24"/>
        </w:rPr>
        <w:t>Du D</w:t>
      </w:r>
      <w:r w:rsidRPr="00226E1E">
        <w:rPr>
          <w:rFonts w:ascii="Book Antiqua" w:hAnsi="Book Antiqua" w:cs="宋体"/>
          <w:color w:val="000000"/>
          <w:kern w:val="0"/>
          <w:sz w:val="24"/>
        </w:rPr>
        <w:t xml:space="preserve">, Liu Y, Qian H, Zhang B, Tang X, Zhang T, Liu W. </w:t>
      </w:r>
      <w:proofErr w:type="gramStart"/>
      <w:r w:rsidRPr="00226E1E">
        <w:rPr>
          <w:rFonts w:ascii="Book Antiqua" w:hAnsi="Book Antiqua" w:cs="宋体"/>
          <w:color w:val="000000"/>
          <w:kern w:val="0"/>
          <w:sz w:val="24"/>
        </w:rPr>
        <w:t>The effects of the CCR6/CCL20 biological axis on the invasion and metastasis of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Int J Mol Sci</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15</w:t>
      </w:r>
      <w:r w:rsidRPr="00226E1E">
        <w:rPr>
          <w:rFonts w:ascii="Book Antiqua" w:hAnsi="Book Antiqua" w:cs="宋体"/>
          <w:color w:val="000000"/>
          <w:kern w:val="0"/>
          <w:sz w:val="24"/>
        </w:rPr>
        <w:t>: 6441-6452 [PMID: 24743888 DOI: 10.3390/ijms15046441]</w:t>
      </w:r>
    </w:p>
    <w:p w14:paraId="7BAF64CF"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35 </w:t>
      </w:r>
      <w:r w:rsidRPr="00226E1E">
        <w:rPr>
          <w:rFonts w:ascii="Book Antiqua" w:hAnsi="Book Antiqua" w:cs="宋体"/>
          <w:b/>
          <w:bCs/>
          <w:color w:val="000000"/>
          <w:kern w:val="0"/>
          <w:sz w:val="24"/>
        </w:rPr>
        <w:t>Liu Y</w:t>
      </w:r>
      <w:r w:rsidRPr="00226E1E">
        <w:rPr>
          <w:rFonts w:ascii="Book Antiqua" w:hAnsi="Book Antiqua" w:cs="宋体"/>
          <w:color w:val="000000"/>
          <w:kern w:val="0"/>
          <w:sz w:val="24"/>
        </w:rPr>
        <w:t>, Poon RT, Hughes J, Feng X, Yu WC, Fan ST. Chemokine receptors support infiltration of lymphocyte subpopulations in human hepatocellular carcinoma. </w:t>
      </w:r>
      <w:r w:rsidRPr="00226E1E">
        <w:rPr>
          <w:rFonts w:ascii="Book Antiqua" w:hAnsi="Book Antiqua" w:cs="宋体"/>
          <w:i/>
          <w:iCs/>
          <w:color w:val="000000"/>
          <w:kern w:val="0"/>
          <w:sz w:val="24"/>
        </w:rPr>
        <w:t>Clin Immunol</w:t>
      </w:r>
      <w:r w:rsidRPr="00226E1E">
        <w:rPr>
          <w:rFonts w:ascii="Book Antiqua" w:hAnsi="Book Antiqua" w:cs="宋体"/>
          <w:color w:val="000000"/>
          <w:kern w:val="0"/>
          <w:sz w:val="24"/>
        </w:rPr>
        <w:t> 2005; </w:t>
      </w:r>
      <w:r w:rsidRPr="00226E1E">
        <w:rPr>
          <w:rFonts w:ascii="Book Antiqua" w:hAnsi="Book Antiqua" w:cs="宋体"/>
          <w:b/>
          <w:bCs/>
          <w:color w:val="000000"/>
          <w:kern w:val="0"/>
          <w:sz w:val="24"/>
        </w:rPr>
        <w:t>114</w:t>
      </w:r>
      <w:r w:rsidRPr="00226E1E">
        <w:rPr>
          <w:rFonts w:ascii="Book Antiqua" w:hAnsi="Book Antiqua" w:cs="宋体"/>
          <w:color w:val="000000"/>
          <w:kern w:val="0"/>
          <w:sz w:val="24"/>
        </w:rPr>
        <w:t>: 174-182 [PMID: 15639651 DOI: 10.1016/j.clim.2004.10.006]</w:t>
      </w:r>
    </w:p>
    <w:p w14:paraId="12BB535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36 </w:t>
      </w:r>
      <w:r w:rsidRPr="00226E1E">
        <w:rPr>
          <w:rFonts w:ascii="Book Antiqua" w:hAnsi="Book Antiqua" w:cs="宋体"/>
          <w:b/>
          <w:bCs/>
          <w:color w:val="000000"/>
          <w:kern w:val="0"/>
          <w:sz w:val="24"/>
        </w:rPr>
        <w:t>Chew V</w:t>
      </w:r>
      <w:r w:rsidRPr="00226E1E">
        <w:rPr>
          <w:rFonts w:ascii="Book Antiqua" w:hAnsi="Book Antiqua" w:cs="宋体"/>
          <w:color w:val="000000"/>
          <w:kern w:val="0"/>
          <w:sz w:val="24"/>
        </w:rPr>
        <w:t>, Chen J, Lee D, Loh E, Lee J, Lim KH, Weber A, Slankamenac K, Poon RT, Yang H, Ooi LL, Toh HC, Heikenwalder M, Ng IO, Nardin A, Abastado JP. Chemokine-driven lymphocyte infiltration: an early intratumoural event determining long-term survival in resectable hepatocellular carcinoma. </w:t>
      </w:r>
      <w:r w:rsidRPr="00226E1E">
        <w:rPr>
          <w:rFonts w:ascii="Book Antiqua" w:hAnsi="Book Antiqua" w:cs="宋体"/>
          <w:i/>
          <w:iCs/>
          <w:color w:val="000000"/>
          <w:kern w:val="0"/>
          <w:sz w:val="24"/>
        </w:rPr>
        <w:t>Gut</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61</w:t>
      </w:r>
      <w:r w:rsidRPr="00226E1E">
        <w:rPr>
          <w:rFonts w:ascii="Book Antiqua" w:hAnsi="Book Antiqua" w:cs="宋体"/>
          <w:color w:val="000000"/>
          <w:kern w:val="0"/>
          <w:sz w:val="24"/>
        </w:rPr>
        <w:t>: 427-438 [PMID: 21930732 DOI: 10.1136/gutjnl-2011-300509]</w:t>
      </w:r>
    </w:p>
    <w:p w14:paraId="3778C091"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37 </w:t>
      </w:r>
      <w:r w:rsidRPr="00226E1E">
        <w:rPr>
          <w:rFonts w:ascii="Book Antiqua" w:hAnsi="Book Antiqua" w:cs="宋体"/>
          <w:b/>
          <w:bCs/>
          <w:color w:val="000000"/>
          <w:kern w:val="0"/>
          <w:sz w:val="24"/>
        </w:rPr>
        <w:t>Hato T</w:t>
      </w:r>
      <w:r w:rsidRPr="00226E1E">
        <w:rPr>
          <w:rFonts w:ascii="Book Antiqua" w:hAnsi="Book Antiqua" w:cs="宋体"/>
          <w:color w:val="000000"/>
          <w:kern w:val="0"/>
          <w:sz w:val="24"/>
        </w:rPr>
        <w:t>, Goyal L, Greten TF, Duda DG, Zhu AX. Immune checkpoint blockade in hepatocellular carcinoma: current progress and future directions.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60</w:t>
      </w:r>
      <w:r w:rsidRPr="00226E1E">
        <w:rPr>
          <w:rFonts w:ascii="Book Antiqua" w:hAnsi="Book Antiqua" w:cs="宋体"/>
          <w:color w:val="000000"/>
          <w:kern w:val="0"/>
          <w:sz w:val="24"/>
        </w:rPr>
        <w:t>: 1776-1782 [PMID: 24912948 DOI: 10.1002/hep.27246]</w:t>
      </w:r>
    </w:p>
    <w:p w14:paraId="2E80489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38 </w:t>
      </w:r>
      <w:r w:rsidRPr="00226E1E">
        <w:rPr>
          <w:rFonts w:ascii="Book Antiqua" w:hAnsi="Book Antiqua" w:cs="宋体"/>
          <w:b/>
          <w:bCs/>
          <w:color w:val="000000"/>
          <w:kern w:val="0"/>
          <w:sz w:val="24"/>
        </w:rPr>
        <w:t>Grohmann U</w:t>
      </w:r>
      <w:r w:rsidRPr="00226E1E">
        <w:rPr>
          <w:rFonts w:ascii="Book Antiqua" w:hAnsi="Book Antiqua" w:cs="宋体"/>
          <w:color w:val="000000"/>
          <w:kern w:val="0"/>
          <w:sz w:val="24"/>
        </w:rPr>
        <w:t>, Orabona C, Fallarino F, Vacca C, Calcinaro F, Falorni A, Candeloro P, Belladonna ML, Bianchi R, Fioretti MC, Puccetti P. CTLA-4-Ig regulates tryptophan catabolism in vivo. </w:t>
      </w:r>
      <w:r w:rsidRPr="00226E1E">
        <w:rPr>
          <w:rFonts w:ascii="Book Antiqua" w:hAnsi="Book Antiqua" w:cs="宋体"/>
          <w:i/>
          <w:iCs/>
          <w:color w:val="000000"/>
          <w:kern w:val="0"/>
          <w:sz w:val="24"/>
        </w:rPr>
        <w:t>Nat Immunol</w:t>
      </w:r>
      <w:r w:rsidRPr="00226E1E">
        <w:rPr>
          <w:rFonts w:ascii="Book Antiqua" w:hAnsi="Book Antiqua" w:cs="宋体"/>
          <w:color w:val="000000"/>
          <w:kern w:val="0"/>
          <w:sz w:val="24"/>
        </w:rPr>
        <w:t> 2002; </w:t>
      </w:r>
      <w:r w:rsidRPr="00226E1E">
        <w:rPr>
          <w:rFonts w:ascii="Book Antiqua" w:hAnsi="Book Antiqua" w:cs="宋体"/>
          <w:b/>
          <w:bCs/>
          <w:color w:val="000000"/>
          <w:kern w:val="0"/>
          <w:sz w:val="24"/>
        </w:rPr>
        <w:t>3</w:t>
      </w:r>
      <w:r w:rsidRPr="00226E1E">
        <w:rPr>
          <w:rFonts w:ascii="Book Antiqua" w:hAnsi="Book Antiqua" w:cs="宋体"/>
          <w:color w:val="000000"/>
          <w:kern w:val="0"/>
          <w:sz w:val="24"/>
        </w:rPr>
        <w:t>: 1097-1101 [PMID: 12368911 DOI: 10.1038/ni846]</w:t>
      </w:r>
    </w:p>
    <w:p w14:paraId="0A6E1231"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39 </w:t>
      </w:r>
      <w:r w:rsidRPr="00226E1E">
        <w:rPr>
          <w:rFonts w:ascii="Book Antiqua" w:hAnsi="Book Antiqua" w:cs="宋体"/>
          <w:b/>
          <w:bCs/>
          <w:color w:val="000000"/>
          <w:kern w:val="0"/>
          <w:sz w:val="24"/>
        </w:rPr>
        <w:t>Schneider H</w:t>
      </w:r>
      <w:r w:rsidRPr="00226E1E">
        <w:rPr>
          <w:rFonts w:ascii="Book Antiqua" w:hAnsi="Book Antiqua" w:cs="宋体"/>
          <w:color w:val="000000"/>
          <w:kern w:val="0"/>
          <w:sz w:val="24"/>
        </w:rPr>
        <w:t>, Downey J, Smith A, Zinselmeyer BH, Rush C, Brewer JM, Wei B, Hogg N, Garside P, Rudd CE. Reversal of the TCR stop signal by CTLA-4. </w:t>
      </w:r>
      <w:r w:rsidRPr="00226E1E">
        <w:rPr>
          <w:rFonts w:ascii="Book Antiqua" w:hAnsi="Book Antiqua" w:cs="宋体"/>
          <w:i/>
          <w:iCs/>
          <w:color w:val="000000"/>
          <w:kern w:val="0"/>
          <w:sz w:val="24"/>
        </w:rPr>
        <w:t>Science</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313</w:t>
      </w:r>
      <w:r w:rsidRPr="00226E1E">
        <w:rPr>
          <w:rFonts w:ascii="Book Antiqua" w:hAnsi="Book Antiqua" w:cs="宋体"/>
          <w:color w:val="000000"/>
          <w:kern w:val="0"/>
          <w:sz w:val="24"/>
        </w:rPr>
        <w:t>: 1972-1975 [PMID: 16931720 DOI: 10.1126/science.1131078]</w:t>
      </w:r>
    </w:p>
    <w:p w14:paraId="3BBC97E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40 </w:t>
      </w:r>
      <w:r w:rsidRPr="00226E1E">
        <w:rPr>
          <w:rFonts w:ascii="Book Antiqua" w:hAnsi="Book Antiqua" w:cs="宋体"/>
          <w:b/>
          <w:bCs/>
          <w:color w:val="000000"/>
          <w:kern w:val="0"/>
          <w:sz w:val="24"/>
        </w:rPr>
        <w:t>Sangro B</w:t>
      </w:r>
      <w:r w:rsidRPr="00226E1E">
        <w:rPr>
          <w:rFonts w:ascii="Book Antiqua" w:hAnsi="Book Antiqua" w:cs="宋体"/>
          <w:color w:val="000000"/>
          <w:kern w:val="0"/>
          <w:sz w:val="24"/>
        </w:rPr>
        <w:t>,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sidRPr="00226E1E">
        <w:rPr>
          <w:rFonts w:ascii="Book Antiqua" w:hAnsi="Book Antiqua" w:cs="宋体"/>
          <w:i/>
          <w:iCs/>
          <w:color w:val="000000"/>
          <w:kern w:val="0"/>
          <w:sz w:val="24"/>
        </w:rPr>
        <w:t>J Hepatol</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59</w:t>
      </w:r>
      <w:r w:rsidRPr="00226E1E">
        <w:rPr>
          <w:rFonts w:ascii="Book Antiqua" w:hAnsi="Book Antiqua" w:cs="宋体"/>
          <w:color w:val="000000"/>
          <w:kern w:val="0"/>
          <w:sz w:val="24"/>
        </w:rPr>
        <w:t>: 81-88 [PMID: 23466307 DOI: 10.1016/j.jhep.2013.02.022]</w:t>
      </w:r>
    </w:p>
    <w:p w14:paraId="4D1C31F0" w14:textId="7536AE61"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41 </w:t>
      </w:r>
      <w:r w:rsidRPr="00226E1E">
        <w:rPr>
          <w:rFonts w:ascii="Book Antiqua" w:hAnsi="Book Antiqua" w:cs="宋体"/>
          <w:b/>
          <w:bCs/>
          <w:color w:val="000000"/>
          <w:kern w:val="0"/>
          <w:sz w:val="24"/>
        </w:rPr>
        <w:t>Okazaki T</w:t>
      </w:r>
      <w:r w:rsidRPr="00226E1E">
        <w:rPr>
          <w:rFonts w:ascii="Book Antiqua" w:hAnsi="Book Antiqua" w:cs="宋体"/>
          <w:color w:val="000000"/>
          <w:kern w:val="0"/>
          <w:sz w:val="24"/>
        </w:rPr>
        <w:t>, Maeda A, Nishimura H, Kurosaki T, Honjo T. PD-1 immunoreceptor inhibits B cell receptor-mediated signaling by recruiting src homology 2-domain-containing tyrosine phosphatase 2 to phosphotyrosine. </w:t>
      </w:r>
      <w:r w:rsidR="00083AFD">
        <w:rPr>
          <w:rFonts w:ascii="Book Antiqua" w:hAnsi="Book Antiqua" w:cs="宋体"/>
          <w:i/>
          <w:iCs/>
          <w:color w:val="000000"/>
          <w:kern w:val="0"/>
          <w:sz w:val="24"/>
        </w:rPr>
        <w:t>Proc Natl Acad Sci US</w:t>
      </w:r>
      <w:r w:rsidRPr="00226E1E">
        <w:rPr>
          <w:rFonts w:ascii="Book Antiqua" w:hAnsi="Book Antiqua" w:cs="宋体"/>
          <w:i/>
          <w:iCs/>
          <w:color w:val="000000"/>
          <w:kern w:val="0"/>
          <w:sz w:val="24"/>
        </w:rPr>
        <w:t>A</w:t>
      </w:r>
      <w:r w:rsidRPr="00226E1E">
        <w:rPr>
          <w:rFonts w:ascii="Book Antiqua" w:hAnsi="Book Antiqua" w:cs="宋体"/>
          <w:color w:val="000000"/>
          <w:kern w:val="0"/>
          <w:sz w:val="24"/>
        </w:rPr>
        <w:t> 2001; </w:t>
      </w:r>
      <w:r w:rsidRPr="00226E1E">
        <w:rPr>
          <w:rFonts w:ascii="Book Antiqua" w:hAnsi="Book Antiqua" w:cs="宋体"/>
          <w:b/>
          <w:bCs/>
          <w:color w:val="000000"/>
          <w:kern w:val="0"/>
          <w:sz w:val="24"/>
        </w:rPr>
        <w:t>98</w:t>
      </w:r>
      <w:r w:rsidRPr="00226E1E">
        <w:rPr>
          <w:rFonts w:ascii="Book Antiqua" w:hAnsi="Book Antiqua" w:cs="宋体"/>
          <w:color w:val="000000"/>
          <w:kern w:val="0"/>
          <w:sz w:val="24"/>
        </w:rPr>
        <w:t>: 13866-13871 [PMID: 11698646 DOI: 10.1073/pnas.231486598]</w:t>
      </w:r>
    </w:p>
    <w:p w14:paraId="4DB4A6CB"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42 </w:t>
      </w:r>
      <w:r w:rsidRPr="00226E1E">
        <w:rPr>
          <w:rFonts w:ascii="Book Antiqua" w:hAnsi="Book Antiqua" w:cs="宋体"/>
          <w:b/>
          <w:bCs/>
          <w:color w:val="000000"/>
          <w:kern w:val="0"/>
          <w:sz w:val="24"/>
        </w:rPr>
        <w:t>Manzotti CN</w:t>
      </w:r>
      <w:r w:rsidRPr="00226E1E">
        <w:rPr>
          <w:rFonts w:ascii="Book Antiqua" w:hAnsi="Book Antiqua" w:cs="宋体"/>
          <w:color w:val="000000"/>
          <w:kern w:val="0"/>
          <w:sz w:val="24"/>
        </w:rPr>
        <w:t>, Liu MK, Burke F, Dussably L, Zheng Y, Sansom DM. Integration of CD28 and CTLA-4 function results in differential responses of T cells to CD80 and CD86. </w:t>
      </w:r>
      <w:r w:rsidRPr="00226E1E">
        <w:rPr>
          <w:rFonts w:ascii="Book Antiqua" w:hAnsi="Book Antiqua" w:cs="宋体"/>
          <w:i/>
          <w:iCs/>
          <w:color w:val="000000"/>
          <w:kern w:val="0"/>
          <w:sz w:val="24"/>
        </w:rPr>
        <w:t>Eur J Immunol</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36</w:t>
      </w:r>
      <w:r w:rsidRPr="00226E1E">
        <w:rPr>
          <w:rFonts w:ascii="Book Antiqua" w:hAnsi="Book Antiqua" w:cs="宋体"/>
          <w:color w:val="000000"/>
          <w:kern w:val="0"/>
          <w:sz w:val="24"/>
        </w:rPr>
        <w:t>: 1413-1422 [PMID: 16708397 DOI: 10.1002/eji.200535170]</w:t>
      </w:r>
    </w:p>
    <w:p w14:paraId="266F951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43 </w:t>
      </w:r>
      <w:r w:rsidRPr="00226E1E">
        <w:rPr>
          <w:rFonts w:ascii="Book Antiqua" w:hAnsi="Book Antiqua" w:cs="宋体"/>
          <w:b/>
          <w:bCs/>
          <w:color w:val="000000"/>
          <w:kern w:val="0"/>
          <w:sz w:val="24"/>
        </w:rPr>
        <w:t>Francisco LM</w:t>
      </w:r>
      <w:r w:rsidRPr="00226E1E">
        <w:rPr>
          <w:rFonts w:ascii="Book Antiqua" w:hAnsi="Book Antiqua" w:cs="宋体"/>
          <w:color w:val="000000"/>
          <w:kern w:val="0"/>
          <w:sz w:val="24"/>
        </w:rPr>
        <w:t>, Salinas VH, Brown KE, Vanguri VK, Freeman GJ, Kuchroo VK, Sharpe AH. PD-L1 regulates the development, maintenance, and function of induced regulatory T cells. </w:t>
      </w:r>
      <w:r w:rsidRPr="00226E1E">
        <w:rPr>
          <w:rFonts w:ascii="Book Antiqua" w:hAnsi="Book Antiqua" w:cs="宋体"/>
          <w:i/>
          <w:iCs/>
          <w:color w:val="000000"/>
          <w:kern w:val="0"/>
          <w:sz w:val="24"/>
        </w:rPr>
        <w:t>J Exp Med</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206</w:t>
      </w:r>
      <w:r w:rsidRPr="00226E1E">
        <w:rPr>
          <w:rFonts w:ascii="Book Antiqua" w:hAnsi="Book Antiqua" w:cs="宋体"/>
          <w:color w:val="000000"/>
          <w:kern w:val="0"/>
          <w:sz w:val="24"/>
        </w:rPr>
        <w:t>: 3015-3029 [PMID: 20008522 DOI: 10.1084/jem.20090847]</w:t>
      </w:r>
    </w:p>
    <w:p w14:paraId="21B7309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44 </w:t>
      </w:r>
      <w:r w:rsidRPr="00226E1E">
        <w:rPr>
          <w:rFonts w:ascii="Book Antiqua" w:hAnsi="Book Antiqua" w:cs="宋体"/>
          <w:b/>
          <w:bCs/>
          <w:color w:val="000000"/>
          <w:kern w:val="0"/>
          <w:sz w:val="24"/>
        </w:rPr>
        <w:t>Hamid O</w:t>
      </w:r>
      <w:r w:rsidRPr="00226E1E">
        <w:rPr>
          <w:rFonts w:ascii="Book Antiqua" w:hAnsi="Book Antiqua" w:cs="宋体"/>
          <w:color w:val="000000"/>
          <w:kern w:val="0"/>
          <w:sz w:val="24"/>
        </w:rPr>
        <w:t>, Robert C, Daud A, Hodi FS, Hwu WJ, Kefford R, Wolchok JD, Hersey P, Joseph RW, Weber JS, Dronca R, Gangadhar TC, Patnaik A, Zarour H, Joshua AM, Gergich K, Elassaiss-Schaap J, Algazi A, Mateus C, Boasberg P, Tumeh PC, Chmielowski B, Ebbinghaus SW, Li XN, Kang SP, Ribas A. Safety and tumor responses with lambrolizumab (anti-PD-1) in melanoma. </w:t>
      </w:r>
      <w:r w:rsidRPr="00226E1E">
        <w:rPr>
          <w:rFonts w:ascii="Book Antiqua" w:hAnsi="Book Antiqua" w:cs="宋体"/>
          <w:i/>
          <w:iCs/>
          <w:color w:val="000000"/>
          <w:kern w:val="0"/>
          <w:sz w:val="24"/>
        </w:rPr>
        <w:t>N Engl J Med</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369</w:t>
      </w:r>
      <w:r w:rsidRPr="00226E1E">
        <w:rPr>
          <w:rFonts w:ascii="Book Antiqua" w:hAnsi="Book Antiqua" w:cs="宋体"/>
          <w:color w:val="000000"/>
          <w:kern w:val="0"/>
          <w:sz w:val="24"/>
        </w:rPr>
        <w:t>: 134-144 [PMID: 23724846 DOI: 10.1056/NEJMoa1305133]</w:t>
      </w:r>
    </w:p>
    <w:p w14:paraId="0BCF7177" w14:textId="77777777"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45 </w:t>
      </w:r>
      <w:r w:rsidRPr="00226E1E">
        <w:rPr>
          <w:rFonts w:ascii="Book Antiqua" w:hAnsi="Book Antiqua" w:cs="宋体"/>
          <w:b/>
          <w:bCs/>
          <w:color w:val="000000"/>
          <w:kern w:val="0"/>
          <w:sz w:val="24"/>
        </w:rPr>
        <w:t>Chang MH</w:t>
      </w:r>
      <w:r w:rsidRPr="00226E1E">
        <w:rPr>
          <w:rFonts w:ascii="Book Antiqua" w:hAnsi="Book Antiqua" w:cs="宋体"/>
          <w:color w:val="000000"/>
          <w:kern w:val="0"/>
          <w:sz w:val="24"/>
        </w:rPr>
        <w:t>.</w:t>
      </w:r>
      <w:proofErr w:type="gramEnd"/>
      <w:r w:rsidRPr="00226E1E">
        <w:rPr>
          <w:rFonts w:ascii="Book Antiqua" w:hAnsi="Book Antiqua" w:cs="宋体"/>
          <w:color w:val="000000"/>
          <w:kern w:val="0"/>
          <w:sz w:val="24"/>
        </w:rPr>
        <w:t xml:space="preserve"> Cancer prevention by vaccination against hepatitis B. </w:t>
      </w:r>
      <w:r w:rsidRPr="00226E1E">
        <w:rPr>
          <w:rFonts w:ascii="Book Antiqua" w:hAnsi="Book Antiqua" w:cs="宋体"/>
          <w:i/>
          <w:iCs/>
          <w:color w:val="000000"/>
          <w:kern w:val="0"/>
          <w:sz w:val="24"/>
        </w:rPr>
        <w:t>Recent Results Cancer Res</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181</w:t>
      </w:r>
      <w:r w:rsidRPr="00226E1E">
        <w:rPr>
          <w:rFonts w:ascii="Book Antiqua" w:hAnsi="Book Antiqua" w:cs="宋体"/>
          <w:color w:val="000000"/>
          <w:kern w:val="0"/>
          <w:sz w:val="24"/>
        </w:rPr>
        <w:t>: 85-94 [PMID: 19213561]</w:t>
      </w:r>
    </w:p>
    <w:p w14:paraId="30409196" w14:textId="60B6726A"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46</w:t>
      </w:r>
      <w:r w:rsidRPr="00083AFD">
        <w:rPr>
          <w:rFonts w:ascii="Book Antiqua" w:hAnsi="Book Antiqua" w:cs="宋体"/>
          <w:b/>
          <w:color w:val="000000"/>
          <w:kern w:val="0"/>
          <w:sz w:val="24"/>
        </w:rPr>
        <w:t xml:space="preserve"> </w:t>
      </w:r>
      <w:r w:rsidR="00083AFD" w:rsidRPr="00083AFD">
        <w:rPr>
          <w:rFonts w:ascii="Book Antiqua" w:hAnsi="Book Antiqua"/>
          <w:b/>
          <w:noProof/>
          <w:sz w:val="24"/>
        </w:rPr>
        <w:t>Zhao YJ,</w:t>
      </w:r>
      <w:r w:rsidR="00083AFD">
        <w:rPr>
          <w:rFonts w:ascii="Book Antiqua" w:hAnsi="Book Antiqua"/>
          <w:noProof/>
          <w:sz w:val="24"/>
        </w:rPr>
        <w:t xml:space="preserve"> Ju Q, Li GC</w:t>
      </w:r>
      <w:r w:rsidRPr="00226E1E">
        <w:rPr>
          <w:rFonts w:ascii="Book Antiqua" w:hAnsi="Book Antiqua" w:cs="宋体"/>
          <w:color w:val="000000"/>
          <w:kern w:val="0"/>
          <w:sz w:val="24"/>
        </w:rPr>
        <w:t xml:space="preserve">. </w:t>
      </w:r>
      <w:proofErr w:type="gramStart"/>
      <w:r w:rsidRPr="00226E1E">
        <w:rPr>
          <w:rFonts w:ascii="Book Antiqua" w:hAnsi="Book Antiqua" w:cs="宋体"/>
          <w:color w:val="000000"/>
          <w:kern w:val="0"/>
          <w:sz w:val="24"/>
        </w:rPr>
        <w:t>Tumor markers for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Mol Clin Oncol</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1</w:t>
      </w:r>
      <w:r w:rsidRPr="00226E1E">
        <w:rPr>
          <w:rFonts w:ascii="Book Antiqua" w:hAnsi="Book Antiqua" w:cs="宋体"/>
          <w:color w:val="000000"/>
          <w:kern w:val="0"/>
          <w:sz w:val="24"/>
        </w:rPr>
        <w:t>: 593-598 [PMID: 24649215 DOI: 10.3892/mco.2013.119]</w:t>
      </w:r>
    </w:p>
    <w:p w14:paraId="381DF98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47 </w:t>
      </w:r>
      <w:r w:rsidRPr="00226E1E">
        <w:rPr>
          <w:rFonts w:ascii="Book Antiqua" w:hAnsi="Book Antiqua" w:cs="宋体"/>
          <w:b/>
          <w:bCs/>
          <w:color w:val="000000"/>
          <w:kern w:val="0"/>
          <w:sz w:val="24"/>
        </w:rPr>
        <w:t>Shang XY</w:t>
      </w:r>
      <w:r w:rsidRPr="00226E1E">
        <w:rPr>
          <w:rFonts w:ascii="Book Antiqua" w:hAnsi="Book Antiqua" w:cs="宋体"/>
          <w:color w:val="000000"/>
          <w:kern w:val="0"/>
          <w:sz w:val="24"/>
        </w:rPr>
        <w:t xml:space="preserve">, Chen HS, Zhang HG, Pang XW, Qiao H, Peng JR, Qin LL, Fei R, Mei MH, Leng XS, Gnjatic S, Ritter G, Simpson AJ, Old LJ, Chen WF. </w:t>
      </w:r>
      <w:proofErr w:type="gramStart"/>
      <w:r w:rsidRPr="00226E1E">
        <w:rPr>
          <w:rFonts w:ascii="Book Antiqua" w:hAnsi="Book Antiqua" w:cs="宋体"/>
          <w:color w:val="000000"/>
          <w:kern w:val="0"/>
          <w:sz w:val="24"/>
        </w:rPr>
        <w:t>The spontaneous CD8+ T-cell response to HLA-A2-restricted NY-ESO-1b peptide in hepatocellular carcinoma patients.</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Clin Cancer Res</w:t>
      </w:r>
      <w:r w:rsidRPr="00226E1E">
        <w:rPr>
          <w:rFonts w:ascii="Book Antiqua" w:hAnsi="Book Antiqua" w:cs="宋体"/>
          <w:color w:val="000000"/>
          <w:kern w:val="0"/>
          <w:sz w:val="24"/>
        </w:rPr>
        <w:t> 2004; </w:t>
      </w:r>
      <w:r w:rsidRPr="00226E1E">
        <w:rPr>
          <w:rFonts w:ascii="Book Antiqua" w:hAnsi="Book Antiqua" w:cs="宋体"/>
          <w:b/>
          <w:bCs/>
          <w:color w:val="000000"/>
          <w:kern w:val="0"/>
          <w:sz w:val="24"/>
        </w:rPr>
        <w:t>10</w:t>
      </w:r>
      <w:r w:rsidRPr="00226E1E">
        <w:rPr>
          <w:rFonts w:ascii="Book Antiqua" w:hAnsi="Book Antiqua" w:cs="宋体"/>
          <w:color w:val="000000"/>
          <w:kern w:val="0"/>
          <w:sz w:val="24"/>
        </w:rPr>
        <w:t>: 6946-6955 [PMID: 15501973 DOI: 10.1158/1078-0432.CCR-04-0502]</w:t>
      </w:r>
    </w:p>
    <w:p w14:paraId="70FAF8FF"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48 </w:t>
      </w:r>
      <w:r w:rsidRPr="00226E1E">
        <w:rPr>
          <w:rFonts w:ascii="Book Antiqua" w:hAnsi="Book Antiqua" w:cs="宋体"/>
          <w:b/>
          <w:bCs/>
          <w:color w:val="000000"/>
          <w:kern w:val="0"/>
          <w:sz w:val="24"/>
        </w:rPr>
        <w:t>Butterfield LH</w:t>
      </w:r>
      <w:r w:rsidRPr="00226E1E">
        <w:rPr>
          <w:rFonts w:ascii="Book Antiqua" w:hAnsi="Book Antiqua" w:cs="宋体"/>
          <w:color w:val="000000"/>
          <w:kern w:val="0"/>
          <w:sz w:val="24"/>
        </w:rPr>
        <w:t>, Ribas A, Meng WS, Dissette VB, Amarnani S, Vu HT, Seja E, Todd K, Glaspy JA, McBride WH, Economou JS. T-cell responses to HLA-A*0201 immunodominant peptides derived from alpha-fetoprotein in patients with hepatocellular cancer. </w:t>
      </w:r>
      <w:r w:rsidRPr="00226E1E">
        <w:rPr>
          <w:rFonts w:ascii="Book Antiqua" w:hAnsi="Book Antiqua" w:cs="宋体"/>
          <w:i/>
          <w:iCs/>
          <w:color w:val="000000"/>
          <w:kern w:val="0"/>
          <w:sz w:val="24"/>
        </w:rPr>
        <w:t>Clin Cancer Res</w:t>
      </w:r>
      <w:r w:rsidRPr="00226E1E">
        <w:rPr>
          <w:rFonts w:ascii="Book Antiqua" w:hAnsi="Book Antiqua" w:cs="宋体"/>
          <w:color w:val="000000"/>
          <w:kern w:val="0"/>
          <w:sz w:val="24"/>
        </w:rPr>
        <w:t> 2003; </w:t>
      </w:r>
      <w:r w:rsidRPr="00226E1E">
        <w:rPr>
          <w:rFonts w:ascii="Book Antiqua" w:hAnsi="Book Antiqua" w:cs="宋体"/>
          <w:b/>
          <w:bCs/>
          <w:color w:val="000000"/>
          <w:kern w:val="0"/>
          <w:sz w:val="24"/>
        </w:rPr>
        <w:t>9</w:t>
      </w:r>
      <w:r w:rsidRPr="00226E1E">
        <w:rPr>
          <w:rFonts w:ascii="Book Antiqua" w:hAnsi="Book Antiqua" w:cs="宋体"/>
          <w:color w:val="000000"/>
          <w:kern w:val="0"/>
          <w:sz w:val="24"/>
        </w:rPr>
        <w:t>: 5902-5908 [PMID: 14676113]</w:t>
      </w:r>
    </w:p>
    <w:p w14:paraId="672F54FB"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49 </w:t>
      </w:r>
      <w:r w:rsidRPr="00226E1E">
        <w:rPr>
          <w:rFonts w:ascii="Book Antiqua" w:hAnsi="Book Antiqua" w:cs="宋体"/>
          <w:b/>
          <w:bCs/>
          <w:color w:val="000000"/>
          <w:kern w:val="0"/>
          <w:sz w:val="24"/>
        </w:rPr>
        <w:t>Komori H</w:t>
      </w:r>
      <w:r w:rsidRPr="00226E1E">
        <w:rPr>
          <w:rFonts w:ascii="Book Antiqua" w:hAnsi="Book Antiqua" w:cs="宋体"/>
          <w:color w:val="000000"/>
          <w:kern w:val="0"/>
          <w:sz w:val="24"/>
        </w:rPr>
        <w:t>, Nakatsura T, Senju S, Yoshitake Y, Motomura Y, Ikuta Y, Fukuma D, Yokomine K, Harao M, Beppu T, Matsui M, Torigoe T, Sato N, Baba H, Nishimura Y. Identification of HLA-A2- or HLA-A24-restricted CTL epitopes possibly useful for glypican-3-specific immunotherapy of hepatocellular carcinoma. </w:t>
      </w:r>
      <w:r w:rsidRPr="00226E1E">
        <w:rPr>
          <w:rFonts w:ascii="Book Antiqua" w:hAnsi="Book Antiqua" w:cs="宋体"/>
          <w:i/>
          <w:iCs/>
          <w:color w:val="000000"/>
          <w:kern w:val="0"/>
          <w:sz w:val="24"/>
        </w:rPr>
        <w:t>Clin Cancer Res</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12</w:t>
      </w:r>
      <w:r w:rsidRPr="00226E1E">
        <w:rPr>
          <w:rFonts w:ascii="Book Antiqua" w:hAnsi="Book Antiqua" w:cs="宋体"/>
          <w:color w:val="000000"/>
          <w:kern w:val="0"/>
          <w:sz w:val="24"/>
        </w:rPr>
        <w:t>: 2689-2697 [PMID: 16675560 DOI: 10.1158/1078-0432.CCR-05-2267]</w:t>
      </w:r>
    </w:p>
    <w:p w14:paraId="1DDC1540"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50 </w:t>
      </w:r>
      <w:r w:rsidRPr="00226E1E">
        <w:rPr>
          <w:rFonts w:ascii="Book Antiqua" w:hAnsi="Book Antiqua" w:cs="宋体"/>
          <w:b/>
          <w:bCs/>
          <w:color w:val="000000"/>
          <w:kern w:val="0"/>
          <w:sz w:val="24"/>
        </w:rPr>
        <w:t>Hong Y</w:t>
      </w:r>
      <w:r w:rsidRPr="00226E1E">
        <w:rPr>
          <w:rFonts w:ascii="Book Antiqua" w:hAnsi="Book Antiqua" w:cs="宋体"/>
          <w:color w:val="000000"/>
          <w:kern w:val="0"/>
          <w:sz w:val="24"/>
        </w:rPr>
        <w:t>, Peng Y, Guo ZS, Guevara-Patino J, Pang J, Butterfield LH, Mivechi NF, Munn DH, Bartlett DL, He Y. Epitope-optimized alpha-fetoprotein genetic vaccines prevent carcinogen-induced murine autochthonous hepatocellular carcinoma.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59</w:t>
      </w:r>
      <w:r w:rsidRPr="00226E1E">
        <w:rPr>
          <w:rFonts w:ascii="Book Antiqua" w:hAnsi="Book Antiqua" w:cs="宋体"/>
          <w:color w:val="000000"/>
          <w:kern w:val="0"/>
          <w:sz w:val="24"/>
        </w:rPr>
        <w:t>: 1448-1458 [PMID: 24122861 DOI: 10.1002/hep.26893]</w:t>
      </w:r>
    </w:p>
    <w:p w14:paraId="1F27F997"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51 </w:t>
      </w:r>
      <w:r w:rsidRPr="00226E1E">
        <w:rPr>
          <w:rFonts w:ascii="Book Antiqua" w:hAnsi="Book Antiqua" w:cs="宋体"/>
          <w:b/>
          <w:bCs/>
          <w:color w:val="000000"/>
          <w:kern w:val="0"/>
          <w:sz w:val="24"/>
        </w:rPr>
        <w:t>Chen Y</w:t>
      </w:r>
      <w:r w:rsidRPr="00226E1E">
        <w:rPr>
          <w:rFonts w:ascii="Book Antiqua" w:hAnsi="Book Antiqua" w:cs="宋体"/>
          <w:color w:val="000000"/>
          <w:kern w:val="0"/>
          <w:sz w:val="24"/>
        </w:rPr>
        <w:t>, Yang D, Li S, Gao Y, Jiang R, Deng L, Frankel FR, Sun B. Development of a Listeria monocytogenes-based vaccine against hepatocellular carcinoma. </w:t>
      </w:r>
      <w:r w:rsidRPr="00226E1E">
        <w:rPr>
          <w:rFonts w:ascii="Book Antiqua" w:hAnsi="Book Antiqua" w:cs="宋体"/>
          <w:i/>
          <w:iCs/>
          <w:color w:val="000000"/>
          <w:kern w:val="0"/>
          <w:sz w:val="24"/>
        </w:rPr>
        <w:t>Oncogene</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31</w:t>
      </w:r>
      <w:r w:rsidRPr="00226E1E">
        <w:rPr>
          <w:rFonts w:ascii="Book Antiqua" w:hAnsi="Book Antiqua" w:cs="宋体"/>
          <w:color w:val="000000"/>
          <w:kern w:val="0"/>
          <w:sz w:val="24"/>
        </w:rPr>
        <w:t>: 2140-2152 [PMID: 21927025 DOI: 10.1038/onc.2011.395]</w:t>
      </w:r>
    </w:p>
    <w:p w14:paraId="5B9ED851"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52 </w:t>
      </w:r>
      <w:r w:rsidRPr="00226E1E">
        <w:rPr>
          <w:rFonts w:ascii="Book Antiqua" w:hAnsi="Book Antiqua" w:cs="宋体"/>
          <w:b/>
          <w:bCs/>
          <w:color w:val="000000"/>
          <w:kern w:val="0"/>
          <w:sz w:val="24"/>
        </w:rPr>
        <w:t>Zhang Y</w:t>
      </w:r>
      <w:r w:rsidRPr="00226E1E">
        <w:rPr>
          <w:rFonts w:ascii="Book Antiqua" w:hAnsi="Book Antiqua" w:cs="宋体"/>
          <w:color w:val="000000"/>
          <w:kern w:val="0"/>
          <w:sz w:val="24"/>
        </w:rPr>
        <w:t>, Xu J, Zhao R, Liu J, Wu J. Inhibition effects on liver tumors of BALB/c mice bearing H22 cells by immunization with a recombinant immunogen of GnRH linked to heat shock protein 65. </w:t>
      </w:r>
      <w:r w:rsidRPr="00226E1E">
        <w:rPr>
          <w:rFonts w:ascii="Book Antiqua" w:hAnsi="Book Antiqua" w:cs="宋体"/>
          <w:i/>
          <w:iCs/>
          <w:color w:val="000000"/>
          <w:kern w:val="0"/>
          <w:sz w:val="24"/>
        </w:rPr>
        <w:t>Vaccine</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25</w:t>
      </w:r>
      <w:r w:rsidRPr="00226E1E">
        <w:rPr>
          <w:rFonts w:ascii="Book Antiqua" w:hAnsi="Book Antiqua" w:cs="宋体"/>
          <w:color w:val="000000"/>
          <w:kern w:val="0"/>
          <w:sz w:val="24"/>
        </w:rPr>
        <w:t>: 6911-6921 [PMID: 17728021 DOI: 10.1016/j.vaccine.2007.07.034]</w:t>
      </w:r>
    </w:p>
    <w:p w14:paraId="77DD79AF"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53 </w:t>
      </w:r>
      <w:r w:rsidRPr="00226E1E">
        <w:rPr>
          <w:rFonts w:ascii="Book Antiqua" w:hAnsi="Book Antiqua" w:cs="宋体"/>
          <w:b/>
          <w:bCs/>
          <w:color w:val="000000"/>
          <w:kern w:val="0"/>
          <w:sz w:val="24"/>
        </w:rPr>
        <w:t>Saini N</w:t>
      </w:r>
      <w:r w:rsidRPr="00226E1E">
        <w:rPr>
          <w:rFonts w:ascii="Book Antiqua" w:hAnsi="Book Antiqua" w:cs="宋体"/>
          <w:color w:val="000000"/>
          <w:kern w:val="0"/>
          <w:sz w:val="24"/>
        </w:rPr>
        <w:t>, Srinivasan R, Chawla Y, Sharma S, Chakraborti A, Rajwanshi A. Telomerase activity, telomere length and human telomerase reverse transcriptase expression in hepatocellular carcinoma is independent of hepatitis virus status. </w:t>
      </w:r>
      <w:r w:rsidRPr="00226E1E">
        <w:rPr>
          <w:rFonts w:ascii="Book Antiqua" w:hAnsi="Book Antiqua" w:cs="宋体"/>
          <w:i/>
          <w:iCs/>
          <w:color w:val="000000"/>
          <w:kern w:val="0"/>
          <w:sz w:val="24"/>
        </w:rPr>
        <w:t>Liver Int</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29</w:t>
      </w:r>
      <w:r w:rsidRPr="00226E1E">
        <w:rPr>
          <w:rFonts w:ascii="Book Antiqua" w:hAnsi="Book Antiqua" w:cs="宋体"/>
          <w:color w:val="000000"/>
          <w:kern w:val="0"/>
          <w:sz w:val="24"/>
        </w:rPr>
        <w:t>: 1162-1170 [PMID: 19627485 DOI: 10.1111/j.1478-3231.2009.02082.x]</w:t>
      </w:r>
    </w:p>
    <w:p w14:paraId="06921BC0"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54 </w:t>
      </w:r>
      <w:r w:rsidRPr="00226E1E">
        <w:rPr>
          <w:rFonts w:ascii="Book Antiqua" w:hAnsi="Book Antiqua" w:cs="宋体"/>
          <w:b/>
          <w:bCs/>
          <w:color w:val="000000"/>
          <w:kern w:val="0"/>
          <w:sz w:val="24"/>
        </w:rPr>
        <w:t>Shimada M</w:t>
      </w:r>
      <w:r w:rsidRPr="00226E1E">
        <w:rPr>
          <w:rFonts w:ascii="Book Antiqua" w:hAnsi="Book Antiqua" w:cs="宋体"/>
          <w:color w:val="000000"/>
          <w:kern w:val="0"/>
          <w:sz w:val="24"/>
        </w:rPr>
        <w:t xml:space="preserve">, Hasegawa H, Gion T, Utsunomiya T, Shirabe K, Takenaka K, Otsuka T, Maehara Y, Sugimachi K. </w:t>
      </w:r>
      <w:proofErr w:type="gramStart"/>
      <w:r w:rsidRPr="00226E1E">
        <w:rPr>
          <w:rFonts w:ascii="Book Antiqua" w:hAnsi="Book Antiqua" w:cs="宋体"/>
          <w:color w:val="000000"/>
          <w:kern w:val="0"/>
          <w:sz w:val="24"/>
        </w:rPr>
        <w:t>The role of telomerase activity in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Am J Gastroenterol</w:t>
      </w:r>
      <w:r w:rsidRPr="00226E1E">
        <w:rPr>
          <w:rFonts w:ascii="Book Antiqua" w:hAnsi="Book Antiqua" w:cs="宋体"/>
          <w:color w:val="000000"/>
          <w:kern w:val="0"/>
          <w:sz w:val="24"/>
        </w:rPr>
        <w:t> 2000; </w:t>
      </w:r>
      <w:r w:rsidRPr="00226E1E">
        <w:rPr>
          <w:rFonts w:ascii="Book Antiqua" w:hAnsi="Book Antiqua" w:cs="宋体"/>
          <w:b/>
          <w:bCs/>
          <w:color w:val="000000"/>
          <w:kern w:val="0"/>
          <w:sz w:val="24"/>
        </w:rPr>
        <w:t>95</w:t>
      </w:r>
      <w:r w:rsidRPr="00226E1E">
        <w:rPr>
          <w:rFonts w:ascii="Book Antiqua" w:hAnsi="Book Antiqua" w:cs="宋体"/>
          <w:color w:val="000000"/>
          <w:kern w:val="0"/>
          <w:sz w:val="24"/>
        </w:rPr>
        <w:t>: 748-752 [PMID: 10710069 DOI: 10.1111/j.1572-0241.2000.01855.x]</w:t>
      </w:r>
    </w:p>
    <w:p w14:paraId="2E3F3AE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55 </w:t>
      </w:r>
      <w:r w:rsidRPr="00226E1E">
        <w:rPr>
          <w:rFonts w:ascii="Book Antiqua" w:hAnsi="Book Antiqua" w:cs="宋体"/>
          <w:b/>
          <w:bCs/>
          <w:color w:val="000000"/>
          <w:kern w:val="0"/>
          <w:sz w:val="24"/>
        </w:rPr>
        <w:t>Greten TF</w:t>
      </w:r>
      <w:r w:rsidRPr="00226E1E">
        <w:rPr>
          <w:rFonts w:ascii="Book Antiqua" w:hAnsi="Book Antiqua" w:cs="宋体"/>
          <w:color w:val="000000"/>
          <w:kern w:val="0"/>
          <w:sz w:val="24"/>
        </w:rPr>
        <w:t xml:space="preserve">, Forner A, Korangy F, N'Kontchou G, Barget N, Ayuso C, Ormandy LA, Manns MP, Beaugrand M, Bruix J. </w:t>
      </w:r>
      <w:proofErr w:type="gramStart"/>
      <w:r w:rsidRPr="00226E1E">
        <w:rPr>
          <w:rFonts w:ascii="Book Antiqua" w:hAnsi="Book Antiqua" w:cs="宋体"/>
          <w:color w:val="000000"/>
          <w:kern w:val="0"/>
          <w:sz w:val="24"/>
        </w:rPr>
        <w:t>A phase II open label trial evaluating safety and efficacy of a telomerase peptide vaccination in patients with advanced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BMC Cancer</w:t>
      </w:r>
      <w:r w:rsidRPr="00226E1E">
        <w:rPr>
          <w:rFonts w:ascii="Book Antiqua" w:hAnsi="Book Antiqua" w:cs="宋体"/>
          <w:color w:val="000000"/>
          <w:kern w:val="0"/>
          <w:sz w:val="24"/>
        </w:rPr>
        <w:t> 2010; </w:t>
      </w:r>
      <w:r w:rsidRPr="00226E1E">
        <w:rPr>
          <w:rFonts w:ascii="Book Antiqua" w:hAnsi="Book Antiqua" w:cs="宋体"/>
          <w:b/>
          <w:bCs/>
          <w:color w:val="000000"/>
          <w:kern w:val="0"/>
          <w:sz w:val="24"/>
        </w:rPr>
        <w:t>10</w:t>
      </w:r>
      <w:r w:rsidRPr="00226E1E">
        <w:rPr>
          <w:rFonts w:ascii="Book Antiqua" w:hAnsi="Book Antiqua" w:cs="宋体"/>
          <w:color w:val="000000"/>
          <w:kern w:val="0"/>
          <w:sz w:val="24"/>
        </w:rPr>
        <w:t>: 209 [PMID: 20478057 DOI: 10.1186/1471-2407-10-209]</w:t>
      </w:r>
    </w:p>
    <w:p w14:paraId="4AC301C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56 </w:t>
      </w:r>
      <w:r w:rsidRPr="00226E1E">
        <w:rPr>
          <w:rFonts w:ascii="Book Antiqua" w:hAnsi="Book Antiqua" w:cs="宋体"/>
          <w:b/>
          <w:bCs/>
          <w:color w:val="000000"/>
          <w:kern w:val="0"/>
          <w:sz w:val="24"/>
        </w:rPr>
        <w:t>Nobuoka D</w:t>
      </w:r>
      <w:r w:rsidRPr="00226E1E">
        <w:rPr>
          <w:rFonts w:ascii="Book Antiqua" w:hAnsi="Book Antiqua" w:cs="宋体"/>
          <w:color w:val="000000"/>
          <w:kern w:val="0"/>
          <w:sz w:val="24"/>
        </w:rPr>
        <w:t>, Yoshikawa T, Sawada Y, Fujiwara T, Nakatsura T. Peptide vaccines for hepatocellular carcinoma. </w:t>
      </w:r>
      <w:r w:rsidRPr="00226E1E">
        <w:rPr>
          <w:rFonts w:ascii="Book Antiqua" w:hAnsi="Book Antiqua" w:cs="宋体"/>
          <w:i/>
          <w:iCs/>
          <w:color w:val="000000"/>
          <w:kern w:val="0"/>
          <w:sz w:val="24"/>
        </w:rPr>
        <w:t>Hum Vaccin Immunother</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9</w:t>
      </w:r>
      <w:r w:rsidRPr="00226E1E">
        <w:rPr>
          <w:rFonts w:ascii="Book Antiqua" w:hAnsi="Book Antiqua" w:cs="宋体"/>
          <w:color w:val="000000"/>
          <w:kern w:val="0"/>
          <w:sz w:val="24"/>
        </w:rPr>
        <w:t>: 210-212 [PMID: 23442593 DOI: 10.4161/hv.22473]</w:t>
      </w:r>
    </w:p>
    <w:p w14:paraId="362773E0"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57 </w:t>
      </w:r>
      <w:r w:rsidRPr="00226E1E">
        <w:rPr>
          <w:rFonts w:ascii="Book Antiqua" w:hAnsi="Book Antiqua" w:cs="宋体"/>
          <w:b/>
          <w:bCs/>
          <w:color w:val="000000"/>
          <w:kern w:val="0"/>
          <w:sz w:val="24"/>
        </w:rPr>
        <w:t>Lan YH</w:t>
      </w:r>
      <w:r w:rsidRPr="00226E1E">
        <w:rPr>
          <w:rFonts w:ascii="Book Antiqua" w:hAnsi="Book Antiqua" w:cs="宋体"/>
          <w:color w:val="000000"/>
          <w:kern w:val="0"/>
          <w:sz w:val="24"/>
        </w:rPr>
        <w:t>, Li YG, Liang ZW, Chen M, Peng ML, Tang L, Hu HD, Ren H. A DNA vaccine against chimeric AFP enhanced by HSP70 suppresses growth of hepatocellular carcinoma. </w:t>
      </w:r>
      <w:r w:rsidRPr="00226E1E">
        <w:rPr>
          <w:rFonts w:ascii="Book Antiqua" w:hAnsi="Book Antiqua" w:cs="宋体"/>
          <w:i/>
          <w:iCs/>
          <w:color w:val="000000"/>
          <w:kern w:val="0"/>
          <w:sz w:val="24"/>
        </w:rPr>
        <w:t>Cancer Immunol Immunother</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56</w:t>
      </w:r>
      <w:r w:rsidRPr="00226E1E">
        <w:rPr>
          <w:rFonts w:ascii="Book Antiqua" w:hAnsi="Book Antiqua" w:cs="宋体"/>
          <w:color w:val="000000"/>
          <w:kern w:val="0"/>
          <w:sz w:val="24"/>
        </w:rPr>
        <w:t>: 1009-1016 [PMID: 17186291 DOI: 10.1007/s00262-006-0254-3]</w:t>
      </w:r>
    </w:p>
    <w:p w14:paraId="229530A5" w14:textId="158D26BF"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58 </w:t>
      </w:r>
      <w:r w:rsidRPr="00226E1E">
        <w:rPr>
          <w:rFonts w:ascii="Book Antiqua" w:hAnsi="Book Antiqua" w:cs="宋体"/>
          <w:b/>
          <w:bCs/>
          <w:color w:val="000000"/>
          <w:kern w:val="0"/>
          <w:sz w:val="24"/>
        </w:rPr>
        <w:t>Li SQ</w:t>
      </w:r>
      <w:r w:rsidRPr="00226E1E">
        <w:rPr>
          <w:rFonts w:ascii="Book Antiqua" w:hAnsi="Book Antiqua" w:cs="宋体"/>
          <w:color w:val="000000"/>
          <w:kern w:val="0"/>
          <w:sz w:val="24"/>
        </w:rPr>
        <w:t>, Lin J, Qi CY, Fu SJ, Xiao WK, Peng BG, Liang LJ. GPC3 DNA vaccine elicits potent cellular antitumor immunity against HCC in mice. </w:t>
      </w:r>
      <w:r w:rsidRPr="00226E1E">
        <w:rPr>
          <w:rFonts w:ascii="Book Antiqua" w:hAnsi="Book Antiqua" w:cs="宋体"/>
          <w:i/>
          <w:iCs/>
          <w:color w:val="000000"/>
          <w:kern w:val="0"/>
          <w:sz w:val="24"/>
        </w:rPr>
        <w:t>Hepatogastroenterology</w:t>
      </w:r>
      <w:r w:rsidRPr="00226E1E">
        <w:rPr>
          <w:rFonts w:ascii="Book Antiqua" w:hAnsi="Book Antiqua" w:cs="宋体"/>
          <w:color w:val="000000"/>
          <w:kern w:val="0"/>
          <w:sz w:val="24"/>
        </w:rPr>
        <w:t> </w:t>
      </w:r>
      <w:r w:rsidR="00083AFD">
        <w:rPr>
          <w:rFonts w:ascii="Book Antiqua" w:hAnsi="Book Antiqua" w:cs="宋体" w:hint="eastAsia"/>
          <w:color w:val="000000"/>
          <w:kern w:val="0"/>
          <w:sz w:val="24"/>
        </w:rPr>
        <w:t>2014</w:t>
      </w:r>
      <w:r w:rsidRPr="00226E1E">
        <w:rPr>
          <w:rFonts w:ascii="Book Antiqua" w:hAnsi="Book Antiqua" w:cs="宋体"/>
          <w:color w:val="000000"/>
          <w:kern w:val="0"/>
          <w:sz w:val="24"/>
        </w:rPr>
        <w:t>; </w:t>
      </w:r>
      <w:r w:rsidRPr="00226E1E">
        <w:rPr>
          <w:rFonts w:ascii="Book Antiqua" w:hAnsi="Book Antiqua" w:cs="宋体"/>
          <w:b/>
          <w:bCs/>
          <w:color w:val="000000"/>
          <w:kern w:val="0"/>
          <w:sz w:val="24"/>
        </w:rPr>
        <w:t>61</w:t>
      </w:r>
      <w:r w:rsidRPr="00226E1E">
        <w:rPr>
          <w:rFonts w:ascii="Book Antiqua" w:hAnsi="Book Antiqua" w:cs="宋体"/>
          <w:color w:val="000000"/>
          <w:kern w:val="0"/>
          <w:sz w:val="24"/>
        </w:rPr>
        <w:t>: 278-284 [PMID: 24901124]</w:t>
      </w:r>
    </w:p>
    <w:p w14:paraId="5077DC5E" w14:textId="52504105"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59 </w:t>
      </w:r>
      <w:r w:rsidRPr="00226E1E">
        <w:rPr>
          <w:rFonts w:ascii="Book Antiqua" w:hAnsi="Book Antiqua" w:cs="宋体"/>
          <w:b/>
          <w:bCs/>
          <w:color w:val="000000"/>
          <w:kern w:val="0"/>
          <w:sz w:val="24"/>
        </w:rPr>
        <w:t>Morozov AV</w:t>
      </w:r>
      <w:r w:rsidRPr="00226E1E">
        <w:rPr>
          <w:rFonts w:ascii="Book Antiqua" w:hAnsi="Book Antiqua" w:cs="宋体"/>
          <w:color w:val="000000"/>
          <w:kern w:val="0"/>
          <w:sz w:val="24"/>
        </w:rPr>
        <w:t>, Morozov VA, Astakhova TM, Timofeev AV, Karpov VL. [DNA vaccine encoding alpha-fetoprotein with fused ornithine decarboxylase degradation signal significantly suppresses hepatocellular carcinoma growth in mice]. </w:t>
      </w:r>
      <w:r w:rsidRPr="00226E1E">
        <w:rPr>
          <w:rFonts w:ascii="Book Antiqua" w:hAnsi="Book Antiqua" w:cs="宋体"/>
          <w:i/>
          <w:iCs/>
          <w:color w:val="000000"/>
          <w:kern w:val="0"/>
          <w:sz w:val="24"/>
        </w:rPr>
        <w:t>Mol Biol (Mosk)</w:t>
      </w:r>
      <w:r w:rsidRPr="00226E1E">
        <w:rPr>
          <w:rFonts w:ascii="Book Antiqua" w:hAnsi="Book Antiqua" w:cs="宋体"/>
          <w:color w:val="000000"/>
          <w:kern w:val="0"/>
          <w:sz w:val="24"/>
        </w:rPr>
        <w:t> </w:t>
      </w:r>
      <w:r w:rsidR="00083AFD">
        <w:rPr>
          <w:rFonts w:ascii="Book Antiqua" w:hAnsi="Book Antiqua" w:cs="宋体" w:hint="eastAsia"/>
          <w:color w:val="000000"/>
          <w:kern w:val="0"/>
          <w:sz w:val="24"/>
        </w:rPr>
        <w:t>2012</w:t>
      </w:r>
      <w:r w:rsidRPr="00226E1E">
        <w:rPr>
          <w:rFonts w:ascii="Book Antiqua" w:hAnsi="Book Antiqua" w:cs="宋体"/>
          <w:color w:val="000000"/>
          <w:kern w:val="0"/>
          <w:sz w:val="24"/>
        </w:rPr>
        <w:t>; </w:t>
      </w:r>
      <w:r w:rsidRPr="00226E1E">
        <w:rPr>
          <w:rFonts w:ascii="Book Antiqua" w:hAnsi="Book Antiqua" w:cs="宋体"/>
          <w:b/>
          <w:bCs/>
          <w:color w:val="000000"/>
          <w:kern w:val="0"/>
          <w:sz w:val="24"/>
        </w:rPr>
        <w:t>46</w:t>
      </w:r>
      <w:r w:rsidRPr="00226E1E">
        <w:rPr>
          <w:rFonts w:ascii="Book Antiqua" w:hAnsi="Book Antiqua" w:cs="宋体"/>
          <w:color w:val="000000"/>
          <w:kern w:val="0"/>
          <w:sz w:val="24"/>
        </w:rPr>
        <w:t>: 434-451 [PMID: 22888633]</w:t>
      </w:r>
    </w:p>
    <w:p w14:paraId="214DE55B"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60 </w:t>
      </w:r>
      <w:r w:rsidRPr="00226E1E">
        <w:rPr>
          <w:rFonts w:ascii="Book Antiqua" w:hAnsi="Book Antiqua" w:cs="宋体"/>
          <w:b/>
          <w:bCs/>
          <w:color w:val="000000"/>
          <w:kern w:val="0"/>
          <w:sz w:val="24"/>
        </w:rPr>
        <w:t>Butterfield LH</w:t>
      </w:r>
      <w:r w:rsidRPr="00226E1E">
        <w:rPr>
          <w:rFonts w:ascii="Book Antiqua" w:hAnsi="Book Antiqua" w:cs="宋体"/>
          <w:color w:val="000000"/>
          <w:kern w:val="0"/>
          <w:sz w:val="24"/>
        </w:rPr>
        <w:t>, Economou JS, Gamblin TC, Geller DA. Alpha fetoprotein DNA prime and adenovirus boost immunization of two hepatocellular cancer patients. </w:t>
      </w:r>
      <w:r w:rsidRPr="00226E1E">
        <w:rPr>
          <w:rFonts w:ascii="Book Antiqua" w:hAnsi="Book Antiqua" w:cs="宋体"/>
          <w:i/>
          <w:iCs/>
          <w:color w:val="000000"/>
          <w:kern w:val="0"/>
          <w:sz w:val="24"/>
        </w:rPr>
        <w:t>J Transl Med</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12</w:t>
      </w:r>
      <w:r w:rsidRPr="00226E1E">
        <w:rPr>
          <w:rFonts w:ascii="Book Antiqua" w:hAnsi="Book Antiqua" w:cs="宋体"/>
          <w:color w:val="000000"/>
          <w:kern w:val="0"/>
          <w:sz w:val="24"/>
        </w:rPr>
        <w:t>: 86 [PMID: 24708667 DOI: 10.1186/1479-5876-12-86]</w:t>
      </w:r>
    </w:p>
    <w:p w14:paraId="44649A6B"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61 </w:t>
      </w:r>
      <w:r w:rsidRPr="00226E1E">
        <w:rPr>
          <w:rFonts w:ascii="Book Antiqua" w:hAnsi="Book Antiqua" w:cs="宋体"/>
          <w:b/>
          <w:bCs/>
          <w:color w:val="000000"/>
          <w:kern w:val="0"/>
          <w:sz w:val="24"/>
        </w:rPr>
        <w:t>Kakumu S</w:t>
      </w:r>
      <w:r w:rsidRPr="00226E1E">
        <w:rPr>
          <w:rFonts w:ascii="Book Antiqua" w:hAnsi="Book Antiqua" w:cs="宋体"/>
          <w:color w:val="000000"/>
          <w:kern w:val="0"/>
          <w:sz w:val="24"/>
        </w:rPr>
        <w:t>, Ito S, Ishikawa T, Mita Y, Tagaya T, Fukuzawa Y, Yoshioka K. Decreased function of peripheral blood dendritic cells in patients with hepatocellular carcinoma with hepatitis B and C virus infection. </w:t>
      </w:r>
      <w:r w:rsidRPr="00226E1E">
        <w:rPr>
          <w:rFonts w:ascii="Book Antiqua" w:hAnsi="Book Antiqua" w:cs="宋体"/>
          <w:i/>
          <w:iCs/>
          <w:color w:val="000000"/>
          <w:kern w:val="0"/>
          <w:sz w:val="24"/>
        </w:rPr>
        <w:t>J Gastroenterol Hepatol</w:t>
      </w:r>
      <w:r w:rsidRPr="00226E1E">
        <w:rPr>
          <w:rFonts w:ascii="Book Antiqua" w:hAnsi="Book Antiqua" w:cs="宋体"/>
          <w:color w:val="000000"/>
          <w:kern w:val="0"/>
          <w:sz w:val="24"/>
        </w:rPr>
        <w:t> 2000; </w:t>
      </w:r>
      <w:r w:rsidRPr="00226E1E">
        <w:rPr>
          <w:rFonts w:ascii="Book Antiqua" w:hAnsi="Book Antiqua" w:cs="宋体"/>
          <w:b/>
          <w:bCs/>
          <w:color w:val="000000"/>
          <w:kern w:val="0"/>
          <w:sz w:val="24"/>
        </w:rPr>
        <w:t>15</w:t>
      </w:r>
      <w:r w:rsidRPr="00226E1E">
        <w:rPr>
          <w:rFonts w:ascii="Book Antiqua" w:hAnsi="Book Antiqua" w:cs="宋体"/>
          <w:color w:val="000000"/>
          <w:kern w:val="0"/>
          <w:sz w:val="24"/>
        </w:rPr>
        <w:t>: 431-436 [PMID: 10824889 DOI: 10.1046/j.1440-1746.2000.02161.x]</w:t>
      </w:r>
    </w:p>
    <w:p w14:paraId="6284C3D9" w14:textId="56649ED4"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62 </w:t>
      </w:r>
      <w:r w:rsidRPr="00226E1E">
        <w:rPr>
          <w:rFonts w:ascii="Book Antiqua" w:hAnsi="Book Antiqua" w:cs="宋体"/>
          <w:b/>
          <w:bCs/>
          <w:color w:val="000000"/>
          <w:kern w:val="0"/>
          <w:sz w:val="24"/>
        </w:rPr>
        <w:t>Ormandy LA</w:t>
      </w:r>
      <w:r w:rsidRPr="00226E1E">
        <w:rPr>
          <w:rFonts w:ascii="Book Antiqua" w:hAnsi="Book Antiqua" w:cs="宋体"/>
          <w:color w:val="000000"/>
          <w:kern w:val="0"/>
          <w:sz w:val="24"/>
        </w:rPr>
        <w:t>, Farber A, Cantz T, Petrykowska S, Wedemeyer H, Horning M, Lehner F, Manns MP, Korangy F, Greten TF. Direct ex vivo analysis of dendritic cells in patients with hepatocellular carcinoma. </w:t>
      </w:r>
      <w:r w:rsidRPr="00226E1E">
        <w:rPr>
          <w:rFonts w:ascii="Book Antiqua" w:hAnsi="Book Antiqua" w:cs="宋体"/>
          <w:i/>
          <w:iCs/>
          <w:color w:val="000000"/>
          <w:kern w:val="0"/>
          <w:sz w:val="24"/>
        </w:rPr>
        <w:t>World J Gastroenterol</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12</w:t>
      </w:r>
      <w:r w:rsidRPr="00226E1E">
        <w:rPr>
          <w:rFonts w:ascii="Book Antiqua" w:hAnsi="Book Antiqua" w:cs="宋体"/>
          <w:color w:val="000000"/>
          <w:kern w:val="0"/>
          <w:sz w:val="24"/>
        </w:rPr>
        <w:t>: 3275-3282 [PMID: 1671885</w:t>
      </w:r>
      <w:r w:rsidR="00083AFD">
        <w:rPr>
          <w:rFonts w:ascii="Book Antiqua" w:hAnsi="Book Antiqua" w:cs="宋体"/>
          <w:color w:val="000000"/>
          <w:kern w:val="0"/>
          <w:sz w:val="24"/>
        </w:rPr>
        <w:t>2 DOI: 10.3748/wjg.v12.i20.3275</w:t>
      </w:r>
      <w:r w:rsidRPr="00226E1E">
        <w:rPr>
          <w:rFonts w:ascii="Book Antiqua" w:hAnsi="Book Antiqua" w:cs="宋体"/>
          <w:color w:val="000000"/>
          <w:kern w:val="0"/>
          <w:sz w:val="24"/>
        </w:rPr>
        <w:t>]</w:t>
      </w:r>
    </w:p>
    <w:p w14:paraId="1A5A58E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63 </w:t>
      </w:r>
      <w:r w:rsidRPr="00226E1E">
        <w:rPr>
          <w:rFonts w:ascii="Book Antiqua" w:hAnsi="Book Antiqua" w:cs="宋体"/>
          <w:b/>
          <w:bCs/>
          <w:color w:val="000000"/>
          <w:kern w:val="0"/>
          <w:sz w:val="24"/>
        </w:rPr>
        <w:t>Ninomiya T</w:t>
      </w:r>
      <w:r w:rsidRPr="00226E1E">
        <w:rPr>
          <w:rFonts w:ascii="Book Antiqua" w:hAnsi="Book Antiqua" w:cs="宋体"/>
          <w:color w:val="000000"/>
          <w:kern w:val="0"/>
          <w:sz w:val="24"/>
        </w:rPr>
        <w:t>, Akbar SM, Masumoto T, Horiike N, Onji M. Dendritic cells with immature phenotype and defective function in the peripheral blood from patients with hepatocellular carcinoma. </w:t>
      </w:r>
      <w:r w:rsidRPr="00226E1E">
        <w:rPr>
          <w:rFonts w:ascii="Book Antiqua" w:hAnsi="Book Antiqua" w:cs="宋体"/>
          <w:i/>
          <w:iCs/>
          <w:color w:val="000000"/>
          <w:kern w:val="0"/>
          <w:sz w:val="24"/>
        </w:rPr>
        <w:t>J Hepatol</w:t>
      </w:r>
      <w:r w:rsidRPr="00226E1E">
        <w:rPr>
          <w:rFonts w:ascii="Book Antiqua" w:hAnsi="Book Antiqua" w:cs="宋体"/>
          <w:color w:val="000000"/>
          <w:kern w:val="0"/>
          <w:sz w:val="24"/>
        </w:rPr>
        <w:t> 1999; </w:t>
      </w:r>
      <w:r w:rsidRPr="00226E1E">
        <w:rPr>
          <w:rFonts w:ascii="Book Antiqua" w:hAnsi="Book Antiqua" w:cs="宋体"/>
          <w:b/>
          <w:bCs/>
          <w:color w:val="000000"/>
          <w:kern w:val="0"/>
          <w:sz w:val="24"/>
        </w:rPr>
        <w:t>31</w:t>
      </w:r>
      <w:r w:rsidRPr="00226E1E">
        <w:rPr>
          <w:rFonts w:ascii="Book Antiqua" w:hAnsi="Book Antiqua" w:cs="宋体"/>
          <w:color w:val="000000"/>
          <w:kern w:val="0"/>
          <w:sz w:val="24"/>
        </w:rPr>
        <w:t>: 323-331 [PMID: 10453947 DOI: 10.1016/S0168-8278(99)80231-1]</w:t>
      </w:r>
    </w:p>
    <w:p w14:paraId="1710DC60"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64 </w:t>
      </w:r>
      <w:r w:rsidRPr="00226E1E">
        <w:rPr>
          <w:rFonts w:ascii="Book Antiqua" w:hAnsi="Book Antiqua" w:cs="宋体"/>
          <w:b/>
          <w:bCs/>
          <w:color w:val="000000"/>
          <w:kern w:val="0"/>
          <w:sz w:val="24"/>
        </w:rPr>
        <w:t>Cai XY</w:t>
      </w:r>
      <w:r w:rsidRPr="00226E1E">
        <w:rPr>
          <w:rFonts w:ascii="Book Antiqua" w:hAnsi="Book Antiqua" w:cs="宋体"/>
          <w:color w:val="000000"/>
          <w:kern w:val="0"/>
          <w:sz w:val="24"/>
        </w:rPr>
        <w:t xml:space="preserve">, Gao Q, Qiu SJ, Ye SL, Wu ZQ, Fan J, Tang ZY. </w:t>
      </w:r>
      <w:proofErr w:type="gramStart"/>
      <w:r w:rsidRPr="00226E1E">
        <w:rPr>
          <w:rFonts w:ascii="Book Antiqua" w:hAnsi="Book Antiqua" w:cs="宋体"/>
          <w:color w:val="000000"/>
          <w:kern w:val="0"/>
          <w:sz w:val="24"/>
        </w:rPr>
        <w:t>Dendritic cell infiltration and prognosis of human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J Cancer Res Clin Oncol</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132</w:t>
      </w:r>
      <w:r w:rsidRPr="00226E1E">
        <w:rPr>
          <w:rFonts w:ascii="Book Antiqua" w:hAnsi="Book Antiqua" w:cs="宋体"/>
          <w:color w:val="000000"/>
          <w:kern w:val="0"/>
          <w:sz w:val="24"/>
        </w:rPr>
        <w:t>: 293-301 [PMID: 16421755 DOI: 10.1007/s00432-006-0075-y]</w:t>
      </w:r>
    </w:p>
    <w:p w14:paraId="7CE31587"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65 </w:t>
      </w:r>
      <w:r w:rsidRPr="00226E1E">
        <w:rPr>
          <w:rFonts w:ascii="Book Antiqua" w:hAnsi="Book Antiqua" w:cs="宋体"/>
          <w:b/>
          <w:bCs/>
          <w:color w:val="000000"/>
          <w:kern w:val="0"/>
          <w:sz w:val="24"/>
        </w:rPr>
        <w:t>Tang TJ</w:t>
      </w:r>
      <w:r w:rsidRPr="00226E1E">
        <w:rPr>
          <w:rFonts w:ascii="Book Antiqua" w:hAnsi="Book Antiqua" w:cs="宋体"/>
          <w:color w:val="000000"/>
          <w:kern w:val="0"/>
          <w:sz w:val="24"/>
        </w:rPr>
        <w:t>, Vukosavljevic D, Janssen HL, Binda RS, Mancham S, Tilanus HW, Ijzermans JN, Drexhage H, Kwekkeboom J. Aberrant composition of the dendritic cell population in hepatic lymph nodes of patients with hepatocellular carcinoma. </w:t>
      </w:r>
      <w:r w:rsidRPr="00226E1E">
        <w:rPr>
          <w:rFonts w:ascii="Book Antiqua" w:hAnsi="Book Antiqua" w:cs="宋体"/>
          <w:i/>
          <w:iCs/>
          <w:color w:val="000000"/>
          <w:kern w:val="0"/>
          <w:sz w:val="24"/>
        </w:rPr>
        <w:t>Hum Pathol</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37</w:t>
      </w:r>
      <w:r w:rsidRPr="00226E1E">
        <w:rPr>
          <w:rFonts w:ascii="Book Antiqua" w:hAnsi="Book Antiqua" w:cs="宋体"/>
          <w:color w:val="000000"/>
          <w:kern w:val="0"/>
          <w:sz w:val="24"/>
        </w:rPr>
        <w:t>: 332-338 [PMID: 16613328 DOI: 10.1016/j.humpath.2005.11.007]</w:t>
      </w:r>
    </w:p>
    <w:p w14:paraId="2EBDE743" w14:textId="77777777"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66 </w:t>
      </w:r>
      <w:r w:rsidRPr="00226E1E">
        <w:rPr>
          <w:rFonts w:ascii="Book Antiqua" w:hAnsi="Book Antiqua" w:cs="宋体"/>
          <w:b/>
          <w:bCs/>
          <w:color w:val="000000"/>
          <w:kern w:val="0"/>
          <w:sz w:val="24"/>
        </w:rPr>
        <w:t>Gabrilovich D</w:t>
      </w:r>
      <w:r w:rsidRPr="00226E1E">
        <w:rPr>
          <w:rFonts w:ascii="Book Antiqua" w:hAnsi="Book Antiqua" w:cs="宋体"/>
          <w:color w:val="000000"/>
          <w:kern w:val="0"/>
          <w:sz w:val="24"/>
        </w:rPr>
        <w:t>. Mechanisms and functional significance of tumour-induced dendritic-cell defects.</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Nat Rev Immunol</w:t>
      </w:r>
      <w:r w:rsidRPr="00226E1E">
        <w:rPr>
          <w:rFonts w:ascii="Book Antiqua" w:hAnsi="Book Antiqua" w:cs="宋体"/>
          <w:color w:val="000000"/>
          <w:kern w:val="0"/>
          <w:sz w:val="24"/>
        </w:rPr>
        <w:t> 2004; </w:t>
      </w:r>
      <w:r w:rsidRPr="00226E1E">
        <w:rPr>
          <w:rFonts w:ascii="Book Antiqua" w:hAnsi="Book Antiqua" w:cs="宋体"/>
          <w:b/>
          <w:bCs/>
          <w:color w:val="000000"/>
          <w:kern w:val="0"/>
          <w:sz w:val="24"/>
        </w:rPr>
        <w:t>4</w:t>
      </w:r>
      <w:r w:rsidRPr="00226E1E">
        <w:rPr>
          <w:rFonts w:ascii="Book Antiqua" w:hAnsi="Book Antiqua" w:cs="宋体"/>
          <w:color w:val="000000"/>
          <w:kern w:val="0"/>
          <w:sz w:val="24"/>
        </w:rPr>
        <w:t>: 941-952 [PMID: 15573129 DOI: 10.1038/nri1498]</w:t>
      </w:r>
    </w:p>
    <w:p w14:paraId="465DBB8C"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67 </w:t>
      </w:r>
      <w:r w:rsidRPr="00226E1E">
        <w:rPr>
          <w:rFonts w:ascii="Book Antiqua" w:hAnsi="Book Antiqua" w:cs="宋体"/>
          <w:b/>
          <w:bCs/>
          <w:color w:val="000000"/>
          <w:kern w:val="0"/>
          <w:sz w:val="24"/>
        </w:rPr>
        <w:t>Sun JC</w:t>
      </w:r>
      <w:r w:rsidRPr="00226E1E">
        <w:rPr>
          <w:rFonts w:ascii="Book Antiqua" w:hAnsi="Book Antiqua" w:cs="宋体"/>
          <w:color w:val="000000"/>
          <w:kern w:val="0"/>
          <w:sz w:val="24"/>
        </w:rPr>
        <w:t>, Pan K, Chen MS, Wang QJ, Wang H, Ma HQ, Li YQ, Liang XT, Li JJ, Zhao JJ, Chen YB, Pang XH, Liu WL, Cao Y, Guan XY, Lian QZ, Xia JC. Dendritic cells-mediated CTLs targeting hepatocellular carcinoma stem cells. </w:t>
      </w:r>
      <w:r w:rsidRPr="00226E1E">
        <w:rPr>
          <w:rFonts w:ascii="Book Antiqua" w:hAnsi="Book Antiqua" w:cs="宋体"/>
          <w:i/>
          <w:iCs/>
          <w:color w:val="000000"/>
          <w:kern w:val="0"/>
          <w:sz w:val="24"/>
        </w:rPr>
        <w:t>Cancer Biol Ther</w:t>
      </w:r>
      <w:r w:rsidRPr="00226E1E">
        <w:rPr>
          <w:rFonts w:ascii="Book Antiqua" w:hAnsi="Book Antiqua" w:cs="宋体"/>
          <w:color w:val="000000"/>
          <w:kern w:val="0"/>
          <w:sz w:val="24"/>
        </w:rPr>
        <w:t> 2010; </w:t>
      </w:r>
      <w:r w:rsidRPr="00226E1E">
        <w:rPr>
          <w:rFonts w:ascii="Book Antiqua" w:hAnsi="Book Antiqua" w:cs="宋体"/>
          <w:b/>
          <w:bCs/>
          <w:color w:val="000000"/>
          <w:kern w:val="0"/>
          <w:sz w:val="24"/>
        </w:rPr>
        <w:t>10</w:t>
      </w:r>
      <w:r w:rsidRPr="00226E1E">
        <w:rPr>
          <w:rFonts w:ascii="Book Antiqua" w:hAnsi="Book Antiqua" w:cs="宋体"/>
          <w:color w:val="000000"/>
          <w:kern w:val="0"/>
          <w:sz w:val="24"/>
        </w:rPr>
        <w:t>: 368-375 [PMID: 20581468]</w:t>
      </w:r>
    </w:p>
    <w:p w14:paraId="14F0CB45"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68 </w:t>
      </w:r>
      <w:r w:rsidRPr="00226E1E">
        <w:rPr>
          <w:rFonts w:ascii="Book Antiqua" w:hAnsi="Book Antiqua" w:cs="宋体"/>
          <w:b/>
          <w:bCs/>
          <w:color w:val="000000"/>
          <w:kern w:val="0"/>
          <w:sz w:val="24"/>
        </w:rPr>
        <w:t>Bray SM</w:t>
      </w:r>
      <w:r w:rsidRPr="00226E1E">
        <w:rPr>
          <w:rFonts w:ascii="Book Antiqua" w:hAnsi="Book Antiqua" w:cs="宋体"/>
          <w:color w:val="000000"/>
          <w:kern w:val="0"/>
          <w:sz w:val="24"/>
        </w:rPr>
        <w:t>, Vujanovic L, Butterfield LH. Dendritic cell-based vaccines positively impact natural killer and regulatory T cells in hepatocellular carcinoma patients. </w:t>
      </w:r>
      <w:r w:rsidRPr="00226E1E">
        <w:rPr>
          <w:rFonts w:ascii="Book Antiqua" w:hAnsi="Book Antiqua" w:cs="宋体"/>
          <w:i/>
          <w:iCs/>
          <w:color w:val="000000"/>
          <w:kern w:val="0"/>
          <w:sz w:val="24"/>
        </w:rPr>
        <w:t>Clin Dev Immunol</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2011</w:t>
      </w:r>
      <w:r w:rsidRPr="00226E1E">
        <w:rPr>
          <w:rFonts w:ascii="Book Antiqua" w:hAnsi="Book Antiqua" w:cs="宋体"/>
          <w:color w:val="000000"/>
          <w:kern w:val="0"/>
          <w:sz w:val="24"/>
        </w:rPr>
        <w:t>: 249281 [PMID: 21969837 DOI: 10.1155/2011/249281]</w:t>
      </w:r>
    </w:p>
    <w:p w14:paraId="74B2CEA2" w14:textId="77777777"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69 </w:t>
      </w:r>
      <w:r w:rsidRPr="00226E1E">
        <w:rPr>
          <w:rFonts w:ascii="Book Antiqua" w:hAnsi="Book Antiqua" w:cs="宋体"/>
          <w:b/>
          <w:bCs/>
          <w:color w:val="000000"/>
          <w:kern w:val="0"/>
          <w:sz w:val="24"/>
        </w:rPr>
        <w:t>Cao DY</w:t>
      </w:r>
      <w:r w:rsidRPr="00226E1E">
        <w:rPr>
          <w:rFonts w:ascii="Book Antiqua" w:hAnsi="Book Antiqua" w:cs="宋体"/>
          <w:color w:val="000000"/>
          <w:kern w:val="0"/>
          <w:sz w:val="24"/>
        </w:rPr>
        <w:t>, Yang JY, Yue SQ, Tao KS, Song ZS, Wang DS, Yang YL, Dou KF.</w:t>
      </w:r>
      <w:proofErr w:type="gramEnd"/>
      <w:r w:rsidRPr="00226E1E">
        <w:rPr>
          <w:rFonts w:ascii="Book Antiqua" w:hAnsi="Book Antiqua" w:cs="宋体"/>
          <w:color w:val="000000"/>
          <w:kern w:val="0"/>
          <w:sz w:val="24"/>
        </w:rPr>
        <w:t xml:space="preserve"> Comparative analysis of DC fused with allogeneic hepatocellular carcinoma cell line HepG2 and autologous tumor cells as potential cancer vaccines against hepatocellular carcinoma. </w:t>
      </w:r>
      <w:r w:rsidRPr="00226E1E">
        <w:rPr>
          <w:rFonts w:ascii="Book Antiqua" w:hAnsi="Book Antiqua" w:cs="宋体"/>
          <w:i/>
          <w:iCs/>
          <w:color w:val="000000"/>
          <w:kern w:val="0"/>
          <w:sz w:val="24"/>
        </w:rPr>
        <w:t>Cell Immunol</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259</w:t>
      </w:r>
      <w:r w:rsidRPr="00226E1E">
        <w:rPr>
          <w:rFonts w:ascii="Book Antiqua" w:hAnsi="Book Antiqua" w:cs="宋体"/>
          <w:color w:val="000000"/>
          <w:kern w:val="0"/>
          <w:sz w:val="24"/>
        </w:rPr>
        <w:t>: 13-20 [PMID: 19545862 DOI: 10.1016/j.cellimm.2009.05.007]</w:t>
      </w:r>
    </w:p>
    <w:p w14:paraId="0AAE2261"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70 </w:t>
      </w:r>
      <w:r w:rsidRPr="00226E1E">
        <w:rPr>
          <w:rFonts w:ascii="Book Antiqua" w:hAnsi="Book Antiqua" w:cs="宋体"/>
          <w:b/>
          <w:bCs/>
          <w:color w:val="000000"/>
          <w:kern w:val="0"/>
          <w:sz w:val="24"/>
        </w:rPr>
        <w:t>Zhang HM</w:t>
      </w:r>
      <w:r w:rsidRPr="00226E1E">
        <w:rPr>
          <w:rFonts w:ascii="Book Antiqua" w:hAnsi="Book Antiqua" w:cs="宋体"/>
          <w:color w:val="000000"/>
          <w:kern w:val="0"/>
          <w:sz w:val="24"/>
        </w:rPr>
        <w:t>, Zhang LW, Liu WC, Cheng J, Si XM, Ren J. Comparative analysis of DC fused with tumor cells or transfected with tumor total RNA as potential cancer vaccines against hepatocellular carcinoma. </w:t>
      </w:r>
      <w:r w:rsidRPr="00226E1E">
        <w:rPr>
          <w:rFonts w:ascii="Book Antiqua" w:hAnsi="Book Antiqua" w:cs="宋体"/>
          <w:i/>
          <w:iCs/>
          <w:color w:val="000000"/>
          <w:kern w:val="0"/>
          <w:sz w:val="24"/>
        </w:rPr>
        <w:t>Cytotherapy</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8</w:t>
      </w:r>
      <w:r w:rsidRPr="00226E1E">
        <w:rPr>
          <w:rFonts w:ascii="Book Antiqua" w:hAnsi="Book Antiqua" w:cs="宋体"/>
          <w:color w:val="000000"/>
          <w:kern w:val="0"/>
          <w:sz w:val="24"/>
        </w:rPr>
        <w:t>: 580-588 [PMID: 17148035 DOI: 10.1080/14653240600991353]</w:t>
      </w:r>
    </w:p>
    <w:p w14:paraId="55698A9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71 </w:t>
      </w:r>
      <w:r w:rsidRPr="00226E1E">
        <w:rPr>
          <w:rFonts w:ascii="Book Antiqua" w:hAnsi="Book Antiqua" w:cs="宋体"/>
          <w:b/>
          <w:bCs/>
          <w:color w:val="000000"/>
          <w:kern w:val="0"/>
          <w:sz w:val="24"/>
        </w:rPr>
        <w:t>Homma S</w:t>
      </w:r>
      <w:r w:rsidRPr="00226E1E">
        <w:rPr>
          <w:rFonts w:ascii="Book Antiqua" w:hAnsi="Book Antiqua" w:cs="宋体"/>
          <w:color w:val="000000"/>
          <w:kern w:val="0"/>
          <w:sz w:val="24"/>
        </w:rPr>
        <w:t>, Komita H, Sagawa Y, Ohno T, Toda G. Antitumour activity mediated by CD4+ cytotoxic T lymphocytes against MHC class II-negative mouse hepatocellular carcinoma induced by dendritic cell vaccine and interleukin-12. </w:t>
      </w:r>
      <w:r w:rsidRPr="00226E1E">
        <w:rPr>
          <w:rFonts w:ascii="Book Antiqua" w:hAnsi="Book Antiqua" w:cs="宋体"/>
          <w:i/>
          <w:iCs/>
          <w:color w:val="000000"/>
          <w:kern w:val="0"/>
          <w:sz w:val="24"/>
        </w:rPr>
        <w:t>Immunology</w:t>
      </w:r>
      <w:r w:rsidRPr="00226E1E">
        <w:rPr>
          <w:rFonts w:ascii="Book Antiqua" w:hAnsi="Book Antiqua" w:cs="宋体"/>
          <w:color w:val="000000"/>
          <w:kern w:val="0"/>
          <w:sz w:val="24"/>
        </w:rPr>
        <w:t> 2005; </w:t>
      </w:r>
      <w:r w:rsidRPr="00226E1E">
        <w:rPr>
          <w:rFonts w:ascii="Book Antiqua" w:hAnsi="Book Antiqua" w:cs="宋体"/>
          <w:b/>
          <w:bCs/>
          <w:color w:val="000000"/>
          <w:kern w:val="0"/>
          <w:sz w:val="24"/>
        </w:rPr>
        <w:t>115</w:t>
      </w:r>
      <w:r w:rsidRPr="00226E1E">
        <w:rPr>
          <w:rFonts w:ascii="Book Antiqua" w:hAnsi="Book Antiqua" w:cs="宋体"/>
          <w:color w:val="000000"/>
          <w:kern w:val="0"/>
          <w:sz w:val="24"/>
        </w:rPr>
        <w:t>: 451-461 [PMID: 16011514 DOI: 10.1111/j.1365-2567.2005.02179.x]</w:t>
      </w:r>
    </w:p>
    <w:p w14:paraId="4CF6111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72 </w:t>
      </w:r>
      <w:r w:rsidRPr="00226E1E">
        <w:rPr>
          <w:rFonts w:ascii="Book Antiqua" w:hAnsi="Book Antiqua" w:cs="宋体"/>
          <w:b/>
          <w:bCs/>
          <w:color w:val="000000"/>
          <w:kern w:val="0"/>
          <w:sz w:val="24"/>
        </w:rPr>
        <w:t>Iwashita Y</w:t>
      </w:r>
      <w:r w:rsidRPr="00226E1E">
        <w:rPr>
          <w:rFonts w:ascii="Book Antiqua" w:hAnsi="Book Antiqua" w:cs="宋体"/>
          <w:color w:val="000000"/>
          <w:kern w:val="0"/>
          <w:sz w:val="24"/>
        </w:rPr>
        <w:t>, Tahara K, Goto S, Sasaki A, Kai S, Seike M, Chen CL, Kawano K, Kitano S. A phase I study of autologous dendritic cell-based immunotherapy for patients with unresectable primary liver cancer. </w:t>
      </w:r>
      <w:r w:rsidRPr="00226E1E">
        <w:rPr>
          <w:rFonts w:ascii="Book Antiqua" w:hAnsi="Book Antiqua" w:cs="宋体"/>
          <w:i/>
          <w:iCs/>
          <w:color w:val="000000"/>
          <w:kern w:val="0"/>
          <w:sz w:val="24"/>
        </w:rPr>
        <w:t>Cancer Immunol Immunother</w:t>
      </w:r>
      <w:r w:rsidRPr="00226E1E">
        <w:rPr>
          <w:rFonts w:ascii="Book Antiqua" w:hAnsi="Book Antiqua" w:cs="宋体"/>
          <w:color w:val="000000"/>
          <w:kern w:val="0"/>
          <w:sz w:val="24"/>
        </w:rPr>
        <w:t> 2003; </w:t>
      </w:r>
      <w:r w:rsidRPr="00226E1E">
        <w:rPr>
          <w:rFonts w:ascii="Book Antiqua" w:hAnsi="Book Antiqua" w:cs="宋体"/>
          <w:b/>
          <w:bCs/>
          <w:color w:val="000000"/>
          <w:kern w:val="0"/>
          <w:sz w:val="24"/>
        </w:rPr>
        <w:t>52</w:t>
      </w:r>
      <w:r w:rsidRPr="00226E1E">
        <w:rPr>
          <w:rFonts w:ascii="Book Antiqua" w:hAnsi="Book Antiqua" w:cs="宋体"/>
          <w:color w:val="000000"/>
          <w:kern w:val="0"/>
          <w:sz w:val="24"/>
        </w:rPr>
        <w:t>: 155-161 [PMID: 12649744]</w:t>
      </w:r>
    </w:p>
    <w:p w14:paraId="16FAFB4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73 </w:t>
      </w:r>
      <w:r w:rsidRPr="00226E1E">
        <w:rPr>
          <w:rFonts w:ascii="Book Antiqua" w:hAnsi="Book Antiqua" w:cs="宋体"/>
          <w:b/>
          <w:bCs/>
          <w:color w:val="000000"/>
          <w:kern w:val="0"/>
          <w:sz w:val="24"/>
        </w:rPr>
        <w:t>Ladhams A</w:t>
      </w:r>
      <w:r w:rsidRPr="00226E1E">
        <w:rPr>
          <w:rFonts w:ascii="Book Antiqua" w:hAnsi="Book Antiqua" w:cs="宋体"/>
          <w:color w:val="000000"/>
          <w:kern w:val="0"/>
          <w:sz w:val="24"/>
        </w:rPr>
        <w:t>, Schmidt C, Sing G, Butterworth L, Fielding G, Tesar P, Strong R, Leggett B, Powell L, Maddern G, Ellem K, Cooksley G. Treatment of non-resectable hepatocellular carcinoma with autologous tumor-pulsed dendritic cells. </w:t>
      </w:r>
      <w:r w:rsidRPr="00226E1E">
        <w:rPr>
          <w:rFonts w:ascii="Book Antiqua" w:hAnsi="Book Antiqua" w:cs="宋体"/>
          <w:i/>
          <w:iCs/>
          <w:color w:val="000000"/>
          <w:kern w:val="0"/>
          <w:sz w:val="24"/>
        </w:rPr>
        <w:t>J Gastroenterol Hepatol</w:t>
      </w:r>
      <w:r w:rsidRPr="00226E1E">
        <w:rPr>
          <w:rFonts w:ascii="Book Antiqua" w:hAnsi="Book Antiqua" w:cs="宋体"/>
          <w:color w:val="000000"/>
          <w:kern w:val="0"/>
          <w:sz w:val="24"/>
        </w:rPr>
        <w:t> 2002; </w:t>
      </w:r>
      <w:r w:rsidRPr="00226E1E">
        <w:rPr>
          <w:rFonts w:ascii="Book Antiqua" w:hAnsi="Book Antiqua" w:cs="宋体"/>
          <w:b/>
          <w:bCs/>
          <w:color w:val="000000"/>
          <w:kern w:val="0"/>
          <w:sz w:val="24"/>
        </w:rPr>
        <w:t>17</w:t>
      </w:r>
      <w:r w:rsidRPr="00226E1E">
        <w:rPr>
          <w:rFonts w:ascii="Book Antiqua" w:hAnsi="Book Antiqua" w:cs="宋体"/>
          <w:color w:val="000000"/>
          <w:kern w:val="0"/>
          <w:sz w:val="24"/>
        </w:rPr>
        <w:t>: 889-896 [PMID: 12164965 DOI: 10.1046/j.1440-1746.2002.02817.x]</w:t>
      </w:r>
    </w:p>
    <w:p w14:paraId="35866454" w14:textId="6D2E0B99"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74 </w:t>
      </w:r>
      <w:r w:rsidRPr="00226E1E">
        <w:rPr>
          <w:rFonts w:ascii="Book Antiqua" w:hAnsi="Book Antiqua" w:cs="宋体"/>
          <w:b/>
          <w:bCs/>
          <w:color w:val="000000"/>
          <w:kern w:val="0"/>
          <w:sz w:val="24"/>
        </w:rPr>
        <w:t>Lee WC</w:t>
      </w:r>
      <w:r w:rsidRPr="00226E1E">
        <w:rPr>
          <w:rFonts w:ascii="Book Antiqua" w:hAnsi="Book Antiqua" w:cs="宋体"/>
          <w:color w:val="000000"/>
          <w:kern w:val="0"/>
          <w:sz w:val="24"/>
        </w:rPr>
        <w:t>, Wang HC, Hung CF, Huang PF, Lia CR, Chen MF. Vaccination of advanced hepatocellular carcinoma patients with tumor lysate-pulsed dendritic cells: a clinical trial. </w:t>
      </w:r>
      <w:r w:rsidRPr="00226E1E">
        <w:rPr>
          <w:rFonts w:ascii="Book Antiqua" w:hAnsi="Book Antiqua" w:cs="宋体"/>
          <w:i/>
          <w:iCs/>
          <w:color w:val="000000"/>
          <w:kern w:val="0"/>
          <w:sz w:val="24"/>
        </w:rPr>
        <w:t>J Immunother</w:t>
      </w:r>
      <w:r w:rsidRPr="00226E1E">
        <w:rPr>
          <w:rFonts w:ascii="Book Antiqua" w:hAnsi="Book Antiqua" w:cs="宋体"/>
          <w:color w:val="000000"/>
          <w:kern w:val="0"/>
          <w:sz w:val="24"/>
        </w:rPr>
        <w:t> </w:t>
      </w:r>
      <w:r w:rsidR="00083AFD">
        <w:rPr>
          <w:rFonts w:ascii="Book Antiqua" w:hAnsi="Book Antiqua" w:cs="宋体" w:hint="eastAsia"/>
          <w:color w:val="000000"/>
          <w:kern w:val="0"/>
          <w:sz w:val="24"/>
        </w:rPr>
        <w:t>2005</w:t>
      </w:r>
      <w:r w:rsidRPr="00226E1E">
        <w:rPr>
          <w:rFonts w:ascii="Book Antiqua" w:hAnsi="Book Antiqua" w:cs="宋体"/>
          <w:color w:val="000000"/>
          <w:kern w:val="0"/>
          <w:sz w:val="24"/>
        </w:rPr>
        <w:t>; </w:t>
      </w:r>
      <w:r w:rsidRPr="00226E1E">
        <w:rPr>
          <w:rFonts w:ascii="Book Antiqua" w:hAnsi="Book Antiqua" w:cs="宋体"/>
          <w:b/>
          <w:bCs/>
          <w:color w:val="000000"/>
          <w:kern w:val="0"/>
          <w:sz w:val="24"/>
        </w:rPr>
        <w:t>28</w:t>
      </w:r>
      <w:r w:rsidRPr="00226E1E">
        <w:rPr>
          <w:rFonts w:ascii="Book Antiqua" w:hAnsi="Book Antiqua" w:cs="宋体"/>
          <w:color w:val="000000"/>
          <w:kern w:val="0"/>
          <w:sz w:val="24"/>
        </w:rPr>
        <w:t>: 496-504 [PMID: 16113606 DOI: 10.1097/01.cji.0000171291.72039.e2]</w:t>
      </w:r>
    </w:p>
    <w:p w14:paraId="7FC3B152"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75 </w:t>
      </w:r>
      <w:r w:rsidRPr="00226E1E">
        <w:rPr>
          <w:rFonts w:ascii="Book Antiqua" w:hAnsi="Book Antiqua" w:cs="宋体"/>
          <w:b/>
          <w:bCs/>
          <w:color w:val="000000"/>
          <w:kern w:val="0"/>
          <w:sz w:val="24"/>
        </w:rPr>
        <w:t>El Ansary M</w:t>
      </w:r>
      <w:r w:rsidRPr="00226E1E">
        <w:rPr>
          <w:rFonts w:ascii="Book Antiqua" w:hAnsi="Book Antiqua" w:cs="宋体"/>
          <w:color w:val="000000"/>
          <w:kern w:val="0"/>
          <w:sz w:val="24"/>
        </w:rPr>
        <w:t>, Mogawer S, Elhamid SA, Alwakil S, Aboelkasem F, Sabaawy HE, Abdelhalim O. Immunotherapy by autologous dendritic cell vaccine in patients with advanced HCC. </w:t>
      </w:r>
      <w:r w:rsidRPr="00226E1E">
        <w:rPr>
          <w:rFonts w:ascii="Book Antiqua" w:hAnsi="Book Antiqua" w:cs="宋体"/>
          <w:i/>
          <w:iCs/>
          <w:color w:val="000000"/>
          <w:kern w:val="0"/>
          <w:sz w:val="24"/>
        </w:rPr>
        <w:t>J Cancer Res Clin Oncol</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139</w:t>
      </w:r>
      <w:r w:rsidRPr="00226E1E">
        <w:rPr>
          <w:rFonts w:ascii="Book Antiqua" w:hAnsi="Book Antiqua" w:cs="宋体"/>
          <w:color w:val="000000"/>
          <w:kern w:val="0"/>
          <w:sz w:val="24"/>
        </w:rPr>
        <w:t>: 39-48 [PMID: 22886490 DOI: 10.1007/s00432-012-1298-8]</w:t>
      </w:r>
    </w:p>
    <w:p w14:paraId="11768995" w14:textId="33B245FC"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76 </w:t>
      </w:r>
      <w:r w:rsidRPr="00226E1E">
        <w:rPr>
          <w:rFonts w:ascii="Book Antiqua" w:hAnsi="Book Antiqua" w:cs="宋体"/>
          <w:b/>
          <w:bCs/>
          <w:color w:val="000000"/>
          <w:kern w:val="0"/>
          <w:sz w:val="24"/>
        </w:rPr>
        <w:t>Palmer DH</w:t>
      </w:r>
      <w:r w:rsidRPr="00226E1E">
        <w:rPr>
          <w:rFonts w:ascii="Book Antiqua" w:hAnsi="Book Antiqua" w:cs="宋体"/>
          <w:color w:val="000000"/>
          <w:kern w:val="0"/>
          <w:sz w:val="24"/>
        </w:rPr>
        <w:t>, Midgley RS, Mirza N, Torr EE, Ahmed F, Steele JC, Steven NM, Kerr DJ, Young LS, Adams DH. A phase II study of adoptive immunotherapy using dendritic cells pulsed with tumor lysate in patients with hepatocellular carcinoma.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49</w:t>
      </w:r>
      <w:r w:rsidRPr="00226E1E">
        <w:rPr>
          <w:rFonts w:ascii="Book Antiqua" w:hAnsi="Book Antiqua" w:cs="宋体"/>
          <w:color w:val="000000"/>
          <w:kern w:val="0"/>
          <w:sz w:val="24"/>
        </w:rPr>
        <w:t xml:space="preserve">: 124-132 [PMID: </w:t>
      </w:r>
      <w:r w:rsidR="00083AFD">
        <w:rPr>
          <w:rFonts w:ascii="Book Antiqua" w:hAnsi="Book Antiqua" w:cs="宋体"/>
          <w:color w:val="000000"/>
          <w:kern w:val="0"/>
          <w:sz w:val="24"/>
        </w:rPr>
        <w:t>18980227 DOI: 10.1002/hep.22626</w:t>
      </w:r>
      <w:r w:rsidRPr="00226E1E">
        <w:rPr>
          <w:rFonts w:ascii="Book Antiqua" w:hAnsi="Book Antiqua" w:cs="宋体"/>
          <w:color w:val="000000"/>
          <w:kern w:val="0"/>
          <w:sz w:val="24"/>
        </w:rPr>
        <w:t>]</w:t>
      </w:r>
    </w:p>
    <w:p w14:paraId="0B88D719"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77 </w:t>
      </w:r>
      <w:r w:rsidRPr="00226E1E">
        <w:rPr>
          <w:rFonts w:ascii="Book Antiqua" w:hAnsi="Book Antiqua" w:cs="宋体"/>
          <w:b/>
          <w:bCs/>
          <w:color w:val="000000"/>
          <w:kern w:val="0"/>
          <w:sz w:val="24"/>
        </w:rPr>
        <w:t>Tada F</w:t>
      </w:r>
      <w:r w:rsidRPr="00226E1E">
        <w:rPr>
          <w:rFonts w:ascii="Book Antiqua" w:hAnsi="Book Antiqua" w:cs="宋体"/>
          <w:color w:val="000000"/>
          <w:kern w:val="0"/>
          <w:sz w:val="24"/>
        </w:rPr>
        <w:t>, Abe M, Hirooka M, Ikeda Y, Hiasa Y, Lee Y, Jung NC, Lee WB, Lee HS, Bae YS, Onji M. Phase I/II study of immunotherapy using tumor antigen-pulsed dendritic cells in patients with hepatocellular carcinoma. </w:t>
      </w:r>
      <w:r w:rsidRPr="00226E1E">
        <w:rPr>
          <w:rFonts w:ascii="Book Antiqua" w:hAnsi="Book Antiqua" w:cs="宋体"/>
          <w:i/>
          <w:iCs/>
          <w:color w:val="000000"/>
          <w:kern w:val="0"/>
          <w:sz w:val="24"/>
        </w:rPr>
        <w:t>Int J Oncol</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41</w:t>
      </w:r>
      <w:r w:rsidRPr="00226E1E">
        <w:rPr>
          <w:rFonts w:ascii="Book Antiqua" w:hAnsi="Book Antiqua" w:cs="宋体"/>
          <w:color w:val="000000"/>
          <w:kern w:val="0"/>
          <w:sz w:val="24"/>
        </w:rPr>
        <w:t>: 1601-1609 [PMID: 22971679 DOI: 10.3892/ijo.2012.1626]</w:t>
      </w:r>
    </w:p>
    <w:p w14:paraId="1BB095E1" w14:textId="59339E20"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78 </w:t>
      </w:r>
      <w:r w:rsidRPr="00226E1E">
        <w:rPr>
          <w:rFonts w:ascii="Book Antiqua" w:hAnsi="Book Antiqua" w:cs="宋体"/>
          <w:b/>
          <w:bCs/>
          <w:color w:val="000000"/>
          <w:kern w:val="0"/>
          <w:sz w:val="24"/>
        </w:rPr>
        <w:t>Chi KH</w:t>
      </w:r>
      <w:r w:rsidRPr="00226E1E">
        <w:rPr>
          <w:rFonts w:ascii="Book Antiqua" w:hAnsi="Book Antiqua" w:cs="宋体"/>
          <w:color w:val="000000"/>
          <w:kern w:val="0"/>
          <w:sz w:val="24"/>
        </w:rPr>
        <w:t>, Liu SJ, Li CP, Kuo HP, Wang YS, Chao Y, Hsieh SL. Combination of conformal radiotherapy and intratumoral injection of adoptive dendritic cell immunotherapy in refractory hepatoma. </w:t>
      </w:r>
      <w:r w:rsidRPr="00226E1E">
        <w:rPr>
          <w:rFonts w:ascii="Book Antiqua" w:hAnsi="Book Antiqua" w:cs="宋体"/>
          <w:i/>
          <w:iCs/>
          <w:color w:val="000000"/>
          <w:kern w:val="0"/>
          <w:sz w:val="24"/>
        </w:rPr>
        <w:t>J Immunother</w:t>
      </w:r>
      <w:r w:rsidRPr="00226E1E">
        <w:rPr>
          <w:rFonts w:ascii="Book Antiqua" w:hAnsi="Book Antiqua" w:cs="宋体"/>
          <w:color w:val="000000"/>
          <w:kern w:val="0"/>
          <w:sz w:val="24"/>
        </w:rPr>
        <w:t> </w:t>
      </w:r>
      <w:r w:rsidR="00083AFD">
        <w:rPr>
          <w:rFonts w:ascii="Book Antiqua" w:hAnsi="Book Antiqua" w:cs="宋体" w:hint="eastAsia"/>
          <w:color w:val="000000"/>
          <w:kern w:val="0"/>
          <w:sz w:val="24"/>
        </w:rPr>
        <w:t>2005</w:t>
      </w:r>
      <w:r w:rsidRPr="00226E1E">
        <w:rPr>
          <w:rFonts w:ascii="Book Antiqua" w:hAnsi="Book Antiqua" w:cs="宋体"/>
          <w:color w:val="000000"/>
          <w:kern w:val="0"/>
          <w:sz w:val="24"/>
        </w:rPr>
        <w:t>; </w:t>
      </w:r>
      <w:r w:rsidRPr="00226E1E">
        <w:rPr>
          <w:rFonts w:ascii="Book Antiqua" w:hAnsi="Book Antiqua" w:cs="宋体"/>
          <w:b/>
          <w:bCs/>
          <w:color w:val="000000"/>
          <w:kern w:val="0"/>
          <w:sz w:val="24"/>
        </w:rPr>
        <w:t>28</w:t>
      </w:r>
      <w:r w:rsidRPr="00226E1E">
        <w:rPr>
          <w:rFonts w:ascii="Book Antiqua" w:hAnsi="Book Antiqua" w:cs="宋体"/>
          <w:color w:val="000000"/>
          <w:kern w:val="0"/>
          <w:sz w:val="24"/>
        </w:rPr>
        <w:t>: 129-135 [PMID: 15725956]</w:t>
      </w:r>
    </w:p>
    <w:p w14:paraId="60728A4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79 </w:t>
      </w:r>
      <w:r w:rsidRPr="00226E1E">
        <w:rPr>
          <w:rFonts w:ascii="Book Antiqua" w:hAnsi="Book Antiqua" w:cs="宋体"/>
          <w:b/>
          <w:bCs/>
          <w:color w:val="000000"/>
          <w:kern w:val="0"/>
          <w:sz w:val="24"/>
        </w:rPr>
        <w:t>Nakamoto Y</w:t>
      </w:r>
      <w:r w:rsidRPr="00226E1E">
        <w:rPr>
          <w:rFonts w:ascii="Book Antiqua" w:hAnsi="Book Antiqua" w:cs="宋体"/>
          <w:color w:val="000000"/>
          <w:kern w:val="0"/>
          <w:sz w:val="24"/>
        </w:rPr>
        <w:t>, Mizukoshi E, Tsuji H, Sakai Y, Kitahara M, Arai K, Yamashita T, Yokoyama K, Mukaida N, Matsushima K, Matsui O, Kaneko S. Combined therapy of transcatheter hepatic arterial embolization with intratumoral dendritic cell infusion for hepatocellular carcinoma: clinical safety. </w:t>
      </w:r>
      <w:r w:rsidRPr="00226E1E">
        <w:rPr>
          <w:rFonts w:ascii="Book Antiqua" w:hAnsi="Book Antiqua" w:cs="宋体"/>
          <w:i/>
          <w:iCs/>
          <w:color w:val="000000"/>
          <w:kern w:val="0"/>
          <w:sz w:val="24"/>
        </w:rPr>
        <w:t>Clin Exp Immunol</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147</w:t>
      </w:r>
      <w:r w:rsidRPr="00226E1E">
        <w:rPr>
          <w:rFonts w:ascii="Book Antiqua" w:hAnsi="Book Antiqua" w:cs="宋体"/>
          <w:color w:val="000000"/>
          <w:kern w:val="0"/>
          <w:sz w:val="24"/>
        </w:rPr>
        <w:t>: 296-305 [PMID: 17223971 DOI: 10.1111/j.1365-2249.2006.03290.x]</w:t>
      </w:r>
    </w:p>
    <w:p w14:paraId="252F2F0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80 </w:t>
      </w:r>
      <w:r w:rsidRPr="00226E1E">
        <w:rPr>
          <w:rFonts w:ascii="Book Antiqua" w:hAnsi="Book Antiqua" w:cs="宋体"/>
          <w:b/>
          <w:bCs/>
          <w:color w:val="000000"/>
          <w:kern w:val="0"/>
          <w:sz w:val="24"/>
        </w:rPr>
        <w:t>Mizukoshi E</w:t>
      </w:r>
      <w:r w:rsidRPr="00226E1E">
        <w:rPr>
          <w:rFonts w:ascii="Book Antiqua" w:hAnsi="Book Antiqua" w:cs="宋体"/>
          <w:color w:val="000000"/>
          <w:kern w:val="0"/>
          <w:sz w:val="24"/>
        </w:rPr>
        <w:t>, Nakamoto Y, Arai K, Yamashita T, Mukaida N, Matsushima K, Matsui O, Kaneko S. Enhancement of tumor-specific T-cell responses by transcatheter arterial embolization with dendritic cell infusion for hepatocellular carcinoma. </w:t>
      </w:r>
      <w:r w:rsidRPr="00226E1E">
        <w:rPr>
          <w:rFonts w:ascii="Book Antiqua" w:hAnsi="Book Antiqua" w:cs="宋体"/>
          <w:i/>
          <w:iCs/>
          <w:color w:val="000000"/>
          <w:kern w:val="0"/>
          <w:sz w:val="24"/>
        </w:rPr>
        <w:t>Int J Cancer</w:t>
      </w:r>
      <w:r w:rsidRPr="00226E1E">
        <w:rPr>
          <w:rFonts w:ascii="Book Antiqua" w:hAnsi="Book Antiqua" w:cs="宋体"/>
          <w:color w:val="000000"/>
          <w:kern w:val="0"/>
          <w:sz w:val="24"/>
        </w:rPr>
        <w:t> 2010; </w:t>
      </w:r>
      <w:r w:rsidRPr="00226E1E">
        <w:rPr>
          <w:rFonts w:ascii="Book Antiqua" w:hAnsi="Book Antiqua" w:cs="宋体"/>
          <w:b/>
          <w:bCs/>
          <w:color w:val="000000"/>
          <w:kern w:val="0"/>
          <w:sz w:val="24"/>
        </w:rPr>
        <w:t>126</w:t>
      </w:r>
      <w:r w:rsidRPr="00226E1E">
        <w:rPr>
          <w:rFonts w:ascii="Book Antiqua" w:hAnsi="Book Antiqua" w:cs="宋体"/>
          <w:color w:val="000000"/>
          <w:kern w:val="0"/>
          <w:sz w:val="24"/>
        </w:rPr>
        <w:t>: 2164-2174 [PMID: 19739081 DOI: 10.1002/ijc.24882]</w:t>
      </w:r>
    </w:p>
    <w:p w14:paraId="1E2B7DE7"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81 </w:t>
      </w:r>
      <w:r w:rsidRPr="00226E1E">
        <w:rPr>
          <w:rFonts w:ascii="Book Antiqua" w:hAnsi="Book Antiqua" w:cs="宋体"/>
          <w:b/>
          <w:bCs/>
          <w:color w:val="000000"/>
          <w:kern w:val="0"/>
          <w:sz w:val="24"/>
        </w:rPr>
        <w:t>Une Y</w:t>
      </w:r>
      <w:r w:rsidRPr="00226E1E">
        <w:rPr>
          <w:rFonts w:ascii="Book Antiqua" w:hAnsi="Book Antiqua" w:cs="宋体"/>
          <w:color w:val="000000"/>
          <w:kern w:val="0"/>
          <w:sz w:val="24"/>
        </w:rPr>
        <w:t>, Kawata A, Uchino J. [Adopted immunochemotherapy using IL-2 and spleen LAK cell--randomized study]. </w:t>
      </w:r>
      <w:r w:rsidRPr="00226E1E">
        <w:rPr>
          <w:rFonts w:ascii="Book Antiqua" w:hAnsi="Book Antiqua" w:cs="宋体"/>
          <w:i/>
          <w:iCs/>
          <w:color w:val="000000"/>
          <w:kern w:val="0"/>
          <w:sz w:val="24"/>
        </w:rPr>
        <w:t>Nihon Geka Gakkai Zasshi</w:t>
      </w:r>
      <w:r w:rsidRPr="00226E1E">
        <w:rPr>
          <w:rFonts w:ascii="Book Antiqua" w:hAnsi="Book Antiqua" w:cs="宋体"/>
          <w:color w:val="000000"/>
          <w:kern w:val="0"/>
          <w:sz w:val="24"/>
        </w:rPr>
        <w:t> 1991; </w:t>
      </w:r>
      <w:r w:rsidRPr="00226E1E">
        <w:rPr>
          <w:rFonts w:ascii="Book Antiqua" w:hAnsi="Book Antiqua" w:cs="宋体"/>
          <w:b/>
          <w:bCs/>
          <w:color w:val="000000"/>
          <w:kern w:val="0"/>
          <w:sz w:val="24"/>
        </w:rPr>
        <w:t>92</w:t>
      </w:r>
      <w:r w:rsidRPr="00226E1E">
        <w:rPr>
          <w:rFonts w:ascii="Book Antiqua" w:hAnsi="Book Antiqua" w:cs="宋体"/>
          <w:color w:val="000000"/>
          <w:kern w:val="0"/>
          <w:sz w:val="24"/>
        </w:rPr>
        <w:t>: 1330-1333 [PMID: 1658591]</w:t>
      </w:r>
    </w:p>
    <w:p w14:paraId="0589CB68"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82 </w:t>
      </w:r>
      <w:r w:rsidRPr="00226E1E">
        <w:rPr>
          <w:rFonts w:ascii="Book Antiqua" w:hAnsi="Book Antiqua" w:cs="宋体"/>
          <w:b/>
          <w:bCs/>
          <w:color w:val="000000"/>
          <w:kern w:val="0"/>
          <w:sz w:val="24"/>
        </w:rPr>
        <w:t>Kawata A</w:t>
      </w:r>
      <w:r w:rsidRPr="00226E1E">
        <w:rPr>
          <w:rFonts w:ascii="Book Antiqua" w:hAnsi="Book Antiqua" w:cs="宋体"/>
          <w:color w:val="000000"/>
          <w:kern w:val="0"/>
          <w:sz w:val="24"/>
        </w:rPr>
        <w:t xml:space="preserve">, Une Y, Hosokawa M, Wakizaka Y, Namieno T, Uchino J, Kobayashi H. Adjuvant chemoimmunotherapy for hepatocellular carcinoma patients. Adriamycin, interleukin-2, and lymphokine-activated killer cells versus </w:t>
      </w:r>
      <w:proofErr w:type="gramStart"/>
      <w:r w:rsidRPr="00226E1E">
        <w:rPr>
          <w:rFonts w:ascii="Book Antiqua" w:hAnsi="Book Antiqua" w:cs="宋体"/>
          <w:color w:val="000000"/>
          <w:kern w:val="0"/>
          <w:sz w:val="24"/>
        </w:rPr>
        <w:t>adriamycin</w:t>
      </w:r>
      <w:proofErr w:type="gramEnd"/>
      <w:r w:rsidRPr="00226E1E">
        <w:rPr>
          <w:rFonts w:ascii="Book Antiqua" w:hAnsi="Book Antiqua" w:cs="宋体"/>
          <w:color w:val="000000"/>
          <w:kern w:val="0"/>
          <w:sz w:val="24"/>
        </w:rPr>
        <w:t xml:space="preserve"> alone. </w:t>
      </w:r>
      <w:r w:rsidRPr="00226E1E">
        <w:rPr>
          <w:rFonts w:ascii="Book Antiqua" w:hAnsi="Book Antiqua" w:cs="宋体"/>
          <w:i/>
          <w:iCs/>
          <w:color w:val="000000"/>
          <w:kern w:val="0"/>
          <w:sz w:val="24"/>
        </w:rPr>
        <w:t>Am J Clin Oncol</w:t>
      </w:r>
      <w:r w:rsidRPr="00226E1E">
        <w:rPr>
          <w:rFonts w:ascii="Book Antiqua" w:hAnsi="Book Antiqua" w:cs="宋体"/>
          <w:color w:val="000000"/>
          <w:kern w:val="0"/>
          <w:sz w:val="24"/>
        </w:rPr>
        <w:t> 1995; </w:t>
      </w:r>
      <w:r w:rsidRPr="00226E1E">
        <w:rPr>
          <w:rFonts w:ascii="Book Antiqua" w:hAnsi="Book Antiqua" w:cs="宋体"/>
          <w:b/>
          <w:bCs/>
          <w:color w:val="000000"/>
          <w:kern w:val="0"/>
          <w:sz w:val="24"/>
        </w:rPr>
        <w:t>18</w:t>
      </w:r>
      <w:r w:rsidRPr="00226E1E">
        <w:rPr>
          <w:rFonts w:ascii="Book Antiqua" w:hAnsi="Book Antiqua" w:cs="宋体"/>
          <w:color w:val="000000"/>
          <w:kern w:val="0"/>
          <w:sz w:val="24"/>
        </w:rPr>
        <w:t>: 257-262 [PMID: 7747715]</w:t>
      </w:r>
    </w:p>
    <w:p w14:paraId="124D0902"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83 </w:t>
      </w:r>
      <w:r w:rsidRPr="00226E1E">
        <w:rPr>
          <w:rFonts w:ascii="Book Antiqua" w:hAnsi="Book Antiqua" w:cs="宋体"/>
          <w:b/>
          <w:bCs/>
          <w:color w:val="000000"/>
          <w:kern w:val="0"/>
          <w:sz w:val="24"/>
        </w:rPr>
        <w:t>Haruta I</w:t>
      </w:r>
      <w:r w:rsidRPr="00226E1E">
        <w:rPr>
          <w:rFonts w:ascii="Book Antiqua" w:hAnsi="Book Antiqua" w:cs="宋体"/>
          <w:color w:val="000000"/>
          <w:kern w:val="0"/>
          <w:sz w:val="24"/>
        </w:rPr>
        <w:t>, Yamauchi K, Aruga A, Komatsu T, Takasaki K, Hayashi N, Hanyu F. Analytical study of the clinical response to two distinct adoptive immunotherapies for advanced hepatocellular carcinoma: comparison between LAK cell and CTL therapy. </w:t>
      </w:r>
      <w:r w:rsidRPr="00226E1E">
        <w:rPr>
          <w:rFonts w:ascii="Book Antiqua" w:hAnsi="Book Antiqua" w:cs="宋体"/>
          <w:i/>
          <w:iCs/>
          <w:color w:val="000000"/>
          <w:kern w:val="0"/>
          <w:sz w:val="24"/>
        </w:rPr>
        <w:t>J Immunother Emphasis Tumor Immunol</w:t>
      </w:r>
      <w:r w:rsidRPr="00226E1E">
        <w:rPr>
          <w:rFonts w:ascii="Book Antiqua" w:hAnsi="Book Antiqua" w:cs="宋体"/>
          <w:color w:val="000000"/>
          <w:kern w:val="0"/>
          <w:sz w:val="24"/>
        </w:rPr>
        <w:t> 1996; </w:t>
      </w:r>
      <w:r w:rsidRPr="00226E1E">
        <w:rPr>
          <w:rFonts w:ascii="Book Antiqua" w:hAnsi="Book Antiqua" w:cs="宋体"/>
          <w:b/>
          <w:bCs/>
          <w:color w:val="000000"/>
          <w:kern w:val="0"/>
          <w:sz w:val="24"/>
        </w:rPr>
        <w:t>19</w:t>
      </w:r>
      <w:r w:rsidRPr="00226E1E">
        <w:rPr>
          <w:rFonts w:ascii="Book Antiqua" w:hAnsi="Book Antiqua" w:cs="宋体"/>
          <w:color w:val="000000"/>
          <w:kern w:val="0"/>
          <w:sz w:val="24"/>
        </w:rPr>
        <w:t>: 218-223 [PMID: 8811496]</w:t>
      </w:r>
    </w:p>
    <w:p w14:paraId="305F5C5B" w14:textId="2C4619B4"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84 </w:t>
      </w:r>
      <w:r w:rsidRPr="00226E1E">
        <w:rPr>
          <w:rFonts w:ascii="Book Antiqua" w:hAnsi="Book Antiqua" w:cs="宋体"/>
          <w:b/>
          <w:bCs/>
          <w:color w:val="000000"/>
          <w:kern w:val="0"/>
          <w:sz w:val="24"/>
        </w:rPr>
        <w:t>Introna M</w:t>
      </w:r>
      <w:r w:rsidRPr="00226E1E">
        <w:rPr>
          <w:rFonts w:ascii="Book Antiqua" w:hAnsi="Book Antiqua" w:cs="宋体"/>
          <w:color w:val="000000"/>
          <w:kern w:val="0"/>
          <w:sz w:val="24"/>
        </w:rPr>
        <w:t>, Golay J, Rambaldi A. Cytokine Induced Killer (CIK) cells for the treatment of haematological neoplasms.</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Immunol Lett</w:t>
      </w:r>
      <w:r w:rsidRPr="00226E1E">
        <w:rPr>
          <w:rFonts w:ascii="Book Antiqua" w:hAnsi="Book Antiqua" w:cs="宋体"/>
          <w:color w:val="000000"/>
          <w:kern w:val="0"/>
          <w:sz w:val="24"/>
        </w:rPr>
        <w:t> </w:t>
      </w:r>
      <w:r w:rsidR="00083AFD">
        <w:rPr>
          <w:rFonts w:ascii="Book Antiqua" w:hAnsi="Book Antiqua" w:cs="宋体" w:hint="eastAsia"/>
          <w:color w:val="000000"/>
          <w:kern w:val="0"/>
          <w:sz w:val="24"/>
        </w:rPr>
        <w:t>2013</w:t>
      </w:r>
      <w:r w:rsidRPr="00226E1E">
        <w:rPr>
          <w:rFonts w:ascii="Book Antiqua" w:hAnsi="Book Antiqua" w:cs="宋体"/>
          <w:color w:val="000000"/>
          <w:kern w:val="0"/>
          <w:sz w:val="24"/>
        </w:rPr>
        <w:t>; </w:t>
      </w:r>
      <w:r w:rsidRPr="00226E1E">
        <w:rPr>
          <w:rFonts w:ascii="Book Antiqua" w:hAnsi="Book Antiqua" w:cs="宋体"/>
          <w:b/>
          <w:bCs/>
          <w:color w:val="000000"/>
          <w:kern w:val="0"/>
          <w:sz w:val="24"/>
        </w:rPr>
        <w:t>155</w:t>
      </w:r>
      <w:r w:rsidRPr="00226E1E">
        <w:rPr>
          <w:rFonts w:ascii="Book Antiqua" w:hAnsi="Book Antiqua" w:cs="宋体"/>
          <w:color w:val="000000"/>
          <w:kern w:val="0"/>
          <w:sz w:val="24"/>
        </w:rPr>
        <w:t>: 27-30 [PMID: 24084446 DOI: 10.1016/j.imlet.2013.09.017]</w:t>
      </w:r>
    </w:p>
    <w:p w14:paraId="5566E59A" w14:textId="1854CD55"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85 </w:t>
      </w:r>
      <w:r w:rsidRPr="00226E1E">
        <w:rPr>
          <w:rFonts w:ascii="Book Antiqua" w:hAnsi="Book Antiqua" w:cs="宋体"/>
          <w:b/>
          <w:bCs/>
          <w:color w:val="000000"/>
          <w:kern w:val="0"/>
          <w:sz w:val="24"/>
        </w:rPr>
        <w:t>Linn YC</w:t>
      </w:r>
      <w:r w:rsidRPr="00226E1E">
        <w:rPr>
          <w:rFonts w:ascii="Book Antiqua" w:hAnsi="Book Antiqua" w:cs="宋体"/>
          <w:color w:val="000000"/>
          <w:kern w:val="0"/>
          <w:sz w:val="24"/>
        </w:rPr>
        <w:t>, Hui KM. Cytokine-induced killer cells: NK-like T cells with cytotolytic specificity against leukemia. </w:t>
      </w:r>
      <w:r w:rsidRPr="00226E1E">
        <w:rPr>
          <w:rFonts w:ascii="Book Antiqua" w:hAnsi="Book Antiqua" w:cs="宋体"/>
          <w:i/>
          <w:iCs/>
          <w:color w:val="000000"/>
          <w:kern w:val="0"/>
          <w:sz w:val="24"/>
        </w:rPr>
        <w:t>Leuk Lymphoma</w:t>
      </w:r>
      <w:r w:rsidRPr="00226E1E">
        <w:rPr>
          <w:rFonts w:ascii="Book Antiqua" w:hAnsi="Book Antiqua" w:cs="宋体"/>
          <w:color w:val="000000"/>
          <w:kern w:val="0"/>
          <w:sz w:val="24"/>
        </w:rPr>
        <w:t> 2003; </w:t>
      </w:r>
      <w:r w:rsidRPr="00226E1E">
        <w:rPr>
          <w:rFonts w:ascii="Book Antiqua" w:hAnsi="Book Antiqua" w:cs="宋体"/>
          <w:b/>
          <w:bCs/>
          <w:color w:val="000000"/>
          <w:kern w:val="0"/>
          <w:sz w:val="24"/>
        </w:rPr>
        <w:t>44</w:t>
      </w:r>
      <w:r w:rsidRPr="00226E1E">
        <w:rPr>
          <w:rFonts w:ascii="Book Antiqua" w:hAnsi="Book Antiqua" w:cs="宋体"/>
          <w:color w:val="000000"/>
          <w:kern w:val="0"/>
          <w:sz w:val="24"/>
        </w:rPr>
        <w:t>: 1457-1462 [PMID: 14565644 DOI: 10.3109/10428190309178764]</w:t>
      </w:r>
    </w:p>
    <w:p w14:paraId="678316E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86 </w:t>
      </w:r>
      <w:r w:rsidRPr="00226E1E">
        <w:rPr>
          <w:rFonts w:ascii="Book Antiqua" w:hAnsi="Book Antiqua" w:cs="宋体"/>
          <w:b/>
          <w:bCs/>
          <w:color w:val="000000"/>
          <w:kern w:val="0"/>
          <w:sz w:val="24"/>
        </w:rPr>
        <w:t>Schmidt-Wolf IG</w:t>
      </w:r>
      <w:r w:rsidRPr="00226E1E">
        <w:rPr>
          <w:rFonts w:ascii="Book Antiqua" w:hAnsi="Book Antiqua" w:cs="宋体"/>
          <w:color w:val="000000"/>
          <w:kern w:val="0"/>
          <w:sz w:val="24"/>
        </w:rPr>
        <w:t>, Negrin RS, Kiem HP, Blume KG, Weissman IL. Use of a SCID mouse/human lymphoma model to evaluate cytokine-induced killer cells with potent antitumor cell activity. </w:t>
      </w:r>
      <w:r w:rsidRPr="00226E1E">
        <w:rPr>
          <w:rFonts w:ascii="Book Antiqua" w:hAnsi="Book Antiqua" w:cs="宋体"/>
          <w:i/>
          <w:iCs/>
          <w:color w:val="000000"/>
          <w:kern w:val="0"/>
          <w:sz w:val="24"/>
        </w:rPr>
        <w:t>J Exp Med</w:t>
      </w:r>
      <w:r w:rsidRPr="00226E1E">
        <w:rPr>
          <w:rFonts w:ascii="Book Antiqua" w:hAnsi="Book Antiqua" w:cs="宋体"/>
          <w:color w:val="000000"/>
          <w:kern w:val="0"/>
          <w:sz w:val="24"/>
        </w:rPr>
        <w:t> 1991; </w:t>
      </w:r>
      <w:r w:rsidRPr="00226E1E">
        <w:rPr>
          <w:rFonts w:ascii="Book Antiqua" w:hAnsi="Book Antiqua" w:cs="宋体"/>
          <w:b/>
          <w:bCs/>
          <w:color w:val="000000"/>
          <w:kern w:val="0"/>
          <w:sz w:val="24"/>
        </w:rPr>
        <w:t>174</w:t>
      </w:r>
      <w:r w:rsidRPr="00226E1E">
        <w:rPr>
          <w:rFonts w:ascii="Book Antiqua" w:hAnsi="Book Antiqua" w:cs="宋体"/>
          <w:color w:val="000000"/>
          <w:kern w:val="0"/>
          <w:sz w:val="24"/>
        </w:rPr>
        <w:t>: 139-149 [PMID: 1711560]</w:t>
      </w:r>
    </w:p>
    <w:p w14:paraId="2B13044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87 </w:t>
      </w:r>
      <w:r w:rsidRPr="00226E1E">
        <w:rPr>
          <w:rFonts w:ascii="Book Antiqua" w:hAnsi="Book Antiqua" w:cs="宋体"/>
          <w:b/>
          <w:bCs/>
          <w:color w:val="000000"/>
          <w:kern w:val="0"/>
          <w:sz w:val="24"/>
        </w:rPr>
        <w:t>Zoll B</w:t>
      </w:r>
      <w:r w:rsidRPr="00226E1E">
        <w:rPr>
          <w:rFonts w:ascii="Book Antiqua" w:hAnsi="Book Antiqua" w:cs="宋体"/>
          <w:color w:val="000000"/>
          <w:kern w:val="0"/>
          <w:sz w:val="24"/>
        </w:rPr>
        <w:t>, Lefterova P, Csipai M, Finke S, Trojaneck B, Ebert O, Micka B, Roigk K, Fehlinger M, Schmidt-Wolf GD, Huhn D, Schmidt-Wolf IG. Generation of cytokine-induced killer cells using exogenous interleukin-2, -7 or -12. </w:t>
      </w:r>
      <w:r w:rsidRPr="00226E1E">
        <w:rPr>
          <w:rFonts w:ascii="Book Antiqua" w:hAnsi="Book Antiqua" w:cs="宋体"/>
          <w:i/>
          <w:iCs/>
          <w:color w:val="000000"/>
          <w:kern w:val="0"/>
          <w:sz w:val="24"/>
        </w:rPr>
        <w:t>Cancer Immunol Immunother</w:t>
      </w:r>
      <w:r w:rsidRPr="00226E1E">
        <w:rPr>
          <w:rFonts w:ascii="Book Antiqua" w:hAnsi="Book Antiqua" w:cs="宋体"/>
          <w:color w:val="000000"/>
          <w:kern w:val="0"/>
          <w:sz w:val="24"/>
        </w:rPr>
        <w:t> 1998; </w:t>
      </w:r>
      <w:r w:rsidRPr="00226E1E">
        <w:rPr>
          <w:rFonts w:ascii="Book Antiqua" w:hAnsi="Book Antiqua" w:cs="宋体"/>
          <w:b/>
          <w:bCs/>
          <w:color w:val="000000"/>
          <w:kern w:val="0"/>
          <w:sz w:val="24"/>
        </w:rPr>
        <w:t>47</w:t>
      </w:r>
      <w:r w:rsidRPr="00226E1E">
        <w:rPr>
          <w:rFonts w:ascii="Book Antiqua" w:hAnsi="Book Antiqua" w:cs="宋体"/>
          <w:color w:val="000000"/>
          <w:kern w:val="0"/>
          <w:sz w:val="24"/>
        </w:rPr>
        <w:t>: 221-226 [PMID: 9875675]</w:t>
      </w:r>
    </w:p>
    <w:p w14:paraId="1397AF2C" w14:textId="0855FF8A"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88 </w:t>
      </w:r>
      <w:r w:rsidRPr="00226E1E">
        <w:rPr>
          <w:rFonts w:ascii="Book Antiqua" w:hAnsi="Book Antiqua" w:cs="宋体"/>
          <w:b/>
          <w:bCs/>
          <w:color w:val="000000"/>
          <w:kern w:val="0"/>
          <w:sz w:val="24"/>
        </w:rPr>
        <w:t>Alvarnas JC</w:t>
      </w:r>
      <w:r w:rsidRPr="00226E1E">
        <w:rPr>
          <w:rFonts w:ascii="Book Antiqua" w:hAnsi="Book Antiqua" w:cs="宋体"/>
          <w:color w:val="000000"/>
          <w:kern w:val="0"/>
          <w:sz w:val="24"/>
        </w:rPr>
        <w:t>, Linn YC, Hope EG, Negrin RS. Expansion of cytotoxic CD3+ CD56+ cells from peripheral blood progenitor cells of patients undergoing autologous hematopoietic cell transplantation. </w:t>
      </w:r>
      <w:r w:rsidRPr="00226E1E">
        <w:rPr>
          <w:rFonts w:ascii="Book Antiqua" w:hAnsi="Book Antiqua" w:cs="宋体"/>
          <w:i/>
          <w:iCs/>
          <w:color w:val="000000"/>
          <w:kern w:val="0"/>
          <w:sz w:val="24"/>
        </w:rPr>
        <w:t>Biol Blood Marrow Transplant</w:t>
      </w:r>
      <w:r w:rsidRPr="00226E1E">
        <w:rPr>
          <w:rFonts w:ascii="Book Antiqua" w:hAnsi="Book Antiqua" w:cs="宋体"/>
          <w:color w:val="000000"/>
          <w:kern w:val="0"/>
          <w:sz w:val="24"/>
        </w:rPr>
        <w:t> 2001; </w:t>
      </w:r>
      <w:r w:rsidRPr="00226E1E">
        <w:rPr>
          <w:rFonts w:ascii="Book Antiqua" w:hAnsi="Book Antiqua" w:cs="宋体"/>
          <w:b/>
          <w:bCs/>
          <w:color w:val="000000"/>
          <w:kern w:val="0"/>
          <w:sz w:val="24"/>
        </w:rPr>
        <w:t>7</w:t>
      </w:r>
      <w:r w:rsidRPr="00226E1E">
        <w:rPr>
          <w:rFonts w:ascii="Book Antiqua" w:hAnsi="Book Antiqua" w:cs="宋体"/>
          <w:color w:val="000000"/>
          <w:kern w:val="0"/>
          <w:sz w:val="24"/>
        </w:rPr>
        <w:t>: 216-222 [PMID: 11349808 DOI: 10.1053/bbmt.2001.v7.pm11349808]</w:t>
      </w:r>
    </w:p>
    <w:p w14:paraId="3D27F83C"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89 </w:t>
      </w:r>
      <w:r w:rsidRPr="00226E1E">
        <w:rPr>
          <w:rFonts w:ascii="Book Antiqua" w:hAnsi="Book Antiqua" w:cs="宋体"/>
          <w:b/>
          <w:bCs/>
          <w:color w:val="000000"/>
          <w:kern w:val="0"/>
          <w:sz w:val="24"/>
        </w:rPr>
        <w:t>Jiang J</w:t>
      </w:r>
      <w:r w:rsidRPr="00226E1E">
        <w:rPr>
          <w:rFonts w:ascii="Book Antiqua" w:hAnsi="Book Antiqua" w:cs="宋体"/>
          <w:color w:val="000000"/>
          <w:kern w:val="0"/>
          <w:sz w:val="24"/>
        </w:rPr>
        <w:t>, Wu C, Lu B. Cytokine-induced killer cells promote antitumor immunity. </w:t>
      </w:r>
      <w:r w:rsidRPr="00226E1E">
        <w:rPr>
          <w:rFonts w:ascii="Book Antiqua" w:hAnsi="Book Antiqua" w:cs="宋体"/>
          <w:i/>
          <w:iCs/>
          <w:color w:val="000000"/>
          <w:kern w:val="0"/>
          <w:sz w:val="24"/>
        </w:rPr>
        <w:t>J Transl Med</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11</w:t>
      </w:r>
      <w:r w:rsidRPr="00226E1E">
        <w:rPr>
          <w:rFonts w:ascii="Book Antiqua" w:hAnsi="Book Antiqua" w:cs="宋体"/>
          <w:color w:val="000000"/>
          <w:kern w:val="0"/>
          <w:sz w:val="24"/>
        </w:rPr>
        <w:t>: 83 [PMID: 23536996 DOI: 10.1186/1479-5876-11-83]</w:t>
      </w:r>
    </w:p>
    <w:p w14:paraId="416AFA0D"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90 </w:t>
      </w:r>
      <w:r w:rsidRPr="00226E1E">
        <w:rPr>
          <w:rFonts w:ascii="Book Antiqua" w:hAnsi="Book Antiqua" w:cs="宋体"/>
          <w:b/>
          <w:bCs/>
          <w:color w:val="000000"/>
          <w:kern w:val="0"/>
          <w:sz w:val="24"/>
        </w:rPr>
        <w:t>Nishimura R</w:t>
      </w:r>
      <w:r w:rsidRPr="00226E1E">
        <w:rPr>
          <w:rFonts w:ascii="Book Antiqua" w:hAnsi="Book Antiqua" w:cs="宋体"/>
          <w:color w:val="000000"/>
          <w:kern w:val="0"/>
          <w:sz w:val="24"/>
        </w:rPr>
        <w:t xml:space="preserve">, Baker J, Beilhack A, Zeiser R, Olson JA, Sega EI, Karimi M, Negrin RS. </w:t>
      </w:r>
      <w:proofErr w:type="gramStart"/>
      <w:r w:rsidRPr="00226E1E">
        <w:rPr>
          <w:rFonts w:ascii="Book Antiqua" w:hAnsi="Book Antiqua" w:cs="宋体"/>
          <w:color w:val="000000"/>
          <w:kern w:val="0"/>
          <w:sz w:val="24"/>
        </w:rPr>
        <w:t>In vivo trafficking and survival of cytokine-induced killer cells resulting in minimal GVHD with retention of antitumor activity.</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Blood</w:t>
      </w:r>
      <w:r w:rsidRPr="00226E1E">
        <w:rPr>
          <w:rFonts w:ascii="Book Antiqua" w:hAnsi="Book Antiqua" w:cs="宋体"/>
          <w:color w:val="000000"/>
          <w:kern w:val="0"/>
          <w:sz w:val="24"/>
        </w:rPr>
        <w:t> 2008; </w:t>
      </w:r>
      <w:r w:rsidRPr="00226E1E">
        <w:rPr>
          <w:rFonts w:ascii="Book Antiqua" w:hAnsi="Book Antiqua" w:cs="宋体"/>
          <w:b/>
          <w:bCs/>
          <w:color w:val="000000"/>
          <w:kern w:val="0"/>
          <w:sz w:val="24"/>
        </w:rPr>
        <w:t>112</w:t>
      </w:r>
      <w:r w:rsidRPr="00226E1E">
        <w:rPr>
          <w:rFonts w:ascii="Book Antiqua" w:hAnsi="Book Antiqua" w:cs="宋体"/>
          <w:color w:val="000000"/>
          <w:kern w:val="0"/>
          <w:sz w:val="24"/>
        </w:rPr>
        <w:t>: 2563-2574 [PMID: 18565854 DOI: 10.1182/blood-2007-06-092817]</w:t>
      </w:r>
    </w:p>
    <w:p w14:paraId="40079FE9"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91 </w:t>
      </w:r>
      <w:r w:rsidRPr="00226E1E">
        <w:rPr>
          <w:rFonts w:ascii="Book Antiqua" w:hAnsi="Book Antiqua" w:cs="宋体"/>
          <w:b/>
          <w:bCs/>
          <w:color w:val="000000"/>
          <w:kern w:val="0"/>
          <w:sz w:val="24"/>
        </w:rPr>
        <w:t>Mesiano G</w:t>
      </w:r>
      <w:r w:rsidRPr="00226E1E">
        <w:rPr>
          <w:rFonts w:ascii="Book Antiqua" w:hAnsi="Book Antiqua" w:cs="宋体"/>
          <w:color w:val="000000"/>
          <w:kern w:val="0"/>
          <w:sz w:val="24"/>
        </w:rPr>
        <w:t>, Todorovic M, Gammaitoni L, Leuci V, Giraudo Diego L, Carnevale-Schianca F, Fagioli F, Piacibello W, Aglietta M, Sangiolo D. Cytokine-induced killer (CIK) cells as feasible and effective adoptive immunotherapy for the treatment of solid tumors. </w:t>
      </w:r>
      <w:r w:rsidRPr="00226E1E">
        <w:rPr>
          <w:rFonts w:ascii="Book Antiqua" w:hAnsi="Book Antiqua" w:cs="宋体"/>
          <w:i/>
          <w:iCs/>
          <w:color w:val="000000"/>
          <w:kern w:val="0"/>
          <w:sz w:val="24"/>
        </w:rPr>
        <w:t>Expert Opin Biol Ther</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12</w:t>
      </w:r>
      <w:r w:rsidRPr="00226E1E">
        <w:rPr>
          <w:rFonts w:ascii="Book Antiqua" w:hAnsi="Book Antiqua" w:cs="宋体"/>
          <w:color w:val="000000"/>
          <w:kern w:val="0"/>
          <w:sz w:val="24"/>
        </w:rPr>
        <w:t>: 673-684 [PMID: 22500889 DOI: 10.1517/14712598.2012.675323]</w:t>
      </w:r>
    </w:p>
    <w:p w14:paraId="7F8E89A7"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92 </w:t>
      </w:r>
      <w:r w:rsidRPr="00226E1E">
        <w:rPr>
          <w:rFonts w:ascii="Book Antiqua" w:hAnsi="Book Antiqua" w:cs="宋体"/>
          <w:b/>
          <w:bCs/>
          <w:color w:val="000000"/>
          <w:kern w:val="0"/>
          <w:sz w:val="24"/>
        </w:rPr>
        <w:t>Sangiolo D</w:t>
      </w:r>
      <w:r w:rsidRPr="00226E1E">
        <w:rPr>
          <w:rFonts w:ascii="Book Antiqua" w:hAnsi="Book Antiqua" w:cs="宋体"/>
          <w:color w:val="000000"/>
          <w:kern w:val="0"/>
          <w:sz w:val="24"/>
        </w:rPr>
        <w:t>. Cytokine induced killer cells as promising immunotherapy for solid tumors. </w:t>
      </w:r>
      <w:r w:rsidRPr="00226E1E">
        <w:rPr>
          <w:rFonts w:ascii="Book Antiqua" w:hAnsi="Book Antiqua" w:cs="宋体"/>
          <w:i/>
          <w:iCs/>
          <w:color w:val="000000"/>
          <w:kern w:val="0"/>
          <w:sz w:val="24"/>
        </w:rPr>
        <w:t>J Cancer</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2</w:t>
      </w:r>
      <w:r w:rsidRPr="00226E1E">
        <w:rPr>
          <w:rFonts w:ascii="Book Antiqua" w:hAnsi="Book Antiqua" w:cs="宋体"/>
          <w:color w:val="000000"/>
          <w:kern w:val="0"/>
          <w:sz w:val="24"/>
        </w:rPr>
        <w:t>: 363-368 [PMID: 21716717 DOI: 10.7150/jca.2.363]</w:t>
      </w:r>
    </w:p>
    <w:p w14:paraId="1A43CDF9"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93 </w:t>
      </w:r>
      <w:r w:rsidRPr="00226E1E">
        <w:rPr>
          <w:rFonts w:ascii="Book Antiqua" w:hAnsi="Book Antiqua" w:cs="宋体"/>
          <w:b/>
          <w:bCs/>
          <w:color w:val="000000"/>
          <w:kern w:val="0"/>
          <w:sz w:val="24"/>
        </w:rPr>
        <w:t>Sangiolo D</w:t>
      </w:r>
      <w:r w:rsidRPr="00226E1E">
        <w:rPr>
          <w:rFonts w:ascii="Book Antiqua" w:hAnsi="Book Antiqua" w:cs="宋体"/>
          <w:color w:val="000000"/>
          <w:kern w:val="0"/>
          <w:sz w:val="24"/>
        </w:rPr>
        <w:t>, Mesiano G, Carnevale-Schianca F, Piacibello W, Aglietta M, Cignetti A. Cytokine induced killer cells as adoptive immunotherapy strategy to augment graft versus tumor after hematopoietic cell transplantation. </w:t>
      </w:r>
      <w:r w:rsidRPr="00226E1E">
        <w:rPr>
          <w:rFonts w:ascii="Book Antiqua" w:hAnsi="Book Antiqua" w:cs="宋体"/>
          <w:i/>
          <w:iCs/>
          <w:color w:val="000000"/>
          <w:kern w:val="0"/>
          <w:sz w:val="24"/>
        </w:rPr>
        <w:t>Expert Opin Biol Ther</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9</w:t>
      </w:r>
      <w:r w:rsidRPr="00226E1E">
        <w:rPr>
          <w:rFonts w:ascii="Book Antiqua" w:hAnsi="Book Antiqua" w:cs="宋体"/>
          <w:color w:val="000000"/>
          <w:kern w:val="0"/>
          <w:sz w:val="24"/>
        </w:rPr>
        <w:t>: 831-840 [PMID: 19463075 DOI: 10.1517/14712590903005552]</w:t>
      </w:r>
    </w:p>
    <w:p w14:paraId="3641782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94 </w:t>
      </w:r>
      <w:r w:rsidRPr="00226E1E">
        <w:rPr>
          <w:rFonts w:ascii="Book Antiqua" w:hAnsi="Book Antiqua" w:cs="宋体"/>
          <w:b/>
          <w:bCs/>
          <w:color w:val="000000"/>
          <w:kern w:val="0"/>
          <w:sz w:val="24"/>
        </w:rPr>
        <w:t>Ma Y</w:t>
      </w:r>
      <w:r w:rsidRPr="00226E1E">
        <w:rPr>
          <w:rFonts w:ascii="Book Antiqua" w:hAnsi="Book Antiqua" w:cs="宋体"/>
          <w:color w:val="000000"/>
          <w:kern w:val="0"/>
          <w:sz w:val="24"/>
        </w:rPr>
        <w:t>, Zhang Z, Tang L, Xu YC, Xie ZM, Gu XF, Wang HX. Cytokine-induced killer cells in the treatment of patients with solid carcinomas: a systematic review and pooled analysis. </w:t>
      </w:r>
      <w:r w:rsidRPr="00226E1E">
        <w:rPr>
          <w:rFonts w:ascii="Book Antiqua" w:hAnsi="Book Antiqua" w:cs="宋体"/>
          <w:i/>
          <w:iCs/>
          <w:color w:val="000000"/>
          <w:kern w:val="0"/>
          <w:sz w:val="24"/>
        </w:rPr>
        <w:t>Cytotherapy</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14</w:t>
      </w:r>
      <w:r w:rsidRPr="00226E1E">
        <w:rPr>
          <w:rFonts w:ascii="Book Antiqua" w:hAnsi="Book Antiqua" w:cs="宋体"/>
          <w:color w:val="000000"/>
          <w:kern w:val="0"/>
          <w:sz w:val="24"/>
        </w:rPr>
        <w:t>: 483-493 [PMID: 22277010 DOI: 10.3109/14653249.2011.649185]</w:t>
      </w:r>
    </w:p>
    <w:p w14:paraId="08AAB6C7"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95 </w:t>
      </w:r>
      <w:r w:rsidRPr="00226E1E">
        <w:rPr>
          <w:rFonts w:ascii="Book Antiqua" w:hAnsi="Book Antiqua" w:cs="宋体"/>
          <w:b/>
          <w:bCs/>
          <w:color w:val="000000"/>
          <w:kern w:val="0"/>
          <w:sz w:val="24"/>
        </w:rPr>
        <w:t>Weng DS</w:t>
      </w:r>
      <w:r w:rsidRPr="00226E1E">
        <w:rPr>
          <w:rFonts w:ascii="Book Antiqua" w:hAnsi="Book Antiqua" w:cs="宋体"/>
          <w:color w:val="000000"/>
          <w:kern w:val="0"/>
          <w:sz w:val="24"/>
        </w:rPr>
        <w:t>, Zhou J, Zhou QM, Zhao M, Wang QJ, Huang LX, Li YQ, Chen SP, Wu PH, Xia JC. Minimally invasive treatment combined with cytokine-induced killer cells therapy lower the short-term recurrence rates of hepatocellular carcinomas. </w:t>
      </w:r>
      <w:r w:rsidRPr="00226E1E">
        <w:rPr>
          <w:rFonts w:ascii="Book Antiqua" w:hAnsi="Book Antiqua" w:cs="宋体"/>
          <w:i/>
          <w:iCs/>
          <w:color w:val="000000"/>
          <w:kern w:val="0"/>
          <w:sz w:val="24"/>
        </w:rPr>
        <w:t>J Immunother</w:t>
      </w:r>
      <w:r w:rsidRPr="00226E1E">
        <w:rPr>
          <w:rFonts w:ascii="Book Antiqua" w:hAnsi="Book Antiqua" w:cs="宋体"/>
          <w:color w:val="000000"/>
          <w:kern w:val="0"/>
          <w:sz w:val="24"/>
        </w:rPr>
        <w:t> 2008; </w:t>
      </w:r>
      <w:r w:rsidRPr="00226E1E">
        <w:rPr>
          <w:rFonts w:ascii="Book Antiqua" w:hAnsi="Book Antiqua" w:cs="宋体"/>
          <w:b/>
          <w:bCs/>
          <w:color w:val="000000"/>
          <w:kern w:val="0"/>
          <w:sz w:val="24"/>
        </w:rPr>
        <w:t>31</w:t>
      </w:r>
      <w:r w:rsidRPr="00226E1E">
        <w:rPr>
          <w:rFonts w:ascii="Book Antiqua" w:hAnsi="Book Antiqua" w:cs="宋体"/>
          <w:color w:val="000000"/>
          <w:kern w:val="0"/>
          <w:sz w:val="24"/>
        </w:rPr>
        <w:t>: 63-71 [PMID: 18157013 DOI: 10.1097/CJI.0b013e31815a121b]</w:t>
      </w:r>
    </w:p>
    <w:p w14:paraId="18329E87" w14:textId="6638F373"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96</w:t>
      </w:r>
      <w:r w:rsidRPr="00083AFD">
        <w:rPr>
          <w:rFonts w:ascii="Book Antiqua" w:hAnsi="Book Antiqua" w:cs="宋体"/>
          <w:b/>
          <w:color w:val="000000"/>
          <w:kern w:val="0"/>
          <w:sz w:val="24"/>
        </w:rPr>
        <w:t xml:space="preserve"> Hui D,</w:t>
      </w:r>
      <w:r w:rsidRPr="00226E1E">
        <w:rPr>
          <w:rFonts w:ascii="Book Antiqua" w:hAnsi="Book Antiqua" w:cs="宋体"/>
          <w:color w:val="000000"/>
          <w:kern w:val="0"/>
          <w:sz w:val="24"/>
        </w:rPr>
        <w:t xml:space="preserve"> Qiang L, Jian W, Ti Z, Da-Lu K. A randomized, controlled trial of postoperative adjuvant cytokine-induced killer cells immunotherapy after radical resection of hepatocellular carcinoma. </w:t>
      </w:r>
      <w:r w:rsidRPr="00083AFD">
        <w:rPr>
          <w:rFonts w:ascii="Book Antiqua" w:hAnsi="Book Antiqua" w:cs="宋体"/>
          <w:i/>
          <w:color w:val="000000"/>
          <w:kern w:val="0"/>
          <w:sz w:val="24"/>
        </w:rPr>
        <w:t>Digestive and Liver Disease</w:t>
      </w:r>
      <w:r w:rsidRPr="00226E1E">
        <w:rPr>
          <w:rFonts w:ascii="Book Antiqua" w:hAnsi="Book Antiqua" w:cs="宋体"/>
          <w:color w:val="000000"/>
          <w:kern w:val="0"/>
          <w:sz w:val="24"/>
        </w:rPr>
        <w:t xml:space="preserve"> 2009; </w:t>
      </w:r>
      <w:r w:rsidRPr="00083AFD">
        <w:rPr>
          <w:rFonts w:ascii="Book Antiqua" w:hAnsi="Book Antiqua" w:cs="宋体"/>
          <w:b/>
          <w:color w:val="000000"/>
          <w:kern w:val="0"/>
          <w:sz w:val="24"/>
        </w:rPr>
        <w:t xml:space="preserve">41: </w:t>
      </w:r>
      <w:r w:rsidRPr="00226E1E">
        <w:rPr>
          <w:rFonts w:ascii="Book Antiqua" w:hAnsi="Book Antiqua" w:cs="宋体"/>
          <w:color w:val="000000"/>
          <w:kern w:val="0"/>
          <w:sz w:val="24"/>
        </w:rPr>
        <w:t>36-41 [DOI: 10.1016/j.dld.2008.04.007]</w:t>
      </w:r>
    </w:p>
    <w:p w14:paraId="68F8574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97 </w:t>
      </w:r>
      <w:r w:rsidRPr="00226E1E">
        <w:rPr>
          <w:rFonts w:ascii="Book Antiqua" w:hAnsi="Book Antiqua" w:cs="宋体"/>
          <w:b/>
          <w:bCs/>
          <w:color w:val="000000"/>
          <w:kern w:val="0"/>
          <w:sz w:val="24"/>
        </w:rPr>
        <w:t>Hao MZ</w:t>
      </w:r>
      <w:r w:rsidRPr="00226E1E">
        <w:rPr>
          <w:rFonts w:ascii="Book Antiqua" w:hAnsi="Book Antiqua" w:cs="宋体"/>
          <w:color w:val="000000"/>
          <w:kern w:val="0"/>
          <w:sz w:val="24"/>
        </w:rPr>
        <w:t>, Lin HL, Chen Q, Ye YB, Chen QZ, Chen MS. Efficacy of transcatheter arterial chemoembolization combined with cytokine-induced killer cell therapy on hepatocellular carcinoma: a comparative study. </w:t>
      </w:r>
      <w:r w:rsidRPr="00226E1E">
        <w:rPr>
          <w:rFonts w:ascii="Book Antiqua" w:hAnsi="Book Antiqua" w:cs="宋体"/>
          <w:i/>
          <w:iCs/>
          <w:color w:val="000000"/>
          <w:kern w:val="0"/>
          <w:sz w:val="24"/>
        </w:rPr>
        <w:t>Chin J Cancer</w:t>
      </w:r>
      <w:r w:rsidRPr="00226E1E">
        <w:rPr>
          <w:rFonts w:ascii="Book Antiqua" w:hAnsi="Book Antiqua" w:cs="宋体"/>
          <w:color w:val="000000"/>
          <w:kern w:val="0"/>
          <w:sz w:val="24"/>
        </w:rPr>
        <w:t> 2010; </w:t>
      </w:r>
      <w:r w:rsidRPr="00226E1E">
        <w:rPr>
          <w:rFonts w:ascii="Book Antiqua" w:hAnsi="Book Antiqua" w:cs="宋体"/>
          <w:b/>
          <w:bCs/>
          <w:color w:val="000000"/>
          <w:kern w:val="0"/>
          <w:sz w:val="24"/>
        </w:rPr>
        <w:t>29</w:t>
      </w:r>
      <w:r w:rsidRPr="00226E1E">
        <w:rPr>
          <w:rFonts w:ascii="Book Antiqua" w:hAnsi="Book Antiqua" w:cs="宋体"/>
          <w:color w:val="000000"/>
          <w:kern w:val="0"/>
          <w:sz w:val="24"/>
        </w:rPr>
        <w:t>: 172-177 [PMID: 20109346]</w:t>
      </w:r>
    </w:p>
    <w:p w14:paraId="1A399F35"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98 </w:t>
      </w:r>
      <w:r w:rsidRPr="00226E1E">
        <w:rPr>
          <w:rFonts w:ascii="Book Antiqua" w:hAnsi="Book Antiqua" w:cs="宋体"/>
          <w:b/>
          <w:bCs/>
          <w:color w:val="000000"/>
          <w:kern w:val="0"/>
          <w:sz w:val="24"/>
        </w:rPr>
        <w:t>Zhou P</w:t>
      </w:r>
      <w:r w:rsidRPr="00226E1E">
        <w:rPr>
          <w:rFonts w:ascii="Book Antiqua" w:hAnsi="Book Antiqua" w:cs="宋体"/>
          <w:color w:val="000000"/>
          <w:kern w:val="0"/>
          <w:sz w:val="24"/>
        </w:rPr>
        <w:t xml:space="preserve">, Liang P, Dong B, Yu X, Han Z, Xu Y. Phase </w:t>
      </w:r>
      <w:r w:rsidRPr="00226E1E">
        <w:rPr>
          <w:rFonts w:ascii="宋体" w:hAnsi="宋体" w:cs="宋体" w:hint="eastAsia"/>
          <w:color w:val="000000"/>
          <w:kern w:val="0"/>
          <w:sz w:val="24"/>
        </w:rPr>
        <w:t>Ⅰ</w:t>
      </w:r>
      <w:r w:rsidRPr="00226E1E">
        <w:rPr>
          <w:rFonts w:ascii="Book Antiqua" w:hAnsi="Book Antiqua" w:cs="宋体"/>
          <w:color w:val="000000"/>
          <w:kern w:val="0"/>
          <w:sz w:val="24"/>
        </w:rPr>
        <w:t xml:space="preserve"> clinical study of combination therapy with microwave ablation and cellular immunotherapy in hepatocellular carcinoma. </w:t>
      </w:r>
      <w:r w:rsidRPr="00226E1E">
        <w:rPr>
          <w:rFonts w:ascii="Book Antiqua" w:hAnsi="Book Antiqua" w:cs="宋体"/>
          <w:i/>
          <w:iCs/>
          <w:color w:val="000000"/>
          <w:kern w:val="0"/>
          <w:sz w:val="24"/>
        </w:rPr>
        <w:t>Cancer Biol Ther</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11</w:t>
      </w:r>
      <w:r w:rsidRPr="00226E1E">
        <w:rPr>
          <w:rFonts w:ascii="Book Antiqua" w:hAnsi="Book Antiqua" w:cs="宋体"/>
          <w:color w:val="000000"/>
          <w:kern w:val="0"/>
          <w:sz w:val="24"/>
        </w:rPr>
        <w:t>: 450-456 [PMID: 21258206 DOI: 10.4161/cbt.11.5.14669]</w:t>
      </w:r>
    </w:p>
    <w:p w14:paraId="2F9D6841"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99 </w:t>
      </w:r>
      <w:r w:rsidRPr="00226E1E">
        <w:rPr>
          <w:rFonts w:ascii="Book Antiqua" w:hAnsi="Book Antiqua" w:cs="宋体"/>
          <w:b/>
          <w:bCs/>
          <w:color w:val="000000"/>
          <w:kern w:val="0"/>
          <w:sz w:val="24"/>
        </w:rPr>
        <w:t>Huang ZM</w:t>
      </w:r>
      <w:r w:rsidRPr="00226E1E">
        <w:rPr>
          <w:rFonts w:ascii="Book Antiqua" w:hAnsi="Book Antiqua" w:cs="宋体"/>
          <w:color w:val="000000"/>
          <w:kern w:val="0"/>
          <w:sz w:val="24"/>
        </w:rPr>
        <w:t>, Li W, Li S, Gao F, Zhou QM, Wu FM, He N, Pan CC, Xia JC, Wu PH, Zhao M. Cytokine-induced killer cells in combination with transcatheter arterial chemoembolization and radiofrequency ablation for hepatocellular carcinoma patients. </w:t>
      </w:r>
      <w:r w:rsidRPr="00226E1E">
        <w:rPr>
          <w:rFonts w:ascii="Book Antiqua" w:hAnsi="Book Antiqua" w:cs="宋体"/>
          <w:i/>
          <w:iCs/>
          <w:color w:val="000000"/>
          <w:kern w:val="0"/>
          <w:sz w:val="24"/>
        </w:rPr>
        <w:t>J Immunother</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36</w:t>
      </w:r>
      <w:r w:rsidRPr="00226E1E">
        <w:rPr>
          <w:rFonts w:ascii="Book Antiqua" w:hAnsi="Book Antiqua" w:cs="宋体"/>
          <w:color w:val="000000"/>
          <w:kern w:val="0"/>
          <w:sz w:val="24"/>
        </w:rPr>
        <w:t>: 287-293 [PMID: 23719239 DOI: 10.1097/CJI.0b013e3182948452]</w:t>
      </w:r>
    </w:p>
    <w:p w14:paraId="44B561B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100 </w:t>
      </w:r>
      <w:r w:rsidRPr="00226E1E">
        <w:rPr>
          <w:rFonts w:ascii="Book Antiqua" w:hAnsi="Book Antiqua" w:cs="宋体"/>
          <w:b/>
          <w:bCs/>
          <w:color w:val="000000"/>
          <w:kern w:val="0"/>
          <w:sz w:val="24"/>
        </w:rPr>
        <w:t>Pan K</w:t>
      </w:r>
      <w:r w:rsidRPr="00226E1E">
        <w:rPr>
          <w:rFonts w:ascii="Book Antiqua" w:hAnsi="Book Antiqua" w:cs="宋体"/>
          <w:color w:val="000000"/>
          <w:kern w:val="0"/>
          <w:sz w:val="24"/>
        </w:rPr>
        <w:t xml:space="preserve">, Li YQ, Wang W, Xu L, Zhang YJ, Zheng HX, Zhao JJ, Qiu HJ, Weng DS, Li JJ, Wang QJ, Huang LX, He J, Chen SP, Ke ML, Wu PH, Chen MS, Li SP, Xia JC, Zeng YX. </w:t>
      </w:r>
      <w:proofErr w:type="gramStart"/>
      <w:r w:rsidRPr="00226E1E">
        <w:rPr>
          <w:rFonts w:ascii="Book Antiqua" w:hAnsi="Book Antiqua" w:cs="宋体"/>
          <w:color w:val="000000"/>
          <w:kern w:val="0"/>
          <w:sz w:val="24"/>
        </w:rPr>
        <w:t>The efficacy of cytokine-induced killer cell infusion as an adjuvant therapy for postoperative hepatocellular carcinoma patients.</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Ann Surg Oncol</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20</w:t>
      </w:r>
      <w:r w:rsidRPr="00226E1E">
        <w:rPr>
          <w:rFonts w:ascii="Book Antiqua" w:hAnsi="Book Antiqua" w:cs="宋体"/>
          <w:color w:val="000000"/>
          <w:kern w:val="0"/>
          <w:sz w:val="24"/>
        </w:rPr>
        <w:t>: 4305-4311 [PMID: 23892527 DOI: 10.1245/s10434-013-3144-x]</w:t>
      </w:r>
    </w:p>
    <w:p w14:paraId="7D71F2EE"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101 </w:t>
      </w:r>
      <w:r w:rsidRPr="00226E1E">
        <w:rPr>
          <w:rFonts w:ascii="Book Antiqua" w:hAnsi="Book Antiqua" w:cs="宋体"/>
          <w:b/>
          <w:bCs/>
          <w:color w:val="000000"/>
          <w:kern w:val="0"/>
          <w:sz w:val="24"/>
        </w:rPr>
        <w:t>Wang FS</w:t>
      </w:r>
      <w:r w:rsidRPr="00226E1E">
        <w:rPr>
          <w:rFonts w:ascii="Book Antiqua" w:hAnsi="Book Antiqua" w:cs="宋体"/>
          <w:color w:val="000000"/>
          <w:kern w:val="0"/>
          <w:sz w:val="24"/>
        </w:rPr>
        <w:t xml:space="preserve">, Liu MX, Zhang B, Shi M, Lei ZY, Sun WB, Du QY, Chen JM. </w:t>
      </w:r>
      <w:proofErr w:type="gramStart"/>
      <w:r w:rsidRPr="00226E1E">
        <w:rPr>
          <w:rFonts w:ascii="Book Antiqua" w:hAnsi="Book Antiqua" w:cs="宋体"/>
          <w:color w:val="000000"/>
          <w:kern w:val="0"/>
          <w:sz w:val="24"/>
        </w:rPr>
        <w:t>Antitumor activities of human autologous cytokine-induced killer (CIK) cells against hepatocellular carcinoma cells in vitro and in vivo.</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World J Gastroenterol</w:t>
      </w:r>
      <w:r w:rsidRPr="00226E1E">
        <w:rPr>
          <w:rFonts w:ascii="Book Antiqua" w:hAnsi="Book Antiqua" w:cs="宋体"/>
          <w:color w:val="000000"/>
          <w:kern w:val="0"/>
          <w:sz w:val="24"/>
        </w:rPr>
        <w:t> 2002; </w:t>
      </w:r>
      <w:r w:rsidRPr="00226E1E">
        <w:rPr>
          <w:rFonts w:ascii="Book Antiqua" w:hAnsi="Book Antiqua" w:cs="宋体"/>
          <w:b/>
          <w:bCs/>
          <w:color w:val="000000"/>
          <w:kern w:val="0"/>
          <w:sz w:val="24"/>
        </w:rPr>
        <w:t>8</w:t>
      </w:r>
      <w:r w:rsidRPr="00226E1E">
        <w:rPr>
          <w:rFonts w:ascii="Book Antiqua" w:hAnsi="Book Antiqua" w:cs="宋体"/>
          <w:color w:val="000000"/>
          <w:kern w:val="0"/>
          <w:sz w:val="24"/>
        </w:rPr>
        <w:t>: 464-468 [PMID: 12046071]</w:t>
      </w:r>
    </w:p>
    <w:p w14:paraId="17818BAD"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102 </w:t>
      </w:r>
      <w:r w:rsidRPr="00226E1E">
        <w:rPr>
          <w:rFonts w:ascii="Book Antiqua" w:hAnsi="Book Antiqua" w:cs="宋体"/>
          <w:b/>
          <w:bCs/>
          <w:color w:val="000000"/>
          <w:kern w:val="0"/>
          <w:sz w:val="24"/>
        </w:rPr>
        <w:t>Ma Y</w:t>
      </w:r>
      <w:r w:rsidRPr="00226E1E">
        <w:rPr>
          <w:rFonts w:ascii="Book Antiqua" w:hAnsi="Book Antiqua" w:cs="宋体"/>
          <w:color w:val="000000"/>
          <w:kern w:val="0"/>
          <w:sz w:val="24"/>
        </w:rPr>
        <w:t>, Xu YC, Tang L, Zhang Z, Wang J, Wang HX. Cytokine-induced killer (CIK) cell therapy for patients with hepatocellular carcinoma: efficacy and safety. </w:t>
      </w:r>
      <w:r w:rsidRPr="00226E1E">
        <w:rPr>
          <w:rFonts w:ascii="Book Antiqua" w:hAnsi="Book Antiqua" w:cs="宋体"/>
          <w:i/>
          <w:iCs/>
          <w:color w:val="000000"/>
          <w:kern w:val="0"/>
          <w:sz w:val="24"/>
        </w:rPr>
        <w:t>Exp Hematol Oncol</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1</w:t>
      </w:r>
      <w:r w:rsidRPr="00226E1E">
        <w:rPr>
          <w:rFonts w:ascii="Book Antiqua" w:hAnsi="Book Antiqua" w:cs="宋体"/>
          <w:color w:val="000000"/>
          <w:kern w:val="0"/>
          <w:sz w:val="24"/>
        </w:rPr>
        <w:t>: 11 [PMID: 23210562]</w:t>
      </w:r>
    </w:p>
    <w:p w14:paraId="5FD81F0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103 </w:t>
      </w:r>
      <w:r w:rsidRPr="00226E1E">
        <w:rPr>
          <w:rFonts w:ascii="Book Antiqua" w:hAnsi="Book Antiqua" w:cs="宋体"/>
          <w:b/>
          <w:bCs/>
          <w:color w:val="000000"/>
          <w:kern w:val="0"/>
          <w:sz w:val="24"/>
        </w:rPr>
        <w:t>Li X</w:t>
      </w:r>
      <w:r w:rsidRPr="00226E1E">
        <w:rPr>
          <w:rFonts w:ascii="Book Antiqua" w:hAnsi="Book Antiqua" w:cs="宋体"/>
          <w:color w:val="000000"/>
          <w:kern w:val="0"/>
          <w:sz w:val="24"/>
        </w:rPr>
        <w:t xml:space="preserve">, Dai D, Song X, Liu J, Zhu L, Xu W. </w:t>
      </w:r>
      <w:proofErr w:type="gramStart"/>
      <w:r w:rsidRPr="00226E1E">
        <w:rPr>
          <w:rFonts w:ascii="Book Antiqua" w:hAnsi="Book Antiqua" w:cs="宋体"/>
          <w:color w:val="000000"/>
          <w:kern w:val="0"/>
          <w:sz w:val="24"/>
        </w:rPr>
        <w:t>A meta-analysis of cytokine-induced killer cells therapy in combination with minimally invasive treatment for hepatocellular carcinoma.</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Clin Res Hepatol Gastroenterol</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38</w:t>
      </w:r>
      <w:r w:rsidRPr="00226E1E">
        <w:rPr>
          <w:rFonts w:ascii="Book Antiqua" w:hAnsi="Book Antiqua" w:cs="宋体"/>
          <w:color w:val="000000"/>
          <w:kern w:val="0"/>
          <w:sz w:val="24"/>
        </w:rPr>
        <w:t>: 583-591 [PMID: 24924902 DOI: 10.1016/j.clinre.2014.04.010]</w:t>
      </w:r>
    </w:p>
    <w:p w14:paraId="012B0558"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104 </w:t>
      </w:r>
      <w:r w:rsidRPr="00226E1E">
        <w:rPr>
          <w:rFonts w:ascii="Book Antiqua" w:hAnsi="Book Antiqua" w:cs="宋体"/>
          <w:b/>
          <w:bCs/>
          <w:color w:val="000000"/>
          <w:kern w:val="0"/>
          <w:sz w:val="24"/>
        </w:rPr>
        <w:t>Jinushi M</w:t>
      </w:r>
      <w:r w:rsidRPr="00226E1E">
        <w:rPr>
          <w:rFonts w:ascii="Book Antiqua" w:hAnsi="Book Antiqua" w:cs="宋体"/>
          <w:color w:val="000000"/>
          <w:kern w:val="0"/>
          <w:sz w:val="24"/>
        </w:rPr>
        <w:t>, Takehara T, Tatsumi T, Hiramatsu N, Sakamori R, Yamaguchi S, Hayashi N. Impairment of natural killer cell and dendritic cell functions by the soluble form of MHC class I-related chain A in advanced human hepatocellular carcinomas. </w:t>
      </w:r>
      <w:r w:rsidRPr="00226E1E">
        <w:rPr>
          <w:rFonts w:ascii="Book Antiqua" w:hAnsi="Book Antiqua" w:cs="宋体"/>
          <w:i/>
          <w:iCs/>
          <w:color w:val="000000"/>
          <w:kern w:val="0"/>
          <w:sz w:val="24"/>
        </w:rPr>
        <w:t>J Hepatol</w:t>
      </w:r>
      <w:r w:rsidRPr="00226E1E">
        <w:rPr>
          <w:rFonts w:ascii="Book Antiqua" w:hAnsi="Book Antiqua" w:cs="宋体"/>
          <w:color w:val="000000"/>
          <w:kern w:val="0"/>
          <w:sz w:val="24"/>
        </w:rPr>
        <w:t> 2005; </w:t>
      </w:r>
      <w:r w:rsidRPr="00226E1E">
        <w:rPr>
          <w:rFonts w:ascii="Book Antiqua" w:hAnsi="Book Antiqua" w:cs="宋体"/>
          <w:b/>
          <w:bCs/>
          <w:color w:val="000000"/>
          <w:kern w:val="0"/>
          <w:sz w:val="24"/>
        </w:rPr>
        <w:t>43</w:t>
      </w:r>
      <w:r w:rsidRPr="00226E1E">
        <w:rPr>
          <w:rFonts w:ascii="Book Antiqua" w:hAnsi="Book Antiqua" w:cs="宋体"/>
          <w:color w:val="000000"/>
          <w:kern w:val="0"/>
          <w:sz w:val="24"/>
        </w:rPr>
        <w:t>: 1013-1020 [PMID: 16168521 DOI: 10.1016/j.jhep.2005.05.026]</w:t>
      </w:r>
    </w:p>
    <w:p w14:paraId="6A78C47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105 </w:t>
      </w:r>
      <w:r w:rsidRPr="00226E1E">
        <w:rPr>
          <w:rFonts w:ascii="Book Antiqua" w:hAnsi="Book Antiqua" w:cs="宋体"/>
          <w:b/>
          <w:bCs/>
          <w:color w:val="000000"/>
          <w:kern w:val="0"/>
          <w:sz w:val="24"/>
        </w:rPr>
        <w:t>Smyth MJ</w:t>
      </w:r>
      <w:r w:rsidRPr="00226E1E">
        <w:rPr>
          <w:rFonts w:ascii="Book Antiqua" w:hAnsi="Book Antiqua" w:cs="宋体"/>
          <w:color w:val="000000"/>
          <w:kern w:val="0"/>
          <w:sz w:val="24"/>
        </w:rPr>
        <w:t xml:space="preserve">, Hayakawa Y, Takeda K, Yagita H. </w:t>
      </w:r>
      <w:proofErr w:type="gramStart"/>
      <w:r w:rsidRPr="00226E1E">
        <w:rPr>
          <w:rFonts w:ascii="Book Antiqua" w:hAnsi="Book Antiqua" w:cs="宋体"/>
          <w:color w:val="000000"/>
          <w:kern w:val="0"/>
          <w:sz w:val="24"/>
        </w:rPr>
        <w:t>New aspects of natural-killer-cell surveillance and therapy of cancer.</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Nat Rev Cancer</w:t>
      </w:r>
      <w:r w:rsidRPr="00226E1E">
        <w:rPr>
          <w:rFonts w:ascii="Book Antiqua" w:hAnsi="Book Antiqua" w:cs="宋体"/>
          <w:color w:val="000000"/>
          <w:kern w:val="0"/>
          <w:sz w:val="24"/>
        </w:rPr>
        <w:t> 2002; </w:t>
      </w:r>
      <w:r w:rsidRPr="00226E1E">
        <w:rPr>
          <w:rFonts w:ascii="Book Antiqua" w:hAnsi="Book Antiqua" w:cs="宋体"/>
          <w:b/>
          <w:bCs/>
          <w:color w:val="000000"/>
          <w:kern w:val="0"/>
          <w:sz w:val="24"/>
        </w:rPr>
        <w:t>2</w:t>
      </w:r>
      <w:r w:rsidRPr="00226E1E">
        <w:rPr>
          <w:rFonts w:ascii="Book Antiqua" w:hAnsi="Book Antiqua" w:cs="宋体"/>
          <w:color w:val="000000"/>
          <w:kern w:val="0"/>
          <w:sz w:val="24"/>
        </w:rPr>
        <w:t>: 850-861 [PMID: 12415255 DOI: 10.1038/nrc928]</w:t>
      </w:r>
    </w:p>
    <w:p w14:paraId="36166F6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106 </w:t>
      </w:r>
      <w:r w:rsidRPr="00226E1E">
        <w:rPr>
          <w:rFonts w:ascii="Book Antiqua" w:hAnsi="Book Antiqua" w:cs="宋体"/>
          <w:b/>
          <w:bCs/>
          <w:color w:val="000000"/>
          <w:kern w:val="0"/>
          <w:sz w:val="24"/>
        </w:rPr>
        <w:t>Ishiyama K</w:t>
      </w:r>
      <w:r w:rsidRPr="00226E1E">
        <w:rPr>
          <w:rFonts w:ascii="Book Antiqua" w:hAnsi="Book Antiqua" w:cs="宋体"/>
          <w:color w:val="000000"/>
          <w:kern w:val="0"/>
          <w:sz w:val="24"/>
        </w:rPr>
        <w:t>, Ohdan H, Ohira M, Mitsuta H, Arihiro K, Asahara T. Difference in cytotoxicity against hepatocellular carcinoma between liver and periphery natural killer cells in humans.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43</w:t>
      </w:r>
      <w:r w:rsidRPr="00226E1E">
        <w:rPr>
          <w:rFonts w:ascii="Book Antiqua" w:hAnsi="Book Antiqua" w:cs="宋体"/>
          <w:color w:val="000000"/>
          <w:kern w:val="0"/>
          <w:sz w:val="24"/>
        </w:rPr>
        <w:t>: 362-372 [PMID: 16440347 DOI: 10.1002/hep.21035]</w:t>
      </w:r>
    </w:p>
    <w:p w14:paraId="15BCF47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107 </w:t>
      </w:r>
      <w:r w:rsidRPr="00226E1E">
        <w:rPr>
          <w:rFonts w:ascii="Book Antiqua" w:hAnsi="Book Antiqua" w:cs="宋体"/>
          <w:b/>
          <w:bCs/>
          <w:color w:val="000000"/>
          <w:kern w:val="0"/>
          <w:sz w:val="24"/>
        </w:rPr>
        <w:t>Cai L</w:t>
      </w:r>
      <w:r w:rsidRPr="00226E1E">
        <w:rPr>
          <w:rFonts w:ascii="Book Antiqua" w:hAnsi="Book Antiqua" w:cs="宋体"/>
          <w:color w:val="000000"/>
          <w:kern w:val="0"/>
          <w:sz w:val="24"/>
        </w:rPr>
        <w:t xml:space="preserve">, Zhang Z, Zhou L, Wang H, Fu J, Zhang S, Shi M, Zhang H, Yang Y, Wu H, Tien P, Wang FS. </w:t>
      </w:r>
      <w:proofErr w:type="gramStart"/>
      <w:r w:rsidRPr="00226E1E">
        <w:rPr>
          <w:rFonts w:ascii="Book Antiqua" w:hAnsi="Book Antiqua" w:cs="宋体"/>
          <w:color w:val="000000"/>
          <w:kern w:val="0"/>
          <w:sz w:val="24"/>
        </w:rPr>
        <w:t>Functional impairment in circulating and intrahepatic NK cells and relative mechanism in hepatocellular carcinoma patients.</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Clin Immunol</w:t>
      </w:r>
      <w:r w:rsidRPr="00226E1E">
        <w:rPr>
          <w:rFonts w:ascii="Book Antiqua" w:hAnsi="Book Antiqua" w:cs="宋体"/>
          <w:color w:val="000000"/>
          <w:kern w:val="0"/>
          <w:sz w:val="24"/>
        </w:rPr>
        <w:t> 2008; </w:t>
      </w:r>
      <w:r w:rsidRPr="00226E1E">
        <w:rPr>
          <w:rFonts w:ascii="Book Antiqua" w:hAnsi="Book Antiqua" w:cs="宋体"/>
          <w:b/>
          <w:bCs/>
          <w:color w:val="000000"/>
          <w:kern w:val="0"/>
          <w:sz w:val="24"/>
        </w:rPr>
        <w:t>129</w:t>
      </w:r>
      <w:r w:rsidRPr="00226E1E">
        <w:rPr>
          <w:rFonts w:ascii="Book Antiqua" w:hAnsi="Book Antiqua" w:cs="宋体"/>
          <w:color w:val="000000"/>
          <w:kern w:val="0"/>
          <w:sz w:val="24"/>
        </w:rPr>
        <w:t>: 428-437 [PMID: 18824414 DOI: 10.1016/j.clim.2008.08.012]</w:t>
      </w:r>
    </w:p>
    <w:p w14:paraId="0CFAA96F"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108 </w:t>
      </w:r>
      <w:r w:rsidRPr="00226E1E">
        <w:rPr>
          <w:rFonts w:ascii="Book Antiqua" w:hAnsi="Book Antiqua" w:cs="宋体"/>
          <w:b/>
          <w:bCs/>
          <w:color w:val="000000"/>
          <w:kern w:val="0"/>
          <w:sz w:val="24"/>
        </w:rPr>
        <w:t>Hoechst B</w:t>
      </w:r>
      <w:r w:rsidRPr="00226E1E">
        <w:rPr>
          <w:rFonts w:ascii="Book Antiqua" w:hAnsi="Book Antiqua" w:cs="宋体"/>
          <w:color w:val="000000"/>
          <w:kern w:val="0"/>
          <w:sz w:val="24"/>
        </w:rPr>
        <w:t>, Voigtlaender T, Ormandy L, Gamrekelashvili J, Zhao F, Wedemeyer H, Lehner F, Manns MP, Greten TF, Korangy F. Myeloid derived suppressor cells inhibit natural killer cells in patients with hepatocellular carcinoma via the NKp30 receptor. </w:t>
      </w:r>
      <w:r w:rsidRPr="00226E1E">
        <w:rPr>
          <w:rFonts w:ascii="Book Antiqua" w:hAnsi="Book Antiqua" w:cs="宋体"/>
          <w:i/>
          <w:iCs/>
          <w:color w:val="000000"/>
          <w:kern w:val="0"/>
          <w:sz w:val="24"/>
        </w:rPr>
        <w:t>Hepatology</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50</w:t>
      </w:r>
      <w:r w:rsidRPr="00226E1E">
        <w:rPr>
          <w:rFonts w:ascii="Book Antiqua" w:hAnsi="Book Antiqua" w:cs="宋体"/>
          <w:color w:val="000000"/>
          <w:kern w:val="0"/>
          <w:sz w:val="24"/>
        </w:rPr>
        <w:t>: 799-807 [PMID: 19551844 DOI: 10.1002/hep.23054]</w:t>
      </w:r>
    </w:p>
    <w:p w14:paraId="0742D002"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109 </w:t>
      </w:r>
      <w:r w:rsidRPr="00226E1E">
        <w:rPr>
          <w:rFonts w:ascii="Book Antiqua" w:hAnsi="Book Antiqua" w:cs="宋体"/>
          <w:b/>
          <w:bCs/>
          <w:color w:val="000000"/>
          <w:kern w:val="0"/>
          <w:sz w:val="24"/>
        </w:rPr>
        <w:t>Subleski JJ</w:t>
      </w:r>
      <w:r w:rsidRPr="00226E1E">
        <w:rPr>
          <w:rFonts w:ascii="Book Antiqua" w:hAnsi="Book Antiqua" w:cs="宋体"/>
          <w:color w:val="000000"/>
          <w:kern w:val="0"/>
          <w:sz w:val="24"/>
        </w:rPr>
        <w:t>, Hall VL, Back TC, Ortaldo JR, Wiltrout RH. Enhanced antitumor response by divergent modulation of natural killer and natural killer T cells in the liver. </w:t>
      </w:r>
      <w:r w:rsidRPr="00226E1E">
        <w:rPr>
          <w:rFonts w:ascii="Book Antiqua" w:hAnsi="Book Antiqua" w:cs="宋体"/>
          <w:i/>
          <w:iCs/>
          <w:color w:val="000000"/>
          <w:kern w:val="0"/>
          <w:sz w:val="24"/>
        </w:rPr>
        <w:t>Cancer Res</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66</w:t>
      </w:r>
      <w:r w:rsidRPr="00226E1E">
        <w:rPr>
          <w:rFonts w:ascii="Book Antiqua" w:hAnsi="Book Antiqua" w:cs="宋体"/>
          <w:color w:val="000000"/>
          <w:kern w:val="0"/>
          <w:sz w:val="24"/>
        </w:rPr>
        <w:t>: 11005-11012 [PMID: 17108139 DOI: 10.1158/0008-5472.CAN-06-0811]</w:t>
      </w:r>
    </w:p>
    <w:p w14:paraId="2932978C"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110 </w:t>
      </w:r>
      <w:r w:rsidRPr="00226E1E">
        <w:rPr>
          <w:rFonts w:ascii="Book Antiqua" w:hAnsi="Book Antiqua" w:cs="宋体"/>
          <w:b/>
          <w:bCs/>
          <w:color w:val="000000"/>
          <w:kern w:val="0"/>
          <w:sz w:val="24"/>
        </w:rPr>
        <w:t>Tsuchiyama T</w:t>
      </w:r>
      <w:r w:rsidRPr="00226E1E">
        <w:rPr>
          <w:rFonts w:ascii="Book Antiqua" w:hAnsi="Book Antiqua" w:cs="宋体"/>
          <w:color w:val="000000"/>
          <w:kern w:val="0"/>
          <w:sz w:val="24"/>
        </w:rPr>
        <w:t>, Nakamoto Y, Sakai Y, Marukawa Y, Kitahara M, Mukaida N, Kaneko S. Prolonged, NK cell-mediated antitumor effects of suicide gene therapy combined with monocyte chemoattractant protein-1 against hepatocellular carcinoma. </w:t>
      </w:r>
      <w:r w:rsidRPr="00226E1E">
        <w:rPr>
          <w:rFonts w:ascii="Book Antiqua" w:hAnsi="Book Antiqua" w:cs="宋体"/>
          <w:i/>
          <w:iCs/>
          <w:color w:val="000000"/>
          <w:kern w:val="0"/>
          <w:sz w:val="24"/>
        </w:rPr>
        <w:t>J Immunol</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178</w:t>
      </w:r>
      <w:r w:rsidRPr="00226E1E">
        <w:rPr>
          <w:rFonts w:ascii="Book Antiqua" w:hAnsi="Book Antiqua" w:cs="宋体"/>
          <w:color w:val="000000"/>
          <w:kern w:val="0"/>
          <w:sz w:val="24"/>
        </w:rPr>
        <w:t>: 574-583 [PMID: 17182598]</w:t>
      </w:r>
    </w:p>
    <w:p w14:paraId="14EC9FE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111 </w:t>
      </w:r>
      <w:r w:rsidRPr="00226E1E">
        <w:rPr>
          <w:rFonts w:ascii="Book Antiqua" w:hAnsi="Book Antiqua" w:cs="宋体"/>
          <w:b/>
          <w:bCs/>
          <w:color w:val="000000"/>
          <w:kern w:val="0"/>
          <w:sz w:val="24"/>
        </w:rPr>
        <w:t>Zerbini A</w:t>
      </w:r>
      <w:r w:rsidRPr="00226E1E">
        <w:rPr>
          <w:rFonts w:ascii="Book Antiqua" w:hAnsi="Book Antiqua" w:cs="宋体"/>
          <w:color w:val="000000"/>
          <w:kern w:val="0"/>
          <w:sz w:val="24"/>
        </w:rPr>
        <w:t>, Pilli M, Laccabue D, Pelosi G, Molinari A, Negri E, Cerioni S, Fagnoni F, Soliani P, Ferrari C, Missale G. Radiofrequency thermal ablation for hepatocellular carcinoma stimulates autologous NK-cell response. </w:t>
      </w:r>
      <w:r w:rsidRPr="00226E1E">
        <w:rPr>
          <w:rFonts w:ascii="Book Antiqua" w:hAnsi="Book Antiqua" w:cs="宋体"/>
          <w:i/>
          <w:iCs/>
          <w:color w:val="000000"/>
          <w:kern w:val="0"/>
          <w:sz w:val="24"/>
        </w:rPr>
        <w:t>Gastroenterology</w:t>
      </w:r>
      <w:r w:rsidRPr="00226E1E">
        <w:rPr>
          <w:rFonts w:ascii="Book Antiqua" w:hAnsi="Book Antiqua" w:cs="宋体"/>
          <w:color w:val="000000"/>
          <w:kern w:val="0"/>
          <w:sz w:val="24"/>
        </w:rPr>
        <w:t> 2010; </w:t>
      </w:r>
      <w:r w:rsidRPr="00226E1E">
        <w:rPr>
          <w:rFonts w:ascii="Book Antiqua" w:hAnsi="Book Antiqua" w:cs="宋体"/>
          <w:b/>
          <w:bCs/>
          <w:color w:val="000000"/>
          <w:kern w:val="0"/>
          <w:sz w:val="24"/>
        </w:rPr>
        <w:t>138</w:t>
      </w:r>
      <w:r w:rsidRPr="00226E1E">
        <w:rPr>
          <w:rFonts w:ascii="Book Antiqua" w:hAnsi="Book Antiqua" w:cs="宋体"/>
          <w:color w:val="000000"/>
          <w:kern w:val="0"/>
          <w:sz w:val="24"/>
        </w:rPr>
        <w:t>: 1931-1942 [PMID: 20060829 DOI: 10.1053/j.gastro.2009.12.051]</w:t>
      </w:r>
    </w:p>
    <w:p w14:paraId="54BEB2FC"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112 </w:t>
      </w:r>
      <w:r w:rsidRPr="00226E1E">
        <w:rPr>
          <w:rFonts w:ascii="Book Antiqua" w:hAnsi="Book Antiqua" w:cs="宋体"/>
          <w:b/>
          <w:bCs/>
          <w:color w:val="000000"/>
          <w:kern w:val="0"/>
          <w:sz w:val="24"/>
        </w:rPr>
        <w:t>Bendelac A</w:t>
      </w:r>
      <w:r w:rsidRPr="00226E1E">
        <w:rPr>
          <w:rFonts w:ascii="Book Antiqua" w:hAnsi="Book Antiqua" w:cs="宋体"/>
          <w:color w:val="000000"/>
          <w:kern w:val="0"/>
          <w:sz w:val="24"/>
        </w:rPr>
        <w:t xml:space="preserve">, Savage PB, Teyton L. </w:t>
      </w:r>
      <w:proofErr w:type="gramStart"/>
      <w:r w:rsidRPr="00226E1E">
        <w:rPr>
          <w:rFonts w:ascii="Book Antiqua" w:hAnsi="Book Antiqua" w:cs="宋体"/>
          <w:color w:val="000000"/>
          <w:kern w:val="0"/>
          <w:sz w:val="24"/>
        </w:rPr>
        <w:t>The biology of NKT cells.</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Annu Rev Immunol</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25</w:t>
      </w:r>
      <w:r w:rsidRPr="00226E1E">
        <w:rPr>
          <w:rFonts w:ascii="Book Antiqua" w:hAnsi="Book Antiqua" w:cs="宋体"/>
          <w:color w:val="000000"/>
          <w:kern w:val="0"/>
          <w:sz w:val="24"/>
        </w:rPr>
        <w:t>: 297-336 [PMID: 17150027 DOI: 10.1146/annurev.immunol.25.022106.141711]</w:t>
      </w:r>
    </w:p>
    <w:p w14:paraId="32E5607D"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113 </w:t>
      </w:r>
      <w:r w:rsidRPr="00226E1E">
        <w:rPr>
          <w:rFonts w:ascii="Book Antiqua" w:hAnsi="Book Antiqua" w:cs="宋体"/>
          <w:b/>
          <w:bCs/>
          <w:color w:val="000000"/>
          <w:kern w:val="0"/>
          <w:sz w:val="24"/>
        </w:rPr>
        <w:t>Kenna T</w:t>
      </w:r>
      <w:r w:rsidRPr="00226E1E">
        <w:rPr>
          <w:rFonts w:ascii="Book Antiqua" w:hAnsi="Book Antiqua" w:cs="宋体"/>
          <w:color w:val="000000"/>
          <w:kern w:val="0"/>
          <w:sz w:val="24"/>
        </w:rPr>
        <w:t>, Golden-Mason L, Porcelli SA, Koezuka Y, Hegarty JE, O'Farrelly C, Doherty DG. NKT cells from normal and tumor-bearing human livers are phenotypically and functionally distinct from murine NKT cells. </w:t>
      </w:r>
      <w:r w:rsidRPr="00226E1E">
        <w:rPr>
          <w:rFonts w:ascii="Book Antiqua" w:hAnsi="Book Antiqua" w:cs="宋体"/>
          <w:i/>
          <w:iCs/>
          <w:color w:val="000000"/>
          <w:kern w:val="0"/>
          <w:sz w:val="24"/>
        </w:rPr>
        <w:t>J Immunol</w:t>
      </w:r>
      <w:r w:rsidRPr="00226E1E">
        <w:rPr>
          <w:rFonts w:ascii="Book Antiqua" w:hAnsi="Book Antiqua" w:cs="宋体"/>
          <w:color w:val="000000"/>
          <w:kern w:val="0"/>
          <w:sz w:val="24"/>
        </w:rPr>
        <w:t> 2003; </w:t>
      </w:r>
      <w:r w:rsidRPr="00226E1E">
        <w:rPr>
          <w:rFonts w:ascii="Book Antiqua" w:hAnsi="Book Antiqua" w:cs="宋体"/>
          <w:b/>
          <w:bCs/>
          <w:color w:val="000000"/>
          <w:kern w:val="0"/>
          <w:sz w:val="24"/>
        </w:rPr>
        <w:t>171</w:t>
      </w:r>
      <w:r w:rsidRPr="00226E1E">
        <w:rPr>
          <w:rFonts w:ascii="Book Antiqua" w:hAnsi="Book Antiqua" w:cs="宋体"/>
          <w:color w:val="000000"/>
          <w:kern w:val="0"/>
          <w:sz w:val="24"/>
        </w:rPr>
        <w:t>: 1775-1779 [PMID: 12902477 DOI: 10.4049/jimmunol.171.4.1775]</w:t>
      </w:r>
    </w:p>
    <w:p w14:paraId="24B36751"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114 </w:t>
      </w:r>
      <w:r w:rsidRPr="00226E1E">
        <w:rPr>
          <w:rFonts w:ascii="Book Antiqua" w:hAnsi="Book Antiqua" w:cs="宋体"/>
          <w:b/>
          <w:bCs/>
          <w:color w:val="000000"/>
          <w:kern w:val="0"/>
          <w:sz w:val="24"/>
        </w:rPr>
        <w:t>Berzofsky JA</w:t>
      </w:r>
      <w:r w:rsidRPr="00226E1E">
        <w:rPr>
          <w:rFonts w:ascii="Book Antiqua" w:hAnsi="Book Antiqua" w:cs="宋体"/>
          <w:color w:val="000000"/>
          <w:kern w:val="0"/>
          <w:sz w:val="24"/>
        </w:rPr>
        <w:t>, Terabe M. NKT cells in tumor immunity: opposing subsets define a new immunoregulatory axis. </w:t>
      </w:r>
      <w:r w:rsidRPr="00226E1E">
        <w:rPr>
          <w:rFonts w:ascii="Book Antiqua" w:hAnsi="Book Antiqua" w:cs="宋体"/>
          <w:i/>
          <w:iCs/>
          <w:color w:val="000000"/>
          <w:kern w:val="0"/>
          <w:sz w:val="24"/>
        </w:rPr>
        <w:t>J Immunol</w:t>
      </w:r>
      <w:r w:rsidRPr="00226E1E">
        <w:rPr>
          <w:rFonts w:ascii="Book Antiqua" w:hAnsi="Book Antiqua" w:cs="宋体"/>
          <w:color w:val="000000"/>
          <w:kern w:val="0"/>
          <w:sz w:val="24"/>
        </w:rPr>
        <w:t> 2008; </w:t>
      </w:r>
      <w:r w:rsidRPr="00226E1E">
        <w:rPr>
          <w:rFonts w:ascii="Book Antiqua" w:hAnsi="Book Antiqua" w:cs="宋体"/>
          <w:b/>
          <w:bCs/>
          <w:color w:val="000000"/>
          <w:kern w:val="0"/>
          <w:sz w:val="24"/>
        </w:rPr>
        <w:t>180</w:t>
      </w:r>
      <w:r w:rsidRPr="00226E1E">
        <w:rPr>
          <w:rFonts w:ascii="Book Antiqua" w:hAnsi="Book Antiqua" w:cs="宋体"/>
          <w:color w:val="000000"/>
          <w:kern w:val="0"/>
          <w:sz w:val="24"/>
        </w:rPr>
        <w:t>: 3627-3635 [PMID: 18322166 DOI: 10.4049/jimmunol.180.6.3627]</w:t>
      </w:r>
    </w:p>
    <w:p w14:paraId="118F41FB"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115 </w:t>
      </w:r>
      <w:r w:rsidRPr="00226E1E">
        <w:rPr>
          <w:rFonts w:ascii="Book Antiqua" w:hAnsi="Book Antiqua" w:cs="宋体"/>
          <w:b/>
          <w:bCs/>
          <w:color w:val="000000"/>
          <w:kern w:val="0"/>
          <w:sz w:val="24"/>
        </w:rPr>
        <w:t>Smyth MJ</w:t>
      </w:r>
      <w:r w:rsidRPr="00226E1E">
        <w:rPr>
          <w:rFonts w:ascii="Book Antiqua" w:hAnsi="Book Antiqua" w:cs="宋体"/>
          <w:color w:val="000000"/>
          <w:kern w:val="0"/>
          <w:sz w:val="24"/>
        </w:rPr>
        <w:t>, Crowe NY, Hayakawa Y, Takeda K, Yagita H, Godfrey DI. NKT cells - conductors of tumor immunity? </w:t>
      </w:r>
      <w:r w:rsidRPr="00226E1E">
        <w:rPr>
          <w:rFonts w:ascii="Book Antiqua" w:hAnsi="Book Antiqua" w:cs="宋体"/>
          <w:i/>
          <w:iCs/>
          <w:color w:val="000000"/>
          <w:kern w:val="0"/>
          <w:sz w:val="24"/>
        </w:rPr>
        <w:t>Curr Opin Immunol</w:t>
      </w:r>
      <w:r w:rsidRPr="00226E1E">
        <w:rPr>
          <w:rFonts w:ascii="Book Antiqua" w:hAnsi="Book Antiqua" w:cs="宋体"/>
          <w:color w:val="000000"/>
          <w:kern w:val="0"/>
          <w:sz w:val="24"/>
        </w:rPr>
        <w:t> 2002; </w:t>
      </w:r>
      <w:r w:rsidRPr="00226E1E">
        <w:rPr>
          <w:rFonts w:ascii="Book Antiqua" w:hAnsi="Book Antiqua" w:cs="宋体"/>
          <w:b/>
          <w:bCs/>
          <w:color w:val="000000"/>
          <w:kern w:val="0"/>
          <w:sz w:val="24"/>
        </w:rPr>
        <w:t>14</w:t>
      </w:r>
      <w:r w:rsidRPr="00226E1E">
        <w:rPr>
          <w:rFonts w:ascii="Book Antiqua" w:hAnsi="Book Antiqua" w:cs="宋体"/>
          <w:color w:val="000000"/>
          <w:kern w:val="0"/>
          <w:sz w:val="24"/>
        </w:rPr>
        <w:t>: 165-171 [PMID: 11869887 DOI: 10.1016/S0952-7915(02)00316-3]</w:t>
      </w:r>
    </w:p>
    <w:p w14:paraId="3FE2EC7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116 </w:t>
      </w:r>
      <w:r w:rsidRPr="00226E1E">
        <w:rPr>
          <w:rFonts w:ascii="Book Antiqua" w:hAnsi="Book Antiqua" w:cs="宋体"/>
          <w:b/>
          <w:bCs/>
          <w:color w:val="000000"/>
          <w:kern w:val="0"/>
          <w:sz w:val="24"/>
        </w:rPr>
        <w:t>Godfrey DI</w:t>
      </w:r>
      <w:r w:rsidRPr="00226E1E">
        <w:rPr>
          <w:rFonts w:ascii="Book Antiqua" w:hAnsi="Book Antiqua" w:cs="宋体"/>
          <w:color w:val="000000"/>
          <w:kern w:val="0"/>
          <w:sz w:val="24"/>
        </w:rPr>
        <w:t>, MacDonald HR, Kronenberg M, Smyth MJ, Van Kaer L. NKT cells: what's in a name? </w:t>
      </w:r>
      <w:r w:rsidRPr="00226E1E">
        <w:rPr>
          <w:rFonts w:ascii="Book Antiqua" w:hAnsi="Book Antiqua" w:cs="宋体"/>
          <w:i/>
          <w:iCs/>
          <w:color w:val="000000"/>
          <w:kern w:val="0"/>
          <w:sz w:val="24"/>
        </w:rPr>
        <w:t>Nat Rev Immunol</w:t>
      </w:r>
      <w:r w:rsidRPr="00226E1E">
        <w:rPr>
          <w:rFonts w:ascii="Book Antiqua" w:hAnsi="Book Antiqua" w:cs="宋体"/>
          <w:color w:val="000000"/>
          <w:kern w:val="0"/>
          <w:sz w:val="24"/>
        </w:rPr>
        <w:t> 2004; </w:t>
      </w:r>
      <w:r w:rsidRPr="00226E1E">
        <w:rPr>
          <w:rFonts w:ascii="Book Antiqua" w:hAnsi="Book Antiqua" w:cs="宋体"/>
          <w:b/>
          <w:bCs/>
          <w:color w:val="000000"/>
          <w:kern w:val="0"/>
          <w:sz w:val="24"/>
        </w:rPr>
        <w:t>4</w:t>
      </w:r>
      <w:r w:rsidRPr="00226E1E">
        <w:rPr>
          <w:rFonts w:ascii="Book Antiqua" w:hAnsi="Book Antiqua" w:cs="宋体"/>
          <w:color w:val="000000"/>
          <w:kern w:val="0"/>
          <w:sz w:val="24"/>
        </w:rPr>
        <w:t>: 231-237 [PMID: 15039760 DOI: 10.1038/nri1309]</w:t>
      </w:r>
    </w:p>
    <w:p w14:paraId="7F964022" w14:textId="77777777"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117 </w:t>
      </w:r>
      <w:r w:rsidRPr="00226E1E">
        <w:rPr>
          <w:rFonts w:ascii="Book Antiqua" w:hAnsi="Book Antiqua" w:cs="宋体"/>
          <w:b/>
          <w:bCs/>
          <w:color w:val="000000"/>
          <w:kern w:val="0"/>
          <w:sz w:val="24"/>
        </w:rPr>
        <w:t>Sadelain M</w:t>
      </w:r>
      <w:r w:rsidRPr="00226E1E">
        <w:rPr>
          <w:rFonts w:ascii="Book Antiqua" w:hAnsi="Book Antiqua" w:cs="宋体"/>
          <w:color w:val="000000"/>
          <w:kern w:val="0"/>
          <w:sz w:val="24"/>
        </w:rPr>
        <w:t>, Brentjens R, Rivière I.</w:t>
      </w:r>
      <w:proofErr w:type="gramEnd"/>
      <w:r w:rsidRPr="00226E1E">
        <w:rPr>
          <w:rFonts w:ascii="Book Antiqua" w:hAnsi="Book Antiqua" w:cs="宋体"/>
          <w:color w:val="000000"/>
          <w:kern w:val="0"/>
          <w:sz w:val="24"/>
        </w:rPr>
        <w:t xml:space="preserve"> </w:t>
      </w:r>
      <w:proofErr w:type="gramStart"/>
      <w:r w:rsidRPr="00226E1E">
        <w:rPr>
          <w:rFonts w:ascii="Book Antiqua" w:hAnsi="Book Antiqua" w:cs="宋体"/>
          <w:color w:val="000000"/>
          <w:kern w:val="0"/>
          <w:sz w:val="24"/>
        </w:rPr>
        <w:t>The promise and potential pitfalls of chimeric antigen receptors.</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Curr Opin Immunol</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21</w:t>
      </w:r>
      <w:r w:rsidRPr="00226E1E">
        <w:rPr>
          <w:rFonts w:ascii="Book Antiqua" w:hAnsi="Book Antiqua" w:cs="宋体"/>
          <w:color w:val="000000"/>
          <w:kern w:val="0"/>
          <w:sz w:val="24"/>
        </w:rPr>
        <w:t>: 215-223 [PMID: 19327974 DOI: 10.1016/j.coi.2009.02.009]</w:t>
      </w:r>
    </w:p>
    <w:p w14:paraId="42274D51"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118 </w:t>
      </w:r>
      <w:r w:rsidRPr="00226E1E">
        <w:rPr>
          <w:rFonts w:ascii="Book Antiqua" w:hAnsi="Book Antiqua" w:cs="宋体"/>
          <w:b/>
          <w:bCs/>
          <w:color w:val="000000"/>
          <w:kern w:val="0"/>
          <w:sz w:val="24"/>
        </w:rPr>
        <w:t>Gilham DE</w:t>
      </w:r>
      <w:r w:rsidRPr="00226E1E">
        <w:rPr>
          <w:rFonts w:ascii="Book Antiqua" w:hAnsi="Book Antiqua" w:cs="宋体"/>
          <w:color w:val="000000"/>
          <w:kern w:val="0"/>
          <w:sz w:val="24"/>
        </w:rPr>
        <w:t>, Debets R, Pule M, Hawkins RE, Abken H. CAR-T cells and solid tumors: tuning T cells to challenge an inveterate foe. </w:t>
      </w:r>
      <w:r w:rsidRPr="00226E1E">
        <w:rPr>
          <w:rFonts w:ascii="Book Antiqua" w:hAnsi="Book Antiqua" w:cs="宋体"/>
          <w:i/>
          <w:iCs/>
          <w:color w:val="000000"/>
          <w:kern w:val="0"/>
          <w:sz w:val="24"/>
        </w:rPr>
        <w:t>Trends Mol Med</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18</w:t>
      </w:r>
      <w:r w:rsidRPr="00226E1E">
        <w:rPr>
          <w:rFonts w:ascii="Book Antiqua" w:hAnsi="Book Antiqua" w:cs="宋体"/>
          <w:color w:val="000000"/>
          <w:kern w:val="0"/>
          <w:sz w:val="24"/>
        </w:rPr>
        <w:t>: 377-384 [PMID: 22613370 DOI: 10.1016/j.molmed.2012.04.009]</w:t>
      </w:r>
    </w:p>
    <w:p w14:paraId="78CDE4B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119 </w:t>
      </w:r>
      <w:r w:rsidRPr="00226E1E">
        <w:rPr>
          <w:rFonts w:ascii="Book Antiqua" w:hAnsi="Book Antiqua" w:cs="宋体"/>
          <w:b/>
          <w:bCs/>
          <w:color w:val="000000"/>
          <w:kern w:val="0"/>
          <w:sz w:val="24"/>
        </w:rPr>
        <w:t>Curran KJ</w:t>
      </w:r>
      <w:r w:rsidRPr="00226E1E">
        <w:rPr>
          <w:rFonts w:ascii="Book Antiqua" w:hAnsi="Book Antiqua" w:cs="宋体"/>
          <w:color w:val="000000"/>
          <w:kern w:val="0"/>
          <w:sz w:val="24"/>
        </w:rPr>
        <w:t>, Pegram HJ, Brentjens RJ. Chimeric antigen receptors for T cell immunotherapy: current understanding and future directions. </w:t>
      </w:r>
      <w:r w:rsidRPr="00226E1E">
        <w:rPr>
          <w:rFonts w:ascii="Book Antiqua" w:hAnsi="Book Antiqua" w:cs="宋体"/>
          <w:i/>
          <w:iCs/>
          <w:color w:val="000000"/>
          <w:kern w:val="0"/>
          <w:sz w:val="24"/>
        </w:rPr>
        <w:t>J Gene Med</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14</w:t>
      </w:r>
      <w:r w:rsidRPr="00226E1E">
        <w:rPr>
          <w:rFonts w:ascii="Book Antiqua" w:hAnsi="Book Antiqua" w:cs="宋体"/>
          <w:color w:val="000000"/>
          <w:kern w:val="0"/>
          <w:sz w:val="24"/>
        </w:rPr>
        <w:t>: 405-415 [PMID: 22262649 DOI: 10.1002/jgm.2604]</w:t>
      </w:r>
    </w:p>
    <w:p w14:paraId="0DCCBEA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120 </w:t>
      </w:r>
      <w:r w:rsidRPr="00226E1E">
        <w:rPr>
          <w:rFonts w:ascii="Book Antiqua" w:hAnsi="Book Antiqua" w:cs="宋体"/>
          <w:b/>
          <w:bCs/>
          <w:color w:val="000000"/>
          <w:kern w:val="0"/>
          <w:sz w:val="24"/>
        </w:rPr>
        <w:t>Lipowska-Bhalla G</w:t>
      </w:r>
      <w:r w:rsidRPr="00226E1E">
        <w:rPr>
          <w:rFonts w:ascii="Book Antiqua" w:hAnsi="Book Antiqua" w:cs="宋体"/>
          <w:color w:val="000000"/>
          <w:kern w:val="0"/>
          <w:sz w:val="24"/>
        </w:rPr>
        <w:t>, Gilham DE, Hawkins RE, Rothwell DG. Targeted immunotherapy of cancer with CAR T cells: achievements and challenges. </w:t>
      </w:r>
      <w:r w:rsidRPr="00226E1E">
        <w:rPr>
          <w:rFonts w:ascii="Book Antiqua" w:hAnsi="Book Antiqua" w:cs="宋体"/>
          <w:i/>
          <w:iCs/>
          <w:color w:val="000000"/>
          <w:kern w:val="0"/>
          <w:sz w:val="24"/>
        </w:rPr>
        <w:t>Cancer Immunol Immunother</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61</w:t>
      </w:r>
      <w:r w:rsidRPr="00226E1E">
        <w:rPr>
          <w:rFonts w:ascii="Book Antiqua" w:hAnsi="Book Antiqua" w:cs="宋体"/>
          <w:color w:val="000000"/>
          <w:kern w:val="0"/>
          <w:sz w:val="24"/>
        </w:rPr>
        <w:t>: 953-962 [PMID: 22527245 DOI: 10.1007/s00262-012-1254-0]</w:t>
      </w:r>
    </w:p>
    <w:p w14:paraId="02BA51D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121 </w:t>
      </w:r>
      <w:r w:rsidRPr="00226E1E">
        <w:rPr>
          <w:rFonts w:ascii="Book Antiqua" w:hAnsi="Book Antiqua" w:cs="宋体"/>
          <w:b/>
          <w:bCs/>
          <w:color w:val="000000"/>
          <w:kern w:val="0"/>
          <w:sz w:val="24"/>
        </w:rPr>
        <w:t>Dotti G</w:t>
      </w:r>
      <w:r w:rsidRPr="00226E1E">
        <w:rPr>
          <w:rFonts w:ascii="Book Antiqua" w:hAnsi="Book Antiqua" w:cs="宋体"/>
          <w:color w:val="000000"/>
          <w:kern w:val="0"/>
          <w:sz w:val="24"/>
        </w:rPr>
        <w:t>, Savoldo B, Brenner M. Fifteen years of gene therapy based on chimeric antigen receptors: "are we nearly there yet?</w:t>
      </w:r>
      <w:proofErr w:type="gramStart"/>
      <w:r w:rsidRPr="00226E1E">
        <w:rPr>
          <w:rFonts w:ascii="Book Antiqua" w:hAnsi="Book Antiqua" w:cs="宋体"/>
          <w:color w:val="000000"/>
          <w:kern w:val="0"/>
          <w:sz w:val="24"/>
        </w:rPr>
        <w:t>".</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Hum Gene Ther</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20</w:t>
      </w:r>
      <w:r w:rsidRPr="00226E1E">
        <w:rPr>
          <w:rFonts w:ascii="Book Antiqua" w:hAnsi="Book Antiqua" w:cs="宋体"/>
          <w:color w:val="000000"/>
          <w:kern w:val="0"/>
          <w:sz w:val="24"/>
        </w:rPr>
        <w:t>: 1229-1239 [PMID: 19702437 DOI: 10.1089/hum.2009.142]</w:t>
      </w:r>
    </w:p>
    <w:p w14:paraId="40E2DB7B" w14:textId="195B2E8F"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122 </w:t>
      </w:r>
      <w:r w:rsidRPr="00226E1E">
        <w:rPr>
          <w:rFonts w:ascii="Book Antiqua" w:hAnsi="Book Antiqua" w:cs="宋体"/>
          <w:b/>
          <w:bCs/>
          <w:color w:val="000000"/>
          <w:kern w:val="0"/>
          <w:sz w:val="24"/>
        </w:rPr>
        <w:t>Savoldo B</w:t>
      </w:r>
      <w:r w:rsidRPr="00226E1E">
        <w:rPr>
          <w:rFonts w:ascii="Book Antiqua" w:hAnsi="Book Antiqua" w:cs="宋体"/>
          <w:color w:val="000000"/>
          <w:kern w:val="0"/>
          <w:sz w:val="24"/>
        </w:rPr>
        <w:t>, Ramos CA, Liu E, Mims MP, Keating MJ, Carrum G, Kamble RT, Bollard CM, Gee AP, Mei Z, Liu H, Grilley B, Rooney CM, Heslop HE, Brenner MK, Dotti G. CD28 costimulation improves expansion and persistence of chimeric antigen receptor-modified T cells in lymphoma patients. </w:t>
      </w:r>
      <w:r w:rsidRPr="00226E1E">
        <w:rPr>
          <w:rFonts w:ascii="Book Antiqua" w:hAnsi="Book Antiqua" w:cs="宋体"/>
          <w:i/>
          <w:iCs/>
          <w:color w:val="000000"/>
          <w:kern w:val="0"/>
          <w:sz w:val="24"/>
        </w:rPr>
        <w:t>J Clin Invest</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121</w:t>
      </w:r>
      <w:r w:rsidRPr="00226E1E">
        <w:rPr>
          <w:rFonts w:ascii="Book Antiqua" w:hAnsi="Book Antiqua" w:cs="宋体"/>
          <w:color w:val="000000"/>
          <w:kern w:val="0"/>
          <w:sz w:val="24"/>
        </w:rPr>
        <w:t>: 1822-1826 [PMID:</w:t>
      </w:r>
      <w:r w:rsidR="00083AFD">
        <w:rPr>
          <w:rFonts w:ascii="Book Antiqua" w:hAnsi="Book Antiqua" w:cs="宋体"/>
          <w:color w:val="000000"/>
          <w:kern w:val="0"/>
          <w:sz w:val="24"/>
        </w:rPr>
        <w:t xml:space="preserve"> 21540550 DOI: 10.1172/JCI46110</w:t>
      </w:r>
      <w:r w:rsidRPr="00226E1E">
        <w:rPr>
          <w:rFonts w:ascii="Book Antiqua" w:hAnsi="Book Antiqua" w:cs="宋体"/>
          <w:color w:val="000000"/>
          <w:kern w:val="0"/>
          <w:sz w:val="24"/>
        </w:rPr>
        <w:t>]</w:t>
      </w:r>
    </w:p>
    <w:p w14:paraId="5A0ADBDF" w14:textId="169F581D"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123 </w:t>
      </w:r>
      <w:r w:rsidRPr="00226E1E">
        <w:rPr>
          <w:rFonts w:ascii="Book Antiqua" w:hAnsi="Book Antiqua" w:cs="宋体"/>
          <w:b/>
          <w:bCs/>
          <w:color w:val="000000"/>
          <w:kern w:val="0"/>
          <w:sz w:val="24"/>
        </w:rPr>
        <w:t>Morgan RA</w:t>
      </w:r>
      <w:r w:rsidRPr="00226E1E">
        <w:rPr>
          <w:rFonts w:ascii="Book Antiqua" w:hAnsi="Book Antiqua" w:cs="宋体"/>
          <w:color w:val="000000"/>
          <w:kern w:val="0"/>
          <w:sz w:val="24"/>
        </w:rPr>
        <w:t>, Yang JC, Kitano M, Dudley ME, Laurencot CM, Rosenberg SA.</w:t>
      </w:r>
      <w:proofErr w:type="gramEnd"/>
      <w:r w:rsidRPr="00226E1E">
        <w:rPr>
          <w:rFonts w:ascii="Book Antiqua" w:hAnsi="Book Antiqua" w:cs="宋体"/>
          <w:color w:val="000000"/>
          <w:kern w:val="0"/>
          <w:sz w:val="24"/>
        </w:rPr>
        <w:t xml:space="preserve"> Case report of a serious adverse event following the administration of T cells transduced with a chimeric antigen receptor recognizing ERBB2. </w:t>
      </w:r>
      <w:r w:rsidRPr="00226E1E">
        <w:rPr>
          <w:rFonts w:ascii="Book Antiqua" w:hAnsi="Book Antiqua" w:cs="宋体"/>
          <w:i/>
          <w:iCs/>
          <w:color w:val="000000"/>
          <w:kern w:val="0"/>
          <w:sz w:val="24"/>
        </w:rPr>
        <w:t>Mol Ther</w:t>
      </w:r>
      <w:r w:rsidRPr="00226E1E">
        <w:rPr>
          <w:rFonts w:ascii="Book Antiqua" w:hAnsi="Book Antiqua" w:cs="宋体"/>
          <w:color w:val="000000"/>
          <w:kern w:val="0"/>
          <w:sz w:val="24"/>
        </w:rPr>
        <w:t> 2010; </w:t>
      </w:r>
      <w:r w:rsidRPr="00226E1E">
        <w:rPr>
          <w:rFonts w:ascii="Book Antiqua" w:hAnsi="Book Antiqua" w:cs="宋体"/>
          <w:b/>
          <w:bCs/>
          <w:color w:val="000000"/>
          <w:kern w:val="0"/>
          <w:sz w:val="24"/>
        </w:rPr>
        <w:t>18</w:t>
      </w:r>
      <w:r w:rsidRPr="00226E1E">
        <w:rPr>
          <w:rFonts w:ascii="Book Antiqua" w:hAnsi="Book Antiqua" w:cs="宋体"/>
          <w:color w:val="000000"/>
          <w:kern w:val="0"/>
          <w:sz w:val="24"/>
        </w:rPr>
        <w:t>: 843-851 [PMID: 20179677 DOI: 10.1038/m</w:t>
      </w:r>
      <w:r w:rsidR="00083AFD">
        <w:rPr>
          <w:rFonts w:ascii="Book Antiqua" w:hAnsi="Book Antiqua" w:cs="宋体"/>
          <w:color w:val="000000"/>
          <w:kern w:val="0"/>
          <w:sz w:val="24"/>
        </w:rPr>
        <w:t>t.2010.24</w:t>
      </w:r>
      <w:r w:rsidRPr="00226E1E">
        <w:rPr>
          <w:rFonts w:ascii="Book Antiqua" w:hAnsi="Book Antiqua" w:cs="宋体"/>
          <w:color w:val="000000"/>
          <w:kern w:val="0"/>
          <w:sz w:val="24"/>
        </w:rPr>
        <w:t>]</w:t>
      </w:r>
    </w:p>
    <w:p w14:paraId="6DA1D0D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124 </w:t>
      </w:r>
      <w:r w:rsidRPr="00226E1E">
        <w:rPr>
          <w:rFonts w:ascii="Book Antiqua" w:hAnsi="Book Antiqua" w:cs="宋体"/>
          <w:b/>
          <w:bCs/>
          <w:color w:val="000000"/>
          <w:kern w:val="0"/>
          <w:sz w:val="24"/>
        </w:rPr>
        <w:t>Kowolik CM</w:t>
      </w:r>
      <w:r w:rsidRPr="00226E1E">
        <w:rPr>
          <w:rFonts w:ascii="Book Antiqua" w:hAnsi="Book Antiqua" w:cs="宋体"/>
          <w:color w:val="000000"/>
          <w:kern w:val="0"/>
          <w:sz w:val="24"/>
        </w:rPr>
        <w:t>, Topp MS, Gonzalez S, Pfeiffer T, Olivares S, Gonzalez N, Smith DD, Forman SJ, Jensen MC, Cooper LJ. CD28 costimulation provided through a CD19-specific chimeric antigen receptor enhances in vivo persistence and antitumor efficacy of adoptively transferred T cells. </w:t>
      </w:r>
      <w:r w:rsidRPr="00226E1E">
        <w:rPr>
          <w:rFonts w:ascii="Book Antiqua" w:hAnsi="Book Antiqua" w:cs="宋体"/>
          <w:i/>
          <w:iCs/>
          <w:color w:val="000000"/>
          <w:kern w:val="0"/>
          <w:sz w:val="24"/>
        </w:rPr>
        <w:t>Cancer Res</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66</w:t>
      </w:r>
      <w:r w:rsidRPr="00226E1E">
        <w:rPr>
          <w:rFonts w:ascii="Book Antiqua" w:hAnsi="Book Antiqua" w:cs="宋体"/>
          <w:color w:val="000000"/>
          <w:kern w:val="0"/>
          <w:sz w:val="24"/>
        </w:rPr>
        <w:t>: 10995-11004 [PMID: 17108138 DOI: 10.1158/0008-5472.CAN-06-0160]</w:t>
      </w:r>
    </w:p>
    <w:p w14:paraId="73D6290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125 </w:t>
      </w:r>
      <w:r w:rsidRPr="00226E1E">
        <w:rPr>
          <w:rFonts w:ascii="Book Antiqua" w:hAnsi="Book Antiqua" w:cs="宋体"/>
          <w:b/>
          <w:bCs/>
          <w:color w:val="000000"/>
          <w:kern w:val="0"/>
          <w:sz w:val="24"/>
        </w:rPr>
        <w:t>Porter DL</w:t>
      </w:r>
      <w:r w:rsidRPr="00226E1E">
        <w:rPr>
          <w:rFonts w:ascii="Book Antiqua" w:hAnsi="Book Antiqua" w:cs="宋体"/>
          <w:color w:val="000000"/>
          <w:kern w:val="0"/>
          <w:sz w:val="24"/>
        </w:rPr>
        <w:t>, Levine BL, Kalos M, Bagg A, June CH. Chimeric antigen receptor-modified T cells in chronic lymphoid leukemia. </w:t>
      </w:r>
      <w:r w:rsidRPr="00226E1E">
        <w:rPr>
          <w:rFonts w:ascii="Book Antiqua" w:hAnsi="Book Antiqua" w:cs="宋体"/>
          <w:i/>
          <w:iCs/>
          <w:color w:val="000000"/>
          <w:kern w:val="0"/>
          <w:sz w:val="24"/>
        </w:rPr>
        <w:t>N Engl J Med</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365</w:t>
      </w:r>
      <w:r w:rsidRPr="00226E1E">
        <w:rPr>
          <w:rFonts w:ascii="Book Antiqua" w:hAnsi="Book Antiqua" w:cs="宋体"/>
          <w:color w:val="000000"/>
          <w:kern w:val="0"/>
          <w:sz w:val="24"/>
        </w:rPr>
        <w:t>: 725-733 [PMID: 21830940 DOI: 10.1056/NEJMoa1103849]</w:t>
      </w:r>
    </w:p>
    <w:p w14:paraId="79F14968"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126 </w:t>
      </w:r>
      <w:r w:rsidRPr="00226E1E">
        <w:rPr>
          <w:rFonts w:ascii="Book Antiqua" w:hAnsi="Book Antiqua" w:cs="宋体"/>
          <w:b/>
          <w:bCs/>
          <w:color w:val="000000"/>
          <w:kern w:val="0"/>
          <w:sz w:val="24"/>
        </w:rPr>
        <w:t>Grupp SA</w:t>
      </w:r>
      <w:r w:rsidRPr="00226E1E">
        <w:rPr>
          <w:rFonts w:ascii="Book Antiqua" w:hAnsi="Book Antiqua" w:cs="宋体"/>
          <w:color w:val="000000"/>
          <w:kern w:val="0"/>
          <w:sz w:val="24"/>
        </w:rPr>
        <w:t>, Kalos M, Barrett D, Aplenc R, Porter DL, Rheingold SR, Teachey DT, Chew A, Hauck B, Wright JF, Milone MC, Levine BL, June CH. Chimeric antigen receptor-modified T cells for acute lymphoid leukemia. </w:t>
      </w:r>
      <w:r w:rsidRPr="00226E1E">
        <w:rPr>
          <w:rFonts w:ascii="Book Antiqua" w:hAnsi="Book Antiqua" w:cs="宋体"/>
          <w:i/>
          <w:iCs/>
          <w:color w:val="000000"/>
          <w:kern w:val="0"/>
          <w:sz w:val="24"/>
        </w:rPr>
        <w:t>N Engl J Med</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368</w:t>
      </w:r>
      <w:r w:rsidRPr="00226E1E">
        <w:rPr>
          <w:rFonts w:ascii="Book Antiqua" w:hAnsi="Book Antiqua" w:cs="宋体"/>
          <w:color w:val="000000"/>
          <w:kern w:val="0"/>
          <w:sz w:val="24"/>
        </w:rPr>
        <w:t>: 1509-1518 [PMID: 23527958 DOI: 10.1056/NEJMoa1215134]</w:t>
      </w:r>
    </w:p>
    <w:p w14:paraId="389A26D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127 </w:t>
      </w:r>
      <w:r w:rsidRPr="00226E1E">
        <w:rPr>
          <w:rFonts w:ascii="Book Antiqua" w:hAnsi="Book Antiqua" w:cs="宋体"/>
          <w:b/>
          <w:bCs/>
          <w:color w:val="000000"/>
          <w:kern w:val="0"/>
          <w:sz w:val="24"/>
        </w:rPr>
        <w:t>Pizzitola I</w:t>
      </w:r>
      <w:r w:rsidRPr="00226E1E">
        <w:rPr>
          <w:rFonts w:ascii="Book Antiqua" w:hAnsi="Book Antiqua" w:cs="宋体"/>
          <w:color w:val="000000"/>
          <w:kern w:val="0"/>
          <w:sz w:val="24"/>
        </w:rPr>
        <w:t>, Anjos-Afonso F, Rouault-Pierre K, Lassailly F, Tettamanti S, Spinelli O, Biondi A, Biagi E, Bonnet D. Chimeric antigen receptors against CD33/CD123 antigens efficiently target primary acute myeloid leukemia cells in vivo. </w:t>
      </w:r>
      <w:r w:rsidRPr="00226E1E">
        <w:rPr>
          <w:rFonts w:ascii="Book Antiqua" w:hAnsi="Book Antiqua" w:cs="宋体"/>
          <w:i/>
          <w:iCs/>
          <w:color w:val="000000"/>
          <w:kern w:val="0"/>
          <w:sz w:val="24"/>
        </w:rPr>
        <w:t>Leukemia</w:t>
      </w:r>
      <w:r w:rsidRPr="00226E1E">
        <w:rPr>
          <w:rFonts w:ascii="Book Antiqua" w:hAnsi="Book Antiqua" w:cs="宋体"/>
          <w:color w:val="000000"/>
          <w:kern w:val="0"/>
          <w:sz w:val="24"/>
        </w:rPr>
        <w:t> 2014; </w:t>
      </w:r>
      <w:r w:rsidRPr="00226E1E">
        <w:rPr>
          <w:rFonts w:ascii="Book Antiqua" w:hAnsi="Book Antiqua" w:cs="宋体"/>
          <w:b/>
          <w:bCs/>
          <w:color w:val="000000"/>
          <w:kern w:val="0"/>
          <w:sz w:val="24"/>
        </w:rPr>
        <w:t>28</w:t>
      </w:r>
      <w:r w:rsidRPr="00226E1E">
        <w:rPr>
          <w:rFonts w:ascii="Book Antiqua" w:hAnsi="Book Antiqua" w:cs="宋体"/>
          <w:color w:val="000000"/>
          <w:kern w:val="0"/>
          <w:sz w:val="24"/>
        </w:rPr>
        <w:t>: 1596-1605 [PMID: 24504024 DOI: 10.1038/leu.2014.62]</w:t>
      </w:r>
    </w:p>
    <w:p w14:paraId="0CD032DD" w14:textId="06ECBAD6"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128 </w:t>
      </w:r>
      <w:r w:rsidRPr="00226E1E">
        <w:rPr>
          <w:rFonts w:ascii="Book Antiqua" w:hAnsi="Book Antiqua" w:cs="宋体"/>
          <w:b/>
          <w:bCs/>
          <w:color w:val="000000"/>
          <w:kern w:val="0"/>
          <w:sz w:val="24"/>
        </w:rPr>
        <w:t>June C</w:t>
      </w:r>
      <w:r w:rsidRPr="00226E1E">
        <w:rPr>
          <w:rFonts w:ascii="Book Antiqua" w:hAnsi="Book Antiqua" w:cs="宋体"/>
          <w:color w:val="000000"/>
          <w:kern w:val="0"/>
          <w:sz w:val="24"/>
        </w:rPr>
        <w:t>, Rosenberg SA, Sadelain M, Weber JS.</w:t>
      </w:r>
      <w:proofErr w:type="gramEnd"/>
      <w:r w:rsidRPr="00226E1E">
        <w:rPr>
          <w:rFonts w:ascii="Book Antiqua" w:hAnsi="Book Antiqua" w:cs="宋体"/>
          <w:color w:val="000000"/>
          <w:kern w:val="0"/>
          <w:sz w:val="24"/>
        </w:rPr>
        <w:t xml:space="preserve"> </w:t>
      </w:r>
      <w:proofErr w:type="gramStart"/>
      <w:r w:rsidRPr="00226E1E">
        <w:rPr>
          <w:rFonts w:ascii="Book Antiqua" w:hAnsi="Book Antiqua" w:cs="宋体"/>
          <w:color w:val="000000"/>
          <w:kern w:val="0"/>
          <w:sz w:val="24"/>
        </w:rPr>
        <w:t>T-cell therapy at the threshold.</w:t>
      </w:r>
      <w:proofErr w:type="gramEnd"/>
      <w:r w:rsidRPr="00226E1E">
        <w:rPr>
          <w:rFonts w:ascii="Book Antiqua" w:hAnsi="Book Antiqua" w:cs="宋体"/>
          <w:color w:val="000000"/>
          <w:kern w:val="0"/>
          <w:sz w:val="24"/>
        </w:rPr>
        <w:t> </w:t>
      </w:r>
      <w:r w:rsidRPr="00226E1E">
        <w:rPr>
          <w:rFonts w:ascii="Book Antiqua" w:hAnsi="Book Antiqua" w:cs="宋体"/>
          <w:i/>
          <w:iCs/>
          <w:color w:val="000000"/>
          <w:kern w:val="0"/>
          <w:sz w:val="24"/>
        </w:rPr>
        <w:t>Nat Biotechnol</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30</w:t>
      </w:r>
      <w:r w:rsidRPr="00226E1E">
        <w:rPr>
          <w:rFonts w:ascii="Book Antiqua" w:hAnsi="Book Antiqua" w:cs="宋体"/>
          <w:color w:val="000000"/>
          <w:kern w:val="0"/>
          <w:sz w:val="24"/>
        </w:rPr>
        <w:t>: 611-614 [PMID:</w:t>
      </w:r>
      <w:r w:rsidR="00083AFD">
        <w:rPr>
          <w:rFonts w:ascii="Book Antiqua" w:hAnsi="Book Antiqua" w:cs="宋体"/>
          <w:color w:val="000000"/>
          <w:kern w:val="0"/>
          <w:sz w:val="24"/>
        </w:rPr>
        <w:t xml:space="preserve"> 22781680 DOI: 10.1038/nbt.2305</w:t>
      </w:r>
      <w:r w:rsidRPr="00226E1E">
        <w:rPr>
          <w:rFonts w:ascii="Book Antiqua" w:hAnsi="Book Antiqua" w:cs="宋体"/>
          <w:color w:val="000000"/>
          <w:kern w:val="0"/>
          <w:sz w:val="24"/>
        </w:rPr>
        <w:t>]</w:t>
      </w:r>
    </w:p>
    <w:p w14:paraId="2A3C0355"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129 </w:t>
      </w:r>
      <w:r w:rsidRPr="00226E1E">
        <w:rPr>
          <w:rFonts w:ascii="Book Antiqua" w:hAnsi="Book Antiqua" w:cs="宋体"/>
          <w:b/>
          <w:bCs/>
          <w:color w:val="000000"/>
          <w:kern w:val="0"/>
          <w:sz w:val="24"/>
        </w:rPr>
        <w:t>Gehring AJ</w:t>
      </w:r>
      <w:r w:rsidRPr="00226E1E">
        <w:rPr>
          <w:rFonts w:ascii="Book Antiqua" w:hAnsi="Book Antiqua" w:cs="宋体"/>
          <w:color w:val="000000"/>
          <w:kern w:val="0"/>
          <w:sz w:val="24"/>
        </w:rPr>
        <w:t>, Xue SA, Ho ZZ, Teoh D, Ruedl C, Chia A, Koh S, Lim SG, Maini MK, Stauss H, Bertoletti A. Engineering virus-specific T cells that target HBV infected hepatocytes and hepatocellular carcinoma cell lines. </w:t>
      </w:r>
      <w:r w:rsidRPr="00226E1E">
        <w:rPr>
          <w:rFonts w:ascii="Book Antiqua" w:hAnsi="Book Antiqua" w:cs="宋体"/>
          <w:i/>
          <w:iCs/>
          <w:color w:val="000000"/>
          <w:kern w:val="0"/>
          <w:sz w:val="24"/>
        </w:rPr>
        <w:t>J Hepatol</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55</w:t>
      </w:r>
      <w:r w:rsidRPr="00226E1E">
        <w:rPr>
          <w:rFonts w:ascii="Book Antiqua" w:hAnsi="Book Antiqua" w:cs="宋体"/>
          <w:color w:val="000000"/>
          <w:kern w:val="0"/>
          <w:sz w:val="24"/>
        </w:rPr>
        <w:t>: 103-110 [PMID: 21145860 DOI: 10.1016/j.jhep.2010.10.025]</w:t>
      </w:r>
    </w:p>
    <w:p w14:paraId="5B588C7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130 </w:t>
      </w:r>
      <w:r w:rsidRPr="00226E1E">
        <w:rPr>
          <w:rFonts w:ascii="Book Antiqua" w:hAnsi="Book Antiqua" w:cs="宋体"/>
          <w:b/>
          <w:bCs/>
          <w:color w:val="000000"/>
          <w:kern w:val="0"/>
          <w:sz w:val="24"/>
        </w:rPr>
        <w:t>Kershaw MH</w:t>
      </w:r>
      <w:r w:rsidRPr="00226E1E">
        <w:rPr>
          <w:rFonts w:ascii="Book Antiqua" w:hAnsi="Book Antiqua" w:cs="宋体"/>
          <w:color w:val="000000"/>
          <w:kern w:val="0"/>
          <w:sz w:val="24"/>
        </w:rPr>
        <w:t>, Westwood JA, Parker LL, Wang G, Eshhar Z, Mavroukakis SA, White DE, Wunderlich JR, Canevari S, Rogers-Freezer L, Chen CC, Yang JC, Rosenberg SA, Hwu P. A phase I study on adoptive immunotherapy using gene-modified T cells for ovarian cancer. </w:t>
      </w:r>
      <w:r w:rsidRPr="00226E1E">
        <w:rPr>
          <w:rFonts w:ascii="Book Antiqua" w:hAnsi="Book Antiqua" w:cs="宋体"/>
          <w:i/>
          <w:iCs/>
          <w:color w:val="000000"/>
          <w:kern w:val="0"/>
          <w:sz w:val="24"/>
        </w:rPr>
        <w:t>Clin Cancer Res</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12</w:t>
      </w:r>
      <w:r w:rsidRPr="00226E1E">
        <w:rPr>
          <w:rFonts w:ascii="Book Antiqua" w:hAnsi="Book Antiqua" w:cs="宋体"/>
          <w:color w:val="000000"/>
          <w:kern w:val="0"/>
          <w:sz w:val="24"/>
        </w:rPr>
        <w:t>: 6106-6115 [PMID: 17062687 DOI: 10.1158/1078-0432.CCR-06-1183]</w:t>
      </w:r>
    </w:p>
    <w:p w14:paraId="6F10F6EF"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131 </w:t>
      </w:r>
      <w:r w:rsidRPr="00226E1E">
        <w:rPr>
          <w:rFonts w:ascii="Book Antiqua" w:hAnsi="Book Antiqua" w:cs="宋体"/>
          <w:b/>
          <w:bCs/>
          <w:color w:val="000000"/>
          <w:kern w:val="0"/>
          <w:sz w:val="24"/>
        </w:rPr>
        <w:t>Lamers CH</w:t>
      </w:r>
      <w:r w:rsidRPr="00226E1E">
        <w:rPr>
          <w:rFonts w:ascii="Book Antiqua" w:hAnsi="Book Antiqua" w:cs="宋体"/>
          <w:color w:val="000000"/>
          <w:kern w:val="0"/>
          <w:sz w:val="24"/>
        </w:rPr>
        <w:t>, Sleijfer S, Vulto AG, Kruit WH, Kliffen M, Debets R, Gratama JW, Stoter G, Oosterwijk E. Treatment of metastatic renal cell carcinoma with autologous T-lymphocytes genetically retargeted against carbonic anhydrase IX: first clinical experience. </w:t>
      </w:r>
      <w:r w:rsidRPr="00226E1E">
        <w:rPr>
          <w:rFonts w:ascii="Book Antiqua" w:hAnsi="Book Antiqua" w:cs="宋体"/>
          <w:i/>
          <w:iCs/>
          <w:color w:val="000000"/>
          <w:kern w:val="0"/>
          <w:sz w:val="24"/>
        </w:rPr>
        <w:t>J Clin Oncol</w:t>
      </w:r>
      <w:r w:rsidRPr="00226E1E">
        <w:rPr>
          <w:rFonts w:ascii="Book Antiqua" w:hAnsi="Book Antiqua" w:cs="宋体"/>
          <w:color w:val="000000"/>
          <w:kern w:val="0"/>
          <w:sz w:val="24"/>
        </w:rPr>
        <w:t> 2006; </w:t>
      </w:r>
      <w:r w:rsidRPr="00226E1E">
        <w:rPr>
          <w:rFonts w:ascii="Book Antiqua" w:hAnsi="Book Antiqua" w:cs="宋体"/>
          <w:b/>
          <w:bCs/>
          <w:color w:val="000000"/>
          <w:kern w:val="0"/>
          <w:sz w:val="24"/>
        </w:rPr>
        <w:t>24</w:t>
      </w:r>
      <w:r w:rsidRPr="00226E1E">
        <w:rPr>
          <w:rFonts w:ascii="Book Antiqua" w:hAnsi="Book Antiqua" w:cs="宋体"/>
          <w:color w:val="000000"/>
          <w:kern w:val="0"/>
          <w:sz w:val="24"/>
        </w:rPr>
        <w:t>: e20-e22 [PMID: 16648493 DOI: 10.1200/JCO.2006.05.9964]</w:t>
      </w:r>
    </w:p>
    <w:p w14:paraId="78DE22E3"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132 </w:t>
      </w:r>
      <w:r w:rsidRPr="00226E1E">
        <w:rPr>
          <w:rFonts w:ascii="Book Antiqua" w:hAnsi="Book Antiqua" w:cs="宋体"/>
          <w:b/>
          <w:bCs/>
          <w:color w:val="000000"/>
          <w:kern w:val="0"/>
          <w:sz w:val="24"/>
        </w:rPr>
        <w:t>Lamers CH</w:t>
      </w:r>
      <w:r w:rsidRPr="00226E1E">
        <w:rPr>
          <w:rFonts w:ascii="Book Antiqua" w:hAnsi="Book Antiqua" w:cs="宋体"/>
          <w:color w:val="000000"/>
          <w:kern w:val="0"/>
          <w:sz w:val="24"/>
        </w:rPr>
        <w:t>, Langeveld SC, Groot-van Ruijven CM, Debets R, Sleijfer S, Gratama JW. Gene-modified T cells for adoptive immunotherapy of renal cell cancer maintain transgene-specific immune functions in vivo. </w:t>
      </w:r>
      <w:r w:rsidRPr="00226E1E">
        <w:rPr>
          <w:rFonts w:ascii="Book Antiqua" w:hAnsi="Book Antiqua" w:cs="宋体"/>
          <w:i/>
          <w:iCs/>
          <w:color w:val="000000"/>
          <w:kern w:val="0"/>
          <w:sz w:val="24"/>
        </w:rPr>
        <w:t>Cancer Immunol Immunother</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56</w:t>
      </w:r>
      <w:r w:rsidRPr="00226E1E">
        <w:rPr>
          <w:rFonts w:ascii="Book Antiqua" w:hAnsi="Book Antiqua" w:cs="宋体"/>
          <w:color w:val="000000"/>
          <w:kern w:val="0"/>
          <w:sz w:val="24"/>
        </w:rPr>
        <w:t>: 1875-1883 [PMID: 17479266 DOI: 10.1007/s00262-007-0330-3]</w:t>
      </w:r>
    </w:p>
    <w:p w14:paraId="7CED463D"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133 </w:t>
      </w:r>
      <w:r w:rsidRPr="00226E1E">
        <w:rPr>
          <w:rFonts w:ascii="Book Antiqua" w:hAnsi="Book Antiqua" w:cs="宋体"/>
          <w:b/>
          <w:bCs/>
          <w:color w:val="000000"/>
          <w:kern w:val="0"/>
          <w:sz w:val="24"/>
        </w:rPr>
        <w:t>Lamers CH</w:t>
      </w:r>
      <w:r w:rsidRPr="00226E1E">
        <w:rPr>
          <w:rFonts w:ascii="Book Antiqua" w:hAnsi="Book Antiqua" w:cs="宋体"/>
          <w:color w:val="000000"/>
          <w:kern w:val="0"/>
          <w:sz w:val="24"/>
        </w:rPr>
        <w:t>, Sleijfer S, van Steenbergen S, van Elzakker P, van Krimpen B, Groot C, Vulto A, den Bakker M, Oosterwijk E, Debets R, Gratama JW. Treatment of metastatic renal cell carcinoma with CAIX CAR-engineered T cells: clinical evaluation and management of on-target toxicity. </w:t>
      </w:r>
      <w:r w:rsidRPr="00226E1E">
        <w:rPr>
          <w:rFonts w:ascii="Book Antiqua" w:hAnsi="Book Antiqua" w:cs="宋体"/>
          <w:i/>
          <w:iCs/>
          <w:color w:val="000000"/>
          <w:kern w:val="0"/>
          <w:sz w:val="24"/>
        </w:rPr>
        <w:t>Mol Ther</w:t>
      </w:r>
      <w:r w:rsidRPr="00226E1E">
        <w:rPr>
          <w:rFonts w:ascii="Book Antiqua" w:hAnsi="Book Antiqua" w:cs="宋体"/>
          <w:color w:val="000000"/>
          <w:kern w:val="0"/>
          <w:sz w:val="24"/>
        </w:rPr>
        <w:t> 2013; </w:t>
      </w:r>
      <w:r w:rsidRPr="00226E1E">
        <w:rPr>
          <w:rFonts w:ascii="Book Antiqua" w:hAnsi="Book Antiqua" w:cs="宋体"/>
          <w:b/>
          <w:bCs/>
          <w:color w:val="000000"/>
          <w:kern w:val="0"/>
          <w:sz w:val="24"/>
        </w:rPr>
        <w:t>21</w:t>
      </w:r>
      <w:r w:rsidRPr="00226E1E">
        <w:rPr>
          <w:rFonts w:ascii="Book Antiqua" w:hAnsi="Book Antiqua" w:cs="宋体"/>
          <w:color w:val="000000"/>
          <w:kern w:val="0"/>
          <w:sz w:val="24"/>
        </w:rPr>
        <w:t>: 904-912 [PMID: 23423337 DOI: 10.1038/mt.2013.17]</w:t>
      </w:r>
    </w:p>
    <w:p w14:paraId="35AC8207"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134 </w:t>
      </w:r>
      <w:r w:rsidRPr="00226E1E">
        <w:rPr>
          <w:rFonts w:ascii="Book Antiqua" w:hAnsi="Book Antiqua" w:cs="宋体"/>
          <w:b/>
          <w:bCs/>
          <w:color w:val="000000"/>
          <w:kern w:val="0"/>
          <w:sz w:val="24"/>
        </w:rPr>
        <w:t>Brentjens R</w:t>
      </w:r>
      <w:r w:rsidRPr="00226E1E">
        <w:rPr>
          <w:rFonts w:ascii="Book Antiqua" w:hAnsi="Book Antiqua" w:cs="宋体"/>
          <w:color w:val="000000"/>
          <w:kern w:val="0"/>
          <w:sz w:val="24"/>
        </w:rPr>
        <w:t>, Yeh R, Bernal Y, Riviere I, Sadelain M. Treatment of chronic lymphocytic leukemia with genetically targeted autologous T cells: case report of an unforeseen adverse event in a phase I clinical trial. </w:t>
      </w:r>
      <w:r w:rsidRPr="00226E1E">
        <w:rPr>
          <w:rFonts w:ascii="Book Antiqua" w:hAnsi="Book Antiqua" w:cs="宋体"/>
          <w:i/>
          <w:iCs/>
          <w:color w:val="000000"/>
          <w:kern w:val="0"/>
          <w:sz w:val="24"/>
        </w:rPr>
        <w:t>Mol Ther</w:t>
      </w:r>
      <w:r w:rsidRPr="00226E1E">
        <w:rPr>
          <w:rFonts w:ascii="Book Antiqua" w:hAnsi="Book Antiqua" w:cs="宋体"/>
          <w:color w:val="000000"/>
          <w:kern w:val="0"/>
          <w:sz w:val="24"/>
        </w:rPr>
        <w:t> 2010; </w:t>
      </w:r>
      <w:r w:rsidRPr="00226E1E">
        <w:rPr>
          <w:rFonts w:ascii="Book Antiqua" w:hAnsi="Book Antiqua" w:cs="宋体"/>
          <w:b/>
          <w:bCs/>
          <w:color w:val="000000"/>
          <w:kern w:val="0"/>
          <w:sz w:val="24"/>
        </w:rPr>
        <w:t>18</w:t>
      </w:r>
      <w:r w:rsidRPr="00226E1E">
        <w:rPr>
          <w:rFonts w:ascii="Book Antiqua" w:hAnsi="Book Antiqua" w:cs="宋体"/>
          <w:color w:val="000000"/>
          <w:kern w:val="0"/>
          <w:sz w:val="24"/>
        </w:rPr>
        <w:t>: 666-668 [PMID: 20357779 DOI: 10.1038/mt.2010.31]</w:t>
      </w:r>
    </w:p>
    <w:p w14:paraId="360527BA" w14:textId="0EDF723F"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 xml:space="preserve">135 </w:t>
      </w:r>
      <w:r w:rsidRPr="00083AFD">
        <w:rPr>
          <w:rFonts w:ascii="Book Antiqua" w:hAnsi="Book Antiqua" w:cs="宋体"/>
          <w:b/>
          <w:color w:val="000000"/>
          <w:kern w:val="0"/>
          <w:sz w:val="24"/>
        </w:rPr>
        <w:t>Disis ML.</w:t>
      </w:r>
      <w:r w:rsidRPr="00226E1E">
        <w:rPr>
          <w:rFonts w:ascii="Book Antiqua" w:hAnsi="Book Antiqua" w:cs="宋体"/>
          <w:color w:val="000000"/>
          <w:kern w:val="0"/>
          <w:sz w:val="24"/>
        </w:rPr>
        <w:t xml:space="preserve"> Immune regulation of cancer.</w:t>
      </w:r>
      <w:r w:rsidRPr="00083AFD">
        <w:rPr>
          <w:rFonts w:ascii="Book Antiqua" w:hAnsi="Book Antiqua" w:cs="宋体"/>
          <w:i/>
          <w:color w:val="000000"/>
          <w:kern w:val="0"/>
          <w:sz w:val="24"/>
        </w:rPr>
        <w:t xml:space="preserve"> </w:t>
      </w:r>
      <w:r w:rsidR="00083AFD" w:rsidRPr="00083AFD">
        <w:rPr>
          <w:rFonts w:ascii="Book Antiqua" w:hAnsi="Book Antiqua" w:cs="宋体"/>
          <w:i/>
          <w:color w:val="000000"/>
          <w:kern w:val="0"/>
          <w:sz w:val="24"/>
        </w:rPr>
        <w:t>J Clin Oncol</w:t>
      </w:r>
      <w:r w:rsidRPr="00083AFD">
        <w:rPr>
          <w:rFonts w:ascii="Book Antiqua" w:hAnsi="Book Antiqua" w:cs="宋体"/>
          <w:i/>
          <w:color w:val="000000"/>
          <w:kern w:val="0"/>
          <w:sz w:val="24"/>
        </w:rPr>
        <w:t xml:space="preserve"> </w:t>
      </w:r>
      <w:r w:rsidRPr="00226E1E">
        <w:rPr>
          <w:rFonts w:ascii="Book Antiqua" w:hAnsi="Book Antiqua" w:cs="宋体"/>
          <w:color w:val="000000"/>
          <w:kern w:val="0"/>
          <w:sz w:val="24"/>
        </w:rPr>
        <w:t xml:space="preserve">2010; </w:t>
      </w:r>
      <w:r w:rsidRPr="00083AFD">
        <w:rPr>
          <w:rFonts w:ascii="Book Antiqua" w:hAnsi="Book Antiqua" w:cs="宋体"/>
          <w:b/>
          <w:color w:val="000000"/>
          <w:kern w:val="0"/>
          <w:sz w:val="24"/>
        </w:rPr>
        <w:t xml:space="preserve">28: </w:t>
      </w:r>
      <w:r w:rsidRPr="00226E1E">
        <w:rPr>
          <w:rFonts w:ascii="Book Antiqua" w:hAnsi="Book Antiqua" w:cs="宋体"/>
          <w:color w:val="000000"/>
          <w:kern w:val="0"/>
          <w:sz w:val="24"/>
        </w:rPr>
        <w:t>4531-4538</w:t>
      </w:r>
    </w:p>
    <w:p w14:paraId="7ED1D499" w14:textId="0652121A" w:rsidR="00226E1E" w:rsidRPr="00226E1E" w:rsidRDefault="00226E1E" w:rsidP="00226E1E">
      <w:pPr>
        <w:widowControl/>
        <w:spacing w:line="360" w:lineRule="auto"/>
        <w:rPr>
          <w:rFonts w:ascii="Book Antiqua" w:hAnsi="Book Antiqua" w:cs="宋体"/>
          <w:color w:val="000000"/>
          <w:kern w:val="0"/>
          <w:sz w:val="24"/>
        </w:rPr>
      </w:pPr>
      <w:proofErr w:type="gramStart"/>
      <w:r w:rsidRPr="00226E1E">
        <w:rPr>
          <w:rFonts w:ascii="Book Antiqua" w:hAnsi="Book Antiqua" w:cs="宋体"/>
          <w:color w:val="000000"/>
          <w:kern w:val="0"/>
          <w:sz w:val="24"/>
        </w:rPr>
        <w:t xml:space="preserve">136 </w:t>
      </w:r>
      <w:r w:rsidRPr="00083AFD">
        <w:rPr>
          <w:rFonts w:ascii="Book Antiqua" w:hAnsi="Book Antiqua" w:cs="宋体"/>
          <w:b/>
          <w:color w:val="000000"/>
          <w:kern w:val="0"/>
          <w:sz w:val="24"/>
        </w:rPr>
        <w:t>Whiteside TL.</w:t>
      </w:r>
      <w:proofErr w:type="gramEnd"/>
      <w:r w:rsidRPr="00226E1E">
        <w:rPr>
          <w:rFonts w:ascii="Book Antiqua" w:hAnsi="Book Antiqua" w:cs="宋体"/>
          <w:color w:val="000000"/>
          <w:kern w:val="0"/>
          <w:sz w:val="24"/>
        </w:rPr>
        <w:t xml:space="preserve"> </w:t>
      </w:r>
      <w:proofErr w:type="gramStart"/>
      <w:r w:rsidRPr="00226E1E">
        <w:rPr>
          <w:rFonts w:ascii="Book Antiqua" w:hAnsi="Book Antiqua" w:cs="宋体"/>
          <w:color w:val="000000"/>
          <w:kern w:val="0"/>
          <w:sz w:val="24"/>
        </w:rPr>
        <w:t>Immune responses to malignancies.</w:t>
      </w:r>
      <w:proofErr w:type="gramEnd"/>
      <w:r w:rsidRPr="00083AFD">
        <w:rPr>
          <w:rFonts w:ascii="Book Antiqua" w:hAnsi="Book Antiqua" w:cs="宋体"/>
          <w:i/>
          <w:color w:val="000000"/>
          <w:kern w:val="0"/>
          <w:sz w:val="24"/>
        </w:rPr>
        <w:t xml:space="preserve"> </w:t>
      </w:r>
      <w:r w:rsidR="00083AFD" w:rsidRPr="00083AFD">
        <w:rPr>
          <w:rFonts w:ascii="Book Antiqua" w:hAnsi="Book Antiqua" w:cs="宋体"/>
          <w:i/>
          <w:color w:val="000000"/>
          <w:kern w:val="0"/>
          <w:sz w:val="24"/>
        </w:rPr>
        <w:t>J Allergy Clin Immun</w:t>
      </w:r>
      <w:r w:rsidR="00083AFD">
        <w:rPr>
          <w:rFonts w:ascii="Book Antiqua" w:hAnsi="Book Antiqua" w:cs="宋体"/>
          <w:color w:val="000000"/>
          <w:kern w:val="0"/>
          <w:sz w:val="24"/>
        </w:rPr>
        <w:t xml:space="preserve"> 2010; </w:t>
      </w:r>
      <w:r w:rsidR="00083AFD" w:rsidRPr="00083AFD">
        <w:rPr>
          <w:rFonts w:ascii="Book Antiqua" w:hAnsi="Book Antiqua" w:cs="宋体"/>
          <w:b/>
          <w:color w:val="000000"/>
          <w:kern w:val="0"/>
          <w:sz w:val="24"/>
        </w:rPr>
        <w:t>125</w:t>
      </w:r>
      <w:r w:rsidR="00083AFD" w:rsidRPr="00083AFD">
        <w:rPr>
          <w:rFonts w:ascii="Book Antiqua" w:hAnsi="Book Antiqua" w:cs="宋体" w:hint="eastAsia"/>
          <w:b/>
          <w:color w:val="000000"/>
          <w:kern w:val="0"/>
          <w:sz w:val="24"/>
        </w:rPr>
        <w:t xml:space="preserve"> </w:t>
      </w:r>
      <w:r w:rsidR="00083AFD">
        <w:rPr>
          <w:rFonts w:ascii="Book Antiqua" w:hAnsi="Book Antiqua" w:cs="宋体"/>
          <w:color w:val="000000"/>
          <w:kern w:val="0"/>
          <w:sz w:val="24"/>
        </w:rPr>
        <w:t>(</w:t>
      </w:r>
      <w:r w:rsidRPr="00226E1E">
        <w:rPr>
          <w:rFonts w:ascii="Book Antiqua" w:hAnsi="Book Antiqua" w:cs="宋体"/>
          <w:color w:val="000000"/>
          <w:kern w:val="0"/>
          <w:sz w:val="24"/>
        </w:rPr>
        <w:t>Supplement 2): S272-S283 [DOI: 10.1016/j.jaci.2009.09.045]</w:t>
      </w:r>
    </w:p>
    <w:p w14:paraId="52D5DD1A"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137 </w:t>
      </w:r>
      <w:r w:rsidRPr="00226E1E">
        <w:rPr>
          <w:rFonts w:ascii="Book Antiqua" w:hAnsi="Book Antiqua" w:cs="宋体"/>
          <w:b/>
          <w:bCs/>
          <w:color w:val="000000"/>
          <w:kern w:val="0"/>
          <w:sz w:val="24"/>
        </w:rPr>
        <w:t>Sakaguchi S</w:t>
      </w:r>
      <w:r w:rsidRPr="00226E1E">
        <w:rPr>
          <w:rFonts w:ascii="Book Antiqua" w:hAnsi="Book Antiqua" w:cs="宋体"/>
          <w:color w:val="000000"/>
          <w:kern w:val="0"/>
          <w:sz w:val="24"/>
        </w:rPr>
        <w:t>, Powrie F. Emerging challenges in regulatory T cell function and biology. </w:t>
      </w:r>
      <w:r w:rsidRPr="00226E1E">
        <w:rPr>
          <w:rFonts w:ascii="Book Antiqua" w:hAnsi="Book Antiqua" w:cs="宋体"/>
          <w:i/>
          <w:iCs/>
          <w:color w:val="000000"/>
          <w:kern w:val="0"/>
          <w:sz w:val="24"/>
        </w:rPr>
        <w:t>Science</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317</w:t>
      </w:r>
      <w:r w:rsidRPr="00226E1E">
        <w:rPr>
          <w:rFonts w:ascii="Book Antiqua" w:hAnsi="Book Antiqua" w:cs="宋体"/>
          <w:color w:val="000000"/>
          <w:kern w:val="0"/>
          <w:sz w:val="24"/>
        </w:rPr>
        <w:t>: 627-629 [PMID: 17673654 DOI: 10.1126/science.1142331]</w:t>
      </w:r>
    </w:p>
    <w:p w14:paraId="71902175"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138 </w:t>
      </w:r>
      <w:r w:rsidRPr="00226E1E">
        <w:rPr>
          <w:rFonts w:ascii="Book Antiqua" w:hAnsi="Book Antiqua" w:cs="宋体"/>
          <w:b/>
          <w:bCs/>
          <w:color w:val="000000"/>
          <w:kern w:val="0"/>
          <w:sz w:val="24"/>
        </w:rPr>
        <w:t>Zhou J</w:t>
      </w:r>
      <w:r w:rsidRPr="00226E1E">
        <w:rPr>
          <w:rFonts w:ascii="Book Antiqua" w:hAnsi="Book Antiqua" w:cs="宋体"/>
          <w:color w:val="000000"/>
          <w:kern w:val="0"/>
          <w:sz w:val="24"/>
        </w:rPr>
        <w:t>, Ding T, Pan W, Zhu LY, Li L, Zheng L. Increased intratumoral regulatory T cells are related to intratumoral macrophages and poor prognosis in hepatocellular carcinoma patients. </w:t>
      </w:r>
      <w:r w:rsidRPr="00226E1E">
        <w:rPr>
          <w:rFonts w:ascii="Book Antiqua" w:hAnsi="Book Antiqua" w:cs="宋体"/>
          <w:i/>
          <w:iCs/>
          <w:color w:val="000000"/>
          <w:kern w:val="0"/>
          <w:sz w:val="24"/>
        </w:rPr>
        <w:t>Int J Cancer</w:t>
      </w:r>
      <w:r w:rsidRPr="00226E1E">
        <w:rPr>
          <w:rFonts w:ascii="Book Antiqua" w:hAnsi="Book Antiqua" w:cs="宋体"/>
          <w:color w:val="000000"/>
          <w:kern w:val="0"/>
          <w:sz w:val="24"/>
        </w:rPr>
        <w:t> 2009; </w:t>
      </w:r>
      <w:r w:rsidRPr="00226E1E">
        <w:rPr>
          <w:rFonts w:ascii="Book Antiqua" w:hAnsi="Book Antiqua" w:cs="宋体"/>
          <w:b/>
          <w:bCs/>
          <w:color w:val="000000"/>
          <w:kern w:val="0"/>
          <w:sz w:val="24"/>
        </w:rPr>
        <w:t>125</w:t>
      </w:r>
      <w:r w:rsidRPr="00226E1E">
        <w:rPr>
          <w:rFonts w:ascii="Book Antiqua" w:hAnsi="Book Antiqua" w:cs="宋体"/>
          <w:color w:val="000000"/>
          <w:kern w:val="0"/>
          <w:sz w:val="24"/>
        </w:rPr>
        <w:t>: 1640-1648 [PMID: 19569243 DOI: 10.1002/ijc.24556]</w:t>
      </w:r>
    </w:p>
    <w:p w14:paraId="41607EBD"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139 </w:t>
      </w:r>
      <w:r w:rsidRPr="00226E1E">
        <w:rPr>
          <w:rFonts w:ascii="Book Antiqua" w:hAnsi="Book Antiqua" w:cs="宋体"/>
          <w:b/>
          <w:bCs/>
          <w:color w:val="000000"/>
          <w:kern w:val="0"/>
          <w:sz w:val="24"/>
        </w:rPr>
        <w:t>Kobayashi N</w:t>
      </w:r>
      <w:r w:rsidRPr="00226E1E">
        <w:rPr>
          <w:rFonts w:ascii="Book Antiqua" w:hAnsi="Book Antiqua" w:cs="宋体"/>
          <w:color w:val="000000"/>
          <w:kern w:val="0"/>
          <w:sz w:val="24"/>
        </w:rPr>
        <w:t>, Hiraoka N, Yamagami W, Ojima H, Kanai Y, Kosuge T, Nakajima A, Hirohashi S. FOXP3+ regulatory T cells affect the development and progression of hepatocarcinogenesis. </w:t>
      </w:r>
      <w:r w:rsidRPr="00226E1E">
        <w:rPr>
          <w:rFonts w:ascii="Book Antiqua" w:hAnsi="Book Antiqua" w:cs="宋体"/>
          <w:i/>
          <w:iCs/>
          <w:color w:val="000000"/>
          <w:kern w:val="0"/>
          <w:sz w:val="24"/>
        </w:rPr>
        <w:t>Clin Cancer Res</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13</w:t>
      </w:r>
      <w:r w:rsidRPr="00226E1E">
        <w:rPr>
          <w:rFonts w:ascii="Book Antiqua" w:hAnsi="Book Antiqua" w:cs="宋体"/>
          <w:color w:val="000000"/>
          <w:kern w:val="0"/>
          <w:sz w:val="24"/>
        </w:rPr>
        <w:t>: 902-911 [PMID: 17289884 DOI: 10.1158/1078-0432.CCR-06-2363]</w:t>
      </w:r>
    </w:p>
    <w:p w14:paraId="2DEAEE74"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140 </w:t>
      </w:r>
      <w:r w:rsidRPr="00226E1E">
        <w:rPr>
          <w:rFonts w:ascii="Book Antiqua" w:hAnsi="Book Antiqua" w:cs="宋体"/>
          <w:b/>
          <w:bCs/>
          <w:color w:val="000000"/>
          <w:kern w:val="0"/>
          <w:sz w:val="24"/>
        </w:rPr>
        <w:t>Gao Q</w:t>
      </w:r>
      <w:r w:rsidRPr="00226E1E">
        <w:rPr>
          <w:rFonts w:ascii="Book Antiqua" w:hAnsi="Book Antiqua" w:cs="宋体"/>
          <w:color w:val="000000"/>
          <w:kern w:val="0"/>
          <w:sz w:val="24"/>
        </w:rPr>
        <w:t>, Qiu SJ, Fan J, Zhou J, Wang XY, Xiao YS, Xu Y, Li YW, Tang ZY. Intratumoral balance of regulatory and cytotoxic T cells is associated with prognosis of hepatocellular carcinoma after resection. </w:t>
      </w:r>
      <w:r w:rsidRPr="00226E1E">
        <w:rPr>
          <w:rFonts w:ascii="Book Antiqua" w:hAnsi="Book Antiqua" w:cs="宋体"/>
          <w:i/>
          <w:iCs/>
          <w:color w:val="000000"/>
          <w:kern w:val="0"/>
          <w:sz w:val="24"/>
        </w:rPr>
        <w:t>J Clin Oncol</w:t>
      </w:r>
      <w:r w:rsidRPr="00226E1E">
        <w:rPr>
          <w:rFonts w:ascii="Book Antiqua" w:hAnsi="Book Antiqua" w:cs="宋体"/>
          <w:color w:val="000000"/>
          <w:kern w:val="0"/>
          <w:sz w:val="24"/>
        </w:rPr>
        <w:t> 2007; </w:t>
      </w:r>
      <w:r w:rsidRPr="00226E1E">
        <w:rPr>
          <w:rFonts w:ascii="Book Antiqua" w:hAnsi="Book Antiqua" w:cs="宋体"/>
          <w:b/>
          <w:bCs/>
          <w:color w:val="000000"/>
          <w:kern w:val="0"/>
          <w:sz w:val="24"/>
        </w:rPr>
        <w:t>25</w:t>
      </w:r>
      <w:r w:rsidRPr="00226E1E">
        <w:rPr>
          <w:rFonts w:ascii="Book Antiqua" w:hAnsi="Book Antiqua" w:cs="宋体"/>
          <w:color w:val="000000"/>
          <w:kern w:val="0"/>
          <w:sz w:val="24"/>
        </w:rPr>
        <w:t>: 2586-2593 [PMID: 17577038 DOI: 10.1200/JCO.2006.09.4565]</w:t>
      </w:r>
    </w:p>
    <w:p w14:paraId="28CAB128"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141 </w:t>
      </w:r>
      <w:r w:rsidRPr="00226E1E">
        <w:rPr>
          <w:rFonts w:ascii="Book Antiqua" w:hAnsi="Book Antiqua" w:cs="宋体"/>
          <w:b/>
          <w:bCs/>
          <w:color w:val="000000"/>
          <w:kern w:val="0"/>
          <w:sz w:val="24"/>
        </w:rPr>
        <w:t>Huang Y</w:t>
      </w:r>
      <w:r w:rsidRPr="00226E1E">
        <w:rPr>
          <w:rFonts w:ascii="Book Antiqua" w:hAnsi="Book Antiqua" w:cs="宋体"/>
          <w:color w:val="000000"/>
          <w:kern w:val="0"/>
          <w:sz w:val="24"/>
        </w:rPr>
        <w:t xml:space="preserve">, Wang FM, Wang T, Wang YJ, Zhu ZY, </w:t>
      </w:r>
      <w:proofErr w:type="gramStart"/>
      <w:r w:rsidRPr="00226E1E">
        <w:rPr>
          <w:rFonts w:ascii="Book Antiqua" w:hAnsi="Book Antiqua" w:cs="宋体"/>
          <w:color w:val="000000"/>
          <w:kern w:val="0"/>
          <w:sz w:val="24"/>
        </w:rPr>
        <w:t>Gao</w:t>
      </w:r>
      <w:proofErr w:type="gramEnd"/>
      <w:r w:rsidRPr="00226E1E">
        <w:rPr>
          <w:rFonts w:ascii="Book Antiqua" w:hAnsi="Book Antiqua" w:cs="宋体"/>
          <w:color w:val="000000"/>
          <w:kern w:val="0"/>
          <w:sz w:val="24"/>
        </w:rPr>
        <w:t xml:space="preserve"> YT, Du Z. Tumor-infiltrating FoxP3+ Tregs and CD8+ T cells affect the prognosis of hepatocellular carcinoma patients. </w:t>
      </w:r>
      <w:r w:rsidRPr="00226E1E">
        <w:rPr>
          <w:rFonts w:ascii="Book Antiqua" w:hAnsi="Book Antiqua" w:cs="宋体"/>
          <w:i/>
          <w:iCs/>
          <w:color w:val="000000"/>
          <w:kern w:val="0"/>
          <w:sz w:val="24"/>
        </w:rPr>
        <w:t>Digestion</w:t>
      </w:r>
      <w:r w:rsidRPr="00226E1E">
        <w:rPr>
          <w:rFonts w:ascii="Book Antiqua" w:hAnsi="Book Antiqua" w:cs="宋体"/>
          <w:color w:val="000000"/>
          <w:kern w:val="0"/>
          <w:sz w:val="24"/>
        </w:rPr>
        <w:t> 2012; </w:t>
      </w:r>
      <w:r w:rsidRPr="00226E1E">
        <w:rPr>
          <w:rFonts w:ascii="Book Antiqua" w:hAnsi="Book Antiqua" w:cs="宋体"/>
          <w:b/>
          <w:bCs/>
          <w:color w:val="000000"/>
          <w:kern w:val="0"/>
          <w:sz w:val="24"/>
        </w:rPr>
        <w:t>86</w:t>
      </w:r>
      <w:r w:rsidRPr="00226E1E">
        <w:rPr>
          <w:rFonts w:ascii="Book Antiqua" w:hAnsi="Book Antiqua" w:cs="宋体"/>
          <w:color w:val="000000"/>
          <w:kern w:val="0"/>
          <w:sz w:val="24"/>
        </w:rPr>
        <w:t>: 329-337 [PMID: 23207161 DOI: 10.1159/000342801]</w:t>
      </w:r>
    </w:p>
    <w:p w14:paraId="02FB1D48"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142 </w:t>
      </w:r>
      <w:r w:rsidRPr="00226E1E">
        <w:rPr>
          <w:rFonts w:ascii="Book Antiqua" w:hAnsi="Book Antiqua" w:cs="宋体"/>
          <w:b/>
          <w:bCs/>
          <w:color w:val="000000"/>
          <w:kern w:val="0"/>
          <w:sz w:val="24"/>
        </w:rPr>
        <w:t>Shimizu J</w:t>
      </w:r>
      <w:r w:rsidRPr="00226E1E">
        <w:rPr>
          <w:rFonts w:ascii="Book Antiqua" w:hAnsi="Book Antiqua" w:cs="宋体"/>
          <w:color w:val="000000"/>
          <w:kern w:val="0"/>
          <w:sz w:val="24"/>
        </w:rPr>
        <w:t>, Yamazaki S, Sakaguchi S. Induction of tumor immunity by removing CD25+CD4+ T cells: a common basis between tumor immunity and autoimmunity. </w:t>
      </w:r>
      <w:r w:rsidRPr="00226E1E">
        <w:rPr>
          <w:rFonts w:ascii="Book Antiqua" w:hAnsi="Book Antiqua" w:cs="宋体"/>
          <w:i/>
          <w:iCs/>
          <w:color w:val="000000"/>
          <w:kern w:val="0"/>
          <w:sz w:val="24"/>
        </w:rPr>
        <w:t>J Immunol</w:t>
      </w:r>
      <w:r w:rsidRPr="00226E1E">
        <w:rPr>
          <w:rFonts w:ascii="Book Antiqua" w:hAnsi="Book Antiqua" w:cs="宋体"/>
          <w:color w:val="000000"/>
          <w:kern w:val="0"/>
          <w:sz w:val="24"/>
        </w:rPr>
        <w:t> 1999; </w:t>
      </w:r>
      <w:r w:rsidRPr="00226E1E">
        <w:rPr>
          <w:rFonts w:ascii="Book Antiqua" w:hAnsi="Book Antiqua" w:cs="宋体"/>
          <w:b/>
          <w:bCs/>
          <w:color w:val="000000"/>
          <w:kern w:val="0"/>
          <w:sz w:val="24"/>
        </w:rPr>
        <w:t>163</w:t>
      </w:r>
      <w:r w:rsidRPr="00226E1E">
        <w:rPr>
          <w:rFonts w:ascii="Book Antiqua" w:hAnsi="Book Antiqua" w:cs="宋体"/>
          <w:color w:val="000000"/>
          <w:kern w:val="0"/>
          <w:sz w:val="24"/>
        </w:rPr>
        <w:t>: 5211-5218 [PMID: 10553041]</w:t>
      </w:r>
    </w:p>
    <w:p w14:paraId="769F0D26" w14:textId="77777777" w:rsidR="00226E1E" w:rsidRPr="00226E1E" w:rsidRDefault="00226E1E" w:rsidP="00226E1E">
      <w:pPr>
        <w:widowControl/>
        <w:spacing w:line="360" w:lineRule="auto"/>
        <w:rPr>
          <w:rFonts w:ascii="Book Antiqua" w:hAnsi="Book Antiqua" w:cs="宋体"/>
          <w:color w:val="000000"/>
          <w:kern w:val="0"/>
          <w:sz w:val="24"/>
        </w:rPr>
      </w:pPr>
      <w:r w:rsidRPr="00226E1E">
        <w:rPr>
          <w:rFonts w:ascii="Book Antiqua" w:hAnsi="Book Antiqua" w:cs="宋体"/>
          <w:color w:val="000000"/>
          <w:kern w:val="0"/>
          <w:sz w:val="24"/>
        </w:rPr>
        <w:t>143 </w:t>
      </w:r>
      <w:r w:rsidRPr="00226E1E">
        <w:rPr>
          <w:rFonts w:ascii="Book Antiqua" w:hAnsi="Book Antiqua" w:cs="宋体"/>
          <w:b/>
          <w:bCs/>
          <w:color w:val="000000"/>
          <w:kern w:val="0"/>
          <w:sz w:val="24"/>
        </w:rPr>
        <w:t>Cany J</w:t>
      </w:r>
      <w:r w:rsidRPr="00226E1E">
        <w:rPr>
          <w:rFonts w:ascii="Book Antiqua" w:hAnsi="Book Antiqua" w:cs="宋体"/>
          <w:color w:val="000000"/>
          <w:kern w:val="0"/>
          <w:sz w:val="24"/>
        </w:rPr>
        <w:t>, Tran L, Gauttier V, Judor JP, Vassaux G, Ferry N, Conchon S. Immunotherapy of hepatocellular carcinoma: is there a place for regulatory T-lymphocyte depletion? </w:t>
      </w:r>
      <w:r w:rsidRPr="00226E1E">
        <w:rPr>
          <w:rFonts w:ascii="Book Antiqua" w:hAnsi="Book Antiqua" w:cs="宋体"/>
          <w:i/>
          <w:iCs/>
          <w:color w:val="000000"/>
          <w:kern w:val="0"/>
          <w:sz w:val="24"/>
        </w:rPr>
        <w:t>Immunotherapy</w:t>
      </w:r>
      <w:r w:rsidRPr="00226E1E">
        <w:rPr>
          <w:rFonts w:ascii="Book Antiqua" w:hAnsi="Book Antiqua" w:cs="宋体"/>
          <w:color w:val="000000"/>
          <w:kern w:val="0"/>
          <w:sz w:val="24"/>
        </w:rPr>
        <w:t> 2011; </w:t>
      </w:r>
      <w:r w:rsidRPr="00226E1E">
        <w:rPr>
          <w:rFonts w:ascii="Book Antiqua" w:hAnsi="Book Antiqua" w:cs="宋体"/>
          <w:b/>
          <w:bCs/>
          <w:color w:val="000000"/>
          <w:kern w:val="0"/>
          <w:sz w:val="24"/>
        </w:rPr>
        <w:t>3</w:t>
      </w:r>
      <w:r w:rsidRPr="00226E1E">
        <w:rPr>
          <w:rFonts w:ascii="Book Antiqua" w:hAnsi="Book Antiqua" w:cs="宋体"/>
          <w:color w:val="000000"/>
          <w:kern w:val="0"/>
          <w:sz w:val="24"/>
        </w:rPr>
        <w:t>: 32-34 [PMID: 21524167 DOI: 10.2217/imt.11.29]</w:t>
      </w:r>
    </w:p>
    <w:p w14:paraId="24562A2B" w14:textId="77777777" w:rsidR="00F45BC7" w:rsidRPr="00B00AC1" w:rsidRDefault="00F45BC7" w:rsidP="00B00AC1">
      <w:pPr>
        <w:spacing w:line="360" w:lineRule="auto"/>
        <w:rPr>
          <w:rFonts w:ascii="Book Antiqua" w:hAnsi="Book Antiqua"/>
          <w:noProof/>
          <w:sz w:val="24"/>
        </w:rPr>
      </w:pPr>
    </w:p>
    <w:p w14:paraId="1B9CECA6" w14:textId="77777777" w:rsidR="00083AFD" w:rsidRDefault="00083AFD" w:rsidP="00DD3811">
      <w:pPr>
        <w:wordWrap w:val="0"/>
        <w:ind w:left="520" w:hangingChars="200" w:hanging="520"/>
        <w:jc w:val="right"/>
        <w:rPr>
          <w:rFonts w:ascii="Book Antiqua" w:hAnsi="Book Antiqua"/>
          <w:sz w:val="24"/>
        </w:rPr>
      </w:pPr>
      <w:r w:rsidRPr="00083AFD">
        <w:rPr>
          <w:rFonts w:ascii="Book Antiqua" w:hAnsi="Book Antiqua"/>
          <w:b/>
          <w:sz w:val="24"/>
        </w:rPr>
        <w:t>P-Reviewer:</w:t>
      </w:r>
      <w:r w:rsidRPr="00083AFD">
        <w:rPr>
          <w:rFonts w:ascii="Book Antiqua" w:hAnsi="Book Antiqua"/>
          <w:sz w:val="24"/>
        </w:rPr>
        <w:t xml:space="preserve"> </w:t>
      </w:r>
      <w:r>
        <w:rPr>
          <w:rFonts w:ascii="Book Antiqua" w:hAnsi="Book Antiqua"/>
          <w:sz w:val="24"/>
        </w:rPr>
        <w:t>Lakatos</w:t>
      </w:r>
      <w:r w:rsidRPr="00083AFD">
        <w:rPr>
          <w:rFonts w:ascii="Book Antiqua" w:hAnsi="Book Antiqua"/>
          <w:sz w:val="24"/>
        </w:rPr>
        <w:t xml:space="preserve"> PL</w:t>
      </w:r>
      <w:r w:rsidRPr="00083AFD">
        <w:rPr>
          <w:rFonts w:ascii="Book Antiqua" w:hAnsi="Book Antiqua" w:hint="eastAsia"/>
          <w:sz w:val="24"/>
        </w:rPr>
        <w:t>,</w:t>
      </w:r>
      <w:r w:rsidRPr="00083AFD">
        <w:rPr>
          <w:rFonts w:ascii="Book Antiqua" w:hAnsi="Book Antiqua"/>
          <w:sz w:val="24"/>
        </w:rPr>
        <w:t xml:space="preserve"> </w:t>
      </w:r>
      <w:r>
        <w:rPr>
          <w:rFonts w:ascii="Book Antiqua" w:hAnsi="Book Antiqua"/>
          <w:sz w:val="24"/>
        </w:rPr>
        <w:t>Petrovic</w:t>
      </w:r>
      <w:r w:rsidRPr="00083AFD">
        <w:rPr>
          <w:rFonts w:ascii="Book Antiqua" w:hAnsi="Book Antiqua"/>
          <w:sz w:val="24"/>
        </w:rPr>
        <w:t xml:space="preserve"> D</w:t>
      </w:r>
      <w:r w:rsidRPr="00083AFD">
        <w:rPr>
          <w:rFonts w:ascii="Book Antiqua" w:hAnsi="Book Antiqua" w:hint="eastAsia"/>
          <w:sz w:val="24"/>
        </w:rPr>
        <w:t xml:space="preserve"> </w:t>
      </w:r>
      <w:r w:rsidRPr="00083AFD">
        <w:rPr>
          <w:rFonts w:ascii="Book Antiqua" w:hAnsi="Book Antiqua"/>
          <w:b/>
          <w:sz w:val="24"/>
        </w:rPr>
        <w:t>S-Editor:</w:t>
      </w:r>
      <w:r w:rsidRPr="00083AFD">
        <w:rPr>
          <w:rFonts w:ascii="Book Antiqua" w:hAnsi="Book Antiqua" w:hint="eastAsia"/>
          <w:sz w:val="24"/>
        </w:rPr>
        <w:t xml:space="preserve"> </w:t>
      </w:r>
      <w:r>
        <w:rPr>
          <w:rFonts w:ascii="Book Antiqua" w:hAnsi="Book Antiqua" w:hint="eastAsia"/>
          <w:sz w:val="24"/>
        </w:rPr>
        <w:t>Song XX</w:t>
      </w:r>
      <w:r w:rsidRPr="00083AFD">
        <w:rPr>
          <w:rFonts w:ascii="Book Antiqua" w:hAnsi="Book Antiqua" w:hint="eastAsia"/>
          <w:sz w:val="24"/>
        </w:rPr>
        <w:t xml:space="preserve"> </w:t>
      </w:r>
    </w:p>
    <w:p w14:paraId="05EF448E" w14:textId="6E2F601D" w:rsidR="00083AFD" w:rsidRPr="00083AFD" w:rsidRDefault="00083AFD" w:rsidP="00DD3811">
      <w:pPr>
        <w:ind w:left="520" w:hangingChars="200" w:hanging="520"/>
        <w:jc w:val="right"/>
        <w:rPr>
          <w:rFonts w:ascii="Book Antiqua" w:hAnsi="Book Antiqua"/>
          <w:sz w:val="24"/>
        </w:rPr>
      </w:pPr>
      <w:r w:rsidRPr="00083AFD">
        <w:rPr>
          <w:rFonts w:ascii="Book Antiqua" w:hAnsi="Book Antiqua"/>
          <w:b/>
          <w:sz w:val="24"/>
        </w:rPr>
        <w:t>L</w:t>
      </w:r>
      <w:r w:rsidRPr="00083AFD">
        <w:rPr>
          <w:rFonts w:ascii="Book Antiqua" w:hAnsi="Book Antiqua" w:hint="eastAsia"/>
          <w:b/>
          <w:sz w:val="24"/>
        </w:rPr>
        <w:t>-</w:t>
      </w:r>
      <w:r w:rsidRPr="00083AFD">
        <w:rPr>
          <w:rFonts w:ascii="Book Antiqua" w:hAnsi="Book Antiqua"/>
          <w:b/>
          <w:sz w:val="24"/>
        </w:rPr>
        <w:t>Editor:</w:t>
      </w:r>
      <w:r w:rsidRPr="00083AFD">
        <w:rPr>
          <w:rFonts w:ascii="Book Antiqua" w:hAnsi="Book Antiqua"/>
          <w:sz w:val="24"/>
        </w:rPr>
        <w:t xml:space="preserve"> </w:t>
      </w:r>
      <w:r w:rsidRPr="00083AFD">
        <w:rPr>
          <w:rFonts w:ascii="Book Antiqua" w:hAnsi="Book Antiqua"/>
          <w:b/>
          <w:sz w:val="24"/>
        </w:rPr>
        <w:t>E</w:t>
      </w:r>
      <w:r w:rsidRPr="00083AFD">
        <w:rPr>
          <w:rFonts w:ascii="Book Antiqua" w:hAnsi="Book Antiqua" w:hint="eastAsia"/>
          <w:b/>
          <w:sz w:val="24"/>
        </w:rPr>
        <w:t>-</w:t>
      </w:r>
      <w:r w:rsidRPr="00083AFD">
        <w:rPr>
          <w:rFonts w:ascii="Book Antiqua" w:hAnsi="Book Antiqua"/>
          <w:b/>
          <w:sz w:val="24"/>
        </w:rPr>
        <w:t>Editor:</w:t>
      </w:r>
    </w:p>
    <w:p w14:paraId="5C558CCF" w14:textId="1C695585" w:rsidR="0090045D" w:rsidRDefault="0090045D" w:rsidP="00B00AC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kern w:val="0"/>
          <w:sz w:val="24"/>
        </w:rPr>
      </w:pPr>
      <w:r>
        <w:rPr>
          <w:rFonts w:ascii="Book Antiqua" w:hAnsi="Book Antiqua"/>
          <w:b/>
          <w:bCs/>
          <w:noProof/>
          <w:kern w:val="0"/>
          <w:sz w:val="24"/>
          <w:lang w:eastAsia="en-US"/>
        </w:rPr>
        <w:drawing>
          <wp:inline distT="0" distB="0" distL="0" distR="0" wp14:anchorId="2DDD9164" wp14:editId="10F18433">
            <wp:extent cx="3600450" cy="2628900"/>
            <wp:effectExtent l="0" t="0" r="0" b="0"/>
            <wp:docPr id="1" name="图片 1" descr="E:\宋秀霞\新期刊\修回稿\已编辑，给作者发信修改\作者改回\13610\Fig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宋秀霞\新期刊\修回稿\已编辑，给作者发信修改\作者改回\13610\Figure.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2628900"/>
                    </a:xfrm>
                    <a:prstGeom prst="rect">
                      <a:avLst/>
                    </a:prstGeom>
                    <a:noFill/>
                    <a:ln>
                      <a:noFill/>
                    </a:ln>
                  </pic:spPr>
                </pic:pic>
              </a:graphicData>
            </a:graphic>
          </wp:inline>
        </w:drawing>
      </w:r>
    </w:p>
    <w:p w14:paraId="5907D437" w14:textId="7ED68F1D" w:rsidR="0090045D" w:rsidRPr="0090045D" w:rsidRDefault="0090045D" w:rsidP="0090045D">
      <w:pPr>
        <w:spacing w:line="360" w:lineRule="auto"/>
        <w:rPr>
          <w:rFonts w:ascii="Book Antiqua" w:hAnsi="Book Antiqua"/>
          <w:sz w:val="24"/>
        </w:rPr>
      </w:pPr>
      <w:r w:rsidRPr="00B00AC1">
        <w:rPr>
          <w:rFonts w:ascii="Book Antiqua" w:hAnsi="Book Antiqua"/>
          <w:b/>
          <w:bCs/>
          <w:kern w:val="0"/>
          <w:sz w:val="24"/>
        </w:rPr>
        <w:t>Figure 1</w:t>
      </w:r>
      <w:r w:rsidRPr="00B00AC1">
        <w:rPr>
          <w:rFonts w:ascii="Book Antiqua" w:hAnsi="Book Antiqua"/>
          <w:kern w:val="0"/>
          <w:sz w:val="24"/>
        </w:rPr>
        <w:t xml:space="preserve"> </w:t>
      </w:r>
      <w:r w:rsidRPr="00B00AC1">
        <w:rPr>
          <w:rFonts w:ascii="Book Antiqua" w:hAnsi="Book Antiqua"/>
          <w:b/>
          <w:kern w:val="0"/>
          <w:sz w:val="24"/>
        </w:rPr>
        <w:t xml:space="preserve">Principles of immunotherapy on hepatocellular carcinoma. </w:t>
      </w:r>
      <w:r w:rsidRPr="00B00AC1">
        <w:rPr>
          <w:rFonts w:ascii="Book Antiqua" w:hAnsi="Book Antiqua"/>
          <w:kern w:val="0"/>
          <w:sz w:val="24"/>
        </w:rPr>
        <w:t>NK</w:t>
      </w:r>
      <w:r>
        <w:rPr>
          <w:rFonts w:ascii="Book Antiqua" w:hAnsi="Book Antiqua" w:hint="eastAsia"/>
          <w:kern w:val="0"/>
          <w:sz w:val="24"/>
        </w:rPr>
        <w:t>:</w:t>
      </w:r>
      <w:r w:rsidRPr="00B00AC1">
        <w:rPr>
          <w:rFonts w:ascii="Book Antiqua" w:hAnsi="Book Antiqua"/>
          <w:kern w:val="0"/>
          <w:sz w:val="24"/>
        </w:rPr>
        <w:t xml:space="preserve"> Natural killer; LAK</w:t>
      </w:r>
      <w:r>
        <w:rPr>
          <w:rFonts w:ascii="Book Antiqua" w:hAnsi="Book Antiqua" w:hint="eastAsia"/>
          <w:kern w:val="0"/>
          <w:sz w:val="24"/>
        </w:rPr>
        <w:t>:</w:t>
      </w:r>
      <w:r w:rsidRPr="00B00AC1">
        <w:rPr>
          <w:rFonts w:ascii="Book Antiqua" w:hAnsi="Book Antiqua"/>
          <w:kern w:val="0"/>
          <w:sz w:val="24"/>
        </w:rPr>
        <w:t xml:space="preserve"> </w:t>
      </w:r>
      <w:r w:rsidRPr="00B00AC1">
        <w:rPr>
          <w:rFonts w:ascii="Book Antiqua" w:hAnsi="Book Antiqua" w:cs="Arial"/>
          <w:sz w:val="24"/>
        </w:rPr>
        <w:t>Lymphokine-activated killer; NKT</w:t>
      </w:r>
      <w:r>
        <w:rPr>
          <w:rFonts w:ascii="Book Antiqua" w:hAnsi="Book Antiqua" w:cs="Arial" w:hint="eastAsia"/>
          <w:sz w:val="24"/>
        </w:rPr>
        <w:t>:</w:t>
      </w:r>
      <w:r w:rsidRPr="00B00AC1">
        <w:rPr>
          <w:rFonts w:ascii="Book Antiqua" w:hAnsi="Book Antiqua" w:cs="Arial"/>
          <w:sz w:val="24"/>
        </w:rPr>
        <w:t xml:space="preserve"> Natural killer T; CIK</w:t>
      </w:r>
      <w:r>
        <w:rPr>
          <w:rFonts w:ascii="Book Antiqua" w:hAnsi="Book Antiqua" w:cs="Arial" w:hint="eastAsia"/>
          <w:sz w:val="24"/>
        </w:rPr>
        <w:t>:</w:t>
      </w:r>
      <w:r w:rsidRPr="00B00AC1">
        <w:rPr>
          <w:rFonts w:ascii="Book Antiqua" w:hAnsi="Book Antiqua" w:cs="Arial"/>
          <w:sz w:val="24"/>
        </w:rPr>
        <w:t xml:space="preserve"> Chemokine-induced killer; CAR-T</w:t>
      </w:r>
      <w:r>
        <w:rPr>
          <w:rFonts w:ascii="Book Antiqua" w:hAnsi="Book Antiqua" w:cs="Arial" w:hint="eastAsia"/>
          <w:sz w:val="24"/>
        </w:rPr>
        <w:t>:</w:t>
      </w:r>
      <w:r w:rsidRPr="00B00AC1">
        <w:rPr>
          <w:rFonts w:ascii="Book Antiqua" w:hAnsi="Book Antiqua" w:cs="Arial"/>
          <w:sz w:val="24"/>
        </w:rPr>
        <w:t xml:space="preserve"> Chimeric antigen receptor-T; HBV</w:t>
      </w:r>
      <w:r>
        <w:rPr>
          <w:rFonts w:ascii="Book Antiqua" w:hAnsi="Book Antiqua" w:cs="Arial" w:hint="eastAsia"/>
          <w:sz w:val="24"/>
        </w:rPr>
        <w:t>:</w:t>
      </w:r>
      <w:r w:rsidRPr="00B00AC1">
        <w:rPr>
          <w:rFonts w:ascii="Book Antiqua" w:hAnsi="Book Antiqua" w:cs="Arial"/>
          <w:sz w:val="24"/>
        </w:rPr>
        <w:t xml:space="preserve"> Hepatitis B virus; MDSC</w:t>
      </w:r>
      <w:r>
        <w:rPr>
          <w:rFonts w:ascii="Book Antiqua" w:hAnsi="Book Antiqua" w:cs="Arial" w:hint="eastAsia"/>
          <w:sz w:val="24"/>
        </w:rPr>
        <w:t>:</w:t>
      </w:r>
      <w:r w:rsidRPr="00B00AC1">
        <w:rPr>
          <w:rFonts w:ascii="Book Antiqua" w:hAnsi="Book Antiqua" w:cs="Arial"/>
          <w:sz w:val="24"/>
        </w:rPr>
        <w:t xml:space="preserve"> Myeloid-derived suppressor cells; Treg</w:t>
      </w:r>
      <w:r>
        <w:rPr>
          <w:rFonts w:ascii="Book Antiqua" w:hAnsi="Book Antiqua" w:cs="Arial" w:hint="eastAsia"/>
          <w:sz w:val="24"/>
        </w:rPr>
        <w:t>:</w:t>
      </w:r>
      <w:r w:rsidRPr="00B00AC1">
        <w:rPr>
          <w:rFonts w:ascii="Book Antiqua" w:hAnsi="Book Antiqua" w:cs="Arial"/>
          <w:sz w:val="24"/>
        </w:rPr>
        <w:t xml:space="preserve"> Regulatory T; IL-2</w:t>
      </w:r>
      <w:r>
        <w:rPr>
          <w:rFonts w:ascii="Book Antiqua" w:hAnsi="Book Antiqua" w:cs="Arial" w:hint="eastAsia"/>
          <w:sz w:val="24"/>
        </w:rPr>
        <w:t>:</w:t>
      </w:r>
      <w:r w:rsidRPr="00B00AC1">
        <w:rPr>
          <w:rFonts w:ascii="Book Antiqua" w:hAnsi="Book Antiqua" w:cs="Arial"/>
          <w:sz w:val="24"/>
        </w:rPr>
        <w:t xml:space="preserve"> Interleukin 2; IFN</w:t>
      </w:r>
      <w:r>
        <w:rPr>
          <w:rFonts w:ascii="Book Antiqua" w:hAnsi="Book Antiqua" w:cs="Arial" w:hint="eastAsia"/>
          <w:sz w:val="24"/>
        </w:rPr>
        <w:t>:</w:t>
      </w:r>
      <w:r w:rsidRPr="00B00AC1">
        <w:rPr>
          <w:rFonts w:ascii="Book Antiqua" w:hAnsi="Book Antiqua" w:cs="Arial"/>
          <w:sz w:val="24"/>
        </w:rPr>
        <w:t xml:space="preserve"> Interferon; TACE</w:t>
      </w:r>
      <w:r>
        <w:rPr>
          <w:rFonts w:ascii="Book Antiqua" w:hAnsi="Book Antiqua" w:cs="Arial" w:hint="eastAsia"/>
          <w:sz w:val="24"/>
        </w:rPr>
        <w:t>:</w:t>
      </w:r>
      <w:r w:rsidRPr="00B00AC1">
        <w:rPr>
          <w:rFonts w:ascii="Book Antiqua" w:hAnsi="Book Antiqua" w:cs="Arial"/>
          <w:sz w:val="24"/>
        </w:rPr>
        <w:t xml:space="preserve"> Transarterial chemoembolization; RFA</w:t>
      </w:r>
      <w:r>
        <w:rPr>
          <w:rFonts w:ascii="Book Antiqua" w:hAnsi="Book Antiqua" w:cs="Arial" w:hint="eastAsia"/>
          <w:sz w:val="24"/>
        </w:rPr>
        <w:t>:</w:t>
      </w:r>
      <w:r w:rsidRPr="00B00AC1">
        <w:rPr>
          <w:rFonts w:ascii="Book Antiqua" w:hAnsi="Book Antiqua" w:cs="Arial"/>
          <w:sz w:val="24"/>
        </w:rPr>
        <w:t xml:space="preserve"> Radiofrequency ablation; HCC</w:t>
      </w:r>
      <w:r>
        <w:rPr>
          <w:rFonts w:ascii="Book Antiqua" w:hAnsi="Book Antiqua" w:cs="Arial" w:hint="eastAsia"/>
          <w:sz w:val="24"/>
        </w:rPr>
        <w:t>:</w:t>
      </w:r>
      <w:r w:rsidRPr="00B00AC1">
        <w:rPr>
          <w:rFonts w:ascii="Book Antiqua" w:hAnsi="Book Antiqua" w:cs="Arial"/>
          <w:sz w:val="24"/>
        </w:rPr>
        <w:t xml:space="preserve"> Hepatocellular carcinoma.</w:t>
      </w:r>
    </w:p>
    <w:p w14:paraId="1C6514DB" w14:textId="77777777" w:rsidR="0090045D" w:rsidRDefault="0090045D" w:rsidP="00B00AC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kern w:val="0"/>
          <w:sz w:val="24"/>
        </w:rPr>
      </w:pPr>
    </w:p>
    <w:p w14:paraId="05929741" w14:textId="1D0F0512" w:rsidR="003201B3" w:rsidRPr="00B00AC1" w:rsidRDefault="003201B3" w:rsidP="00B00AC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 w:val="24"/>
        </w:rPr>
      </w:pPr>
      <w:r w:rsidRPr="00B00AC1">
        <w:rPr>
          <w:rFonts w:ascii="Book Antiqua" w:hAnsi="Book Antiqua"/>
          <w:b/>
          <w:bCs/>
          <w:kern w:val="0"/>
          <w:sz w:val="24"/>
        </w:rPr>
        <w:t>Table 1</w:t>
      </w:r>
      <w:r w:rsidRPr="00B00AC1">
        <w:rPr>
          <w:rFonts w:ascii="Book Antiqua" w:hAnsi="Book Antiqua"/>
          <w:kern w:val="0"/>
          <w:sz w:val="24"/>
        </w:rPr>
        <w:t xml:space="preserve"> </w:t>
      </w:r>
      <w:r w:rsidRPr="00083AFD">
        <w:rPr>
          <w:rFonts w:ascii="Book Antiqua" w:hAnsi="Book Antiqua"/>
          <w:b/>
          <w:kern w:val="0"/>
          <w:sz w:val="24"/>
        </w:rPr>
        <w:t>Information of clinical trials of checkpoint blockade on hepa</w:t>
      </w:r>
      <w:r w:rsidR="00083AFD" w:rsidRPr="00083AFD">
        <w:rPr>
          <w:rFonts w:ascii="Book Antiqua" w:hAnsi="Book Antiqua"/>
          <w:b/>
          <w:kern w:val="0"/>
          <w:sz w:val="24"/>
        </w:rPr>
        <w:t>tocellular carcinoma after 2008</w:t>
      </w:r>
    </w:p>
    <w:tbl>
      <w:tblPr>
        <w:tblStyle w:val="TableGrid"/>
        <w:tblW w:w="8931" w:type="dxa"/>
        <w:tblInd w:w="-17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60"/>
        <w:gridCol w:w="992"/>
        <w:gridCol w:w="709"/>
        <w:gridCol w:w="1788"/>
        <w:gridCol w:w="55"/>
        <w:gridCol w:w="1134"/>
        <w:gridCol w:w="1417"/>
        <w:gridCol w:w="1276"/>
      </w:tblGrid>
      <w:tr w:rsidR="003201B3" w:rsidRPr="00B00AC1" w14:paraId="529BB296" w14:textId="77777777" w:rsidTr="00083AFD">
        <w:trPr>
          <w:trHeight w:val="1408"/>
        </w:trPr>
        <w:tc>
          <w:tcPr>
            <w:tcW w:w="1560" w:type="dxa"/>
            <w:tcBorders>
              <w:top w:val="single" w:sz="4" w:space="0" w:color="auto"/>
              <w:bottom w:val="single" w:sz="4" w:space="0" w:color="auto"/>
            </w:tcBorders>
            <w:shd w:val="clear" w:color="auto" w:fill="auto"/>
          </w:tcPr>
          <w:p w14:paraId="0B234DED" w14:textId="77777777" w:rsidR="003201B3" w:rsidRPr="00B00AC1" w:rsidRDefault="003201B3" w:rsidP="00B00AC1">
            <w:pPr>
              <w:keepNext/>
              <w:keepLines/>
              <w:spacing w:line="360" w:lineRule="auto"/>
              <w:rPr>
                <w:rFonts w:ascii="Book Antiqua" w:hAnsi="Book Antiqua"/>
                <w:b/>
                <w:sz w:val="24"/>
              </w:rPr>
            </w:pPr>
            <w:r w:rsidRPr="00B00AC1">
              <w:rPr>
                <w:rFonts w:ascii="Book Antiqua" w:hAnsi="Book Antiqua"/>
                <w:b/>
                <w:sz w:val="24"/>
              </w:rPr>
              <w:t>Interventions</w:t>
            </w:r>
          </w:p>
        </w:tc>
        <w:tc>
          <w:tcPr>
            <w:tcW w:w="992" w:type="dxa"/>
            <w:tcBorders>
              <w:top w:val="single" w:sz="4" w:space="0" w:color="auto"/>
              <w:bottom w:val="single" w:sz="4" w:space="0" w:color="auto"/>
            </w:tcBorders>
            <w:shd w:val="clear" w:color="auto" w:fill="auto"/>
          </w:tcPr>
          <w:p w14:paraId="64712EA0" w14:textId="77777777" w:rsidR="003201B3" w:rsidRPr="00B00AC1" w:rsidRDefault="003201B3" w:rsidP="00B00AC1">
            <w:pPr>
              <w:keepNext/>
              <w:keepLines/>
              <w:spacing w:line="360" w:lineRule="auto"/>
              <w:rPr>
                <w:rFonts w:ascii="Book Antiqua" w:hAnsi="Book Antiqua"/>
                <w:b/>
                <w:sz w:val="24"/>
              </w:rPr>
            </w:pPr>
            <w:r w:rsidRPr="00B00AC1">
              <w:rPr>
                <w:rFonts w:ascii="Book Antiqua" w:hAnsi="Book Antiqua"/>
                <w:b/>
                <w:sz w:val="24"/>
              </w:rPr>
              <w:t>Design</w:t>
            </w:r>
          </w:p>
        </w:tc>
        <w:tc>
          <w:tcPr>
            <w:tcW w:w="709" w:type="dxa"/>
            <w:tcBorders>
              <w:top w:val="single" w:sz="4" w:space="0" w:color="auto"/>
              <w:bottom w:val="single" w:sz="4" w:space="0" w:color="auto"/>
            </w:tcBorders>
            <w:shd w:val="clear" w:color="auto" w:fill="auto"/>
          </w:tcPr>
          <w:p w14:paraId="65168C6F" w14:textId="77777777" w:rsidR="003201B3" w:rsidRPr="00B00AC1" w:rsidRDefault="003201B3" w:rsidP="00B00AC1">
            <w:pPr>
              <w:keepNext/>
              <w:keepLines/>
              <w:spacing w:line="360" w:lineRule="auto"/>
              <w:rPr>
                <w:rFonts w:ascii="Book Antiqua" w:hAnsi="Book Antiqua"/>
                <w:b/>
                <w:sz w:val="24"/>
              </w:rPr>
            </w:pPr>
            <w:r w:rsidRPr="00B00AC1">
              <w:rPr>
                <w:rFonts w:ascii="Book Antiqua" w:hAnsi="Book Antiqua"/>
                <w:b/>
                <w:sz w:val="24"/>
              </w:rPr>
              <w:t>Start year</w:t>
            </w:r>
          </w:p>
        </w:tc>
        <w:tc>
          <w:tcPr>
            <w:tcW w:w="1843" w:type="dxa"/>
            <w:gridSpan w:val="2"/>
            <w:tcBorders>
              <w:top w:val="single" w:sz="4" w:space="0" w:color="auto"/>
              <w:bottom w:val="single" w:sz="4" w:space="0" w:color="auto"/>
            </w:tcBorders>
            <w:shd w:val="clear" w:color="auto" w:fill="auto"/>
          </w:tcPr>
          <w:p w14:paraId="2D167623" w14:textId="77777777" w:rsidR="003201B3" w:rsidRPr="00B00AC1" w:rsidRDefault="003201B3" w:rsidP="00B00AC1">
            <w:pPr>
              <w:keepNext/>
              <w:keepLines/>
              <w:spacing w:line="360" w:lineRule="auto"/>
              <w:rPr>
                <w:rFonts w:ascii="Book Antiqua" w:hAnsi="Book Antiqua"/>
                <w:b/>
                <w:sz w:val="24"/>
              </w:rPr>
            </w:pPr>
            <w:r w:rsidRPr="00B00AC1">
              <w:rPr>
                <w:rFonts w:ascii="Book Antiqua" w:hAnsi="Book Antiqua"/>
                <w:b/>
                <w:sz w:val="24"/>
              </w:rPr>
              <w:t>Main inclusion criteria</w:t>
            </w:r>
          </w:p>
        </w:tc>
        <w:tc>
          <w:tcPr>
            <w:tcW w:w="1134" w:type="dxa"/>
            <w:tcBorders>
              <w:top w:val="single" w:sz="4" w:space="0" w:color="auto"/>
              <w:bottom w:val="single" w:sz="4" w:space="0" w:color="auto"/>
            </w:tcBorders>
            <w:shd w:val="clear" w:color="auto" w:fill="auto"/>
          </w:tcPr>
          <w:p w14:paraId="51BEE133" w14:textId="77777777" w:rsidR="003201B3" w:rsidRPr="00B00AC1" w:rsidRDefault="003201B3" w:rsidP="00B00AC1">
            <w:pPr>
              <w:keepNext/>
              <w:keepLines/>
              <w:spacing w:line="360" w:lineRule="auto"/>
              <w:rPr>
                <w:rFonts w:ascii="Book Antiqua" w:hAnsi="Book Antiqua"/>
                <w:b/>
                <w:sz w:val="24"/>
              </w:rPr>
            </w:pPr>
            <w:r w:rsidRPr="00B00AC1">
              <w:rPr>
                <w:rFonts w:ascii="Book Antiqua" w:hAnsi="Book Antiqua"/>
                <w:b/>
                <w:sz w:val="24"/>
              </w:rPr>
              <w:t>Primary outcomes</w:t>
            </w:r>
          </w:p>
        </w:tc>
        <w:tc>
          <w:tcPr>
            <w:tcW w:w="1417" w:type="dxa"/>
            <w:tcBorders>
              <w:top w:val="single" w:sz="4" w:space="0" w:color="auto"/>
              <w:bottom w:val="single" w:sz="4" w:space="0" w:color="auto"/>
            </w:tcBorders>
            <w:shd w:val="clear" w:color="auto" w:fill="auto"/>
          </w:tcPr>
          <w:p w14:paraId="22D23C1E" w14:textId="77777777" w:rsidR="003201B3" w:rsidRPr="00B00AC1" w:rsidRDefault="003201B3" w:rsidP="00B00AC1">
            <w:pPr>
              <w:keepNext/>
              <w:keepLines/>
              <w:spacing w:line="360" w:lineRule="auto"/>
              <w:rPr>
                <w:rFonts w:ascii="Book Antiqua" w:hAnsi="Book Antiqua"/>
                <w:b/>
                <w:sz w:val="24"/>
              </w:rPr>
            </w:pPr>
            <w:r w:rsidRPr="00B00AC1">
              <w:rPr>
                <w:rFonts w:ascii="Book Antiqua" w:hAnsi="Book Antiqua"/>
                <w:b/>
                <w:sz w:val="24"/>
              </w:rPr>
              <w:t>Registered No.</w:t>
            </w:r>
          </w:p>
        </w:tc>
        <w:tc>
          <w:tcPr>
            <w:tcW w:w="1276" w:type="dxa"/>
            <w:tcBorders>
              <w:top w:val="single" w:sz="4" w:space="0" w:color="auto"/>
              <w:bottom w:val="single" w:sz="4" w:space="0" w:color="auto"/>
            </w:tcBorders>
            <w:shd w:val="clear" w:color="auto" w:fill="auto"/>
          </w:tcPr>
          <w:p w14:paraId="76591586" w14:textId="77777777" w:rsidR="003201B3" w:rsidRPr="00B00AC1" w:rsidRDefault="003201B3" w:rsidP="00B00AC1">
            <w:pPr>
              <w:keepNext/>
              <w:keepLines/>
              <w:spacing w:line="360" w:lineRule="auto"/>
              <w:rPr>
                <w:rFonts w:ascii="Book Antiqua" w:hAnsi="Book Antiqua"/>
                <w:b/>
                <w:sz w:val="24"/>
              </w:rPr>
            </w:pPr>
            <w:r w:rsidRPr="00B00AC1">
              <w:rPr>
                <w:rFonts w:ascii="Book Antiqua" w:hAnsi="Book Antiqua"/>
                <w:b/>
                <w:sz w:val="24"/>
              </w:rPr>
              <w:t>Status</w:t>
            </w:r>
          </w:p>
        </w:tc>
      </w:tr>
      <w:tr w:rsidR="003201B3" w:rsidRPr="00B00AC1" w14:paraId="665F6F6A" w14:textId="77777777" w:rsidTr="00083AFD">
        <w:trPr>
          <w:trHeight w:val="1697"/>
        </w:trPr>
        <w:tc>
          <w:tcPr>
            <w:tcW w:w="1560" w:type="dxa"/>
            <w:tcBorders>
              <w:top w:val="single" w:sz="4" w:space="0" w:color="auto"/>
              <w:bottom w:val="nil"/>
            </w:tcBorders>
            <w:shd w:val="clear" w:color="auto" w:fill="auto"/>
            <w:vAlign w:val="center"/>
          </w:tcPr>
          <w:p w14:paraId="3A1EF68A"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CP-675,206: anti-CTLA-4 antibody</w:t>
            </w:r>
          </w:p>
        </w:tc>
        <w:tc>
          <w:tcPr>
            <w:tcW w:w="992" w:type="dxa"/>
            <w:tcBorders>
              <w:top w:val="single" w:sz="4" w:space="0" w:color="auto"/>
              <w:bottom w:val="nil"/>
            </w:tcBorders>
            <w:shd w:val="clear" w:color="auto" w:fill="auto"/>
            <w:vAlign w:val="center"/>
          </w:tcPr>
          <w:p w14:paraId="50E4E200"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Phase II</w:t>
            </w:r>
          </w:p>
        </w:tc>
        <w:tc>
          <w:tcPr>
            <w:tcW w:w="709" w:type="dxa"/>
            <w:tcBorders>
              <w:top w:val="single" w:sz="4" w:space="0" w:color="auto"/>
              <w:bottom w:val="nil"/>
            </w:tcBorders>
            <w:shd w:val="clear" w:color="auto" w:fill="auto"/>
            <w:vAlign w:val="center"/>
          </w:tcPr>
          <w:p w14:paraId="77BEF9FB"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2008</w:t>
            </w:r>
          </w:p>
        </w:tc>
        <w:tc>
          <w:tcPr>
            <w:tcW w:w="1788" w:type="dxa"/>
            <w:tcBorders>
              <w:top w:val="single" w:sz="4" w:space="0" w:color="auto"/>
              <w:bottom w:val="nil"/>
            </w:tcBorders>
            <w:shd w:val="clear" w:color="auto" w:fill="auto"/>
            <w:vAlign w:val="center"/>
          </w:tcPr>
          <w:p w14:paraId="7489062B"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Unresectable disease not amenable to loco regional treatment, HCV chronic infection</w:t>
            </w:r>
          </w:p>
        </w:tc>
        <w:tc>
          <w:tcPr>
            <w:tcW w:w="1189" w:type="dxa"/>
            <w:gridSpan w:val="2"/>
            <w:tcBorders>
              <w:top w:val="single" w:sz="4" w:space="0" w:color="auto"/>
              <w:bottom w:val="nil"/>
            </w:tcBorders>
            <w:shd w:val="clear" w:color="auto" w:fill="auto"/>
            <w:vAlign w:val="center"/>
          </w:tcPr>
          <w:p w14:paraId="47BEA6B7"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Tumor response</w:t>
            </w:r>
          </w:p>
        </w:tc>
        <w:tc>
          <w:tcPr>
            <w:tcW w:w="1417" w:type="dxa"/>
            <w:tcBorders>
              <w:top w:val="single" w:sz="4" w:space="0" w:color="auto"/>
              <w:bottom w:val="nil"/>
            </w:tcBorders>
            <w:shd w:val="clear" w:color="auto" w:fill="auto"/>
            <w:vAlign w:val="center"/>
          </w:tcPr>
          <w:p w14:paraId="780EA77F"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NCT01008358</w:t>
            </w:r>
          </w:p>
        </w:tc>
        <w:tc>
          <w:tcPr>
            <w:tcW w:w="1276" w:type="dxa"/>
            <w:tcBorders>
              <w:top w:val="single" w:sz="4" w:space="0" w:color="auto"/>
              <w:bottom w:val="nil"/>
            </w:tcBorders>
            <w:shd w:val="clear" w:color="auto" w:fill="auto"/>
            <w:vAlign w:val="center"/>
          </w:tcPr>
          <w:p w14:paraId="653CBE5A"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Completed</w:t>
            </w:r>
          </w:p>
        </w:tc>
      </w:tr>
      <w:tr w:rsidR="003201B3" w:rsidRPr="00B00AC1" w14:paraId="4C91068B" w14:textId="77777777" w:rsidTr="00083AFD">
        <w:trPr>
          <w:trHeight w:val="1567"/>
        </w:trPr>
        <w:tc>
          <w:tcPr>
            <w:tcW w:w="1560" w:type="dxa"/>
            <w:tcBorders>
              <w:top w:val="nil"/>
              <w:bottom w:val="nil"/>
            </w:tcBorders>
            <w:shd w:val="clear" w:color="auto" w:fill="auto"/>
            <w:vAlign w:val="center"/>
          </w:tcPr>
          <w:p w14:paraId="764224D9"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CT-011 (Pidilizumab): anti-PD-1 antibody</w:t>
            </w:r>
          </w:p>
        </w:tc>
        <w:tc>
          <w:tcPr>
            <w:tcW w:w="992" w:type="dxa"/>
            <w:tcBorders>
              <w:top w:val="nil"/>
              <w:bottom w:val="nil"/>
            </w:tcBorders>
            <w:shd w:val="clear" w:color="auto" w:fill="auto"/>
            <w:vAlign w:val="center"/>
          </w:tcPr>
          <w:p w14:paraId="628C95E3"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Phase I/II</w:t>
            </w:r>
          </w:p>
        </w:tc>
        <w:tc>
          <w:tcPr>
            <w:tcW w:w="709" w:type="dxa"/>
            <w:tcBorders>
              <w:top w:val="nil"/>
              <w:bottom w:val="nil"/>
            </w:tcBorders>
            <w:shd w:val="clear" w:color="auto" w:fill="auto"/>
            <w:vAlign w:val="center"/>
          </w:tcPr>
          <w:p w14:paraId="465F0573"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2009</w:t>
            </w:r>
          </w:p>
        </w:tc>
        <w:tc>
          <w:tcPr>
            <w:tcW w:w="1788" w:type="dxa"/>
            <w:tcBorders>
              <w:top w:val="nil"/>
              <w:bottom w:val="nil"/>
            </w:tcBorders>
            <w:shd w:val="clear" w:color="auto" w:fill="auto"/>
            <w:vAlign w:val="center"/>
          </w:tcPr>
          <w:p w14:paraId="4660DA67"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HCC not eligible for surgery, TACE, or other systematic treatments</w:t>
            </w:r>
          </w:p>
        </w:tc>
        <w:tc>
          <w:tcPr>
            <w:tcW w:w="1189" w:type="dxa"/>
            <w:gridSpan w:val="2"/>
            <w:tcBorders>
              <w:top w:val="nil"/>
              <w:bottom w:val="nil"/>
            </w:tcBorders>
            <w:shd w:val="clear" w:color="auto" w:fill="auto"/>
            <w:vAlign w:val="center"/>
          </w:tcPr>
          <w:p w14:paraId="0CA78227" w14:textId="46C4AAC4" w:rsidR="003201B3" w:rsidRPr="00B00AC1" w:rsidRDefault="003201B3" w:rsidP="00083AFD">
            <w:pPr>
              <w:keepNext/>
              <w:keepLines/>
              <w:spacing w:line="360" w:lineRule="auto"/>
              <w:rPr>
                <w:rFonts w:ascii="Book Antiqua" w:hAnsi="Book Antiqua"/>
                <w:sz w:val="24"/>
              </w:rPr>
            </w:pPr>
            <w:r w:rsidRPr="00B00AC1">
              <w:rPr>
                <w:rFonts w:ascii="Book Antiqua" w:hAnsi="Book Antiqua"/>
                <w:sz w:val="24"/>
              </w:rPr>
              <w:t xml:space="preserve">Safety </w:t>
            </w:r>
            <w:r w:rsidR="00083AFD">
              <w:rPr>
                <w:rFonts w:ascii="Book Antiqua" w:hAnsi="Book Antiqua" w:hint="eastAsia"/>
                <w:sz w:val="24"/>
              </w:rPr>
              <w:t>and</w:t>
            </w:r>
            <w:r w:rsidRPr="00B00AC1">
              <w:rPr>
                <w:rFonts w:ascii="Book Antiqua" w:hAnsi="Book Antiqua"/>
                <w:sz w:val="24"/>
              </w:rPr>
              <w:t xml:space="preserve"> tolerability</w:t>
            </w:r>
          </w:p>
        </w:tc>
        <w:tc>
          <w:tcPr>
            <w:tcW w:w="1417" w:type="dxa"/>
            <w:tcBorders>
              <w:top w:val="nil"/>
              <w:bottom w:val="nil"/>
            </w:tcBorders>
            <w:shd w:val="clear" w:color="auto" w:fill="auto"/>
            <w:vAlign w:val="center"/>
          </w:tcPr>
          <w:p w14:paraId="1138D8C1"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NCT00966251</w:t>
            </w:r>
          </w:p>
        </w:tc>
        <w:tc>
          <w:tcPr>
            <w:tcW w:w="1276" w:type="dxa"/>
            <w:tcBorders>
              <w:top w:val="nil"/>
              <w:bottom w:val="nil"/>
            </w:tcBorders>
            <w:shd w:val="clear" w:color="auto" w:fill="auto"/>
            <w:vAlign w:val="center"/>
          </w:tcPr>
          <w:p w14:paraId="4CE01BA2"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Terminated because of slow accrual</w:t>
            </w:r>
          </w:p>
        </w:tc>
      </w:tr>
      <w:tr w:rsidR="003201B3" w:rsidRPr="00B00AC1" w14:paraId="3A7228E4" w14:textId="77777777" w:rsidTr="00083AFD">
        <w:trPr>
          <w:trHeight w:val="1257"/>
        </w:trPr>
        <w:tc>
          <w:tcPr>
            <w:tcW w:w="1560" w:type="dxa"/>
            <w:tcBorders>
              <w:top w:val="nil"/>
              <w:bottom w:val="nil"/>
            </w:tcBorders>
            <w:shd w:val="clear" w:color="auto" w:fill="auto"/>
            <w:vAlign w:val="center"/>
          </w:tcPr>
          <w:p w14:paraId="72B4E387"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Nivolumab: anti-PD-1 antibody</w:t>
            </w:r>
          </w:p>
        </w:tc>
        <w:tc>
          <w:tcPr>
            <w:tcW w:w="992" w:type="dxa"/>
            <w:tcBorders>
              <w:top w:val="nil"/>
              <w:bottom w:val="nil"/>
            </w:tcBorders>
            <w:shd w:val="clear" w:color="auto" w:fill="auto"/>
            <w:vAlign w:val="center"/>
          </w:tcPr>
          <w:p w14:paraId="20899480"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Phase I</w:t>
            </w:r>
          </w:p>
        </w:tc>
        <w:tc>
          <w:tcPr>
            <w:tcW w:w="709" w:type="dxa"/>
            <w:tcBorders>
              <w:top w:val="nil"/>
              <w:bottom w:val="nil"/>
            </w:tcBorders>
            <w:shd w:val="clear" w:color="auto" w:fill="auto"/>
            <w:vAlign w:val="center"/>
          </w:tcPr>
          <w:p w14:paraId="5912C00D"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2012</w:t>
            </w:r>
          </w:p>
        </w:tc>
        <w:tc>
          <w:tcPr>
            <w:tcW w:w="1788" w:type="dxa"/>
            <w:tcBorders>
              <w:top w:val="nil"/>
              <w:bottom w:val="nil"/>
            </w:tcBorders>
            <w:shd w:val="clear" w:color="auto" w:fill="auto"/>
            <w:vAlign w:val="center"/>
          </w:tcPr>
          <w:p w14:paraId="3F5E8C7D"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Advanced HCC, failed in previous one line therapy</w:t>
            </w:r>
          </w:p>
        </w:tc>
        <w:tc>
          <w:tcPr>
            <w:tcW w:w="1189" w:type="dxa"/>
            <w:gridSpan w:val="2"/>
            <w:tcBorders>
              <w:top w:val="nil"/>
              <w:bottom w:val="nil"/>
            </w:tcBorders>
            <w:shd w:val="clear" w:color="auto" w:fill="auto"/>
            <w:vAlign w:val="center"/>
          </w:tcPr>
          <w:p w14:paraId="2940621E"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Adverse events</w:t>
            </w:r>
          </w:p>
        </w:tc>
        <w:tc>
          <w:tcPr>
            <w:tcW w:w="1417" w:type="dxa"/>
            <w:tcBorders>
              <w:top w:val="nil"/>
              <w:bottom w:val="nil"/>
            </w:tcBorders>
            <w:shd w:val="clear" w:color="auto" w:fill="auto"/>
            <w:vAlign w:val="center"/>
          </w:tcPr>
          <w:p w14:paraId="2600D00C"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NCT01658878</w:t>
            </w:r>
          </w:p>
        </w:tc>
        <w:tc>
          <w:tcPr>
            <w:tcW w:w="1276" w:type="dxa"/>
            <w:tcBorders>
              <w:top w:val="nil"/>
              <w:bottom w:val="nil"/>
            </w:tcBorders>
            <w:shd w:val="clear" w:color="auto" w:fill="auto"/>
            <w:vAlign w:val="center"/>
          </w:tcPr>
          <w:p w14:paraId="083A2A37"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Recruiting</w:t>
            </w:r>
          </w:p>
        </w:tc>
      </w:tr>
      <w:tr w:rsidR="003201B3" w:rsidRPr="00B00AC1" w14:paraId="356B1EE2" w14:textId="77777777" w:rsidTr="00083AFD">
        <w:trPr>
          <w:trHeight w:val="1733"/>
        </w:trPr>
        <w:tc>
          <w:tcPr>
            <w:tcW w:w="1560" w:type="dxa"/>
            <w:tcBorders>
              <w:top w:val="nil"/>
              <w:bottom w:val="single" w:sz="4" w:space="0" w:color="auto"/>
            </w:tcBorders>
            <w:shd w:val="clear" w:color="auto" w:fill="auto"/>
            <w:vAlign w:val="center"/>
          </w:tcPr>
          <w:p w14:paraId="48979369"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Tremlimumab: anti-CTLA-4 antibody, combined with TACE or RFA</w:t>
            </w:r>
          </w:p>
        </w:tc>
        <w:tc>
          <w:tcPr>
            <w:tcW w:w="992" w:type="dxa"/>
            <w:tcBorders>
              <w:top w:val="nil"/>
              <w:bottom w:val="single" w:sz="4" w:space="0" w:color="auto"/>
            </w:tcBorders>
            <w:shd w:val="clear" w:color="auto" w:fill="auto"/>
            <w:vAlign w:val="center"/>
          </w:tcPr>
          <w:p w14:paraId="79FF0227"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Phase I</w:t>
            </w:r>
          </w:p>
        </w:tc>
        <w:tc>
          <w:tcPr>
            <w:tcW w:w="709" w:type="dxa"/>
            <w:tcBorders>
              <w:top w:val="nil"/>
              <w:bottom w:val="single" w:sz="4" w:space="0" w:color="auto"/>
            </w:tcBorders>
            <w:shd w:val="clear" w:color="auto" w:fill="auto"/>
            <w:vAlign w:val="center"/>
          </w:tcPr>
          <w:p w14:paraId="4702784C"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sz w:val="24"/>
              </w:rPr>
              <w:t>2013</w:t>
            </w:r>
          </w:p>
        </w:tc>
        <w:tc>
          <w:tcPr>
            <w:tcW w:w="1788" w:type="dxa"/>
            <w:tcBorders>
              <w:top w:val="nil"/>
              <w:bottom w:val="single" w:sz="4" w:space="0" w:color="auto"/>
            </w:tcBorders>
            <w:shd w:val="clear" w:color="auto" w:fill="auto"/>
            <w:vAlign w:val="center"/>
          </w:tcPr>
          <w:p w14:paraId="44CDC544"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Not amenable to curative resection, transplantation or ablation</w:t>
            </w:r>
          </w:p>
        </w:tc>
        <w:tc>
          <w:tcPr>
            <w:tcW w:w="1189" w:type="dxa"/>
            <w:gridSpan w:val="2"/>
            <w:tcBorders>
              <w:top w:val="nil"/>
              <w:bottom w:val="single" w:sz="4" w:space="0" w:color="auto"/>
            </w:tcBorders>
            <w:shd w:val="clear" w:color="auto" w:fill="auto"/>
            <w:vAlign w:val="center"/>
          </w:tcPr>
          <w:p w14:paraId="25158A63" w14:textId="58C06122" w:rsidR="003201B3" w:rsidRPr="00B00AC1" w:rsidRDefault="003201B3" w:rsidP="00083AFD">
            <w:pPr>
              <w:keepNext/>
              <w:keepLines/>
              <w:spacing w:line="360" w:lineRule="auto"/>
              <w:rPr>
                <w:rFonts w:ascii="Book Antiqua" w:hAnsi="Book Antiqua"/>
                <w:sz w:val="24"/>
              </w:rPr>
            </w:pPr>
            <w:r w:rsidRPr="00B00AC1">
              <w:rPr>
                <w:rFonts w:ascii="Book Antiqua" w:hAnsi="Book Antiqua"/>
                <w:sz w:val="24"/>
              </w:rPr>
              <w:t xml:space="preserve">Safety </w:t>
            </w:r>
            <w:r w:rsidR="00083AFD">
              <w:rPr>
                <w:rFonts w:ascii="Book Antiqua" w:hAnsi="Book Antiqua" w:hint="eastAsia"/>
                <w:sz w:val="24"/>
              </w:rPr>
              <w:t>and</w:t>
            </w:r>
            <w:r w:rsidRPr="00B00AC1">
              <w:rPr>
                <w:rFonts w:ascii="Book Antiqua" w:hAnsi="Book Antiqua"/>
                <w:sz w:val="24"/>
              </w:rPr>
              <w:t xml:space="preserve"> feasibility</w:t>
            </w:r>
          </w:p>
        </w:tc>
        <w:tc>
          <w:tcPr>
            <w:tcW w:w="1417" w:type="dxa"/>
            <w:tcBorders>
              <w:top w:val="nil"/>
              <w:bottom w:val="single" w:sz="4" w:space="0" w:color="auto"/>
            </w:tcBorders>
            <w:shd w:val="clear" w:color="auto" w:fill="auto"/>
            <w:vAlign w:val="center"/>
          </w:tcPr>
          <w:p w14:paraId="466AB2C9"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NCT01853618</w:t>
            </w:r>
          </w:p>
        </w:tc>
        <w:tc>
          <w:tcPr>
            <w:tcW w:w="1276" w:type="dxa"/>
            <w:tcBorders>
              <w:top w:val="nil"/>
              <w:bottom w:val="single" w:sz="4" w:space="0" w:color="auto"/>
            </w:tcBorders>
            <w:shd w:val="clear" w:color="auto" w:fill="auto"/>
            <w:vAlign w:val="center"/>
          </w:tcPr>
          <w:p w14:paraId="0659930D" w14:textId="77777777" w:rsidR="003201B3" w:rsidRPr="00B00AC1" w:rsidRDefault="003201B3" w:rsidP="00B00AC1">
            <w:pPr>
              <w:keepNext/>
              <w:keepLines/>
              <w:spacing w:line="360" w:lineRule="auto"/>
              <w:rPr>
                <w:rFonts w:ascii="Book Antiqua" w:hAnsi="Book Antiqua"/>
                <w:sz w:val="24"/>
              </w:rPr>
            </w:pPr>
            <w:r w:rsidRPr="00B00AC1">
              <w:rPr>
                <w:rFonts w:ascii="Book Antiqua" w:hAnsi="Book Antiqua" w:cs="Helvetica"/>
                <w:color w:val="000000"/>
                <w:kern w:val="0"/>
                <w:sz w:val="24"/>
              </w:rPr>
              <w:t>Recruiting</w:t>
            </w:r>
          </w:p>
        </w:tc>
      </w:tr>
    </w:tbl>
    <w:p w14:paraId="698C90AD" w14:textId="168A734E" w:rsidR="003201B3" w:rsidRPr="00B00AC1" w:rsidRDefault="003201B3" w:rsidP="00B00AC1">
      <w:pPr>
        <w:spacing w:line="360" w:lineRule="auto"/>
        <w:rPr>
          <w:rFonts w:ascii="Book Antiqua" w:hAnsi="Book Antiqua"/>
          <w:sz w:val="24"/>
        </w:rPr>
      </w:pPr>
      <w:r w:rsidRPr="00B00AC1">
        <w:rPr>
          <w:rFonts w:ascii="Book Antiqua" w:hAnsi="Book Antiqua"/>
          <w:kern w:val="0"/>
          <w:sz w:val="24"/>
        </w:rPr>
        <w:t>HCV</w:t>
      </w:r>
      <w:r w:rsidR="00083AFD">
        <w:rPr>
          <w:rFonts w:ascii="Book Antiqua" w:hAnsi="Book Antiqua" w:hint="eastAsia"/>
          <w:kern w:val="0"/>
          <w:sz w:val="24"/>
        </w:rPr>
        <w:t>:</w:t>
      </w:r>
      <w:r w:rsidRPr="00B00AC1">
        <w:rPr>
          <w:rFonts w:ascii="Book Antiqua" w:hAnsi="Book Antiqua"/>
          <w:kern w:val="0"/>
          <w:sz w:val="24"/>
        </w:rPr>
        <w:t xml:space="preserve"> </w:t>
      </w:r>
      <w:r w:rsidR="00083AFD" w:rsidRPr="00B00AC1">
        <w:rPr>
          <w:rFonts w:ascii="Book Antiqua" w:hAnsi="Book Antiqua"/>
          <w:kern w:val="0"/>
          <w:sz w:val="24"/>
        </w:rPr>
        <w:t>H</w:t>
      </w:r>
      <w:r w:rsidRPr="00B00AC1">
        <w:rPr>
          <w:rFonts w:ascii="Book Antiqua" w:hAnsi="Book Antiqua"/>
          <w:kern w:val="0"/>
          <w:sz w:val="24"/>
        </w:rPr>
        <w:t>epatitis C virus; RFA</w:t>
      </w:r>
      <w:r w:rsidR="00083AFD">
        <w:rPr>
          <w:rFonts w:ascii="Book Antiqua" w:hAnsi="Book Antiqua" w:hint="eastAsia"/>
          <w:kern w:val="0"/>
          <w:sz w:val="24"/>
        </w:rPr>
        <w:t>:</w:t>
      </w:r>
      <w:r w:rsidRPr="00B00AC1">
        <w:rPr>
          <w:rFonts w:ascii="Book Antiqua" w:hAnsi="Book Antiqua"/>
          <w:kern w:val="0"/>
          <w:sz w:val="24"/>
        </w:rPr>
        <w:t xml:space="preserve"> </w:t>
      </w:r>
      <w:r w:rsidR="00083AFD" w:rsidRPr="00B00AC1">
        <w:rPr>
          <w:rFonts w:ascii="Book Antiqua" w:hAnsi="Book Antiqua"/>
          <w:kern w:val="0"/>
          <w:sz w:val="24"/>
        </w:rPr>
        <w:t>R</w:t>
      </w:r>
      <w:r w:rsidRPr="00B00AC1">
        <w:rPr>
          <w:rFonts w:ascii="Book Antiqua" w:hAnsi="Book Antiqua"/>
          <w:kern w:val="0"/>
          <w:sz w:val="24"/>
        </w:rPr>
        <w:t>adiofrequency ablation; TACE</w:t>
      </w:r>
      <w:r w:rsidR="00083AFD">
        <w:rPr>
          <w:rFonts w:ascii="Book Antiqua" w:hAnsi="Book Antiqua" w:hint="eastAsia"/>
          <w:kern w:val="0"/>
          <w:sz w:val="24"/>
        </w:rPr>
        <w:t>:</w:t>
      </w:r>
      <w:r w:rsidRPr="00B00AC1">
        <w:rPr>
          <w:rFonts w:ascii="Book Antiqua" w:hAnsi="Book Antiqua"/>
          <w:kern w:val="0"/>
          <w:sz w:val="24"/>
        </w:rPr>
        <w:t xml:space="preserve"> </w:t>
      </w:r>
      <w:r w:rsidR="00083AFD" w:rsidRPr="00B00AC1">
        <w:rPr>
          <w:rFonts w:ascii="Book Antiqua" w:hAnsi="Book Antiqua"/>
          <w:kern w:val="0"/>
          <w:sz w:val="24"/>
        </w:rPr>
        <w:t>T</w:t>
      </w:r>
      <w:r w:rsidRPr="00B00AC1">
        <w:rPr>
          <w:rFonts w:ascii="Book Antiqua" w:hAnsi="Book Antiqua"/>
          <w:kern w:val="0"/>
          <w:sz w:val="24"/>
        </w:rPr>
        <w:t>ransarterial chemoembolization.</w:t>
      </w:r>
    </w:p>
    <w:p w14:paraId="52F74573" w14:textId="77777777" w:rsidR="003201B3" w:rsidRPr="00B00AC1" w:rsidRDefault="003201B3" w:rsidP="00083AFD">
      <w:pPr>
        <w:spacing w:line="360" w:lineRule="auto"/>
        <w:rPr>
          <w:rFonts w:ascii="Book Antiqua" w:hAnsi="Book Antiqua"/>
          <w:sz w:val="24"/>
        </w:rPr>
      </w:pPr>
    </w:p>
    <w:p w14:paraId="7330256A" w14:textId="77777777" w:rsidR="003201B3" w:rsidRPr="00B00AC1" w:rsidRDefault="003201B3" w:rsidP="00083AFD">
      <w:pPr>
        <w:spacing w:line="360" w:lineRule="auto"/>
        <w:rPr>
          <w:rFonts w:ascii="Book Antiqua" w:hAnsi="Book Antiqua"/>
          <w:sz w:val="24"/>
        </w:rPr>
      </w:pPr>
    </w:p>
    <w:p w14:paraId="19184F24" w14:textId="704A2859" w:rsidR="003201B3" w:rsidRPr="00B00AC1" w:rsidRDefault="003201B3" w:rsidP="00083AFD">
      <w:pPr>
        <w:spacing w:line="360" w:lineRule="auto"/>
        <w:rPr>
          <w:rFonts w:ascii="Book Antiqua" w:hAnsi="Book Antiqua"/>
          <w:kern w:val="0"/>
          <w:sz w:val="24"/>
        </w:rPr>
      </w:pPr>
      <w:r w:rsidRPr="00B00AC1">
        <w:rPr>
          <w:rFonts w:ascii="Book Antiqua" w:hAnsi="Book Antiqua"/>
          <w:b/>
          <w:bCs/>
          <w:kern w:val="0"/>
          <w:sz w:val="24"/>
        </w:rPr>
        <w:t>Table 2</w:t>
      </w:r>
      <w:r w:rsidRPr="00B00AC1">
        <w:rPr>
          <w:rFonts w:ascii="Book Antiqua" w:hAnsi="Book Antiqua"/>
          <w:kern w:val="0"/>
          <w:sz w:val="24"/>
        </w:rPr>
        <w:t xml:space="preserve"> </w:t>
      </w:r>
      <w:r w:rsidRPr="00083AFD">
        <w:rPr>
          <w:rFonts w:ascii="Book Antiqua" w:hAnsi="Book Antiqua"/>
          <w:b/>
          <w:kern w:val="0"/>
          <w:sz w:val="24"/>
        </w:rPr>
        <w:t>Information of clinical trials of tumor vaccine on hepa</w:t>
      </w:r>
      <w:r w:rsidR="00083AFD" w:rsidRPr="00083AFD">
        <w:rPr>
          <w:rFonts w:ascii="Book Antiqua" w:hAnsi="Book Antiqua"/>
          <w:b/>
          <w:kern w:val="0"/>
          <w:sz w:val="24"/>
        </w:rPr>
        <w:t>tocellular carcinoma after 2008</w:t>
      </w:r>
    </w:p>
    <w:tbl>
      <w:tblPr>
        <w:tblStyle w:val="TableGrid"/>
        <w:tblW w:w="8647"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817"/>
        <w:gridCol w:w="877"/>
        <w:gridCol w:w="708"/>
        <w:gridCol w:w="1327"/>
        <w:gridCol w:w="1225"/>
        <w:gridCol w:w="1417"/>
        <w:gridCol w:w="1276"/>
      </w:tblGrid>
      <w:tr w:rsidR="003201B3" w:rsidRPr="00B00AC1" w14:paraId="293B9211" w14:textId="77777777" w:rsidTr="00083AFD">
        <w:tc>
          <w:tcPr>
            <w:tcW w:w="1817" w:type="dxa"/>
            <w:tcBorders>
              <w:top w:val="single" w:sz="4" w:space="0" w:color="auto"/>
              <w:bottom w:val="single" w:sz="4" w:space="0" w:color="auto"/>
            </w:tcBorders>
            <w:shd w:val="clear" w:color="auto" w:fill="auto"/>
          </w:tcPr>
          <w:p w14:paraId="54A0E6D4"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Interventions</w:t>
            </w:r>
          </w:p>
        </w:tc>
        <w:tc>
          <w:tcPr>
            <w:tcW w:w="877" w:type="dxa"/>
            <w:tcBorders>
              <w:top w:val="single" w:sz="4" w:space="0" w:color="auto"/>
              <w:bottom w:val="single" w:sz="4" w:space="0" w:color="auto"/>
            </w:tcBorders>
            <w:shd w:val="clear" w:color="auto" w:fill="auto"/>
          </w:tcPr>
          <w:p w14:paraId="3BC4292F"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Design</w:t>
            </w:r>
          </w:p>
        </w:tc>
        <w:tc>
          <w:tcPr>
            <w:tcW w:w="708" w:type="dxa"/>
            <w:tcBorders>
              <w:top w:val="single" w:sz="4" w:space="0" w:color="auto"/>
              <w:bottom w:val="single" w:sz="4" w:space="0" w:color="auto"/>
            </w:tcBorders>
            <w:shd w:val="clear" w:color="auto" w:fill="auto"/>
          </w:tcPr>
          <w:p w14:paraId="6F6CC591"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Start year</w:t>
            </w:r>
          </w:p>
        </w:tc>
        <w:tc>
          <w:tcPr>
            <w:tcW w:w="1327" w:type="dxa"/>
            <w:tcBorders>
              <w:top w:val="single" w:sz="4" w:space="0" w:color="auto"/>
              <w:bottom w:val="single" w:sz="4" w:space="0" w:color="auto"/>
            </w:tcBorders>
            <w:shd w:val="clear" w:color="auto" w:fill="auto"/>
          </w:tcPr>
          <w:p w14:paraId="3AE42F2E"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Main inclusion criteria</w:t>
            </w:r>
          </w:p>
        </w:tc>
        <w:tc>
          <w:tcPr>
            <w:tcW w:w="1225" w:type="dxa"/>
            <w:tcBorders>
              <w:top w:val="single" w:sz="4" w:space="0" w:color="auto"/>
              <w:bottom w:val="single" w:sz="4" w:space="0" w:color="auto"/>
            </w:tcBorders>
            <w:shd w:val="clear" w:color="auto" w:fill="auto"/>
          </w:tcPr>
          <w:p w14:paraId="5EF2D9F1"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Primary outcomes</w:t>
            </w:r>
          </w:p>
        </w:tc>
        <w:tc>
          <w:tcPr>
            <w:tcW w:w="1417" w:type="dxa"/>
            <w:tcBorders>
              <w:top w:val="single" w:sz="4" w:space="0" w:color="auto"/>
              <w:bottom w:val="single" w:sz="4" w:space="0" w:color="auto"/>
            </w:tcBorders>
            <w:shd w:val="clear" w:color="auto" w:fill="auto"/>
          </w:tcPr>
          <w:p w14:paraId="259FD169"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Registered No.</w:t>
            </w:r>
          </w:p>
        </w:tc>
        <w:tc>
          <w:tcPr>
            <w:tcW w:w="1276" w:type="dxa"/>
            <w:tcBorders>
              <w:top w:val="single" w:sz="4" w:space="0" w:color="auto"/>
              <w:bottom w:val="single" w:sz="4" w:space="0" w:color="auto"/>
            </w:tcBorders>
            <w:shd w:val="clear" w:color="auto" w:fill="auto"/>
          </w:tcPr>
          <w:p w14:paraId="7F318155"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Status</w:t>
            </w:r>
          </w:p>
        </w:tc>
      </w:tr>
      <w:tr w:rsidR="003201B3" w:rsidRPr="00B00AC1" w14:paraId="2B719465" w14:textId="77777777" w:rsidTr="00083AFD">
        <w:tc>
          <w:tcPr>
            <w:tcW w:w="1817" w:type="dxa"/>
            <w:tcBorders>
              <w:top w:val="single" w:sz="4" w:space="0" w:color="auto"/>
              <w:bottom w:val="nil"/>
            </w:tcBorders>
            <w:shd w:val="clear" w:color="auto" w:fill="auto"/>
            <w:vAlign w:val="center"/>
          </w:tcPr>
          <w:p w14:paraId="6D5F5723"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AFP + GM-CSF plasmid prime and AFP adenoviral vector boost</w:t>
            </w:r>
          </w:p>
        </w:tc>
        <w:tc>
          <w:tcPr>
            <w:tcW w:w="877" w:type="dxa"/>
            <w:tcBorders>
              <w:top w:val="single" w:sz="4" w:space="0" w:color="auto"/>
              <w:bottom w:val="nil"/>
            </w:tcBorders>
            <w:shd w:val="clear" w:color="auto" w:fill="auto"/>
            <w:vAlign w:val="center"/>
          </w:tcPr>
          <w:p w14:paraId="7D9EC60F"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Phase I/II</w:t>
            </w:r>
          </w:p>
        </w:tc>
        <w:tc>
          <w:tcPr>
            <w:tcW w:w="708" w:type="dxa"/>
            <w:tcBorders>
              <w:top w:val="single" w:sz="4" w:space="0" w:color="auto"/>
              <w:bottom w:val="nil"/>
            </w:tcBorders>
            <w:shd w:val="clear" w:color="auto" w:fill="auto"/>
            <w:vAlign w:val="center"/>
          </w:tcPr>
          <w:p w14:paraId="4F212077"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2008</w:t>
            </w:r>
          </w:p>
        </w:tc>
        <w:tc>
          <w:tcPr>
            <w:tcW w:w="1327" w:type="dxa"/>
            <w:tcBorders>
              <w:top w:val="single" w:sz="4" w:space="0" w:color="auto"/>
              <w:bottom w:val="nil"/>
            </w:tcBorders>
            <w:shd w:val="clear" w:color="auto" w:fill="auto"/>
            <w:vAlign w:val="center"/>
          </w:tcPr>
          <w:p w14:paraId="44E7482D"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Locoregionally treated HCC</w:t>
            </w:r>
          </w:p>
        </w:tc>
        <w:tc>
          <w:tcPr>
            <w:tcW w:w="1225" w:type="dxa"/>
            <w:tcBorders>
              <w:top w:val="single" w:sz="4" w:space="0" w:color="auto"/>
              <w:bottom w:val="nil"/>
            </w:tcBorders>
            <w:shd w:val="clear" w:color="auto" w:fill="auto"/>
            <w:vAlign w:val="center"/>
          </w:tcPr>
          <w:p w14:paraId="77C8C31B"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Dose, toxicity, and immunological response rate</w:t>
            </w:r>
          </w:p>
        </w:tc>
        <w:tc>
          <w:tcPr>
            <w:tcW w:w="1417" w:type="dxa"/>
            <w:tcBorders>
              <w:top w:val="single" w:sz="4" w:space="0" w:color="auto"/>
              <w:bottom w:val="nil"/>
            </w:tcBorders>
            <w:shd w:val="clear" w:color="auto" w:fill="auto"/>
            <w:vAlign w:val="center"/>
          </w:tcPr>
          <w:p w14:paraId="6BF1DE10"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NCT00669136</w:t>
            </w:r>
          </w:p>
        </w:tc>
        <w:tc>
          <w:tcPr>
            <w:tcW w:w="1276" w:type="dxa"/>
            <w:tcBorders>
              <w:top w:val="single" w:sz="4" w:space="0" w:color="auto"/>
              <w:bottom w:val="nil"/>
            </w:tcBorders>
            <w:shd w:val="clear" w:color="auto" w:fill="auto"/>
            <w:vAlign w:val="center"/>
          </w:tcPr>
          <w:p w14:paraId="38E1045F"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Terminated because of poor accrual</w:t>
            </w:r>
          </w:p>
        </w:tc>
      </w:tr>
      <w:tr w:rsidR="003201B3" w:rsidRPr="00B00AC1" w14:paraId="5A5AAEAC" w14:textId="77777777" w:rsidTr="00083AFD">
        <w:tc>
          <w:tcPr>
            <w:tcW w:w="1817" w:type="dxa"/>
            <w:tcBorders>
              <w:top w:val="nil"/>
              <w:bottom w:val="nil"/>
            </w:tcBorders>
            <w:shd w:val="clear" w:color="auto" w:fill="auto"/>
            <w:vAlign w:val="center"/>
          </w:tcPr>
          <w:p w14:paraId="3F569F0A"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DC loaded with autologous tumor</w:t>
            </w:r>
          </w:p>
        </w:tc>
        <w:tc>
          <w:tcPr>
            <w:tcW w:w="877" w:type="dxa"/>
            <w:tcBorders>
              <w:top w:val="nil"/>
              <w:bottom w:val="nil"/>
            </w:tcBorders>
            <w:shd w:val="clear" w:color="auto" w:fill="auto"/>
            <w:vAlign w:val="center"/>
          </w:tcPr>
          <w:p w14:paraId="79200CE2"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II</w:t>
            </w:r>
          </w:p>
        </w:tc>
        <w:tc>
          <w:tcPr>
            <w:tcW w:w="708" w:type="dxa"/>
            <w:tcBorders>
              <w:top w:val="nil"/>
              <w:bottom w:val="nil"/>
            </w:tcBorders>
            <w:shd w:val="clear" w:color="auto" w:fill="auto"/>
            <w:vAlign w:val="center"/>
          </w:tcPr>
          <w:p w14:paraId="5D9B3A87"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2008</w:t>
            </w:r>
          </w:p>
        </w:tc>
        <w:tc>
          <w:tcPr>
            <w:tcW w:w="1327" w:type="dxa"/>
            <w:tcBorders>
              <w:top w:val="nil"/>
              <w:bottom w:val="nil"/>
            </w:tcBorders>
            <w:shd w:val="clear" w:color="auto" w:fill="auto"/>
            <w:vAlign w:val="center"/>
          </w:tcPr>
          <w:p w14:paraId="272133C6"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Metastatic HCC, available of tumor tissue</w:t>
            </w:r>
          </w:p>
        </w:tc>
        <w:tc>
          <w:tcPr>
            <w:tcW w:w="1225" w:type="dxa"/>
            <w:tcBorders>
              <w:top w:val="nil"/>
              <w:bottom w:val="nil"/>
            </w:tcBorders>
            <w:shd w:val="clear" w:color="auto" w:fill="auto"/>
            <w:vAlign w:val="center"/>
          </w:tcPr>
          <w:p w14:paraId="3FCBE788" w14:textId="67FAC655" w:rsidR="003201B3" w:rsidRPr="00B00AC1" w:rsidRDefault="003201B3" w:rsidP="00083AFD">
            <w:pPr>
              <w:spacing w:line="360" w:lineRule="auto"/>
              <w:rPr>
                <w:rFonts w:ascii="Book Antiqua" w:hAnsi="Book Antiqua"/>
                <w:sz w:val="24"/>
              </w:rPr>
            </w:pPr>
            <w:r w:rsidRPr="00B00AC1">
              <w:rPr>
                <w:rFonts w:ascii="Book Antiqua" w:hAnsi="Book Antiqua" w:cs="Helvetica"/>
                <w:color w:val="000000"/>
                <w:kern w:val="0"/>
                <w:sz w:val="24"/>
              </w:rPr>
              <w:t>2-mo response rate</w:t>
            </w:r>
          </w:p>
        </w:tc>
        <w:tc>
          <w:tcPr>
            <w:tcW w:w="1417" w:type="dxa"/>
            <w:tcBorders>
              <w:top w:val="nil"/>
              <w:bottom w:val="nil"/>
            </w:tcBorders>
            <w:shd w:val="clear" w:color="auto" w:fill="auto"/>
            <w:vAlign w:val="center"/>
          </w:tcPr>
          <w:p w14:paraId="0C7E1384"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NCT00610389</w:t>
            </w:r>
          </w:p>
        </w:tc>
        <w:tc>
          <w:tcPr>
            <w:tcW w:w="1276" w:type="dxa"/>
            <w:tcBorders>
              <w:top w:val="nil"/>
              <w:bottom w:val="nil"/>
            </w:tcBorders>
            <w:shd w:val="clear" w:color="auto" w:fill="auto"/>
            <w:vAlign w:val="center"/>
          </w:tcPr>
          <w:p w14:paraId="5BBF70E3"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Unknown</w:t>
            </w:r>
          </w:p>
        </w:tc>
      </w:tr>
      <w:tr w:rsidR="003201B3" w:rsidRPr="00B00AC1" w14:paraId="30F1DC24" w14:textId="77777777" w:rsidTr="00083AFD">
        <w:tc>
          <w:tcPr>
            <w:tcW w:w="1817" w:type="dxa"/>
            <w:tcBorders>
              <w:top w:val="nil"/>
              <w:bottom w:val="nil"/>
            </w:tcBorders>
            <w:shd w:val="clear" w:color="auto" w:fill="auto"/>
            <w:vAlign w:val="center"/>
          </w:tcPr>
          <w:p w14:paraId="63EBE023"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DC loaded with specific peptides of AFP</w:t>
            </w:r>
          </w:p>
        </w:tc>
        <w:tc>
          <w:tcPr>
            <w:tcW w:w="877" w:type="dxa"/>
            <w:tcBorders>
              <w:top w:val="nil"/>
              <w:bottom w:val="nil"/>
            </w:tcBorders>
            <w:shd w:val="clear" w:color="auto" w:fill="auto"/>
            <w:vAlign w:val="center"/>
          </w:tcPr>
          <w:p w14:paraId="6B028EE1"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I/II</w:t>
            </w:r>
          </w:p>
        </w:tc>
        <w:tc>
          <w:tcPr>
            <w:tcW w:w="708" w:type="dxa"/>
            <w:tcBorders>
              <w:top w:val="nil"/>
              <w:bottom w:val="nil"/>
            </w:tcBorders>
            <w:shd w:val="clear" w:color="auto" w:fill="auto"/>
            <w:vAlign w:val="center"/>
          </w:tcPr>
          <w:p w14:paraId="5C304AB8"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2009</w:t>
            </w:r>
          </w:p>
        </w:tc>
        <w:tc>
          <w:tcPr>
            <w:tcW w:w="1327" w:type="dxa"/>
            <w:tcBorders>
              <w:top w:val="nil"/>
              <w:bottom w:val="nil"/>
            </w:tcBorders>
            <w:shd w:val="clear" w:color="auto" w:fill="auto"/>
            <w:vAlign w:val="center"/>
          </w:tcPr>
          <w:p w14:paraId="43AF4DC9" w14:textId="2620A1BD" w:rsidR="003201B3" w:rsidRPr="00B00AC1" w:rsidRDefault="003201B3" w:rsidP="0090045D">
            <w:pPr>
              <w:spacing w:line="360" w:lineRule="auto"/>
              <w:rPr>
                <w:rFonts w:ascii="Book Antiqua" w:hAnsi="Book Antiqua"/>
                <w:sz w:val="24"/>
              </w:rPr>
            </w:pPr>
            <w:r w:rsidRPr="00B00AC1">
              <w:rPr>
                <w:rFonts w:ascii="Book Antiqua" w:hAnsi="Book Antiqua" w:cs="Helvetica"/>
                <w:color w:val="000000"/>
                <w:kern w:val="0"/>
                <w:sz w:val="24"/>
              </w:rPr>
              <w:t>Patients with previous treatment, AFP ≥ 40 ng/m</w:t>
            </w:r>
            <w:r w:rsidR="0090045D">
              <w:rPr>
                <w:rFonts w:ascii="Book Antiqua" w:hAnsi="Book Antiqua" w:cs="Helvetica" w:hint="eastAsia"/>
                <w:color w:val="000000"/>
                <w:kern w:val="0"/>
                <w:sz w:val="24"/>
              </w:rPr>
              <w:t>L</w:t>
            </w:r>
            <w:r w:rsidRPr="00B00AC1">
              <w:rPr>
                <w:rFonts w:ascii="Book Antiqua" w:hAnsi="Book Antiqua" w:cs="Helvetica"/>
                <w:color w:val="000000"/>
                <w:kern w:val="0"/>
                <w:sz w:val="24"/>
              </w:rPr>
              <w:t>, HLA A 0201 group</w:t>
            </w:r>
          </w:p>
        </w:tc>
        <w:tc>
          <w:tcPr>
            <w:tcW w:w="1225" w:type="dxa"/>
            <w:tcBorders>
              <w:top w:val="nil"/>
              <w:bottom w:val="nil"/>
            </w:tcBorders>
            <w:shd w:val="clear" w:color="auto" w:fill="auto"/>
            <w:vAlign w:val="center"/>
          </w:tcPr>
          <w:p w14:paraId="3747E2CC"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Adverse events</w:t>
            </w:r>
          </w:p>
        </w:tc>
        <w:tc>
          <w:tcPr>
            <w:tcW w:w="1417" w:type="dxa"/>
            <w:tcBorders>
              <w:top w:val="nil"/>
              <w:bottom w:val="nil"/>
            </w:tcBorders>
            <w:shd w:val="clear" w:color="auto" w:fill="auto"/>
            <w:vAlign w:val="center"/>
          </w:tcPr>
          <w:p w14:paraId="5BD49096"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NCT01128803</w:t>
            </w:r>
          </w:p>
        </w:tc>
        <w:tc>
          <w:tcPr>
            <w:tcW w:w="1276" w:type="dxa"/>
            <w:tcBorders>
              <w:top w:val="nil"/>
              <w:bottom w:val="nil"/>
            </w:tcBorders>
            <w:shd w:val="clear" w:color="auto" w:fill="auto"/>
            <w:vAlign w:val="center"/>
          </w:tcPr>
          <w:p w14:paraId="04BBBA97"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Terminated</w:t>
            </w:r>
          </w:p>
        </w:tc>
      </w:tr>
      <w:tr w:rsidR="003201B3" w:rsidRPr="00B00AC1" w14:paraId="3DBA2340" w14:textId="77777777" w:rsidTr="00083AFD">
        <w:tc>
          <w:tcPr>
            <w:tcW w:w="1817" w:type="dxa"/>
            <w:tcBorders>
              <w:top w:val="nil"/>
              <w:bottom w:val="nil"/>
            </w:tcBorders>
            <w:shd w:val="clear" w:color="auto" w:fill="auto"/>
            <w:vAlign w:val="center"/>
          </w:tcPr>
          <w:p w14:paraId="49972E24"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DEC-205-NY-ESO-1 fusion protein vaccine</w:t>
            </w:r>
          </w:p>
        </w:tc>
        <w:tc>
          <w:tcPr>
            <w:tcW w:w="877" w:type="dxa"/>
            <w:tcBorders>
              <w:top w:val="nil"/>
              <w:bottom w:val="nil"/>
            </w:tcBorders>
            <w:shd w:val="clear" w:color="auto" w:fill="auto"/>
            <w:vAlign w:val="center"/>
          </w:tcPr>
          <w:p w14:paraId="47D1E57B"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w:t>
            </w:r>
          </w:p>
        </w:tc>
        <w:tc>
          <w:tcPr>
            <w:tcW w:w="708" w:type="dxa"/>
            <w:tcBorders>
              <w:top w:val="nil"/>
              <w:bottom w:val="nil"/>
            </w:tcBorders>
            <w:shd w:val="clear" w:color="auto" w:fill="auto"/>
            <w:vAlign w:val="center"/>
          </w:tcPr>
          <w:p w14:paraId="5A5D87AF"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2012</w:t>
            </w:r>
          </w:p>
        </w:tc>
        <w:tc>
          <w:tcPr>
            <w:tcW w:w="1327" w:type="dxa"/>
            <w:tcBorders>
              <w:top w:val="nil"/>
              <w:bottom w:val="nil"/>
            </w:tcBorders>
            <w:shd w:val="clear" w:color="auto" w:fill="auto"/>
            <w:vAlign w:val="center"/>
          </w:tcPr>
          <w:p w14:paraId="512B22E9"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After resection and TACE for HCC</w:t>
            </w:r>
          </w:p>
        </w:tc>
        <w:tc>
          <w:tcPr>
            <w:tcW w:w="1225" w:type="dxa"/>
            <w:tcBorders>
              <w:top w:val="nil"/>
              <w:bottom w:val="nil"/>
            </w:tcBorders>
            <w:shd w:val="clear" w:color="auto" w:fill="auto"/>
            <w:vAlign w:val="center"/>
          </w:tcPr>
          <w:p w14:paraId="7EE7126B"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Adverse events</w:t>
            </w:r>
          </w:p>
        </w:tc>
        <w:tc>
          <w:tcPr>
            <w:tcW w:w="1417" w:type="dxa"/>
            <w:tcBorders>
              <w:top w:val="nil"/>
              <w:bottom w:val="nil"/>
            </w:tcBorders>
            <w:shd w:val="clear" w:color="auto" w:fill="auto"/>
            <w:vAlign w:val="center"/>
          </w:tcPr>
          <w:p w14:paraId="01BA818B"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NCT01522820</w:t>
            </w:r>
          </w:p>
        </w:tc>
        <w:tc>
          <w:tcPr>
            <w:tcW w:w="1276" w:type="dxa"/>
            <w:tcBorders>
              <w:top w:val="nil"/>
              <w:bottom w:val="nil"/>
            </w:tcBorders>
            <w:shd w:val="clear" w:color="auto" w:fill="auto"/>
            <w:vAlign w:val="center"/>
          </w:tcPr>
          <w:p w14:paraId="6B086FE9"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Recruiting</w:t>
            </w:r>
          </w:p>
        </w:tc>
      </w:tr>
      <w:tr w:rsidR="003201B3" w:rsidRPr="00B00AC1" w14:paraId="31DAE3BA" w14:textId="77777777" w:rsidTr="00083AFD">
        <w:tc>
          <w:tcPr>
            <w:tcW w:w="1817" w:type="dxa"/>
            <w:tcBorders>
              <w:top w:val="nil"/>
              <w:bottom w:val="nil"/>
            </w:tcBorders>
            <w:shd w:val="clear" w:color="auto" w:fill="auto"/>
            <w:vAlign w:val="center"/>
          </w:tcPr>
          <w:p w14:paraId="28E7247F"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COMBIG-DC: allogeneic DC cancer vaccine</w:t>
            </w:r>
          </w:p>
        </w:tc>
        <w:tc>
          <w:tcPr>
            <w:tcW w:w="877" w:type="dxa"/>
            <w:tcBorders>
              <w:top w:val="nil"/>
              <w:bottom w:val="nil"/>
            </w:tcBorders>
            <w:shd w:val="clear" w:color="auto" w:fill="auto"/>
            <w:vAlign w:val="center"/>
          </w:tcPr>
          <w:p w14:paraId="466FD23C"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w:t>
            </w:r>
          </w:p>
        </w:tc>
        <w:tc>
          <w:tcPr>
            <w:tcW w:w="708" w:type="dxa"/>
            <w:tcBorders>
              <w:top w:val="nil"/>
              <w:bottom w:val="nil"/>
            </w:tcBorders>
            <w:shd w:val="clear" w:color="auto" w:fill="auto"/>
            <w:vAlign w:val="center"/>
          </w:tcPr>
          <w:p w14:paraId="4AE1272E"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2013</w:t>
            </w:r>
          </w:p>
        </w:tc>
        <w:tc>
          <w:tcPr>
            <w:tcW w:w="1327" w:type="dxa"/>
            <w:tcBorders>
              <w:top w:val="nil"/>
              <w:bottom w:val="nil"/>
            </w:tcBorders>
            <w:shd w:val="clear" w:color="auto" w:fill="auto"/>
            <w:vAlign w:val="center"/>
          </w:tcPr>
          <w:p w14:paraId="3AA8F251"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Not eligible for curative treatment or TACE, BCLC stage B and C</w:t>
            </w:r>
          </w:p>
        </w:tc>
        <w:tc>
          <w:tcPr>
            <w:tcW w:w="1225" w:type="dxa"/>
            <w:tcBorders>
              <w:top w:val="nil"/>
              <w:bottom w:val="nil"/>
            </w:tcBorders>
            <w:shd w:val="clear" w:color="auto" w:fill="auto"/>
            <w:vAlign w:val="center"/>
          </w:tcPr>
          <w:p w14:paraId="7E64E8C3"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Adverse events</w:t>
            </w:r>
          </w:p>
        </w:tc>
        <w:tc>
          <w:tcPr>
            <w:tcW w:w="1417" w:type="dxa"/>
            <w:tcBorders>
              <w:top w:val="nil"/>
              <w:bottom w:val="nil"/>
            </w:tcBorders>
            <w:shd w:val="clear" w:color="auto" w:fill="auto"/>
            <w:vAlign w:val="center"/>
          </w:tcPr>
          <w:p w14:paraId="00426ACB"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NCT01974661</w:t>
            </w:r>
          </w:p>
        </w:tc>
        <w:tc>
          <w:tcPr>
            <w:tcW w:w="1276" w:type="dxa"/>
            <w:tcBorders>
              <w:top w:val="nil"/>
              <w:bottom w:val="nil"/>
            </w:tcBorders>
            <w:shd w:val="clear" w:color="auto" w:fill="auto"/>
            <w:vAlign w:val="center"/>
          </w:tcPr>
          <w:p w14:paraId="0F079B3B"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Recruiting</w:t>
            </w:r>
          </w:p>
        </w:tc>
      </w:tr>
      <w:tr w:rsidR="003201B3" w:rsidRPr="00B00AC1" w14:paraId="58D7F584" w14:textId="77777777" w:rsidTr="00083AFD">
        <w:tc>
          <w:tcPr>
            <w:tcW w:w="1817" w:type="dxa"/>
            <w:tcBorders>
              <w:top w:val="nil"/>
              <w:bottom w:val="nil"/>
            </w:tcBorders>
            <w:shd w:val="clear" w:color="auto" w:fill="auto"/>
            <w:vAlign w:val="center"/>
          </w:tcPr>
          <w:p w14:paraId="355F2EBE"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In-situ therapeutic cancer vaccine</w:t>
            </w:r>
          </w:p>
        </w:tc>
        <w:tc>
          <w:tcPr>
            <w:tcW w:w="877" w:type="dxa"/>
            <w:tcBorders>
              <w:top w:val="nil"/>
              <w:bottom w:val="nil"/>
            </w:tcBorders>
            <w:shd w:val="clear" w:color="auto" w:fill="auto"/>
            <w:vAlign w:val="center"/>
          </w:tcPr>
          <w:p w14:paraId="1F9108B7"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w:t>
            </w:r>
          </w:p>
        </w:tc>
        <w:tc>
          <w:tcPr>
            <w:tcW w:w="708" w:type="dxa"/>
            <w:tcBorders>
              <w:top w:val="nil"/>
              <w:bottom w:val="nil"/>
            </w:tcBorders>
            <w:shd w:val="clear" w:color="auto" w:fill="auto"/>
            <w:vAlign w:val="center"/>
          </w:tcPr>
          <w:p w14:paraId="1A081838"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2013</w:t>
            </w:r>
          </w:p>
        </w:tc>
        <w:tc>
          <w:tcPr>
            <w:tcW w:w="1327" w:type="dxa"/>
            <w:tcBorders>
              <w:top w:val="nil"/>
              <w:bottom w:val="nil"/>
            </w:tcBorders>
            <w:shd w:val="clear" w:color="auto" w:fill="auto"/>
            <w:vAlign w:val="center"/>
          </w:tcPr>
          <w:p w14:paraId="4395D79D"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 xml:space="preserve">Refractory HCC, not eligible for or failed any treatment, AFP </w:t>
            </w:r>
            <w:r w:rsidRPr="00B00AC1">
              <w:rPr>
                <w:rFonts w:ascii="Book Antiqua" w:hAnsi="Book Antiqua" w:cs="Helvetica"/>
                <w:color w:val="000000"/>
                <w:kern w:val="0"/>
                <w:sz w:val="24"/>
              </w:rPr>
              <w:t>＞</w:t>
            </w:r>
            <w:r w:rsidRPr="00B00AC1">
              <w:rPr>
                <w:rFonts w:ascii="Book Antiqua" w:hAnsi="Book Antiqua" w:cs="Helvetica"/>
                <w:color w:val="000000"/>
                <w:kern w:val="0"/>
                <w:sz w:val="24"/>
              </w:rPr>
              <w:t xml:space="preserve"> 30</w:t>
            </w:r>
          </w:p>
        </w:tc>
        <w:tc>
          <w:tcPr>
            <w:tcW w:w="1225" w:type="dxa"/>
            <w:tcBorders>
              <w:top w:val="nil"/>
              <w:bottom w:val="nil"/>
            </w:tcBorders>
            <w:shd w:val="clear" w:color="auto" w:fill="auto"/>
            <w:vAlign w:val="center"/>
          </w:tcPr>
          <w:p w14:paraId="667D6F82"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Safety</w:t>
            </w:r>
          </w:p>
        </w:tc>
        <w:tc>
          <w:tcPr>
            <w:tcW w:w="1417" w:type="dxa"/>
            <w:tcBorders>
              <w:top w:val="nil"/>
              <w:bottom w:val="nil"/>
            </w:tcBorders>
            <w:shd w:val="clear" w:color="auto" w:fill="auto"/>
            <w:vAlign w:val="center"/>
          </w:tcPr>
          <w:p w14:paraId="752BC762"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NCT01923233</w:t>
            </w:r>
          </w:p>
        </w:tc>
        <w:tc>
          <w:tcPr>
            <w:tcW w:w="1276" w:type="dxa"/>
            <w:tcBorders>
              <w:top w:val="nil"/>
              <w:bottom w:val="nil"/>
            </w:tcBorders>
            <w:shd w:val="clear" w:color="auto" w:fill="auto"/>
            <w:vAlign w:val="center"/>
          </w:tcPr>
          <w:p w14:paraId="2B8CEFCA"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Recruiting</w:t>
            </w:r>
          </w:p>
        </w:tc>
      </w:tr>
      <w:tr w:rsidR="003201B3" w:rsidRPr="00B00AC1" w14:paraId="1768F449" w14:textId="77777777" w:rsidTr="00083AFD">
        <w:tc>
          <w:tcPr>
            <w:tcW w:w="1817" w:type="dxa"/>
            <w:tcBorders>
              <w:top w:val="nil"/>
              <w:bottom w:val="single" w:sz="4" w:space="0" w:color="auto"/>
            </w:tcBorders>
            <w:shd w:val="clear" w:color="auto" w:fill="auto"/>
            <w:vAlign w:val="center"/>
          </w:tcPr>
          <w:p w14:paraId="6FF2C0B0"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V5 therapeutic vaccine</w:t>
            </w:r>
          </w:p>
        </w:tc>
        <w:tc>
          <w:tcPr>
            <w:tcW w:w="877" w:type="dxa"/>
            <w:tcBorders>
              <w:top w:val="nil"/>
              <w:bottom w:val="single" w:sz="4" w:space="0" w:color="auto"/>
            </w:tcBorders>
            <w:shd w:val="clear" w:color="auto" w:fill="auto"/>
            <w:vAlign w:val="center"/>
          </w:tcPr>
          <w:p w14:paraId="4ED703D1"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III</w:t>
            </w:r>
          </w:p>
        </w:tc>
        <w:tc>
          <w:tcPr>
            <w:tcW w:w="708" w:type="dxa"/>
            <w:tcBorders>
              <w:top w:val="nil"/>
              <w:bottom w:val="single" w:sz="4" w:space="0" w:color="auto"/>
            </w:tcBorders>
            <w:shd w:val="clear" w:color="auto" w:fill="auto"/>
            <w:vAlign w:val="center"/>
          </w:tcPr>
          <w:p w14:paraId="29BA47B6"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2014</w:t>
            </w:r>
          </w:p>
        </w:tc>
        <w:tc>
          <w:tcPr>
            <w:tcW w:w="1327" w:type="dxa"/>
            <w:tcBorders>
              <w:top w:val="nil"/>
              <w:bottom w:val="single" w:sz="4" w:space="0" w:color="auto"/>
            </w:tcBorders>
            <w:shd w:val="clear" w:color="auto" w:fill="auto"/>
            <w:vAlign w:val="center"/>
          </w:tcPr>
          <w:p w14:paraId="6A5DE256"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Advanced HCC</w:t>
            </w:r>
          </w:p>
        </w:tc>
        <w:tc>
          <w:tcPr>
            <w:tcW w:w="1225" w:type="dxa"/>
            <w:tcBorders>
              <w:top w:val="nil"/>
              <w:bottom w:val="single" w:sz="4" w:space="0" w:color="auto"/>
            </w:tcBorders>
            <w:shd w:val="clear" w:color="auto" w:fill="auto"/>
            <w:vAlign w:val="center"/>
          </w:tcPr>
          <w:p w14:paraId="2EC0F98D"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Changes in plasma AFP</w:t>
            </w:r>
          </w:p>
        </w:tc>
        <w:tc>
          <w:tcPr>
            <w:tcW w:w="1417" w:type="dxa"/>
            <w:tcBorders>
              <w:top w:val="nil"/>
              <w:bottom w:val="single" w:sz="4" w:space="0" w:color="auto"/>
            </w:tcBorders>
            <w:shd w:val="clear" w:color="auto" w:fill="auto"/>
            <w:vAlign w:val="center"/>
          </w:tcPr>
          <w:p w14:paraId="3C3256D0"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NCT02232490</w:t>
            </w:r>
          </w:p>
        </w:tc>
        <w:tc>
          <w:tcPr>
            <w:tcW w:w="1276" w:type="dxa"/>
            <w:tcBorders>
              <w:top w:val="nil"/>
              <w:bottom w:val="single" w:sz="4" w:space="0" w:color="auto"/>
            </w:tcBorders>
            <w:shd w:val="clear" w:color="auto" w:fill="auto"/>
            <w:vAlign w:val="center"/>
          </w:tcPr>
          <w:p w14:paraId="72393310"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Not yet recruiting</w:t>
            </w:r>
          </w:p>
        </w:tc>
      </w:tr>
    </w:tbl>
    <w:p w14:paraId="30705795" w14:textId="79A1E4C8" w:rsidR="003201B3" w:rsidRPr="00B00AC1" w:rsidRDefault="003201B3" w:rsidP="00B00AC1">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 w:val="24"/>
        </w:rPr>
      </w:pPr>
      <w:r w:rsidRPr="00B00AC1">
        <w:rPr>
          <w:rFonts w:ascii="Book Antiqua" w:hAnsi="Book Antiqua"/>
          <w:kern w:val="0"/>
          <w:sz w:val="24"/>
        </w:rPr>
        <w:t>AFP</w:t>
      </w:r>
      <w:r w:rsidR="0090045D">
        <w:rPr>
          <w:rFonts w:ascii="Book Antiqua" w:hAnsi="Book Antiqua" w:hint="eastAsia"/>
          <w:kern w:val="0"/>
          <w:sz w:val="24"/>
        </w:rPr>
        <w:t>:</w:t>
      </w:r>
      <w:r w:rsidRPr="00B00AC1">
        <w:rPr>
          <w:rFonts w:ascii="Book Antiqua" w:hAnsi="Book Antiqua"/>
          <w:kern w:val="0"/>
          <w:sz w:val="24"/>
        </w:rPr>
        <w:t xml:space="preserve"> α-fetoprotein; DC</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D</w:t>
      </w:r>
      <w:r w:rsidRPr="00B00AC1">
        <w:rPr>
          <w:rFonts w:ascii="Book Antiqua" w:hAnsi="Book Antiqua"/>
          <w:kern w:val="0"/>
          <w:sz w:val="24"/>
        </w:rPr>
        <w:t>endritic cell; GM-CSF</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G</w:t>
      </w:r>
      <w:r w:rsidRPr="00B00AC1">
        <w:rPr>
          <w:rFonts w:ascii="Book Antiqua" w:hAnsi="Book Antiqua"/>
          <w:kern w:val="0"/>
          <w:sz w:val="24"/>
        </w:rPr>
        <w:t>ranulocyte macrophage colony-stimulating factor; HLA</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H</w:t>
      </w:r>
      <w:r w:rsidRPr="00B00AC1">
        <w:rPr>
          <w:rFonts w:ascii="Book Antiqua" w:hAnsi="Book Antiqua"/>
          <w:kern w:val="0"/>
          <w:sz w:val="24"/>
        </w:rPr>
        <w:t>uman leukocyte antigen; TACE</w:t>
      </w:r>
      <w:r w:rsidR="0090045D">
        <w:rPr>
          <w:rFonts w:ascii="Book Antiqua" w:hAnsi="Book Antiqua" w:hint="eastAsia"/>
          <w:kern w:val="0"/>
          <w:sz w:val="24"/>
        </w:rPr>
        <w:t xml:space="preserve">: </w:t>
      </w:r>
      <w:r w:rsidR="0090045D" w:rsidRPr="00B00AC1">
        <w:rPr>
          <w:rFonts w:ascii="Book Antiqua" w:hAnsi="Book Antiqua"/>
          <w:kern w:val="0"/>
          <w:sz w:val="24"/>
        </w:rPr>
        <w:t>T</w:t>
      </w:r>
      <w:r w:rsidRPr="00B00AC1">
        <w:rPr>
          <w:rFonts w:ascii="Book Antiqua" w:hAnsi="Book Antiqua"/>
          <w:kern w:val="0"/>
          <w:sz w:val="24"/>
        </w:rPr>
        <w:t xml:space="preserve">ransarterial chemoembolization. </w:t>
      </w:r>
    </w:p>
    <w:p w14:paraId="60DCB868" w14:textId="77777777" w:rsidR="003201B3" w:rsidRPr="00B00AC1" w:rsidRDefault="003201B3" w:rsidP="00B00AC1">
      <w:pPr>
        <w:spacing w:line="360" w:lineRule="auto"/>
        <w:rPr>
          <w:rFonts w:ascii="Book Antiqua" w:hAnsi="Book Antiqua"/>
          <w:sz w:val="24"/>
        </w:rPr>
      </w:pPr>
    </w:p>
    <w:p w14:paraId="2305ABA2" w14:textId="785B1016" w:rsidR="003201B3" w:rsidRPr="00B00AC1" w:rsidRDefault="003201B3" w:rsidP="00B00AC1">
      <w:pPr>
        <w:spacing w:line="360" w:lineRule="auto"/>
        <w:rPr>
          <w:rFonts w:ascii="Book Antiqua" w:hAnsi="Book Antiqua"/>
          <w:kern w:val="0"/>
          <w:sz w:val="24"/>
        </w:rPr>
      </w:pPr>
      <w:r w:rsidRPr="00B00AC1">
        <w:rPr>
          <w:rFonts w:ascii="Book Antiqua" w:hAnsi="Book Antiqua"/>
          <w:b/>
          <w:bCs/>
          <w:kern w:val="0"/>
          <w:sz w:val="24"/>
        </w:rPr>
        <w:t>Table 3</w:t>
      </w:r>
      <w:r w:rsidRPr="00B00AC1">
        <w:rPr>
          <w:rFonts w:ascii="Book Antiqua" w:hAnsi="Book Antiqua"/>
          <w:kern w:val="0"/>
          <w:sz w:val="24"/>
        </w:rPr>
        <w:t xml:space="preserve"> </w:t>
      </w:r>
      <w:r w:rsidRPr="0090045D">
        <w:rPr>
          <w:rFonts w:ascii="Book Antiqua" w:hAnsi="Book Antiqua"/>
          <w:b/>
          <w:kern w:val="0"/>
          <w:sz w:val="24"/>
        </w:rPr>
        <w:t>Information of clinical trials of adoptive therapy on hepa</w:t>
      </w:r>
      <w:r w:rsidR="0090045D" w:rsidRPr="0090045D">
        <w:rPr>
          <w:rFonts w:ascii="Book Antiqua" w:hAnsi="Book Antiqua"/>
          <w:b/>
          <w:kern w:val="0"/>
          <w:sz w:val="24"/>
        </w:rPr>
        <w:t>tocellular carcinoma after 2008</w:t>
      </w:r>
    </w:p>
    <w:tbl>
      <w:tblPr>
        <w:tblStyle w:val="TableGrid"/>
        <w:tblW w:w="8647"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60"/>
        <w:gridCol w:w="992"/>
        <w:gridCol w:w="783"/>
        <w:gridCol w:w="1627"/>
        <w:gridCol w:w="1134"/>
        <w:gridCol w:w="1417"/>
        <w:gridCol w:w="1134"/>
      </w:tblGrid>
      <w:tr w:rsidR="003201B3" w:rsidRPr="00B00AC1" w14:paraId="41F80114" w14:textId="77777777" w:rsidTr="0090045D">
        <w:tc>
          <w:tcPr>
            <w:tcW w:w="1560" w:type="dxa"/>
            <w:tcBorders>
              <w:top w:val="single" w:sz="4" w:space="0" w:color="auto"/>
              <w:bottom w:val="single" w:sz="4" w:space="0" w:color="auto"/>
            </w:tcBorders>
            <w:shd w:val="clear" w:color="auto" w:fill="auto"/>
            <w:vAlign w:val="center"/>
          </w:tcPr>
          <w:p w14:paraId="2B963CB2"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Interventions</w:t>
            </w:r>
          </w:p>
        </w:tc>
        <w:tc>
          <w:tcPr>
            <w:tcW w:w="992" w:type="dxa"/>
            <w:tcBorders>
              <w:top w:val="single" w:sz="4" w:space="0" w:color="auto"/>
              <w:bottom w:val="single" w:sz="4" w:space="0" w:color="auto"/>
            </w:tcBorders>
            <w:shd w:val="clear" w:color="auto" w:fill="auto"/>
          </w:tcPr>
          <w:p w14:paraId="3DA34025"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Design</w:t>
            </w:r>
          </w:p>
        </w:tc>
        <w:tc>
          <w:tcPr>
            <w:tcW w:w="783" w:type="dxa"/>
            <w:tcBorders>
              <w:top w:val="single" w:sz="4" w:space="0" w:color="auto"/>
              <w:bottom w:val="single" w:sz="4" w:space="0" w:color="auto"/>
            </w:tcBorders>
            <w:shd w:val="clear" w:color="auto" w:fill="auto"/>
          </w:tcPr>
          <w:p w14:paraId="3AE0B038"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Start year</w:t>
            </w:r>
          </w:p>
        </w:tc>
        <w:tc>
          <w:tcPr>
            <w:tcW w:w="1627" w:type="dxa"/>
            <w:tcBorders>
              <w:top w:val="single" w:sz="4" w:space="0" w:color="auto"/>
              <w:bottom w:val="single" w:sz="4" w:space="0" w:color="auto"/>
            </w:tcBorders>
            <w:shd w:val="clear" w:color="auto" w:fill="auto"/>
          </w:tcPr>
          <w:p w14:paraId="58D539F2"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Main inclusion criteria</w:t>
            </w:r>
          </w:p>
        </w:tc>
        <w:tc>
          <w:tcPr>
            <w:tcW w:w="1134" w:type="dxa"/>
            <w:tcBorders>
              <w:top w:val="single" w:sz="4" w:space="0" w:color="auto"/>
              <w:bottom w:val="single" w:sz="4" w:space="0" w:color="auto"/>
            </w:tcBorders>
            <w:shd w:val="clear" w:color="auto" w:fill="auto"/>
          </w:tcPr>
          <w:p w14:paraId="071CDE72"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Primary outcomes</w:t>
            </w:r>
          </w:p>
        </w:tc>
        <w:tc>
          <w:tcPr>
            <w:tcW w:w="1417" w:type="dxa"/>
            <w:tcBorders>
              <w:top w:val="single" w:sz="4" w:space="0" w:color="auto"/>
              <w:bottom w:val="single" w:sz="4" w:space="0" w:color="auto"/>
            </w:tcBorders>
            <w:shd w:val="clear" w:color="auto" w:fill="auto"/>
          </w:tcPr>
          <w:p w14:paraId="798E739B"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Registered No.</w:t>
            </w:r>
          </w:p>
        </w:tc>
        <w:tc>
          <w:tcPr>
            <w:tcW w:w="1134" w:type="dxa"/>
            <w:tcBorders>
              <w:top w:val="single" w:sz="4" w:space="0" w:color="auto"/>
              <w:bottom w:val="single" w:sz="4" w:space="0" w:color="auto"/>
            </w:tcBorders>
            <w:shd w:val="clear" w:color="auto" w:fill="auto"/>
          </w:tcPr>
          <w:p w14:paraId="68F60A5A" w14:textId="77777777" w:rsidR="003201B3" w:rsidRPr="00B00AC1" w:rsidRDefault="003201B3" w:rsidP="00B00AC1">
            <w:pPr>
              <w:spacing w:line="360" w:lineRule="auto"/>
              <w:rPr>
                <w:rFonts w:ascii="Book Antiqua" w:hAnsi="Book Antiqua"/>
                <w:b/>
                <w:sz w:val="24"/>
              </w:rPr>
            </w:pPr>
            <w:r w:rsidRPr="00B00AC1">
              <w:rPr>
                <w:rFonts w:ascii="Book Antiqua" w:hAnsi="Book Antiqua"/>
                <w:b/>
                <w:sz w:val="24"/>
              </w:rPr>
              <w:t>Status</w:t>
            </w:r>
          </w:p>
        </w:tc>
      </w:tr>
      <w:tr w:rsidR="003201B3" w:rsidRPr="00B00AC1" w14:paraId="7CB3DF67" w14:textId="77777777" w:rsidTr="0090045D">
        <w:tc>
          <w:tcPr>
            <w:tcW w:w="1560" w:type="dxa"/>
            <w:tcBorders>
              <w:top w:val="single" w:sz="4" w:space="0" w:color="auto"/>
              <w:bottom w:val="nil"/>
            </w:tcBorders>
            <w:shd w:val="clear" w:color="auto" w:fill="auto"/>
            <w:vAlign w:val="center"/>
          </w:tcPr>
          <w:p w14:paraId="624E22B2"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Immuncell-LC: activated T lymphocyte</w:t>
            </w:r>
          </w:p>
        </w:tc>
        <w:tc>
          <w:tcPr>
            <w:tcW w:w="992" w:type="dxa"/>
            <w:tcBorders>
              <w:top w:val="single" w:sz="4" w:space="0" w:color="auto"/>
              <w:bottom w:val="nil"/>
            </w:tcBorders>
            <w:shd w:val="clear" w:color="auto" w:fill="auto"/>
            <w:vAlign w:val="center"/>
          </w:tcPr>
          <w:p w14:paraId="6A95FCF9"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Phase III</w:t>
            </w:r>
          </w:p>
        </w:tc>
        <w:tc>
          <w:tcPr>
            <w:tcW w:w="783" w:type="dxa"/>
            <w:tcBorders>
              <w:top w:val="single" w:sz="4" w:space="0" w:color="auto"/>
              <w:bottom w:val="nil"/>
            </w:tcBorders>
            <w:shd w:val="clear" w:color="auto" w:fill="auto"/>
            <w:vAlign w:val="center"/>
          </w:tcPr>
          <w:p w14:paraId="1716D565"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2008</w:t>
            </w:r>
          </w:p>
        </w:tc>
        <w:tc>
          <w:tcPr>
            <w:tcW w:w="1627" w:type="dxa"/>
            <w:tcBorders>
              <w:top w:val="single" w:sz="4" w:space="0" w:color="auto"/>
              <w:bottom w:val="nil"/>
            </w:tcBorders>
            <w:shd w:val="clear" w:color="auto" w:fill="auto"/>
            <w:vAlign w:val="center"/>
          </w:tcPr>
          <w:p w14:paraId="62053D9C"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Stage I and II, complete resection within 12 weeks</w:t>
            </w:r>
          </w:p>
        </w:tc>
        <w:tc>
          <w:tcPr>
            <w:tcW w:w="1134" w:type="dxa"/>
            <w:tcBorders>
              <w:top w:val="single" w:sz="4" w:space="0" w:color="auto"/>
              <w:bottom w:val="nil"/>
            </w:tcBorders>
            <w:shd w:val="clear" w:color="auto" w:fill="auto"/>
            <w:vAlign w:val="center"/>
          </w:tcPr>
          <w:p w14:paraId="7E19732B"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Efficacy and safety</w:t>
            </w:r>
          </w:p>
        </w:tc>
        <w:tc>
          <w:tcPr>
            <w:tcW w:w="1417" w:type="dxa"/>
            <w:tcBorders>
              <w:top w:val="single" w:sz="4" w:space="0" w:color="auto"/>
              <w:bottom w:val="nil"/>
            </w:tcBorders>
            <w:shd w:val="clear" w:color="auto" w:fill="auto"/>
            <w:vAlign w:val="center"/>
          </w:tcPr>
          <w:p w14:paraId="31642F3C"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NCT00699816</w:t>
            </w:r>
          </w:p>
        </w:tc>
        <w:tc>
          <w:tcPr>
            <w:tcW w:w="1134" w:type="dxa"/>
            <w:tcBorders>
              <w:top w:val="single" w:sz="4" w:space="0" w:color="auto"/>
              <w:bottom w:val="nil"/>
            </w:tcBorders>
            <w:shd w:val="clear" w:color="auto" w:fill="auto"/>
            <w:vAlign w:val="center"/>
          </w:tcPr>
          <w:p w14:paraId="6B74D8F3"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Completed</w:t>
            </w:r>
          </w:p>
        </w:tc>
      </w:tr>
      <w:tr w:rsidR="003201B3" w:rsidRPr="00B00AC1" w14:paraId="6E5A4811" w14:textId="77777777" w:rsidTr="0090045D">
        <w:tc>
          <w:tcPr>
            <w:tcW w:w="1560" w:type="dxa"/>
            <w:tcBorders>
              <w:top w:val="nil"/>
              <w:bottom w:val="nil"/>
            </w:tcBorders>
            <w:shd w:val="clear" w:color="auto" w:fill="auto"/>
            <w:vAlign w:val="center"/>
          </w:tcPr>
          <w:p w14:paraId="1B8E7FCF"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CIK</w:t>
            </w:r>
          </w:p>
        </w:tc>
        <w:tc>
          <w:tcPr>
            <w:tcW w:w="992" w:type="dxa"/>
            <w:tcBorders>
              <w:top w:val="nil"/>
              <w:bottom w:val="nil"/>
            </w:tcBorders>
            <w:shd w:val="clear" w:color="auto" w:fill="auto"/>
            <w:vAlign w:val="center"/>
          </w:tcPr>
          <w:p w14:paraId="44C9F8BF"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III</w:t>
            </w:r>
          </w:p>
        </w:tc>
        <w:tc>
          <w:tcPr>
            <w:tcW w:w="783" w:type="dxa"/>
            <w:tcBorders>
              <w:top w:val="nil"/>
              <w:bottom w:val="nil"/>
            </w:tcBorders>
            <w:shd w:val="clear" w:color="auto" w:fill="auto"/>
            <w:vAlign w:val="center"/>
          </w:tcPr>
          <w:p w14:paraId="13589B58"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2008</w:t>
            </w:r>
          </w:p>
        </w:tc>
        <w:tc>
          <w:tcPr>
            <w:tcW w:w="1627" w:type="dxa"/>
            <w:tcBorders>
              <w:top w:val="nil"/>
              <w:bottom w:val="nil"/>
            </w:tcBorders>
            <w:shd w:val="clear" w:color="auto" w:fill="auto"/>
            <w:vAlign w:val="center"/>
          </w:tcPr>
          <w:p w14:paraId="494C3E48"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After radical resection of HCC, no prior anti-cancer therapy</w:t>
            </w:r>
          </w:p>
        </w:tc>
        <w:tc>
          <w:tcPr>
            <w:tcW w:w="1134" w:type="dxa"/>
            <w:tcBorders>
              <w:top w:val="nil"/>
              <w:bottom w:val="nil"/>
            </w:tcBorders>
            <w:shd w:val="clear" w:color="auto" w:fill="auto"/>
            <w:vAlign w:val="center"/>
          </w:tcPr>
          <w:p w14:paraId="0CFE3CA8"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Time to recurrence</w:t>
            </w:r>
          </w:p>
        </w:tc>
        <w:tc>
          <w:tcPr>
            <w:tcW w:w="1417" w:type="dxa"/>
            <w:tcBorders>
              <w:top w:val="nil"/>
              <w:bottom w:val="nil"/>
            </w:tcBorders>
            <w:shd w:val="clear" w:color="auto" w:fill="auto"/>
            <w:vAlign w:val="center"/>
          </w:tcPr>
          <w:p w14:paraId="1069AD1C"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NCT01749865</w:t>
            </w:r>
          </w:p>
        </w:tc>
        <w:tc>
          <w:tcPr>
            <w:tcW w:w="1134" w:type="dxa"/>
            <w:tcBorders>
              <w:top w:val="nil"/>
              <w:bottom w:val="nil"/>
            </w:tcBorders>
            <w:shd w:val="clear" w:color="auto" w:fill="auto"/>
            <w:vAlign w:val="center"/>
          </w:tcPr>
          <w:p w14:paraId="4122C7DD"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Recruiting</w:t>
            </w:r>
          </w:p>
        </w:tc>
      </w:tr>
      <w:tr w:rsidR="003201B3" w:rsidRPr="00B00AC1" w14:paraId="7B853A34" w14:textId="77777777" w:rsidTr="0090045D">
        <w:tc>
          <w:tcPr>
            <w:tcW w:w="1560" w:type="dxa"/>
            <w:tcBorders>
              <w:top w:val="nil"/>
              <w:bottom w:val="nil"/>
            </w:tcBorders>
            <w:shd w:val="clear" w:color="auto" w:fill="auto"/>
            <w:vAlign w:val="center"/>
          </w:tcPr>
          <w:p w14:paraId="188BABC4"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CIK</w:t>
            </w:r>
          </w:p>
        </w:tc>
        <w:tc>
          <w:tcPr>
            <w:tcW w:w="992" w:type="dxa"/>
            <w:tcBorders>
              <w:top w:val="nil"/>
              <w:bottom w:val="nil"/>
            </w:tcBorders>
            <w:shd w:val="clear" w:color="auto" w:fill="auto"/>
            <w:vAlign w:val="center"/>
          </w:tcPr>
          <w:p w14:paraId="41492DC8"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III</w:t>
            </w:r>
          </w:p>
        </w:tc>
        <w:tc>
          <w:tcPr>
            <w:tcW w:w="783" w:type="dxa"/>
            <w:tcBorders>
              <w:top w:val="nil"/>
              <w:bottom w:val="nil"/>
            </w:tcBorders>
            <w:shd w:val="clear" w:color="auto" w:fill="auto"/>
            <w:vAlign w:val="center"/>
          </w:tcPr>
          <w:p w14:paraId="2F6E389C"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2008</w:t>
            </w:r>
          </w:p>
        </w:tc>
        <w:tc>
          <w:tcPr>
            <w:tcW w:w="1627" w:type="dxa"/>
            <w:tcBorders>
              <w:top w:val="nil"/>
              <w:bottom w:val="nil"/>
            </w:tcBorders>
            <w:shd w:val="clear" w:color="auto" w:fill="auto"/>
            <w:vAlign w:val="center"/>
          </w:tcPr>
          <w:p w14:paraId="327E822D"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After radical resection, no prior anti-cancer treatment</w:t>
            </w:r>
          </w:p>
        </w:tc>
        <w:tc>
          <w:tcPr>
            <w:tcW w:w="1134" w:type="dxa"/>
            <w:tcBorders>
              <w:top w:val="nil"/>
              <w:bottom w:val="nil"/>
            </w:tcBorders>
            <w:shd w:val="clear" w:color="auto" w:fill="auto"/>
            <w:vAlign w:val="center"/>
          </w:tcPr>
          <w:p w14:paraId="3A54D975"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Time to recurrence</w:t>
            </w:r>
          </w:p>
        </w:tc>
        <w:tc>
          <w:tcPr>
            <w:tcW w:w="1417" w:type="dxa"/>
            <w:tcBorders>
              <w:top w:val="nil"/>
              <w:bottom w:val="nil"/>
            </w:tcBorders>
            <w:shd w:val="clear" w:color="auto" w:fill="auto"/>
            <w:vAlign w:val="center"/>
          </w:tcPr>
          <w:p w14:paraId="64272090"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NCT00769106</w:t>
            </w:r>
          </w:p>
        </w:tc>
        <w:tc>
          <w:tcPr>
            <w:tcW w:w="1134" w:type="dxa"/>
            <w:tcBorders>
              <w:top w:val="nil"/>
              <w:bottom w:val="nil"/>
            </w:tcBorders>
            <w:shd w:val="clear" w:color="auto" w:fill="auto"/>
            <w:vAlign w:val="center"/>
          </w:tcPr>
          <w:p w14:paraId="4C1923F5"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Recruiting</w:t>
            </w:r>
          </w:p>
        </w:tc>
      </w:tr>
      <w:tr w:rsidR="003201B3" w:rsidRPr="00B00AC1" w14:paraId="6187D436" w14:textId="77777777" w:rsidTr="0090045D">
        <w:tc>
          <w:tcPr>
            <w:tcW w:w="1560" w:type="dxa"/>
            <w:tcBorders>
              <w:top w:val="nil"/>
              <w:bottom w:val="nil"/>
            </w:tcBorders>
            <w:shd w:val="clear" w:color="auto" w:fill="auto"/>
            <w:vAlign w:val="center"/>
          </w:tcPr>
          <w:p w14:paraId="4116D2AE"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i/>
                <w:iCs/>
                <w:color w:val="000000"/>
                <w:kern w:val="0"/>
                <w:sz w:val="24"/>
              </w:rPr>
              <w:t>Ex vivo</w:t>
            </w:r>
            <w:r w:rsidRPr="00B00AC1">
              <w:rPr>
                <w:rFonts w:ascii="Book Antiqua" w:hAnsi="Book Antiqua" w:cs="Helvetica"/>
                <w:color w:val="000000"/>
                <w:kern w:val="0"/>
                <w:sz w:val="24"/>
              </w:rPr>
              <w:t xml:space="preserve"> expanded autologous immune killer cell, combined with TACE</w:t>
            </w:r>
          </w:p>
        </w:tc>
        <w:tc>
          <w:tcPr>
            <w:tcW w:w="992" w:type="dxa"/>
            <w:tcBorders>
              <w:top w:val="nil"/>
              <w:bottom w:val="nil"/>
            </w:tcBorders>
            <w:shd w:val="clear" w:color="auto" w:fill="auto"/>
            <w:vAlign w:val="center"/>
          </w:tcPr>
          <w:p w14:paraId="239D255E"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II/III</w:t>
            </w:r>
          </w:p>
        </w:tc>
        <w:tc>
          <w:tcPr>
            <w:tcW w:w="783" w:type="dxa"/>
            <w:tcBorders>
              <w:top w:val="nil"/>
              <w:bottom w:val="nil"/>
            </w:tcBorders>
            <w:shd w:val="clear" w:color="auto" w:fill="auto"/>
            <w:vAlign w:val="center"/>
          </w:tcPr>
          <w:p w14:paraId="5EAF5DEA"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2009</w:t>
            </w:r>
          </w:p>
        </w:tc>
        <w:tc>
          <w:tcPr>
            <w:tcW w:w="1627" w:type="dxa"/>
            <w:tcBorders>
              <w:top w:val="nil"/>
              <w:bottom w:val="nil"/>
            </w:tcBorders>
            <w:shd w:val="clear" w:color="auto" w:fill="auto"/>
            <w:vAlign w:val="center"/>
          </w:tcPr>
          <w:p w14:paraId="08B2C0E3"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Never receive TACE treatment, BCLC stage B and C</w:t>
            </w:r>
          </w:p>
        </w:tc>
        <w:tc>
          <w:tcPr>
            <w:tcW w:w="1134" w:type="dxa"/>
            <w:tcBorders>
              <w:top w:val="nil"/>
              <w:bottom w:val="nil"/>
            </w:tcBorders>
            <w:shd w:val="clear" w:color="auto" w:fill="auto"/>
            <w:vAlign w:val="center"/>
          </w:tcPr>
          <w:p w14:paraId="4C9E8700" w14:textId="36184ABC" w:rsidR="003201B3" w:rsidRPr="00B00AC1" w:rsidRDefault="0090045D" w:rsidP="00B00AC1">
            <w:pPr>
              <w:spacing w:line="360" w:lineRule="auto"/>
              <w:rPr>
                <w:rFonts w:ascii="Book Antiqua" w:hAnsi="Book Antiqua"/>
                <w:sz w:val="24"/>
              </w:rPr>
            </w:pPr>
            <w:r>
              <w:rPr>
                <w:rFonts w:ascii="Book Antiqua" w:hAnsi="Book Antiqua" w:cs="Helvetica"/>
                <w:color w:val="000000"/>
                <w:kern w:val="0"/>
                <w:sz w:val="24"/>
              </w:rPr>
              <w:t>2-y</w:t>
            </w:r>
            <w:r w:rsidR="003201B3" w:rsidRPr="00B00AC1">
              <w:rPr>
                <w:rFonts w:ascii="Book Antiqua" w:hAnsi="Book Antiqua" w:cs="Helvetica"/>
                <w:color w:val="000000"/>
                <w:kern w:val="0"/>
                <w:sz w:val="24"/>
              </w:rPr>
              <w:t>r reduction of tumor cells</w:t>
            </w:r>
          </w:p>
        </w:tc>
        <w:tc>
          <w:tcPr>
            <w:tcW w:w="1417" w:type="dxa"/>
            <w:tcBorders>
              <w:top w:val="nil"/>
              <w:bottom w:val="nil"/>
            </w:tcBorders>
            <w:shd w:val="clear" w:color="auto" w:fill="auto"/>
            <w:vAlign w:val="center"/>
          </w:tcPr>
          <w:p w14:paraId="78ADF03A"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NCT01024530</w:t>
            </w:r>
          </w:p>
        </w:tc>
        <w:tc>
          <w:tcPr>
            <w:tcW w:w="1134" w:type="dxa"/>
            <w:tcBorders>
              <w:top w:val="nil"/>
              <w:bottom w:val="nil"/>
            </w:tcBorders>
            <w:shd w:val="clear" w:color="auto" w:fill="auto"/>
            <w:vAlign w:val="center"/>
          </w:tcPr>
          <w:p w14:paraId="43E5CA1F"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Unknown</w:t>
            </w:r>
          </w:p>
        </w:tc>
      </w:tr>
      <w:tr w:rsidR="003201B3" w:rsidRPr="00B00AC1" w14:paraId="775930C0" w14:textId="77777777" w:rsidTr="0090045D">
        <w:tc>
          <w:tcPr>
            <w:tcW w:w="1560" w:type="dxa"/>
            <w:tcBorders>
              <w:top w:val="nil"/>
              <w:bottom w:val="nil"/>
            </w:tcBorders>
            <w:shd w:val="clear" w:color="auto" w:fill="auto"/>
            <w:vAlign w:val="center"/>
          </w:tcPr>
          <w:p w14:paraId="32E50A5D"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NK cells, combined with liver transplantation</w:t>
            </w:r>
          </w:p>
        </w:tc>
        <w:tc>
          <w:tcPr>
            <w:tcW w:w="992" w:type="dxa"/>
            <w:tcBorders>
              <w:top w:val="nil"/>
              <w:bottom w:val="nil"/>
            </w:tcBorders>
            <w:shd w:val="clear" w:color="auto" w:fill="auto"/>
            <w:vAlign w:val="center"/>
          </w:tcPr>
          <w:p w14:paraId="17CB5719"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w:t>
            </w:r>
          </w:p>
        </w:tc>
        <w:tc>
          <w:tcPr>
            <w:tcW w:w="783" w:type="dxa"/>
            <w:tcBorders>
              <w:top w:val="nil"/>
              <w:bottom w:val="nil"/>
            </w:tcBorders>
            <w:shd w:val="clear" w:color="auto" w:fill="auto"/>
            <w:vAlign w:val="center"/>
          </w:tcPr>
          <w:p w14:paraId="6ED90E3B"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2010</w:t>
            </w:r>
          </w:p>
        </w:tc>
        <w:tc>
          <w:tcPr>
            <w:tcW w:w="1627" w:type="dxa"/>
            <w:tcBorders>
              <w:top w:val="nil"/>
              <w:bottom w:val="nil"/>
            </w:tcBorders>
            <w:shd w:val="clear" w:color="auto" w:fill="auto"/>
            <w:vAlign w:val="center"/>
          </w:tcPr>
          <w:p w14:paraId="1803D776"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After liver transplantation for HCC</w:t>
            </w:r>
          </w:p>
        </w:tc>
        <w:tc>
          <w:tcPr>
            <w:tcW w:w="1134" w:type="dxa"/>
            <w:tcBorders>
              <w:top w:val="nil"/>
              <w:bottom w:val="nil"/>
            </w:tcBorders>
            <w:shd w:val="clear" w:color="auto" w:fill="auto"/>
            <w:vAlign w:val="center"/>
          </w:tcPr>
          <w:p w14:paraId="666D7E3D"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Side effect</w:t>
            </w:r>
          </w:p>
        </w:tc>
        <w:tc>
          <w:tcPr>
            <w:tcW w:w="1417" w:type="dxa"/>
            <w:tcBorders>
              <w:top w:val="nil"/>
              <w:bottom w:val="nil"/>
            </w:tcBorders>
            <w:shd w:val="clear" w:color="auto" w:fill="auto"/>
            <w:vAlign w:val="center"/>
          </w:tcPr>
          <w:p w14:paraId="1190E918"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NCT01147380</w:t>
            </w:r>
          </w:p>
        </w:tc>
        <w:tc>
          <w:tcPr>
            <w:tcW w:w="1134" w:type="dxa"/>
            <w:tcBorders>
              <w:top w:val="nil"/>
              <w:bottom w:val="nil"/>
            </w:tcBorders>
            <w:shd w:val="clear" w:color="auto" w:fill="auto"/>
            <w:vAlign w:val="center"/>
          </w:tcPr>
          <w:p w14:paraId="7F4AE5A7"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Ongoing, but not recruiting</w:t>
            </w:r>
          </w:p>
        </w:tc>
      </w:tr>
      <w:tr w:rsidR="003201B3" w:rsidRPr="00B00AC1" w14:paraId="226D8909" w14:textId="77777777" w:rsidTr="0090045D">
        <w:tc>
          <w:tcPr>
            <w:tcW w:w="1560" w:type="dxa"/>
            <w:tcBorders>
              <w:top w:val="nil"/>
              <w:bottom w:val="nil"/>
            </w:tcBorders>
            <w:shd w:val="clear" w:color="auto" w:fill="auto"/>
            <w:vAlign w:val="center"/>
          </w:tcPr>
          <w:p w14:paraId="33B023F8"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Young TIL</w:t>
            </w:r>
          </w:p>
        </w:tc>
        <w:tc>
          <w:tcPr>
            <w:tcW w:w="992" w:type="dxa"/>
            <w:tcBorders>
              <w:top w:val="nil"/>
              <w:bottom w:val="nil"/>
            </w:tcBorders>
            <w:shd w:val="clear" w:color="auto" w:fill="auto"/>
            <w:vAlign w:val="center"/>
          </w:tcPr>
          <w:p w14:paraId="0760C26E"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II</w:t>
            </w:r>
          </w:p>
        </w:tc>
        <w:tc>
          <w:tcPr>
            <w:tcW w:w="783" w:type="dxa"/>
            <w:tcBorders>
              <w:top w:val="nil"/>
              <w:bottom w:val="nil"/>
            </w:tcBorders>
            <w:shd w:val="clear" w:color="auto" w:fill="auto"/>
            <w:vAlign w:val="center"/>
          </w:tcPr>
          <w:p w14:paraId="260FA791"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2010</w:t>
            </w:r>
          </w:p>
        </w:tc>
        <w:tc>
          <w:tcPr>
            <w:tcW w:w="1627" w:type="dxa"/>
            <w:tcBorders>
              <w:top w:val="nil"/>
              <w:bottom w:val="nil"/>
            </w:tcBorders>
            <w:shd w:val="clear" w:color="auto" w:fill="auto"/>
            <w:vAlign w:val="center"/>
          </w:tcPr>
          <w:p w14:paraId="419C2298"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Metastatic HCC with at least one lesion resectable</w:t>
            </w:r>
          </w:p>
        </w:tc>
        <w:tc>
          <w:tcPr>
            <w:tcW w:w="1134" w:type="dxa"/>
            <w:tcBorders>
              <w:top w:val="nil"/>
              <w:bottom w:val="nil"/>
            </w:tcBorders>
            <w:shd w:val="clear" w:color="auto" w:fill="auto"/>
            <w:vAlign w:val="center"/>
          </w:tcPr>
          <w:p w14:paraId="1DE7EE8C"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Tumor regression rate</w:t>
            </w:r>
          </w:p>
        </w:tc>
        <w:tc>
          <w:tcPr>
            <w:tcW w:w="1417" w:type="dxa"/>
            <w:tcBorders>
              <w:top w:val="nil"/>
              <w:bottom w:val="nil"/>
            </w:tcBorders>
            <w:shd w:val="clear" w:color="auto" w:fill="auto"/>
            <w:vAlign w:val="center"/>
          </w:tcPr>
          <w:p w14:paraId="65B735B7"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NCT01174121</w:t>
            </w:r>
          </w:p>
        </w:tc>
        <w:tc>
          <w:tcPr>
            <w:tcW w:w="1134" w:type="dxa"/>
            <w:tcBorders>
              <w:top w:val="nil"/>
              <w:bottom w:val="nil"/>
            </w:tcBorders>
            <w:shd w:val="clear" w:color="auto" w:fill="auto"/>
            <w:vAlign w:val="center"/>
          </w:tcPr>
          <w:p w14:paraId="4094AAE9"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Recruiting</w:t>
            </w:r>
          </w:p>
        </w:tc>
      </w:tr>
      <w:tr w:rsidR="003201B3" w:rsidRPr="00B00AC1" w14:paraId="7FD77D88" w14:textId="77777777" w:rsidTr="0090045D">
        <w:tc>
          <w:tcPr>
            <w:tcW w:w="1560" w:type="dxa"/>
            <w:tcBorders>
              <w:top w:val="nil"/>
              <w:bottom w:val="nil"/>
            </w:tcBorders>
            <w:shd w:val="clear" w:color="auto" w:fill="auto"/>
            <w:vAlign w:val="center"/>
          </w:tcPr>
          <w:p w14:paraId="5F2ED052"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Autologous tumor infiltrating lymphocytes, combined with IL-2</w:t>
            </w:r>
          </w:p>
        </w:tc>
        <w:tc>
          <w:tcPr>
            <w:tcW w:w="992" w:type="dxa"/>
            <w:tcBorders>
              <w:top w:val="nil"/>
              <w:bottom w:val="nil"/>
            </w:tcBorders>
            <w:shd w:val="clear" w:color="auto" w:fill="auto"/>
            <w:vAlign w:val="center"/>
          </w:tcPr>
          <w:p w14:paraId="21FAC085"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Phase I</w:t>
            </w:r>
          </w:p>
        </w:tc>
        <w:tc>
          <w:tcPr>
            <w:tcW w:w="783" w:type="dxa"/>
            <w:tcBorders>
              <w:top w:val="nil"/>
              <w:bottom w:val="nil"/>
            </w:tcBorders>
            <w:shd w:val="clear" w:color="auto" w:fill="auto"/>
            <w:vAlign w:val="center"/>
          </w:tcPr>
          <w:p w14:paraId="2BB862EB"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2011</w:t>
            </w:r>
          </w:p>
        </w:tc>
        <w:tc>
          <w:tcPr>
            <w:tcW w:w="1627" w:type="dxa"/>
            <w:tcBorders>
              <w:top w:val="nil"/>
              <w:bottom w:val="nil"/>
            </w:tcBorders>
            <w:shd w:val="clear" w:color="auto" w:fill="auto"/>
            <w:vAlign w:val="center"/>
          </w:tcPr>
          <w:p w14:paraId="5BB7987A"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Metastatic HCC</w:t>
            </w:r>
          </w:p>
        </w:tc>
        <w:tc>
          <w:tcPr>
            <w:tcW w:w="1134" w:type="dxa"/>
            <w:tcBorders>
              <w:top w:val="nil"/>
              <w:bottom w:val="nil"/>
            </w:tcBorders>
            <w:shd w:val="clear" w:color="auto" w:fill="auto"/>
            <w:vAlign w:val="center"/>
          </w:tcPr>
          <w:p w14:paraId="2D61689F"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Safety and tolerability</w:t>
            </w:r>
          </w:p>
        </w:tc>
        <w:tc>
          <w:tcPr>
            <w:tcW w:w="1417" w:type="dxa"/>
            <w:tcBorders>
              <w:top w:val="nil"/>
              <w:bottom w:val="nil"/>
            </w:tcBorders>
            <w:shd w:val="clear" w:color="auto" w:fill="auto"/>
            <w:vAlign w:val="center"/>
          </w:tcPr>
          <w:p w14:paraId="0CF76F9C"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NCT01462903</w:t>
            </w:r>
          </w:p>
        </w:tc>
        <w:tc>
          <w:tcPr>
            <w:tcW w:w="1134" w:type="dxa"/>
            <w:tcBorders>
              <w:top w:val="nil"/>
              <w:bottom w:val="nil"/>
            </w:tcBorders>
            <w:shd w:val="clear" w:color="auto" w:fill="auto"/>
            <w:vAlign w:val="center"/>
          </w:tcPr>
          <w:p w14:paraId="0B8170F7"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Unknown</w:t>
            </w:r>
          </w:p>
        </w:tc>
      </w:tr>
      <w:tr w:rsidR="003201B3" w:rsidRPr="00B00AC1" w14:paraId="243D2DC8" w14:textId="77777777" w:rsidTr="0090045D">
        <w:tc>
          <w:tcPr>
            <w:tcW w:w="1560" w:type="dxa"/>
            <w:tcBorders>
              <w:top w:val="nil"/>
              <w:bottom w:val="nil"/>
            </w:tcBorders>
            <w:shd w:val="clear" w:color="auto" w:fill="auto"/>
            <w:vAlign w:val="center"/>
          </w:tcPr>
          <w:p w14:paraId="08F7C764"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CIK, combined with Licartin</w:t>
            </w:r>
          </w:p>
        </w:tc>
        <w:tc>
          <w:tcPr>
            <w:tcW w:w="992" w:type="dxa"/>
            <w:tcBorders>
              <w:top w:val="nil"/>
              <w:bottom w:val="nil"/>
            </w:tcBorders>
            <w:shd w:val="clear" w:color="auto" w:fill="auto"/>
            <w:vAlign w:val="center"/>
          </w:tcPr>
          <w:p w14:paraId="24A8F9E8"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Phase IV</w:t>
            </w:r>
          </w:p>
        </w:tc>
        <w:tc>
          <w:tcPr>
            <w:tcW w:w="783" w:type="dxa"/>
            <w:tcBorders>
              <w:top w:val="nil"/>
              <w:bottom w:val="nil"/>
            </w:tcBorders>
            <w:shd w:val="clear" w:color="auto" w:fill="auto"/>
            <w:vAlign w:val="center"/>
          </w:tcPr>
          <w:p w14:paraId="01880410"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2012</w:t>
            </w:r>
          </w:p>
        </w:tc>
        <w:tc>
          <w:tcPr>
            <w:tcW w:w="1627" w:type="dxa"/>
            <w:tcBorders>
              <w:top w:val="nil"/>
              <w:bottom w:val="nil"/>
            </w:tcBorders>
            <w:shd w:val="clear" w:color="auto" w:fill="auto"/>
            <w:vAlign w:val="center"/>
          </w:tcPr>
          <w:p w14:paraId="5A1097ED"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Postoperative patients</w:t>
            </w:r>
          </w:p>
        </w:tc>
        <w:tc>
          <w:tcPr>
            <w:tcW w:w="1134" w:type="dxa"/>
            <w:tcBorders>
              <w:top w:val="nil"/>
              <w:bottom w:val="nil"/>
            </w:tcBorders>
            <w:shd w:val="clear" w:color="auto" w:fill="auto"/>
            <w:vAlign w:val="center"/>
          </w:tcPr>
          <w:p w14:paraId="49A14F31" w14:textId="106D7675" w:rsidR="003201B3" w:rsidRPr="00B00AC1" w:rsidRDefault="0090045D" w:rsidP="0090045D">
            <w:pPr>
              <w:spacing w:line="360" w:lineRule="auto"/>
              <w:rPr>
                <w:rFonts w:ascii="Book Antiqua" w:hAnsi="Book Antiqua" w:cs="Helvetica"/>
                <w:color w:val="000000"/>
                <w:kern w:val="0"/>
                <w:sz w:val="24"/>
              </w:rPr>
            </w:pPr>
            <w:r>
              <w:rPr>
                <w:rFonts w:ascii="Book Antiqua" w:hAnsi="Book Antiqua" w:cs="Helvetica"/>
                <w:color w:val="000000"/>
                <w:kern w:val="0"/>
                <w:sz w:val="24"/>
              </w:rPr>
              <w:t>1-y</w:t>
            </w:r>
            <w:r w:rsidR="003201B3" w:rsidRPr="00B00AC1">
              <w:rPr>
                <w:rFonts w:ascii="Book Antiqua" w:hAnsi="Book Antiqua" w:cs="Helvetica"/>
                <w:color w:val="000000"/>
                <w:kern w:val="0"/>
                <w:sz w:val="24"/>
              </w:rPr>
              <w:t>r PFS</w:t>
            </w:r>
          </w:p>
        </w:tc>
        <w:tc>
          <w:tcPr>
            <w:tcW w:w="1417" w:type="dxa"/>
            <w:tcBorders>
              <w:top w:val="nil"/>
              <w:bottom w:val="nil"/>
            </w:tcBorders>
            <w:shd w:val="clear" w:color="auto" w:fill="auto"/>
            <w:vAlign w:val="center"/>
          </w:tcPr>
          <w:p w14:paraId="4C67E5EA"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NCT01758679</w:t>
            </w:r>
          </w:p>
        </w:tc>
        <w:tc>
          <w:tcPr>
            <w:tcW w:w="1134" w:type="dxa"/>
            <w:tcBorders>
              <w:top w:val="nil"/>
              <w:bottom w:val="nil"/>
            </w:tcBorders>
            <w:shd w:val="clear" w:color="auto" w:fill="auto"/>
            <w:vAlign w:val="center"/>
          </w:tcPr>
          <w:p w14:paraId="48EC170D"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Recruiting</w:t>
            </w:r>
          </w:p>
        </w:tc>
      </w:tr>
      <w:tr w:rsidR="003201B3" w:rsidRPr="00B00AC1" w14:paraId="6910A734" w14:textId="77777777" w:rsidTr="0090045D">
        <w:tc>
          <w:tcPr>
            <w:tcW w:w="1560" w:type="dxa"/>
            <w:tcBorders>
              <w:top w:val="nil"/>
              <w:bottom w:val="nil"/>
            </w:tcBorders>
            <w:shd w:val="clear" w:color="auto" w:fill="auto"/>
            <w:vAlign w:val="center"/>
          </w:tcPr>
          <w:p w14:paraId="5A122640"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Dendritic and cytokine-induced killer cells</w:t>
            </w:r>
          </w:p>
        </w:tc>
        <w:tc>
          <w:tcPr>
            <w:tcW w:w="992" w:type="dxa"/>
            <w:tcBorders>
              <w:top w:val="nil"/>
              <w:bottom w:val="nil"/>
            </w:tcBorders>
            <w:shd w:val="clear" w:color="auto" w:fill="auto"/>
            <w:vAlign w:val="center"/>
          </w:tcPr>
          <w:p w14:paraId="055241DE"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Phase II</w:t>
            </w:r>
          </w:p>
        </w:tc>
        <w:tc>
          <w:tcPr>
            <w:tcW w:w="783" w:type="dxa"/>
            <w:tcBorders>
              <w:top w:val="nil"/>
              <w:bottom w:val="nil"/>
            </w:tcBorders>
            <w:shd w:val="clear" w:color="auto" w:fill="auto"/>
            <w:vAlign w:val="center"/>
          </w:tcPr>
          <w:p w14:paraId="3FB5823E"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2013</w:t>
            </w:r>
          </w:p>
        </w:tc>
        <w:tc>
          <w:tcPr>
            <w:tcW w:w="1627" w:type="dxa"/>
            <w:tcBorders>
              <w:top w:val="nil"/>
              <w:bottom w:val="nil"/>
            </w:tcBorders>
            <w:shd w:val="clear" w:color="auto" w:fill="auto"/>
            <w:vAlign w:val="center"/>
          </w:tcPr>
          <w:p w14:paraId="31525EE3"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After complete resection or TACE</w:t>
            </w:r>
          </w:p>
        </w:tc>
        <w:tc>
          <w:tcPr>
            <w:tcW w:w="1134" w:type="dxa"/>
            <w:tcBorders>
              <w:top w:val="nil"/>
              <w:bottom w:val="nil"/>
            </w:tcBorders>
            <w:shd w:val="clear" w:color="auto" w:fill="auto"/>
            <w:vAlign w:val="center"/>
          </w:tcPr>
          <w:p w14:paraId="400F068D"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PFS</w:t>
            </w:r>
          </w:p>
        </w:tc>
        <w:tc>
          <w:tcPr>
            <w:tcW w:w="1417" w:type="dxa"/>
            <w:tcBorders>
              <w:top w:val="nil"/>
              <w:bottom w:val="nil"/>
            </w:tcBorders>
            <w:shd w:val="clear" w:color="auto" w:fill="auto"/>
            <w:vAlign w:val="center"/>
          </w:tcPr>
          <w:p w14:paraId="1B7B3221"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NCT01821482</w:t>
            </w:r>
          </w:p>
        </w:tc>
        <w:tc>
          <w:tcPr>
            <w:tcW w:w="1134" w:type="dxa"/>
            <w:tcBorders>
              <w:top w:val="nil"/>
              <w:bottom w:val="nil"/>
            </w:tcBorders>
            <w:shd w:val="clear" w:color="auto" w:fill="auto"/>
            <w:vAlign w:val="center"/>
          </w:tcPr>
          <w:p w14:paraId="603EECD6"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Not yet recruiting</w:t>
            </w:r>
          </w:p>
        </w:tc>
      </w:tr>
      <w:tr w:rsidR="003201B3" w:rsidRPr="00B00AC1" w14:paraId="697F048C" w14:textId="77777777" w:rsidTr="0090045D">
        <w:tc>
          <w:tcPr>
            <w:tcW w:w="1560" w:type="dxa"/>
            <w:tcBorders>
              <w:top w:val="nil"/>
              <w:bottom w:val="nil"/>
            </w:tcBorders>
            <w:shd w:val="clear" w:color="auto" w:fill="auto"/>
            <w:vAlign w:val="center"/>
          </w:tcPr>
          <w:p w14:paraId="3EEB7173"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CTL induced by DC loaded with multiple antigens</w:t>
            </w:r>
          </w:p>
        </w:tc>
        <w:tc>
          <w:tcPr>
            <w:tcW w:w="992" w:type="dxa"/>
            <w:tcBorders>
              <w:top w:val="nil"/>
              <w:bottom w:val="nil"/>
            </w:tcBorders>
            <w:shd w:val="clear" w:color="auto" w:fill="auto"/>
            <w:vAlign w:val="center"/>
          </w:tcPr>
          <w:p w14:paraId="696C1068"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Phase I</w:t>
            </w:r>
          </w:p>
        </w:tc>
        <w:tc>
          <w:tcPr>
            <w:tcW w:w="783" w:type="dxa"/>
            <w:tcBorders>
              <w:top w:val="nil"/>
              <w:bottom w:val="nil"/>
            </w:tcBorders>
            <w:shd w:val="clear" w:color="auto" w:fill="auto"/>
            <w:vAlign w:val="center"/>
          </w:tcPr>
          <w:p w14:paraId="71BE587E"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2013</w:t>
            </w:r>
          </w:p>
        </w:tc>
        <w:tc>
          <w:tcPr>
            <w:tcW w:w="1627" w:type="dxa"/>
            <w:tcBorders>
              <w:top w:val="nil"/>
              <w:bottom w:val="nil"/>
            </w:tcBorders>
            <w:shd w:val="clear" w:color="auto" w:fill="auto"/>
            <w:vAlign w:val="center"/>
          </w:tcPr>
          <w:p w14:paraId="2E55DD80"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Complete tumor resection within 8 weeks</w:t>
            </w:r>
          </w:p>
        </w:tc>
        <w:tc>
          <w:tcPr>
            <w:tcW w:w="1134" w:type="dxa"/>
            <w:tcBorders>
              <w:top w:val="nil"/>
              <w:bottom w:val="nil"/>
            </w:tcBorders>
            <w:shd w:val="clear" w:color="auto" w:fill="auto"/>
            <w:vAlign w:val="center"/>
          </w:tcPr>
          <w:p w14:paraId="2F1F3791" w14:textId="0744685F" w:rsidR="003201B3" w:rsidRPr="00B00AC1" w:rsidRDefault="0090045D" w:rsidP="0090045D">
            <w:pPr>
              <w:spacing w:line="360" w:lineRule="auto"/>
              <w:rPr>
                <w:rFonts w:ascii="Book Antiqua" w:hAnsi="Book Antiqua" w:cs="Helvetica"/>
                <w:color w:val="000000"/>
                <w:kern w:val="0"/>
                <w:sz w:val="24"/>
              </w:rPr>
            </w:pPr>
            <w:r>
              <w:rPr>
                <w:rFonts w:ascii="Book Antiqua" w:hAnsi="Book Antiqua" w:cs="Helvetica"/>
                <w:color w:val="000000"/>
                <w:kern w:val="0"/>
                <w:sz w:val="24"/>
              </w:rPr>
              <w:t>2-y</w:t>
            </w:r>
            <w:r w:rsidR="003201B3" w:rsidRPr="00B00AC1">
              <w:rPr>
                <w:rFonts w:ascii="Book Antiqua" w:hAnsi="Book Antiqua" w:cs="Helvetica"/>
                <w:color w:val="000000"/>
                <w:kern w:val="0"/>
                <w:sz w:val="24"/>
              </w:rPr>
              <w:t>r PFS and adverse events</w:t>
            </w:r>
          </w:p>
        </w:tc>
        <w:tc>
          <w:tcPr>
            <w:tcW w:w="1417" w:type="dxa"/>
            <w:tcBorders>
              <w:top w:val="nil"/>
              <w:bottom w:val="nil"/>
            </w:tcBorders>
            <w:shd w:val="clear" w:color="auto" w:fill="auto"/>
            <w:vAlign w:val="center"/>
          </w:tcPr>
          <w:p w14:paraId="5BA374C4" w14:textId="77777777" w:rsidR="003201B3" w:rsidRPr="00B00AC1" w:rsidRDefault="003201B3" w:rsidP="00B00AC1">
            <w:pPr>
              <w:tabs>
                <w:tab w:val="left" w:pos="653"/>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NCT02026362</w:t>
            </w:r>
          </w:p>
        </w:tc>
        <w:tc>
          <w:tcPr>
            <w:tcW w:w="1134" w:type="dxa"/>
            <w:tcBorders>
              <w:top w:val="nil"/>
              <w:bottom w:val="nil"/>
            </w:tcBorders>
            <w:shd w:val="clear" w:color="auto" w:fill="auto"/>
            <w:vAlign w:val="center"/>
          </w:tcPr>
          <w:p w14:paraId="28C35ACC"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Recruiting</w:t>
            </w:r>
          </w:p>
        </w:tc>
      </w:tr>
      <w:tr w:rsidR="003201B3" w:rsidRPr="00B00AC1" w14:paraId="1BB854DD" w14:textId="77777777" w:rsidTr="0090045D">
        <w:tc>
          <w:tcPr>
            <w:tcW w:w="1560" w:type="dxa"/>
            <w:tcBorders>
              <w:top w:val="nil"/>
              <w:bottom w:val="nil"/>
            </w:tcBorders>
            <w:shd w:val="clear" w:color="auto" w:fill="auto"/>
            <w:vAlign w:val="center"/>
          </w:tcPr>
          <w:p w14:paraId="48DE50CA"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DC incubated with irradiated autologous tumor stem cells + GM-CSF</w:t>
            </w:r>
          </w:p>
        </w:tc>
        <w:tc>
          <w:tcPr>
            <w:tcW w:w="992" w:type="dxa"/>
            <w:tcBorders>
              <w:top w:val="nil"/>
              <w:bottom w:val="nil"/>
            </w:tcBorders>
            <w:shd w:val="clear" w:color="auto" w:fill="auto"/>
            <w:vAlign w:val="center"/>
          </w:tcPr>
          <w:p w14:paraId="13CE3EBC"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Phase I</w:t>
            </w:r>
          </w:p>
        </w:tc>
        <w:tc>
          <w:tcPr>
            <w:tcW w:w="783" w:type="dxa"/>
            <w:tcBorders>
              <w:top w:val="nil"/>
              <w:bottom w:val="nil"/>
            </w:tcBorders>
            <w:shd w:val="clear" w:color="auto" w:fill="auto"/>
            <w:vAlign w:val="center"/>
          </w:tcPr>
          <w:p w14:paraId="6A49749B"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2013</w:t>
            </w:r>
          </w:p>
        </w:tc>
        <w:tc>
          <w:tcPr>
            <w:tcW w:w="1627" w:type="dxa"/>
            <w:tcBorders>
              <w:top w:val="nil"/>
              <w:bottom w:val="nil"/>
            </w:tcBorders>
            <w:shd w:val="clear" w:color="auto" w:fill="auto"/>
            <w:vAlign w:val="center"/>
          </w:tcPr>
          <w:p w14:paraId="1F0B54FF" w14:textId="77777777" w:rsidR="003201B3" w:rsidRPr="00B00AC1" w:rsidRDefault="003201B3" w:rsidP="00B00AC1">
            <w:pPr>
              <w:tabs>
                <w:tab w:val="left" w:pos="493"/>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Candidates for HCC resection</w:t>
            </w:r>
          </w:p>
        </w:tc>
        <w:tc>
          <w:tcPr>
            <w:tcW w:w="1134" w:type="dxa"/>
            <w:tcBorders>
              <w:top w:val="nil"/>
              <w:bottom w:val="nil"/>
            </w:tcBorders>
            <w:shd w:val="clear" w:color="auto" w:fill="auto"/>
            <w:vAlign w:val="center"/>
          </w:tcPr>
          <w:p w14:paraId="10C889B0"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Vital signs, physical examinations and adverse events</w:t>
            </w:r>
          </w:p>
        </w:tc>
        <w:tc>
          <w:tcPr>
            <w:tcW w:w="1417" w:type="dxa"/>
            <w:tcBorders>
              <w:top w:val="nil"/>
              <w:bottom w:val="nil"/>
            </w:tcBorders>
            <w:shd w:val="clear" w:color="auto" w:fill="auto"/>
            <w:vAlign w:val="center"/>
          </w:tcPr>
          <w:p w14:paraId="7856F09D" w14:textId="77777777" w:rsidR="003201B3" w:rsidRPr="00B00AC1" w:rsidRDefault="003201B3" w:rsidP="00B00AC1">
            <w:pPr>
              <w:tabs>
                <w:tab w:val="left" w:pos="653"/>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NCT01828762</w:t>
            </w:r>
          </w:p>
        </w:tc>
        <w:tc>
          <w:tcPr>
            <w:tcW w:w="1134" w:type="dxa"/>
            <w:tcBorders>
              <w:top w:val="nil"/>
              <w:bottom w:val="nil"/>
            </w:tcBorders>
            <w:shd w:val="clear" w:color="auto" w:fill="auto"/>
            <w:vAlign w:val="center"/>
          </w:tcPr>
          <w:p w14:paraId="3A59A268"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Completed</w:t>
            </w:r>
          </w:p>
        </w:tc>
      </w:tr>
      <w:tr w:rsidR="003201B3" w:rsidRPr="00B00AC1" w14:paraId="7E112F4B" w14:textId="77777777" w:rsidTr="0090045D">
        <w:tc>
          <w:tcPr>
            <w:tcW w:w="1560" w:type="dxa"/>
            <w:tcBorders>
              <w:top w:val="nil"/>
              <w:bottom w:val="nil"/>
            </w:tcBorders>
            <w:shd w:val="clear" w:color="auto" w:fill="auto"/>
            <w:vAlign w:val="center"/>
          </w:tcPr>
          <w:p w14:paraId="099C570A"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Cord blood-derived CIK</w:t>
            </w:r>
          </w:p>
        </w:tc>
        <w:tc>
          <w:tcPr>
            <w:tcW w:w="992" w:type="dxa"/>
            <w:tcBorders>
              <w:top w:val="nil"/>
              <w:bottom w:val="nil"/>
            </w:tcBorders>
            <w:shd w:val="clear" w:color="auto" w:fill="auto"/>
            <w:vAlign w:val="center"/>
          </w:tcPr>
          <w:p w14:paraId="4DC3C950"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Phase I</w:t>
            </w:r>
          </w:p>
        </w:tc>
        <w:tc>
          <w:tcPr>
            <w:tcW w:w="783" w:type="dxa"/>
            <w:tcBorders>
              <w:top w:val="nil"/>
              <w:bottom w:val="nil"/>
            </w:tcBorders>
            <w:shd w:val="clear" w:color="auto" w:fill="auto"/>
            <w:vAlign w:val="center"/>
          </w:tcPr>
          <w:p w14:paraId="6B0EE21E" w14:textId="77777777" w:rsidR="003201B3" w:rsidRPr="00B00AC1" w:rsidRDefault="003201B3" w:rsidP="00B00AC1">
            <w:pPr>
              <w:spacing w:line="360" w:lineRule="auto"/>
              <w:rPr>
                <w:rFonts w:ascii="Book Antiqua" w:hAnsi="Book Antiqua"/>
                <w:sz w:val="24"/>
              </w:rPr>
            </w:pPr>
            <w:r w:rsidRPr="00B00AC1">
              <w:rPr>
                <w:rFonts w:ascii="Book Antiqua" w:hAnsi="Book Antiqua"/>
                <w:sz w:val="24"/>
              </w:rPr>
              <w:t>2013</w:t>
            </w:r>
          </w:p>
        </w:tc>
        <w:tc>
          <w:tcPr>
            <w:tcW w:w="1627" w:type="dxa"/>
            <w:tcBorders>
              <w:top w:val="nil"/>
              <w:bottom w:val="nil"/>
            </w:tcBorders>
            <w:shd w:val="clear" w:color="auto" w:fill="auto"/>
            <w:vAlign w:val="center"/>
          </w:tcPr>
          <w:p w14:paraId="350593DB" w14:textId="77777777" w:rsidR="003201B3" w:rsidRPr="00B00AC1" w:rsidRDefault="003201B3" w:rsidP="00B00AC1">
            <w:pPr>
              <w:tabs>
                <w:tab w:val="left" w:pos="493"/>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After radical resection</w:t>
            </w:r>
          </w:p>
        </w:tc>
        <w:tc>
          <w:tcPr>
            <w:tcW w:w="1134" w:type="dxa"/>
            <w:tcBorders>
              <w:top w:val="nil"/>
              <w:bottom w:val="nil"/>
            </w:tcBorders>
            <w:shd w:val="clear" w:color="auto" w:fill="auto"/>
            <w:vAlign w:val="center"/>
          </w:tcPr>
          <w:p w14:paraId="3206153F"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Adverse events</w:t>
            </w:r>
          </w:p>
        </w:tc>
        <w:tc>
          <w:tcPr>
            <w:tcW w:w="1417" w:type="dxa"/>
            <w:tcBorders>
              <w:top w:val="nil"/>
              <w:bottom w:val="nil"/>
            </w:tcBorders>
            <w:shd w:val="clear" w:color="auto" w:fill="auto"/>
            <w:vAlign w:val="center"/>
          </w:tcPr>
          <w:p w14:paraId="2E69DFD0" w14:textId="77777777" w:rsidR="003201B3" w:rsidRPr="00B00AC1" w:rsidRDefault="003201B3" w:rsidP="00B00AC1">
            <w:pPr>
              <w:tabs>
                <w:tab w:val="left" w:pos="653"/>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NCT01914263</w:t>
            </w:r>
          </w:p>
        </w:tc>
        <w:tc>
          <w:tcPr>
            <w:tcW w:w="1134" w:type="dxa"/>
            <w:tcBorders>
              <w:top w:val="nil"/>
              <w:bottom w:val="nil"/>
            </w:tcBorders>
            <w:shd w:val="clear" w:color="auto" w:fill="auto"/>
            <w:vAlign w:val="center"/>
          </w:tcPr>
          <w:p w14:paraId="2EBC04CE"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Not yet recruiting</w:t>
            </w:r>
          </w:p>
        </w:tc>
      </w:tr>
      <w:tr w:rsidR="003201B3" w:rsidRPr="00B00AC1" w14:paraId="3623AD1A" w14:textId="77777777" w:rsidTr="0090045D">
        <w:tc>
          <w:tcPr>
            <w:tcW w:w="1560" w:type="dxa"/>
            <w:tcBorders>
              <w:top w:val="nil"/>
              <w:bottom w:val="nil"/>
            </w:tcBorders>
            <w:shd w:val="clear" w:color="auto" w:fill="auto"/>
            <w:vAlign w:val="center"/>
          </w:tcPr>
          <w:p w14:paraId="745055FD"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Autologous NKT cells</w:t>
            </w:r>
          </w:p>
        </w:tc>
        <w:tc>
          <w:tcPr>
            <w:tcW w:w="992" w:type="dxa"/>
            <w:tcBorders>
              <w:top w:val="nil"/>
              <w:bottom w:val="nil"/>
            </w:tcBorders>
            <w:shd w:val="clear" w:color="auto" w:fill="auto"/>
            <w:vAlign w:val="center"/>
          </w:tcPr>
          <w:p w14:paraId="48FFD3F4"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Phase I</w:t>
            </w:r>
          </w:p>
        </w:tc>
        <w:tc>
          <w:tcPr>
            <w:tcW w:w="783" w:type="dxa"/>
            <w:tcBorders>
              <w:top w:val="nil"/>
              <w:bottom w:val="nil"/>
            </w:tcBorders>
            <w:shd w:val="clear" w:color="auto" w:fill="auto"/>
            <w:vAlign w:val="center"/>
          </w:tcPr>
          <w:p w14:paraId="19731A06" w14:textId="77777777" w:rsidR="003201B3" w:rsidRPr="00B00AC1" w:rsidRDefault="003201B3" w:rsidP="00B00AC1">
            <w:pPr>
              <w:spacing w:line="360" w:lineRule="auto"/>
              <w:rPr>
                <w:rFonts w:ascii="Book Antiqua" w:hAnsi="Book Antiqua"/>
                <w:sz w:val="24"/>
              </w:rPr>
            </w:pPr>
            <w:r w:rsidRPr="00B00AC1">
              <w:rPr>
                <w:rFonts w:ascii="Book Antiqua" w:hAnsi="Book Antiqua" w:cs="Helvetica"/>
                <w:color w:val="000000"/>
                <w:kern w:val="0"/>
                <w:sz w:val="24"/>
              </w:rPr>
              <w:t>2013</w:t>
            </w:r>
          </w:p>
        </w:tc>
        <w:tc>
          <w:tcPr>
            <w:tcW w:w="1627" w:type="dxa"/>
            <w:tcBorders>
              <w:top w:val="nil"/>
              <w:bottom w:val="nil"/>
            </w:tcBorders>
            <w:shd w:val="clear" w:color="auto" w:fill="auto"/>
            <w:vAlign w:val="center"/>
          </w:tcPr>
          <w:p w14:paraId="6FBA1E9C" w14:textId="77777777" w:rsidR="003201B3" w:rsidRPr="00B00AC1" w:rsidRDefault="003201B3" w:rsidP="00B00AC1">
            <w:pPr>
              <w:tabs>
                <w:tab w:val="left" w:pos="600"/>
              </w:tabs>
              <w:spacing w:line="360" w:lineRule="auto"/>
              <w:rPr>
                <w:rFonts w:ascii="Book Antiqua" w:eastAsiaTheme="majorEastAsia" w:hAnsi="Book Antiqua" w:cs="Helvetica"/>
                <w:b/>
                <w:bCs/>
                <w:color w:val="000000"/>
                <w:kern w:val="0"/>
                <w:sz w:val="24"/>
              </w:rPr>
            </w:pPr>
            <w:r w:rsidRPr="00B00AC1">
              <w:rPr>
                <w:rFonts w:ascii="Book Antiqua" w:hAnsi="Book Antiqua" w:cs="Helvetica"/>
                <w:color w:val="000000"/>
                <w:kern w:val="0"/>
                <w:sz w:val="24"/>
              </w:rPr>
              <w:t>Advanced HCC, refractory to standard treatments</w:t>
            </w:r>
          </w:p>
        </w:tc>
        <w:tc>
          <w:tcPr>
            <w:tcW w:w="1134" w:type="dxa"/>
            <w:tcBorders>
              <w:top w:val="nil"/>
              <w:bottom w:val="nil"/>
            </w:tcBorders>
            <w:shd w:val="clear" w:color="auto" w:fill="auto"/>
            <w:vAlign w:val="center"/>
          </w:tcPr>
          <w:p w14:paraId="52353CFC"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Adverse events</w:t>
            </w:r>
          </w:p>
        </w:tc>
        <w:tc>
          <w:tcPr>
            <w:tcW w:w="1417" w:type="dxa"/>
            <w:tcBorders>
              <w:top w:val="nil"/>
              <w:bottom w:val="nil"/>
            </w:tcBorders>
            <w:shd w:val="clear" w:color="auto" w:fill="auto"/>
            <w:vAlign w:val="center"/>
          </w:tcPr>
          <w:p w14:paraId="5F716231" w14:textId="77777777" w:rsidR="003201B3" w:rsidRPr="00B00AC1" w:rsidRDefault="003201B3" w:rsidP="00B00AC1">
            <w:pPr>
              <w:tabs>
                <w:tab w:val="left" w:pos="653"/>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NCT01801852</w:t>
            </w:r>
          </w:p>
        </w:tc>
        <w:tc>
          <w:tcPr>
            <w:tcW w:w="1134" w:type="dxa"/>
            <w:tcBorders>
              <w:top w:val="nil"/>
              <w:bottom w:val="nil"/>
            </w:tcBorders>
            <w:shd w:val="clear" w:color="auto" w:fill="auto"/>
            <w:vAlign w:val="center"/>
          </w:tcPr>
          <w:p w14:paraId="1BD0D90E"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Recruiting</w:t>
            </w:r>
          </w:p>
        </w:tc>
      </w:tr>
      <w:tr w:rsidR="003201B3" w:rsidRPr="00B00AC1" w14:paraId="4DB71CDA" w14:textId="77777777" w:rsidTr="0090045D">
        <w:tc>
          <w:tcPr>
            <w:tcW w:w="1560" w:type="dxa"/>
            <w:tcBorders>
              <w:top w:val="nil"/>
              <w:bottom w:val="nil"/>
            </w:tcBorders>
            <w:shd w:val="clear" w:color="auto" w:fill="auto"/>
            <w:vAlign w:val="center"/>
          </w:tcPr>
          <w:p w14:paraId="11B48F12"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Immuncell-LC, combined with Nexavar</w:t>
            </w:r>
          </w:p>
        </w:tc>
        <w:tc>
          <w:tcPr>
            <w:tcW w:w="992" w:type="dxa"/>
            <w:tcBorders>
              <w:top w:val="nil"/>
              <w:bottom w:val="nil"/>
            </w:tcBorders>
            <w:shd w:val="clear" w:color="auto" w:fill="auto"/>
            <w:vAlign w:val="center"/>
          </w:tcPr>
          <w:p w14:paraId="56E16A19"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Phase II</w:t>
            </w:r>
          </w:p>
        </w:tc>
        <w:tc>
          <w:tcPr>
            <w:tcW w:w="783" w:type="dxa"/>
            <w:tcBorders>
              <w:top w:val="nil"/>
              <w:bottom w:val="nil"/>
            </w:tcBorders>
            <w:shd w:val="clear" w:color="auto" w:fill="auto"/>
            <w:vAlign w:val="center"/>
          </w:tcPr>
          <w:p w14:paraId="20B022A4"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2013</w:t>
            </w:r>
          </w:p>
        </w:tc>
        <w:tc>
          <w:tcPr>
            <w:tcW w:w="1627" w:type="dxa"/>
            <w:tcBorders>
              <w:top w:val="nil"/>
              <w:bottom w:val="nil"/>
            </w:tcBorders>
            <w:shd w:val="clear" w:color="auto" w:fill="auto"/>
            <w:vAlign w:val="center"/>
          </w:tcPr>
          <w:p w14:paraId="202DB417" w14:textId="77777777" w:rsidR="003201B3" w:rsidRPr="00B00AC1" w:rsidRDefault="003201B3" w:rsidP="00B00AC1">
            <w:pPr>
              <w:tabs>
                <w:tab w:val="left" w:pos="600"/>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Stage III and IV, receiving or ready for Nexavar treatment</w:t>
            </w:r>
          </w:p>
        </w:tc>
        <w:tc>
          <w:tcPr>
            <w:tcW w:w="1134" w:type="dxa"/>
            <w:tcBorders>
              <w:top w:val="nil"/>
              <w:bottom w:val="nil"/>
            </w:tcBorders>
            <w:shd w:val="clear" w:color="auto" w:fill="auto"/>
            <w:vAlign w:val="center"/>
          </w:tcPr>
          <w:p w14:paraId="146286E9" w14:textId="3DCE3695" w:rsidR="003201B3" w:rsidRPr="00B00AC1" w:rsidRDefault="0090045D" w:rsidP="0090045D">
            <w:pPr>
              <w:spacing w:line="360" w:lineRule="auto"/>
              <w:rPr>
                <w:rFonts w:ascii="Book Antiqua" w:hAnsi="Book Antiqua" w:cs="Helvetica"/>
                <w:color w:val="000000"/>
                <w:kern w:val="0"/>
                <w:sz w:val="24"/>
              </w:rPr>
            </w:pPr>
            <w:r>
              <w:rPr>
                <w:rFonts w:ascii="Book Antiqua" w:hAnsi="Book Antiqua" w:cs="Helvetica"/>
                <w:color w:val="000000"/>
                <w:kern w:val="0"/>
                <w:sz w:val="24"/>
              </w:rPr>
              <w:t>2-y</w:t>
            </w:r>
            <w:r w:rsidR="003201B3" w:rsidRPr="00B00AC1">
              <w:rPr>
                <w:rFonts w:ascii="Book Antiqua" w:hAnsi="Book Antiqua" w:cs="Helvetica"/>
                <w:color w:val="000000"/>
                <w:kern w:val="0"/>
                <w:sz w:val="24"/>
              </w:rPr>
              <w:t>r PFS</w:t>
            </w:r>
          </w:p>
        </w:tc>
        <w:tc>
          <w:tcPr>
            <w:tcW w:w="1417" w:type="dxa"/>
            <w:tcBorders>
              <w:top w:val="nil"/>
              <w:bottom w:val="nil"/>
            </w:tcBorders>
            <w:shd w:val="clear" w:color="auto" w:fill="auto"/>
            <w:vAlign w:val="center"/>
          </w:tcPr>
          <w:p w14:paraId="22DE6719" w14:textId="77777777" w:rsidR="003201B3" w:rsidRPr="00B00AC1" w:rsidRDefault="003201B3" w:rsidP="00B00AC1">
            <w:pPr>
              <w:tabs>
                <w:tab w:val="left" w:pos="653"/>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NCT01897610</w:t>
            </w:r>
          </w:p>
        </w:tc>
        <w:tc>
          <w:tcPr>
            <w:tcW w:w="1134" w:type="dxa"/>
            <w:tcBorders>
              <w:top w:val="nil"/>
              <w:bottom w:val="nil"/>
            </w:tcBorders>
            <w:shd w:val="clear" w:color="auto" w:fill="auto"/>
            <w:vAlign w:val="center"/>
          </w:tcPr>
          <w:p w14:paraId="4925E460"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Recruiting</w:t>
            </w:r>
          </w:p>
        </w:tc>
      </w:tr>
      <w:tr w:rsidR="003201B3" w:rsidRPr="00B00AC1" w14:paraId="27AF1AC4" w14:textId="77777777" w:rsidTr="0090045D">
        <w:tc>
          <w:tcPr>
            <w:tcW w:w="1560" w:type="dxa"/>
            <w:tcBorders>
              <w:top w:val="nil"/>
              <w:bottom w:val="single" w:sz="4" w:space="0" w:color="auto"/>
            </w:tcBorders>
            <w:shd w:val="clear" w:color="auto" w:fill="auto"/>
            <w:vAlign w:val="center"/>
          </w:tcPr>
          <w:p w14:paraId="04DAB935"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 xml:space="preserve">MG4101: </w:t>
            </w:r>
            <w:r w:rsidRPr="00B00AC1">
              <w:rPr>
                <w:rFonts w:ascii="Book Antiqua" w:hAnsi="Book Antiqua" w:cs="Helvetica"/>
                <w:i/>
                <w:iCs/>
                <w:color w:val="000000"/>
                <w:kern w:val="0"/>
                <w:sz w:val="24"/>
              </w:rPr>
              <w:t>ex vivo</w:t>
            </w:r>
            <w:r w:rsidRPr="00B00AC1">
              <w:rPr>
                <w:rFonts w:ascii="Book Antiqua" w:hAnsi="Book Antiqua" w:cs="Helvetica"/>
                <w:color w:val="000000"/>
                <w:kern w:val="0"/>
                <w:sz w:val="24"/>
              </w:rPr>
              <w:t xml:space="preserve"> expanded allogeneic NK cell</w:t>
            </w:r>
          </w:p>
        </w:tc>
        <w:tc>
          <w:tcPr>
            <w:tcW w:w="992" w:type="dxa"/>
            <w:tcBorders>
              <w:top w:val="nil"/>
              <w:bottom w:val="single" w:sz="4" w:space="0" w:color="auto"/>
            </w:tcBorders>
            <w:shd w:val="clear" w:color="auto" w:fill="auto"/>
            <w:vAlign w:val="center"/>
          </w:tcPr>
          <w:p w14:paraId="55FFC9D8"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Phase II</w:t>
            </w:r>
          </w:p>
        </w:tc>
        <w:tc>
          <w:tcPr>
            <w:tcW w:w="783" w:type="dxa"/>
            <w:tcBorders>
              <w:top w:val="nil"/>
              <w:bottom w:val="single" w:sz="4" w:space="0" w:color="auto"/>
            </w:tcBorders>
            <w:shd w:val="clear" w:color="auto" w:fill="auto"/>
            <w:vAlign w:val="center"/>
          </w:tcPr>
          <w:p w14:paraId="50EF4806" w14:textId="77777777" w:rsidR="003201B3" w:rsidRPr="00B00AC1" w:rsidRDefault="003201B3" w:rsidP="00B00AC1">
            <w:pPr>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2013</w:t>
            </w:r>
          </w:p>
        </w:tc>
        <w:tc>
          <w:tcPr>
            <w:tcW w:w="1627" w:type="dxa"/>
            <w:tcBorders>
              <w:top w:val="nil"/>
              <w:bottom w:val="single" w:sz="4" w:space="0" w:color="auto"/>
            </w:tcBorders>
            <w:shd w:val="clear" w:color="auto" w:fill="auto"/>
            <w:vAlign w:val="center"/>
          </w:tcPr>
          <w:p w14:paraId="06AADEE2" w14:textId="77777777" w:rsidR="003201B3" w:rsidRPr="00B00AC1" w:rsidRDefault="003201B3" w:rsidP="00B00AC1">
            <w:pPr>
              <w:tabs>
                <w:tab w:val="left" w:pos="600"/>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Stage III, after curative resection</w:t>
            </w:r>
          </w:p>
        </w:tc>
        <w:tc>
          <w:tcPr>
            <w:tcW w:w="1134" w:type="dxa"/>
            <w:tcBorders>
              <w:top w:val="nil"/>
              <w:bottom w:val="single" w:sz="4" w:space="0" w:color="auto"/>
            </w:tcBorders>
            <w:shd w:val="clear" w:color="auto" w:fill="auto"/>
            <w:vAlign w:val="center"/>
          </w:tcPr>
          <w:p w14:paraId="64352944" w14:textId="7F7EC4D8" w:rsidR="003201B3" w:rsidRPr="00B00AC1" w:rsidRDefault="0090045D" w:rsidP="0090045D">
            <w:pPr>
              <w:spacing w:line="360" w:lineRule="auto"/>
              <w:rPr>
                <w:rFonts w:ascii="Book Antiqua" w:hAnsi="Book Antiqua" w:cs="Helvetica"/>
                <w:color w:val="000000"/>
                <w:kern w:val="0"/>
                <w:sz w:val="24"/>
              </w:rPr>
            </w:pPr>
            <w:r>
              <w:rPr>
                <w:rFonts w:ascii="Book Antiqua" w:hAnsi="Book Antiqua" w:cs="Helvetica"/>
                <w:color w:val="000000"/>
                <w:kern w:val="0"/>
                <w:sz w:val="24"/>
              </w:rPr>
              <w:t>1-y</w:t>
            </w:r>
            <w:r w:rsidR="003201B3" w:rsidRPr="00B00AC1">
              <w:rPr>
                <w:rFonts w:ascii="Book Antiqua" w:hAnsi="Book Antiqua" w:cs="Helvetica"/>
                <w:color w:val="000000"/>
                <w:kern w:val="0"/>
                <w:sz w:val="24"/>
              </w:rPr>
              <w:t>r DFS</w:t>
            </w:r>
          </w:p>
        </w:tc>
        <w:tc>
          <w:tcPr>
            <w:tcW w:w="1417" w:type="dxa"/>
            <w:tcBorders>
              <w:top w:val="nil"/>
              <w:bottom w:val="single" w:sz="4" w:space="0" w:color="auto"/>
            </w:tcBorders>
            <w:shd w:val="clear" w:color="auto" w:fill="auto"/>
            <w:vAlign w:val="center"/>
          </w:tcPr>
          <w:p w14:paraId="667CF323" w14:textId="77777777" w:rsidR="003201B3" w:rsidRPr="00B00AC1" w:rsidRDefault="003201B3" w:rsidP="00B00AC1">
            <w:pPr>
              <w:tabs>
                <w:tab w:val="left" w:pos="653"/>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NCT02008929</w:t>
            </w:r>
          </w:p>
        </w:tc>
        <w:tc>
          <w:tcPr>
            <w:tcW w:w="1134" w:type="dxa"/>
            <w:tcBorders>
              <w:top w:val="nil"/>
              <w:bottom w:val="single" w:sz="4" w:space="0" w:color="auto"/>
            </w:tcBorders>
            <w:shd w:val="clear" w:color="auto" w:fill="auto"/>
            <w:vAlign w:val="center"/>
          </w:tcPr>
          <w:p w14:paraId="628872F5" w14:textId="77777777" w:rsidR="003201B3" w:rsidRPr="00B00AC1" w:rsidRDefault="003201B3" w:rsidP="00B00AC1">
            <w:pPr>
              <w:tabs>
                <w:tab w:val="left" w:pos="467"/>
              </w:tabs>
              <w:spacing w:line="360" w:lineRule="auto"/>
              <w:rPr>
                <w:rFonts w:ascii="Book Antiqua" w:hAnsi="Book Antiqua" w:cs="Helvetica"/>
                <w:color w:val="000000"/>
                <w:kern w:val="0"/>
                <w:sz w:val="24"/>
              </w:rPr>
            </w:pPr>
            <w:r w:rsidRPr="00B00AC1">
              <w:rPr>
                <w:rFonts w:ascii="Book Antiqua" w:hAnsi="Book Antiqua" w:cs="Helvetica"/>
                <w:color w:val="000000"/>
                <w:kern w:val="0"/>
                <w:sz w:val="24"/>
              </w:rPr>
              <w:t>Recruiting</w:t>
            </w:r>
          </w:p>
        </w:tc>
      </w:tr>
    </w:tbl>
    <w:p w14:paraId="03A28B0D" w14:textId="165940BC" w:rsidR="003201B3" w:rsidRPr="00B00AC1" w:rsidRDefault="003201B3" w:rsidP="00B00AC1">
      <w:pPr>
        <w:spacing w:line="360" w:lineRule="auto"/>
        <w:rPr>
          <w:rFonts w:ascii="Book Antiqua" w:hAnsi="Book Antiqua"/>
          <w:kern w:val="0"/>
          <w:sz w:val="24"/>
        </w:rPr>
      </w:pPr>
      <w:r w:rsidRPr="00B00AC1">
        <w:rPr>
          <w:rFonts w:ascii="Book Antiqua" w:hAnsi="Book Antiqua"/>
          <w:kern w:val="0"/>
          <w:sz w:val="24"/>
        </w:rPr>
        <w:t>CIK</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C</w:t>
      </w:r>
      <w:r w:rsidRPr="00B00AC1">
        <w:rPr>
          <w:rFonts w:ascii="Book Antiqua" w:hAnsi="Book Antiqua"/>
          <w:kern w:val="0"/>
          <w:sz w:val="24"/>
        </w:rPr>
        <w:t>ytokine-induced killer; CTL</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C</w:t>
      </w:r>
      <w:r w:rsidRPr="00B00AC1">
        <w:rPr>
          <w:rFonts w:ascii="Book Antiqua" w:hAnsi="Book Antiqua"/>
          <w:kern w:val="0"/>
          <w:sz w:val="24"/>
        </w:rPr>
        <w:t>ytolytic T lymphocyte; DC</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D</w:t>
      </w:r>
      <w:r w:rsidRPr="00B00AC1">
        <w:rPr>
          <w:rFonts w:ascii="Book Antiqua" w:hAnsi="Book Antiqua"/>
          <w:kern w:val="0"/>
          <w:sz w:val="24"/>
        </w:rPr>
        <w:t>endritic cell; DFS</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D</w:t>
      </w:r>
      <w:r w:rsidRPr="00B00AC1">
        <w:rPr>
          <w:rFonts w:ascii="Book Antiqua" w:hAnsi="Book Antiqua"/>
          <w:kern w:val="0"/>
          <w:sz w:val="24"/>
        </w:rPr>
        <w:t>isease-free survival; NK</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N</w:t>
      </w:r>
      <w:r w:rsidRPr="00B00AC1">
        <w:rPr>
          <w:rFonts w:ascii="Book Antiqua" w:hAnsi="Book Antiqua"/>
          <w:kern w:val="0"/>
          <w:sz w:val="24"/>
        </w:rPr>
        <w:t>atural killer; NKT</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N</w:t>
      </w:r>
      <w:r w:rsidRPr="00B00AC1">
        <w:rPr>
          <w:rFonts w:ascii="Book Antiqua" w:hAnsi="Book Antiqua"/>
          <w:kern w:val="0"/>
          <w:sz w:val="24"/>
        </w:rPr>
        <w:t>atural killer T; OS</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O</w:t>
      </w:r>
      <w:r w:rsidRPr="00B00AC1">
        <w:rPr>
          <w:rFonts w:ascii="Book Antiqua" w:hAnsi="Book Antiqua"/>
          <w:kern w:val="0"/>
          <w:sz w:val="24"/>
        </w:rPr>
        <w:t>verall survival; PFS</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P</w:t>
      </w:r>
      <w:r w:rsidRPr="00B00AC1">
        <w:rPr>
          <w:rFonts w:ascii="Book Antiqua" w:hAnsi="Book Antiqua"/>
          <w:kern w:val="0"/>
          <w:sz w:val="24"/>
        </w:rPr>
        <w:t>rogression-free survival; TACE</w:t>
      </w:r>
      <w:r w:rsidR="0090045D">
        <w:rPr>
          <w:rFonts w:ascii="Book Antiqua" w:hAnsi="Book Antiqua" w:hint="eastAsia"/>
          <w:kern w:val="0"/>
          <w:sz w:val="24"/>
        </w:rPr>
        <w:t>:</w:t>
      </w:r>
      <w:r w:rsidRPr="00B00AC1">
        <w:rPr>
          <w:rFonts w:ascii="Book Antiqua" w:hAnsi="Book Antiqua"/>
          <w:kern w:val="0"/>
          <w:sz w:val="24"/>
        </w:rPr>
        <w:t xml:space="preserve"> </w:t>
      </w:r>
      <w:r w:rsidR="0090045D" w:rsidRPr="00B00AC1">
        <w:rPr>
          <w:rFonts w:ascii="Book Antiqua" w:hAnsi="Book Antiqua"/>
          <w:kern w:val="0"/>
          <w:sz w:val="24"/>
        </w:rPr>
        <w:t>T</w:t>
      </w:r>
      <w:r w:rsidRPr="00B00AC1">
        <w:rPr>
          <w:rFonts w:ascii="Book Antiqua" w:hAnsi="Book Antiqua"/>
          <w:kern w:val="0"/>
          <w:sz w:val="24"/>
        </w:rPr>
        <w:t>ransarterial chemoembolization; TIL</w:t>
      </w:r>
      <w:r w:rsidR="0090045D">
        <w:rPr>
          <w:rFonts w:ascii="Book Antiqua" w:hAnsi="Book Antiqua" w:hint="eastAsia"/>
          <w:kern w:val="0"/>
          <w:sz w:val="24"/>
        </w:rPr>
        <w:t>:</w:t>
      </w:r>
      <w:r w:rsidR="0090045D">
        <w:rPr>
          <w:rFonts w:ascii="Book Antiqua" w:hAnsi="Book Antiqua"/>
          <w:kern w:val="0"/>
          <w:sz w:val="24"/>
        </w:rPr>
        <w:t xml:space="preserve"> </w:t>
      </w:r>
      <w:r w:rsidR="0090045D" w:rsidRPr="00B00AC1">
        <w:rPr>
          <w:rFonts w:ascii="Book Antiqua" w:hAnsi="Book Antiqua"/>
          <w:kern w:val="0"/>
          <w:sz w:val="24"/>
        </w:rPr>
        <w:t>T</w:t>
      </w:r>
      <w:r w:rsidRPr="00B00AC1">
        <w:rPr>
          <w:rFonts w:ascii="Book Antiqua" w:hAnsi="Book Antiqua"/>
          <w:kern w:val="0"/>
          <w:sz w:val="24"/>
        </w:rPr>
        <w:t>umor infiltrating lymphocyte.</w:t>
      </w:r>
    </w:p>
    <w:sectPr w:rsidR="003201B3" w:rsidRPr="00B00AC1" w:rsidSect="004B4CB8">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C7411C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F45BC7"/>
    <w:rsid w:val="000070F7"/>
    <w:rsid w:val="00010428"/>
    <w:rsid w:val="00014A3C"/>
    <w:rsid w:val="00020BFF"/>
    <w:rsid w:val="00022178"/>
    <w:rsid w:val="00024F44"/>
    <w:rsid w:val="00027CB8"/>
    <w:rsid w:val="00036E58"/>
    <w:rsid w:val="0004244B"/>
    <w:rsid w:val="0004779A"/>
    <w:rsid w:val="00050E88"/>
    <w:rsid w:val="0006216C"/>
    <w:rsid w:val="00062171"/>
    <w:rsid w:val="00064107"/>
    <w:rsid w:val="0007330F"/>
    <w:rsid w:val="0008311E"/>
    <w:rsid w:val="00083AFD"/>
    <w:rsid w:val="000C13B1"/>
    <w:rsid w:val="000C406A"/>
    <w:rsid w:val="000D73B6"/>
    <w:rsid w:val="000E256C"/>
    <w:rsid w:val="000F7970"/>
    <w:rsid w:val="00103965"/>
    <w:rsid w:val="00116C7E"/>
    <w:rsid w:val="00120036"/>
    <w:rsid w:val="00120ADB"/>
    <w:rsid w:val="001217A1"/>
    <w:rsid w:val="00125F30"/>
    <w:rsid w:val="00137411"/>
    <w:rsid w:val="001452AB"/>
    <w:rsid w:val="00173168"/>
    <w:rsid w:val="001767DB"/>
    <w:rsid w:val="00184B43"/>
    <w:rsid w:val="00196B58"/>
    <w:rsid w:val="001975A8"/>
    <w:rsid w:val="001F5E7C"/>
    <w:rsid w:val="00203122"/>
    <w:rsid w:val="00211401"/>
    <w:rsid w:val="00221C3B"/>
    <w:rsid w:val="002235D7"/>
    <w:rsid w:val="00226E1E"/>
    <w:rsid w:val="00230D15"/>
    <w:rsid w:val="00235336"/>
    <w:rsid w:val="00240A9A"/>
    <w:rsid w:val="00244E40"/>
    <w:rsid w:val="00251566"/>
    <w:rsid w:val="00265DF6"/>
    <w:rsid w:val="00281DEF"/>
    <w:rsid w:val="00282071"/>
    <w:rsid w:val="00283AD4"/>
    <w:rsid w:val="00286B44"/>
    <w:rsid w:val="00290747"/>
    <w:rsid w:val="002958D8"/>
    <w:rsid w:val="002A020E"/>
    <w:rsid w:val="002C5F51"/>
    <w:rsid w:val="002D1271"/>
    <w:rsid w:val="002F08C2"/>
    <w:rsid w:val="00310401"/>
    <w:rsid w:val="00317843"/>
    <w:rsid w:val="003201B3"/>
    <w:rsid w:val="00327B17"/>
    <w:rsid w:val="00330204"/>
    <w:rsid w:val="00330286"/>
    <w:rsid w:val="00335081"/>
    <w:rsid w:val="00347BC9"/>
    <w:rsid w:val="00361547"/>
    <w:rsid w:val="00363450"/>
    <w:rsid w:val="003A1A1A"/>
    <w:rsid w:val="003A3A72"/>
    <w:rsid w:val="003B615F"/>
    <w:rsid w:val="003C2A60"/>
    <w:rsid w:val="003D3C67"/>
    <w:rsid w:val="003D4868"/>
    <w:rsid w:val="003E0075"/>
    <w:rsid w:val="003E22BD"/>
    <w:rsid w:val="003E7BBD"/>
    <w:rsid w:val="0040209D"/>
    <w:rsid w:val="0041527E"/>
    <w:rsid w:val="004278A7"/>
    <w:rsid w:val="0043208A"/>
    <w:rsid w:val="00451CC4"/>
    <w:rsid w:val="004535C1"/>
    <w:rsid w:val="0047401C"/>
    <w:rsid w:val="00484F2E"/>
    <w:rsid w:val="004A166A"/>
    <w:rsid w:val="004B3FDA"/>
    <w:rsid w:val="004B4CB8"/>
    <w:rsid w:val="004C7D35"/>
    <w:rsid w:val="004D5A8D"/>
    <w:rsid w:val="004E2D12"/>
    <w:rsid w:val="00517795"/>
    <w:rsid w:val="0052020B"/>
    <w:rsid w:val="00527E6B"/>
    <w:rsid w:val="00533087"/>
    <w:rsid w:val="0053348A"/>
    <w:rsid w:val="0054498C"/>
    <w:rsid w:val="00546E21"/>
    <w:rsid w:val="00553414"/>
    <w:rsid w:val="00565C49"/>
    <w:rsid w:val="00572E79"/>
    <w:rsid w:val="00587E56"/>
    <w:rsid w:val="00594ED0"/>
    <w:rsid w:val="005A32BE"/>
    <w:rsid w:val="005B19C8"/>
    <w:rsid w:val="005C0872"/>
    <w:rsid w:val="005C3E03"/>
    <w:rsid w:val="005D0E2A"/>
    <w:rsid w:val="005D1336"/>
    <w:rsid w:val="005E1FCF"/>
    <w:rsid w:val="006045C8"/>
    <w:rsid w:val="006074C2"/>
    <w:rsid w:val="00612DE6"/>
    <w:rsid w:val="0061692E"/>
    <w:rsid w:val="0062028E"/>
    <w:rsid w:val="00621E3F"/>
    <w:rsid w:val="00643BAE"/>
    <w:rsid w:val="006947EA"/>
    <w:rsid w:val="006A4801"/>
    <w:rsid w:val="006B20D2"/>
    <w:rsid w:val="006B3C7F"/>
    <w:rsid w:val="006C1301"/>
    <w:rsid w:val="006D6E48"/>
    <w:rsid w:val="006D73AF"/>
    <w:rsid w:val="006E6897"/>
    <w:rsid w:val="006F0846"/>
    <w:rsid w:val="006F71A0"/>
    <w:rsid w:val="007014CE"/>
    <w:rsid w:val="007044AC"/>
    <w:rsid w:val="007067C6"/>
    <w:rsid w:val="00717364"/>
    <w:rsid w:val="007358D1"/>
    <w:rsid w:val="00735A53"/>
    <w:rsid w:val="00744D96"/>
    <w:rsid w:val="007811D1"/>
    <w:rsid w:val="00782F04"/>
    <w:rsid w:val="007A35B2"/>
    <w:rsid w:val="007C1505"/>
    <w:rsid w:val="007C508C"/>
    <w:rsid w:val="007D68FE"/>
    <w:rsid w:val="007E6B4B"/>
    <w:rsid w:val="007F0A2D"/>
    <w:rsid w:val="007F3347"/>
    <w:rsid w:val="00815AC9"/>
    <w:rsid w:val="00820E1E"/>
    <w:rsid w:val="00832265"/>
    <w:rsid w:val="00834429"/>
    <w:rsid w:val="00860B87"/>
    <w:rsid w:val="00870B31"/>
    <w:rsid w:val="008910AE"/>
    <w:rsid w:val="008A001E"/>
    <w:rsid w:val="008A01BC"/>
    <w:rsid w:val="008B0B0B"/>
    <w:rsid w:val="008B613C"/>
    <w:rsid w:val="008B6EF8"/>
    <w:rsid w:val="008C02FF"/>
    <w:rsid w:val="008C1E0A"/>
    <w:rsid w:val="008E5B87"/>
    <w:rsid w:val="008F1034"/>
    <w:rsid w:val="008F4D35"/>
    <w:rsid w:val="008F5119"/>
    <w:rsid w:val="0090045D"/>
    <w:rsid w:val="00902A08"/>
    <w:rsid w:val="00902B09"/>
    <w:rsid w:val="0092432F"/>
    <w:rsid w:val="00930D06"/>
    <w:rsid w:val="00942911"/>
    <w:rsid w:val="00986C91"/>
    <w:rsid w:val="0099329C"/>
    <w:rsid w:val="009A36AE"/>
    <w:rsid w:val="009B07A9"/>
    <w:rsid w:val="009D51EE"/>
    <w:rsid w:val="00A0442E"/>
    <w:rsid w:val="00A2687D"/>
    <w:rsid w:val="00A32F80"/>
    <w:rsid w:val="00A46E9D"/>
    <w:rsid w:val="00A50F92"/>
    <w:rsid w:val="00A5448E"/>
    <w:rsid w:val="00A63679"/>
    <w:rsid w:val="00A66225"/>
    <w:rsid w:val="00A727BF"/>
    <w:rsid w:val="00A812B5"/>
    <w:rsid w:val="00A86725"/>
    <w:rsid w:val="00A9320E"/>
    <w:rsid w:val="00AA1D09"/>
    <w:rsid w:val="00AB5FD4"/>
    <w:rsid w:val="00AB6B98"/>
    <w:rsid w:val="00AE0BF2"/>
    <w:rsid w:val="00AE32B0"/>
    <w:rsid w:val="00AE36C6"/>
    <w:rsid w:val="00AF0F13"/>
    <w:rsid w:val="00B00AC1"/>
    <w:rsid w:val="00B02667"/>
    <w:rsid w:val="00B152B6"/>
    <w:rsid w:val="00B158E5"/>
    <w:rsid w:val="00B16DD2"/>
    <w:rsid w:val="00B2723F"/>
    <w:rsid w:val="00B31ABE"/>
    <w:rsid w:val="00B42C3F"/>
    <w:rsid w:val="00B55BA3"/>
    <w:rsid w:val="00B72CDA"/>
    <w:rsid w:val="00B74C23"/>
    <w:rsid w:val="00B761C0"/>
    <w:rsid w:val="00B8077C"/>
    <w:rsid w:val="00B86973"/>
    <w:rsid w:val="00BA0A1E"/>
    <w:rsid w:val="00BB2799"/>
    <w:rsid w:val="00BB2B32"/>
    <w:rsid w:val="00BC4DAC"/>
    <w:rsid w:val="00BC59A5"/>
    <w:rsid w:val="00BE3AA7"/>
    <w:rsid w:val="00BE4351"/>
    <w:rsid w:val="00BE6385"/>
    <w:rsid w:val="00C05F3D"/>
    <w:rsid w:val="00C15942"/>
    <w:rsid w:val="00C24405"/>
    <w:rsid w:val="00C27FB7"/>
    <w:rsid w:val="00C3271A"/>
    <w:rsid w:val="00C42A95"/>
    <w:rsid w:val="00C4399A"/>
    <w:rsid w:val="00C47CE7"/>
    <w:rsid w:val="00C510E8"/>
    <w:rsid w:val="00C52C41"/>
    <w:rsid w:val="00C8173E"/>
    <w:rsid w:val="00C81E25"/>
    <w:rsid w:val="00C95565"/>
    <w:rsid w:val="00C95E73"/>
    <w:rsid w:val="00CA5669"/>
    <w:rsid w:val="00CB2A20"/>
    <w:rsid w:val="00CB2B37"/>
    <w:rsid w:val="00CC0D6C"/>
    <w:rsid w:val="00CC1300"/>
    <w:rsid w:val="00CC2648"/>
    <w:rsid w:val="00CC4036"/>
    <w:rsid w:val="00CC5026"/>
    <w:rsid w:val="00CC6E0D"/>
    <w:rsid w:val="00CE217A"/>
    <w:rsid w:val="00CE302C"/>
    <w:rsid w:val="00CE3568"/>
    <w:rsid w:val="00CE421F"/>
    <w:rsid w:val="00CF0077"/>
    <w:rsid w:val="00CF20B3"/>
    <w:rsid w:val="00D14A4E"/>
    <w:rsid w:val="00D26FC3"/>
    <w:rsid w:val="00D352AE"/>
    <w:rsid w:val="00D3734A"/>
    <w:rsid w:val="00D53C38"/>
    <w:rsid w:val="00D53CF1"/>
    <w:rsid w:val="00D65462"/>
    <w:rsid w:val="00D87977"/>
    <w:rsid w:val="00D94C22"/>
    <w:rsid w:val="00DA713A"/>
    <w:rsid w:val="00DD0869"/>
    <w:rsid w:val="00DD3811"/>
    <w:rsid w:val="00DD45BF"/>
    <w:rsid w:val="00DE55A8"/>
    <w:rsid w:val="00DF4BC0"/>
    <w:rsid w:val="00DF5731"/>
    <w:rsid w:val="00E035A5"/>
    <w:rsid w:val="00E11F87"/>
    <w:rsid w:val="00E51382"/>
    <w:rsid w:val="00E73675"/>
    <w:rsid w:val="00E811A4"/>
    <w:rsid w:val="00E82F54"/>
    <w:rsid w:val="00E8782D"/>
    <w:rsid w:val="00EA1E09"/>
    <w:rsid w:val="00EA25FB"/>
    <w:rsid w:val="00EA341D"/>
    <w:rsid w:val="00EB3D56"/>
    <w:rsid w:val="00EC079F"/>
    <w:rsid w:val="00EC21D1"/>
    <w:rsid w:val="00EE7A38"/>
    <w:rsid w:val="00EF2580"/>
    <w:rsid w:val="00EF5A32"/>
    <w:rsid w:val="00F00F6A"/>
    <w:rsid w:val="00F07252"/>
    <w:rsid w:val="00F13855"/>
    <w:rsid w:val="00F249A9"/>
    <w:rsid w:val="00F35762"/>
    <w:rsid w:val="00F45BC7"/>
    <w:rsid w:val="00F53011"/>
    <w:rsid w:val="00F53E14"/>
    <w:rsid w:val="00F966F2"/>
    <w:rsid w:val="00FA3C87"/>
    <w:rsid w:val="00FD23EA"/>
    <w:rsid w:val="00FD61F4"/>
    <w:rsid w:val="00FE0FF8"/>
    <w:rsid w:val="00FE1CA0"/>
    <w:rsid w:val="00FE5AAD"/>
    <w:rsid w:val="00FE62C2"/>
    <w:rsid w:val="00FF1185"/>
    <w:rsid w:val="00FF3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3AA4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BC7"/>
    <w:pPr>
      <w:widowControl w:val="0"/>
      <w:jc w:val="both"/>
    </w:pPr>
    <w:rPr>
      <w:rFonts w:ascii="Times New Roman" w:eastAsia="宋体" w:hAnsi="Times New Roman" w:cs="Times New Roman"/>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BC7"/>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link w:val="Header"/>
    <w:uiPriority w:val="99"/>
    <w:rsid w:val="00F45BC7"/>
    <w:rPr>
      <w:rFonts w:ascii="Calibri" w:eastAsia="宋体" w:hAnsi="Calibri" w:cs="Times New Roman"/>
      <w:sz w:val="18"/>
      <w:szCs w:val="18"/>
    </w:rPr>
  </w:style>
  <w:style w:type="paragraph" w:styleId="Footer">
    <w:name w:val="footer"/>
    <w:basedOn w:val="Normal"/>
    <w:link w:val="FooterChar"/>
    <w:uiPriority w:val="99"/>
    <w:unhideWhenUsed/>
    <w:rsid w:val="00F45BC7"/>
    <w:pPr>
      <w:tabs>
        <w:tab w:val="center" w:pos="4153"/>
        <w:tab w:val="right" w:pos="8306"/>
      </w:tabs>
      <w:snapToGrid w:val="0"/>
      <w:jc w:val="left"/>
    </w:pPr>
    <w:rPr>
      <w:rFonts w:ascii="Calibri" w:hAnsi="Calibri"/>
      <w:sz w:val="18"/>
      <w:szCs w:val="18"/>
    </w:rPr>
  </w:style>
  <w:style w:type="character" w:customStyle="1" w:styleId="FooterChar">
    <w:name w:val="Footer Char"/>
    <w:link w:val="Footer"/>
    <w:uiPriority w:val="99"/>
    <w:rsid w:val="00F45BC7"/>
    <w:rPr>
      <w:rFonts w:ascii="Calibri" w:eastAsia="宋体" w:hAnsi="Calibri" w:cs="Times New Roman"/>
      <w:sz w:val="18"/>
      <w:szCs w:val="18"/>
    </w:rPr>
  </w:style>
  <w:style w:type="character" w:customStyle="1" w:styleId="apple-converted-space">
    <w:name w:val="apple-converted-space"/>
    <w:rsid w:val="00F45BC7"/>
  </w:style>
  <w:style w:type="character" w:customStyle="1" w:styleId="highlight">
    <w:name w:val="highlight"/>
    <w:rsid w:val="00F45BC7"/>
  </w:style>
  <w:style w:type="paragraph" w:styleId="ListParagraph">
    <w:name w:val="List Paragraph"/>
    <w:basedOn w:val="Normal"/>
    <w:uiPriority w:val="34"/>
    <w:qFormat/>
    <w:rsid w:val="00F45BC7"/>
    <w:pPr>
      <w:ind w:firstLineChars="200" w:firstLine="420"/>
    </w:pPr>
  </w:style>
  <w:style w:type="character" w:styleId="Hyperlink">
    <w:name w:val="Hyperlink"/>
    <w:uiPriority w:val="99"/>
    <w:unhideWhenUsed/>
    <w:rsid w:val="00F45BC7"/>
    <w:rPr>
      <w:color w:val="0000FF"/>
      <w:u w:val="single"/>
    </w:rPr>
  </w:style>
  <w:style w:type="table" w:styleId="TableGrid">
    <w:name w:val="Table Grid"/>
    <w:basedOn w:val="TableNormal"/>
    <w:uiPriority w:val="59"/>
    <w:rsid w:val="00F45BC7"/>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F45BC7"/>
    <w:rPr>
      <w:sz w:val="21"/>
      <w:szCs w:val="21"/>
    </w:rPr>
  </w:style>
  <w:style w:type="paragraph" w:styleId="CommentText">
    <w:name w:val="annotation text"/>
    <w:basedOn w:val="Normal"/>
    <w:link w:val="CommentTextChar"/>
    <w:unhideWhenUsed/>
    <w:rsid w:val="00F45BC7"/>
    <w:pPr>
      <w:jc w:val="left"/>
    </w:pPr>
  </w:style>
  <w:style w:type="character" w:customStyle="1" w:styleId="CommentTextChar">
    <w:name w:val="Comment Text Char"/>
    <w:link w:val="CommentText"/>
    <w:rsid w:val="00F45BC7"/>
    <w:rPr>
      <w:rFonts w:ascii="Times New Roman" w:eastAsia="宋体" w:hAnsi="Times New Roman" w:cs="Times New Roman"/>
      <w:sz w:val="21"/>
    </w:rPr>
  </w:style>
  <w:style w:type="paragraph" w:styleId="CommentSubject">
    <w:name w:val="annotation subject"/>
    <w:basedOn w:val="CommentText"/>
    <w:next w:val="CommentText"/>
    <w:link w:val="CommentSubjectChar"/>
    <w:uiPriority w:val="99"/>
    <w:semiHidden/>
    <w:unhideWhenUsed/>
    <w:rsid w:val="00F45BC7"/>
    <w:rPr>
      <w:b/>
      <w:bCs/>
    </w:rPr>
  </w:style>
  <w:style w:type="character" w:customStyle="1" w:styleId="CommentSubjectChar">
    <w:name w:val="Comment Subject Char"/>
    <w:link w:val="CommentSubject"/>
    <w:uiPriority w:val="99"/>
    <w:semiHidden/>
    <w:rsid w:val="00F45BC7"/>
    <w:rPr>
      <w:rFonts w:ascii="Times New Roman" w:eastAsia="宋体" w:hAnsi="Times New Roman" w:cs="Times New Roman"/>
      <w:b/>
      <w:bCs/>
      <w:sz w:val="21"/>
    </w:rPr>
  </w:style>
  <w:style w:type="paragraph" w:styleId="BalloonText">
    <w:name w:val="Balloon Text"/>
    <w:basedOn w:val="Normal"/>
    <w:link w:val="BalloonTextChar"/>
    <w:uiPriority w:val="99"/>
    <w:semiHidden/>
    <w:unhideWhenUsed/>
    <w:rsid w:val="00F45BC7"/>
    <w:rPr>
      <w:sz w:val="18"/>
      <w:szCs w:val="18"/>
    </w:rPr>
  </w:style>
  <w:style w:type="character" w:customStyle="1" w:styleId="BalloonTextChar">
    <w:name w:val="Balloon Text Char"/>
    <w:link w:val="BalloonText"/>
    <w:uiPriority w:val="99"/>
    <w:semiHidden/>
    <w:rsid w:val="00F45BC7"/>
    <w:rPr>
      <w:rFonts w:ascii="Times New Roman" w:eastAsia="宋体" w:hAnsi="Times New Roman" w:cs="Times New Roman"/>
      <w:sz w:val="18"/>
      <w:szCs w:val="18"/>
    </w:rPr>
  </w:style>
  <w:style w:type="paragraph" w:customStyle="1" w:styleId="EndNoteBibliographyTitle">
    <w:name w:val="EndNote Bibliography Title"/>
    <w:basedOn w:val="Normal"/>
    <w:rsid w:val="00F45BC7"/>
    <w:pPr>
      <w:jc w:val="center"/>
    </w:pPr>
    <w:rPr>
      <w:sz w:val="20"/>
    </w:rPr>
  </w:style>
  <w:style w:type="paragraph" w:customStyle="1" w:styleId="EndNoteBibliography">
    <w:name w:val="EndNote Bibliography"/>
    <w:basedOn w:val="Normal"/>
    <w:rsid w:val="00F45BC7"/>
    <w:rPr>
      <w:sz w:val="20"/>
    </w:rPr>
  </w:style>
  <w:style w:type="paragraph" w:styleId="Revision">
    <w:name w:val="Revision"/>
    <w:hidden/>
    <w:uiPriority w:val="71"/>
    <w:rsid w:val="00F45BC7"/>
    <w:rPr>
      <w:rFonts w:ascii="Times New Roman" w:eastAsia="宋体" w:hAnsi="Times New Roman" w:cs="Times New Roman"/>
      <w:sz w:val="21"/>
    </w:rPr>
  </w:style>
  <w:style w:type="character" w:styleId="Emphasis">
    <w:name w:val="Emphasis"/>
    <w:qFormat/>
    <w:rsid w:val="00DD381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BC7"/>
    <w:pPr>
      <w:widowControl w:val="0"/>
      <w:jc w:val="both"/>
    </w:pPr>
    <w:rPr>
      <w:rFonts w:ascii="Times New Roman" w:eastAsia="宋体" w:hAnsi="Times New Roman" w:cs="Times New Roman"/>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BC7"/>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link w:val="Header"/>
    <w:uiPriority w:val="99"/>
    <w:rsid w:val="00F45BC7"/>
    <w:rPr>
      <w:rFonts w:ascii="Calibri" w:eastAsia="宋体" w:hAnsi="Calibri" w:cs="Times New Roman"/>
      <w:sz w:val="18"/>
      <w:szCs w:val="18"/>
    </w:rPr>
  </w:style>
  <w:style w:type="paragraph" w:styleId="Footer">
    <w:name w:val="footer"/>
    <w:basedOn w:val="Normal"/>
    <w:link w:val="FooterChar"/>
    <w:uiPriority w:val="99"/>
    <w:unhideWhenUsed/>
    <w:rsid w:val="00F45BC7"/>
    <w:pPr>
      <w:tabs>
        <w:tab w:val="center" w:pos="4153"/>
        <w:tab w:val="right" w:pos="8306"/>
      </w:tabs>
      <w:snapToGrid w:val="0"/>
      <w:jc w:val="left"/>
    </w:pPr>
    <w:rPr>
      <w:rFonts w:ascii="Calibri" w:hAnsi="Calibri"/>
      <w:sz w:val="18"/>
      <w:szCs w:val="18"/>
    </w:rPr>
  </w:style>
  <w:style w:type="character" w:customStyle="1" w:styleId="FooterChar">
    <w:name w:val="Footer Char"/>
    <w:link w:val="Footer"/>
    <w:uiPriority w:val="99"/>
    <w:rsid w:val="00F45BC7"/>
    <w:rPr>
      <w:rFonts w:ascii="Calibri" w:eastAsia="宋体" w:hAnsi="Calibri" w:cs="Times New Roman"/>
      <w:sz w:val="18"/>
      <w:szCs w:val="18"/>
    </w:rPr>
  </w:style>
  <w:style w:type="character" w:customStyle="1" w:styleId="apple-converted-space">
    <w:name w:val="apple-converted-space"/>
    <w:rsid w:val="00F45BC7"/>
  </w:style>
  <w:style w:type="character" w:customStyle="1" w:styleId="highlight">
    <w:name w:val="highlight"/>
    <w:rsid w:val="00F45BC7"/>
  </w:style>
  <w:style w:type="paragraph" w:styleId="ListParagraph">
    <w:name w:val="List Paragraph"/>
    <w:basedOn w:val="Normal"/>
    <w:uiPriority w:val="34"/>
    <w:qFormat/>
    <w:rsid w:val="00F45BC7"/>
    <w:pPr>
      <w:ind w:firstLineChars="200" w:firstLine="420"/>
    </w:pPr>
  </w:style>
  <w:style w:type="character" w:styleId="Hyperlink">
    <w:name w:val="Hyperlink"/>
    <w:uiPriority w:val="99"/>
    <w:unhideWhenUsed/>
    <w:rsid w:val="00F45BC7"/>
    <w:rPr>
      <w:color w:val="0000FF"/>
      <w:u w:val="single"/>
    </w:rPr>
  </w:style>
  <w:style w:type="table" w:styleId="TableGrid">
    <w:name w:val="Table Grid"/>
    <w:basedOn w:val="TableNormal"/>
    <w:uiPriority w:val="59"/>
    <w:rsid w:val="00F45BC7"/>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F45BC7"/>
    <w:rPr>
      <w:sz w:val="21"/>
      <w:szCs w:val="21"/>
    </w:rPr>
  </w:style>
  <w:style w:type="paragraph" w:styleId="CommentText">
    <w:name w:val="annotation text"/>
    <w:basedOn w:val="Normal"/>
    <w:link w:val="CommentTextChar"/>
    <w:unhideWhenUsed/>
    <w:rsid w:val="00F45BC7"/>
    <w:pPr>
      <w:jc w:val="left"/>
    </w:pPr>
  </w:style>
  <w:style w:type="character" w:customStyle="1" w:styleId="CommentTextChar">
    <w:name w:val="Comment Text Char"/>
    <w:link w:val="CommentText"/>
    <w:rsid w:val="00F45BC7"/>
    <w:rPr>
      <w:rFonts w:ascii="Times New Roman" w:eastAsia="宋体" w:hAnsi="Times New Roman" w:cs="Times New Roman"/>
      <w:sz w:val="21"/>
    </w:rPr>
  </w:style>
  <w:style w:type="paragraph" w:styleId="CommentSubject">
    <w:name w:val="annotation subject"/>
    <w:basedOn w:val="CommentText"/>
    <w:next w:val="CommentText"/>
    <w:link w:val="CommentSubjectChar"/>
    <w:uiPriority w:val="99"/>
    <w:semiHidden/>
    <w:unhideWhenUsed/>
    <w:rsid w:val="00F45BC7"/>
    <w:rPr>
      <w:b/>
      <w:bCs/>
    </w:rPr>
  </w:style>
  <w:style w:type="character" w:customStyle="1" w:styleId="CommentSubjectChar">
    <w:name w:val="Comment Subject Char"/>
    <w:link w:val="CommentSubject"/>
    <w:uiPriority w:val="99"/>
    <w:semiHidden/>
    <w:rsid w:val="00F45BC7"/>
    <w:rPr>
      <w:rFonts w:ascii="Times New Roman" w:eastAsia="宋体" w:hAnsi="Times New Roman" w:cs="Times New Roman"/>
      <w:b/>
      <w:bCs/>
      <w:sz w:val="21"/>
    </w:rPr>
  </w:style>
  <w:style w:type="paragraph" w:styleId="BalloonText">
    <w:name w:val="Balloon Text"/>
    <w:basedOn w:val="Normal"/>
    <w:link w:val="BalloonTextChar"/>
    <w:uiPriority w:val="99"/>
    <w:semiHidden/>
    <w:unhideWhenUsed/>
    <w:rsid w:val="00F45BC7"/>
    <w:rPr>
      <w:sz w:val="18"/>
      <w:szCs w:val="18"/>
    </w:rPr>
  </w:style>
  <w:style w:type="character" w:customStyle="1" w:styleId="BalloonTextChar">
    <w:name w:val="Balloon Text Char"/>
    <w:link w:val="BalloonText"/>
    <w:uiPriority w:val="99"/>
    <w:semiHidden/>
    <w:rsid w:val="00F45BC7"/>
    <w:rPr>
      <w:rFonts w:ascii="Times New Roman" w:eastAsia="宋体" w:hAnsi="Times New Roman" w:cs="Times New Roman"/>
      <w:sz w:val="18"/>
      <w:szCs w:val="18"/>
    </w:rPr>
  </w:style>
  <w:style w:type="paragraph" w:customStyle="1" w:styleId="EndNoteBibliographyTitle">
    <w:name w:val="EndNote Bibliography Title"/>
    <w:basedOn w:val="Normal"/>
    <w:rsid w:val="00F45BC7"/>
    <w:pPr>
      <w:jc w:val="center"/>
    </w:pPr>
    <w:rPr>
      <w:sz w:val="20"/>
    </w:rPr>
  </w:style>
  <w:style w:type="paragraph" w:customStyle="1" w:styleId="EndNoteBibliography">
    <w:name w:val="EndNote Bibliography"/>
    <w:basedOn w:val="Normal"/>
    <w:rsid w:val="00F45BC7"/>
    <w:rPr>
      <w:sz w:val="20"/>
    </w:rPr>
  </w:style>
  <w:style w:type="paragraph" w:styleId="Revision">
    <w:name w:val="Revision"/>
    <w:hidden/>
    <w:uiPriority w:val="71"/>
    <w:rsid w:val="00F45BC7"/>
    <w:rPr>
      <w:rFonts w:ascii="Times New Roman" w:eastAsia="宋体" w:hAnsi="Times New Roman" w:cs="Times New Roman"/>
      <w:sz w:val="21"/>
    </w:rPr>
  </w:style>
  <w:style w:type="character" w:styleId="Emphasis">
    <w:name w:val="Emphasis"/>
    <w:qFormat/>
    <w:rsid w:val="00DD381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248579">
      <w:bodyDiv w:val="1"/>
      <w:marLeft w:val="0"/>
      <w:marRight w:val="0"/>
      <w:marTop w:val="0"/>
      <w:marBottom w:val="0"/>
      <w:divBdr>
        <w:top w:val="none" w:sz="0" w:space="0" w:color="auto"/>
        <w:left w:val="none" w:sz="0" w:space="0" w:color="auto"/>
        <w:bottom w:val="none" w:sz="0" w:space="0" w:color="auto"/>
        <w:right w:val="none" w:sz="0" w:space="0" w:color="auto"/>
      </w:divBdr>
      <w:divsChild>
        <w:div w:id="188955836">
          <w:marLeft w:val="0"/>
          <w:marRight w:val="0"/>
          <w:marTop w:val="0"/>
          <w:marBottom w:val="0"/>
          <w:divBdr>
            <w:top w:val="none" w:sz="0" w:space="0" w:color="auto"/>
            <w:left w:val="none" w:sz="0" w:space="0" w:color="auto"/>
            <w:bottom w:val="none" w:sz="0" w:space="0" w:color="auto"/>
            <w:right w:val="none" w:sz="0" w:space="0" w:color="auto"/>
          </w:divBdr>
        </w:div>
        <w:div w:id="320887529">
          <w:marLeft w:val="0"/>
          <w:marRight w:val="0"/>
          <w:marTop w:val="0"/>
          <w:marBottom w:val="0"/>
          <w:divBdr>
            <w:top w:val="none" w:sz="0" w:space="0" w:color="auto"/>
            <w:left w:val="none" w:sz="0" w:space="0" w:color="auto"/>
            <w:bottom w:val="none" w:sz="0" w:space="0" w:color="auto"/>
            <w:right w:val="none" w:sz="0" w:space="0" w:color="auto"/>
          </w:divBdr>
        </w:div>
        <w:div w:id="1352142067">
          <w:marLeft w:val="0"/>
          <w:marRight w:val="0"/>
          <w:marTop w:val="0"/>
          <w:marBottom w:val="0"/>
          <w:divBdr>
            <w:top w:val="none" w:sz="0" w:space="0" w:color="auto"/>
            <w:left w:val="none" w:sz="0" w:space="0" w:color="auto"/>
            <w:bottom w:val="none" w:sz="0" w:space="0" w:color="auto"/>
            <w:right w:val="none" w:sz="0" w:space="0" w:color="auto"/>
          </w:divBdr>
        </w:div>
        <w:div w:id="1580359445">
          <w:marLeft w:val="0"/>
          <w:marRight w:val="0"/>
          <w:marTop w:val="0"/>
          <w:marBottom w:val="0"/>
          <w:divBdr>
            <w:top w:val="none" w:sz="0" w:space="0" w:color="auto"/>
            <w:left w:val="none" w:sz="0" w:space="0" w:color="auto"/>
            <w:bottom w:val="none" w:sz="0" w:space="0" w:color="auto"/>
            <w:right w:val="none" w:sz="0" w:space="0" w:color="auto"/>
          </w:divBdr>
        </w:div>
        <w:div w:id="1249579663">
          <w:marLeft w:val="0"/>
          <w:marRight w:val="0"/>
          <w:marTop w:val="0"/>
          <w:marBottom w:val="0"/>
          <w:divBdr>
            <w:top w:val="none" w:sz="0" w:space="0" w:color="auto"/>
            <w:left w:val="none" w:sz="0" w:space="0" w:color="auto"/>
            <w:bottom w:val="none" w:sz="0" w:space="0" w:color="auto"/>
            <w:right w:val="none" w:sz="0" w:space="0" w:color="auto"/>
          </w:divBdr>
        </w:div>
        <w:div w:id="2085444326">
          <w:marLeft w:val="0"/>
          <w:marRight w:val="0"/>
          <w:marTop w:val="0"/>
          <w:marBottom w:val="0"/>
          <w:divBdr>
            <w:top w:val="none" w:sz="0" w:space="0" w:color="auto"/>
            <w:left w:val="none" w:sz="0" w:space="0" w:color="auto"/>
            <w:bottom w:val="none" w:sz="0" w:space="0" w:color="auto"/>
            <w:right w:val="none" w:sz="0" w:space="0" w:color="auto"/>
          </w:divBdr>
        </w:div>
        <w:div w:id="982125552">
          <w:marLeft w:val="0"/>
          <w:marRight w:val="0"/>
          <w:marTop w:val="0"/>
          <w:marBottom w:val="0"/>
          <w:divBdr>
            <w:top w:val="none" w:sz="0" w:space="0" w:color="auto"/>
            <w:left w:val="none" w:sz="0" w:space="0" w:color="auto"/>
            <w:bottom w:val="none" w:sz="0" w:space="0" w:color="auto"/>
            <w:right w:val="none" w:sz="0" w:space="0" w:color="auto"/>
          </w:divBdr>
        </w:div>
        <w:div w:id="1992172356">
          <w:marLeft w:val="0"/>
          <w:marRight w:val="0"/>
          <w:marTop w:val="0"/>
          <w:marBottom w:val="0"/>
          <w:divBdr>
            <w:top w:val="none" w:sz="0" w:space="0" w:color="auto"/>
            <w:left w:val="none" w:sz="0" w:space="0" w:color="auto"/>
            <w:bottom w:val="none" w:sz="0" w:space="0" w:color="auto"/>
            <w:right w:val="none" w:sz="0" w:space="0" w:color="auto"/>
          </w:divBdr>
        </w:div>
        <w:div w:id="1920748150">
          <w:marLeft w:val="0"/>
          <w:marRight w:val="0"/>
          <w:marTop w:val="0"/>
          <w:marBottom w:val="0"/>
          <w:divBdr>
            <w:top w:val="none" w:sz="0" w:space="0" w:color="auto"/>
            <w:left w:val="none" w:sz="0" w:space="0" w:color="auto"/>
            <w:bottom w:val="none" w:sz="0" w:space="0" w:color="auto"/>
            <w:right w:val="none" w:sz="0" w:space="0" w:color="auto"/>
          </w:divBdr>
        </w:div>
        <w:div w:id="548536926">
          <w:marLeft w:val="0"/>
          <w:marRight w:val="0"/>
          <w:marTop w:val="0"/>
          <w:marBottom w:val="0"/>
          <w:divBdr>
            <w:top w:val="none" w:sz="0" w:space="0" w:color="auto"/>
            <w:left w:val="none" w:sz="0" w:space="0" w:color="auto"/>
            <w:bottom w:val="none" w:sz="0" w:space="0" w:color="auto"/>
            <w:right w:val="none" w:sz="0" w:space="0" w:color="auto"/>
          </w:divBdr>
        </w:div>
        <w:div w:id="1443452846">
          <w:marLeft w:val="0"/>
          <w:marRight w:val="0"/>
          <w:marTop w:val="0"/>
          <w:marBottom w:val="0"/>
          <w:divBdr>
            <w:top w:val="none" w:sz="0" w:space="0" w:color="auto"/>
            <w:left w:val="none" w:sz="0" w:space="0" w:color="auto"/>
            <w:bottom w:val="none" w:sz="0" w:space="0" w:color="auto"/>
            <w:right w:val="none" w:sz="0" w:space="0" w:color="auto"/>
          </w:divBdr>
        </w:div>
        <w:div w:id="1470170868">
          <w:marLeft w:val="0"/>
          <w:marRight w:val="0"/>
          <w:marTop w:val="0"/>
          <w:marBottom w:val="0"/>
          <w:divBdr>
            <w:top w:val="none" w:sz="0" w:space="0" w:color="auto"/>
            <w:left w:val="none" w:sz="0" w:space="0" w:color="auto"/>
            <w:bottom w:val="none" w:sz="0" w:space="0" w:color="auto"/>
            <w:right w:val="none" w:sz="0" w:space="0" w:color="auto"/>
          </w:divBdr>
        </w:div>
        <w:div w:id="1246645455">
          <w:marLeft w:val="0"/>
          <w:marRight w:val="0"/>
          <w:marTop w:val="0"/>
          <w:marBottom w:val="0"/>
          <w:divBdr>
            <w:top w:val="none" w:sz="0" w:space="0" w:color="auto"/>
            <w:left w:val="none" w:sz="0" w:space="0" w:color="auto"/>
            <w:bottom w:val="none" w:sz="0" w:space="0" w:color="auto"/>
            <w:right w:val="none" w:sz="0" w:space="0" w:color="auto"/>
          </w:divBdr>
        </w:div>
        <w:div w:id="1023479246">
          <w:marLeft w:val="0"/>
          <w:marRight w:val="0"/>
          <w:marTop w:val="0"/>
          <w:marBottom w:val="0"/>
          <w:divBdr>
            <w:top w:val="none" w:sz="0" w:space="0" w:color="auto"/>
            <w:left w:val="none" w:sz="0" w:space="0" w:color="auto"/>
            <w:bottom w:val="none" w:sz="0" w:space="0" w:color="auto"/>
            <w:right w:val="none" w:sz="0" w:space="0" w:color="auto"/>
          </w:divBdr>
        </w:div>
        <w:div w:id="711224242">
          <w:marLeft w:val="0"/>
          <w:marRight w:val="0"/>
          <w:marTop w:val="0"/>
          <w:marBottom w:val="0"/>
          <w:divBdr>
            <w:top w:val="none" w:sz="0" w:space="0" w:color="auto"/>
            <w:left w:val="none" w:sz="0" w:space="0" w:color="auto"/>
            <w:bottom w:val="none" w:sz="0" w:space="0" w:color="auto"/>
            <w:right w:val="none" w:sz="0" w:space="0" w:color="auto"/>
          </w:divBdr>
        </w:div>
        <w:div w:id="941382265">
          <w:marLeft w:val="0"/>
          <w:marRight w:val="0"/>
          <w:marTop w:val="0"/>
          <w:marBottom w:val="0"/>
          <w:divBdr>
            <w:top w:val="none" w:sz="0" w:space="0" w:color="auto"/>
            <w:left w:val="none" w:sz="0" w:space="0" w:color="auto"/>
            <w:bottom w:val="none" w:sz="0" w:space="0" w:color="auto"/>
            <w:right w:val="none" w:sz="0" w:space="0" w:color="auto"/>
          </w:divBdr>
        </w:div>
        <w:div w:id="1691829741">
          <w:marLeft w:val="0"/>
          <w:marRight w:val="0"/>
          <w:marTop w:val="0"/>
          <w:marBottom w:val="0"/>
          <w:divBdr>
            <w:top w:val="none" w:sz="0" w:space="0" w:color="auto"/>
            <w:left w:val="none" w:sz="0" w:space="0" w:color="auto"/>
            <w:bottom w:val="none" w:sz="0" w:space="0" w:color="auto"/>
            <w:right w:val="none" w:sz="0" w:space="0" w:color="auto"/>
          </w:divBdr>
        </w:div>
        <w:div w:id="884563534">
          <w:marLeft w:val="0"/>
          <w:marRight w:val="0"/>
          <w:marTop w:val="0"/>
          <w:marBottom w:val="0"/>
          <w:divBdr>
            <w:top w:val="none" w:sz="0" w:space="0" w:color="auto"/>
            <w:left w:val="none" w:sz="0" w:space="0" w:color="auto"/>
            <w:bottom w:val="none" w:sz="0" w:space="0" w:color="auto"/>
            <w:right w:val="none" w:sz="0" w:space="0" w:color="auto"/>
          </w:divBdr>
        </w:div>
        <w:div w:id="163859352">
          <w:marLeft w:val="0"/>
          <w:marRight w:val="0"/>
          <w:marTop w:val="0"/>
          <w:marBottom w:val="0"/>
          <w:divBdr>
            <w:top w:val="none" w:sz="0" w:space="0" w:color="auto"/>
            <w:left w:val="none" w:sz="0" w:space="0" w:color="auto"/>
            <w:bottom w:val="none" w:sz="0" w:space="0" w:color="auto"/>
            <w:right w:val="none" w:sz="0" w:space="0" w:color="auto"/>
          </w:divBdr>
        </w:div>
        <w:div w:id="394664292">
          <w:marLeft w:val="0"/>
          <w:marRight w:val="0"/>
          <w:marTop w:val="0"/>
          <w:marBottom w:val="0"/>
          <w:divBdr>
            <w:top w:val="none" w:sz="0" w:space="0" w:color="auto"/>
            <w:left w:val="none" w:sz="0" w:space="0" w:color="auto"/>
            <w:bottom w:val="none" w:sz="0" w:space="0" w:color="auto"/>
            <w:right w:val="none" w:sz="0" w:space="0" w:color="auto"/>
          </w:divBdr>
        </w:div>
        <w:div w:id="542835767">
          <w:marLeft w:val="0"/>
          <w:marRight w:val="0"/>
          <w:marTop w:val="0"/>
          <w:marBottom w:val="0"/>
          <w:divBdr>
            <w:top w:val="none" w:sz="0" w:space="0" w:color="auto"/>
            <w:left w:val="none" w:sz="0" w:space="0" w:color="auto"/>
            <w:bottom w:val="none" w:sz="0" w:space="0" w:color="auto"/>
            <w:right w:val="none" w:sz="0" w:space="0" w:color="auto"/>
          </w:divBdr>
        </w:div>
        <w:div w:id="1058750401">
          <w:marLeft w:val="0"/>
          <w:marRight w:val="0"/>
          <w:marTop w:val="0"/>
          <w:marBottom w:val="0"/>
          <w:divBdr>
            <w:top w:val="none" w:sz="0" w:space="0" w:color="auto"/>
            <w:left w:val="none" w:sz="0" w:space="0" w:color="auto"/>
            <w:bottom w:val="none" w:sz="0" w:space="0" w:color="auto"/>
            <w:right w:val="none" w:sz="0" w:space="0" w:color="auto"/>
          </w:divBdr>
        </w:div>
        <w:div w:id="1933202003">
          <w:marLeft w:val="0"/>
          <w:marRight w:val="0"/>
          <w:marTop w:val="0"/>
          <w:marBottom w:val="0"/>
          <w:divBdr>
            <w:top w:val="none" w:sz="0" w:space="0" w:color="auto"/>
            <w:left w:val="none" w:sz="0" w:space="0" w:color="auto"/>
            <w:bottom w:val="none" w:sz="0" w:space="0" w:color="auto"/>
            <w:right w:val="none" w:sz="0" w:space="0" w:color="auto"/>
          </w:divBdr>
        </w:div>
        <w:div w:id="1484203551">
          <w:marLeft w:val="0"/>
          <w:marRight w:val="0"/>
          <w:marTop w:val="0"/>
          <w:marBottom w:val="0"/>
          <w:divBdr>
            <w:top w:val="none" w:sz="0" w:space="0" w:color="auto"/>
            <w:left w:val="none" w:sz="0" w:space="0" w:color="auto"/>
            <w:bottom w:val="none" w:sz="0" w:space="0" w:color="auto"/>
            <w:right w:val="none" w:sz="0" w:space="0" w:color="auto"/>
          </w:divBdr>
        </w:div>
        <w:div w:id="159391917">
          <w:marLeft w:val="0"/>
          <w:marRight w:val="0"/>
          <w:marTop w:val="0"/>
          <w:marBottom w:val="0"/>
          <w:divBdr>
            <w:top w:val="none" w:sz="0" w:space="0" w:color="auto"/>
            <w:left w:val="none" w:sz="0" w:space="0" w:color="auto"/>
            <w:bottom w:val="none" w:sz="0" w:space="0" w:color="auto"/>
            <w:right w:val="none" w:sz="0" w:space="0" w:color="auto"/>
          </w:divBdr>
        </w:div>
        <w:div w:id="813259861">
          <w:marLeft w:val="0"/>
          <w:marRight w:val="0"/>
          <w:marTop w:val="0"/>
          <w:marBottom w:val="0"/>
          <w:divBdr>
            <w:top w:val="none" w:sz="0" w:space="0" w:color="auto"/>
            <w:left w:val="none" w:sz="0" w:space="0" w:color="auto"/>
            <w:bottom w:val="none" w:sz="0" w:space="0" w:color="auto"/>
            <w:right w:val="none" w:sz="0" w:space="0" w:color="auto"/>
          </w:divBdr>
        </w:div>
        <w:div w:id="1573350329">
          <w:marLeft w:val="0"/>
          <w:marRight w:val="0"/>
          <w:marTop w:val="0"/>
          <w:marBottom w:val="0"/>
          <w:divBdr>
            <w:top w:val="none" w:sz="0" w:space="0" w:color="auto"/>
            <w:left w:val="none" w:sz="0" w:space="0" w:color="auto"/>
            <w:bottom w:val="none" w:sz="0" w:space="0" w:color="auto"/>
            <w:right w:val="none" w:sz="0" w:space="0" w:color="auto"/>
          </w:divBdr>
        </w:div>
        <w:div w:id="1374892260">
          <w:marLeft w:val="0"/>
          <w:marRight w:val="0"/>
          <w:marTop w:val="0"/>
          <w:marBottom w:val="0"/>
          <w:divBdr>
            <w:top w:val="none" w:sz="0" w:space="0" w:color="auto"/>
            <w:left w:val="none" w:sz="0" w:space="0" w:color="auto"/>
            <w:bottom w:val="none" w:sz="0" w:space="0" w:color="auto"/>
            <w:right w:val="none" w:sz="0" w:space="0" w:color="auto"/>
          </w:divBdr>
        </w:div>
        <w:div w:id="841627199">
          <w:marLeft w:val="0"/>
          <w:marRight w:val="0"/>
          <w:marTop w:val="0"/>
          <w:marBottom w:val="0"/>
          <w:divBdr>
            <w:top w:val="none" w:sz="0" w:space="0" w:color="auto"/>
            <w:left w:val="none" w:sz="0" w:space="0" w:color="auto"/>
            <w:bottom w:val="none" w:sz="0" w:space="0" w:color="auto"/>
            <w:right w:val="none" w:sz="0" w:space="0" w:color="auto"/>
          </w:divBdr>
        </w:div>
        <w:div w:id="512186684">
          <w:marLeft w:val="0"/>
          <w:marRight w:val="0"/>
          <w:marTop w:val="0"/>
          <w:marBottom w:val="0"/>
          <w:divBdr>
            <w:top w:val="none" w:sz="0" w:space="0" w:color="auto"/>
            <w:left w:val="none" w:sz="0" w:space="0" w:color="auto"/>
            <w:bottom w:val="none" w:sz="0" w:space="0" w:color="auto"/>
            <w:right w:val="none" w:sz="0" w:space="0" w:color="auto"/>
          </w:divBdr>
        </w:div>
        <w:div w:id="1880900518">
          <w:marLeft w:val="0"/>
          <w:marRight w:val="0"/>
          <w:marTop w:val="0"/>
          <w:marBottom w:val="0"/>
          <w:divBdr>
            <w:top w:val="none" w:sz="0" w:space="0" w:color="auto"/>
            <w:left w:val="none" w:sz="0" w:space="0" w:color="auto"/>
            <w:bottom w:val="none" w:sz="0" w:space="0" w:color="auto"/>
            <w:right w:val="none" w:sz="0" w:space="0" w:color="auto"/>
          </w:divBdr>
        </w:div>
        <w:div w:id="1361122520">
          <w:marLeft w:val="0"/>
          <w:marRight w:val="0"/>
          <w:marTop w:val="0"/>
          <w:marBottom w:val="0"/>
          <w:divBdr>
            <w:top w:val="none" w:sz="0" w:space="0" w:color="auto"/>
            <w:left w:val="none" w:sz="0" w:space="0" w:color="auto"/>
            <w:bottom w:val="none" w:sz="0" w:space="0" w:color="auto"/>
            <w:right w:val="none" w:sz="0" w:space="0" w:color="auto"/>
          </w:divBdr>
        </w:div>
        <w:div w:id="948050861">
          <w:marLeft w:val="0"/>
          <w:marRight w:val="0"/>
          <w:marTop w:val="0"/>
          <w:marBottom w:val="0"/>
          <w:divBdr>
            <w:top w:val="none" w:sz="0" w:space="0" w:color="auto"/>
            <w:left w:val="none" w:sz="0" w:space="0" w:color="auto"/>
            <w:bottom w:val="none" w:sz="0" w:space="0" w:color="auto"/>
            <w:right w:val="none" w:sz="0" w:space="0" w:color="auto"/>
          </w:divBdr>
        </w:div>
        <w:div w:id="989601698">
          <w:marLeft w:val="0"/>
          <w:marRight w:val="0"/>
          <w:marTop w:val="0"/>
          <w:marBottom w:val="0"/>
          <w:divBdr>
            <w:top w:val="none" w:sz="0" w:space="0" w:color="auto"/>
            <w:left w:val="none" w:sz="0" w:space="0" w:color="auto"/>
            <w:bottom w:val="none" w:sz="0" w:space="0" w:color="auto"/>
            <w:right w:val="none" w:sz="0" w:space="0" w:color="auto"/>
          </w:divBdr>
        </w:div>
        <w:div w:id="271131046">
          <w:marLeft w:val="0"/>
          <w:marRight w:val="0"/>
          <w:marTop w:val="0"/>
          <w:marBottom w:val="0"/>
          <w:divBdr>
            <w:top w:val="none" w:sz="0" w:space="0" w:color="auto"/>
            <w:left w:val="none" w:sz="0" w:space="0" w:color="auto"/>
            <w:bottom w:val="none" w:sz="0" w:space="0" w:color="auto"/>
            <w:right w:val="none" w:sz="0" w:space="0" w:color="auto"/>
          </w:divBdr>
        </w:div>
        <w:div w:id="1762722924">
          <w:marLeft w:val="0"/>
          <w:marRight w:val="0"/>
          <w:marTop w:val="0"/>
          <w:marBottom w:val="0"/>
          <w:divBdr>
            <w:top w:val="none" w:sz="0" w:space="0" w:color="auto"/>
            <w:left w:val="none" w:sz="0" w:space="0" w:color="auto"/>
            <w:bottom w:val="none" w:sz="0" w:space="0" w:color="auto"/>
            <w:right w:val="none" w:sz="0" w:space="0" w:color="auto"/>
          </w:divBdr>
        </w:div>
        <w:div w:id="485248471">
          <w:marLeft w:val="0"/>
          <w:marRight w:val="0"/>
          <w:marTop w:val="0"/>
          <w:marBottom w:val="0"/>
          <w:divBdr>
            <w:top w:val="none" w:sz="0" w:space="0" w:color="auto"/>
            <w:left w:val="none" w:sz="0" w:space="0" w:color="auto"/>
            <w:bottom w:val="none" w:sz="0" w:space="0" w:color="auto"/>
            <w:right w:val="none" w:sz="0" w:space="0" w:color="auto"/>
          </w:divBdr>
        </w:div>
        <w:div w:id="1111508998">
          <w:marLeft w:val="0"/>
          <w:marRight w:val="0"/>
          <w:marTop w:val="0"/>
          <w:marBottom w:val="0"/>
          <w:divBdr>
            <w:top w:val="none" w:sz="0" w:space="0" w:color="auto"/>
            <w:left w:val="none" w:sz="0" w:space="0" w:color="auto"/>
            <w:bottom w:val="none" w:sz="0" w:space="0" w:color="auto"/>
            <w:right w:val="none" w:sz="0" w:space="0" w:color="auto"/>
          </w:divBdr>
        </w:div>
        <w:div w:id="1006829737">
          <w:marLeft w:val="0"/>
          <w:marRight w:val="0"/>
          <w:marTop w:val="0"/>
          <w:marBottom w:val="0"/>
          <w:divBdr>
            <w:top w:val="none" w:sz="0" w:space="0" w:color="auto"/>
            <w:left w:val="none" w:sz="0" w:space="0" w:color="auto"/>
            <w:bottom w:val="none" w:sz="0" w:space="0" w:color="auto"/>
            <w:right w:val="none" w:sz="0" w:space="0" w:color="auto"/>
          </w:divBdr>
        </w:div>
        <w:div w:id="1238006871">
          <w:marLeft w:val="0"/>
          <w:marRight w:val="0"/>
          <w:marTop w:val="0"/>
          <w:marBottom w:val="0"/>
          <w:divBdr>
            <w:top w:val="none" w:sz="0" w:space="0" w:color="auto"/>
            <w:left w:val="none" w:sz="0" w:space="0" w:color="auto"/>
            <w:bottom w:val="none" w:sz="0" w:space="0" w:color="auto"/>
            <w:right w:val="none" w:sz="0" w:space="0" w:color="auto"/>
          </w:divBdr>
        </w:div>
        <w:div w:id="1345475699">
          <w:marLeft w:val="0"/>
          <w:marRight w:val="0"/>
          <w:marTop w:val="0"/>
          <w:marBottom w:val="0"/>
          <w:divBdr>
            <w:top w:val="none" w:sz="0" w:space="0" w:color="auto"/>
            <w:left w:val="none" w:sz="0" w:space="0" w:color="auto"/>
            <w:bottom w:val="none" w:sz="0" w:space="0" w:color="auto"/>
            <w:right w:val="none" w:sz="0" w:space="0" w:color="auto"/>
          </w:divBdr>
        </w:div>
        <w:div w:id="1592352762">
          <w:marLeft w:val="0"/>
          <w:marRight w:val="0"/>
          <w:marTop w:val="0"/>
          <w:marBottom w:val="0"/>
          <w:divBdr>
            <w:top w:val="none" w:sz="0" w:space="0" w:color="auto"/>
            <w:left w:val="none" w:sz="0" w:space="0" w:color="auto"/>
            <w:bottom w:val="none" w:sz="0" w:space="0" w:color="auto"/>
            <w:right w:val="none" w:sz="0" w:space="0" w:color="auto"/>
          </w:divBdr>
        </w:div>
        <w:div w:id="652954069">
          <w:marLeft w:val="0"/>
          <w:marRight w:val="0"/>
          <w:marTop w:val="0"/>
          <w:marBottom w:val="0"/>
          <w:divBdr>
            <w:top w:val="none" w:sz="0" w:space="0" w:color="auto"/>
            <w:left w:val="none" w:sz="0" w:space="0" w:color="auto"/>
            <w:bottom w:val="none" w:sz="0" w:space="0" w:color="auto"/>
            <w:right w:val="none" w:sz="0" w:space="0" w:color="auto"/>
          </w:divBdr>
        </w:div>
        <w:div w:id="369648470">
          <w:marLeft w:val="0"/>
          <w:marRight w:val="0"/>
          <w:marTop w:val="0"/>
          <w:marBottom w:val="0"/>
          <w:divBdr>
            <w:top w:val="none" w:sz="0" w:space="0" w:color="auto"/>
            <w:left w:val="none" w:sz="0" w:space="0" w:color="auto"/>
            <w:bottom w:val="none" w:sz="0" w:space="0" w:color="auto"/>
            <w:right w:val="none" w:sz="0" w:space="0" w:color="auto"/>
          </w:divBdr>
        </w:div>
        <w:div w:id="196629528">
          <w:marLeft w:val="0"/>
          <w:marRight w:val="0"/>
          <w:marTop w:val="0"/>
          <w:marBottom w:val="0"/>
          <w:divBdr>
            <w:top w:val="none" w:sz="0" w:space="0" w:color="auto"/>
            <w:left w:val="none" w:sz="0" w:space="0" w:color="auto"/>
            <w:bottom w:val="none" w:sz="0" w:space="0" w:color="auto"/>
            <w:right w:val="none" w:sz="0" w:space="0" w:color="auto"/>
          </w:divBdr>
        </w:div>
        <w:div w:id="958226380">
          <w:marLeft w:val="0"/>
          <w:marRight w:val="0"/>
          <w:marTop w:val="0"/>
          <w:marBottom w:val="0"/>
          <w:divBdr>
            <w:top w:val="none" w:sz="0" w:space="0" w:color="auto"/>
            <w:left w:val="none" w:sz="0" w:space="0" w:color="auto"/>
            <w:bottom w:val="none" w:sz="0" w:space="0" w:color="auto"/>
            <w:right w:val="none" w:sz="0" w:space="0" w:color="auto"/>
          </w:divBdr>
        </w:div>
        <w:div w:id="976224946">
          <w:marLeft w:val="0"/>
          <w:marRight w:val="0"/>
          <w:marTop w:val="0"/>
          <w:marBottom w:val="0"/>
          <w:divBdr>
            <w:top w:val="none" w:sz="0" w:space="0" w:color="auto"/>
            <w:left w:val="none" w:sz="0" w:space="0" w:color="auto"/>
            <w:bottom w:val="none" w:sz="0" w:space="0" w:color="auto"/>
            <w:right w:val="none" w:sz="0" w:space="0" w:color="auto"/>
          </w:divBdr>
        </w:div>
        <w:div w:id="15230217">
          <w:marLeft w:val="0"/>
          <w:marRight w:val="0"/>
          <w:marTop w:val="0"/>
          <w:marBottom w:val="0"/>
          <w:divBdr>
            <w:top w:val="none" w:sz="0" w:space="0" w:color="auto"/>
            <w:left w:val="none" w:sz="0" w:space="0" w:color="auto"/>
            <w:bottom w:val="none" w:sz="0" w:space="0" w:color="auto"/>
            <w:right w:val="none" w:sz="0" w:space="0" w:color="auto"/>
          </w:divBdr>
        </w:div>
        <w:div w:id="633995406">
          <w:marLeft w:val="0"/>
          <w:marRight w:val="0"/>
          <w:marTop w:val="0"/>
          <w:marBottom w:val="0"/>
          <w:divBdr>
            <w:top w:val="none" w:sz="0" w:space="0" w:color="auto"/>
            <w:left w:val="none" w:sz="0" w:space="0" w:color="auto"/>
            <w:bottom w:val="none" w:sz="0" w:space="0" w:color="auto"/>
            <w:right w:val="none" w:sz="0" w:space="0" w:color="auto"/>
          </w:divBdr>
        </w:div>
        <w:div w:id="1589731630">
          <w:marLeft w:val="0"/>
          <w:marRight w:val="0"/>
          <w:marTop w:val="0"/>
          <w:marBottom w:val="0"/>
          <w:divBdr>
            <w:top w:val="none" w:sz="0" w:space="0" w:color="auto"/>
            <w:left w:val="none" w:sz="0" w:space="0" w:color="auto"/>
            <w:bottom w:val="none" w:sz="0" w:space="0" w:color="auto"/>
            <w:right w:val="none" w:sz="0" w:space="0" w:color="auto"/>
          </w:divBdr>
        </w:div>
        <w:div w:id="882325932">
          <w:marLeft w:val="0"/>
          <w:marRight w:val="0"/>
          <w:marTop w:val="0"/>
          <w:marBottom w:val="0"/>
          <w:divBdr>
            <w:top w:val="none" w:sz="0" w:space="0" w:color="auto"/>
            <w:left w:val="none" w:sz="0" w:space="0" w:color="auto"/>
            <w:bottom w:val="none" w:sz="0" w:space="0" w:color="auto"/>
            <w:right w:val="none" w:sz="0" w:space="0" w:color="auto"/>
          </w:divBdr>
        </w:div>
        <w:div w:id="208108223">
          <w:marLeft w:val="0"/>
          <w:marRight w:val="0"/>
          <w:marTop w:val="0"/>
          <w:marBottom w:val="0"/>
          <w:divBdr>
            <w:top w:val="none" w:sz="0" w:space="0" w:color="auto"/>
            <w:left w:val="none" w:sz="0" w:space="0" w:color="auto"/>
            <w:bottom w:val="none" w:sz="0" w:space="0" w:color="auto"/>
            <w:right w:val="none" w:sz="0" w:space="0" w:color="auto"/>
          </w:divBdr>
        </w:div>
        <w:div w:id="326056130">
          <w:marLeft w:val="0"/>
          <w:marRight w:val="0"/>
          <w:marTop w:val="0"/>
          <w:marBottom w:val="0"/>
          <w:divBdr>
            <w:top w:val="none" w:sz="0" w:space="0" w:color="auto"/>
            <w:left w:val="none" w:sz="0" w:space="0" w:color="auto"/>
            <w:bottom w:val="none" w:sz="0" w:space="0" w:color="auto"/>
            <w:right w:val="none" w:sz="0" w:space="0" w:color="auto"/>
          </w:divBdr>
        </w:div>
        <w:div w:id="374895539">
          <w:marLeft w:val="0"/>
          <w:marRight w:val="0"/>
          <w:marTop w:val="0"/>
          <w:marBottom w:val="0"/>
          <w:divBdr>
            <w:top w:val="none" w:sz="0" w:space="0" w:color="auto"/>
            <w:left w:val="none" w:sz="0" w:space="0" w:color="auto"/>
            <w:bottom w:val="none" w:sz="0" w:space="0" w:color="auto"/>
            <w:right w:val="none" w:sz="0" w:space="0" w:color="auto"/>
          </w:divBdr>
        </w:div>
        <w:div w:id="1152910780">
          <w:marLeft w:val="0"/>
          <w:marRight w:val="0"/>
          <w:marTop w:val="0"/>
          <w:marBottom w:val="0"/>
          <w:divBdr>
            <w:top w:val="none" w:sz="0" w:space="0" w:color="auto"/>
            <w:left w:val="none" w:sz="0" w:space="0" w:color="auto"/>
            <w:bottom w:val="none" w:sz="0" w:space="0" w:color="auto"/>
            <w:right w:val="none" w:sz="0" w:space="0" w:color="auto"/>
          </w:divBdr>
        </w:div>
        <w:div w:id="402143242">
          <w:marLeft w:val="0"/>
          <w:marRight w:val="0"/>
          <w:marTop w:val="0"/>
          <w:marBottom w:val="0"/>
          <w:divBdr>
            <w:top w:val="none" w:sz="0" w:space="0" w:color="auto"/>
            <w:left w:val="none" w:sz="0" w:space="0" w:color="auto"/>
            <w:bottom w:val="none" w:sz="0" w:space="0" w:color="auto"/>
            <w:right w:val="none" w:sz="0" w:space="0" w:color="auto"/>
          </w:divBdr>
        </w:div>
        <w:div w:id="1656566905">
          <w:marLeft w:val="0"/>
          <w:marRight w:val="0"/>
          <w:marTop w:val="0"/>
          <w:marBottom w:val="0"/>
          <w:divBdr>
            <w:top w:val="none" w:sz="0" w:space="0" w:color="auto"/>
            <w:left w:val="none" w:sz="0" w:space="0" w:color="auto"/>
            <w:bottom w:val="none" w:sz="0" w:space="0" w:color="auto"/>
            <w:right w:val="none" w:sz="0" w:space="0" w:color="auto"/>
          </w:divBdr>
        </w:div>
        <w:div w:id="223568789">
          <w:marLeft w:val="0"/>
          <w:marRight w:val="0"/>
          <w:marTop w:val="0"/>
          <w:marBottom w:val="0"/>
          <w:divBdr>
            <w:top w:val="none" w:sz="0" w:space="0" w:color="auto"/>
            <w:left w:val="none" w:sz="0" w:space="0" w:color="auto"/>
            <w:bottom w:val="none" w:sz="0" w:space="0" w:color="auto"/>
            <w:right w:val="none" w:sz="0" w:space="0" w:color="auto"/>
          </w:divBdr>
        </w:div>
        <w:div w:id="2110932072">
          <w:marLeft w:val="0"/>
          <w:marRight w:val="0"/>
          <w:marTop w:val="0"/>
          <w:marBottom w:val="0"/>
          <w:divBdr>
            <w:top w:val="none" w:sz="0" w:space="0" w:color="auto"/>
            <w:left w:val="none" w:sz="0" w:space="0" w:color="auto"/>
            <w:bottom w:val="none" w:sz="0" w:space="0" w:color="auto"/>
            <w:right w:val="none" w:sz="0" w:space="0" w:color="auto"/>
          </w:divBdr>
        </w:div>
        <w:div w:id="2027444104">
          <w:marLeft w:val="0"/>
          <w:marRight w:val="0"/>
          <w:marTop w:val="0"/>
          <w:marBottom w:val="0"/>
          <w:divBdr>
            <w:top w:val="none" w:sz="0" w:space="0" w:color="auto"/>
            <w:left w:val="none" w:sz="0" w:space="0" w:color="auto"/>
            <w:bottom w:val="none" w:sz="0" w:space="0" w:color="auto"/>
            <w:right w:val="none" w:sz="0" w:space="0" w:color="auto"/>
          </w:divBdr>
        </w:div>
        <w:div w:id="193421078">
          <w:marLeft w:val="0"/>
          <w:marRight w:val="0"/>
          <w:marTop w:val="0"/>
          <w:marBottom w:val="0"/>
          <w:divBdr>
            <w:top w:val="none" w:sz="0" w:space="0" w:color="auto"/>
            <w:left w:val="none" w:sz="0" w:space="0" w:color="auto"/>
            <w:bottom w:val="none" w:sz="0" w:space="0" w:color="auto"/>
            <w:right w:val="none" w:sz="0" w:space="0" w:color="auto"/>
          </w:divBdr>
        </w:div>
        <w:div w:id="19668355">
          <w:marLeft w:val="0"/>
          <w:marRight w:val="0"/>
          <w:marTop w:val="0"/>
          <w:marBottom w:val="0"/>
          <w:divBdr>
            <w:top w:val="none" w:sz="0" w:space="0" w:color="auto"/>
            <w:left w:val="none" w:sz="0" w:space="0" w:color="auto"/>
            <w:bottom w:val="none" w:sz="0" w:space="0" w:color="auto"/>
            <w:right w:val="none" w:sz="0" w:space="0" w:color="auto"/>
          </w:divBdr>
        </w:div>
        <w:div w:id="774710986">
          <w:marLeft w:val="0"/>
          <w:marRight w:val="0"/>
          <w:marTop w:val="0"/>
          <w:marBottom w:val="0"/>
          <w:divBdr>
            <w:top w:val="none" w:sz="0" w:space="0" w:color="auto"/>
            <w:left w:val="none" w:sz="0" w:space="0" w:color="auto"/>
            <w:bottom w:val="none" w:sz="0" w:space="0" w:color="auto"/>
            <w:right w:val="none" w:sz="0" w:space="0" w:color="auto"/>
          </w:divBdr>
        </w:div>
        <w:div w:id="398871203">
          <w:marLeft w:val="0"/>
          <w:marRight w:val="0"/>
          <w:marTop w:val="0"/>
          <w:marBottom w:val="0"/>
          <w:divBdr>
            <w:top w:val="none" w:sz="0" w:space="0" w:color="auto"/>
            <w:left w:val="none" w:sz="0" w:space="0" w:color="auto"/>
            <w:bottom w:val="none" w:sz="0" w:space="0" w:color="auto"/>
            <w:right w:val="none" w:sz="0" w:space="0" w:color="auto"/>
          </w:divBdr>
        </w:div>
        <w:div w:id="1683051034">
          <w:marLeft w:val="0"/>
          <w:marRight w:val="0"/>
          <w:marTop w:val="0"/>
          <w:marBottom w:val="0"/>
          <w:divBdr>
            <w:top w:val="none" w:sz="0" w:space="0" w:color="auto"/>
            <w:left w:val="none" w:sz="0" w:space="0" w:color="auto"/>
            <w:bottom w:val="none" w:sz="0" w:space="0" w:color="auto"/>
            <w:right w:val="none" w:sz="0" w:space="0" w:color="auto"/>
          </w:divBdr>
        </w:div>
        <w:div w:id="1413158072">
          <w:marLeft w:val="0"/>
          <w:marRight w:val="0"/>
          <w:marTop w:val="0"/>
          <w:marBottom w:val="0"/>
          <w:divBdr>
            <w:top w:val="none" w:sz="0" w:space="0" w:color="auto"/>
            <w:left w:val="none" w:sz="0" w:space="0" w:color="auto"/>
            <w:bottom w:val="none" w:sz="0" w:space="0" w:color="auto"/>
            <w:right w:val="none" w:sz="0" w:space="0" w:color="auto"/>
          </w:divBdr>
        </w:div>
        <w:div w:id="1796439244">
          <w:marLeft w:val="0"/>
          <w:marRight w:val="0"/>
          <w:marTop w:val="0"/>
          <w:marBottom w:val="0"/>
          <w:divBdr>
            <w:top w:val="none" w:sz="0" w:space="0" w:color="auto"/>
            <w:left w:val="none" w:sz="0" w:space="0" w:color="auto"/>
            <w:bottom w:val="none" w:sz="0" w:space="0" w:color="auto"/>
            <w:right w:val="none" w:sz="0" w:space="0" w:color="auto"/>
          </w:divBdr>
        </w:div>
        <w:div w:id="1485394686">
          <w:marLeft w:val="0"/>
          <w:marRight w:val="0"/>
          <w:marTop w:val="0"/>
          <w:marBottom w:val="0"/>
          <w:divBdr>
            <w:top w:val="none" w:sz="0" w:space="0" w:color="auto"/>
            <w:left w:val="none" w:sz="0" w:space="0" w:color="auto"/>
            <w:bottom w:val="none" w:sz="0" w:space="0" w:color="auto"/>
            <w:right w:val="none" w:sz="0" w:space="0" w:color="auto"/>
          </w:divBdr>
        </w:div>
        <w:div w:id="2059429094">
          <w:marLeft w:val="0"/>
          <w:marRight w:val="0"/>
          <w:marTop w:val="0"/>
          <w:marBottom w:val="0"/>
          <w:divBdr>
            <w:top w:val="none" w:sz="0" w:space="0" w:color="auto"/>
            <w:left w:val="none" w:sz="0" w:space="0" w:color="auto"/>
            <w:bottom w:val="none" w:sz="0" w:space="0" w:color="auto"/>
            <w:right w:val="none" w:sz="0" w:space="0" w:color="auto"/>
          </w:divBdr>
        </w:div>
        <w:div w:id="1931429630">
          <w:marLeft w:val="0"/>
          <w:marRight w:val="0"/>
          <w:marTop w:val="0"/>
          <w:marBottom w:val="0"/>
          <w:divBdr>
            <w:top w:val="none" w:sz="0" w:space="0" w:color="auto"/>
            <w:left w:val="none" w:sz="0" w:space="0" w:color="auto"/>
            <w:bottom w:val="none" w:sz="0" w:space="0" w:color="auto"/>
            <w:right w:val="none" w:sz="0" w:space="0" w:color="auto"/>
          </w:divBdr>
        </w:div>
        <w:div w:id="205337646">
          <w:marLeft w:val="0"/>
          <w:marRight w:val="0"/>
          <w:marTop w:val="0"/>
          <w:marBottom w:val="0"/>
          <w:divBdr>
            <w:top w:val="none" w:sz="0" w:space="0" w:color="auto"/>
            <w:left w:val="none" w:sz="0" w:space="0" w:color="auto"/>
            <w:bottom w:val="none" w:sz="0" w:space="0" w:color="auto"/>
            <w:right w:val="none" w:sz="0" w:space="0" w:color="auto"/>
          </w:divBdr>
        </w:div>
        <w:div w:id="1882018054">
          <w:marLeft w:val="0"/>
          <w:marRight w:val="0"/>
          <w:marTop w:val="0"/>
          <w:marBottom w:val="0"/>
          <w:divBdr>
            <w:top w:val="none" w:sz="0" w:space="0" w:color="auto"/>
            <w:left w:val="none" w:sz="0" w:space="0" w:color="auto"/>
            <w:bottom w:val="none" w:sz="0" w:space="0" w:color="auto"/>
            <w:right w:val="none" w:sz="0" w:space="0" w:color="auto"/>
          </w:divBdr>
        </w:div>
        <w:div w:id="1641616462">
          <w:marLeft w:val="0"/>
          <w:marRight w:val="0"/>
          <w:marTop w:val="0"/>
          <w:marBottom w:val="0"/>
          <w:divBdr>
            <w:top w:val="none" w:sz="0" w:space="0" w:color="auto"/>
            <w:left w:val="none" w:sz="0" w:space="0" w:color="auto"/>
            <w:bottom w:val="none" w:sz="0" w:space="0" w:color="auto"/>
            <w:right w:val="none" w:sz="0" w:space="0" w:color="auto"/>
          </w:divBdr>
        </w:div>
        <w:div w:id="113061166">
          <w:marLeft w:val="0"/>
          <w:marRight w:val="0"/>
          <w:marTop w:val="0"/>
          <w:marBottom w:val="0"/>
          <w:divBdr>
            <w:top w:val="none" w:sz="0" w:space="0" w:color="auto"/>
            <w:left w:val="none" w:sz="0" w:space="0" w:color="auto"/>
            <w:bottom w:val="none" w:sz="0" w:space="0" w:color="auto"/>
            <w:right w:val="none" w:sz="0" w:space="0" w:color="auto"/>
          </w:divBdr>
        </w:div>
        <w:div w:id="1605306508">
          <w:marLeft w:val="0"/>
          <w:marRight w:val="0"/>
          <w:marTop w:val="0"/>
          <w:marBottom w:val="0"/>
          <w:divBdr>
            <w:top w:val="none" w:sz="0" w:space="0" w:color="auto"/>
            <w:left w:val="none" w:sz="0" w:space="0" w:color="auto"/>
            <w:bottom w:val="none" w:sz="0" w:space="0" w:color="auto"/>
            <w:right w:val="none" w:sz="0" w:space="0" w:color="auto"/>
          </w:divBdr>
        </w:div>
        <w:div w:id="1918125935">
          <w:marLeft w:val="0"/>
          <w:marRight w:val="0"/>
          <w:marTop w:val="0"/>
          <w:marBottom w:val="0"/>
          <w:divBdr>
            <w:top w:val="none" w:sz="0" w:space="0" w:color="auto"/>
            <w:left w:val="none" w:sz="0" w:space="0" w:color="auto"/>
            <w:bottom w:val="none" w:sz="0" w:space="0" w:color="auto"/>
            <w:right w:val="none" w:sz="0" w:space="0" w:color="auto"/>
          </w:divBdr>
        </w:div>
        <w:div w:id="2104760353">
          <w:marLeft w:val="0"/>
          <w:marRight w:val="0"/>
          <w:marTop w:val="0"/>
          <w:marBottom w:val="0"/>
          <w:divBdr>
            <w:top w:val="none" w:sz="0" w:space="0" w:color="auto"/>
            <w:left w:val="none" w:sz="0" w:space="0" w:color="auto"/>
            <w:bottom w:val="none" w:sz="0" w:space="0" w:color="auto"/>
            <w:right w:val="none" w:sz="0" w:space="0" w:color="auto"/>
          </w:divBdr>
        </w:div>
        <w:div w:id="835850102">
          <w:marLeft w:val="0"/>
          <w:marRight w:val="0"/>
          <w:marTop w:val="0"/>
          <w:marBottom w:val="0"/>
          <w:divBdr>
            <w:top w:val="none" w:sz="0" w:space="0" w:color="auto"/>
            <w:left w:val="none" w:sz="0" w:space="0" w:color="auto"/>
            <w:bottom w:val="none" w:sz="0" w:space="0" w:color="auto"/>
            <w:right w:val="none" w:sz="0" w:space="0" w:color="auto"/>
          </w:divBdr>
        </w:div>
        <w:div w:id="629359876">
          <w:marLeft w:val="0"/>
          <w:marRight w:val="0"/>
          <w:marTop w:val="0"/>
          <w:marBottom w:val="0"/>
          <w:divBdr>
            <w:top w:val="none" w:sz="0" w:space="0" w:color="auto"/>
            <w:left w:val="none" w:sz="0" w:space="0" w:color="auto"/>
            <w:bottom w:val="none" w:sz="0" w:space="0" w:color="auto"/>
            <w:right w:val="none" w:sz="0" w:space="0" w:color="auto"/>
          </w:divBdr>
        </w:div>
        <w:div w:id="1471820997">
          <w:marLeft w:val="0"/>
          <w:marRight w:val="0"/>
          <w:marTop w:val="0"/>
          <w:marBottom w:val="0"/>
          <w:divBdr>
            <w:top w:val="none" w:sz="0" w:space="0" w:color="auto"/>
            <w:left w:val="none" w:sz="0" w:space="0" w:color="auto"/>
            <w:bottom w:val="none" w:sz="0" w:space="0" w:color="auto"/>
            <w:right w:val="none" w:sz="0" w:space="0" w:color="auto"/>
          </w:divBdr>
        </w:div>
        <w:div w:id="40984790">
          <w:marLeft w:val="0"/>
          <w:marRight w:val="0"/>
          <w:marTop w:val="0"/>
          <w:marBottom w:val="0"/>
          <w:divBdr>
            <w:top w:val="none" w:sz="0" w:space="0" w:color="auto"/>
            <w:left w:val="none" w:sz="0" w:space="0" w:color="auto"/>
            <w:bottom w:val="none" w:sz="0" w:space="0" w:color="auto"/>
            <w:right w:val="none" w:sz="0" w:space="0" w:color="auto"/>
          </w:divBdr>
        </w:div>
        <w:div w:id="182129792">
          <w:marLeft w:val="0"/>
          <w:marRight w:val="0"/>
          <w:marTop w:val="0"/>
          <w:marBottom w:val="0"/>
          <w:divBdr>
            <w:top w:val="none" w:sz="0" w:space="0" w:color="auto"/>
            <w:left w:val="none" w:sz="0" w:space="0" w:color="auto"/>
            <w:bottom w:val="none" w:sz="0" w:space="0" w:color="auto"/>
            <w:right w:val="none" w:sz="0" w:space="0" w:color="auto"/>
          </w:divBdr>
        </w:div>
        <w:div w:id="2073195226">
          <w:marLeft w:val="0"/>
          <w:marRight w:val="0"/>
          <w:marTop w:val="0"/>
          <w:marBottom w:val="0"/>
          <w:divBdr>
            <w:top w:val="none" w:sz="0" w:space="0" w:color="auto"/>
            <w:left w:val="none" w:sz="0" w:space="0" w:color="auto"/>
            <w:bottom w:val="none" w:sz="0" w:space="0" w:color="auto"/>
            <w:right w:val="none" w:sz="0" w:space="0" w:color="auto"/>
          </w:divBdr>
        </w:div>
        <w:div w:id="819469413">
          <w:marLeft w:val="0"/>
          <w:marRight w:val="0"/>
          <w:marTop w:val="0"/>
          <w:marBottom w:val="0"/>
          <w:divBdr>
            <w:top w:val="none" w:sz="0" w:space="0" w:color="auto"/>
            <w:left w:val="none" w:sz="0" w:space="0" w:color="auto"/>
            <w:bottom w:val="none" w:sz="0" w:space="0" w:color="auto"/>
            <w:right w:val="none" w:sz="0" w:space="0" w:color="auto"/>
          </w:divBdr>
        </w:div>
        <w:div w:id="1611165352">
          <w:marLeft w:val="0"/>
          <w:marRight w:val="0"/>
          <w:marTop w:val="0"/>
          <w:marBottom w:val="0"/>
          <w:divBdr>
            <w:top w:val="none" w:sz="0" w:space="0" w:color="auto"/>
            <w:left w:val="none" w:sz="0" w:space="0" w:color="auto"/>
            <w:bottom w:val="none" w:sz="0" w:space="0" w:color="auto"/>
            <w:right w:val="none" w:sz="0" w:space="0" w:color="auto"/>
          </w:divBdr>
        </w:div>
        <w:div w:id="1138886514">
          <w:marLeft w:val="0"/>
          <w:marRight w:val="0"/>
          <w:marTop w:val="0"/>
          <w:marBottom w:val="0"/>
          <w:divBdr>
            <w:top w:val="none" w:sz="0" w:space="0" w:color="auto"/>
            <w:left w:val="none" w:sz="0" w:space="0" w:color="auto"/>
            <w:bottom w:val="none" w:sz="0" w:space="0" w:color="auto"/>
            <w:right w:val="none" w:sz="0" w:space="0" w:color="auto"/>
          </w:divBdr>
        </w:div>
        <w:div w:id="609702683">
          <w:marLeft w:val="0"/>
          <w:marRight w:val="0"/>
          <w:marTop w:val="0"/>
          <w:marBottom w:val="0"/>
          <w:divBdr>
            <w:top w:val="none" w:sz="0" w:space="0" w:color="auto"/>
            <w:left w:val="none" w:sz="0" w:space="0" w:color="auto"/>
            <w:bottom w:val="none" w:sz="0" w:space="0" w:color="auto"/>
            <w:right w:val="none" w:sz="0" w:space="0" w:color="auto"/>
          </w:divBdr>
        </w:div>
        <w:div w:id="1589463295">
          <w:marLeft w:val="0"/>
          <w:marRight w:val="0"/>
          <w:marTop w:val="0"/>
          <w:marBottom w:val="0"/>
          <w:divBdr>
            <w:top w:val="none" w:sz="0" w:space="0" w:color="auto"/>
            <w:left w:val="none" w:sz="0" w:space="0" w:color="auto"/>
            <w:bottom w:val="none" w:sz="0" w:space="0" w:color="auto"/>
            <w:right w:val="none" w:sz="0" w:space="0" w:color="auto"/>
          </w:divBdr>
        </w:div>
        <w:div w:id="2083210923">
          <w:marLeft w:val="0"/>
          <w:marRight w:val="0"/>
          <w:marTop w:val="0"/>
          <w:marBottom w:val="0"/>
          <w:divBdr>
            <w:top w:val="none" w:sz="0" w:space="0" w:color="auto"/>
            <w:left w:val="none" w:sz="0" w:space="0" w:color="auto"/>
            <w:bottom w:val="none" w:sz="0" w:space="0" w:color="auto"/>
            <w:right w:val="none" w:sz="0" w:space="0" w:color="auto"/>
          </w:divBdr>
        </w:div>
        <w:div w:id="794636447">
          <w:marLeft w:val="0"/>
          <w:marRight w:val="0"/>
          <w:marTop w:val="0"/>
          <w:marBottom w:val="0"/>
          <w:divBdr>
            <w:top w:val="none" w:sz="0" w:space="0" w:color="auto"/>
            <w:left w:val="none" w:sz="0" w:space="0" w:color="auto"/>
            <w:bottom w:val="none" w:sz="0" w:space="0" w:color="auto"/>
            <w:right w:val="none" w:sz="0" w:space="0" w:color="auto"/>
          </w:divBdr>
        </w:div>
        <w:div w:id="1793404127">
          <w:marLeft w:val="0"/>
          <w:marRight w:val="0"/>
          <w:marTop w:val="0"/>
          <w:marBottom w:val="0"/>
          <w:divBdr>
            <w:top w:val="none" w:sz="0" w:space="0" w:color="auto"/>
            <w:left w:val="none" w:sz="0" w:space="0" w:color="auto"/>
            <w:bottom w:val="none" w:sz="0" w:space="0" w:color="auto"/>
            <w:right w:val="none" w:sz="0" w:space="0" w:color="auto"/>
          </w:divBdr>
        </w:div>
        <w:div w:id="222258588">
          <w:marLeft w:val="0"/>
          <w:marRight w:val="0"/>
          <w:marTop w:val="0"/>
          <w:marBottom w:val="0"/>
          <w:divBdr>
            <w:top w:val="none" w:sz="0" w:space="0" w:color="auto"/>
            <w:left w:val="none" w:sz="0" w:space="0" w:color="auto"/>
            <w:bottom w:val="none" w:sz="0" w:space="0" w:color="auto"/>
            <w:right w:val="none" w:sz="0" w:space="0" w:color="auto"/>
          </w:divBdr>
        </w:div>
        <w:div w:id="987323682">
          <w:marLeft w:val="0"/>
          <w:marRight w:val="0"/>
          <w:marTop w:val="0"/>
          <w:marBottom w:val="0"/>
          <w:divBdr>
            <w:top w:val="none" w:sz="0" w:space="0" w:color="auto"/>
            <w:left w:val="none" w:sz="0" w:space="0" w:color="auto"/>
            <w:bottom w:val="none" w:sz="0" w:space="0" w:color="auto"/>
            <w:right w:val="none" w:sz="0" w:space="0" w:color="auto"/>
          </w:divBdr>
        </w:div>
        <w:div w:id="2066446340">
          <w:marLeft w:val="0"/>
          <w:marRight w:val="0"/>
          <w:marTop w:val="0"/>
          <w:marBottom w:val="0"/>
          <w:divBdr>
            <w:top w:val="none" w:sz="0" w:space="0" w:color="auto"/>
            <w:left w:val="none" w:sz="0" w:space="0" w:color="auto"/>
            <w:bottom w:val="none" w:sz="0" w:space="0" w:color="auto"/>
            <w:right w:val="none" w:sz="0" w:space="0" w:color="auto"/>
          </w:divBdr>
        </w:div>
        <w:div w:id="1645429099">
          <w:marLeft w:val="0"/>
          <w:marRight w:val="0"/>
          <w:marTop w:val="0"/>
          <w:marBottom w:val="0"/>
          <w:divBdr>
            <w:top w:val="none" w:sz="0" w:space="0" w:color="auto"/>
            <w:left w:val="none" w:sz="0" w:space="0" w:color="auto"/>
            <w:bottom w:val="none" w:sz="0" w:space="0" w:color="auto"/>
            <w:right w:val="none" w:sz="0" w:space="0" w:color="auto"/>
          </w:divBdr>
        </w:div>
        <w:div w:id="1315379891">
          <w:marLeft w:val="0"/>
          <w:marRight w:val="0"/>
          <w:marTop w:val="0"/>
          <w:marBottom w:val="0"/>
          <w:divBdr>
            <w:top w:val="none" w:sz="0" w:space="0" w:color="auto"/>
            <w:left w:val="none" w:sz="0" w:space="0" w:color="auto"/>
            <w:bottom w:val="none" w:sz="0" w:space="0" w:color="auto"/>
            <w:right w:val="none" w:sz="0" w:space="0" w:color="auto"/>
          </w:divBdr>
        </w:div>
        <w:div w:id="1424105923">
          <w:marLeft w:val="0"/>
          <w:marRight w:val="0"/>
          <w:marTop w:val="0"/>
          <w:marBottom w:val="0"/>
          <w:divBdr>
            <w:top w:val="none" w:sz="0" w:space="0" w:color="auto"/>
            <w:left w:val="none" w:sz="0" w:space="0" w:color="auto"/>
            <w:bottom w:val="none" w:sz="0" w:space="0" w:color="auto"/>
            <w:right w:val="none" w:sz="0" w:space="0" w:color="auto"/>
          </w:divBdr>
        </w:div>
        <w:div w:id="1063219002">
          <w:marLeft w:val="0"/>
          <w:marRight w:val="0"/>
          <w:marTop w:val="0"/>
          <w:marBottom w:val="0"/>
          <w:divBdr>
            <w:top w:val="none" w:sz="0" w:space="0" w:color="auto"/>
            <w:left w:val="none" w:sz="0" w:space="0" w:color="auto"/>
            <w:bottom w:val="none" w:sz="0" w:space="0" w:color="auto"/>
            <w:right w:val="none" w:sz="0" w:space="0" w:color="auto"/>
          </w:divBdr>
        </w:div>
        <w:div w:id="494761274">
          <w:marLeft w:val="0"/>
          <w:marRight w:val="0"/>
          <w:marTop w:val="0"/>
          <w:marBottom w:val="0"/>
          <w:divBdr>
            <w:top w:val="none" w:sz="0" w:space="0" w:color="auto"/>
            <w:left w:val="none" w:sz="0" w:space="0" w:color="auto"/>
            <w:bottom w:val="none" w:sz="0" w:space="0" w:color="auto"/>
            <w:right w:val="none" w:sz="0" w:space="0" w:color="auto"/>
          </w:divBdr>
        </w:div>
        <w:div w:id="1599288935">
          <w:marLeft w:val="0"/>
          <w:marRight w:val="0"/>
          <w:marTop w:val="0"/>
          <w:marBottom w:val="0"/>
          <w:divBdr>
            <w:top w:val="none" w:sz="0" w:space="0" w:color="auto"/>
            <w:left w:val="none" w:sz="0" w:space="0" w:color="auto"/>
            <w:bottom w:val="none" w:sz="0" w:space="0" w:color="auto"/>
            <w:right w:val="none" w:sz="0" w:space="0" w:color="auto"/>
          </w:divBdr>
        </w:div>
        <w:div w:id="544490436">
          <w:marLeft w:val="0"/>
          <w:marRight w:val="0"/>
          <w:marTop w:val="0"/>
          <w:marBottom w:val="0"/>
          <w:divBdr>
            <w:top w:val="none" w:sz="0" w:space="0" w:color="auto"/>
            <w:left w:val="none" w:sz="0" w:space="0" w:color="auto"/>
            <w:bottom w:val="none" w:sz="0" w:space="0" w:color="auto"/>
            <w:right w:val="none" w:sz="0" w:space="0" w:color="auto"/>
          </w:divBdr>
        </w:div>
        <w:div w:id="1681546185">
          <w:marLeft w:val="0"/>
          <w:marRight w:val="0"/>
          <w:marTop w:val="0"/>
          <w:marBottom w:val="0"/>
          <w:divBdr>
            <w:top w:val="none" w:sz="0" w:space="0" w:color="auto"/>
            <w:left w:val="none" w:sz="0" w:space="0" w:color="auto"/>
            <w:bottom w:val="none" w:sz="0" w:space="0" w:color="auto"/>
            <w:right w:val="none" w:sz="0" w:space="0" w:color="auto"/>
          </w:divBdr>
        </w:div>
        <w:div w:id="1479609010">
          <w:marLeft w:val="0"/>
          <w:marRight w:val="0"/>
          <w:marTop w:val="0"/>
          <w:marBottom w:val="0"/>
          <w:divBdr>
            <w:top w:val="none" w:sz="0" w:space="0" w:color="auto"/>
            <w:left w:val="none" w:sz="0" w:space="0" w:color="auto"/>
            <w:bottom w:val="none" w:sz="0" w:space="0" w:color="auto"/>
            <w:right w:val="none" w:sz="0" w:space="0" w:color="auto"/>
          </w:divBdr>
        </w:div>
        <w:div w:id="1276328806">
          <w:marLeft w:val="0"/>
          <w:marRight w:val="0"/>
          <w:marTop w:val="0"/>
          <w:marBottom w:val="0"/>
          <w:divBdr>
            <w:top w:val="none" w:sz="0" w:space="0" w:color="auto"/>
            <w:left w:val="none" w:sz="0" w:space="0" w:color="auto"/>
            <w:bottom w:val="none" w:sz="0" w:space="0" w:color="auto"/>
            <w:right w:val="none" w:sz="0" w:space="0" w:color="auto"/>
          </w:divBdr>
        </w:div>
        <w:div w:id="1159807824">
          <w:marLeft w:val="0"/>
          <w:marRight w:val="0"/>
          <w:marTop w:val="0"/>
          <w:marBottom w:val="0"/>
          <w:divBdr>
            <w:top w:val="none" w:sz="0" w:space="0" w:color="auto"/>
            <w:left w:val="none" w:sz="0" w:space="0" w:color="auto"/>
            <w:bottom w:val="none" w:sz="0" w:space="0" w:color="auto"/>
            <w:right w:val="none" w:sz="0" w:space="0" w:color="auto"/>
          </w:divBdr>
        </w:div>
        <w:div w:id="2135785255">
          <w:marLeft w:val="0"/>
          <w:marRight w:val="0"/>
          <w:marTop w:val="0"/>
          <w:marBottom w:val="0"/>
          <w:divBdr>
            <w:top w:val="none" w:sz="0" w:space="0" w:color="auto"/>
            <w:left w:val="none" w:sz="0" w:space="0" w:color="auto"/>
            <w:bottom w:val="none" w:sz="0" w:space="0" w:color="auto"/>
            <w:right w:val="none" w:sz="0" w:space="0" w:color="auto"/>
          </w:divBdr>
        </w:div>
        <w:div w:id="522673195">
          <w:marLeft w:val="0"/>
          <w:marRight w:val="0"/>
          <w:marTop w:val="0"/>
          <w:marBottom w:val="0"/>
          <w:divBdr>
            <w:top w:val="none" w:sz="0" w:space="0" w:color="auto"/>
            <w:left w:val="none" w:sz="0" w:space="0" w:color="auto"/>
            <w:bottom w:val="none" w:sz="0" w:space="0" w:color="auto"/>
            <w:right w:val="none" w:sz="0" w:space="0" w:color="auto"/>
          </w:divBdr>
        </w:div>
        <w:div w:id="1898666289">
          <w:marLeft w:val="0"/>
          <w:marRight w:val="0"/>
          <w:marTop w:val="0"/>
          <w:marBottom w:val="0"/>
          <w:divBdr>
            <w:top w:val="none" w:sz="0" w:space="0" w:color="auto"/>
            <w:left w:val="none" w:sz="0" w:space="0" w:color="auto"/>
            <w:bottom w:val="none" w:sz="0" w:space="0" w:color="auto"/>
            <w:right w:val="none" w:sz="0" w:space="0" w:color="auto"/>
          </w:divBdr>
        </w:div>
        <w:div w:id="1055546486">
          <w:marLeft w:val="0"/>
          <w:marRight w:val="0"/>
          <w:marTop w:val="0"/>
          <w:marBottom w:val="0"/>
          <w:divBdr>
            <w:top w:val="none" w:sz="0" w:space="0" w:color="auto"/>
            <w:left w:val="none" w:sz="0" w:space="0" w:color="auto"/>
            <w:bottom w:val="none" w:sz="0" w:space="0" w:color="auto"/>
            <w:right w:val="none" w:sz="0" w:space="0" w:color="auto"/>
          </w:divBdr>
        </w:div>
        <w:div w:id="764573933">
          <w:marLeft w:val="0"/>
          <w:marRight w:val="0"/>
          <w:marTop w:val="0"/>
          <w:marBottom w:val="0"/>
          <w:divBdr>
            <w:top w:val="none" w:sz="0" w:space="0" w:color="auto"/>
            <w:left w:val="none" w:sz="0" w:space="0" w:color="auto"/>
            <w:bottom w:val="none" w:sz="0" w:space="0" w:color="auto"/>
            <w:right w:val="none" w:sz="0" w:space="0" w:color="auto"/>
          </w:divBdr>
        </w:div>
        <w:div w:id="1055548960">
          <w:marLeft w:val="0"/>
          <w:marRight w:val="0"/>
          <w:marTop w:val="0"/>
          <w:marBottom w:val="0"/>
          <w:divBdr>
            <w:top w:val="none" w:sz="0" w:space="0" w:color="auto"/>
            <w:left w:val="none" w:sz="0" w:space="0" w:color="auto"/>
            <w:bottom w:val="none" w:sz="0" w:space="0" w:color="auto"/>
            <w:right w:val="none" w:sz="0" w:space="0" w:color="auto"/>
          </w:divBdr>
        </w:div>
        <w:div w:id="126558169">
          <w:marLeft w:val="0"/>
          <w:marRight w:val="0"/>
          <w:marTop w:val="0"/>
          <w:marBottom w:val="0"/>
          <w:divBdr>
            <w:top w:val="none" w:sz="0" w:space="0" w:color="auto"/>
            <w:left w:val="none" w:sz="0" w:space="0" w:color="auto"/>
            <w:bottom w:val="none" w:sz="0" w:space="0" w:color="auto"/>
            <w:right w:val="none" w:sz="0" w:space="0" w:color="auto"/>
          </w:divBdr>
        </w:div>
        <w:div w:id="1660452600">
          <w:marLeft w:val="0"/>
          <w:marRight w:val="0"/>
          <w:marTop w:val="0"/>
          <w:marBottom w:val="0"/>
          <w:divBdr>
            <w:top w:val="none" w:sz="0" w:space="0" w:color="auto"/>
            <w:left w:val="none" w:sz="0" w:space="0" w:color="auto"/>
            <w:bottom w:val="none" w:sz="0" w:space="0" w:color="auto"/>
            <w:right w:val="none" w:sz="0" w:space="0" w:color="auto"/>
          </w:divBdr>
        </w:div>
        <w:div w:id="562907500">
          <w:marLeft w:val="0"/>
          <w:marRight w:val="0"/>
          <w:marTop w:val="0"/>
          <w:marBottom w:val="0"/>
          <w:divBdr>
            <w:top w:val="none" w:sz="0" w:space="0" w:color="auto"/>
            <w:left w:val="none" w:sz="0" w:space="0" w:color="auto"/>
            <w:bottom w:val="none" w:sz="0" w:space="0" w:color="auto"/>
            <w:right w:val="none" w:sz="0" w:space="0" w:color="auto"/>
          </w:divBdr>
        </w:div>
        <w:div w:id="1138496675">
          <w:marLeft w:val="0"/>
          <w:marRight w:val="0"/>
          <w:marTop w:val="0"/>
          <w:marBottom w:val="0"/>
          <w:divBdr>
            <w:top w:val="none" w:sz="0" w:space="0" w:color="auto"/>
            <w:left w:val="none" w:sz="0" w:space="0" w:color="auto"/>
            <w:bottom w:val="none" w:sz="0" w:space="0" w:color="auto"/>
            <w:right w:val="none" w:sz="0" w:space="0" w:color="auto"/>
          </w:divBdr>
        </w:div>
        <w:div w:id="1346861434">
          <w:marLeft w:val="0"/>
          <w:marRight w:val="0"/>
          <w:marTop w:val="0"/>
          <w:marBottom w:val="0"/>
          <w:divBdr>
            <w:top w:val="none" w:sz="0" w:space="0" w:color="auto"/>
            <w:left w:val="none" w:sz="0" w:space="0" w:color="auto"/>
            <w:bottom w:val="none" w:sz="0" w:space="0" w:color="auto"/>
            <w:right w:val="none" w:sz="0" w:space="0" w:color="auto"/>
          </w:divBdr>
        </w:div>
        <w:div w:id="1947542061">
          <w:marLeft w:val="0"/>
          <w:marRight w:val="0"/>
          <w:marTop w:val="0"/>
          <w:marBottom w:val="0"/>
          <w:divBdr>
            <w:top w:val="none" w:sz="0" w:space="0" w:color="auto"/>
            <w:left w:val="none" w:sz="0" w:space="0" w:color="auto"/>
            <w:bottom w:val="none" w:sz="0" w:space="0" w:color="auto"/>
            <w:right w:val="none" w:sz="0" w:space="0" w:color="auto"/>
          </w:divBdr>
        </w:div>
        <w:div w:id="868952732">
          <w:marLeft w:val="0"/>
          <w:marRight w:val="0"/>
          <w:marTop w:val="0"/>
          <w:marBottom w:val="0"/>
          <w:divBdr>
            <w:top w:val="none" w:sz="0" w:space="0" w:color="auto"/>
            <w:left w:val="none" w:sz="0" w:space="0" w:color="auto"/>
            <w:bottom w:val="none" w:sz="0" w:space="0" w:color="auto"/>
            <w:right w:val="none" w:sz="0" w:space="0" w:color="auto"/>
          </w:divBdr>
        </w:div>
        <w:div w:id="1029724481">
          <w:marLeft w:val="0"/>
          <w:marRight w:val="0"/>
          <w:marTop w:val="0"/>
          <w:marBottom w:val="0"/>
          <w:divBdr>
            <w:top w:val="none" w:sz="0" w:space="0" w:color="auto"/>
            <w:left w:val="none" w:sz="0" w:space="0" w:color="auto"/>
            <w:bottom w:val="none" w:sz="0" w:space="0" w:color="auto"/>
            <w:right w:val="none" w:sz="0" w:space="0" w:color="auto"/>
          </w:divBdr>
        </w:div>
        <w:div w:id="580871681">
          <w:marLeft w:val="0"/>
          <w:marRight w:val="0"/>
          <w:marTop w:val="0"/>
          <w:marBottom w:val="0"/>
          <w:divBdr>
            <w:top w:val="none" w:sz="0" w:space="0" w:color="auto"/>
            <w:left w:val="none" w:sz="0" w:space="0" w:color="auto"/>
            <w:bottom w:val="none" w:sz="0" w:space="0" w:color="auto"/>
            <w:right w:val="none" w:sz="0" w:space="0" w:color="auto"/>
          </w:divBdr>
        </w:div>
        <w:div w:id="1453475886">
          <w:marLeft w:val="0"/>
          <w:marRight w:val="0"/>
          <w:marTop w:val="0"/>
          <w:marBottom w:val="0"/>
          <w:divBdr>
            <w:top w:val="none" w:sz="0" w:space="0" w:color="auto"/>
            <w:left w:val="none" w:sz="0" w:space="0" w:color="auto"/>
            <w:bottom w:val="none" w:sz="0" w:space="0" w:color="auto"/>
            <w:right w:val="none" w:sz="0" w:space="0" w:color="auto"/>
          </w:divBdr>
        </w:div>
        <w:div w:id="931818518">
          <w:marLeft w:val="0"/>
          <w:marRight w:val="0"/>
          <w:marTop w:val="0"/>
          <w:marBottom w:val="0"/>
          <w:divBdr>
            <w:top w:val="none" w:sz="0" w:space="0" w:color="auto"/>
            <w:left w:val="none" w:sz="0" w:space="0" w:color="auto"/>
            <w:bottom w:val="none" w:sz="0" w:space="0" w:color="auto"/>
            <w:right w:val="none" w:sz="0" w:space="0" w:color="auto"/>
          </w:divBdr>
        </w:div>
        <w:div w:id="924151121">
          <w:marLeft w:val="0"/>
          <w:marRight w:val="0"/>
          <w:marTop w:val="0"/>
          <w:marBottom w:val="0"/>
          <w:divBdr>
            <w:top w:val="none" w:sz="0" w:space="0" w:color="auto"/>
            <w:left w:val="none" w:sz="0" w:space="0" w:color="auto"/>
            <w:bottom w:val="none" w:sz="0" w:space="0" w:color="auto"/>
            <w:right w:val="none" w:sz="0" w:space="0" w:color="auto"/>
          </w:divBdr>
        </w:div>
        <w:div w:id="1965650687">
          <w:marLeft w:val="0"/>
          <w:marRight w:val="0"/>
          <w:marTop w:val="0"/>
          <w:marBottom w:val="0"/>
          <w:divBdr>
            <w:top w:val="none" w:sz="0" w:space="0" w:color="auto"/>
            <w:left w:val="none" w:sz="0" w:space="0" w:color="auto"/>
            <w:bottom w:val="none" w:sz="0" w:space="0" w:color="auto"/>
            <w:right w:val="none" w:sz="0" w:space="0" w:color="auto"/>
          </w:divBdr>
        </w:div>
        <w:div w:id="1257246969">
          <w:marLeft w:val="0"/>
          <w:marRight w:val="0"/>
          <w:marTop w:val="0"/>
          <w:marBottom w:val="0"/>
          <w:divBdr>
            <w:top w:val="none" w:sz="0" w:space="0" w:color="auto"/>
            <w:left w:val="none" w:sz="0" w:space="0" w:color="auto"/>
            <w:bottom w:val="none" w:sz="0" w:space="0" w:color="auto"/>
            <w:right w:val="none" w:sz="0" w:space="0" w:color="auto"/>
          </w:divBdr>
        </w:div>
        <w:div w:id="698897210">
          <w:marLeft w:val="0"/>
          <w:marRight w:val="0"/>
          <w:marTop w:val="0"/>
          <w:marBottom w:val="0"/>
          <w:divBdr>
            <w:top w:val="none" w:sz="0" w:space="0" w:color="auto"/>
            <w:left w:val="none" w:sz="0" w:space="0" w:color="auto"/>
            <w:bottom w:val="none" w:sz="0" w:space="0" w:color="auto"/>
            <w:right w:val="none" w:sz="0" w:space="0" w:color="auto"/>
          </w:divBdr>
        </w:div>
        <w:div w:id="2137482676">
          <w:marLeft w:val="0"/>
          <w:marRight w:val="0"/>
          <w:marTop w:val="0"/>
          <w:marBottom w:val="0"/>
          <w:divBdr>
            <w:top w:val="none" w:sz="0" w:space="0" w:color="auto"/>
            <w:left w:val="none" w:sz="0" w:space="0" w:color="auto"/>
            <w:bottom w:val="none" w:sz="0" w:space="0" w:color="auto"/>
            <w:right w:val="none" w:sz="0" w:space="0" w:color="auto"/>
          </w:divBdr>
        </w:div>
        <w:div w:id="1119029010">
          <w:marLeft w:val="0"/>
          <w:marRight w:val="0"/>
          <w:marTop w:val="0"/>
          <w:marBottom w:val="0"/>
          <w:divBdr>
            <w:top w:val="none" w:sz="0" w:space="0" w:color="auto"/>
            <w:left w:val="none" w:sz="0" w:space="0" w:color="auto"/>
            <w:bottom w:val="none" w:sz="0" w:space="0" w:color="auto"/>
            <w:right w:val="none" w:sz="0" w:space="0" w:color="auto"/>
          </w:divBdr>
        </w:div>
        <w:div w:id="1400789582">
          <w:marLeft w:val="0"/>
          <w:marRight w:val="0"/>
          <w:marTop w:val="0"/>
          <w:marBottom w:val="0"/>
          <w:divBdr>
            <w:top w:val="none" w:sz="0" w:space="0" w:color="auto"/>
            <w:left w:val="none" w:sz="0" w:space="0" w:color="auto"/>
            <w:bottom w:val="none" w:sz="0" w:space="0" w:color="auto"/>
            <w:right w:val="none" w:sz="0" w:space="0" w:color="auto"/>
          </w:divBdr>
        </w:div>
        <w:div w:id="172115340">
          <w:marLeft w:val="0"/>
          <w:marRight w:val="0"/>
          <w:marTop w:val="0"/>
          <w:marBottom w:val="0"/>
          <w:divBdr>
            <w:top w:val="none" w:sz="0" w:space="0" w:color="auto"/>
            <w:left w:val="none" w:sz="0" w:space="0" w:color="auto"/>
            <w:bottom w:val="none" w:sz="0" w:space="0" w:color="auto"/>
            <w:right w:val="none" w:sz="0" w:space="0" w:color="auto"/>
          </w:divBdr>
        </w:div>
        <w:div w:id="855655214">
          <w:marLeft w:val="0"/>
          <w:marRight w:val="0"/>
          <w:marTop w:val="0"/>
          <w:marBottom w:val="0"/>
          <w:divBdr>
            <w:top w:val="none" w:sz="0" w:space="0" w:color="auto"/>
            <w:left w:val="none" w:sz="0" w:space="0" w:color="auto"/>
            <w:bottom w:val="none" w:sz="0" w:space="0" w:color="auto"/>
            <w:right w:val="none" w:sz="0" w:space="0" w:color="auto"/>
          </w:divBdr>
        </w:div>
        <w:div w:id="1723794920">
          <w:marLeft w:val="0"/>
          <w:marRight w:val="0"/>
          <w:marTop w:val="0"/>
          <w:marBottom w:val="0"/>
          <w:divBdr>
            <w:top w:val="none" w:sz="0" w:space="0" w:color="auto"/>
            <w:left w:val="none" w:sz="0" w:space="0" w:color="auto"/>
            <w:bottom w:val="none" w:sz="0" w:space="0" w:color="auto"/>
            <w:right w:val="none" w:sz="0" w:space="0" w:color="auto"/>
          </w:divBdr>
        </w:div>
        <w:div w:id="215316582">
          <w:marLeft w:val="0"/>
          <w:marRight w:val="0"/>
          <w:marTop w:val="0"/>
          <w:marBottom w:val="0"/>
          <w:divBdr>
            <w:top w:val="none" w:sz="0" w:space="0" w:color="auto"/>
            <w:left w:val="none" w:sz="0" w:space="0" w:color="auto"/>
            <w:bottom w:val="none" w:sz="0" w:space="0" w:color="auto"/>
            <w:right w:val="none" w:sz="0" w:space="0" w:color="auto"/>
          </w:divBdr>
        </w:div>
        <w:div w:id="76174492">
          <w:marLeft w:val="0"/>
          <w:marRight w:val="0"/>
          <w:marTop w:val="0"/>
          <w:marBottom w:val="0"/>
          <w:divBdr>
            <w:top w:val="none" w:sz="0" w:space="0" w:color="auto"/>
            <w:left w:val="none" w:sz="0" w:space="0" w:color="auto"/>
            <w:bottom w:val="none" w:sz="0" w:space="0" w:color="auto"/>
            <w:right w:val="none" w:sz="0" w:space="0" w:color="auto"/>
          </w:divBdr>
        </w:div>
        <w:div w:id="404185376">
          <w:marLeft w:val="0"/>
          <w:marRight w:val="0"/>
          <w:marTop w:val="0"/>
          <w:marBottom w:val="0"/>
          <w:divBdr>
            <w:top w:val="none" w:sz="0" w:space="0" w:color="auto"/>
            <w:left w:val="none" w:sz="0" w:space="0" w:color="auto"/>
            <w:bottom w:val="none" w:sz="0" w:space="0" w:color="auto"/>
            <w:right w:val="none" w:sz="0" w:space="0" w:color="auto"/>
          </w:divBdr>
        </w:div>
        <w:div w:id="747776500">
          <w:marLeft w:val="0"/>
          <w:marRight w:val="0"/>
          <w:marTop w:val="0"/>
          <w:marBottom w:val="0"/>
          <w:divBdr>
            <w:top w:val="none" w:sz="0" w:space="0" w:color="auto"/>
            <w:left w:val="none" w:sz="0" w:space="0" w:color="auto"/>
            <w:bottom w:val="none" w:sz="0" w:space="0" w:color="auto"/>
            <w:right w:val="none" w:sz="0" w:space="0" w:color="auto"/>
          </w:divBdr>
        </w:div>
        <w:div w:id="56825508">
          <w:marLeft w:val="0"/>
          <w:marRight w:val="0"/>
          <w:marTop w:val="0"/>
          <w:marBottom w:val="0"/>
          <w:divBdr>
            <w:top w:val="none" w:sz="0" w:space="0" w:color="auto"/>
            <w:left w:val="none" w:sz="0" w:space="0" w:color="auto"/>
            <w:bottom w:val="none" w:sz="0" w:space="0" w:color="auto"/>
            <w:right w:val="none" w:sz="0" w:space="0" w:color="auto"/>
          </w:divBdr>
        </w:div>
        <w:div w:id="632833809">
          <w:marLeft w:val="0"/>
          <w:marRight w:val="0"/>
          <w:marTop w:val="0"/>
          <w:marBottom w:val="0"/>
          <w:divBdr>
            <w:top w:val="none" w:sz="0" w:space="0" w:color="auto"/>
            <w:left w:val="none" w:sz="0" w:space="0" w:color="auto"/>
            <w:bottom w:val="none" w:sz="0" w:space="0" w:color="auto"/>
            <w:right w:val="none" w:sz="0" w:space="0" w:color="auto"/>
          </w:divBdr>
        </w:div>
        <w:div w:id="1894582797">
          <w:marLeft w:val="0"/>
          <w:marRight w:val="0"/>
          <w:marTop w:val="0"/>
          <w:marBottom w:val="0"/>
          <w:divBdr>
            <w:top w:val="none" w:sz="0" w:space="0" w:color="auto"/>
            <w:left w:val="none" w:sz="0" w:space="0" w:color="auto"/>
            <w:bottom w:val="none" w:sz="0" w:space="0" w:color="auto"/>
            <w:right w:val="none" w:sz="0" w:space="0" w:color="auto"/>
          </w:divBdr>
        </w:div>
        <w:div w:id="379548908">
          <w:marLeft w:val="0"/>
          <w:marRight w:val="0"/>
          <w:marTop w:val="0"/>
          <w:marBottom w:val="0"/>
          <w:divBdr>
            <w:top w:val="none" w:sz="0" w:space="0" w:color="auto"/>
            <w:left w:val="none" w:sz="0" w:space="0" w:color="auto"/>
            <w:bottom w:val="none" w:sz="0" w:space="0" w:color="auto"/>
            <w:right w:val="none" w:sz="0" w:space="0" w:color="auto"/>
          </w:divBdr>
        </w:div>
        <w:div w:id="599919408">
          <w:marLeft w:val="0"/>
          <w:marRight w:val="0"/>
          <w:marTop w:val="0"/>
          <w:marBottom w:val="0"/>
          <w:divBdr>
            <w:top w:val="none" w:sz="0" w:space="0" w:color="auto"/>
            <w:left w:val="none" w:sz="0" w:space="0" w:color="auto"/>
            <w:bottom w:val="none" w:sz="0" w:space="0" w:color="auto"/>
            <w:right w:val="none" w:sz="0" w:space="0" w:color="auto"/>
          </w:divBdr>
        </w:div>
        <w:div w:id="1248537528">
          <w:marLeft w:val="0"/>
          <w:marRight w:val="0"/>
          <w:marTop w:val="0"/>
          <w:marBottom w:val="0"/>
          <w:divBdr>
            <w:top w:val="none" w:sz="0" w:space="0" w:color="auto"/>
            <w:left w:val="none" w:sz="0" w:space="0" w:color="auto"/>
            <w:bottom w:val="none" w:sz="0" w:space="0" w:color="auto"/>
            <w:right w:val="none" w:sz="0" w:space="0" w:color="auto"/>
          </w:divBdr>
        </w:div>
        <w:div w:id="12643413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11574</Words>
  <Characters>65974</Characters>
  <Application>Microsoft Macintosh Word</Application>
  <DocSecurity>0</DocSecurity>
  <Lines>549</Lines>
  <Paragraphs>154</Paragraphs>
  <ScaleCrop>false</ScaleCrop>
  <Company/>
  <LinksUpToDate>false</LinksUpToDate>
  <CharactersWithSpaces>77394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yupeng Hong</dc:creator>
  <cp:keywords/>
  <dc:description/>
  <cp:lastModifiedBy>NA MA</cp:lastModifiedBy>
  <cp:revision>2</cp:revision>
  <dcterms:created xsi:type="dcterms:W3CDTF">2015-02-06T20:40:00Z</dcterms:created>
  <dcterms:modified xsi:type="dcterms:W3CDTF">2015-02-06T20:40:00Z</dcterms:modified>
</cp:coreProperties>
</file>