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2259E7" w14:textId="77777777" w:rsidR="002B302F" w:rsidRPr="00CD1426" w:rsidRDefault="002B302F" w:rsidP="00CD1426">
      <w:pPr>
        <w:spacing w:line="360" w:lineRule="auto"/>
        <w:jc w:val="both"/>
        <w:rPr>
          <w:rFonts w:ascii="Book Antiqua" w:hAnsi="Book Antiqua" w:cs="Arial"/>
          <w:b/>
          <w:lang w:val="en-US" w:eastAsia="zh-CN"/>
        </w:rPr>
      </w:pPr>
      <w:r w:rsidRPr="00CD1426">
        <w:rPr>
          <w:rFonts w:ascii="Book Antiqua" w:hAnsi="Book Antiqua" w:cs="Arial"/>
          <w:b/>
          <w:lang w:val="en-US" w:eastAsia="zh-CN"/>
        </w:rPr>
        <w:t xml:space="preserve">Name of journal: World Journal of </w:t>
      </w:r>
      <w:proofErr w:type="spellStart"/>
      <w:r w:rsidRPr="00CD1426">
        <w:rPr>
          <w:rFonts w:ascii="Book Antiqua" w:hAnsi="Book Antiqua" w:cs="Arial"/>
          <w:b/>
          <w:lang w:val="en-US" w:eastAsia="zh-CN"/>
        </w:rPr>
        <w:t>Hepatology</w:t>
      </w:r>
      <w:proofErr w:type="spellEnd"/>
    </w:p>
    <w:p w14:paraId="3DDFC5B7" w14:textId="77777777" w:rsidR="002B302F" w:rsidRPr="00CD1426" w:rsidRDefault="002B302F" w:rsidP="00CD1426">
      <w:pPr>
        <w:spacing w:line="360" w:lineRule="auto"/>
        <w:jc w:val="both"/>
        <w:rPr>
          <w:rFonts w:ascii="Book Antiqua" w:hAnsi="Book Antiqua" w:cs="Arial"/>
          <w:b/>
          <w:lang w:val="en-US" w:eastAsia="zh-CN"/>
        </w:rPr>
      </w:pPr>
      <w:r w:rsidRPr="00CD1426">
        <w:rPr>
          <w:rFonts w:ascii="Book Antiqua" w:hAnsi="Book Antiqua" w:cs="Arial"/>
          <w:b/>
          <w:lang w:val="en-US" w:eastAsia="zh-CN"/>
        </w:rPr>
        <w:t>ESPS Manuscript NO: 13651</w:t>
      </w:r>
    </w:p>
    <w:p w14:paraId="4CB0CC4E" w14:textId="1C273000" w:rsidR="002B302F" w:rsidRPr="00CD1426" w:rsidRDefault="002B302F" w:rsidP="00CD1426">
      <w:pPr>
        <w:spacing w:line="360" w:lineRule="auto"/>
        <w:jc w:val="both"/>
        <w:rPr>
          <w:rFonts w:ascii="Book Antiqua" w:hAnsi="Book Antiqua" w:cs="Arial"/>
          <w:b/>
          <w:lang w:val="en-US" w:eastAsia="zh-CN"/>
        </w:rPr>
      </w:pPr>
      <w:r w:rsidRPr="00CD1426">
        <w:rPr>
          <w:rFonts w:ascii="Book Antiqua" w:hAnsi="Book Antiqua" w:cs="Arial"/>
          <w:b/>
          <w:lang w:val="en-US" w:eastAsia="zh-CN"/>
        </w:rPr>
        <w:t xml:space="preserve">Columns: </w:t>
      </w:r>
      <w:r w:rsidR="00583D69">
        <w:rPr>
          <w:rFonts w:ascii="Book Antiqua" w:hAnsi="Book Antiqua" w:cs="Arial"/>
          <w:b/>
          <w:lang w:val="en-US" w:eastAsia="zh-CN"/>
        </w:rPr>
        <w:t>REVIEW</w:t>
      </w:r>
    </w:p>
    <w:p w14:paraId="09645855" w14:textId="77777777" w:rsidR="002B302F" w:rsidRPr="00CD1426" w:rsidRDefault="002B302F" w:rsidP="00CD1426">
      <w:pPr>
        <w:spacing w:line="360" w:lineRule="auto"/>
        <w:jc w:val="both"/>
        <w:rPr>
          <w:rFonts w:ascii="Book Antiqua" w:hAnsi="Book Antiqua" w:cs="Arial"/>
          <w:b/>
          <w:lang w:val="en-US" w:eastAsia="zh-CN"/>
        </w:rPr>
      </w:pPr>
    </w:p>
    <w:p w14:paraId="699D7265" w14:textId="77777777" w:rsidR="002B302F" w:rsidRPr="00CD1426" w:rsidRDefault="002B302F" w:rsidP="00CD1426">
      <w:pPr>
        <w:spacing w:line="360" w:lineRule="auto"/>
        <w:jc w:val="both"/>
        <w:rPr>
          <w:rFonts w:ascii="Book Antiqua" w:hAnsi="Book Antiqua" w:cs="Arial"/>
          <w:b/>
          <w:lang w:val="en-US" w:eastAsia="zh-CN"/>
        </w:rPr>
      </w:pPr>
      <w:r w:rsidRPr="00CD1426">
        <w:rPr>
          <w:rFonts w:ascii="Book Antiqua" w:hAnsi="Book Antiqua" w:cs="Arial"/>
          <w:b/>
          <w:lang w:val="en-US"/>
        </w:rPr>
        <w:t>Predictive factors associated with hepatitis C antiviral therapy response</w:t>
      </w:r>
    </w:p>
    <w:p w14:paraId="583A6B66" w14:textId="77777777" w:rsidR="002B302F" w:rsidRPr="00CD1426" w:rsidRDefault="002B302F" w:rsidP="00CD1426">
      <w:pPr>
        <w:spacing w:line="360" w:lineRule="auto"/>
        <w:jc w:val="both"/>
        <w:rPr>
          <w:rFonts w:ascii="Book Antiqua" w:hAnsi="Book Antiqua" w:cs="Arial"/>
          <w:b/>
          <w:lang w:val="en-US" w:eastAsia="zh-CN"/>
        </w:rPr>
      </w:pPr>
    </w:p>
    <w:p w14:paraId="543718AC" w14:textId="625A5896" w:rsidR="002B302F" w:rsidRPr="00CD1426" w:rsidRDefault="003521DC" w:rsidP="00CD1426">
      <w:pPr>
        <w:spacing w:line="360" w:lineRule="auto"/>
        <w:jc w:val="both"/>
        <w:rPr>
          <w:rFonts w:ascii="Book Antiqua" w:hAnsi="Book Antiqua" w:cs="Arial"/>
          <w:lang w:val="en-US"/>
        </w:rPr>
      </w:pPr>
      <w:r w:rsidRPr="00CD1426">
        <w:rPr>
          <w:rFonts w:ascii="Book Antiqua" w:hAnsi="Book Antiqua" w:cs="Arial"/>
          <w:noProof/>
        </w:rPr>
        <w:t>Cavalcante</w:t>
      </w:r>
      <w:r w:rsidRPr="00CD1426">
        <w:rPr>
          <w:rFonts w:ascii="Book Antiqua" w:hAnsi="Book Antiqua" w:cs="Arial"/>
          <w:lang w:val="en-US"/>
        </w:rPr>
        <w:t xml:space="preserve"> </w:t>
      </w:r>
      <w:r w:rsidRPr="00CD1426">
        <w:rPr>
          <w:rFonts w:ascii="Book Antiqua" w:hAnsi="Book Antiqua" w:cs="Arial"/>
          <w:lang w:val="en-US" w:eastAsia="zh-CN"/>
        </w:rPr>
        <w:t xml:space="preserve">LN </w:t>
      </w:r>
      <w:r w:rsidRPr="00CD1426">
        <w:rPr>
          <w:rFonts w:ascii="Book Antiqua" w:hAnsi="Book Antiqua" w:cs="Arial"/>
          <w:i/>
          <w:lang w:val="en-US" w:eastAsia="zh-CN"/>
        </w:rPr>
        <w:t>et a</w:t>
      </w:r>
      <w:r w:rsidRPr="000A26D2">
        <w:rPr>
          <w:rFonts w:ascii="Book Antiqua" w:hAnsi="Book Antiqua" w:cs="Arial"/>
          <w:i/>
          <w:lang w:val="en-US" w:eastAsia="zh-CN"/>
        </w:rPr>
        <w:t>l</w:t>
      </w:r>
      <w:r w:rsidRPr="00CD1426">
        <w:rPr>
          <w:rFonts w:ascii="Book Antiqua" w:hAnsi="Book Antiqua" w:cs="Arial"/>
          <w:lang w:val="en-US" w:eastAsia="zh-CN"/>
        </w:rPr>
        <w:t xml:space="preserve">. </w:t>
      </w:r>
      <w:r w:rsidR="002B302F" w:rsidRPr="00CD1426">
        <w:rPr>
          <w:rFonts w:ascii="Book Antiqua" w:hAnsi="Book Antiqua" w:cs="Arial"/>
          <w:lang w:val="en-US"/>
        </w:rPr>
        <w:t>Predictive factors of response</w:t>
      </w:r>
    </w:p>
    <w:p w14:paraId="60BA588C" w14:textId="77777777" w:rsidR="002B302F" w:rsidRPr="00CD1426" w:rsidRDefault="002B302F" w:rsidP="00CD1426">
      <w:pPr>
        <w:spacing w:line="360" w:lineRule="auto"/>
        <w:jc w:val="both"/>
        <w:rPr>
          <w:rFonts w:ascii="Book Antiqua" w:hAnsi="Book Antiqua" w:cs="Arial"/>
          <w:noProof/>
          <w:lang w:eastAsia="zh-CN"/>
        </w:rPr>
      </w:pPr>
    </w:p>
    <w:p w14:paraId="67E3D96F" w14:textId="24FD2443" w:rsidR="002B302F" w:rsidRPr="00CD1426" w:rsidRDefault="003521DC" w:rsidP="00CD1426">
      <w:pPr>
        <w:spacing w:line="360" w:lineRule="auto"/>
        <w:jc w:val="both"/>
        <w:rPr>
          <w:rFonts w:ascii="Book Antiqua" w:hAnsi="Book Antiqua" w:cs="Arial"/>
          <w:noProof/>
          <w:lang w:eastAsia="zh-CN"/>
        </w:rPr>
      </w:pPr>
      <w:r w:rsidRPr="00CD1426">
        <w:rPr>
          <w:rFonts w:ascii="Book Antiqua" w:hAnsi="Book Antiqua" w:cs="Arial"/>
          <w:noProof/>
        </w:rPr>
        <w:t>Lourianne Nascimento Cavalcante</w:t>
      </w:r>
      <w:r w:rsidR="002B302F" w:rsidRPr="00CD1426">
        <w:rPr>
          <w:rFonts w:ascii="Book Antiqua" w:hAnsi="Book Antiqua" w:cs="Arial"/>
          <w:noProof/>
        </w:rPr>
        <w:t>, André Castro Lyra</w:t>
      </w:r>
    </w:p>
    <w:p w14:paraId="2B196AB7" w14:textId="77777777" w:rsidR="002B302F" w:rsidRPr="00CD1426" w:rsidRDefault="002B302F" w:rsidP="00CD1426">
      <w:pPr>
        <w:spacing w:line="360" w:lineRule="auto"/>
        <w:jc w:val="both"/>
        <w:rPr>
          <w:rFonts w:ascii="Book Antiqua" w:hAnsi="Book Antiqua" w:cs="Arial"/>
          <w:noProof/>
        </w:rPr>
      </w:pPr>
    </w:p>
    <w:p w14:paraId="091FBDD5" w14:textId="7DBF4EAD" w:rsidR="002B302F" w:rsidRPr="00CD1426" w:rsidRDefault="003521DC" w:rsidP="00CD1426">
      <w:pPr>
        <w:spacing w:line="360" w:lineRule="auto"/>
        <w:jc w:val="both"/>
        <w:rPr>
          <w:rFonts w:ascii="Book Antiqua" w:hAnsi="Book Antiqua" w:cs="Arial"/>
          <w:noProof/>
          <w:lang w:eastAsia="zh-CN"/>
        </w:rPr>
      </w:pPr>
      <w:r w:rsidRPr="00CD1426">
        <w:rPr>
          <w:rFonts w:ascii="Book Antiqua" w:hAnsi="Book Antiqua" w:cs="Arial"/>
          <w:b/>
          <w:noProof/>
        </w:rPr>
        <w:t>Lourianne Nascimento Cavalcante, André Castro Lyra</w:t>
      </w:r>
      <w:r w:rsidRPr="00CD1426">
        <w:rPr>
          <w:rFonts w:ascii="Book Antiqua" w:hAnsi="Book Antiqua" w:cs="Arial"/>
          <w:b/>
          <w:noProof/>
          <w:lang w:eastAsia="zh-CN"/>
        </w:rPr>
        <w:t>,</w:t>
      </w:r>
      <w:r w:rsidRPr="00CD1426">
        <w:rPr>
          <w:rFonts w:ascii="Book Antiqua" w:hAnsi="Book Antiqua" w:cs="Arial"/>
          <w:noProof/>
          <w:lang w:eastAsia="zh-CN"/>
        </w:rPr>
        <w:t xml:space="preserve"> </w:t>
      </w:r>
      <w:r w:rsidR="002B302F" w:rsidRPr="00CD1426">
        <w:rPr>
          <w:rFonts w:ascii="Book Antiqua" w:hAnsi="Book Antiqua" w:cs="Arial"/>
          <w:noProof/>
        </w:rPr>
        <w:t>Hospital Sao Rafael – Gastro-Hepatology Service, Salvador- Bahia</w:t>
      </w:r>
      <w:r w:rsidRPr="00CD1426">
        <w:rPr>
          <w:rFonts w:ascii="Book Antiqua" w:hAnsi="Book Antiqua" w:cs="Arial"/>
          <w:noProof/>
          <w:lang w:eastAsia="zh-CN"/>
        </w:rPr>
        <w:t xml:space="preserve"> </w:t>
      </w:r>
      <w:r w:rsidRPr="00CD1426">
        <w:rPr>
          <w:rFonts w:ascii="Book Antiqua" w:hAnsi="Book Antiqua" w:cs="Arial"/>
          <w:shd w:val="clear" w:color="auto" w:fill="FFFFFF"/>
          <w:lang w:eastAsia="en-US"/>
        </w:rPr>
        <w:t>41253-190</w:t>
      </w:r>
      <w:r w:rsidR="002B302F" w:rsidRPr="00CD1426">
        <w:rPr>
          <w:rFonts w:ascii="Book Antiqua" w:hAnsi="Book Antiqua" w:cs="Arial"/>
          <w:noProof/>
        </w:rPr>
        <w:t>, Brazil</w:t>
      </w:r>
    </w:p>
    <w:p w14:paraId="2B2D0EE4" w14:textId="77777777" w:rsidR="003521DC" w:rsidRPr="00CD1426" w:rsidRDefault="003521DC" w:rsidP="00CD1426">
      <w:pPr>
        <w:spacing w:line="360" w:lineRule="auto"/>
        <w:jc w:val="both"/>
        <w:rPr>
          <w:rFonts w:ascii="Book Antiqua" w:hAnsi="Book Antiqua" w:cs="Arial"/>
          <w:noProof/>
          <w:lang w:eastAsia="zh-CN"/>
        </w:rPr>
      </w:pPr>
    </w:p>
    <w:p w14:paraId="21C25592" w14:textId="24514BDB" w:rsidR="002B302F" w:rsidRPr="00CD1426" w:rsidRDefault="003521DC" w:rsidP="00CD1426">
      <w:pPr>
        <w:spacing w:line="360" w:lineRule="auto"/>
        <w:jc w:val="both"/>
        <w:rPr>
          <w:rFonts w:ascii="Book Antiqua" w:hAnsi="Book Antiqua" w:cs="Arial"/>
          <w:b/>
          <w:noProof/>
          <w:lang w:val="en-US"/>
        </w:rPr>
      </w:pPr>
      <w:r w:rsidRPr="00CD1426">
        <w:rPr>
          <w:rFonts w:ascii="Book Antiqua" w:hAnsi="Book Antiqua" w:cs="Arial"/>
          <w:b/>
          <w:noProof/>
        </w:rPr>
        <w:t>André Castro Lyra</w:t>
      </w:r>
      <w:r w:rsidRPr="00CD1426">
        <w:rPr>
          <w:rFonts w:ascii="Book Antiqua" w:hAnsi="Book Antiqua" w:cs="Arial"/>
          <w:b/>
          <w:noProof/>
          <w:lang w:eastAsia="zh-CN"/>
        </w:rPr>
        <w:t>,</w:t>
      </w:r>
      <w:r w:rsidR="00CD1426" w:rsidRPr="00CD1426">
        <w:rPr>
          <w:rFonts w:ascii="Book Antiqua" w:hAnsi="Book Antiqua" w:cs="Arial"/>
          <w:noProof/>
          <w:lang w:val="en-US"/>
        </w:rPr>
        <w:t xml:space="preserve"> Department of Medicine,</w:t>
      </w:r>
      <w:r w:rsidR="002B302F" w:rsidRPr="00CD1426">
        <w:rPr>
          <w:rFonts w:ascii="Book Antiqua" w:hAnsi="Book Antiqua" w:cs="Arial"/>
          <w:noProof/>
          <w:lang w:val="en-US"/>
        </w:rPr>
        <w:t xml:space="preserve"> Federal University of Bahia</w:t>
      </w:r>
      <w:r w:rsidR="00CD1426" w:rsidRPr="00CD1426">
        <w:rPr>
          <w:rFonts w:ascii="Book Antiqua" w:hAnsi="Book Antiqua" w:cs="Arial"/>
          <w:noProof/>
          <w:lang w:val="en-US" w:eastAsia="zh-CN"/>
        </w:rPr>
        <w:t>,</w:t>
      </w:r>
      <w:r w:rsidR="002B302F" w:rsidRPr="00CD1426">
        <w:rPr>
          <w:rFonts w:ascii="Book Antiqua" w:hAnsi="Book Antiqua" w:cs="Arial"/>
          <w:noProof/>
          <w:lang w:val="en-US"/>
        </w:rPr>
        <w:t xml:space="preserve"> Salvador-Bahia</w:t>
      </w:r>
      <w:r w:rsidRPr="00CD1426">
        <w:rPr>
          <w:rFonts w:ascii="Book Antiqua" w:hAnsi="Book Antiqua" w:cs="Arial"/>
          <w:noProof/>
          <w:lang w:val="en-US" w:eastAsia="zh-CN"/>
        </w:rPr>
        <w:t xml:space="preserve"> </w:t>
      </w:r>
      <w:r w:rsidRPr="00CD1426">
        <w:rPr>
          <w:rFonts w:ascii="Book Antiqua" w:hAnsi="Book Antiqua" w:cs="Arial"/>
          <w:shd w:val="clear" w:color="auto" w:fill="FFFFFF"/>
          <w:lang w:eastAsia="en-US"/>
        </w:rPr>
        <w:t>41253-190</w:t>
      </w:r>
      <w:r w:rsidR="002B302F" w:rsidRPr="00CD1426">
        <w:rPr>
          <w:rFonts w:ascii="Book Antiqua" w:hAnsi="Book Antiqua" w:cs="Arial"/>
          <w:noProof/>
          <w:lang w:val="en-US"/>
        </w:rPr>
        <w:t>, Brazil</w:t>
      </w:r>
    </w:p>
    <w:p w14:paraId="37597691" w14:textId="77777777" w:rsidR="002B302F" w:rsidRPr="00CD1426" w:rsidRDefault="002B302F" w:rsidP="00CD1426">
      <w:pPr>
        <w:spacing w:line="360" w:lineRule="auto"/>
        <w:jc w:val="both"/>
        <w:rPr>
          <w:rFonts w:ascii="Book Antiqua" w:hAnsi="Book Antiqua" w:cs="Arial"/>
          <w:noProof/>
          <w:lang w:val="en-US" w:eastAsia="zh-CN"/>
        </w:rPr>
      </w:pPr>
    </w:p>
    <w:p w14:paraId="11CDE0B1" w14:textId="347E3CDA" w:rsidR="003521DC" w:rsidRPr="00CD1426" w:rsidRDefault="003521DC" w:rsidP="00CD1426">
      <w:pPr>
        <w:widowControl w:val="0"/>
        <w:autoSpaceDE w:val="0"/>
        <w:autoSpaceDN w:val="0"/>
        <w:adjustRightInd w:val="0"/>
        <w:spacing w:line="360" w:lineRule="auto"/>
        <w:jc w:val="both"/>
        <w:rPr>
          <w:rFonts w:ascii="Book Antiqua" w:hAnsi="Book Antiqua" w:cs="Arial"/>
          <w:noProof/>
          <w:lang w:val="en-US"/>
        </w:rPr>
      </w:pPr>
      <w:r w:rsidRPr="00CD1426">
        <w:rPr>
          <w:rFonts w:ascii="Book Antiqua" w:hAnsi="Book Antiqua" w:cs="Arial"/>
          <w:b/>
          <w:noProof/>
          <w:lang w:val="en-US"/>
        </w:rPr>
        <w:t>Author contributions:</w:t>
      </w:r>
      <w:r w:rsidRPr="00CD1426">
        <w:rPr>
          <w:rFonts w:ascii="Book Antiqua" w:hAnsi="Book Antiqua" w:cs="Arial"/>
          <w:noProof/>
          <w:lang w:val="en-US"/>
        </w:rPr>
        <w:t xml:space="preserve"> </w:t>
      </w:r>
      <w:r w:rsidR="00C04C74" w:rsidRPr="00CD1426">
        <w:rPr>
          <w:rFonts w:ascii="Book Antiqua" w:hAnsi="Book Antiqua" w:cs="Arial"/>
          <w:noProof/>
        </w:rPr>
        <w:t>Cavalcante</w:t>
      </w:r>
      <w:r w:rsidR="00C04C74" w:rsidRPr="00CD1426">
        <w:rPr>
          <w:rFonts w:ascii="Book Antiqua" w:hAnsi="Book Antiqua" w:cs="Arial"/>
          <w:lang w:val="en-US"/>
        </w:rPr>
        <w:t xml:space="preserve"> </w:t>
      </w:r>
      <w:r w:rsidR="00C04C74" w:rsidRPr="00CD1426">
        <w:rPr>
          <w:rFonts w:ascii="Book Antiqua" w:hAnsi="Book Antiqua" w:cs="Arial"/>
          <w:lang w:val="en-US" w:eastAsia="zh-CN"/>
        </w:rPr>
        <w:t>LN</w:t>
      </w:r>
      <w:r w:rsidR="00C04C74">
        <w:rPr>
          <w:rFonts w:ascii="Book Antiqua" w:hAnsi="Book Antiqua" w:cs="Arial" w:hint="eastAsia"/>
          <w:i/>
          <w:lang w:val="en-US" w:eastAsia="zh-CN"/>
        </w:rPr>
        <w:t xml:space="preserve"> </w:t>
      </w:r>
      <w:r w:rsidR="00C04C74" w:rsidRPr="00C04C74">
        <w:rPr>
          <w:rFonts w:ascii="Book Antiqua" w:hAnsi="Book Antiqua" w:cs="Arial" w:hint="eastAsia"/>
          <w:lang w:val="en-US" w:eastAsia="zh-CN"/>
        </w:rPr>
        <w:t>and</w:t>
      </w:r>
      <w:r w:rsidR="00C04C74" w:rsidRPr="00C04C74">
        <w:rPr>
          <w:rFonts w:ascii="Book Antiqua" w:hAnsi="Book Antiqua" w:cs="Arial"/>
          <w:lang w:val="en-US" w:eastAsia="zh-CN"/>
        </w:rPr>
        <w:t xml:space="preserve"> </w:t>
      </w:r>
      <w:r w:rsidR="00C04C74" w:rsidRPr="00CD1426">
        <w:rPr>
          <w:rFonts w:ascii="Book Antiqua" w:hAnsi="Book Antiqua" w:cs="Arial"/>
          <w:noProof/>
        </w:rPr>
        <w:t>Lyra</w:t>
      </w:r>
      <w:r w:rsidR="00C04C74" w:rsidRPr="00CD1426">
        <w:rPr>
          <w:rFonts w:ascii="Book Antiqua" w:hAnsi="Book Antiqua" w:cs="Arial"/>
          <w:noProof/>
          <w:lang w:eastAsia="zh-CN"/>
        </w:rPr>
        <w:t xml:space="preserve"> AC</w:t>
      </w:r>
      <w:r w:rsidRPr="00CD1426">
        <w:rPr>
          <w:rFonts w:ascii="Book Antiqua" w:hAnsi="Book Antiqua" w:cs="Arial"/>
          <w:noProof/>
          <w:lang w:val="en-US"/>
        </w:rPr>
        <w:t xml:space="preserve"> contributed equally to this work.</w:t>
      </w:r>
    </w:p>
    <w:p w14:paraId="7AA11C76" w14:textId="77777777" w:rsidR="003521DC" w:rsidRPr="00CD1426" w:rsidRDefault="003521DC" w:rsidP="00CD1426">
      <w:pPr>
        <w:spacing w:line="360" w:lineRule="auto"/>
        <w:jc w:val="both"/>
        <w:rPr>
          <w:rFonts w:ascii="Book Antiqua" w:hAnsi="Book Antiqua" w:cs="Arial"/>
          <w:noProof/>
          <w:lang w:val="en-US" w:eastAsia="zh-CN"/>
        </w:rPr>
      </w:pPr>
    </w:p>
    <w:p w14:paraId="086275AD" w14:textId="4449272B" w:rsidR="003521DC" w:rsidRPr="00CD1426" w:rsidRDefault="003521DC" w:rsidP="00CD1426">
      <w:pPr>
        <w:widowControl w:val="0"/>
        <w:autoSpaceDE w:val="0"/>
        <w:autoSpaceDN w:val="0"/>
        <w:adjustRightInd w:val="0"/>
        <w:spacing w:line="360" w:lineRule="auto"/>
        <w:jc w:val="both"/>
        <w:rPr>
          <w:rFonts w:ascii="Book Antiqua" w:hAnsi="Book Antiqua" w:cs="Arial"/>
          <w:b/>
          <w:noProof/>
          <w:lang w:val="en-US" w:eastAsia="zh-CN"/>
        </w:rPr>
      </w:pPr>
      <w:r w:rsidRPr="00CD1426">
        <w:rPr>
          <w:rFonts w:ascii="Book Antiqua" w:eastAsia="Times New Roman" w:hAnsi="Book Antiqua" w:cs="Gulim"/>
          <w:b/>
          <w:color w:val="000000"/>
        </w:rPr>
        <w:t>Conflict-of-interest</w:t>
      </w:r>
      <w:r w:rsidRPr="00CD1426">
        <w:rPr>
          <w:rFonts w:ascii="Book Antiqua" w:hAnsi="Book Antiqua" w:cs="Gulim"/>
          <w:b/>
          <w:color w:val="000000"/>
          <w:lang w:eastAsia="zh-CN"/>
        </w:rPr>
        <w:t xml:space="preserve">: </w:t>
      </w:r>
      <w:r w:rsidRPr="00CD1426">
        <w:rPr>
          <w:rFonts w:ascii="Book Antiqua" w:hAnsi="Book Antiqua" w:cs="Arial"/>
          <w:noProof/>
          <w:lang w:val="en-US"/>
        </w:rPr>
        <w:t>The authors have no conflict  of interest</w:t>
      </w:r>
      <w:r w:rsidRPr="00CD1426">
        <w:rPr>
          <w:rFonts w:ascii="Book Antiqua" w:hAnsi="Book Antiqua" w:cs="Arial"/>
          <w:noProof/>
          <w:lang w:val="en-US" w:eastAsia="zh-CN"/>
        </w:rPr>
        <w:t>.</w:t>
      </w:r>
    </w:p>
    <w:p w14:paraId="4AFA72DD" w14:textId="3F4D026A" w:rsidR="003521DC" w:rsidRPr="00CD1426" w:rsidRDefault="003521DC" w:rsidP="00CD1426">
      <w:pPr>
        <w:pStyle w:val="BodyTextIndent"/>
        <w:spacing w:after="0" w:line="360" w:lineRule="auto"/>
        <w:ind w:leftChars="0" w:left="0"/>
        <w:rPr>
          <w:rFonts w:cs="Gulim"/>
          <w:b/>
          <w:color w:val="000000"/>
          <w:sz w:val="24"/>
          <w:szCs w:val="24"/>
          <w:lang w:eastAsia="zh-CN"/>
        </w:rPr>
      </w:pPr>
      <w:r w:rsidRPr="00CD1426">
        <w:rPr>
          <w:rFonts w:eastAsia="Times New Roman" w:cs="Gulim"/>
          <w:b/>
          <w:color w:val="000000"/>
          <w:sz w:val="24"/>
          <w:szCs w:val="24"/>
        </w:rPr>
        <w:t xml:space="preserve"> </w:t>
      </w:r>
    </w:p>
    <w:p w14:paraId="051573A9" w14:textId="77777777" w:rsidR="003521DC" w:rsidRPr="00CD1426" w:rsidRDefault="003521DC" w:rsidP="00CD1426">
      <w:pPr>
        <w:spacing w:line="360" w:lineRule="auto"/>
        <w:jc w:val="both"/>
        <w:rPr>
          <w:rFonts w:ascii="Book Antiqua" w:hAnsi="Book Antiqua" w:cs="宋体"/>
          <w:color w:val="000000" w:themeColor="text1"/>
          <w:lang w:eastAsia="zh-CN"/>
        </w:rPr>
      </w:pPr>
      <w:bookmarkStart w:id="0" w:name="OLE_LINK507"/>
      <w:bookmarkStart w:id="1" w:name="OLE_LINK506"/>
      <w:bookmarkStart w:id="2" w:name="OLE_LINK496"/>
      <w:bookmarkStart w:id="3" w:name="OLE_LINK479"/>
      <w:r w:rsidRPr="00CD1426">
        <w:rPr>
          <w:rFonts w:ascii="Book Antiqua" w:hAnsi="Book Antiqua" w:cs="宋体"/>
          <w:b/>
          <w:color w:val="000000" w:themeColor="text1"/>
          <w:lang w:eastAsia="zh-CN"/>
        </w:rPr>
        <w:t xml:space="preserve">Open-Access: </w:t>
      </w:r>
      <w:r w:rsidRPr="00CD1426">
        <w:rPr>
          <w:rFonts w:ascii="Book Antiqua" w:hAnsi="Book Antiqua" w:cs="宋体"/>
          <w:color w:val="000000" w:themeColor="text1"/>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CD1426">
          <w:rPr>
            <w:rFonts w:ascii="Book Antiqua" w:hAnsi="Book Antiqua" w:cs="宋体"/>
            <w:color w:val="000000" w:themeColor="text1"/>
            <w:u w:val="single"/>
            <w:lang w:eastAsia="zh-CN"/>
          </w:rPr>
          <w:t>http://creativecommons.org/licenses/by-nc/4.0/</w:t>
        </w:r>
      </w:hyperlink>
      <w:bookmarkEnd w:id="0"/>
      <w:bookmarkEnd w:id="1"/>
      <w:bookmarkEnd w:id="2"/>
      <w:bookmarkEnd w:id="3"/>
    </w:p>
    <w:p w14:paraId="6640DDCE" w14:textId="77777777" w:rsidR="003521DC" w:rsidRPr="00CD1426" w:rsidRDefault="003521DC" w:rsidP="00CD1426">
      <w:pPr>
        <w:spacing w:line="360" w:lineRule="auto"/>
        <w:jc w:val="both"/>
        <w:rPr>
          <w:rFonts w:ascii="Book Antiqua" w:hAnsi="Book Antiqua" w:cs="Arial"/>
          <w:noProof/>
          <w:lang w:val="en-US" w:eastAsia="zh-CN"/>
        </w:rPr>
      </w:pPr>
    </w:p>
    <w:p w14:paraId="0470571B" w14:textId="6F250B06" w:rsidR="00CD1426" w:rsidRPr="00CD1426" w:rsidRDefault="002B302F" w:rsidP="00CD1426">
      <w:pPr>
        <w:spacing w:line="360" w:lineRule="auto"/>
        <w:jc w:val="both"/>
        <w:rPr>
          <w:rFonts w:ascii="Book Antiqua" w:hAnsi="Book Antiqua" w:cs="Arial"/>
          <w:b/>
          <w:noProof/>
          <w:lang w:val="en-US" w:eastAsia="zh-CN"/>
        </w:rPr>
      </w:pPr>
      <w:r w:rsidRPr="00CD1426">
        <w:rPr>
          <w:rFonts w:ascii="Book Antiqua" w:hAnsi="Book Antiqua" w:cs="Arial"/>
          <w:b/>
          <w:noProof/>
        </w:rPr>
        <w:t>Correspond</w:t>
      </w:r>
      <w:r w:rsidR="003521DC" w:rsidRPr="00CD1426">
        <w:rPr>
          <w:rFonts w:ascii="Book Antiqua" w:hAnsi="Book Antiqua" w:cs="Arial"/>
          <w:b/>
          <w:noProof/>
          <w:lang w:eastAsia="zh-CN"/>
        </w:rPr>
        <w:t xml:space="preserve">ence to: </w:t>
      </w:r>
      <w:r w:rsidRPr="00CD1426">
        <w:rPr>
          <w:rFonts w:ascii="Book Antiqua" w:hAnsi="Book Antiqua" w:cs="Arial"/>
          <w:b/>
          <w:noProof/>
        </w:rPr>
        <w:t>Lourianne Nascimento Cavalcante, MD</w:t>
      </w:r>
      <w:r w:rsidR="003521DC" w:rsidRPr="00CD1426">
        <w:rPr>
          <w:rFonts w:ascii="Book Antiqua" w:hAnsi="Book Antiqua" w:cs="Arial"/>
          <w:b/>
          <w:noProof/>
          <w:lang w:eastAsia="zh-CN"/>
        </w:rPr>
        <w:t>,</w:t>
      </w:r>
      <w:r w:rsidR="003521DC" w:rsidRPr="00CD1426">
        <w:rPr>
          <w:rFonts w:ascii="Book Antiqua" w:hAnsi="Book Antiqua" w:cs="Arial"/>
          <w:noProof/>
          <w:lang w:eastAsia="zh-CN"/>
        </w:rPr>
        <w:t xml:space="preserve"> </w:t>
      </w:r>
      <w:r w:rsidR="00CD1426" w:rsidRPr="00CD1426">
        <w:rPr>
          <w:rFonts w:ascii="Book Antiqua" w:hAnsi="Book Antiqua" w:cs="Arial"/>
          <w:noProof/>
          <w:lang w:val="en-US"/>
        </w:rPr>
        <w:t>Department of Medicine, Federal University of Bahia</w:t>
      </w:r>
      <w:r w:rsidR="00CD1426" w:rsidRPr="00CD1426">
        <w:rPr>
          <w:rFonts w:ascii="Book Antiqua" w:hAnsi="Book Antiqua" w:cs="Arial"/>
          <w:noProof/>
          <w:lang w:val="en-US" w:eastAsia="zh-CN"/>
        </w:rPr>
        <w:t>,</w:t>
      </w:r>
      <w:r w:rsidR="00CD1426" w:rsidRPr="00CD1426">
        <w:rPr>
          <w:rFonts w:ascii="Book Antiqua" w:hAnsi="Book Antiqua" w:cs="Arial"/>
          <w:noProof/>
          <w:lang w:val="en-US"/>
        </w:rPr>
        <w:t xml:space="preserve"> Salvador-Bahia</w:t>
      </w:r>
      <w:r w:rsidR="00CD1426" w:rsidRPr="00CD1426">
        <w:rPr>
          <w:rFonts w:ascii="Book Antiqua" w:hAnsi="Book Antiqua" w:cs="Arial"/>
          <w:noProof/>
          <w:lang w:val="en-US" w:eastAsia="zh-CN"/>
        </w:rPr>
        <w:t xml:space="preserve"> </w:t>
      </w:r>
      <w:r w:rsidR="00CD1426" w:rsidRPr="00CD1426">
        <w:rPr>
          <w:rFonts w:ascii="Book Antiqua" w:hAnsi="Book Antiqua" w:cs="Arial"/>
          <w:shd w:val="clear" w:color="auto" w:fill="FFFFFF"/>
          <w:lang w:eastAsia="en-US"/>
        </w:rPr>
        <w:t>41253-190</w:t>
      </w:r>
      <w:r w:rsidR="00CD1426" w:rsidRPr="00CD1426">
        <w:rPr>
          <w:rFonts w:ascii="Book Antiqua" w:hAnsi="Book Antiqua" w:cs="Arial"/>
          <w:noProof/>
          <w:lang w:val="en-US"/>
        </w:rPr>
        <w:t>, Brazil</w:t>
      </w:r>
      <w:r w:rsidR="00CD1426" w:rsidRPr="00CD1426">
        <w:rPr>
          <w:rFonts w:ascii="Book Antiqua" w:hAnsi="Book Antiqua" w:cs="Arial"/>
          <w:noProof/>
          <w:lang w:val="en-US" w:eastAsia="zh-CN"/>
        </w:rPr>
        <w:t xml:space="preserve">. </w:t>
      </w:r>
      <w:r w:rsidR="00CD1426" w:rsidRPr="00CD1426">
        <w:rPr>
          <w:rFonts w:ascii="Book Antiqua" w:hAnsi="Book Antiqua" w:cs="Arial"/>
          <w:noProof/>
        </w:rPr>
        <w:t>lourianne@gmail.com</w:t>
      </w:r>
    </w:p>
    <w:p w14:paraId="3F0D9494" w14:textId="77777777" w:rsidR="002B302F" w:rsidRPr="00CD1426" w:rsidRDefault="002B302F" w:rsidP="00CD1426">
      <w:pPr>
        <w:spacing w:line="360" w:lineRule="auto"/>
        <w:jc w:val="both"/>
        <w:rPr>
          <w:rFonts w:ascii="Book Antiqua" w:hAnsi="Book Antiqua" w:cs="Arial"/>
          <w:b/>
          <w:lang w:eastAsia="zh-CN"/>
        </w:rPr>
      </w:pPr>
    </w:p>
    <w:p w14:paraId="2A110AC5" w14:textId="420D1B25" w:rsidR="00CD1426" w:rsidRPr="00CD1426" w:rsidRDefault="00CD1426" w:rsidP="00CD1426">
      <w:pPr>
        <w:spacing w:line="360" w:lineRule="auto"/>
        <w:jc w:val="both"/>
        <w:rPr>
          <w:rFonts w:ascii="Book Antiqua" w:hAnsi="Book Antiqua"/>
          <w:lang w:eastAsia="zh-CN"/>
        </w:rPr>
      </w:pPr>
      <w:r w:rsidRPr="00CD1426">
        <w:rPr>
          <w:rFonts w:ascii="Book Antiqua" w:hAnsi="Book Antiqua"/>
          <w:b/>
        </w:rPr>
        <w:t>Telephone:</w:t>
      </w:r>
      <w:r w:rsidRPr="00CD1426">
        <w:rPr>
          <w:rFonts w:ascii="Book Antiqua" w:hAnsi="Book Antiqua"/>
          <w:b/>
          <w:lang w:eastAsia="zh-CN"/>
        </w:rPr>
        <w:t xml:space="preserve"> </w:t>
      </w:r>
      <w:r w:rsidRPr="00CD1426">
        <w:rPr>
          <w:rFonts w:ascii="Book Antiqua" w:hAnsi="Book Antiqua" w:cs="Arial"/>
          <w:noProof/>
        </w:rPr>
        <w:t>+55-71-32816432</w:t>
      </w:r>
      <w:r w:rsidRPr="00CD1426">
        <w:rPr>
          <w:rFonts w:ascii="Book Antiqua" w:hAnsi="Book Antiqua"/>
          <w:lang w:eastAsia="zh-CN"/>
        </w:rPr>
        <w:tab/>
      </w:r>
      <w:r w:rsidRPr="00CD1426">
        <w:rPr>
          <w:rFonts w:ascii="Book Antiqua" w:hAnsi="Book Antiqua"/>
          <w:lang w:eastAsia="zh-CN"/>
        </w:rPr>
        <w:tab/>
      </w:r>
    </w:p>
    <w:p w14:paraId="6AD6F2CB" w14:textId="0F2EFF63" w:rsidR="00CD1426" w:rsidRDefault="00CD1426" w:rsidP="00CD1426">
      <w:pPr>
        <w:spacing w:line="360" w:lineRule="auto"/>
        <w:jc w:val="both"/>
        <w:rPr>
          <w:rFonts w:ascii="Book Antiqua" w:hAnsi="Book Antiqua" w:cs="Arial"/>
          <w:noProof/>
          <w:lang w:val="en-US"/>
        </w:rPr>
      </w:pPr>
      <w:r w:rsidRPr="00CD1426">
        <w:rPr>
          <w:rFonts w:ascii="Book Antiqua" w:hAnsi="Book Antiqua"/>
          <w:b/>
        </w:rPr>
        <w:t>Fax:</w:t>
      </w:r>
      <w:r w:rsidRPr="00CD1426">
        <w:rPr>
          <w:rFonts w:ascii="Book Antiqua" w:hAnsi="Book Antiqua"/>
        </w:rPr>
        <w:t xml:space="preserve"> </w:t>
      </w:r>
      <w:r w:rsidRPr="00CD1426">
        <w:rPr>
          <w:rFonts w:ascii="Book Antiqua" w:hAnsi="Book Antiqua" w:cs="Arial"/>
          <w:noProof/>
          <w:lang w:val="en-US"/>
        </w:rPr>
        <w:t>+55-71-32816855</w:t>
      </w:r>
    </w:p>
    <w:p w14:paraId="3C71E76A" w14:textId="77777777" w:rsidR="00D51071" w:rsidRPr="00CD1426" w:rsidRDefault="00D51071" w:rsidP="00CD1426">
      <w:pPr>
        <w:spacing w:line="360" w:lineRule="auto"/>
        <w:jc w:val="both"/>
        <w:rPr>
          <w:rFonts w:ascii="Book Antiqua" w:hAnsi="Book Antiqua"/>
          <w:lang w:eastAsia="zh-CN"/>
        </w:rPr>
      </w:pPr>
    </w:p>
    <w:p w14:paraId="532D3DAC" w14:textId="44FD8626" w:rsidR="00CD1426" w:rsidRPr="00CD1426" w:rsidRDefault="00CD1426" w:rsidP="00CD1426">
      <w:pPr>
        <w:spacing w:line="360" w:lineRule="auto"/>
        <w:jc w:val="both"/>
        <w:rPr>
          <w:rFonts w:ascii="Book Antiqua" w:hAnsi="Book Antiqua"/>
          <w:b/>
          <w:lang w:eastAsia="zh-CN"/>
        </w:rPr>
      </w:pPr>
      <w:r w:rsidRPr="00CD1426">
        <w:rPr>
          <w:rFonts w:ascii="Book Antiqua" w:hAnsi="Book Antiqua"/>
          <w:b/>
        </w:rPr>
        <w:t xml:space="preserve">Received: </w:t>
      </w:r>
      <w:r w:rsidRPr="00CD1426">
        <w:rPr>
          <w:rFonts w:ascii="Book Antiqua" w:hAnsi="Book Antiqua"/>
          <w:lang w:eastAsia="zh-CN"/>
        </w:rPr>
        <w:t>August 28, 2014</w:t>
      </w:r>
    </w:p>
    <w:p w14:paraId="09A3C6EE" w14:textId="646BF71D" w:rsidR="00CD1426" w:rsidRPr="00CD1426" w:rsidRDefault="00CD1426" w:rsidP="00CD1426">
      <w:pPr>
        <w:spacing w:line="360" w:lineRule="auto"/>
        <w:jc w:val="both"/>
        <w:rPr>
          <w:rFonts w:ascii="Book Antiqua" w:hAnsi="Book Antiqua"/>
          <w:b/>
          <w:lang w:eastAsia="zh-CN"/>
        </w:rPr>
      </w:pPr>
      <w:r w:rsidRPr="00CD1426">
        <w:rPr>
          <w:rFonts w:ascii="Book Antiqua" w:hAnsi="Book Antiqua"/>
          <w:b/>
        </w:rPr>
        <w:t>Peer-review started:</w:t>
      </w:r>
      <w:r w:rsidRPr="00CD1426">
        <w:rPr>
          <w:rFonts w:ascii="Book Antiqua" w:hAnsi="Book Antiqua"/>
          <w:b/>
          <w:lang w:eastAsia="zh-CN"/>
        </w:rPr>
        <w:t xml:space="preserve"> </w:t>
      </w:r>
      <w:r w:rsidRPr="00CD1426">
        <w:rPr>
          <w:rFonts w:ascii="Book Antiqua" w:hAnsi="Book Antiqua"/>
          <w:lang w:eastAsia="zh-CN"/>
        </w:rPr>
        <w:t>August 29, 2014</w:t>
      </w:r>
    </w:p>
    <w:p w14:paraId="6B134AF6" w14:textId="1245120D" w:rsidR="00CD1426" w:rsidRPr="00CD1426" w:rsidRDefault="00CD1426" w:rsidP="00CD1426">
      <w:pPr>
        <w:spacing w:line="360" w:lineRule="auto"/>
        <w:jc w:val="both"/>
        <w:rPr>
          <w:rFonts w:ascii="Book Antiqua" w:hAnsi="Book Antiqua"/>
          <w:lang w:eastAsia="zh-CN"/>
        </w:rPr>
      </w:pPr>
      <w:r w:rsidRPr="00CD1426">
        <w:rPr>
          <w:rFonts w:ascii="Book Antiqua" w:hAnsi="Book Antiqua"/>
          <w:b/>
        </w:rPr>
        <w:t>First decision:</w:t>
      </w:r>
      <w:r w:rsidRPr="00CD1426">
        <w:rPr>
          <w:rFonts w:ascii="Book Antiqua" w:hAnsi="Book Antiqua"/>
          <w:b/>
          <w:lang w:eastAsia="zh-CN"/>
        </w:rPr>
        <w:t xml:space="preserve"> </w:t>
      </w:r>
      <w:r w:rsidRPr="00CD1426">
        <w:rPr>
          <w:rFonts w:ascii="Book Antiqua" w:hAnsi="Book Antiqua"/>
          <w:lang w:eastAsia="zh-CN"/>
        </w:rPr>
        <w:t>November 14, 2014</w:t>
      </w:r>
    </w:p>
    <w:p w14:paraId="5E2FA98A" w14:textId="368B1F85" w:rsidR="00CD1426" w:rsidRPr="00CD1426" w:rsidRDefault="00CD1426" w:rsidP="00CD1426">
      <w:pPr>
        <w:spacing w:line="360" w:lineRule="auto"/>
        <w:jc w:val="both"/>
        <w:rPr>
          <w:rFonts w:ascii="Book Antiqua" w:hAnsi="Book Antiqua"/>
          <w:lang w:eastAsia="zh-CN"/>
        </w:rPr>
      </w:pPr>
      <w:r w:rsidRPr="00CD1426">
        <w:rPr>
          <w:rFonts w:ascii="Book Antiqua" w:hAnsi="Book Antiqua"/>
          <w:b/>
        </w:rPr>
        <w:t xml:space="preserve">Revised: </w:t>
      </w:r>
      <w:r w:rsidRPr="00CD1426">
        <w:rPr>
          <w:rFonts w:ascii="Book Antiqua" w:hAnsi="Book Antiqua"/>
          <w:lang w:eastAsia="zh-CN"/>
        </w:rPr>
        <w:t>December 16, 2014</w:t>
      </w:r>
    </w:p>
    <w:p w14:paraId="6587FBCE" w14:textId="0FF4C68E" w:rsidR="00CD1426" w:rsidRPr="00CD1426" w:rsidRDefault="00D51071" w:rsidP="00CD1426">
      <w:pPr>
        <w:spacing w:line="360" w:lineRule="auto"/>
        <w:jc w:val="both"/>
        <w:rPr>
          <w:rFonts w:ascii="Book Antiqua" w:hAnsi="Book Antiqua"/>
          <w:b/>
        </w:rPr>
      </w:pPr>
      <w:proofErr w:type="spellStart"/>
      <w:r>
        <w:rPr>
          <w:rFonts w:ascii="Book Antiqua" w:hAnsi="Book Antiqua"/>
          <w:b/>
        </w:rPr>
        <w:t>Accepted</w:t>
      </w:r>
      <w:proofErr w:type="spellEnd"/>
      <w:r>
        <w:rPr>
          <w:rFonts w:ascii="Book Antiqua" w:hAnsi="Book Antiqua"/>
          <w:b/>
        </w:rPr>
        <w:t xml:space="preserve">: </w:t>
      </w:r>
      <w:r w:rsidRPr="00D51071">
        <w:rPr>
          <w:rFonts w:ascii="Book Antiqua" w:hAnsi="Book Antiqua"/>
        </w:rPr>
        <w:t>May 5, 2015</w:t>
      </w:r>
    </w:p>
    <w:p w14:paraId="2CD40486" w14:textId="77777777" w:rsidR="00CD1426" w:rsidRPr="00CD1426" w:rsidRDefault="00CD1426" w:rsidP="00CD1426">
      <w:pPr>
        <w:spacing w:line="360" w:lineRule="auto"/>
        <w:jc w:val="both"/>
        <w:rPr>
          <w:rFonts w:ascii="Book Antiqua" w:hAnsi="Book Antiqua"/>
          <w:b/>
        </w:rPr>
      </w:pPr>
      <w:r w:rsidRPr="00CD1426">
        <w:rPr>
          <w:rFonts w:ascii="Book Antiqua" w:hAnsi="Book Antiqua"/>
          <w:b/>
        </w:rPr>
        <w:t>Article in press:</w:t>
      </w:r>
    </w:p>
    <w:p w14:paraId="5CBE57BA" w14:textId="77777777" w:rsidR="00CD1426" w:rsidRPr="00CD1426" w:rsidRDefault="00CD1426" w:rsidP="00CD1426">
      <w:pPr>
        <w:spacing w:line="360" w:lineRule="auto"/>
        <w:jc w:val="both"/>
        <w:rPr>
          <w:rFonts w:ascii="Book Antiqua" w:hAnsi="Book Antiqua"/>
          <w:b/>
        </w:rPr>
      </w:pPr>
      <w:r w:rsidRPr="00CD1426">
        <w:rPr>
          <w:rFonts w:ascii="Book Antiqua" w:hAnsi="Book Antiqua"/>
          <w:b/>
        </w:rPr>
        <w:t xml:space="preserve">Published online: </w:t>
      </w:r>
    </w:p>
    <w:p w14:paraId="5C10AFD5" w14:textId="77777777" w:rsidR="002B302F" w:rsidRPr="00CD1426" w:rsidRDefault="002B302F" w:rsidP="00CD1426">
      <w:pPr>
        <w:spacing w:line="360" w:lineRule="auto"/>
        <w:jc w:val="both"/>
        <w:rPr>
          <w:rFonts w:ascii="Book Antiqua" w:hAnsi="Book Antiqua" w:cs="Arial"/>
          <w:b/>
          <w:lang w:val="en-US" w:eastAsia="zh-CN"/>
        </w:rPr>
      </w:pPr>
    </w:p>
    <w:p w14:paraId="073671EC" w14:textId="2D56941A" w:rsidR="002B302F" w:rsidRPr="00CD1426" w:rsidRDefault="003521DC" w:rsidP="00CD1426">
      <w:pPr>
        <w:spacing w:line="360" w:lineRule="auto"/>
        <w:jc w:val="both"/>
        <w:rPr>
          <w:rFonts w:ascii="Book Antiqua" w:hAnsi="Book Antiqua" w:cs="P¯øªv„"/>
          <w:lang w:val="en-US" w:eastAsia="en-US"/>
        </w:rPr>
      </w:pPr>
      <w:r w:rsidRPr="00CD1426">
        <w:rPr>
          <w:rFonts w:ascii="Book Antiqua" w:hAnsi="Book Antiqua" w:cs="Arial"/>
          <w:b/>
          <w:lang w:val="en-US"/>
        </w:rPr>
        <w:t>Abstract</w:t>
      </w:r>
    </w:p>
    <w:p w14:paraId="4EBD21A8" w14:textId="0628023B" w:rsidR="002B302F" w:rsidRPr="00CD1426" w:rsidRDefault="002B6A1A" w:rsidP="00CD1426">
      <w:pPr>
        <w:spacing w:line="360" w:lineRule="auto"/>
        <w:jc w:val="both"/>
        <w:rPr>
          <w:rFonts w:ascii="Book Antiqua" w:hAnsi="Book Antiqua" w:cs="Arial"/>
          <w:lang w:val="en-US" w:eastAsia="zh-CN"/>
        </w:rPr>
      </w:pPr>
      <w:r w:rsidRPr="00CD1426">
        <w:rPr>
          <w:rFonts w:ascii="Book Antiqua" w:hAnsi="Book Antiqua" w:cs="Arial"/>
          <w:lang w:val="en-US"/>
        </w:rPr>
        <w:t>Hepatitis C virus (HCV)</w:t>
      </w:r>
      <w:r>
        <w:rPr>
          <w:rFonts w:ascii="Book Antiqua" w:hAnsi="Book Antiqua" w:cs="Arial" w:hint="eastAsia"/>
          <w:lang w:val="en-US" w:eastAsia="zh-CN"/>
        </w:rPr>
        <w:t xml:space="preserve"> </w:t>
      </w:r>
      <w:r w:rsidR="002B302F" w:rsidRPr="00CD1426">
        <w:rPr>
          <w:rFonts w:ascii="Book Antiqua" w:hAnsi="Book Antiqua" w:cs="Arial"/>
          <w:lang w:val="en-US"/>
        </w:rPr>
        <w:t xml:space="preserve">infection may lead to significant liver injury, and viral, environmental, host, immunologic and genetic factors may contribute to the differences in the disease expression and treatment response. In the early 2000s, dual therapy using a combination of </w:t>
      </w:r>
      <w:proofErr w:type="spellStart"/>
      <w:r w:rsidR="002B302F" w:rsidRPr="00CD1426">
        <w:rPr>
          <w:rFonts w:ascii="Book Antiqua" w:hAnsi="Book Antiqua" w:cs="Arial"/>
          <w:lang w:val="en-US"/>
        </w:rPr>
        <w:t>pegylated</w:t>
      </w:r>
      <w:proofErr w:type="spellEnd"/>
      <w:r w:rsidR="002B302F" w:rsidRPr="00CD1426">
        <w:rPr>
          <w:rFonts w:ascii="Book Antiqua" w:hAnsi="Book Antiqua" w:cs="Arial"/>
          <w:lang w:val="en-US"/>
        </w:rPr>
        <w:t xml:space="preserve"> interferon plus ribavirin (PR) became the standard of care for HCV treatment. In this PR era, predictive factors of therapy response related to virus and host have been identified. In 2010/2011, therapeutic regimens for HCV genotype 1 patients were modified, and the addition of NS3/4a protease inhibitors (</w:t>
      </w:r>
      <w:proofErr w:type="spellStart"/>
      <w:r w:rsidR="002B302F" w:rsidRPr="00CD1426">
        <w:rPr>
          <w:rFonts w:ascii="Book Antiqua" w:hAnsi="Book Antiqua" w:cs="Arial"/>
          <w:lang w:val="en-US"/>
        </w:rPr>
        <w:t>boceprevir</w:t>
      </w:r>
      <w:proofErr w:type="spellEnd"/>
      <w:r w:rsidR="002B302F" w:rsidRPr="00CD1426">
        <w:rPr>
          <w:rFonts w:ascii="Book Antiqua" w:hAnsi="Book Antiqua" w:cs="Arial"/>
          <w:lang w:val="en-US"/>
        </w:rPr>
        <w:t xml:space="preserve"> or </w:t>
      </w:r>
      <w:proofErr w:type="spellStart"/>
      <w:r w:rsidR="002B302F" w:rsidRPr="00CD1426">
        <w:rPr>
          <w:rFonts w:ascii="Book Antiqua" w:hAnsi="Book Antiqua" w:cs="Arial"/>
          <w:lang w:val="en-US"/>
        </w:rPr>
        <w:t>telaprevir</w:t>
      </w:r>
      <w:proofErr w:type="spellEnd"/>
      <w:r w:rsidR="002B302F" w:rsidRPr="00CD1426">
        <w:rPr>
          <w:rFonts w:ascii="Book Antiqua" w:hAnsi="Book Antiqua" w:cs="Arial"/>
          <w:lang w:val="en-US"/>
        </w:rPr>
        <w:t xml:space="preserve">) to dual therapy increased the effectiveness and chances of sustained </w:t>
      </w:r>
      <w:proofErr w:type="spellStart"/>
      <w:r w:rsidR="002B302F" w:rsidRPr="00CD1426">
        <w:rPr>
          <w:rFonts w:ascii="Book Antiqua" w:hAnsi="Book Antiqua" w:cs="Arial"/>
          <w:lang w:val="en-US"/>
        </w:rPr>
        <w:t>virologic</w:t>
      </w:r>
      <w:proofErr w:type="spellEnd"/>
      <w:r w:rsidR="002B302F" w:rsidRPr="00CD1426">
        <w:rPr>
          <w:rFonts w:ascii="Book Antiqua" w:hAnsi="Book Antiqua" w:cs="Arial"/>
          <w:lang w:val="en-US"/>
        </w:rPr>
        <w:t xml:space="preserve"> response (SVR). Nevertheless, the first-generation triple therapy is associated with many adverse events, some of which are serious and associated with death, particularly in cirrhotic patients. This led to the need to identify viral and host predictive factors that might influence the SVR rate to triple therapy and avoid unnecessary exposure to these drugs. Over the past four years, </w:t>
      </w:r>
      <w:r w:rsidR="002B302F" w:rsidRPr="00CD1426">
        <w:rPr>
          <w:rStyle w:val="Strong"/>
          <w:rFonts w:ascii="Book Antiqua" w:hAnsi="Book Antiqua" w:cs="Arial"/>
          <w:b w:val="0"/>
          <w:bdr w:val="none" w:sz="0" w:space="0" w:color="auto" w:frame="1"/>
          <w:lang w:val="en-US"/>
        </w:rPr>
        <w:t>hepatitis C treatment has been rapidly changing with the development of new therapies and other developments.</w:t>
      </w:r>
      <w:r w:rsidR="002B302F" w:rsidRPr="00CD1426">
        <w:rPr>
          <w:rStyle w:val="Strong"/>
          <w:rFonts w:ascii="Book Antiqua" w:hAnsi="Book Antiqua" w:cs="Arial"/>
          <w:bdr w:val="none" w:sz="0" w:space="0" w:color="auto" w:frame="1"/>
          <w:lang w:val="en-US"/>
        </w:rPr>
        <w:t xml:space="preserve"> </w:t>
      </w:r>
      <w:r w:rsidR="002B302F" w:rsidRPr="00CD1426">
        <w:rPr>
          <w:rFonts w:ascii="Book Antiqua" w:hAnsi="Book Antiqua" w:cs="Arial"/>
          <w:lang w:val="en-US"/>
        </w:rPr>
        <w:t xml:space="preserve">Currently, with the more recent generations of </w:t>
      </w:r>
      <w:proofErr w:type="spellStart"/>
      <w:r w:rsidR="002B302F" w:rsidRPr="00CD1426">
        <w:rPr>
          <w:rFonts w:ascii="Book Antiqua" w:hAnsi="Book Antiqua" w:cs="Arial"/>
          <w:lang w:val="en-US"/>
        </w:rPr>
        <w:t>pangenotipic</w:t>
      </w:r>
      <w:proofErr w:type="spellEnd"/>
      <w:r w:rsidR="002B302F" w:rsidRPr="00CD1426">
        <w:rPr>
          <w:rFonts w:ascii="Book Antiqua" w:hAnsi="Book Antiqua" w:cs="Arial"/>
          <w:lang w:val="en-US"/>
        </w:rPr>
        <w:t xml:space="preserve"> antiviral therapies, there have been higher sustained </w:t>
      </w:r>
      <w:proofErr w:type="spellStart"/>
      <w:r w:rsidR="002B302F" w:rsidRPr="00CD1426">
        <w:rPr>
          <w:rFonts w:ascii="Book Antiqua" w:hAnsi="Book Antiqua" w:cs="Arial"/>
          <w:lang w:val="en-US"/>
        </w:rPr>
        <w:t>virologic</w:t>
      </w:r>
      <w:proofErr w:type="spellEnd"/>
      <w:r w:rsidR="002B302F" w:rsidRPr="00CD1426">
        <w:rPr>
          <w:rFonts w:ascii="Book Antiqua" w:hAnsi="Book Antiqua" w:cs="Arial"/>
          <w:lang w:val="en-US"/>
        </w:rPr>
        <w:t xml:space="preserve"> rates, and prognostic factors may not have the same importance and strength as before. </w:t>
      </w:r>
      <w:r w:rsidR="002B302F" w:rsidRPr="00CD1426">
        <w:rPr>
          <w:rFonts w:ascii="Book Antiqua" w:hAnsi="Book Antiqua" w:cs="Arial"/>
          <w:bCs/>
          <w:lang w:val="en-US"/>
        </w:rPr>
        <w:t xml:space="preserve">Nonetheless, some variables may still be </w:t>
      </w:r>
      <w:r w:rsidR="002B302F" w:rsidRPr="00CD1426">
        <w:rPr>
          <w:rFonts w:ascii="Book Antiqua" w:hAnsi="Book Antiqua" w:cs="Arial"/>
          <w:bCs/>
          <w:lang w:val="en-US"/>
        </w:rPr>
        <w:lastRenderedPageBreak/>
        <w:t xml:space="preserve">consistent with the low rates of non-response with regimens that include </w:t>
      </w:r>
      <w:proofErr w:type="spellStart"/>
      <w:r w:rsidR="002B302F" w:rsidRPr="00CD1426">
        <w:rPr>
          <w:rFonts w:ascii="Book Antiqua" w:hAnsi="Book Antiqua" w:cs="Arial"/>
          <w:bCs/>
          <w:lang w:val="en-US"/>
        </w:rPr>
        <w:t>Sofosbubir</w:t>
      </w:r>
      <w:proofErr w:type="spellEnd"/>
      <w:r w:rsidR="002B302F" w:rsidRPr="00CD1426">
        <w:rPr>
          <w:rFonts w:ascii="Book Antiqua" w:hAnsi="Book Antiqua" w:cs="Arial"/>
          <w:bCs/>
          <w:lang w:val="en-US"/>
        </w:rPr>
        <w:t xml:space="preserve">, </w:t>
      </w:r>
      <w:proofErr w:type="spellStart"/>
      <w:r w:rsidR="002B302F" w:rsidRPr="00CD1426">
        <w:rPr>
          <w:rFonts w:ascii="Book Antiqua" w:hAnsi="Book Antiqua" w:cs="Arial"/>
          <w:bCs/>
          <w:lang w:val="en-US"/>
        </w:rPr>
        <w:t>Daclatasvir</w:t>
      </w:r>
      <w:proofErr w:type="spellEnd"/>
      <w:r w:rsidR="002B302F" w:rsidRPr="00CD1426">
        <w:rPr>
          <w:rFonts w:ascii="Book Antiqua" w:hAnsi="Book Antiqua" w:cs="Arial"/>
          <w:bCs/>
          <w:lang w:val="en-US"/>
        </w:rPr>
        <w:t xml:space="preserve"> and </w:t>
      </w:r>
      <w:proofErr w:type="spellStart"/>
      <w:r w:rsidR="002B302F" w:rsidRPr="00CD1426">
        <w:rPr>
          <w:rFonts w:ascii="Book Antiqua" w:hAnsi="Book Antiqua" w:cs="Arial"/>
          <w:bCs/>
          <w:lang w:val="en-US"/>
        </w:rPr>
        <w:t>Ledipasvir</w:t>
      </w:r>
      <w:proofErr w:type="spellEnd"/>
      <w:r w:rsidR="002B302F" w:rsidRPr="00CD1426">
        <w:rPr>
          <w:rFonts w:ascii="Book Antiqua" w:hAnsi="Book Antiqua" w:cs="Arial"/>
          <w:bCs/>
          <w:lang w:val="en-US"/>
        </w:rPr>
        <w:t xml:space="preserve">. </w:t>
      </w:r>
      <w:r w:rsidR="002B302F" w:rsidRPr="00CD1426">
        <w:rPr>
          <w:rFonts w:ascii="Book Antiqua" w:hAnsi="Book Antiqua" w:cs="Arial"/>
          <w:lang w:val="en-US"/>
        </w:rPr>
        <w:t xml:space="preserve">In this manuscript, we review the predictive factors of therapy response across the different treatment regimens over the last decade including the new antiviral drugs. </w:t>
      </w:r>
    </w:p>
    <w:p w14:paraId="7D9E3389" w14:textId="77777777" w:rsidR="003521DC" w:rsidRPr="00CD1426" w:rsidRDefault="003521DC" w:rsidP="00CD1426">
      <w:pPr>
        <w:spacing w:line="360" w:lineRule="auto"/>
        <w:jc w:val="both"/>
        <w:rPr>
          <w:rFonts w:ascii="Book Antiqua" w:hAnsi="Book Antiqua" w:cs="Arial"/>
          <w:lang w:val="en-US" w:eastAsia="zh-CN"/>
        </w:rPr>
      </w:pPr>
    </w:p>
    <w:p w14:paraId="48C10957" w14:textId="14D57C97" w:rsidR="002B302F" w:rsidRPr="00CD1426" w:rsidRDefault="002B302F" w:rsidP="00CD1426">
      <w:pPr>
        <w:widowControl w:val="0"/>
        <w:autoSpaceDE w:val="0"/>
        <w:autoSpaceDN w:val="0"/>
        <w:adjustRightInd w:val="0"/>
        <w:spacing w:line="360" w:lineRule="auto"/>
        <w:jc w:val="both"/>
        <w:rPr>
          <w:rFonts w:ascii="Book Antiqua" w:hAnsi="Book Antiqua" w:cs="Arial"/>
          <w:lang w:val="en-US"/>
        </w:rPr>
      </w:pPr>
      <w:r w:rsidRPr="00CD1426">
        <w:rPr>
          <w:rFonts w:ascii="Book Antiqua" w:hAnsi="Book Antiqua" w:cs="Arial"/>
          <w:b/>
          <w:lang w:val="en-US"/>
        </w:rPr>
        <w:t>Key</w:t>
      </w:r>
      <w:r w:rsidR="003521DC" w:rsidRPr="00CD1426">
        <w:rPr>
          <w:rFonts w:ascii="Book Antiqua" w:hAnsi="Book Antiqua" w:cs="Arial"/>
          <w:b/>
          <w:lang w:val="en-US" w:eastAsia="zh-CN"/>
        </w:rPr>
        <w:t xml:space="preserve"> </w:t>
      </w:r>
      <w:r w:rsidRPr="00CD1426">
        <w:rPr>
          <w:rFonts w:ascii="Book Antiqua" w:hAnsi="Book Antiqua" w:cs="Arial"/>
          <w:b/>
          <w:lang w:val="en-US"/>
        </w:rPr>
        <w:t xml:space="preserve">words: </w:t>
      </w:r>
      <w:r w:rsidR="003521DC" w:rsidRPr="00CD1426">
        <w:rPr>
          <w:rFonts w:ascii="Book Antiqua" w:hAnsi="Book Antiqua" w:cs="Arial"/>
          <w:lang w:val="en-US"/>
        </w:rPr>
        <w:t xml:space="preserve">Hepatitis </w:t>
      </w:r>
      <w:r w:rsidRPr="00CD1426">
        <w:rPr>
          <w:rFonts w:ascii="Book Antiqua" w:hAnsi="Book Antiqua" w:cs="Arial"/>
          <w:lang w:val="en-US"/>
        </w:rPr>
        <w:t>C</w:t>
      </w:r>
      <w:r w:rsidR="003521DC" w:rsidRPr="00CD1426">
        <w:rPr>
          <w:rFonts w:ascii="Book Antiqua" w:hAnsi="Book Antiqua" w:cs="Arial"/>
          <w:lang w:val="en-US" w:eastAsia="zh-CN"/>
        </w:rPr>
        <w:t>;</w:t>
      </w:r>
      <w:r w:rsidRPr="00CD1426">
        <w:rPr>
          <w:rFonts w:ascii="Book Antiqua" w:hAnsi="Book Antiqua" w:cs="Arial"/>
          <w:lang w:val="en-US"/>
        </w:rPr>
        <w:t xml:space="preserve"> </w:t>
      </w:r>
      <w:r w:rsidR="003521DC" w:rsidRPr="00CD1426">
        <w:rPr>
          <w:rFonts w:ascii="Book Antiqua" w:hAnsi="Book Antiqua" w:cs="Arial"/>
          <w:lang w:val="en-US"/>
        </w:rPr>
        <w:t>Direct acting antivirals</w:t>
      </w:r>
      <w:r w:rsidR="003521DC" w:rsidRPr="00CD1426">
        <w:rPr>
          <w:rFonts w:ascii="Book Antiqua" w:hAnsi="Book Antiqua" w:cs="Arial"/>
          <w:lang w:val="en-US" w:eastAsia="zh-CN"/>
        </w:rPr>
        <w:t>;</w:t>
      </w:r>
      <w:r w:rsidRPr="00CD1426">
        <w:rPr>
          <w:rFonts w:ascii="Book Antiqua" w:hAnsi="Book Antiqua" w:cs="Arial"/>
          <w:lang w:val="en-US"/>
        </w:rPr>
        <w:t xml:space="preserve"> </w:t>
      </w:r>
      <w:r w:rsidR="003521DC" w:rsidRPr="00CD1426">
        <w:rPr>
          <w:rFonts w:ascii="Book Antiqua" w:hAnsi="Book Antiqua" w:cs="Arial"/>
          <w:lang w:val="en-US"/>
        </w:rPr>
        <w:t xml:space="preserve">Antiviral </w:t>
      </w:r>
      <w:r w:rsidRPr="00CD1426">
        <w:rPr>
          <w:rFonts w:ascii="Book Antiqua" w:hAnsi="Book Antiqua" w:cs="Arial"/>
          <w:lang w:val="en-US"/>
        </w:rPr>
        <w:t>therapy</w:t>
      </w:r>
      <w:r w:rsidR="003521DC" w:rsidRPr="00CD1426">
        <w:rPr>
          <w:rFonts w:ascii="Book Antiqua" w:hAnsi="Book Antiqua" w:cs="Arial"/>
          <w:lang w:val="en-US" w:eastAsia="zh-CN"/>
        </w:rPr>
        <w:t>;</w:t>
      </w:r>
      <w:r w:rsidRPr="00CD1426">
        <w:rPr>
          <w:rFonts w:ascii="Book Antiqua" w:hAnsi="Book Antiqua" w:cs="Arial"/>
          <w:lang w:val="en-US"/>
        </w:rPr>
        <w:t xml:space="preserve"> </w:t>
      </w:r>
      <w:r w:rsidR="003521DC" w:rsidRPr="00CD1426">
        <w:rPr>
          <w:rFonts w:ascii="Book Antiqua" w:hAnsi="Book Antiqua" w:cs="Arial"/>
          <w:lang w:val="en-US"/>
        </w:rPr>
        <w:t>Interferon</w:t>
      </w:r>
      <w:r w:rsidR="003521DC" w:rsidRPr="00CD1426">
        <w:rPr>
          <w:rFonts w:ascii="Book Antiqua" w:hAnsi="Book Antiqua" w:cs="Arial"/>
          <w:lang w:val="en-US" w:eastAsia="zh-CN"/>
        </w:rPr>
        <w:t>;</w:t>
      </w:r>
      <w:r w:rsidRPr="00CD1426">
        <w:rPr>
          <w:rFonts w:ascii="Book Antiqua" w:hAnsi="Book Antiqua" w:cs="Arial"/>
          <w:lang w:val="en-US"/>
        </w:rPr>
        <w:t xml:space="preserve"> </w:t>
      </w:r>
      <w:r w:rsidR="003521DC" w:rsidRPr="00CD1426">
        <w:rPr>
          <w:rFonts w:ascii="Book Antiqua" w:hAnsi="Book Antiqua" w:cs="Arial"/>
          <w:lang w:val="en-US"/>
        </w:rPr>
        <w:t xml:space="preserve">Sustained </w:t>
      </w:r>
      <w:proofErr w:type="spellStart"/>
      <w:r w:rsidR="003521DC" w:rsidRPr="00CD1426">
        <w:rPr>
          <w:rFonts w:ascii="Book Antiqua" w:hAnsi="Book Antiqua" w:cs="Arial"/>
          <w:lang w:val="en-US"/>
        </w:rPr>
        <w:t>virologic</w:t>
      </w:r>
      <w:proofErr w:type="spellEnd"/>
      <w:r w:rsidR="003521DC" w:rsidRPr="00CD1426">
        <w:rPr>
          <w:rFonts w:ascii="Book Antiqua" w:hAnsi="Book Antiqua" w:cs="Arial"/>
          <w:lang w:val="en-US"/>
        </w:rPr>
        <w:t xml:space="preserve"> response</w:t>
      </w:r>
    </w:p>
    <w:p w14:paraId="30902A3E" w14:textId="77777777" w:rsidR="002B302F" w:rsidRPr="00CD1426" w:rsidRDefault="002B302F" w:rsidP="00CD1426">
      <w:pPr>
        <w:widowControl w:val="0"/>
        <w:autoSpaceDE w:val="0"/>
        <w:autoSpaceDN w:val="0"/>
        <w:adjustRightInd w:val="0"/>
        <w:spacing w:line="360" w:lineRule="auto"/>
        <w:jc w:val="both"/>
        <w:rPr>
          <w:rFonts w:ascii="Book Antiqua" w:hAnsi="Book Antiqua" w:cs="Arial"/>
          <w:b/>
          <w:lang w:val="en-US" w:eastAsia="zh-CN"/>
        </w:rPr>
      </w:pPr>
    </w:p>
    <w:p w14:paraId="22CD726F" w14:textId="77777777" w:rsidR="00CD1426" w:rsidRPr="00CD1426" w:rsidRDefault="00CD1426" w:rsidP="00CD1426">
      <w:pPr>
        <w:spacing w:line="360" w:lineRule="auto"/>
        <w:jc w:val="both"/>
        <w:rPr>
          <w:rFonts w:ascii="Book Antiqua" w:hAnsi="Book Antiqua"/>
          <w:i/>
          <w:iCs/>
        </w:rPr>
      </w:pPr>
      <w:proofErr w:type="gramStart"/>
      <w:r w:rsidRPr="00CD1426">
        <w:rPr>
          <w:rFonts w:ascii="Book Antiqua" w:hAnsi="Book Antiqua" w:cs="Tahoma"/>
          <w:b/>
          <w:color w:val="000000"/>
          <w:lang w:val="en-GB" w:eastAsia="ja-JP"/>
        </w:rPr>
        <w:t xml:space="preserve">© </w:t>
      </w:r>
      <w:r w:rsidRPr="00CD1426">
        <w:rPr>
          <w:rFonts w:ascii="Book Antiqua" w:eastAsia="AdvTimes" w:hAnsi="Book Antiqua" w:cs="AdvTimes"/>
          <w:b/>
          <w:color w:val="000000"/>
          <w:lang w:val="fr-FR" w:eastAsia="ja-JP"/>
        </w:rPr>
        <w:t>The Author(s) 2015.</w:t>
      </w:r>
      <w:proofErr w:type="gramEnd"/>
      <w:r w:rsidRPr="00CD1426">
        <w:rPr>
          <w:rFonts w:ascii="Book Antiqua" w:eastAsia="AdvTimes" w:hAnsi="Book Antiqua" w:cs="AdvTimes"/>
          <w:color w:val="000000"/>
          <w:lang w:val="fr-FR" w:eastAsia="ja-JP"/>
        </w:rPr>
        <w:t xml:space="preserve"> Published by </w:t>
      </w:r>
      <w:proofErr w:type="spellStart"/>
      <w:r w:rsidRPr="00CD1426">
        <w:rPr>
          <w:rFonts w:ascii="Book Antiqua" w:hAnsi="Book Antiqua" w:cs="Arial Unicode MS"/>
          <w:color w:val="000000"/>
          <w:lang w:val="en-GB" w:eastAsia="ja-JP"/>
        </w:rPr>
        <w:t>Baishideng</w:t>
      </w:r>
      <w:proofErr w:type="spellEnd"/>
      <w:r w:rsidRPr="00CD1426">
        <w:rPr>
          <w:rFonts w:ascii="Book Antiqua" w:hAnsi="Book Antiqua" w:cs="Arial Unicode MS"/>
          <w:color w:val="000000"/>
          <w:lang w:val="en-GB" w:eastAsia="ja-JP"/>
        </w:rPr>
        <w:t xml:space="preserve"> Publishing Group Inc.</w:t>
      </w:r>
      <w:r w:rsidRPr="00CD1426">
        <w:rPr>
          <w:rFonts w:ascii="Book Antiqua" w:hAnsi="Book Antiqua" w:cs="Arial Unicode MS"/>
          <w:lang w:val="en-GB" w:eastAsia="ja-JP"/>
        </w:rPr>
        <w:t xml:space="preserve"> </w:t>
      </w:r>
      <w:r w:rsidRPr="00CD1426">
        <w:rPr>
          <w:rFonts w:ascii="Book Antiqua" w:hAnsi="Book Antiqua" w:cs="Arial Unicode MS"/>
          <w:lang w:val="fr-FR" w:eastAsia="ja-JP"/>
        </w:rPr>
        <w:t>All rights reserved</w:t>
      </w:r>
      <w:r w:rsidRPr="00CD1426">
        <w:rPr>
          <w:rFonts w:ascii="Book Antiqua" w:hAnsi="Book Antiqua" w:cs="Arial Unicode MS"/>
          <w:lang w:val="fr-FR"/>
        </w:rPr>
        <w:t>.</w:t>
      </w:r>
    </w:p>
    <w:p w14:paraId="6EF4076A" w14:textId="77777777" w:rsidR="00CD1426" w:rsidRPr="00CD1426" w:rsidRDefault="00CD1426" w:rsidP="00CD1426">
      <w:pPr>
        <w:widowControl w:val="0"/>
        <w:autoSpaceDE w:val="0"/>
        <w:autoSpaceDN w:val="0"/>
        <w:adjustRightInd w:val="0"/>
        <w:spacing w:line="360" w:lineRule="auto"/>
        <w:jc w:val="both"/>
        <w:rPr>
          <w:rFonts w:ascii="Book Antiqua" w:hAnsi="Book Antiqua" w:cs="Arial"/>
          <w:b/>
          <w:lang w:val="en-US" w:eastAsia="zh-CN"/>
        </w:rPr>
      </w:pPr>
    </w:p>
    <w:p w14:paraId="25B16BFC" w14:textId="3D464C53" w:rsidR="002B302F" w:rsidRPr="00CD1426" w:rsidRDefault="002B302F" w:rsidP="00CD1426">
      <w:pPr>
        <w:spacing w:line="360" w:lineRule="auto"/>
        <w:jc w:val="both"/>
        <w:rPr>
          <w:rFonts w:ascii="Book Antiqua" w:hAnsi="Book Antiqua" w:cs="Arial"/>
          <w:noProof/>
          <w:lang w:val="en-US"/>
        </w:rPr>
      </w:pPr>
      <w:r w:rsidRPr="00CD1426">
        <w:rPr>
          <w:rFonts w:ascii="Book Antiqua" w:hAnsi="Book Antiqua" w:cs="Arial"/>
          <w:b/>
          <w:lang w:val="en-US"/>
        </w:rPr>
        <w:t xml:space="preserve">Core </w:t>
      </w:r>
      <w:r w:rsidR="003521DC" w:rsidRPr="00CD1426">
        <w:rPr>
          <w:rFonts w:ascii="Book Antiqua" w:hAnsi="Book Antiqua" w:cs="Arial"/>
          <w:b/>
          <w:lang w:val="en-US"/>
        </w:rPr>
        <w:t>tip</w:t>
      </w:r>
      <w:r w:rsidRPr="00CD1426">
        <w:rPr>
          <w:rFonts w:ascii="Book Antiqua" w:hAnsi="Book Antiqua" w:cs="Arial"/>
          <w:b/>
          <w:lang w:val="en-US"/>
        </w:rPr>
        <w:t xml:space="preserve">: </w:t>
      </w:r>
      <w:r w:rsidRPr="00CD1426">
        <w:rPr>
          <w:rFonts w:ascii="Book Antiqua" w:hAnsi="Book Antiqua" w:cs="Arial"/>
          <w:noProof/>
          <w:lang w:val="en-US"/>
        </w:rPr>
        <w:t xml:space="preserve">Treatment of chronic hepatitis C has been changing very rapidly in recent years. The chances of cure have increased with the new drugs. Predictive factors of sustained treatment response in the "age" of based-interferon therapy is becoming less important with the arrival of the </w:t>
      </w:r>
      <w:r w:rsidR="003521DC" w:rsidRPr="00CD1426">
        <w:rPr>
          <w:rFonts w:ascii="Book Antiqua" w:hAnsi="Book Antiqua" w:cs="Arial"/>
          <w:lang w:val="en-US"/>
        </w:rPr>
        <w:t>direct acting antivirals</w:t>
      </w:r>
      <w:r w:rsidRPr="00CD1426">
        <w:rPr>
          <w:rFonts w:ascii="Book Antiqua" w:hAnsi="Book Antiqua" w:cs="Arial"/>
          <w:noProof/>
          <w:lang w:val="en-US"/>
        </w:rPr>
        <w:t>, however, viral genotype, cirrhosis and viral kinetics may still impact on therapy outcome with the new available drugs.</w:t>
      </w:r>
    </w:p>
    <w:p w14:paraId="6C6600AE" w14:textId="77777777" w:rsidR="00CD1426" w:rsidRPr="00CD1426" w:rsidRDefault="00CD1426" w:rsidP="00CD1426">
      <w:pPr>
        <w:spacing w:line="360" w:lineRule="auto"/>
        <w:jc w:val="both"/>
        <w:rPr>
          <w:rFonts w:ascii="Book Antiqua" w:hAnsi="Book Antiqua" w:cs="Arial"/>
          <w:b/>
          <w:lang w:val="en-US" w:eastAsia="zh-CN"/>
        </w:rPr>
      </w:pPr>
    </w:p>
    <w:p w14:paraId="413C14B2" w14:textId="0AFAA59B" w:rsidR="00CD1426" w:rsidRPr="00CD1426" w:rsidRDefault="00CD1426" w:rsidP="00CD1426">
      <w:pPr>
        <w:spacing w:line="360" w:lineRule="auto"/>
        <w:jc w:val="both"/>
        <w:rPr>
          <w:rFonts w:ascii="Book Antiqua" w:hAnsi="Book Antiqua" w:cs="Arial"/>
          <w:lang w:val="en-US" w:eastAsia="zh-CN"/>
        </w:rPr>
      </w:pPr>
      <w:r w:rsidRPr="00CD1426">
        <w:rPr>
          <w:rFonts w:ascii="Book Antiqua" w:hAnsi="Book Antiqua" w:cs="Arial"/>
          <w:noProof/>
        </w:rPr>
        <w:t>Cavalcante</w:t>
      </w:r>
      <w:r w:rsidRPr="00CD1426">
        <w:rPr>
          <w:rFonts w:ascii="Book Antiqua" w:hAnsi="Book Antiqua" w:cs="Arial"/>
          <w:lang w:val="en-US"/>
        </w:rPr>
        <w:t xml:space="preserve"> </w:t>
      </w:r>
      <w:r w:rsidRPr="00CD1426">
        <w:rPr>
          <w:rFonts w:ascii="Book Antiqua" w:hAnsi="Book Antiqua" w:cs="Arial"/>
          <w:lang w:val="en-US" w:eastAsia="zh-CN"/>
        </w:rPr>
        <w:t>LN</w:t>
      </w:r>
      <w:r w:rsidRPr="00CD1426">
        <w:rPr>
          <w:rFonts w:ascii="Book Antiqua" w:hAnsi="Book Antiqua" w:cs="Arial"/>
          <w:i/>
          <w:lang w:val="en-US" w:eastAsia="zh-CN"/>
        </w:rPr>
        <w:t xml:space="preserve">, </w:t>
      </w:r>
      <w:r w:rsidRPr="00CD1426">
        <w:rPr>
          <w:rFonts w:ascii="Book Antiqua" w:hAnsi="Book Antiqua" w:cs="Arial"/>
          <w:noProof/>
        </w:rPr>
        <w:t>Lyra</w:t>
      </w:r>
      <w:r w:rsidRPr="00CD1426">
        <w:rPr>
          <w:rFonts w:ascii="Book Antiqua" w:hAnsi="Book Antiqua" w:cs="Arial"/>
          <w:noProof/>
          <w:lang w:eastAsia="zh-CN"/>
        </w:rPr>
        <w:t xml:space="preserve"> AC. </w:t>
      </w:r>
      <w:r w:rsidRPr="00CD1426">
        <w:rPr>
          <w:rFonts w:ascii="Book Antiqua" w:hAnsi="Book Antiqua" w:cs="Arial"/>
          <w:lang w:val="en-US"/>
        </w:rPr>
        <w:t>Predictive factors associated with hepatitis C antiviral therapy response</w:t>
      </w:r>
      <w:r w:rsidRPr="00CD1426">
        <w:rPr>
          <w:rFonts w:ascii="Book Antiqua" w:hAnsi="Book Antiqua" w:cs="Arial"/>
          <w:lang w:val="en-US" w:eastAsia="zh-CN"/>
        </w:rPr>
        <w:t xml:space="preserve">. </w:t>
      </w:r>
      <w:r w:rsidRPr="00CD1426">
        <w:rPr>
          <w:rFonts w:ascii="Book Antiqua" w:hAnsi="Book Antiqua"/>
          <w:i/>
          <w:iCs/>
        </w:rPr>
        <w:t>World J Hepatol</w:t>
      </w:r>
      <w:r w:rsidRPr="00CD1426">
        <w:rPr>
          <w:rFonts w:ascii="Book Antiqua" w:hAnsi="Book Antiqua"/>
          <w:iCs/>
          <w:lang w:eastAsia="zh-CN"/>
        </w:rPr>
        <w:t xml:space="preserve"> 2015; In press</w:t>
      </w:r>
    </w:p>
    <w:p w14:paraId="1009574C" w14:textId="77777777" w:rsidR="00CD1426" w:rsidRPr="00CD1426" w:rsidRDefault="00CD1426" w:rsidP="00CD1426">
      <w:pPr>
        <w:spacing w:line="360" w:lineRule="auto"/>
        <w:jc w:val="both"/>
        <w:rPr>
          <w:rFonts w:ascii="Book Antiqua" w:hAnsi="Book Antiqua" w:cs="Arial"/>
          <w:b/>
          <w:lang w:val="en-US" w:eastAsia="zh-CN"/>
        </w:rPr>
      </w:pPr>
    </w:p>
    <w:p w14:paraId="65B49AB1" w14:textId="2F7BE07D" w:rsidR="002B302F" w:rsidRPr="00CD1426" w:rsidRDefault="002B302F" w:rsidP="00CD1426">
      <w:pPr>
        <w:spacing w:line="360" w:lineRule="auto"/>
        <w:jc w:val="both"/>
        <w:rPr>
          <w:rFonts w:ascii="Book Antiqua" w:hAnsi="Book Antiqua" w:cs="Arial"/>
          <w:b/>
          <w:lang w:val="en-US"/>
        </w:rPr>
      </w:pPr>
      <w:r w:rsidRPr="00CD1426">
        <w:rPr>
          <w:rFonts w:ascii="Book Antiqua" w:hAnsi="Book Antiqua" w:cs="Arial"/>
          <w:b/>
          <w:lang w:val="en-US"/>
        </w:rPr>
        <w:t>INTRODUCTION</w:t>
      </w:r>
    </w:p>
    <w:p w14:paraId="5C9F629F" w14:textId="5AACDBC4" w:rsidR="002B302F" w:rsidRPr="00CD1426" w:rsidRDefault="002B302F" w:rsidP="00CD1426">
      <w:pPr>
        <w:spacing w:line="360" w:lineRule="auto"/>
        <w:jc w:val="both"/>
        <w:rPr>
          <w:rFonts w:ascii="Book Antiqua" w:hAnsi="Book Antiqua" w:cs="Arial"/>
          <w:lang w:val="en-US" w:eastAsia="zh-CN"/>
        </w:rPr>
      </w:pPr>
      <w:r w:rsidRPr="00CD1426">
        <w:rPr>
          <w:rFonts w:ascii="Book Antiqua" w:hAnsi="Book Antiqua" w:cs="Arial"/>
          <w:lang w:val="en-US"/>
        </w:rPr>
        <w:t>Hepatitis C virus (HCV) is an important etiology of chronic hepatitis and cirrhosis and is the leading indication for liver transplantation in adults around the world</w:t>
      </w:r>
      <w:r w:rsidR="00656B78" w:rsidRPr="00CD1426">
        <w:rPr>
          <w:rFonts w:ascii="Book Antiqua" w:hAnsi="Book Antiqua" w:cs="Arial"/>
          <w:lang w:val="en-US"/>
        </w:rPr>
        <w:fldChar w:fldCharType="begin" w:fldLock="1"/>
      </w:r>
      <w:r w:rsidR="001D4A08" w:rsidRPr="00CD1426">
        <w:rPr>
          <w:rFonts w:ascii="Book Antiqua" w:hAnsi="Book Antiqua" w:cs="Arial"/>
          <w:lang w:val="en-US"/>
        </w:rPr>
        <w:instrText>ADDIN CSL_CITATION { "citationItems" : [ { "id" : "ITEM-1", "itemData" : { "DOI" : "10.1002/hep.22759", "ISSN" : "1527-3350", "PMID" : "19330875", "author" : [ { "dropping-particle" : "", "family" : "Ghany", "given" : "Marc G", "non-dropping-particle" : "", "parse-names" : false, "suffix" : "" }, { "dropping-particle" : "", "family" : "Strader", "given" : "Doris B", "non-dropping-particle" : "", "parse-names" : false, "suffix" : "" }, { "dropping-particle" : "", "family" : "Thomas", "given" : "David L", "non-dropping-particle" : "", "parse-names" : false, "suffix" : "" }, { "dropping-particle" : "", "family" : "Seeff", "given" : "Leonard B", "non-dropping-particle" : "", "parse-names" : false, "suffix" : "" } ], "container-title" : "Hepatology (Baltimore, Md.)", "id" : "ITEM-1", "issue" : "4", "issued" : { "date-parts" : [ [ "2009", "4" ] ] }, "page" : "1335-74", "title" : "Diagnosis, management, and treatment of hepatitis C: an update.", "type" : "article-journal", "volume" : "49" }, "uris" : [ "http://www.mendeley.com/documents/?uuid=2e422595-a400-4de5-956b-bf6124219117" ] }, { "id" : "ITEM-2", "itemData" : { "author" : [ { "dropping-particle" : "", "family" : "Ly", "given" : "Kathleen N", "non-dropping-particle" : "", "parse-names" : false, "suffix" : "" }, { "dropping-particle" : "", "family" : "Xing", "given" : "Jian", "non-dropping-particle" : "", "parse-names" : false, "suffix" : "" }, { "dropping-particle" : "", "family" : "Klevens", "given" : "R Monina", "non-dropping-particle" : "", "parse-names" : false, "suffix" : "" }, { "dropping-particle" : "", "family" : "Jiles", "given" : "Ruth B", "non-dropping-particle" : "", "parse-names" : false, "suffix" : "" }, { "dropping-particle" : "", "family" : "Ward", "given" : "John W", "non-dropping-particle" : "", "parse-names" : false, "suffix" : "" } ], "id" : "ITEM-2", "issue" : "4", "issued" : { "date-parts" : [ [ "2012" ] ] }, "title" : "Original Research The Increasing Burden of Mortality From Viral Hepatitis in the United", "type" : "article-journal", "volume" : "156" }, "uris" : [ "http://www.mendeley.com/documents/?uuid=b270b3f6-1588-4414-87e7-7c0263ce8d81" ] } ], "mendeley" : { "formattedCitation" : "&lt;sup&gt;[1,2]&lt;/sup&gt;", "plainTextFormattedCitation" : "[1,2]", "previouslyFormattedCitation" : "&lt;sup&gt;[1,2]&lt;/sup&gt;" }, "properties" : { "noteIndex" : 0 }, "schema" : "https://github.com/citation-style-language/schema/raw/master/csl-citation.json" }</w:instrText>
      </w:r>
      <w:r w:rsidR="00656B78" w:rsidRPr="00CD1426">
        <w:rPr>
          <w:rFonts w:ascii="Book Antiqua" w:hAnsi="Book Antiqua" w:cs="Arial"/>
          <w:lang w:val="en-US"/>
        </w:rPr>
        <w:fldChar w:fldCharType="separate"/>
      </w:r>
      <w:r w:rsidR="001D4A08" w:rsidRPr="00CD1426">
        <w:rPr>
          <w:rFonts w:ascii="Book Antiqua" w:hAnsi="Book Antiqua" w:cs="Arial"/>
          <w:noProof/>
          <w:vertAlign w:val="superscript"/>
          <w:lang w:val="en-US"/>
        </w:rPr>
        <w:t>[1,2]</w:t>
      </w:r>
      <w:r w:rsidR="00656B78" w:rsidRPr="00CD1426">
        <w:rPr>
          <w:rFonts w:ascii="Book Antiqua" w:hAnsi="Book Antiqua" w:cs="Arial"/>
          <w:lang w:val="en-US"/>
        </w:rPr>
        <w:fldChar w:fldCharType="end"/>
      </w:r>
      <w:r w:rsidR="003521DC" w:rsidRPr="00CD1426">
        <w:rPr>
          <w:rFonts w:ascii="Book Antiqua" w:hAnsi="Book Antiqua" w:cs="Arial"/>
          <w:lang w:val="en-US" w:eastAsia="zh-CN"/>
        </w:rPr>
        <w:t>.</w:t>
      </w:r>
      <w:r w:rsidR="00656B78" w:rsidRPr="00CD1426">
        <w:rPr>
          <w:rFonts w:ascii="Book Antiqua" w:hAnsi="Book Antiqua" w:cs="Arial"/>
          <w:lang w:val="en-US"/>
        </w:rPr>
        <w:t xml:space="preserve"> </w:t>
      </w:r>
      <w:r w:rsidRPr="00CD1426">
        <w:rPr>
          <w:rFonts w:ascii="Book Antiqua" w:hAnsi="Book Antiqua" w:cs="Arial"/>
          <w:lang w:val="en-US"/>
        </w:rPr>
        <w:t>Therefore, early recognition and effective management of the disease can modify its natural history. HCV infection may lead to significant liver injury, and viral, environmental and host factors, including immunologic and genetic susceptibilities, may contribute to differences in the disease expression and treatment response</w:t>
      </w:r>
      <w:r w:rsidR="00656B78" w:rsidRPr="00CD1426">
        <w:rPr>
          <w:rFonts w:ascii="Book Antiqua" w:hAnsi="Book Antiqua" w:cs="Arial"/>
          <w:lang w:val="en-US"/>
        </w:rPr>
        <w:fldChar w:fldCharType="begin" w:fldLock="1"/>
      </w:r>
      <w:r w:rsidR="001D4A08" w:rsidRPr="00CD1426">
        <w:rPr>
          <w:rFonts w:ascii="Book Antiqua" w:hAnsi="Book Antiqua" w:cs="Arial"/>
          <w:lang w:val="en-US"/>
        </w:rPr>
        <w:instrText>ADDIN CSL_CITATION { "citationItems" : [ { "id" : "ITEM-1", "itemData" : { "DOI" : "10.1053/gast.2003.50061", "ISSN" : "0016-5085", "PMID" : "12557141", "abstract" : "BACKGROUND &amp; AIMS: CCR5Delta32, a 32-base pair deletion of the CC chemokine receptor (CCR) 5 gene, is associated with slowed human immunodeficiency virus disease progression in heterozygotes and protection against infection in homozygotes. A recent study found a higher than expected frequency of CCR5Delta32/Delta32 in patients with hepatitis C virus infection. The roles of other disease-associated chemokine system polymorphisms have not been evaluated in hepatitis C virus infection.\n\nMETHODS: Six chemokine system polymorphisms (CCR5Delta32, CCR5 promoter 59029-G/A, CCR2 -64I, RANTES [regulated upon activation, normal T cells expressed and secreted] -403 -G/A, and -28 -C/G and stromal derived factor 1 -3'A) were studied in 417 patients with liver diseases (339 with hepatitis C) and 2380 blood donors. The clinical parameters of hepatitis C virus infection were compared between carriers and noncarriers of each genetic variant.\n\nRESULTS: The frequency of CCR5Delta32 homozygosity was 0.8% in whites with hepatitis C virus and 1.1% in controls (P = 0.75). The CCR5Delta32 allele was not associated with any of the clinical parameters of hepatitis C virus infection. Hepatitis C virus-seropositive whites with the RANTES -403-A allele were less likely to have severe hepatic inflammation compared with those without (odds ratio, 0.34; P = 0.03). In multivariate analysis, the CCR5 promoter 59029 -A allele was marginally associated with a sustained response to interferon therapy (odds ratio, 3.07; P = 0.048).\n\nCONCLUSIONS: In this cohort, the frequency of CCR5Delta32 homozygosity in patients with hepatitis C was similar to controls. The high prevalence of CCR5Delta32 homozygosity in the hepatitis C virus patients of the earlier study likely reflects resistance to human immunodeficiency virus infection in hemophiliacs rather than a susceptibility to hepatitis C virus infection. Expression of CCR5 and RANTES may be important in the modulation of hepatic inflammation and response to interferon therapy in chronic hepatitis C.", "author" : [ { "dropping-particle" : "", "family" : "Promrat", "given" : "Kittichai", "non-dropping-particle" : "", "parse-names" : false, "suffix" : "" }, { "dropping-particle" : "", "family" : "McDermott", "given" : "David H", "non-dropping-particle" : "", "parse-names" : false, "suffix" : "" }, { "dropping-particle" : "", "family" : "Gonzalez", "given" : "Carlos M", "non-dropping-particle" : "", "parse-names" : false, "suffix" : "" }, { "dropping-particle" : "", "family" : "Kleiner", "given" : "David E", "non-dropping-particle" : "", "parse-names" : false, "suffix" : "" }, { "dropping-particle" : "", "family" : "Koziol", "given" : "Deloris E", "non-dropping-particle" : "", "parse-names" : false, "suffix" : "" }, { "dropping-particle" : "", "family" : "Lessie", "given" : "Matthew", "non-dropping-particle" : "", "parse-names" : false, "suffix" : "" }, { "dropping-particle" : "", "family" : "Merrell", "given" : "Maya", "non-dropping-particle" : "", "parse-names" : false, "suffix" : "" }, { "dropping-particle" : "", "family" : "Soza", "given" : "Alejandro", "non-dropping-particle" : "", "parse-names" : false, "suffix" : "" }, { "dropping-particle" : "", "family" : "Heller", "given" : "Theo", "non-dropping-particle" : "", "parse-names" : false, "suffix" : "" }, { "dropping-particle" : "", "family" : "Ghany", "given" : "Marc", "non-dropping-particle" : "", "parse-names" : false, "suffix" : "" }, { "dropping-particle" : "", "family" : "Park", "given" : "Yoon", "non-dropping-particle" : "", "parse-names" : false, "suffix" : "" }, { "dropping-particle" : "", "family" : "Alter", "given" : "Harvey J", "non-dropping-particle" : "", "parse-names" : false, "suffix" : "" }, { "dropping-particle" : "", "family" : "Hoofnagle", "given" : "Jay H", "non-dropping-particle" : "", "parse-names" : false, "suffix" : "" }, { "dropping-particle" : "", "family" : "Murphy", "given" : "Philip M", "non-dropping-particle" : "", "parse-names" : false, "suffix" : "" }, { "dropping-particle" : "", "family" : "Liang", "given" : "T Jake", "non-dropping-particle" : "", "parse-names" : false, "suffix" : "" } ], "container-title" : "Gastroenterology", "id" : "ITEM-1", "issue" : "2", "issued" : { "date-parts" : [ [ "2003", "2" ] ] }, "page" : "352-60", "title" : "Associations of chemokine system polymorphisms with clinical outcomes and treatment responses of chronic hepatitis C.", "type" : "article-journal", "volume" : "124" }, "uris" : [ "http://www.mendeley.com/documents/?uuid=47581148-861a-4909-8a42-5258de95bd20" ] } ], "mendeley" : { "formattedCitation" : "&lt;sup&gt;[3]&lt;/sup&gt;", "plainTextFormattedCitation" : "[3]", "previouslyFormattedCitation" : "&lt;sup&gt;[3]&lt;/sup&gt;" }, "properties" : { "noteIndex" : 0 }, "schema" : "https://github.com/citation-style-language/schema/raw/master/csl-citation.json" }</w:instrText>
      </w:r>
      <w:r w:rsidR="00656B78" w:rsidRPr="00CD1426">
        <w:rPr>
          <w:rFonts w:ascii="Book Antiqua" w:hAnsi="Book Antiqua" w:cs="Arial"/>
          <w:lang w:val="en-US"/>
        </w:rPr>
        <w:fldChar w:fldCharType="separate"/>
      </w:r>
      <w:r w:rsidR="001D4A08" w:rsidRPr="00CD1426">
        <w:rPr>
          <w:rFonts w:ascii="Book Antiqua" w:hAnsi="Book Antiqua" w:cs="Arial"/>
          <w:noProof/>
          <w:vertAlign w:val="superscript"/>
          <w:lang w:val="en-US"/>
        </w:rPr>
        <w:t>[3]</w:t>
      </w:r>
      <w:r w:rsidR="00656B78" w:rsidRPr="00CD1426">
        <w:rPr>
          <w:rFonts w:ascii="Book Antiqua" w:hAnsi="Book Antiqua" w:cs="Arial"/>
          <w:lang w:val="en-US"/>
        </w:rPr>
        <w:fldChar w:fldCharType="end"/>
      </w:r>
      <w:r w:rsidR="003521DC" w:rsidRPr="00CD1426">
        <w:rPr>
          <w:rFonts w:ascii="Book Antiqua" w:hAnsi="Book Antiqua" w:cs="Arial"/>
          <w:lang w:val="en-US" w:eastAsia="zh-CN"/>
        </w:rPr>
        <w:t>.</w:t>
      </w:r>
      <w:r w:rsidR="00656B78" w:rsidRPr="00CD1426">
        <w:rPr>
          <w:rFonts w:ascii="Book Antiqua" w:hAnsi="Book Antiqua" w:cs="Arial"/>
          <w:lang w:val="en-US"/>
        </w:rPr>
        <w:t xml:space="preserve"> </w:t>
      </w:r>
      <w:r w:rsidRPr="00CD1426">
        <w:rPr>
          <w:rFonts w:ascii="Book Antiqua" w:hAnsi="Book Antiqua" w:cs="Arial"/>
          <w:lang w:val="en-US"/>
        </w:rPr>
        <w:t xml:space="preserve">This genetic susceptibility has a significant part in developing of HCV infection, from viral antigen recognition and presentation to the type of immune response </w:t>
      </w:r>
      <w:r w:rsidR="003521DC" w:rsidRPr="00CD1426">
        <w:rPr>
          <w:rFonts w:ascii="Book Antiqua" w:hAnsi="Book Antiqua" w:cs="Arial"/>
          <w:lang w:val="en-US"/>
        </w:rPr>
        <w:t>developed against the pathogen</w:t>
      </w:r>
      <w:r w:rsidR="00656B78" w:rsidRPr="00CD1426">
        <w:rPr>
          <w:rFonts w:ascii="Book Antiqua" w:hAnsi="Book Antiqua" w:cs="Arial"/>
          <w:lang w:val="en-US"/>
        </w:rPr>
        <w:fldChar w:fldCharType="begin" w:fldLock="1"/>
      </w:r>
      <w:r w:rsidR="001D4A08" w:rsidRPr="00CD1426">
        <w:rPr>
          <w:rFonts w:ascii="Book Antiqua" w:hAnsi="Book Antiqua" w:cs="Arial"/>
          <w:lang w:val="en-US"/>
        </w:rPr>
        <w:instrText>ADDIN CSL_CITATION { "citationItems" : [ { "id" : "ITEM-1", "itemData" : { "DOI" : "10.1053/gast.2003.50061", "ISSN" : "0016-5085", "PMID" : "12557141", "abstract" : "BACKGROUND &amp; AIMS: CCR5Delta32, a 32-base pair deletion of the CC chemokine receptor (CCR) 5 gene, is associated with slowed human immunodeficiency virus disease progression in heterozygotes and protection against infection in homozygotes. A recent study found a higher than expected frequency of CCR5Delta32/Delta32 in patients with hepatitis C virus infection. The roles of other disease-associated chemokine system polymorphisms have not been evaluated in hepatitis C virus infection.\n\nMETHODS: Six chemokine system polymorphisms (CCR5Delta32, CCR5 promoter 59029-G/A, CCR2 -64I, RANTES [regulated upon activation, normal T cells expressed and secreted] -403 -G/A, and -28 -C/G and stromal derived factor 1 -3'A) were studied in 417 patients with liver diseases (339 with hepatitis C) and 2380 blood donors. The clinical parameters of hepatitis C virus infection were compared between carriers and noncarriers of each genetic variant.\n\nRESULTS: The frequency of CCR5Delta32 homozygosity was 0.8% in whites with hepatitis C virus and 1.1% in controls (P = 0.75). The CCR5Delta32 allele was not associated with any of the clinical parameters of hepatitis C virus infection. Hepatitis C virus-seropositive whites with the RANTES -403-A allele were less likely to have severe hepatic inflammation compared with those without (odds ratio, 0.34; P = 0.03). In multivariate analysis, the CCR5 promoter 59029 -A allele was marginally associated with a sustained response to interferon therapy (odds ratio, 3.07; P = 0.048).\n\nCONCLUSIONS: In this cohort, the frequency of CCR5Delta32 homozygosity in patients with hepatitis C was similar to controls. The high prevalence of CCR5Delta32 homozygosity in the hepatitis C virus patients of the earlier study likely reflects resistance to human immunodeficiency virus infection in hemophiliacs rather than a susceptibility to hepatitis C virus infection. Expression of CCR5 and RANTES may be important in the modulation of hepatic inflammation and response to interferon therapy in chronic hepatitis C.", "author" : [ { "dropping-particle" : "", "family" : "Promrat", "given" : "Kittichai", "non-dropping-particle" : "", "parse-names" : false, "suffix" : "" }, { "dropping-particle" : "", "family" : "McDermott", "given" : "David H", "non-dropping-particle" : "", "parse-names" : false, "suffix" : "" }, { "dropping-particle" : "", "family" : "Gonzalez", "given" : "Carlos M", "non-dropping-particle" : "", "parse-names" : false, "suffix" : "" }, { "dropping-particle" : "", "family" : "Kleiner", "given" : "David E", "non-dropping-particle" : "", "parse-names" : false, "suffix" : "" }, { "dropping-particle" : "", "family" : "Koziol", "given" : "Deloris E", "non-dropping-particle" : "", "parse-names" : false, "suffix" : "" }, { "dropping-particle" : "", "family" : "Lessie", "given" : "Matthew", "non-dropping-particle" : "", "parse-names" : false, "suffix" : "" }, { "dropping-particle" : "", "family" : "Merrell", "given" : "Maya", "non-dropping-particle" : "", "parse-names" : false, "suffix" : "" }, { "dropping-particle" : "", "family" : "Soza", "given" : "Alejandro", "non-dropping-particle" : "", "parse-names" : false, "suffix" : "" }, { "dropping-particle" : "", "family" : "Heller", "given" : "Theo", "non-dropping-particle" : "", "parse-names" : false, "suffix" : "" }, { "dropping-particle" : "", "family" : "Ghany", "given" : "Marc", "non-dropping-particle" : "", "parse-names" : false, "suffix" : "" }, { "dropping-particle" : "", "family" : "Park", "given" : "Yoon", "non-dropping-particle" : "", "parse-names" : false, "suffix" : "" }, { "dropping-particle" : "", "family" : "Alter", "given" : "Harvey J", "non-dropping-particle" : "", "parse-names" : false, "suffix" : "" }, { "dropping-particle" : "", "family" : "Hoofnagle", "given" : "Jay H", "non-dropping-particle" : "", "parse-names" : false, "suffix" : "" }, { "dropping-particle" : "", "family" : "Murphy", "given" : "Philip M", "non-dropping-particle" : "", "parse-names" : false, "suffix" : "" }, { "dropping-particle" : "", "family" : "Liang", "given" : "T Jake", "non-dropping-particle" : "", "parse-names" : false, "suffix" : "" } ], "container-title" : "Gastroenterology", "id" : "ITEM-1", "issue" : "2", "issued" : { "date-parts" : [ [ "2003", "2" ] ] }, "page" : "352-60", "title" : "Associations of chemokine system polymorphisms with clinical outcomes and treatment responses of chronic hepatitis C.", "type" : "article-journal", "volume" : "124" }, "uris" : [ "http://www.mendeley.com/documents/?uuid=47581148-861a-4909-8a42-5258de95bd20" ] } ], "mendeley" : { "formattedCitation" : "&lt;sup&gt;[3]&lt;/sup&gt;", "plainTextFormattedCitation" : "[3]", "previouslyFormattedCitation" : "&lt;sup&gt;[3]&lt;/sup&gt;" }, "properties" : { "noteIndex" : 0 }, "schema" : "https://github.com/citation-style-language/schema/raw/master/csl-citation.json" }</w:instrText>
      </w:r>
      <w:r w:rsidR="00656B78" w:rsidRPr="00CD1426">
        <w:rPr>
          <w:rFonts w:ascii="Book Antiqua" w:hAnsi="Book Antiqua" w:cs="Arial"/>
          <w:lang w:val="en-US"/>
        </w:rPr>
        <w:fldChar w:fldCharType="separate"/>
      </w:r>
      <w:r w:rsidR="001D4A08" w:rsidRPr="00CD1426">
        <w:rPr>
          <w:rFonts w:ascii="Book Antiqua" w:hAnsi="Book Antiqua" w:cs="Arial"/>
          <w:noProof/>
          <w:vertAlign w:val="superscript"/>
          <w:lang w:val="en-US"/>
        </w:rPr>
        <w:t>[3]</w:t>
      </w:r>
      <w:r w:rsidR="00656B78" w:rsidRPr="00CD1426">
        <w:rPr>
          <w:rFonts w:ascii="Book Antiqua" w:hAnsi="Book Antiqua" w:cs="Arial"/>
          <w:lang w:val="en-US"/>
        </w:rPr>
        <w:fldChar w:fldCharType="end"/>
      </w:r>
      <w:r w:rsidR="003521DC" w:rsidRPr="00CD1426">
        <w:rPr>
          <w:rFonts w:ascii="Book Antiqua" w:hAnsi="Book Antiqua" w:cs="Arial"/>
          <w:lang w:val="en-US" w:eastAsia="zh-CN"/>
        </w:rPr>
        <w:t>.</w:t>
      </w:r>
    </w:p>
    <w:p w14:paraId="6997644C" w14:textId="74C76368" w:rsidR="002B302F" w:rsidRPr="00CD1426" w:rsidRDefault="002B302F" w:rsidP="00CD1426">
      <w:pPr>
        <w:spacing w:line="360" w:lineRule="auto"/>
        <w:ind w:firstLineChars="200" w:firstLine="480"/>
        <w:jc w:val="both"/>
        <w:rPr>
          <w:rFonts w:ascii="Book Antiqua" w:hAnsi="Book Antiqua" w:cs="Arial"/>
          <w:lang w:val="en-US" w:eastAsia="zh-CN"/>
        </w:rPr>
      </w:pPr>
      <w:r w:rsidRPr="00CD1426">
        <w:rPr>
          <w:rFonts w:ascii="Book Antiqua" w:hAnsi="Book Antiqua" w:cs="Arial"/>
          <w:lang w:val="en-US"/>
        </w:rPr>
        <w:lastRenderedPageBreak/>
        <w:t xml:space="preserve">The natural history of HCV genotypes 1, 2 and 3 infection appears to be similar, and patients are at risk for developing liver cirrhosis, decompensation of liver disease and hepatocellular carcinoma. HCV genotype 3 is also associated with an increase in hepatic </w:t>
      </w:r>
      <w:proofErr w:type="spellStart"/>
      <w:r w:rsidRPr="00CD1426">
        <w:rPr>
          <w:rFonts w:ascii="Book Antiqua" w:hAnsi="Book Antiqua" w:cs="Arial"/>
          <w:lang w:val="en-US"/>
        </w:rPr>
        <w:t>steatosis</w:t>
      </w:r>
      <w:proofErr w:type="spellEnd"/>
      <w:r w:rsidRPr="00CD1426">
        <w:rPr>
          <w:rFonts w:ascii="Book Antiqua" w:hAnsi="Book Antiqua" w:cs="Arial"/>
          <w:lang w:val="en-US"/>
        </w:rPr>
        <w:t>, which is believed to be related to viral interfe</w:t>
      </w:r>
      <w:r w:rsidR="003521DC" w:rsidRPr="00CD1426">
        <w:rPr>
          <w:rFonts w:ascii="Book Antiqua" w:hAnsi="Book Antiqua" w:cs="Arial"/>
          <w:lang w:val="en-US"/>
        </w:rPr>
        <w:t>rence in host lipid metabolism</w:t>
      </w:r>
      <w:r w:rsidR="00656B78" w:rsidRPr="00CD1426">
        <w:rPr>
          <w:rFonts w:ascii="Book Antiqua" w:hAnsi="Book Antiqua" w:cs="Arial"/>
          <w:lang w:val="en-US"/>
        </w:rPr>
        <w:fldChar w:fldCharType="begin" w:fldLock="1"/>
      </w:r>
      <w:r w:rsidR="001D4A08" w:rsidRPr="00CD1426">
        <w:rPr>
          <w:rFonts w:ascii="Book Antiqua" w:hAnsi="Book Antiqua" w:cs="Arial"/>
          <w:lang w:val="en-US"/>
        </w:rPr>
        <w:instrText>ADDIN CSL_CITATION { "citationItems" : [ { "id" : "ITEM-1", "itemData" : { "DOI" : "10.1111/jvh.12168", "ISSN" : "1365-2893", "PMID" : "24010641", "abstract" : "Affecting 2-3% of the world's population, hepatitis C is a common viral infection which is a significant cause of morbidity and mortality. Hepatitis C genotype 1 is the dominant viral genotype among Western patients. For the last 20 years, in the era of interferon-based therapy, it was far more difficult to treat relative to genotypes 2 and 3. Accordingly, a significant focus of research was on new antiviral agents for the dominant genotype 1 patient. Now, as promising specific treatments are being introduced for genotype 1, the attention of clinicians and researchers has turned back to the 50-70 million patients infected with a nongenotype 1 hepatitis C. Furthermore, after recent, larger randomized trials, we have realized that genotype 2 is truly interferon sensitive while genotype 3 patients are far less successful with therapy. In this fundamentally altered landscape, genotype 3 is now potentially the most difficult to treat genotype and an area of intense research for new drug development. Herein we review the virology, natural history and the treatment of genotype 3 hepatitis C.", "author" : [ { "dropping-particle" : "", "family" : "Tapper", "given" : "E B", "non-dropping-particle" : "", "parse-names" : false, "suffix" : "" }, { "dropping-particle" : "", "family" : "Afdhal", "given" : "N H", "non-dropping-particle" : "", "parse-names" : false, "suffix" : "" } ], "container-title" : "Journal of viral hepatitis", "id" : "ITEM-1", "issue" : "10", "issued" : { "date-parts" : [ [ "2013", "10" ] ] }, "page" : "669-77", "title" : "Is 3 the new 1: perspectives on virology, natural history and treatment for hepatitis C genotype 3.", "type" : "article-journal", "volume" : "20" }, "uris" : [ "http://www.mendeley.com/documents/?uuid=b5cd6a65-1347-409b-8141-82cad3ef149e" ] } ], "mendeley" : { "formattedCitation" : "&lt;sup&gt;[4]&lt;/sup&gt;", "plainTextFormattedCitation" : "[4]", "previouslyFormattedCitation" : "&lt;sup&gt;[4]&lt;/sup&gt;" }, "properties" : { "noteIndex" : 0 }, "schema" : "https://github.com/citation-style-language/schema/raw/master/csl-citation.json" }</w:instrText>
      </w:r>
      <w:r w:rsidR="00656B78" w:rsidRPr="00CD1426">
        <w:rPr>
          <w:rFonts w:ascii="Book Antiqua" w:hAnsi="Book Antiqua" w:cs="Arial"/>
          <w:lang w:val="en-US"/>
        </w:rPr>
        <w:fldChar w:fldCharType="separate"/>
      </w:r>
      <w:r w:rsidR="001D4A08" w:rsidRPr="00CD1426">
        <w:rPr>
          <w:rFonts w:ascii="Book Antiqua" w:hAnsi="Book Antiqua" w:cs="Arial"/>
          <w:noProof/>
          <w:vertAlign w:val="superscript"/>
          <w:lang w:val="en-US"/>
        </w:rPr>
        <w:t>[4]</w:t>
      </w:r>
      <w:r w:rsidR="00656B78" w:rsidRPr="00CD1426">
        <w:rPr>
          <w:rFonts w:ascii="Book Antiqua" w:hAnsi="Book Antiqua" w:cs="Arial"/>
          <w:lang w:val="en-US"/>
        </w:rPr>
        <w:fldChar w:fldCharType="end"/>
      </w:r>
      <w:r w:rsidR="003521DC" w:rsidRPr="00CD1426">
        <w:rPr>
          <w:rFonts w:ascii="Book Antiqua" w:hAnsi="Book Antiqua" w:cs="Arial"/>
          <w:lang w:val="en-US" w:eastAsia="zh-CN"/>
        </w:rPr>
        <w:t>.</w:t>
      </w:r>
    </w:p>
    <w:p w14:paraId="6FEF9F15" w14:textId="3F2AC71D" w:rsidR="002B302F" w:rsidRPr="00CD1426" w:rsidRDefault="002B302F" w:rsidP="00CD1426">
      <w:pPr>
        <w:spacing w:line="360" w:lineRule="auto"/>
        <w:ind w:firstLineChars="200" w:firstLine="480"/>
        <w:jc w:val="both"/>
        <w:rPr>
          <w:rFonts w:ascii="Book Antiqua" w:hAnsi="Book Antiqua" w:cs="Arial"/>
          <w:lang w:val="en-US" w:eastAsia="zh-CN"/>
        </w:rPr>
      </w:pPr>
      <w:r w:rsidRPr="00CD1426">
        <w:rPr>
          <w:rFonts w:ascii="Book Antiqua" w:hAnsi="Book Antiqua" w:cs="Arial"/>
          <w:lang w:val="en-US"/>
        </w:rPr>
        <w:t>The predictive factors of therapy response are also related to the virus and host</w:t>
      </w:r>
      <w:r w:rsidR="003521DC" w:rsidRPr="00CD1426">
        <w:rPr>
          <w:rFonts w:ascii="Book Antiqua" w:hAnsi="Book Antiqua" w:cs="Arial"/>
          <w:lang w:val="en-US" w:eastAsia="zh-CN"/>
        </w:rPr>
        <w:t>s</w:t>
      </w:r>
      <w:r w:rsidRPr="00CD1426">
        <w:rPr>
          <w:rFonts w:ascii="Book Antiqua" w:hAnsi="Book Antiqua" w:cs="Arial"/>
          <w:lang w:val="en-US"/>
        </w:rPr>
        <w:t xml:space="preserve">, and they can be classified as clinical, immunologic and genetic factors. HCV genotype 1, male gender, advanced liver fibrosis, HIV (human immunodeficiency virus) and HBV (hepatitis B virus) </w:t>
      </w:r>
      <w:proofErr w:type="spellStart"/>
      <w:r w:rsidRPr="00CD1426">
        <w:rPr>
          <w:rFonts w:ascii="Book Antiqua" w:hAnsi="Book Antiqua" w:cs="Arial"/>
          <w:lang w:val="en-US"/>
        </w:rPr>
        <w:t>coinfection</w:t>
      </w:r>
      <w:proofErr w:type="spellEnd"/>
      <w:r w:rsidRPr="00CD1426">
        <w:rPr>
          <w:rFonts w:ascii="Book Antiqua" w:hAnsi="Book Antiqua" w:cs="Arial"/>
          <w:lang w:val="en-US"/>
        </w:rPr>
        <w:t>, insulin resistance, poor treatment adherence, high viral load (≥</w:t>
      </w:r>
      <w:r w:rsidR="003521DC" w:rsidRPr="00CD1426">
        <w:rPr>
          <w:rFonts w:ascii="Book Antiqua" w:hAnsi="Book Antiqua" w:cs="Arial"/>
          <w:lang w:val="en-US" w:eastAsia="zh-CN"/>
        </w:rPr>
        <w:t xml:space="preserve"> </w:t>
      </w:r>
      <w:r w:rsidRPr="00CD1426">
        <w:rPr>
          <w:rFonts w:ascii="Book Antiqua" w:hAnsi="Book Antiqua" w:cs="Arial"/>
          <w:lang w:val="en-US"/>
        </w:rPr>
        <w:t>600.000 UI/mL) and African ancestry have been related with the failure of interferon based therapies, particularly with dual therapy (</w:t>
      </w:r>
      <w:proofErr w:type="spellStart"/>
      <w:r w:rsidRPr="00CD1426">
        <w:rPr>
          <w:rFonts w:ascii="Book Antiqua" w:hAnsi="Book Antiqua" w:cs="Arial"/>
          <w:lang w:val="en-US"/>
        </w:rPr>
        <w:t>pegyl</w:t>
      </w:r>
      <w:r w:rsidR="003521DC" w:rsidRPr="00CD1426">
        <w:rPr>
          <w:rFonts w:ascii="Book Antiqua" w:hAnsi="Book Antiqua" w:cs="Arial"/>
          <w:lang w:val="en-US"/>
        </w:rPr>
        <w:t>ated</w:t>
      </w:r>
      <w:proofErr w:type="spellEnd"/>
      <w:r w:rsidR="003521DC" w:rsidRPr="00CD1426">
        <w:rPr>
          <w:rFonts w:ascii="Book Antiqua" w:hAnsi="Book Antiqua" w:cs="Arial"/>
          <w:lang w:val="en-US"/>
        </w:rPr>
        <w:t xml:space="preserve"> interferon and ribavirin)</w:t>
      </w:r>
      <w:r w:rsidR="00656B78" w:rsidRPr="00CD1426">
        <w:rPr>
          <w:rFonts w:ascii="Book Antiqua" w:hAnsi="Book Antiqua" w:cs="Arial"/>
          <w:lang w:val="en-US"/>
        </w:rPr>
        <w:fldChar w:fldCharType="begin" w:fldLock="1"/>
      </w:r>
      <w:r w:rsidR="001D4A08" w:rsidRPr="00CD1426">
        <w:rPr>
          <w:rFonts w:ascii="Book Antiqua" w:hAnsi="Book Antiqua" w:cs="Arial"/>
          <w:lang w:val="en-US"/>
        </w:rPr>
        <w:instrText>ADDIN CSL_CITATION { "citationItems" : [ { "id" : "ITEM-1", "itemData" : { "DOI" : "10.1002/hep.22759", "ISSN" : "1527-3350", "PMID" : "19330875", "author" : [ { "dropping-particle" : "", "family" : "Ghany", "given" : "Marc G", "non-dropping-particle" : "", "parse-names" : false, "suffix" : "" }, { "dropping-particle" : "", "family" : "Strader", "given" : "Doris B", "non-dropping-particle" : "", "parse-names" : false, "suffix" : "" }, { "dropping-particle" : "", "family" : "Thomas", "given" : "David L", "non-dropping-particle" : "", "parse-names" : false, "suffix" : "" }, { "dropping-particle" : "", "family" : "Seeff", "given" : "Leonard B", "non-dropping-particle" : "", "parse-names" : false, "suffix" : "" } ], "container-title" : "Hepatology (Baltimore, Md.)", "id" : "ITEM-1", "issue" : "4", "issued" : { "date-parts" : [ [ "2009", "4" ] ] }, "page" : "1335-74", "title" : "Diagnosis, management, and treatment of hepatitis C: an update.", "type" : "article-journal", "volume" : "49" }, "uris" : [ "http://www.mendeley.com/documents/?uuid=2e422595-a400-4de5-956b-bf6124219117" ] }, { "id" : "ITEM-2", "itemData" : { "ISSN" : "1089-3261", "abstract" : "The incidence of newly acquired hepatitis C infection has diminished in the United States. This decline is largely because of a decrease in cases among IDUs for reasons that are unclear and, to a lesser extent, to testing of blood donors for HCV. The virus is transmitted by blood, and such transmission now occurs primarily through injection drug use, sex with an infected partner or multiple partners, and occupational exposure. Most infections become chronic, and therefore the prevalence of HCV infections is high, with about 3 million Americans estimated, to be chronically infected. HCV is a leading cause of cirrhosis, a common cause of HCC and the leading cause of liter transplantation in the United States. The disease spectrum associated with HCV infection varies greatly. Various studies have suggested that 3% to 10% of chronically infected patients will develop cirrhosis over a 20-year period, and these patients are at risk for HCC. Persons who are older at the time of infection, patients with continuous exposure to alcohol, and those coinfected with HIV or HBV demonstrate accelerated progression to more advanced liver disease. Conversely, individuals infected at a younger age have little or no disease progression over several decades. The diagnosis of chronic hepatitis C infection often is suggested by abnormalities in ALT levels and is established by EIA followed by confirmatory determination of HCV RNA. Several sensitive and specific assays are automated partly for the purposes of detecting HCV RNA and quantifying the viral level. Although there is little correlation between viral level and disease manifestations, these assays have proven useful in identifying those patients who are more likely to benefit from treatment and, particularly, in demonstrating successful response to treatment as defined by an SVR. Liver biopsy is useful in defining baseline abnormalities of liver disease and in enabling patients and healthcare providers to reach a decision regarding antiviral therapy. Noninvasive tests do not provide the information that can be obtained through liver biopsy. Information on the genotype of the virus is important to guide treatment decisions. Genotype 1, most commonly found in the United States, is less amenable to treatment than genotypes 2 or 3. Therefore, clinical trials of antiviral therapies require genotyping information for appropriate stratification of subjects. Recent therapeutic trials in defined, selected populations have shown\u2026", "author" : [ { "dropping-particle" : "", "family" : "Seeff", "given" : "Leonard B", "non-dropping-particle" : "", "parse-names" : false, "suffix" : "" }, { "dropping-particle" : "", "family" : "Hoofnagle", "given" : "Jay H", "non-dropping-particle" : "", "parse-names" : false, "suffix" : "" } ], "container-title" : "Clinics in liver disease", "id" : "ITEM-2", "issue" : "1", "issued" : { "date-parts" : [ [ "2003", "2" ] ] }, "page" : "261-87", "title" : "Appendix: The National Institutes of Health Consensus Development Conference Management of Hepatitis C 2002.", "type" : "article-journal", "volume" : "7" }, "uris" : [ "http://www.mendeley.com/documents/?uuid=b5e115e0-064b-42d1-bbf6-5f7d3ca8f40e" ] } ], "mendeley" : { "formattedCitation" : "&lt;sup&gt;[1,5]&lt;/sup&gt;", "plainTextFormattedCitation" : "[1,5]", "previouslyFormattedCitation" : "&lt;sup&gt;[1,5]&lt;/sup&gt;" }, "properties" : { "noteIndex" : 0 }, "schema" : "https://github.com/citation-style-language/schema/raw/master/csl-citation.json" }</w:instrText>
      </w:r>
      <w:r w:rsidR="00656B78" w:rsidRPr="00CD1426">
        <w:rPr>
          <w:rFonts w:ascii="Book Antiqua" w:hAnsi="Book Antiqua" w:cs="Arial"/>
          <w:lang w:val="en-US"/>
        </w:rPr>
        <w:fldChar w:fldCharType="separate"/>
      </w:r>
      <w:r w:rsidR="001D4A08" w:rsidRPr="00CD1426">
        <w:rPr>
          <w:rFonts w:ascii="Book Antiqua" w:hAnsi="Book Antiqua" w:cs="Arial"/>
          <w:noProof/>
          <w:vertAlign w:val="superscript"/>
          <w:lang w:val="en-US"/>
        </w:rPr>
        <w:t>[1,5]</w:t>
      </w:r>
      <w:r w:rsidR="00656B78" w:rsidRPr="00CD1426">
        <w:rPr>
          <w:rFonts w:ascii="Book Antiqua" w:hAnsi="Book Antiqua" w:cs="Arial"/>
          <w:lang w:val="en-US"/>
        </w:rPr>
        <w:fldChar w:fldCharType="end"/>
      </w:r>
      <w:r w:rsidR="003521DC" w:rsidRPr="00CD1426">
        <w:rPr>
          <w:rFonts w:ascii="Book Antiqua" w:hAnsi="Book Antiqua" w:cs="Arial"/>
          <w:lang w:val="en-US" w:eastAsia="zh-CN"/>
        </w:rPr>
        <w:t>.</w:t>
      </w:r>
    </w:p>
    <w:p w14:paraId="56B6E2E9" w14:textId="26FAB703" w:rsidR="002B302F" w:rsidRPr="00CD1426" w:rsidRDefault="002B302F" w:rsidP="00CD1426">
      <w:pPr>
        <w:spacing w:line="360" w:lineRule="auto"/>
        <w:ind w:firstLineChars="200" w:firstLine="480"/>
        <w:jc w:val="both"/>
        <w:rPr>
          <w:rFonts w:ascii="Book Antiqua" w:hAnsi="Book Antiqua" w:cs="Arial"/>
          <w:lang w:val="en-US" w:eastAsia="zh-CN"/>
        </w:rPr>
      </w:pPr>
      <w:r w:rsidRPr="00CD1426">
        <w:rPr>
          <w:rFonts w:ascii="Book Antiqua" w:hAnsi="Book Antiqua" w:cs="Arial"/>
          <w:lang w:val="en-US"/>
        </w:rPr>
        <w:t>Gene polymorphisms that encode or regulate the host molecular expression may be useful as disease evaluation markers and therapy response predictors; moreover, they could provide helpful information for understanding the complex mechanisms underlying the virus-host interaction and the variations observed in antiviral therapy responses. The IL28B polymorphisms were considered the strongest baseline identified predictors of dual therapy response (</w:t>
      </w:r>
      <w:proofErr w:type="spellStart"/>
      <w:r w:rsidRPr="00CD1426">
        <w:rPr>
          <w:rFonts w:ascii="Book Antiqua" w:hAnsi="Book Antiqua" w:cs="Arial"/>
          <w:lang w:val="en-US"/>
        </w:rPr>
        <w:t>pegylated</w:t>
      </w:r>
      <w:proofErr w:type="spellEnd"/>
      <w:r w:rsidRPr="00CD1426">
        <w:rPr>
          <w:rFonts w:ascii="Book Antiqua" w:hAnsi="Book Antiqua" w:cs="Arial"/>
          <w:lang w:val="en-US"/>
        </w:rPr>
        <w:t xml:space="preserve"> interferon and ribavirin); they are also predictors of viral kinetics and spontaneous clearance in acute HCV infection. IL28B polymorphisms differs among different ethnic backgrounds</w:t>
      </w:r>
      <w:r w:rsidR="00656B78" w:rsidRPr="00CD1426">
        <w:rPr>
          <w:rFonts w:ascii="Book Antiqua" w:hAnsi="Book Antiqua" w:cs="Arial"/>
          <w:lang w:val="en-US"/>
        </w:rPr>
        <w:fldChar w:fldCharType="begin" w:fldLock="1"/>
      </w:r>
      <w:r w:rsidR="001D4A08" w:rsidRPr="00CD1426">
        <w:rPr>
          <w:rFonts w:ascii="Book Antiqua" w:hAnsi="Book Antiqua" w:cs="Arial"/>
          <w:lang w:val="en-US"/>
        </w:rPr>
        <w:instrText>ADDIN CSL_CITATION { "citationItems" : [ { "id" : "ITEM-1", "itemData" : { "DOI" : "10.1038/nature08309", "ISSN" : "1476-4687", "PMID" : "19684573", "abstract" : "Chronic infection with hepatitis C virus (HCV) affects 170 million people worldwide and is the leading cause of cirrhosis in North America. Although the recommended treatment for chronic infection involves a 48-week course of peginterferon-alpha-2b (PegIFN-alpha-2b) or -alpha-2a (PegIFN-alpha-2a) combined with ribavirin (RBV), it is well known that many patients will not be cured by treatment, and that patients of European ancestry have a significantly higher probability of being cured than patients of African ancestry. In addition to limited efficacy, treatment is often poorly tolerated because of side effects that prevent some patients from completing therapy. For these reasons, identification of the determinants of response to treatment is a high priority. Here we report that a genetic polymorphism near the IL28B gene, encoding interferon-lambda-3 (IFN-lambda-3), is associated with an approximately twofold change in response to treatment, both among patients of European ancestry (P = 1.06 x 10(-25)) and African-Americans (P = 2.06 x 10(-3)). Because the genotype leading to better response is in substantially greater frequency in European than African populations, this genetic polymorphism also explains approximately half of the difference in response rates between African-Americans and patients of European ancestry.", "author" : [ { "dropping-particle" : "", "family" : "Ge", "given" : "Dongliang", "non-dropping-particle" : "", "parse-names" : false, "suffix" : "" }, { "dropping-particle" : "", "family" : "Fellay", "given" : "Jacques", "non-dropping-particle" : "", "parse-names" : false, "suffix" : "" }, { "dropping-particle" : "", "family" : "Thompson", "given" : "Alexander J", "non-dropping-particle" : "", "parse-names" : false, "suffix" : "" }, { "dropping-particle" : "", "family" : "Simon", "given" : "Jason S", "non-dropping-particle" : "", "parse-names" : false, "suffix" : "" }, { "dropping-particle" : "V", "family" : "Shianna", "given" : "Kevin", "non-dropping-particle" : "", "parse-names" : false, "suffix" : "" }, { "dropping-particle" : "", "family" : "Urban", "given" : "Thomas J", "non-dropping-particle" : "", "parse-names" : false, "suffix" : "" }, { "dropping-particle" : "", "family" : "Heinzen", "given" : "Erin L", "non-dropping-particle" : "", "parse-names" : false, "suffix" : "" }, { "dropping-particle" : "", "family" : "Qiu", "given" : "Ping", "non-dropping-particle" : "", "parse-names" : false, "suffix" : "" }, { "dropping-particle" : "", "family" : "Bertelsen", "given" : "Arthur H", "non-dropping-particle" : "", "parse-names" : false, "suffix" : "" }, { "dropping-particle" : "", "family" : "Muir", "given" : "Andrew J", "non-dropping-particle" : "", "parse-names" : false, "suffix" : "" }, { "dropping-particle" : "", "family" : "Sulkowski", "given" : "Mark", "non-dropping-particle" : "", "parse-names" : false, "suffix" : "" }, { "dropping-particle" : "", "family" : "McHutchison", "given" : "John G", "non-dropping-particle" : "", "parse-names" : false, "suffix" : "" }, { "dropping-particle" : "", "family" : "Goldstein", "given" : "David B", "non-dropping-particle" : "", "parse-names" : false, "suffix" : "" } ], "container-title" : "Nature", "id" : "ITEM-1", "issue" : "7262", "issued" : { "date-parts" : [ [ "2009", "9", "17" ] ] }, "page" : "399-401", "publisher" : "Nature Publishing Group", "title" : "Genetic variation in IL28B predicts hepatitis C treatment-induced viral clearance.", "type" : "article-journal", "volume" : "461" }, "uris" : [ "http://www.mendeley.com/documents/?uuid=2c13fa6a-3aa8-4f9f-a647-f09a99e4fc5d" ] }, { "id" : "ITEM-2", "itemData" : { "DOI" : "10.1038/ng.449", "ISSN" : "1546-1718", "PMID" : "19749757", "abstract" : "The recommended treatment for patients with chronic hepatitis C, pegylated interferon-alpha (PEG-IFN-alpha) plus ribavirin (RBV), does not provide sustained virologic response (SVR) in all patients. We report a genome-wide association study (GWAS) to null virological response (NVR) in the treatment of patients with hepatitis C virus (HCV) genotype 1 within a Japanese population. We found two SNPs near the gene IL28B on chromosome 19 to be strongly associated with NVR (rs12980275, P = 1.93 x 10(-13), and rs8099917, 3.11 x 10(-15)). We replicated these associations in an independent cohort (combined P values, 2.84 x 10(-27) (OR = 17.7; 95% CI = 10.0-31.3) and 2.68 x 10(-32) (OR = 27.1; 95% CI = 14.6-50.3), respectively). Compared to NVR, these SNPs were also associated with SVR (rs12980275, P = 3.99 x 10(-24), and rs8099917, P = 1.11 x 10(-27)). In further fine mapping of the region, seven SNPs (rs8105790, rs11881222, rs8103142, rs28416813, rs4803219, rs8099917 and rs7248668) located in the IL28B region showed the most significant associations (P = 5.52 x 10(-28)-2.68 x 10(-32); OR = 22.3-27.1). Real-time quantitative PCR assays in peripheral blood mononuclear cells showed lower IL28B expression levels in individuals carrying the minor alleles (P = 0.015).", "author" : [ { "dropping-particle" : "", "family" : "Tanaka", "given" : "Yasuhito", "non-dropping-particle" : "", "parse-names" : false, "suffix" : "" }, { "dropping-particle" : "", "family" : "Nishida", "given" : "Nao", "non-dropping-particle" : "", "parse-names" : false, "suffix" : "" }, { "dropping-particle" : "", "family" : "Sugiyama", "given" : "Masaya", "non-dropping-particle" : "", "parse-names" : false, "suffix" : "" }, { "dropping-particle" : "", "family" : "Kurosaki", "given" : "Masayuki", "non-dropping-particle" : "", "parse-names" : false, "suffix" : "" }, { "dropping-particle" : "", "family" : "Matsuura", "given" : "Kentaro", "non-dropping-particle" : "", "parse-names" : false, "suffix" : "" }, { "dropping-particle" : "", "family" : "Sakamoto", "given" : "Naoya", "non-dropping-particle" : "", "parse-names" : false, "suffix" : "" }, { "dropping-particle" : "", "family" : "Nakagawa", "given" : "Mina", "non-dropping-particle" : "", "parse-names" : false, "suffix" : "" }, { "dropping-particle" : "", "family" : "Korenaga", "given" : "Masaaki", "non-dropping-particle" : "", "parse-names" : false, "suffix" : "" }, { "dropping-particle" : "", "family" : "Hino", "given" : "Keisuke", "non-dropping-particle" : "", "parse-names" : false, "suffix" : "" }, { "dropping-particle" : "", "family" : "Hige", "given" : "Shuhei", "non-dropping-particle" : "", "parse-names" : false, "suffix" : "" }, { "dropping-particle" : "", "family" : "Ito", "given" : "Yoshito", "non-dropping-particle" : "", "parse-names" : false, "suffix" : "" }, { "dropping-particle" : "", "family" : "Mita", "given" : "Eiji", "non-dropping-particle" : "", "parse-names" : false, "suffix" : "" }, { "dropping-particle" : "", "family" : "Tanaka", "given" : "Eiji", "non-dropping-particle" : "", "parse-names" : false, "suffix" : "" }, { "dropping-particle" : "", "family" : "Mochida", "given" : "Satoshi", "non-dropping-particle" : "", "parse-names" : false, "suffix" : "" }, { "dropping-particle" : "", "family" : "Murawaki", "given" : "Yoshikazu", "non-dropping-particle" : "", "parse-names" : false, "suffix" : "" }, { "dropping-particle" : "", "family" : "Honda", "given" : "Masao", "non-dropping-particle" : "", "parse-names" : false, "suffix" : "" }, { "dropping-particle" : "", "family" : "Sakai", "given" : "Akito", "non-dropping-particle" : "", "parse-names" : false, "suffix" : "" }, { "dropping-particle" : "", "family" : "Hiasa", "given" : "Yoichi", "non-dropping-particle" : "", "parse-names" : false, "suffix" : "" }, { "dropping-particle" : "", "family" : "Nishiguchi", "given" : "Shuhei", "non-dropping-particle" : "", "parse-names" : false, "suffix" : "" }, { "dropping-particle" : "", "family" : "Koike", "given" : "Asako", "non-dropping-particle" : "", "parse-names" : false, "suffix" : "" }, { "dropping-particle" : "", "family" : "Sakaida", "given" : "Isao", "non-dropping-particle" : "", "parse-names" : false, "suffix" : "" }, { "dropping-particle" : "", "family" : "Imamura", "given" : "Masatoshi", "non-dropping-particle" : "", "parse-names" : false, "suffix" : "" }, { "dropping-particle" : "", "family" : "Ito", "given" : "Kiyoaki", "non-dropping-particle" : "", "parse-names" : false, "suffix" : "" }, { "dropping-particle" : "", "family" : "Yano", "given" : "Koji", "non-dropping-particle" : "", "parse-names" : false, "suffix" : "" }, { "dropping-particle" : "", "family" : "Masaki", "given" : "Naohiko", "non-dropping-particle" : "", "parse-names" : false, "suffix" : "" }, { "dropping-particle" : "", "family" : "Sugauchi", "given" : "Fuminaka", "non-dropping-particle" : "", "parse-names" : false, "suffix" : "" }, { "dropping-particle" : "", "family" : "Izumi", "given" : "Namiki", "non-dropping-particle" : "", "parse-names" : false, "suffix" : "" }, { "dropping-particle" : "", "family" : "Tokunaga", "given" : "Katsushi", "non-dropping-particle" : "", "parse-names" : false, "suffix" : "" }, { "dropping-particle" : "", "family" : "Mizokami", "given" : "Masashi", "non-dropping-particle" : "", "parse-names" : false, "suffix" : "" } ], "container-title" : "Nature genetics", "id" : "ITEM-2", "issue" : "10", "issued" : { "date-parts" : [ [ "2009", "10" ] ] }, "page" : "1105-9", "title" : "Genome-wide association of IL28B with response to pegylated interferon-alpha and ribavirin therapy for chronic hepatitis C.", "type" : "article", "volume" : "41" }, "uris" : [ "http://www.mendeley.com/documents/?uuid=4cb879ee-aa05-4559-bf67-962b7a1f3ee4" ] } ], "mendeley" : { "formattedCitation" : "&lt;sup&gt;[6,7]&lt;/sup&gt;", "plainTextFormattedCitation" : "[6,7]", "previouslyFormattedCitation" : "&lt;sup&gt;[6,7]&lt;/sup&gt;" }, "properties" : { "noteIndex" : 0 }, "schema" : "https://github.com/citation-style-language/schema/raw/master/csl-citation.json" }</w:instrText>
      </w:r>
      <w:r w:rsidR="00656B78" w:rsidRPr="00CD1426">
        <w:rPr>
          <w:rFonts w:ascii="Book Antiqua" w:hAnsi="Book Antiqua" w:cs="Arial"/>
          <w:lang w:val="en-US"/>
        </w:rPr>
        <w:fldChar w:fldCharType="separate"/>
      </w:r>
      <w:r w:rsidR="001D4A08" w:rsidRPr="00CD1426">
        <w:rPr>
          <w:rFonts w:ascii="Book Antiqua" w:hAnsi="Book Antiqua" w:cs="Arial"/>
          <w:noProof/>
          <w:vertAlign w:val="superscript"/>
          <w:lang w:val="en-US"/>
        </w:rPr>
        <w:t>[6,7]</w:t>
      </w:r>
      <w:r w:rsidR="00656B78" w:rsidRPr="00CD1426">
        <w:rPr>
          <w:rFonts w:ascii="Book Antiqua" w:hAnsi="Book Antiqua" w:cs="Arial"/>
          <w:lang w:val="en-US"/>
        </w:rPr>
        <w:fldChar w:fldCharType="end"/>
      </w:r>
      <w:r w:rsidR="003521DC" w:rsidRPr="00CD1426">
        <w:rPr>
          <w:rFonts w:ascii="Book Antiqua" w:hAnsi="Book Antiqua" w:cs="Arial"/>
          <w:lang w:val="en-US" w:eastAsia="zh-CN"/>
        </w:rPr>
        <w:t>.</w:t>
      </w:r>
    </w:p>
    <w:p w14:paraId="4D86EFC0" w14:textId="585D81DD" w:rsidR="002B302F" w:rsidRPr="00CD1426" w:rsidRDefault="002B302F" w:rsidP="00CD1426">
      <w:pPr>
        <w:spacing w:line="360" w:lineRule="auto"/>
        <w:ind w:firstLineChars="200" w:firstLine="480"/>
        <w:jc w:val="both"/>
        <w:rPr>
          <w:rFonts w:ascii="Book Antiqua" w:hAnsi="Book Antiqua" w:cs="Arial"/>
          <w:lang w:val="en-US" w:eastAsia="zh-CN"/>
        </w:rPr>
      </w:pPr>
      <w:r w:rsidRPr="00CD1426">
        <w:rPr>
          <w:rFonts w:ascii="Book Antiqua" w:hAnsi="Book Antiqua" w:cs="Arial"/>
          <w:lang w:val="en-US"/>
        </w:rPr>
        <w:t xml:space="preserve">Along the last four years, </w:t>
      </w:r>
      <w:r w:rsidRPr="00CD1426">
        <w:rPr>
          <w:rFonts w:ascii="Book Antiqua" w:hAnsi="Book Antiqua" w:cs="Arial"/>
          <w:bCs/>
          <w:lang w:val="en-US"/>
        </w:rPr>
        <w:t>hepatitis C treatment has rapidly changed with the development of new therapies and other advancements,</w:t>
      </w:r>
      <w:r w:rsidRPr="00CD1426" w:rsidDel="00261D93">
        <w:rPr>
          <w:rFonts w:ascii="Book Antiqua" w:hAnsi="Book Antiqua" w:cs="Arial"/>
          <w:lang w:val="en-US"/>
        </w:rPr>
        <w:t xml:space="preserve"> </w:t>
      </w:r>
      <w:r w:rsidRPr="00CD1426">
        <w:rPr>
          <w:rFonts w:ascii="Book Antiqua" w:hAnsi="Book Antiqua" w:cs="Arial"/>
          <w:lang w:val="en-US"/>
        </w:rPr>
        <w:t xml:space="preserve">and the chances of cure are significantly increasing. Initially, with the first-generation direct acting antivirals (DAA) </w:t>
      </w:r>
      <w:proofErr w:type="spellStart"/>
      <w:r w:rsidRPr="00CD1426">
        <w:rPr>
          <w:rFonts w:ascii="Book Antiqua" w:hAnsi="Book Antiqua" w:cs="Arial"/>
          <w:lang w:val="en-US"/>
        </w:rPr>
        <w:t>boceprevir</w:t>
      </w:r>
      <w:proofErr w:type="spellEnd"/>
      <w:r w:rsidRPr="00CD1426">
        <w:rPr>
          <w:rFonts w:ascii="Book Antiqua" w:hAnsi="Book Antiqua" w:cs="Arial"/>
          <w:lang w:val="en-US"/>
        </w:rPr>
        <w:t xml:space="preserve"> and </w:t>
      </w:r>
      <w:proofErr w:type="spellStart"/>
      <w:r w:rsidRPr="00CD1426">
        <w:rPr>
          <w:rFonts w:ascii="Book Antiqua" w:hAnsi="Book Antiqua" w:cs="Arial"/>
          <w:lang w:val="en-US"/>
        </w:rPr>
        <w:t>telaprevir</w:t>
      </w:r>
      <w:proofErr w:type="spellEnd"/>
      <w:r w:rsidRPr="00CD1426">
        <w:rPr>
          <w:rFonts w:ascii="Book Antiqua" w:hAnsi="Book Antiqua" w:cs="Arial"/>
          <w:lang w:val="en-US"/>
        </w:rPr>
        <w:t xml:space="preserve">, individuals with HCV genotype 1 achieved SVR rates of nearly 70% or greater, and the viral kinetics and hepatic fibrosis were </w:t>
      </w:r>
      <w:r w:rsidR="00AB7BA7" w:rsidRPr="00CD1426">
        <w:rPr>
          <w:rFonts w:ascii="Book Antiqua" w:hAnsi="Book Antiqua" w:cs="Arial"/>
          <w:lang w:val="en-US"/>
        </w:rPr>
        <w:t>the main predictors of response</w:t>
      </w:r>
      <w:r w:rsidR="00656B78" w:rsidRPr="00CD1426">
        <w:rPr>
          <w:rFonts w:ascii="Book Antiqua" w:hAnsi="Book Antiqua" w:cs="Arial"/>
          <w:lang w:val="en-US"/>
        </w:rPr>
        <w:fldChar w:fldCharType="begin" w:fldLock="1"/>
      </w:r>
      <w:r w:rsidR="001D4A08" w:rsidRPr="00CD1426">
        <w:rPr>
          <w:rFonts w:ascii="Book Antiqua" w:hAnsi="Book Antiqua" w:cs="Arial"/>
          <w:lang w:val="en-US"/>
        </w:rPr>
        <w:instrText>ADDIN CSL_CITATION { "citationItems" : [ { "id" : "ITEM-1", "itemData" : { "DOI" : "10.1056/NEJMoa1010494", "ISSN" : "1533-4406", "PMID" : "21449783", "abstract" : "BACKGROUND: Peginterferon-ribavirin therapy is the current standard of care for chronic infection with hepatitis C virus (HCV). The rate of sustained virologic response has been below 50% in cases of HCV genotype 1 infection. Boceprevir, a potent oral HCV-protease inhibitor, has been evaluated as an additional treatment in phase 1 and phase 2 studies.\n\nMETHODS: We conducted a double-blind study in which previously untreated adults with HCV genotype 1 infection were randomly assigned to one of three groups. In all three groups, peginterferon alfa-2b and ribavirin were administered for 4 weeks (the lead-in period). Subsequently, group 1 (the control group) received placebo plus peginterferon-ribavirin for 44 weeks; group 2 received boceprevir plus peginterferon-ribavirin for 24 weeks, and those with a detectable HCV RNA level between weeks 8 and 24 received placebo plus peginterferon-ribavirin for an additional 20 weeks; and group 3 received boceprevir plus peginterferon-ribavirin for 44 weeks. Nonblack patients and black patients were enrolled and analyzed separately.\n\nRESULTS: A total of 938 nonblack and 159 black patients were treated. In the nonblack cohort, a sustained virologic response was achieved in 125 of the 311 patients (40%) in group 1, in 211 of the 316 patients (67%) in group 2 (P&lt;0.001), and in 213 of the 311 patients (68%) in group 3 (P&lt;0.001). In the black cohort, a sustained virologic response was achieved in 12 of the 52 patients (23%) in group 1, in 22 of the 52 patients (42%) in group 2 (P=0.04), and in 29 of the 55 patients (53%) in group 3 (P=0.004). In group 2, a total of 44% of patients received peginterferon-ribavirin for 28 weeks. Anemia led to dose reductions in 13% of controls and 21% of boceprevir recipients, with discontinuations in 1% and 2%, respectively.\n\nCONCLUSIONS: The addition of boceprevir to standard therapy with peginterferon-ribavirin, as compared with standard therapy alone, significantly increased the rates of sustained virologic response in previously untreated adults with chronic HCV genotype 1 infection. The rates were similar with 24 weeks and 44 weeks of boceprevir. (Funded by Schering-Plough [now Merck]; SPRINT-2 ClinicalTrials.gov number, NCT00705432.).", "author" : [ { "dropping-particle" : "", "family" : "Poordad", "given" : "Fred", "non-dropping-particle" : "", "parse-names" : false, "suffix" : "" }, { "dropping-particle" : "", "family" : "McCone", "given" : "Jonathan", "non-dropping-particle" : "", "parse-names" : false, "suffix" : "" }, { "dropping-particle" : "", "family" : "Bacon", "given" : "Bruce R", "non-dropping-particle" : "", "parse-names" : false, "suffix" : "" }, { "dropping-particle" : "", "family" : "Bruno", "given" : "Savino", "non-dropping-particle" : "", "parse-names" : false, "suffix" : "" }, { "dropping-particle" : "", "family" : "Manns", "given" : "Michael P", "non-dropping-particle" : "", "parse-names" : false, "suffix" : "" }, { "dropping-particle" : "", "family" : "Sulkowski", "given" : "Mark S", "non-dropping-particle" : "", "parse-names" : false, "suffix" : "" }, { "dropping-particle" : "", "family" : "Jacobson", "given" : "Ira M", "non-dropping-particle" : "", "parse-names" : false, "suffix" : "" }, { "dropping-particle" : "", "family" : "Reddy", "given" : "K Rajender", "non-dropping-particle" : "", "parse-names" : false, "suffix" : "" }, { "dropping-particle" : "", "family" : "Goodman", "given" : "Zachary D", "non-dropping-particle" : "", "parse-names" : false, "suffix" : "" }, { "dropping-particle" : "", "family" : "Boparai", "given" : "Navdeep", "non-dropping-particle" : "", "parse-names" : false, "suffix" : "" }, { "dropping-particle" : "", "family" : "DiNubile", "given" : "Mark J", "non-dropping-particle" : "", "parse-names" : false, "suffix" : "" }, { "dropping-particle" : "", "family" : "Sniukiene", "given" : "Vilma", "non-dropping-particle" : "", "parse-names" : false, "suffix" : "" }, { "dropping-particle" : "", "family" : "Brass", "given" : "Clifford A", "non-dropping-particle" : "", "parse-names" : false, "suffix" : "" }, { "dropping-particle" : "", "family" : "Albrecht", "given" : "Janice K", "non-dropping-particle" : "", "parse-names" : false, "suffix" : "" }, { "dropping-particle" : "", "family" : "Bronowicki", "given" : "Jean-Pierre", "non-dropping-particle" : "", "parse-names" : false, "suffix" : "" } ], "container-title" : "The New England journal of medicine", "id" : "ITEM-1", "issue" : "13", "issued" : { "date-parts" : [ [ "2011", "3", "31" ] ] }, "page" : "1195-206", "title" : "Boceprevir for untreated chronic HCV genotype 1 infection.", "type" : "article-journal", "volume" : "364" }, "uris" : [ "http://www.mendeley.com/documents/?uuid=30f6b073-45d0-4e95-9222-9535822b2f9b" ] }, { "id" : "ITEM-2", "itemData" : { "DOI" : "10.1056/NEJMoa1012912", "ISSN" : "1533-4406", "PMID" : "21696307", "abstract" : "In phase 2 trials, telaprevir, a hepatitis C virus (HCV) genotype 1 protease inhibitor, in combination with peginterferon-ribavirin, as compared with peginterferon-ribavirin alone, has shown improved efficacy, with potential for shortening the duration of treatment in a majority of patients.", "author" : [ { "dropping-particle" : "", "family" : "Jacobson", "given" : "Ira M", "non-dropping-particle" : "", "parse-names" : false, "suffix" : "" }, { "dropping-particle" : "", "family" : "McHutchison", "given" : "John G", "non-dropping-particle" : "", "parse-names" : false, "suffix" : "" }, { "dropping-particle" : "", "family" : "Dusheiko", "given" : "Geoffrey", "non-dropping-particle" : "", "parse-names" : false, "suffix" : "" }, { "dropping-particle" : "", "family" : "Bisceglie", "given" : "Adrian M", "non-dropping-particle" : "Di", "parse-names" : false, "suffix" : "" }, { "dropping-particle" : "", "family" : "Reddy", "given" : "K Rajender", "non-dropping-particle" : "", "parse-names" : false, "suffix" : "" }, { "dropping-particle" : "", "family" : "Bzowej", "given" : "Natalie H", "non-dropping-particle" : "", "parse-names" : false, "suffix" : "" }, { "dropping-particle" : "", "family" : "Marcellin", "given" : "Patrick", "non-dropping-particle" : "", "parse-names" : false, "suffix" : "" }, { "dropping-particle" : "", "family" : "Muir", "given" : "Andrew J", "non-dropping-particle" : "", "parse-names" : false, "suffix" : "" }, { "dropping-particle" : "", "family" : "Ferenci", "given" : "Peter", "non-dropping-particle" : "", "parse-names" : false, "suffix" : "" }, { "dropping-particle" : "", "family" : "Flisiak", "given" : "Robert", "non-dropping-particle" : "", "parse-names" : false, "suffix" : "" }, { "dropping-particle" : "", "family" : "George", "given" : "Jacob", "non-dropping-particle" : "", "parse-names" : false, "suffix" : "" }, { "dropping-particle" : "", "family" : "Rizzetto", "given" : "Mario", "non-dropping-particle" : "", "parse-names" : false, "suffix" : "" }, { "dropping-particle" : "", "family" : "Shouval", "given" : "Daniel", "non-dropping-particle" : "", "parse-names" : false, "suffix" : "" }, { "dropping-particle" : "", "family" : "Sola", "given" : "Ricard", "non-dropping-particle" : "", "parse-names" : false, "suffix" : "" }, { "dropping-particle" : "", "family" : "Terg", "given" : "Ruben a", "non-dropping-particle" : "", "parse-names" : false, "suffix" : "" }, { "dropping-particle" : "", "family" : "Yoshida", "given" : "Eric M", "non-dropping-particle" : "", "parse-names" : false, "suffix" : "" }, { "dropping-particle" : "", "family" : "Adda", "given" : "Nathalie", "non-dropping-particle" : "", "parse-names" : false, "suffix" : "" }, { "dropping-particle" : "", "family" : "Bengtsson", "given" : "Leif", "non-dropping-particle" : "", "parse-names" : false, "suffix" : "" }, { "dropping-particle" : "", "family" : "Sankoh", "given" : "Abdul J", "non-dropping-particle" : "", "parse-names" : false, "suffix" : "" }, { "dropping-particle" : "", "family" : "Kieffer", "given" : "Tara L", "non-dropping-particle" : "", "parse-names" : false, "suffix" : "" }, { "dropping-particle" : "", "family" : "George", "given" : "Shelley", "non-dropping-particle" : "", "parse-names" : false, "suffix" : "" }, { "dropping-particle" : "", "family" : "Kauffman", "given" : "Robert S", "non-dropping-particle" : "", "parse-names" : false, "suffix" : "" }, { "dropping-particle" : "", "family" : "Zeuzem", "given" : "Stefan", "non-dropping-particle" : "", "parse-names" : false, "suffix" : "" } ], "container-title" : "The New England journal of medicine", "id" : "ITEM-2", "issue" : "25", "issued" : { "date-parts" : [ [ "2011", "6", "23" ] ] }, "page" : "2405-16", "title" : "Telaprevir for previously untreated chronic hepatitis C virus infection.", "type" : "article-journal", "volume" : "364" }, "uris" : [ "http://www.mendeley.com/documents/?uuid=9eaa9077-5e5f-4fe3-97a7-cd8dc90cad78" ] } ], "mendeley" : { "formattedCitation" : "&lt;sup&gt;[8,9]&lt;/sup&gt;", "plainTextFormattedCitation" : "[8,9]", "previouslyFormattedCitation" : "&lt;sup&gt;[8,9]&lt;/sup&gt;" }, "properties" : { "noteIndex" : 0 }, "schema" : "https://github.com/citation-style-language/schema/raw/master/csl-citation.json" }</w:instrText>
      </w:r>
      <w:r w:rsidR="00656B78" w:rsidRPr="00CD1426">
        <w:rPr>
          <w:rFonts w:ascii="Book Antiqua" w:hAnsi="Book Antiqua" w:cs="Arial"/>
          <w:lang w:val="en-US"/>
        </w:rPr>
        <w:fldChar w:fldCharType="separate"/>
      </w:r>
      <w:r w:rsidR="001D4A08" w:rsidRPr="00CD1426">
        <w:rPr>
          <w:rFonts w:ascii="Book Antiqua" w:hAnsi="Book Antiqua" w:cs="Arial"/>
          <w:noProof/>
          <w:vertAlign w:val="superscript"/>
          <w:lang w:val="en-US"/>
        </w:rPr>
        <w:t>[8,9]</w:t>
      </w:r>
      <w:r w:rsidR="00656B78" w:rsidRPr="00CD1426">
        <w:rPr>
          <w:rFonts w:ascii="Book Antiqua" w:hAnsi="Book Antiqua" w:cs="Arial"/>
          <w:lang w:val="en-US"/>
        </w:rPr>
        <w:fldChar w:fldCharType="end"/>
      </w:r>
      <w:r w:rsidR="00AB7BA7" w:rsidRPr="00CD1426">
        <w:rPr>
          <w:rFonts w:ascii="Book Antiqua" w:hAnsi="Book Antiqua" w:cs="Arial"/>
          <w:lang w:val="en-US" w:eastAsia="zh-CN"/>
        </w:rPr>
        <w:t>.</w:t>
      </w:r>
      <w:r w:rsidRPr="00CD1426">
        <w:rPr>
          <w:rFonts w:ascii="Book Antiqua" w:hAnsi="Book Antiqua" w:cs="Arial"/>
          <w:lang w:val="en-US"/>
        </w:rPr>
        <w:t xml:space="preserve"> Currently, with the more recent generations of </w:t>
      </w:r>
      <w:proofErr w:type="spellStart"/>
      <w:r w:rsidRPr="00CD1426">
        <w:rPr>
          <w:rFonts w:ascii="Book Antiqua" w:hAnsi="Book Antiqua" w:cs="Arial"/>
          <w:lang w:val="en-US"/>
        </w:rPr>
        <w:t>pangenotipic</w:t>
      </w:r>
      <w:proofErr w:type="spellEnd"/>
      <w:r w:rsidRPr="00CD1426">
        <w:rPr>
          <w:rFonts w:ascii="Book Antiqua" w:hAnsi="Book Antiqua" w:cs="Arial"/>
          <w:lang w:val="en-US"/>
        </w:rPr>
        <w:t xml:space="preserve"> antiviral therapies, there have been even higher SVR rates, and prognostic factors may not have the same importance and strength as before. Nevertheless, viral kinetics, the presence of </w:t>
      </w:r>
      <w:r w:rsidRPr="00CD1426">
        <w:rPr>
          <w:rFonts w:ascii="Book Antiqua" w:hAnsi="Book Antiqua" w:cs="Arial"/>
          <w:lang w:val="en-US"/>
        </w:rPr>
        <w:lastRenderedPageBreak/>
        <w:t xml:space="preserve">liver cirrhosis and HCV genotype 3 may still be relevant factors that influence the rates </w:t>
      </w:r>
      <w:r w:rsidR="00AB7BA7" w:rsidRPr="00CD1426">
        <w:rPr>
          <w:rFonts w:ascii="Book Antiqua" w:hAnsi="Book Antiqua" w:cs="Arial"/>
          <w:lang w:val="en-US"/>
        </w:rPr>
        <w:t xml:space="preserve">of sustained </w:t>
      </w:r>
      <w:proofErr w:type="spellStart"/>
      <w:r w:rsidR="00AB7BA7" w:rsidRPr="00CD1426">
        <w:rPr>
          <w:rFonts w:ascii="Book Antiqua" w:hAnsi="Book Antiqua" w:cs="Arial"/>
          <w:lang w:val="en-US"/>
        </w:rPr>
        <w:t>virologic</w:t>
      </w:r>
      <w:proofErr w:type="spellEnd"/>
      <w:r w:rsidR="00AB7BA7" w:rsidRPr="00CD1426">
        <w:rPr>
          <w:rFonts w:ascii="Book Antiqua" w:hAnsi="Book Antiqua" w:cs="Arial"/>
          <w:lang w:val="en-US"/>
        </w:rPr>
        <w:t xml:space="preserve"> </w:t>
      </w:r>
      <w:proofErr w:type="gramStart"/>
      <w:r w:rsidR="00AB7BA7" w:rsidRPr="00CD1426">
        <w:rPr>
          <w:rFonts w:ascii="Book Antiqua" w:hAnsi="Book Antiqua" w:cs="Arial"/>
          <w:lang w:val="en-US"/>
        </w:rPr>
        <w:t>response</w:t>
      </w:r>
      <w:r w:rsidR="00AB7BA7" w:rsidRPr="00CD1426">
        <w:rPr>
          <w:rFonts w:ascii="Book Antiqua" w:hAnsi="Book Antiqua" w:cs="Arial"/>
          <w:vertAlign w:val="superscript"/>
          <w:lang w:val="en-US" w:eastAsia="zh-CN"/>
        </w:rPr>
        <w:t>[</w:t>
      </w:r>
      <w:proofErr w:type="gramEnd"/>
      <w:r w:rsidR="00AB7BA7" w:rsidRPr="00CD1426">
        <w:rPr>
          <w:rFonts w:ascii="Book Antiqua" w:hAnsi="Book Antiqua" w:cs="Arial"/>
          <w:vertAlign w:val="superscript"/>
          <w:lang w:val="en-US" w:eastAsia="zh-CN"/>
        </w:rPr>
        <w:t>9]</w:t>
      </w:r>
      <w:r w:rsidR="00AB7BA7" w:rsidRPr="00CD1426">
        <w:rPr>
          <w:rFonts w:ascii="Book Antiqua" w:hAnsi="Book Antiqua" w:cs="Arial"/>
          <w:lang w:val="en-US" w:eastAsia="zh-CN"/>
        </w:rPr>
        <w:t>.</w:t>
      </w:r>
    </w:p>
    <w:p w14:paraId="7330C292" w14:textId="77777777" w:rsidR="00E2415B" w:rsidRPr="00CD1426" w:rsidRDefault="00E2415B" w:rsidP="00CD1426">
      <w:pPr>
        <w:spacing w:line="360" w:lineRule="auto"/>
        <w:jc w:val="both"/>
        <w:rPr>
          <w:rFonts w:ascii="Book Antiqua" w:hAnsi="Book Antiqua" w:cs="Arial"/>
          <w:lang w:val="en-US"/>
        </w:rPr>
      </w:pPr>
    </w:p>
    <w:p w14:paraId="4CA86FBE" w14:textId="13B34C30" w:rsidR="002B302F" w:rsidRPr="00CD1426" w:rsidRDefault="002B302F" w:rsidP="00CD1426">
      <w:pPr>
        <w:spacing w:line="360" w:lineRule="auto"/>
        <w:jc w:val="both"/>
        <w:rPr>
          <w:rFonts w:ascii="Book Antiqua" w:hAnsi="Book Antiqua" w:cs="Arial"/>
          <w:b/>
          <w:lang w:val="en-US"/>
        </w:rPr>
      </w:pPr>
      <w:r w:rsidRPr="00CD1426">
        <w:rPr>
          <w:rFonts w:ascii="Book Antiqua" w:hAnsi="Book Antiqua" w:cs="Arial"/>
          <w:b/>
          <w:lang w:val="en-US"/>
        </w:rPr>
        <w:t>PROGNOSTIC FACTORS IN DUAL PEGYLATED INTERFERON PLUS RIBAVIRIN</w:t>
      </w:r>
      <w:r w:rsidR="00C04C74">
        <w:rPr>
          <w:rFonts w:ascii="Book Antiqua" w:hAnsi="Book Antiqua" w:cs="Arial" w:hint="eastAsia"/>
          <w:b/>
          <w:lang w:val="en-US" w:eastAsia="zh-CN"/>
        </w:rPr>
        <w:t xml:space="preserve"> </w:t>
      </w:r>
      <w:r w:rsidRPr="00CD1426">
        <w:rPr>
          <w:rFonts w:ascii="Book Antiqua" w:hAnsi="Book Antiqua" w:cs="Arial"/>
          <w:b/>
          <w:lang w:val="en-US"/>
        </w:rPr>
        <w:t>THERAPY ERA</w:t>
      </w:r>
    </w:p>
    <w:p w14:paraId="74D3A170" w14:textId="2502597E" w:rsidR="002B302F" w:rsidRPr="00CD1426" w:rsidRDefault="002B302F" w:rsidP="00CD1426">
      <w:pPr>
        <w:tabs>
          <w:tab w:val="left" w:pos="6237"/>
        </w:tabs>
        <w:spacing w:line="360" w:lineRule="auto"/>
        <w:jc w:val="both"/>
        <w:rPr>
          <w:rFonts w:ascii="Book Antiqua" w:hAnsi="Book Antiqua" w:cs="Arial"/>
          <w:lang w:val="en-US" w:eastAsia="zh-CN"/>
        </w:rPr>
      </w:pPr>
      <w:r w:rsidRPr="00CD1426">
        <w:rPr>
          <w:rFonts w:ascii="Book Antiqua" w:hAnsi="Book Antiqua" w:cs="Arial"/>
          <w:lang w:val="en-US"/>
        </w:rPr>
        <w:t xml:space="preserve">Early in 2000s, dual therapy using a combination of </w:t>
      </w:r>
      <w:proofErr w:type="spellStart"/>
      <w:r w:rsidRPr="00CD1426">
        <w:rPr>
          <w:rFonts w:ascii="Book Antiqua" w:hAnsi="Book Antiqua" w:cs="Arial"/>
          <w:lang w:val="en-US"/>
        </w:rPr>
        <w:t>pegylated</w:t>
      </w:r>
      <w:proofErr w:type="spellEnd"/>
      <w:r w:rsidRPr="00CD1426">
        <w:rPr>
          <w:rFonts w:ascii="Book Antiqua" w:hAnsi="Book Antiqua" w:cs="Arial"/>
          <w:lang w:val="en-US"/>
        </w:rPr>
        <w:t xml:space="preserve"> interferon-alpha plus ribavirin was the standard of care for HCV treatment. HCV genotype 1 infection used to be the most difficult genotype to treat, with relatively low SVR rates compared to current rates, and required an expected duration of therapy of 48 </w:t>
      </w:r>
      <w:proofErr w:type="spellStart"/>
      <w:r w:rsidRPr="00CD1426">
        <w:rPr>
          <w:rFonts w:ascii="Book Antiqua" w:hAnsi="Book Antiqua" w:cs="Arial"/>
          <w:lang w:val="en-US"/>
        </w:rPr>
        <w:t>w</w:t>
      </w:r>
      <w:r w:rsidR="00B33120" w:rsidRPr="00CD1426">
        <w:rPr>
          <w:rFonts w:ascii="Book Antiqua" w:hAnsi="Book Antiqua" w:cs="Arial"/>
          <w:lang w:val="en-US"/>
        </w:rPr>
        <w:t>k</w:t>
      </w:r>
      <w:proofErr w:type="spellEnd"/>
      <w:r w:rsidRPr="00CD1426">
        <w:rPr>
          <w:rFonts w:ascii="Book Antiqua" w:hAnsi="Book Antiqua" w:cs="Arial"/>
          <w:lang w:val="en-US"/>
        </w:rPr>
        <w:t xml:space="preserve"> that could be extended to 72 </w:t>
      </w:r>
      <w:proofErr w:type="spellStart"/>
      <w:r w:rsidRPr="00CD1426">
        <w:rPr>
          <w:rFonts w:ascii="Book Antiqua" w:hAnsi="Book Antiqua" w:cs="Arial"/>
          <w:lang w:val="en-US"/>
        </w:rPr>
        <w:t>w</w:t>
      </w:r>
      <w:r w:rsidR="00B33120" w:rsidRPr="00CD1426">
        <w:rPr>
          <w:rFonts w:ascii="Book Antiqua" w:hAnsi="Book Antiqua" w:cs="Arial"/>
          <w:lang w:val="en-US"/>
        </w:rPr>
        <w:t>k</w:t>
      </w:r>
      <w:proofErr w:type="spellEnd"/>
      <w:r w:rsidRPr="00CD1426">
        <w:rPr>
          <w:rFonts w:ascii="Book Antiqua" w:hAnsi="Book Antiqua" w:cs="Arial"/>
          <w:lang w:val="en-US"/>
        </w:rPr>
        <w:t xml:space="preserve"> for partial responders. Conversely, for genotypes 2 and 3 HCV infected patients, the recommended treatment time wa</w:t>
      </w:r>
      <w:r w:rsidR="00B33120" w:rsidRPr="00CD1426">
        <w:rPr>
          <w:rFonts w:ascii="Book Antiqua" w:hAnsi="Book Antiqua" w:cs="Arial"/>
          <w:lang w:val="en-US"/>
        </w:rPr>
        <w:t xml:space="preserve">s 12 to 48 </w:t>
      </w:r>
      <w:proofErr w:type="spellStart"/>
      <w:r w:rsidR="00B33120" w:rsidRPr="00CD1426">
        <w:rPr>
          <w:rFonts w:ascii="Book Antiqua" w:hAnsi="Book Antiqua" w:cs="Arial"/>
          <w:lang w:val="en-US"/>
        </w:rPr>
        <w:t>wk</w:t>
      </w:r>
      <w:proofErr w:type="spellEnd"/>
      <w:r w:rsidRPr="00CD1426">
        <w:rPr>
          <w:rFonts w:ascii="Book Antiqua" w:hAnsi="Book Antiqua" w:cs="Arial"/>
          <w:lang w:val="en-US"/>
        </w:rPr>
        <w:t>, and superior SVR rates were reache</w:t>
      </w:r>
      <w:r w:rsidR="00AB7BA7" w:rsidRPr="00CD1426">
        <w:rPr>
          <w:rFonts w:ascii="Book Antiqua" w:hAnsi="Book Antiqua" w:cs="Arial"/>
          <w:lang w:val="en-US"/>
        </w:rPr>
        <w:t>d compared with HCV genotype 1</w:t>
      </w:r>
      <w:r w:rsidRPr="00CD1426">
        <w:rPr>
          <w:rFonts w:ascii="Book Antiqua" w:hAnsi="Book Antiqua" w:cs="Arial"/>
          <w:lang w:val="en-US"/>
        </w:rPr>
        <w:fldChar w:fldCharType="begin" w:fldLock="1"/>
      </w:r>
      <w:r w:rsidR="001D4A08" w:rsidRPr="00CD1426">
        <w:rPr>
          <w:rFonts w:ascii="Book Antiqua" w:hAnsi="Book Antiqua" w:cs="Arial"/>
          <w:lang w:val="en-US"/>
        </w:rPr>
        <w:instrText>ADDIN CSL_CITATION { "citationItems" : [ { "id" : "ITEM-1", "itemData" : { "DOI" : "10.1002/hep.22759", "ISSN" : "1527-3350", "PMID" : "19330875", "author" : [ { "dropping-particle" : "", "family" : "Ghany", "given" : "Marc G", "non-dropping-particle" : "", "parse-names" : false, "suffix" : "" }, { "dropping-particle" : "", "family" : "Strader", "given" : "Doris B", "non-dropping-particle" : "", "parse-names" : false, "suffix" : "" }, { "dropping-particle" : "", "family" : "Thomas", "given" : "David L", "non-dropping-particle" : "", "parse-names" : false, "suffix" : "" }, { "dropping-particle" : "", "family" : "Seeff", "given" : "Leonard B", "non-dropping-particle" : "", "parse-names" : false, "suffix" : "" } ], "container-title" : "Hepatology (Baltimore, Md.)", "id" : "ITEM-1", "issue" : "4", "issued" : { "date-parts" : [ [ "2009", "4" ] ] }, "page" : "1335-74", "title" : "Diagnosis, management, and treatment of hepatitis C: an update.", "type" : "article-journal", "volume" : "49" }, "uris" : [ "http://www.mendeley.com/documents/?uuid=2e422595-a400-4de5-956b-bf6124219117" ] }, { "id" : "ITEM-2", "itemData" : { "ISSN" : "1089-3261", "abstract" : "The incidence of newly acquired hepatitis C infection has diminished in the United States. This decline is largely because of a decrease in cases among IDUs for reasons that are unclear and, to a lesser extent, to testing of blood donors for HCV. The virus is transmitted by blood, and such transmission now occurs primarily through injection drug use, sex with an infected partner or multiple partners, and occupational exposure. Most infections become chronic, and therefore the prevalence of HCV infections is high, with about 3 million Americans estimated, to be chronically infected. HCV is a leading cause of cirrhosis, a common cause of HCC and the leading cause of liter transplantation in the United States. The disease spectrum associated with HCV infection varies greatly. Various studies have suggested that 3% to 10% of chronically infected patients will develop cirrhosis over a 20-year period, and these patients are at risk for HCC. Persons who are older at the time of infection, patients with continuous exposure to alcohol, and those coinfected with HIV or HBV demonstrate accelerated progression to more advanced liver disease. Conversely, individuals infected at a younger age have little or no disease progression over several decades. The diagnosis of chronic hepatitis C infection often is suggested by abnormalities in ALT levels and is established by EIA followed by confirmatory determination of HCV RNA. Several sensitive and specific assays are automated partly for the purposes of detecting HCV RNA and quantifying the viral level. Although there is little correlation between viral level and disease manifestations, these assays have proven useful in identifying those patients who are more likely to benefit from treatment and, particularly, in demonstrating successful response to treatment as defined by an SVR. Liver biopsy is useful in defining baseline abnormalities of liver disease and in enabling patients and healthcare providers to reach a decision regarding antiviral therapy. Noninvasive tests do not provide the information that can be obtained through liver biopsy. Information on the genotype of the virus is important to guide treatment decisions. Genotype 1, most commonly found in the United States, is less amenable to treatment than genotypes 2 or 3. Therefore, clinical trials of antiviral therapies require genotyping information for appropriate stratification of subjects. Recent therapeutic trials in defined, selected populations have shown\u2026", "author" : [ { "dropping-particle" : "", "family" : "Seeff", "given" : "Leonard B", "non-dropping-particle" : "", "parse-names" : false, "suffix" : "" }, { "dropping-particle" : "", "family" : "Hoofnagle", "given" : "Jay H", "non-dropping-particle" : "", "parse-names" : false, "suffix" : "" } ], "container-title" : "Clinics in liver disease", "id" : "ITEM-2", "issue" : "1", "issued" : { "date-parts" : [ [ "2003", "2" ] ] }, "page" : "261-87", "title" : "Appendix: The National Institutes of Health Consensus Development Conference Management of Hepatitis C 2002.", "type" : "article-journal", "volume" : "7" }, "uris" : [ "http://www.mendeley.com/documents/?uuid=b5e115e0-064b-42d1-bbf6-5f7d3ca8f40e" ] }, { "id" : "ITEM-3", "itemData" : { "ISSN" : "1366-5278", "PMID" : "15461877", "abstract" : "OBJECTIVES: To assess the clinical-effectiveness and cost-effectiveness of pegylated interferon-alpha combined with ribavirin in the treatment of chronic hepatitis C.\n\nDATA SOURCES: Electronic databases, reference lists of retrieved reports, and the industry submissions to the National Institute for Clinical Excellence.\n\nREVIEW METHODS: Sources were rigorously searched and studies were selected that met the inclusion criteria of being randomised controlled trials (RCTs) involving comparisons between pegylated interferon-alpha plus ribavirin and non-pegylated interferon plus ribavirin (two trials) or pegylated interferon alone and non-pegylated interferon alone (four trials). The primary outcome in all trials was sustained virological response (SVR) at follow-up. The trials were generally of good quality, although reporting of methodological details could have been more thorough in places. A cost-effectiveness model followed a hypothetical cohort of 1000 individuals with chronic hepatitis C over a 30-year period.\n\nRESULTS: In the two trials that tested pegylated interferon plus ribavirin against non-pegylated interferon plus ribavirin the combined percentage of sustained virological response was 55%. The relative risk (RR) for remaining infected was reduced by 17% for pegylated interferon plus ribavirin compared with non-pegylated interferon plus ribavirin. Response to therapy varied according to viral genotype. Patients with genotype 1 had the lowest levels of sustained virological response and patients with genotype 2 or 3 had the highest. In the four trials that evaluated pegylated interferon monotherapy against non-pegylated interferon the combined sustained virological response rates were 31% for pegylated interferon and 14% for non-pegylated interferon. The RR for remaining infected with hepatitis C was reduced by 20% with the use of pegylated interferon. Patients with genotype 1 had the lowest levels of sustained virological response. There were also variations in sustained virological response according to other prognostic variables such as baseline viral load. Regimens involving pegylated interferon appear to be fairly well tolerated. Adverse events were been reported, but they did not differ substantially from levels of adverse events in regimens involving non-pegylated interferon. The incremental discounted cost per QALY for comparing no active treatment to 48 weeks of dual therapy with pegylated interferon and ribavirin (PEG + RBV) was 6045 p\u2026", "author" : [ { "dropping-particle" : "", "family" : "Shepherd", "given" : "J", "non-dropping-particle" : "", "parse-names" : false, "suffix" : "" }, { "dropping-particle" : "", "family" : "Brodin", "given" : "H", "non-dropping-particle" : "", "parse-names" : false, "suffix" : "" }, { "dropping-particle" : "", "family" : "Cave", "given" : "C", "non-dropping-particle" : "", "parse-names" : false, "suffix" : "" }, { "dropping-particle" : "", "family" : "Waugh", "given" : "N", "non-dropping-particle" : "", "parse-names" : false, "suffix" : "" }, { "dropping-particle" : "", "family" : "Price", "given" : "A", "non-dropping-particle" : "", "parse-names" : false, "suffix" : "" }, { "dropping-particle" : "", "family" : "Gabbay", "given" : "J", "non-dropping-particle" : "", "parse-names" : false, "suffix" : "" } ], "container-title" : "Health technology assessment (Winchester, England)", "id" : "ITEM-3", "issue" : "39", "issued" : { "date-parts" : [ [ "2004", "10" ] ] }, "page" : "iii-iv, 1-125", "publisher" : "NIHR Evaluation, Trials and Studies Coordinating Centre (UK)", "title" : "Pegylated interferon alpha-2a and -2b in combination with ribavirin in the treatment of chronic hepatitis C: a systematic review and economic evaluation.", "type" : "article-journal", "volume" : "8" }, "uris" : [ "http://www.mendeley.com/documents/?uuid=4289014d-37a4-4375-a1fe-0f4068492409" ] } ], "mendeley" : { "formattedCitation" : "&lt;sup&gt;[1,5,10]&lt;/sup&gt;", "plainTextFormattedCitation" : "[1,5,10]", "previouslyFormattedCitation" : "&lt;sup&gt;[1,5,10]&lt;/sup&gt;" }, "properties" : { "noteIndex" : 0 }, "schema" : "https://github.com/citation-style-language/schema/raw/master/csl-citation.json" }</w:instrText>
      </w:r>
      <w:r w:rsidRPr="00CD1426">
        <w:rPr>
          <w:rFonts w:ascii="Book Antiqua" w:hAnsi="Book Antiqua" w:cs="Arial"/>
          <w:lang w:val="en-US"/>
        </w:rPr>
        <w:fldChar w:fldCharType="separate"/>
      </w:r>
      <w:r w:rsidR="001D4A08" w:rsidRPr="00CD1426">
        <w:rPr>
          <w:rFonts w:ascii="Book Antiqua" w:hAnsi="Book Antiqua" w:cs="Arial"/>
          <w:noProof/>
          <w:vertAlign w:val="superscript"/>
          <w:lang w:val="en-US"/>
        </w:rPr>
        <w:t>[1,5,10]</w:t>
      </w:r>
      <w:r w:rsidRPr="00CD1426">
        <w:rPr>
          <w:rFonts w:ascii="Book Antiqua" w:hAnsi="Book Antiqua" w:cs="Arial"/>
          <w:lang w:val="en-US"/>
        </w:rPr>
        <w:fldChar w:fldCharType="end"/>
      </w:r>
      <w:r w:rsidR="00AB7BA7" w:rsidRPr="00CD1426">
        <w:rPr>
          <w:rFonts w:ascii="Book Antiqua" w:hAnsi="Book Antiqua" w:cs="Arial"/>
          <w:lang w:val="en-US" w:eastAsia="zh-CN"/>
        </w:rPr>
        <w:t>.</w:t>
      </w:r>
      <w:r w:rsidRPr="00CD1426">
        <w:rPr>
          <w:rFonts w:ascii="Book Antiqua" w:hAnsi="Book Antiqua" w:cs="Arial"/>
          <w:lang w:val="en-US"/>
        </w:rPr>
        <w:t xml:space="preserve"> The sustained </w:t>
      </w:r>
      <w:proofErr w:type="spellStart"/>
      <w:r w:rsidRPr="00CD1426">
        <w:rPr>
          <w:rFonts w:ascii="Book Antiqua" w:hAnsi="Book Antiqua" w:cs="Arial"/>
          <w:lang w:val="en-US"/>
        </w:rPr>
        <w:t>virological</w:t>
      </w:r>
      <w:proofErr w:type="spellEnd"/>
      <w:r w:rsidRPr="00CD1426">
        <w:rPr>
          <w:rFonts w:ascii="Book Antiqua" w:hAnsi="Book Antiqua" w:cs="Arial"/>
          <w:lang w:val="en-US"/>
        </w:rPr>
        <w:t xml:space="preserve"> response proportion for HCV genotype 1 infected patients were 40%-50%, whereas for HCV genotype 2 and 3 infected subjects</w:t>
      </w:r>
      <w:r w:rsidR="00AB7BA7" w:rsidRPr="00CD1426">
        <w:rPr>
          <w:rFonts w:ascii="Book Antiqua" w:hAnsi="Book Antiqua" w:cs="Arial"/>
          <w:lang w:val="en-US"/>
        </w:rPr>
        <w:t xml:space="preserve"> it was, approximately, 75</w:t>
      </w:r>
      <w:r w:rsidR="00AB7BA7" w:rsidRPr="00CD1426">
        <w:rPr>
          <w:rFonts w:ascii="Book Antiqua" w:hAnsi="Book Antiqua" w:cs="Arial"/>
          <w:lang w:val="en-US" w:eastAsia="zh-CN"/>
        </w:rPr>
        <w:t>%</w:t>
      </w:r>
      <w:r w:rsidR="00AB7BA7" w:rsidRPr="00CD1426">
        <w:rPr>
          <w:rFonts w:ascii="Book Antiqua" w:hAnsi="Book Antiqua" w:cs="Arial"/>
          <w:lang w:val="en-US"/>
        </w:rPr>
        <w:t>-80%</w:t>
      </w:r>
      <w:r w:rsidRPr="00CD1426">
        <w:rPr>
          <w:rFonts w:ascii="Book Antiqua" w:hAnsi="Book Antiqua" w:cs="Arial"/>
          <w:lang w:val="en-US"/>
        </w:rPr>
        <w:fldChar w:fldCharType="begin" w:fldLock="1"/>
      </w:r>
      <w:r w:rsidR="001D4A08" w:rsidRPr="00CD1426">
        <w:rPr>
          <w:rFonts w:ascii="Book Antiqua" w:hAnsi="Book Antiqua" w:cs="Arial"/>
          <w:lang w:val="en-US"/>
        </w:rPr>
        <w:instrText>ADDIN CSL_CITATION { "citationItems" : [ { "id" : "ITEM-1", "itemData" : { "DOI" : "10.1002/hep.22759", "ISSN" : "1527-3350", "PMID" : "19330875", "author" : [ { "dropping-particle" : "", "family" : "Ghany", "given" : "Marc G", "non-dropping-particle" : "", "parse-names" : false, "suffix" : "" }, { "dropping-particle" : "", "family" : "Strader", "given" : "Doris B", "non-dropping-particle" : "", "parse-names" : false, "suffix" : "" }, { "dropping-particle" : "", "family" : "Thomas", "given" : "David L", "non-dropping-particle" : "", "parse-names" : false, "suffix" : "" }, { "dropping-particle" : "", "family" : "Seeff", "given" : "Leonard B", "non-dropping-particle" : "", "parse-names" : false, "suffix" : "" } ], "container-title" : "Hepatology (Baltimore, Md.)", "id" : "ITEM-1", "issue" : "4", "issued" : { "date-parts" : [ [ "2009", "4" ] ] }, "page" : "1335-74", "title" : "Diagnosis, management, and treatment of hepatitis C: an update.", "type" : "article-journal", "volume" : "49" }, "uris" : [ "http://www.mendeley.com/documents/?uuid=2e422595-a400-4de5-956b-bf6124219117" ] } ], "mendeley" : { "formattedCitation" : "&lt;sup&gt;[1]&lt;/sup&gt;", "plainTextFormattedCitation" : "[1]", "previouslyFormattedCitation" : "&lt;sup&gt;[1]&lt;/sup&gt;" }, "properties" : { "noteIndex" : 0 }, "schema" : "https://github.com/citation-style-language/schema/raw/master/csl-citation.json" }</w:instrText>
      </w:r>
      <w:r w:rsidRPr="00CD1426">
        <w:rPr>
          <w:rFonts w:ascii="Book Antiqua" w:hAnsi="Book Antiqua" w:cs="Arial"/>
          <w:lang w:val="en-US"/>
        </w:rPr>
        <w:fldChar w:fldCharType="separate"/>
      </w:r>
      <w:r w:rsidR="001D4A08" w:rsidRPr="00CD1426">
        <w:rPr>
          <w:rFonts w:ascii="Book Antiqua" w:hAnsi="Book Antiqua" w:cs="Arial"/>
          <w:noProof/>
          <w:vertAlign w:val="superscript"/>
          <w:lang w:val="en-US"/>
        </w:rPr>
        <w:t>[1]</w:t>
      </w:r>
      <w:r w:rsidRPr="00CD1426">
        <w:rPr>
          <w:rFonts w:ascii="Book Antiqua" w:hAnsi="Book Antiqua" w:cs="Arial"/>
          <w:lang w:val="en-US"/>
        </w:rPr>
        <w:fldChar w:fldCharType="end"/>
      </w:r>
      <w:r w:rsidR="00AB7BA7" w:rsidRPr="00CD1426">
        <w:rPr>
          <w:rFonts w:ascii="Book Antiqua" w:hAnsi="Book Antiqua" w:cs="Arial"/>
          <w:lang w:val="en-US" w:eastAsia="zh-CN"/>
        </w:rPr>
        <w:t>.</w:t>
      </w:r>
    </w:p>
    <w:p w14:paraId="75E54896" w14:textId="4CD00EFA" w:rsidR="002B302F" w:rsidRPr="00CD1426" w:rsidRDefault="002B302F" w:rsidP="00CD1426">
      <w:pPr>
        <w:tabs>
          <w:tab w:val="left" w:pos="6237"/>
        </w:tabs>
        <w:spacing w:line="360" w:lineRule="auto"/>
        <w:ind w:firstLineChars="200" w:firstLine="480"/>
        <w:jc w:val="both"/>
        <w:rPr>
          <w:rFonts w:ascii="Book Antiqua" w:hAnsi="Book Antiqua" w:cs="Arial"/>
          <w:lang w:val="en-US" w:eastAsia="zh-CN"/>
        </w:rPr>
      </w:pPr>
      <w:r w:rsidRPr="00CD1426">
        <w:rPr>
          <w:rFonts w:ascii="Book Antiqua" w:hAnsi="Book Antiqua" w:cs="Arial"/>
          <w:lang w:val="en-US"/>
        </w:rPr>
        <w:t xml:space="preserve">In the PR era, predictive factors of therapy response related to virus and host have been identified. Clinical host characteristics possibly correlated with the response to dual regimen are gender, age, dyslipidemia, insulin resistance, liver fibrosis stage, ancestry, 25(OH) vitamin D status, </w:t>
      </w:r>
      <w:proofErr w:type="spellStart"/>
      <w:proofErr w:type="gramStart"/>
      <w:r w:rsidRPr="00CD1426">
        <w:rPr>
          <w:rFonts w:ascii="Book Antiqua" w:hAnsi="Book Antiqua" w:cs="Arial"/>
          <w:lang w:val="en-US"/>
        </w:rPr>
        <w:t>coinfection</w:t>
      </w:r>
      <w:proofErr w:type="spellEnd"/>
      <w:proofErr w:type="gramEnd"/>
      <w:r w:rsidRPr="00CD1426">
        <w:rPr>
          <w:rFonts w:ascii="Book Antiqua" w:hAnsi="Book Antiqua" w:cs="Arial"/>
          <w:lang w:val="en-US"/>
        </w:rPr>
        <w:t xml:space="preserve"> with HBV and/or HIV. Immunologic elements related with response to PR treatment are cytokines and interferon-gamma inducible protein 10 (IP-10); in addition, genetic factors such as IL28B polymorphisms, other genes associated with JAK-STAT pathway polymorphisms and genetic ancestry markers have also been descr</w:t>
      </w:r>
      <w:r w:rsidR="00AB7BA7" w:rsidRPr="00CD1426">
        <w:rPr>
          <w:rFonts w:ascii="Book Antiqua" w:hAnsi="Book Antiqua" w:cs="Arial"/>
          <w:lang w:val="en-US"/>
        </w:rPr>
        <w:t>ibed as predictors of response</w:t>
      </w:r>
      <w:r w:rsidRPr="00CD1426">
        <w:rPr>
          <w:rFonts w:ascii="Book Antiqua" w:hAnsi="Book Antiqua" w:cs="Arial"/>
          <w:lang w:val="en-US"/>
        </w:rPr>
        <w:fldChar w:fldCharType="begin" w:fldLock="1"/>
      </w:r>
      <w:r w:rsidR="001D4A08" w:rsidRPr="00CD1426">
        <w:rPr>
          <w:rFonts w:ascii="Book Antiqua" w:hAnsi="Book Antiqua" w:cs="Arial"/>
          <w:lang w:val="en-US"/>
        </w:rPr>
        <w:instrText>ADDIN CSL_CITATION { "citationItems" : [ { "id" : "ITEM-1", "itemData" : { "DOI" : "10.1002/hep.24052", "ISSN" : "1527-3350", "PMID" : "21254181", "abstract" : "In 2009, a correlated set of polymorphisms in the region of the interleukin-28B (IL28B) gene were associated with clearance of genotype 1 hepatitis C virus (HCV) in patients treated with pegylated interferon-alfa and ribavirin. The same polymorphisms were subsequently associated with spontaneous clearance of HCV in untreated patients. The link between IL28B genotype and HCV clearance may impact decisions regarding initiation of current therapy, the design and interpretation of clinical studies, the economics of treatment, and the process of regulatory approval for new anti-HCV therapeutic agents.", "author" : [ { "dropping-particle" : "", "family" : "Afdhal", "given" : "Nezam H", "non-dropping-particle" : "", "parse-names" : false, "suffix" : "" }, { "dropping-particle" : "", "family" : "McHutchison", "given" : "John G", "non-dropping-particle" : "", "parse-names" : false, "suffix" : "" }, { "dropping-particle" : "", "family" : "Zeuzem", "given" : "Stefan", "non-dropping-particle" : "", "parse-names" : false, "suffix" : "" }, { "dropping-particle" : "", "family" : "Mangia", "given" : "Alessandra", "non-dropping-particle" : "", "parse-names" : false, "suffix" : "" }, { "dropping-particle" : "", "family" : "Pawlotsky", "given" : "Jean-Michel", "non-dropping-particle" : "", "parse-names" : false, "suffix" : "" }, { "dropping-particle" : "", "family" : "Murray", "given" : "Jeffrey S", "non-dropping-particle" : "", "parse-names" : false, "suffix" : "" }, { "dropping-particle" : "V", "family" : "Shianna", "given" : "Kevin", "non-dropping-particle" : "", "parse-names" : false, "suffix" : "" }, { "dropping-particle" : "", "family" : "Tanaka", "given" : "Yasuhito", "non-dropping-particle" : "", "parse-names" : false, "suffix" : "" }, { "dropping-particle" : "", "family" : "Thomas", "given" : "David L", "non-dropping-particle" : "", "parse-names" : false, "suffix" : "" }, { "dropping-particle" : "", "family" : "Booth", "given" : "David R", "non-dropping-particle" : "", "parse-names" : false, "suffix" : "" }, { "dropping-particle" : "", "family" : "Goldstein", "given" : "David B", "non-dropping-particle" : "", "parse-names" : false, "suffix" : "" } ], "container-title" : "Hepatology (Baltimore, Md.)", "id" : "ITEM-1", "issue" : "1", "issued" : { "date-parts" : [ [ "2011", "1" ] ] }, "page" : "336-45", "title" : "Hepatitis C pharmacogenetics: state of the art in 2010.", "type" : "article-journal", "volume" : "53" }, "uris" : [ "http://www.mendeley.com/documents/?uuid=29488094-37d9-43c4-a472-0fc7cca15e5d" ] } ], "mendeley" : { "formattedCitation" : "&lt;sup&gt;[11]&lt;/sup&gt;", "plainTextFormattedCitation" : "[11]", "previouslyFormattedCitation" : "&lt;sup&gt;[11]&lt;/sup&gt;" }, "properties" : { "noteIndex" : 0 }, "schema" : "https://github.com/citation-style-language/schema/raw/master/csl-citation.json" }</w:instrText>
      </w:r>
      <w:r w:rsidRPr="00CD1426">
        <w:rPr>
          <w:rFonts w:ascii="Book Antiqua" w:hAnsi="Book Antiqua" w:cs="Arial"/>
          <w:lang w:val="en-US"/>
        </w:rPr>
        <w:fldChar w:fldCharType="separate"/>
      </w:r>
      <w:r w:rsidR="001D4A08" w:rsidRPr="00CD1426">
        <w:rPr>
          <w:rFonts w:ascii="Book Antiqua" w:hAnsi="Book Antiqua" w:cs="Arial"/>
          <w:noProof/>
          <w:vertAlign w:val="superscript"/>
          <w:lang w:val="en-US"/>
        </w:rPr>
        <w:t>[11]</w:t>
      </w:r>
      <w:r w:rsidRPr="00CD1426">
        <w:rPr>
          <w:rFonts w:ascii="Book Antiqua" w:hAnsi="Book Antiqua" w:cs="Arial"/>
          <w:lang w:val="en-US"/>
        </w:rPr>
        <w:fldChar w:fldCharType="end"/>
      </w:r>
      <w:r w:rsidR="00AB7BA7" w:rsidRPr="00CD1426">
        <w:rPr>
          <w:rFonts w:ascii="Book Antiqua" w:hAnsi="Book Antiqua" w:cs="Arial"/>
          <w:lang w:val="en-US" w:eastAsia="zh-CN"/>
        </w:rPr>
        <w:t>.</w:t>
      </w:r>
      <w:r w:rsidRPr="00CD1426">
        <w:rPr>
          <w:rFonts w:ascii="Book Antiqua" w:hAnsi="Book Antiqua" w:cs="Arial"/>
          <w:lang w:val="en-US"/>
        </w:rPr>
        <w:t xml:space="preserve"> The HCV features associated with therapy antiviral response are genotype, baseline viral load and viral kinetics at specific time-points throughout the treatment. The single most important viral factor that influences the response to antiviral treatment is HCV genotype, and the most important host factors are IL2</w:t>
      </w:r>
      <w:r w:rsidR="00AB7BA7" w:rsidRPr="00CD1426">
        <w:rPr>
          <w:rFonts w:ascii="Book Antiqua" w:hAnsi="Book Antiqua" w:cs="Arial"/>
          <w:lang w:val="en-US"/>
        </w:rPr>
        <w:t>8B genotype and liver fibrosis</w:t>
      </w:r>
      <w:r w:rsidRPr="00CD1426">
        <w:rPr>
          <w:rFonts w:ascii="Book Antiqua" w:hAnsi="Book Antiqua" w:cs="Arial"/>
          <w:lang w:val="en-US"/>
        </w:rPr>
        <w:fldChar w:fldCharType="begin" w:fldLock="1"/>
      </w:r>
      <w:r w:rsidR="001D4A08" w:rsidRPr="00CD1426">
        <w:rPr>
          <w:rFonts w:ascii="Book Antiqua" w:hAnsi="Book Antiqua" w:cs="Arial"/>
          <w:lang w:val="en-US"/>
        </w:rPr>
        <w:instrText>ADDIN CSL_CITATION { "citationItems" : [ { "id" : "ITEM-1", "itemData" : { "DOI" : "10.1056/NEJMoa020047", "ISSN" : "1533-4406", "PMID" : "12324553", "abstract" : "BACKGROUND: Treatment with peginterferon alfa-2a alone produces significantly higher sustained virologic responses than treatment with interferon alfa-2a alone in patients with chronic hepatitis C virus (HCV) infection. We compared the efficacy and safety of peginterferon alfa-2a plus ribavirin, interferon alfa-2b plus ribavirin, and peginterferon alfa-2a alone in the initial treatment of chronic hepatitis C.\n\nMETHODS: A total of 1121 patients were randomly assigned to treatment and received at least one dose of study medication, consisting of 180 microg of peginterferon alfa-2a once weekly plus daily ribavirin (1000 or 1200 mg, depending on body weight), weekly peginterferon alfa-2a plus daily placebo, or 3 million units of interferon alfa-2b thrice weekly plus daily ribavirin for 48 weeks.\n\nRESULTS: A significantly higher proportion of patients who received peginterferon alfa-2a plus ribavirin had a sustained virologic response (defined as the absence of detectable HCV RNA 24 weeks after cessation of therapy) than of patients who received interferon alfa-2b plus ribavirin (56 percent vs. 44 percent, P&lt;0.001) or peginterferon alfa-2a alone (56 percent vs. 29 percent, P&lt;0.001). The proportions of patients with HCV genotype 1 who had sustained virologic responses were 46 percent, 36 percent, and 21 percent, respectively, for the three regimens. Among patients with HCV genotype 1 and high base-line levels of HCV RNA, the proportions of those with sustained virologic responses were 41 percent, 33 percent, and 13 percent, respectively. The overall safety profiles of the three treatment regimens were similar; the incidence of influenza-like symptoms and depression was lower in the groups receiving peginterferon alfa-2a than in the group receiving interferon alfa-2b plus ribavirin.\n\nCONCLUSIONS: In patients with chronic hepatitis C, once-weekly peginterferon alfa-2a plus ribavirin was tolerated as well as interferon alfa-2b plus ribavirin and produced significant improvements in the rate of sustained virologic response, as compared with interferon alfa-2b plus ribavirin or peginterferon alfa-2a alone.", "author" : [ { "dropping-particle" : "", "family" : "Fried", "given" : "Michael W", "non-dropping-particle" : "", "parse-names" : false, "suffix" : "" }, { "dropping-particle" : "", "family" : "Shiffman", "given" : "Mitchell L", "non-dropping-particle" : "", "parse-names" : false, "suffix" : "" }, { "dropping-particle" : "", "family" : "Reddy", "given" : "K Rajender", "non-dropping-particle" : "", "parse-names" : false, "suffix" : "" }, { "dropping-particle" : "", "family" : "Smith", "given" : "Coleman", "non-dropping-particle" : "", "parse-names" : false, "suffix" : "" }, { "dropping-particle" : "", "family" : "Marinos", "given" : "George", "non-dropping-particle" : "", "parse-names" : false, "suffix" : "" }, { "dropping-particle" : "", "family" : "Gon\u00e7ales", "given" : "Fernando L", "non-dropping-particle" : "", "parse-names" : false, "suffix" : "" }, { "dropping-particle" : "", "family" : "H\u00e4ussinger", "given" : "Dieter", "non-dropping-particle" : "", "parse-names" : false, "suffix" : "" }, { "dropping-particle" : "", "family" : "Diago", "given" : "Moises", "non-dropping-particle" : "", "parse-names" : false, "suffix" : "" }, { "dropping-particle" : "", "family" : "Carosi", "given" : "Giampiero", "non-dropping-particle" : "", "parse-names" : false, "suffix" : "" }, { "dropping-particle" : "", "family" : "Dhumeaux", "given" : "Daniel", "non-dropping-particle" : "", "parse-names" : false, "suffix" : "" }, { "dropping-particle" : "", "family" : "Craxi", "given" : "Antonio", "non-dropping-particle" : "", "parse-names" : false, "suffix" : "" }, { "dropping-particle" : "", "family" : "Lin", "given" : "Amy", "non-dropping-particle" : "", "parse-names" : false, "suffix" : "" }, { "dropping-particle" : "", "family" : "Hoffman", "given" : "Joseph", "non-dropping-particle" : "", "parse-names" : false, "suffix" : "" }, { "dropping-particle" : "", "family" : "Yu", "given" : "Jian", "non-dropping-particle" : "", "parse-names" : false, "suffix" : "" } ], "container-title" : "The New England journal of medicine", "id" : "ITEM-1", "issue" : "13", "issued" : { "date-parts" : [ [ "2002", "9", "26" ] ] }, "page" : "975-82", "title" : "Peginterferon alfa-2a plus ribavirin for chronic hepatitis C virus infection.", "type" : "article-journal", "volume" : "347" }, "uris" : [ "http://www.mendeley.com/documents/?uuid=9a16726f-72a2-470c-a2a6-d3909525442b" ] }, { "id" : "ITEM-2", "itemData" : { "DOI" : "10.7326/0003-4819-140-5-200403020-00010", "ISSN" : "0003-4819", "author" : [ { "dropping-particle" : "", "family" : "Hadziyannis", "given" : "Stephanos J.", "non-dropping-particle" : "", "parse-names" : false, "suffix" : "" } ], "container-title" : "Annals of Internal Medicine", "id" : "ITEM-2", "issue" : "5", "issued" : { "date-parts" : [ [ "2004", "3", "2" ] ] }, "page" : "346", "publisher" : "American College of Physicians", "title" : "Peginterferon-\u03b12a and Ribavirin Combination Therapy in Chronic Hepatitis C", "type" : "article-journal", "volume" : "140" }, "uris" : [ "http://www.mendeley.com/documents/?uuid=76fa7ae5-77a0-4181-a408-49dc50c911f1" ] }, { "id" : "ITEM-3", "itemData" : { "DOI" : "10.1136/gut.2005.076646", "ISSN" : "0017-5749", "PMID" : "16905701", "abstract" : "The treatment of hepatitis C has dramatically improved over the past decade. Unlike any other chronic viral infection, a significant proportion of patients with chronic hepatitis C can be cured. However, the current standard therapy--pegylated interferon alpha and ribavirin--has its limitations. Limited efficacy in patients with hepatitis C virus (HCV) genotype 1 and the side effect profile will necessitate the development of new therapeutic approaches. This review describes the efficacy and optimisation of the current standard therapy of hepatitis C and its problems in special patient populations. New treatment directions beyond interferon alpha based therapies are on the horizon.", "author" : [ { "dropping-particle" : "", "family" : "Manns", "given" : "M P", "non-dropping-particle" : "", "parse-names" : false, "suffix" : "" }, { "dropping-particle" : "", "family" : "Wedemeyer", "given" : "H", "non-dropping-particle" : "", "parse-names" : false, "suffix" : "" }, { "dropping-particle" : "", "family" : "Cornberg", "given" : "M", "non-dropping-particle" : "", "parse-names" : false, "suffix" : "" } ], "container-title" : "Gut", "id" : "ITEM-3", "issue" : "9", "issued" : { "date-parts" : [ [ "2006", "9" ] ] }, "page" : "1350-9", "title" : "Treating viral hepatitis C: efficacy, side effects, and complications.", "type" : "article-journal", "volume" : "55" }, "uris" : [ "http://www.mendeley.com/documents/?uuid=5f99a628-f7cb-4cd4-9b29-654fad90e5d7" ] } ], "mendeley" : { "formattedCitation" : "&lt;sup&gt;[12\u201314]&lt;/sup&gt;", "plainTextFormattedCitation" : "[12\u201314]", "previouslyFormattedCitation" : "&lt;sup&gt;[12\u201314]&lt;/sup&gt;" }, "properties" : { "noteIndex" : 0 }, "schema" : "https://github.com/citation-style-language/schema/raw/master/csl-citation.json" }</w:instrText>
      </w:r>
      <w:r w:rsidRPr="00CD1426">
        <w:rPr>
          <w:rFonts w:ascii="Book Antiqua" w:hAnsi="Book Antiqua" w:cs="Arial"/>
          <w:lang w:val="en-US"/>
        </w:rPr>
        <w:fldChar w:fldCharType="separate"/>
      </w:r>
      <w:r w:rsidR="001D4A08" w:rsidRPr="00CD1426">
        <w:rPr>
          <w:rFonts w:ascii="Book Antiqua" w:hAnsi="Book Antiqua" w:cs="Arial"/>
          <w:noProof/>
          <w:vertAlign w:val="superscript"/>
          <w:lang w:val="en-US"/>
        </w:rPr>
        <w:t>[12–14]</w:t>
      </w:r>
      <w:r w:rsidRPr="00CD1426">
        <w:rPr>
          <w:rFonts w:ascii="Book Antiqua" w:hAnsi="Book Antiqua" w:cs="Arial"/>
          <w:lang w:val="en-US"/>
        </w:rPr>
        <w:fldChar w:fldCharType="end"/>
      </w:r>
      <w:r w:rsidR="00AB7BA7" w:rsidRPr="00CD1426">
        <w:rPr>
          <w:rFonts w:ascii="Book Antiqua" w:hAnsi="Book Antiqua" w:cs="Arial"/>
          <w:lang w:val="en-US" w:eastAsia="zh-CN"/>
        </w:rPr>
        <w:t>.</w:t>
      </w:r>
    </w:p>
    <w:p w14:paraId="781E88EB" w14:textId="77777777" w:rsidR="002B302F" w:rsidRPr="00CD1426" w:rsidRDefault="002B302F" w:rsidP="00CD1426">
      <w:pPr>
        <w:tabs>
          <w:tab w:val="left" w:pos="6237"/>
        </w:tabs>
        <w:spacing w:line="360" w:lineRule="auto"/>
        <w:jc w:val="both"/>
        <w:rPr>
          <w:rFonts w:ascii="Book Antiqua" w:hAnsi="Book Antiqua" w:cs="Arial"/>
          <w:b/>
          <w:lang w:val="en-US"/>
        </w:rPr>
      </w:pPr>
    </w:p>
    <w:p w14:paraId="467784E6" w14:textId="4FADB6B0" w:rsidR="002B302F" w:rsidRPr="00CD1426" w:rsidRDefault="002B302F" w:rsidP="00CD1426">
      <w:pPr>
        <w:tabs>
          <w:tab w:val="left" w:pos="6237"/>
        </w:tabs>
        <w:spacing w:line="360" w:lineRule="auto"/>
        <w:jc w:val="both"/>
        <w:rPr>
          <w:rFonts w:ascii="Book Antiqua" w:hAnsi="Book Antiqua" w:cs="Arial"/>
          <w:b/>
          <w:i/>
          <w:lang w:val="en-US"/>
        </w:rPr>
      </w:pPr>
      <w:proofErr w:type="spellStart"/>
      <w:r w:rsidRPr="00CD1426">
        <w:rPr>
          <w:rFonts w:ascii="Book Antiqua" w:hAnsi="Book Antiqua" w:cs="Arial"/>
          <w:b/>
          <w:i/>
          <w:lang w:val="en-US"/>
        </w:rPr>
        <w:t>Pegylated</w:t>
      </w:r>
      <w:proofErr w:type="spellEnd"/>
      <w:r w:rsidRPr="00CD1426">
        <w:rPr>
          <w:rFonts w:ascii="Book Antiqua" w:hAnsi="Book Antiqua" w:cs="Arial"/>
          <w:b/>
          <w:i/>
          <w:lang w:val="en-US"/>
        </w:rPr>
        <w:t xml:space="preserve"> interferon alpha-2a and </w:t>
      </w:r>
      <w:r w:rsidR="00AB7BA7" w:rsidRPr="00CD1426">
        <w:rPr>
          <w:rFonts w:ascii="Book Antiqua" w:hAnsi="Book Antiqua" w:cs="Arial"/>
          <w:b/>
          <w:i/>
          <w:lang w:val="en-US" w:eastAsia="zh-CN"/>
        </w:rPr>
        <w:t>-</w:t>
      </w:r>
      <w:r w:rsidRPr="00CD1426">
        <w:rPr>
          <w:rFonts w:ascii="Book Antiqua" w:hAnsi="Book Antiqua" w:cs="Arial"/>
          <w:b/>
          <w:i/>
          <w:lang w:val="en-US"/>
        </w:rPr>
        <w:t xml:space="preserve"> 2b</w:t>
      </w:r>
    </w:p>
    <w:p w14:paraId="76CD14FA" w14:textId="0264002D" w:rsidR="00AB7BA7" w:rsidRPr="00CD1426" w:rsidRDefault="002B302F" w:rsidP="00CD1426">
      <w:pPr>
        <w:spacing w:line="360" w:lineRule="auto"/>
        <w:jc w:val="both"/>
        <w:rPr>
          <w:rFonts w:ascii="Book Antiqua" w:hAnsi="Book Antiqua" w:cs="Arial"/>
          <w:lang w:val="en-US" w:eastAsia="zh-CN"/>
        </w:rPr>
      </w:pPr>
      <w:r w:rsidRPr="00CD1426">
        <w:rPr>
          <w:rFonts w:ascii="Book Antiqua" w:hAnsi="Book Antiqua" w:cs="Arial"/>
          <w:lang w:val="en-US"/>
        </w:rPr>
        <w:lastRenderedPageBreak/>
        <w:t xml:space="preserve">Both </w:t>
      </w:r>
      <w:proofErr w:type="spellStart"/>
      <w:r w:rsidRPr="00CD1426">
        <w:rPr>
          <w:rFonts w:ascii="Book Antiqua" w:hAnsi="Book Antiqua" w:cs="Arial"/>
          <w:lang w:val="en-US"/>
        </w:rPr>
        <w:t>pegylated</w:t>
      </w:r>
      <w:proofErr w:type="spellEnd"/>
      <w:r w:rsidRPr="00CD1426">
        <w:rPr>
          <w:rFonts w:ascii="Book Antiqua" w:hAnsi="Book Antiqua" w:cs="Arial"/>
          <w:lang w:val="en-US"/>
        </w:rPr>
        <w:t xml:space="preserve"> </w:t>
      </w:r>
      <w:proofErr w:type="spellStart"/>
      <w:r w:rsidRPr="00CD1426">
        <w:rPr>
          <w:rFonts w:ascii="Book Antiqua" w:hAnsi="Book Antiqua" w:cs="Arial"/>
          <w:lang w:val="en-US"/>
        </w:rPr>
        <w:t>interferons</w:t>
      </w:r>
      <w:proofErr w:type="spellEnd"/>
      <w:r w:rsidRPr="00CD1426">
        <w:rPr>
          <w:rFonts w:ascii="Book Antiqua" w:hAnsi="Book Antiqua" w:cs="Arial"/>
          <w:lang w:val="en-US"/>
        </w:rPr>
        <w:t xml:space="preserve"> may be used during PR therapy. In the Ideal study, which i</w:t>
      </w:r>
      <w:r w:rsidRPr="00CD1426">
        <w:rPr>
          <w:rFonts w:ascii="Book Antiqua" w:hAnsi="Book Antiqua" w:cs="Arial"/>
          <w:bCs/>
          <w:kern w:val="36"/>
          <w:lang w:val="en-US" w:eastAsia="en-US"/>
        </w:rPr>
        <w:t xml:space="preserve">ncluded 3070 HCV genotype 1 infected patients, the sustained </w:t>
      </w:r>
      <w:proofErr w:type="spellStart"/>
      <w:r w:rsidRPr="00CD1426">
        <w:rPr>
          <w:rFonts w:ascii="Book Antiqua" w:hAnsi="Book Antiqua" w:cs="Arial"/>
          <w:bCs/>
          <w:kern w:val="36"/>
          <w:lang w:val="en-US" w:eastAsia="en-US"/>
        </w:rPr>
        <w:t>virologic</w:t>
      </w:r>
      <w:proofErr w:type="spellEnd"/>
      <w:r w:rsidRPr="00CD1426">
        <w:rPr>
          <w:rFonts w:ascii="Book Antiqua" w:hAnsi="Book Antiqua" w:cs="Arial"/>
          <w:bCs/>
          <w:kern w:val="36"/>
          <w:lang w:val="en-US" w:eastAsia="en-US"/>
        </w:rPr>
        <w:t xml:space="preserve"> response rates were similar among the</w:t>
      </w:r>
      <w:r w:rsidRPr="00CD1426">
        <w:rPr>
          <w:rFonts w:ascii="Book Antiqua" w:hAnsi="Book Antiqua" w:cs="Arial"/>
          <w:lang w:val="en-US"/>
        </w:rPr>
        <w:t xml:space="preserve"> </w:t>
      </w:r>
      <w:r w:rsidRPr="00CD1426">
        <w:rPr>
          <w:rFonts w:ascii="Book Antiqua" w:hAnsi="Book Antiqua" w:cs="Arial"/>
          <w:bCs/>
          <w:kern w:val="36"/>
          <w:lang w:val="en-US" w:eastAsia="en-US"/>
        </w:rPr>
        <w:t>schemes</w:t>
      </w:r>
      <w:r w:rsidRPr="00CD1426">
        <w:rPr>
          <w:rFonts w:ascii="Book Antiqua" w:hAnsi="Book Antiqua" w:cs="Arial"/>
          <w:lang w:val="en-US"/>
        </w:rPr>
        <w:t xml:space="preserve"> with </w:t>
      </w:r>
      <w:proofErr w:type="spellStart"/>
      <w:r w:rsidRPr="00CD1426">
        <w:rPr>
          <w:rFonts w:ascii="Book Antiqua" w:hAnsi="Book Antiqua" w:cs="Arial"/>
          <w:lang w:val="en-US"/>
        </w:rPr>
        <w:t>pegylated</w:t>
      </w:r>
      <w:proofErr w:type="spellEnd"/>
      <w:r w:rsidRPr="00CD1426">
        <w:rPr>
          <w:rFonts w:ascii="Book Antiqua" w:hAnsi="Book Antiqua" w:cs="Arial"/>
          <w:lang w:val="en-US"/>
        </w:rPr>
        <w:t xml:space="preserve"> interferon alpha 2a or 2b; </w:t>
      </w:r>
      <w:r w:rsidRPr="00CD1426">
        <w:rPr>
          <w:rFonts w:ascii="Book Antiqua" w:hAnsi="Book Antiqua" w:cs="Arial"/>
          <w:bCs/>
          <w:kern w:val="36"/>
          <w:lang w:val="en-US" w:eastAsia="en-US"/>
        </w:rPr>
        <w:t>the SVR rates were 40.9% and 39.8%, respectively, without statistically significant differences</w:t>
      </w:r>
      <w:r w:rsidRPr="00CD1426">
        <w:rPr>
          <w:rFonts w:ascii="Book Antiqua" w:hAnsi="Book Antiqua" w:cs="Arial"/>
          <w:lang w:val="en-US"/>
        </w:rPr>
        <w:fldChar w:fldCharType="begin" w:fldLock="1"/>
      </w:r>
      <w:r w:rsidR="001D4A08" w:rsidRPr="00CD1426">
        <w:rPr>
          <w:rFonts w:ascii="Book Antiqua" w:hAnsi="Book Antiqua" w:cs="Arial"/>
          <w:lang w:val="en-US"/>
        </w:rPr>
        <w:instrText>ADDIN CSL_CITATION { "citationItems" : [ { "id" : "ITEM-1", "itemData" : { "DOI" : "10.1056/NEJMoa0808010", "ISSN" : "1533-4406", "PMID" : "19625712", "abstract" : "Treatment guidelines recommend the use of peginterferon alfa-2b or peginterferon alfa-2a in combination with ribavirin for chronic hepatitis C virus (HCV) infection. However, these regimens have not been adequately compared.", "author" : [ { "dropping-particle" : "", "family" : "McHutchison", "given" : "John G", "non-dropping-particle" : "", "parse-names" : false, "suffix" : "" }, { "dropping-particle" : "", "family" : "Lawitz", "given" : "Eric J", "non-dropping-particle" : "", "parse-names" : false, "suffix" : "" }, { "dropping-particle" : "", "family" : "Shiffman", "given" : "Mitchell L", "non-dropping-particle" : "", "parse-names" : false, "suffix" : "" }, { "dropping-particle" : "", "family" : "Muir", "given" : "Andrew J", "non-dropping-particle" : "", "parse-names" : false, "suffix" : "" }, { "dropping-particle" : "", "family" : "Galler", "given" : "Greg W", "non-dropping-particle" : "", "parse-names" : false, "suffix" : "" }, { "dropping-particle" : "", "family" : "McCone", "given" : "Jonathan", "non-dropping-particle" : "", "parse-names" : false, "suffix" : "" }, { "dropping-particle" : "", "family" : "Nyberg", "given" : "Lisa M", "non-dropping-particle" : "", "parse-names" : false, "suffix" : "" }, { "dropping-particle" : "", "family" : "Lee", "given" : "William M", "non-dropping-particle" : "", "parse-names" : false, "suffix" : "" }, { "dropping-particle" : "", "family" : "Ghalib", "given" : "Reem H", "non-dropping-particle" : "", "parse-names" : false, "suffix" : "" }, { "dropping-particle" : "", "family" : "Schiff", "given" : "Eugene R", "non-dropping-particle" : "", "parse-names" : false, "suffix" : "" }, { "dropping-particle" : "", "family" : "Galati", "given" : "Joseph S", "non-dropping-particle" : "", "parse-names" : false, "suffix" : "" }, { "dropping-particle" : "", "family" : "Bacon", "given" : "Bruce R", "non-dropping-particle" : "", "parse-names" : false, "suffix" : "" }, { "dropping-particle" : "", "family" : "Davis", "given" : "Mitchell N", "non-dropping-particle" : "", "parse-names" : false, "suffix" : "" }, { "dropping-particle" : "", "family" : "Mukhopadhyay", "given" : "Pabak", "non-dropping-particle" : "", "parse-names" : false, "suffix" : "" }, { "dropping-particle" : "", "family" : "Koury", "given" : "Kenneth", "non-dropping-particle" : "", "parse-names" : false, "suffix" : "" }, { "dropping-particle" : "", "family" : "Noviello", "given" : "Stephanie", "non-dropping-particle" : "", "parse-names" : false, "suffix" : "" }, { "dropping-particle" : "", "family" : "Pedicone", "given" : "Lisa D", "non-dropping-particle" : "", "parse-names" : false, "suffix" : "" }, { "dropping-particle" : "", "family" : "Brass", "given" : "Clifford a", "non-dropping-particle" : "", "parse-names" : false, "suffix" : "" }, { "dropping-particle" : "", "family" : "Albrecht", "given" : "Janice K", "non-dropping-particle" : "", "parse-names" : false, "suffix" : "" }, { "dropping-particle" : "", "family" : "Sulkowski", "given" : "Mark S", "non-dropping-particle" : "", "parse-names" : false, "suffix" : "" } ], "container-title" : "The New England journal of medicine", "id" : "ITEM-1", "issue" : "6", "issued" : { "date-parts" : [ [ "2009", "8", "6" ] ] }, "page" : "580-93", "title" : "Peginterferon alfa-2b or alfa-2a with ribavirin for treatment of hepatitis C infection.", "type" : "article-journal", "volume" : "361" }, "uris" : [ "http://www.mendeley.com/documents/?uuid=7c7a961f-3de2-4144-9ed5-7018b9c4edf6" ] } ], "mendeley" : { "formattedCitation" : "&lt;sup&gt;[15]&lt;/sup&gt;", "plainTextFormattedCitation" : "[15]", "previouslyFormattedCitation" : "&lt;sup&gt;[15]&lt;/sup&gt;" }, "properties" : { "noteIndex" : 0 }, "schema" : "https://github.com/citation-style-language/schema/raw/master/csl-citation.json" }</w:instrText>
      </w:r>
      <w:r w:rsidRPr="00CD1426">
        <w:rPr>
          <w:rFonts w:ascii="Book Antiqua" w:hAnsi="Book Antiqua" w:cs="Arial"/>
          <w:lang w:val="en-US"/>
        </w:rPr>
        <w:fldChar w:fldCharType="separate"/>
      </w:r>
      <w:r w:rsidR="001D4A08" w:rsidRPr="00CD1426">
        <w:rPr>
          <w:rFonts w:ascii="Book Antiqua" w:hAnsi="Book Antiqua" w:cs="Arial"/>
          <w:noProof/>
          <w:vertAlign w:val="superscript"/>
          <w:lang w:val="en-US"/>
        </w:rPr>
        <w:t>[15]</w:t>
      </w:r>
      <w:r w:rsidRPr="00CD1426">
        <w:rPr>
          <w:rFonts w:ascii="Book Antiqua" w:hAnsi="Book Antiqua" w:cs="Arial"/>
          <w:lang w:val="en-US"/>
        </w:rPr>
        <w:fldChar w:fldCharType="end"/>
      </w:r>
      <w:r w:rsidR="00AB7BA7" w:rsidRPr="00CD1426">
        <w:rPr>
          <w:rFonts w:ascii="Book Antiqua" w:hAnsi="Book Antiqua" w:cs="Arial"/>
          <w:lang w:val="en-US" w:eastAsia="zh-CN"/>
        </w:rPr>
        <w:t>.</w:t>
      </w:r>
      <w:r w:rsidRPr="00CD1426">
        <w:rPr>
          <w:rFonts w:ascii="Book Antiqua" w:hAnsi="Book Antiqua" w:cs="Arial"/>
          <w:lang w:val="en-US"/>
        </w:rPr>
        <w:t xml:space="preserve"> In HCV genotypes 2 and 3, ribavirin doses (800 mg/d compared to 1000-1200 g/d adjusted for weight (</w:t>
      </w:r>
      <w:r w:rsidR="00AB7BA7" w:rsidRPr="00CD1426">
        <w:rPr>
          <w:rFonts w:ascii="Book Antiqua" w:hAnsi="Book Antiqua" w:cs="Arial"/>
          <w:lang w:val="en-US"/>
        </w:rPr>
        <w:t>k</w:t>
      </w:r>
      <w:r w:rsidRPr="00CD1426">
        <w:rPr>
          <w:rFonts w:ascii="Book Antiqua" w:hAnsi="Book Antiqua" w:cs="Arial"/>
          <w:lang w:val="en-US"/>
        </w:rPr>
        <w:t>g) did not produce any difference in SVR rates when patients were</w:t>
      </w:r>
      <w:r w:rsidR="00AB7BA7" w:rsidRPr="00CD1426">
        <w:rPr>
          <w:rFonts w:ascii="Book Antiqua" w:hAnsi="Book Antiqua" w:cs="Arial"/>
          <w:lang w:val="en-US"/>
        </w:rPr>
        <w:t xml:space="preserve"> treated for at least 24 </w:t>
      </w:r>
      <w:proofErr w:type="spellStart"/>
      <w:r w:rsidR="00AB7BA7" w:rsidRPr="00CD1426">
        <w:rPr>
          <w:rFonts w:ascii="Book Antiqua" w:hAnsi="Book Antiqua" w:cs="Arial"/>
          <w:lang w:val="en-US"/>
        </w:rPr>
        <w:t>wk</w:t>
      </w:r>
      <w:proofErr w:type="spellEnd"/>
      <w:r w:rsidRPr="00CD1426">
        <w:rPr>
          <w:rFonts w:ascii="Book Antiqua" w:hAnsi="Book Antiqua" w:cs="Arial"/>
          <w:lang w:val="en-US"/>
        </w:rPr>
        <w:fldChar w:fldCharType="begin" w:fldLock="1"/>
      </w:r>
      <w:r w:rsidR="001D4A08" w:rsidRPr="00CD1426">
        <w:rPr>
          <w:rFonts w:ascii="Book Antiqua" w:hAnsi="Book Antiqua" w:cs="Arial"/>
          <w:lang w:val="en-US"/>
        </w:rPr>
        <w:instrText>ADDIN CSL_CITATION { "citationItems" : [ { "id" : "ITEM-1", "itemData" : { "DOI" : "10.7326/0003-4819-140-5-200403020-00010", "ISSN" : "0003-4819", "author" : [ { "dropping-particle" : "", "family" : "Hadziyannis", "given" : "Stephanos J.", "non-dropping-particle" : "", "parse-names" : false, "suffix" : "" } ], "container-title" : "Annals of Internal Medicine", "id" : "ITEM-1", "issue" : "5", "issued" : { "date-parts" : [ [ "2004", "3", "2" ] ] }, "page" : "346", "publisher" : "American College of Physicians", "title" : "Peginterferon-\u03b12a and Ribavirin Combination Therapy in Chronic Hepatitis C", "type" : "article-journal", "volume" : "140" }, "uris" : [ "http://www.mendeley.com/documents/?uuid=76fa7ae5-77a0-4181-a408-49dc50c911f1" ] }, { "id" : "ITEM-2", "itemData" : { "DOI" : "10.1002/hep.21932", "ISSN" : "0270-9139", "PMID" : "17894303", "abstract" : "UNLABELLED: This prospective, multicenter, community-based and academic-based, open-label, investigator-initiated, U.S. study evaluated efficacy and safety of pegylated interferon (PEG-IFN) alfa-2b plus a flat or weight-based dose of ribavirin (RBV) in adults with chronic hepatitis C. Patients (n = 5027) were randomly assigned to receive PEG-IFN alfa-2b 1.5 microg/kg/week plus flat-dose (800 mg/day) or weight-based (800-1400 mg/day) RBV for 48 weeks (patients with genotype 1, 4, 5, or 6) and for 24 or 48 weeks (genotype 2/3 patients). Primary end point was sustained virologic response (undetectable [&lt;125 IU/mL] serum hepatitis C virus RNA at 24-week follow-up). Sustained virologic response, but not end-of-treatment, rates were significantly higher with weight-based than with flat-dose RBV (44.2% versus 40.5%; P = 0.008). Sustained virologic response rates by intention-to-treat analysis were 34.0% and 28.9%, respectively, in genotype 1 patients (P = 0.005) and 31.2% and 26.7%, respectively, in genotype 1 patients with high baseline viral load (P = 0.056). In genotype 2/3 patients, rates were not significantly different (61.8% and 59.5%, respectively) regardless of treatment duration. Besides greater hemoglobin reductions with weight-based RBV, safety profiles were similar across RBV dosing groups, including the 1400-mg/day group.\n\nCONCLUSION: PEG-IFN alfa-2b plus weight-based RBV is more effective than flat-dose RBV, particularly in genotype 1 patients, providing equivalent efficacy across all weight groups. RBV 1400 mg/day is appropriate for patients 105 to 125 kg. For genotype 2/3 patients, 24 weeks of treatment with flat-dose RBV is adequate; no evidence of additional benefit of extending treatment to 48 weeks was demonstrated.", "author" : [ { "dropping-particle" : "", "family" : "Jacobson", "given" : "Ira M", "non-dropping-particle" : "", "parse-names" : false, "suffix" : "" }, { "dropping-particle" : "", "family" : "Brown", "given" : "Robert S", "non-dropping-particle" : "", "parse-names" : false, "suffix" : "" }, { "dropping-particle" : "", "family" : "Freilich", "given" : "Bradley", "non-dropping-particle" : "", "parse-names" : false, "suffix" : "" }, { "dropping-particle" : "", "family" : "Afdhal", "given" : "Nezam", "non-dropping-particle" : "", "parse-names" : false, "suffix" : "" }, { "dropping-particle" : "", "family" : "Kwo", "given" : "Paul Y", "non-dropping-particle" : "", "parse-names" : false, "suffix" : "" }, { "dropping-particle" : "", "family" : "Santoro", "given" : "John", "non-dropping-particle" : "", "parse-names" : false, "suffix" : "" }, { "dropping-particle" : "", "family" : "Becker", "given" : "Scott", "non-dropping-particle" : "", "parse-names" : false, "suffix" : "" }, { "dropping-particle" : "", "family" : "Wakil", "given" : "Adil E", "non-dropping-particle" : "", "parse-names" : false, "suffix" : "" }, { "dropping-particle" : "", "family" : "Pound", "given" : "David", "non-dropping-particle" : "", "parse-names" : false, "suffix" : "" }, { "dropping-particle" : "", "family" : "Godofsky", "given" : "Eliot", "non-dropping-particle" : "", "parse-names" : false, "suffix" : "" }, { "dropping-particle" : "", "family" : "Strauss", "given" : "Robert", "non-dropping-particle" : "", "parse-names" : false, "suffix" : "" }, { "dropping-particle" : "", "family" : "Bernstein", "given" : "David", "non-dropping-particle" : "", "parse-names" : false, "suffix" : "" }, { "dropping-particle" : "", "family" : "Flamm", "given" : "Steven", "non-dropping-particle" : "", "parse-names" : false, "suffix" : "" }, { "dropping-particle" : "", "family" : "Pauly", "given" : "Mary Pat", "non-dropping-particle" : "", "parse-names" : false, "suffix" : "" }, { "dropping-particle" : "", "family" : "Mukhopadhyay", "given" : "Pabak", "non-dropping-particle" : "", "parse-names" : false, "suffix" : "" }, { "dropping-particle" : "", "family" : "Griffel", "given" : "Louis H", "non-dropping-particle" : "", "parse-names" : false, "suffix" : "" }, { "dropping-particle" : "", "family" : "Brass", "given" : "Clifford A", "non-dropping-particle" : "", "parse-names" : false, "suffix" : "" } ], "container-title" : "Hepatology (Baltimore, Md.)", "id" : "ITEM-2", "issue" : "4", "issued" : { "date-parts" : [ [ "2007", "10" ] ] }, "page" : "971-81", "title" : "Peginterferon alfa-2b and weight-based or flat-dose ribavirin in chronic hepatitis C patients: a randomized trial.", "type" : "article-journal", "volume" : "46" }, "uris" : [ "http://www.mendeley.com/documents/?uuid=1f45e11c-cb64-40aa-be99-36e352f661ab" ] } ], "mendeley" : { "formattedCitation" : "&lt;sup&gt;[13,16]&lt;/sup&gt;", "plainTextFormattedCitation" : "[13,16]", "previouslyFormattedCitation" : "&lt;sup&gt;[13,16]&lt;/sup&gt;" }, "properties" : { "noteIndex" : 0 }, "schema" : "https://github.com/citation-style-language/schema/raw/master/csl-citation.json" }</w:instrText>
      </w:r>
      <w:r w:rsidRPr="00CD1426">
        <w:rPr>
          <w:rFonts w:ascii="Book Antiqua" w:hAnsi="Book Antiqua" w:cs="Arial"/>
          <w:lang w:val="en-US"/>
        </w:rPr>
        <w:fldChar w:fldCharType="separate"/>
      </w:r>
      <w:r w:rsidR="001D4A08" w:rsidRPr="00CD1426">
        <w:rPr>
          <w:rFonts w:ascii="Book Antiqua" w:hAnsi="Book Antiqua" w:cs="Arial"/>
          <w:noProof/>
          <w:vertAlign w:val="superscript"/>
          <w:lang w:val="en-US"/>
        </w:rPr>
        <w:t>[13,16]</w:t>
      </w:r>
      <w:r w:rsidRPr="00CD1426">
        <w:rPr>
          <w:rFonts w:ascii="Book Antiqua" w:hAnsi="Book Antiqua" w:cs="Arial"/>
          <w:lang w:val="en-US"/>
        </w:rPr>
        <w:fldChar w:fldCharType="end"/>
      </w:r>
      <w:r w:rsidR="00AB7BA7" w:rsidRPr="00CD1426">
        <w:rPr>
          <w:rFonts w:ascii="Book Antiqua" w:hAnsi="Book Antiqua" w:cs="Arial"/>
          <w:lang w:val="en-US" w:eastAsia="zh-CN"/>
        </w:rPr>
        <w:t>.</w:t>
      </w:r>
    </w:p>
    <w:p w14:paraId="0E54FD17" w14:textId="1DACCB4D" w:rsidR="002B302F" w:rsidRPr="00CD1426" w:rsidRDefault="002B302F" w:rsidP="00CD1426">
      <w:pPr>
        <w:spacing w:line="360" w:lineRule="auto"/>
        <w:ind w:firstLineChars="200" w:firstLine="480"/>
        <w:jc w:val="both"/>
        <w:rPr>
          <w:rFonts w:ascii="Book Antiqua" w:hAnsi="Book Antiqua" w:cs="Arial"/>
          <w:lang w:val="en-US" w:eastAsia="zh-CN"/>
        </w:rPr>
      </w:pPr>
      <w:r w:rsidRPr="00CD1426">
        <w:rPr>
          <w:rFonts w:ascii="Book Antiqua" w:hAnsi="Book Antiqua" w:cs="Arial"/>
          <w:bCs/>
          <w:kern w:val="36"/>
          <w:lang w:val="en-US" w:eastAsia="en-US"/>
        </w:rPr>
        <w:t>On the other hand, a meta-analysis of 26 studies included, 11 were randomized and 15 were non-random</w:t>
      </w:r>
      <w:r w:rsidR="00AB7BA7" w:rsidRPr="00CD1426">
        <w:rPr>
          <w:rFonts w:ascii="Book Antiqua" w:hAnsi="Book Antiqua" w:cs="Arial"/>
          <w:bCs/>
          <w:kern w:val="36"/>
          <w:lang w:val="en-US" w:eastAsia="en-US"/>
        </w:rPr>
        <w:t>ized, with a total number of 18260 patients (8</w:t>
      </w:r>
      <w:r w:rsidRPr="00CD1426">
        <w:rPr>
          <w:rFonts w:ascii="Book Antiqua" w:hAnsi="Book Antiqua" w:cs="Arial"/>
          <w:bCs/>
          <w:kern w:val="36"/>
          <w:lang w:val="en-US" w:eastAsia="en-US"/>
        </w:rPr>
        <w:t>125 patients were treat</w:t>
      </w:r>
      <w:r w:rsidR="00AB7BA7" w:rsidRPr="00CD1426">
        <w:rPr>
          <w:rFonts w:ascii="Book Antiqua" w:hAnsi="Book Antiqua" w:cs="Arial"/>
          <w:bCs/>
          <w:kern w:val="36"/>
          <w:lang w:val="en-US" w:eastAsia="en-US"/>
        </w:rPr>
        <w:t>ed with PEG-IFN alpha 2a and 10</w:t>
      </w:r>
      <w:r w:rsidRPr="00CD1426">
        <w:rPr>
          <w:rFonts w:ascii="Book Antiqua" w:hAnsi="Book Antiqua" w:cs="Arial"/>
          <w:bCs/>
          <w:kern w:val="36"/>
          <w:lang w:val="en-US" w:eastAsia="en-US"/>
        </w:rPr>
        <w:t xml:space="preserve">135 were treated with PEG-IFN alpha-2b) and showed that dual therapy with PEG-INF-alpha 2a was associated with a greater SVR than PEG-IFN-alpha 2b in HCV </w:t>
      </w:r>
      <w:proofErr w:type="spellStart"/>
      <w:r w:rsidRPr="00CD1426">
        <w:rPr>
          <w:rFonts w:ascii="Book Antiqua" w:hAnsi="Book Antiqua" w:cs="Arial"/>
          <w:bCs/>
          <w:kern w:val="36"/>
          <w:lang w:val="en-US" w:eastAsia="en-US"/>
        </w:rPr>
        <w:t>monoinfected</w:t>
      </w:r>
      <w:proofErr w:type="spellEnd"/>
      <w:r w:rsidRPr="00CD1426">
        <w:rPr>
          <w:rFonts w:ascii="Book Antiqua" w:hAnsi="Book Antiqua" w:cs="Arial"/>
          <w:bCs/>
          <w:kern w:val="36"/>
          <w:lang w:val="en-US" w:eastAsia="en-US"/>
        </w:rPr>
        <w:t xml:space="preserve"> patients, particularly for genotypes 1 and 4. An analysis of randomized clinical trials (RCTs), including HCV-type 1 and 4 patients, showed SVR rates of 43.2% for the PEG-IFN-alpha 2a group and 38.7 % for the PEG-IFN-alpha 2b and ribavirin group. In the HCV genotypes 2 and 3 group, the SVR rates among patients treated with PEG-IFN-alpha 2a was 82.6 % and 75.5 % for the PEG-I</w:t>
      </w:r>
      <w:r w:rsidR="00B33120" w:rsidRPr="00CD1426">
        <w:rPr>
          <w:rFonts w:ascii="Book Antiqua" w:hAnsi="Book Antiqua" w:cs="Arial"/>
          <w:bCs/>
          <w:kern w:val="36"/>
          <w:lang w:val="en-US" w:eastAsia="en-US"/>
        </w:rPr>
        <w:t>FN-alpha 2b and ribavirin group</w:t>
      </w:r>
      <w:r w:rsidRPr="00CD1426">
        <w:rPr>
          <w:rFonts w:ascii="Book Antiqua" w:hAnsi="Book Antiqua" w:cs="Arial"/>
          <w:lang w:val="en-US" w:eastAsia="en-US"/>
        </w:rPr>
        <w:fldChar w:fldCharType="begin" w:fldLock="1"/>
      </w:r>
      <w:r w:rsidR="001D4A08" w:rsidRPr="00CD1426">
        <w:rPr>
          <w:rFonts w:ascii="Book Antiqua" w:hAnsi="Book Antiqua" w:cs="Arial"/>
          <w:lang w:val="en-US" w:eastAsia="en-US"/>
        </w:rPr>
        <w:instrText>ADDIN CSL_CITATION { "citationItems" : [ { "id" : "ITEM-1", "itemData" : { "DOI" : "10.1007/s40265-013-0027-1", "ISSN" : "0012-6667", "PMID" : "23436591", "abstract" : "Affecting 2-3% of the world's population, hepatitis C is a common viral infection which is a significant cause of morbidity and mortality. Hepatitis C genotype 1 is the dominant viral genotype among Western patients. For the last 20 years, in the era of interferon-based therapy, it was far more difficult to treat relative to genotypes 2 and 3. Accordingly, a significant focus of research was on new antiviral agents for the dominant genotype 1 patient. Now, as promising specific treatments are being introduced for genotype 1, the attention of clinicians and researchers has turned back to the 50-70 million patients infected with a nongenotype 1 hepatitis C. Furthermore, after recent, larger randomized trials, we have realized that genotype 2 is truly interferon sensitive while genotype 3 patients are far less successful with therapy. In this fundamentally altered landscape, genotype 3 is now potentially the most difficult to treat genotype and an area of intense research for new drug development. Herein we review the virology, natural history and the treatment of genotype 3 hepatitis", "author" : [ { "dropping-particle" : "", "family" : "Flori", "given" : "Nicolas", "non-dropping-particle" : "", "parse-names" : false, "suffix" : "" }, { "dropping-particle" : "", "family" : "Funakoshi", "given" : "Natalie", "non-dropping-particle" : "", "parse-names" : false, "suffix" : "" }, { "dropping-particle" : "", "family" : "Duny", "given" : "Yohan", "non-dropping-particle" : "", "parse-names" : false, "suffix" : "" }, { "dropping-particle" : "", "family" : "Valats", "given" : "Jean-Christophe", "non-dropping-particle" : "", "parse-names" : false, "suffix" : "" }, { "dropping-particle" : "", "family" : "Bismuth", "given" : "Michael", "non-dropping-particle" : "", "parse-names" : false, "suffix" : "" }, { "dropping-particle" : "", "family" : "Christophorou", "given" : "Dimitri", "non-dropping-particle" : "", "parse-names" : false, "suffix" : "" }, { "dropping-particle" : "", "family" : "Daur\u00e8s", "given" : "Jean-Pierre", "non-dropping-particle" : "", "parse-names" : false, "suffix" : "" }, { "dropping-particle" : "", "family" : "Blanc", "given" : "Pierre", "non-dropping-particle" : "", "parse-names" : false, "suffix" : "" } ], "container-title" : "Drugs", "id" : "ITEM-1", "issue" : "3", "issued" : { "date-parts" : [ [ "2013", "3" ] ] }, "page" : "263-77", "title" : "Pegylated interferon-\u03b12a and ribavirin versus pegylated interferon-\u03b12b and ribavirin in chronic hepatitis C : a meta-analysis.", "type" : "article-journal", "volume" : "73" }, "uris" : [ "http://www.mendeley.com/documents/?uuid=92481ada-d771-4741-b98e-a9ba18cf1f2e" ] } ], "mendeley" : { "formattedCitation" : "&lt;sup&gt;[17]&lt;/sup&gt;", "plainTextFormattedCitation" : "[17]", "previouslyFormattedCitation" : "&lt;sup&gt;[17]&lt;/sup&gt;" }, "properties" : { "noteIndex" : 0 }, "schema" : "https://github.com/citation-style-language/schema/raw/master/csl-citation.json" }</w:instrText>
      </w:r>
      <w:r w:rsidRPr="00CD1426">
        <w:rPr>
          <w:rFonts w:ascii="Book Antiqua" w:hAnsi="Book Antiqua" w:cs="Arial"/>
          <w:lang w:val="en-US" w:eastAsia="en-US"/>
        </w:rPr>
        <w:fldChar w:fldCharType="separate"/>
      </w:r>
      <w:r w:rsidR="001D4A08" w:rsidRPr="00CD1426">
        <w:rPr>
          <w:rFonts w:ascii="Book Antiqua" w:hAnsi="Book Antiqua" w:cs="Arial"/>
          <w:noProof/>
          <w:vertAlign w:val="superscript"/>
          <w:lang w:val="en-US" w:eastAsia="en-US"/>
        </w:rPr>
        <w:t>[17]</w:t>
      </w:r>
      <w:r w:rsidRPr="00CD1426">
        <w:rPr>
          <w:rFonts w:ascii="Book Antiqua" w:hAnsi="Book Antiqua" w:cs="Arial"/>
          <w:lang w:val="en-US" w:eastAsia="en-US"/>
        </w:rPr>
        <w:fldChar w:fldCharType="end"/>
      </w:r>
      <w:r w:rsidR="00B33120" w:rsidRPr="00CD1426">
        <w:rPr>
          <w:rFonts w:ascii="Book Antiqua" w:hAnsi="Book Antiqua" w:cs="Arial"/>
          <w:lang w:val="en-US" w:eastAsia="zh-CN"/>
        </w:rPr>
        <w:t>.</w:t>
      </w:r>
    </w:p>
    <w:p w14:paraId="6D7E1353" w14:textId="77777777" w:rsidR="002B302F" w:rsidRPr="00CD1426" w:rsidRDefault="002B302F" w:rsidP="00CD1426">
      <w:pPr>
        <w:spacing w:line="360" w:lineRule="auto"/>
        <w:jc w:val="both"/>
        <w:rPr>
          <w:rFonts w:ascii="Book Antiqua" w:hAnsi="Book Antiqua" w:cs="Arial"/>
          <w:b/>
          <w:lang w:val="en-US"/>
        </w:rPr>
      </w:pPr>
    </w:p>
    <w:p w14:paraId="18B84B4B" w14:textId="2FE18D34" w:rsidR="002B302F" w:rsidRPr="00CD1426" w:rsidRDefault="002B302F" w:rsidP="00CD1426">
      <w:pPr>
        <w:spacing w:line="360" w:lineRule="auto"/>
        <w:jc w:val="both"/>
        <w:rPr>
          <w:rFonts w:ascii="Book Antiqua" w:hAnsi="Book Antiqua" w:cs="Arial"/>
          <w:b/>
          <w:i/>
          <w:lang w:val="en-US"/>
        </w:rPr>
      </w:pPr>
      <w:r w:rsidRPr="00CD1426">
        <w:rPr>
          <w:rFonts w:ascii="Book Antiqua" w:hAnsi="Book Antiqua" w:cs="Arial"/>
          <w:b/>
          <w:i/>
          <w:lang w:val="en-US"/>
        </w:rPr>
        <w:t>Ancestry/</w:t>
      </w:r>
      <w:r w:rsidR="00B33120" w:rsidRPr="00CD1426">
        <w:rPr>
          <w:rFonts w:ascii="Book Antiqua" w:hAnsi="Book Antiqua" w:cs="Arial"/>
          <w:b/>
          <w:i/>
          <w:lang w:val="en-US"/>
        </w:rPr>
        <w:t xml:space="preserve">race </w:t>
      </w:r>
      <w:r w:rsidRPr="00CD1426">
        <w:rPr>
          <w:rFonts w:ascii="Book Antiqua" w:hAnsi="Book Antiqua" w:cs="Arial"/>
          <w:b/>
          <w:i/>
          <w:lang w:val="en-US"/>
        </w:rPr>
        <w:t>and SVR</w:t>
      </w:r>
    </w:p>
    <w:p w14:paraId="712D44B3" w14:textId="569D37CF" w:rsidR="002B302F" w:rsidRPr="00CD1426" w:rsidRDefault="002B302F" w:rsidP="00CD1426">
      <w:pPr>
        <w:spacing w:line="360" w:lineRule="auto"/>
        <w:jc w:val="both"/>
        <w:rPr>
          <w:rFonts w:ascii="Book Antiqua" w:hAnsi="Book Antiqua" w:cs="Arial"/>
          <w:lang w:val="en-US" w:eastAsia="zh-CN"/>
        </w:rPr>
      </w:pPr>
      <w:r w:rsidRPr="00CD1426">
        <w:rPr>
          <w:rFonts w:ascii="Book Antiqua" w:hAnsi="Book Antiqua" w:cs="Arial"/>
          <w:lang w:val="en-US"/>
        </w:rPr>
        <w:t>Ancestry is an important marker of response to interferon-based treatments in people chronically infected by hepatitis C virus. People of African descent have lower chances of success with dual antiviral therapy compared with Caucasians. These findings were observed in more homogeneous populations, with low rates of racial admixture assessed by self-reported ancestry; similar findings were found in admixed populations when ancestry was</w:t>
      </w:r>
      <w:r w:rsidR="00B33120" w:rsidRPr="00CD1426">
        <w:rPr>
          <w:rFonts w:ascii="Book Antiqua" w:hAnsi="Book Antiqua" w:cs="Arial"/>
          <w:lang w:val="en-US"/>
        </w:rPr>
        <w:t xml:space="preserve"> assessed using genetic markers</w:t>
      </w:r>
      <w:r w:rsidRPr="00CD1426">
        <w:rPr>
          <w:rFonts w:ascii="Book Antiqua" w:hAnsi="Book Antiqua" w:cs="Arial"/>
          <w:lang w:val="en-US"/>
        </w:rPr>
        <w:fldChar w:fldCharType="begin" w:fldLock="1"/>
      </w:r>
      <w:r w:rsidR="001D4A08" w:rsidRPr="00CD1426">
        <w:rPr>
          <w:rFonts w:ascii="Book Antiqua" w:hAnsi="Book Antiqua" w:cs="Arial"/>
          <w:lang w:val="en-US"/>
        </w:rPr>
        <w:instrText>ADDIN CSL_CITATION { "citationItems" : [ { "id" : "ITEM-1", "itemData" : { "ISSN" : "1478-3231", "abstract" : "IL28B polymorphisms are predictors of therapy response in hepatitis C virus (HCV) patients. We do not know whether they are markers of treatment response in admixed populations or not.", "author" : [ { "dropping-particle" : "", "family" : "Cavalcante", "given" : "Lourianne N", "non-dropping-particle" : "", "parse-names" : false, "suffix" : "" }, { "dropping-particle" : "", "family" : "Abe-Sandes", "given" : "Kiyoko", "non-dropping-particle" : "", "parse-names" : false, "suffix" : "" }, { "dropping-particle" : "", "family" : "Angelo", "given" : "Ana Luiza D", "non-dropping-particle" : "", "parse-names" : false, "suffix" : "" }, { "dropping-particle" : "", "family" : "Machado", "given" : "Taisa M B", "non-dropping-particle" : "", "parse-names" : false, "suffix" : "" }, { "dropping-particle" : "", "family" : "Lemaire", "given" : "Denise C", "non-dropping-particle" : "", "parse-names" : false, "suffix" : "" }, { "dropping-particle" : "", "family" : "Mendes", "given" : "Carlos M C", "non-dropping-particle" : "", "parse-names" : false, "suffix" : "" }, { "dropping-particle" : "", "family" : "Pinho", "given" : "Jo\u00e3o R", "non-dropping-particle" : "", "parse-names" : false, "suffix" : "" }, { "dropping-particle" : "", "family" : "Malta", "given" : "Fernanda", "non-dropping-particle" : "", "parse-names" : false, "suffix" : "" }, { "dropping-particle" : "", "family" : "Lyra", "given" : "Luiz G C", "non-dropping-particle" : "", "parse-names" : false, "suffix" : "" }, { "dropping-particle" : "", "family" : "Lyra", "given" : "Andr\u00e9 C", "non-dropping-particle" : "", "parse-names" : false, "suffix" : "" } ], "container-title" : "Liver international : official journal of the International Association for the Study of the Liver", "id" : "ITEM-1", "issue" : "3", "issued" : { "date-parts" : [ [ "2012", "3" ] ] }, "page" : "476-86", "title" : "IL28B polymorphisms are markers of therapy response and are influenced by genetic ancestry in chronic hepatitis C patients from an admixed population.", "type" : "article-journal", "volume" : "32" }, "uris" : [ "http://www.mendeley.com/documents/?uuid=67a73e52-2e5a-495e-8d20-29d2aedccb00" ] } ], "mendeley" : { "formattedCitation" : "&lt;sup&gt;[18]&lt;/sup&gt;", "plainTextFormattedCitation" : "[18]", "previouslyFormattedCitation" : "&lt;sup&gt;[18]&lt;/sup&gt;" }, "properties" : { "noteIndex" : 0 }, "schema" : "https://github.com/citation-style-language/schema/raw/master/csl-citation.json" }</w:instrText>
      </w:r>
      <w:r w:rsidRPr="00CD1426">
        <w:rPr>
          <w:rFonts w:ascii="Book Antiqua" w:hAnsi="Book Antiqua" w:cs="Arial"/>
          <w:lang w:val="en-US"/>
        </w:rPr>
        <w:fldChar w:fldCharType="separate"/>
      </w:r>
      <w:r w:rsidR="001D4A08" w:rsidRPr="00CD1426">
        <w:rPr>
          <w:rFonts w:ascii="Book Antiqua" w:hAnsi="Book Antiqua" w:cs="Arial"/>
          <w:noProof/>
          <w:vertAlign w:val="superscript"/>
          <w:lang w:val="en-US"/>
        </w:rPr>
        <w:t>[18]</w:t>
      </w:r>
      <w:r w:rsidRPr="00CD1426">
        <w:rPr>
          <w:rFonts w:ascii="Book Antiqua" w:hAnsi="Book Antiqua" w:cs="Arial"/>
          <w:lang w:val="en-US"/>
        </w:rPr>
        <w:fldChar w:fldCharType="end"/>
      </w:r>
      <w:r w:rsidRPr="00CD1426">
        <w:rPr>
          <w:rFonts w:ascii="Book Antiqua" w:hAnsi="Book Antiqua" w:cs="Arial"/>
          <w:lang w:val="en-US"/>
        </w:rPr>
        <w:t xml:space="preserve">. Although people of African descent are most commonly infected by HCV genotype 1, randomized studies ruled out the possibility that HCV genotype infection was the reason for the lower response to antiviral treatment in this group. The immunological and genetic background appear to be the reasons for this suboptimal response because </w:t>
      </w:r>
      <w:r w:rsidRPr="00CD1426">
        <w:rPr>
          <w:rFonts w:ascii="Book Antiqua" w:hAnsi="Book Antiqua" w:cs="Arial"/>
          <w:lang w:val="en-US"/>
        </w:rPr>
        <w:lastRenderedPageBreak/>
        <w:t>these differences did not occur as a result of therapy adherence, viral genotype, histopathological changes, type of interferon or social or the e</w:t>
      </w:r>
      <w:r w:rsidR="00B33120" w:rsidRPr="00CD1426">
        <w:rPr>
          <w:rFonts w:ascii="Book Antiqua" w:hAnsi="Book Antiqua" w:cs="Arial"/>
          <w:lang w:val="en-US"/>
        </w:rPr>
        <w:t>conomic status of the patients</w:t>
      </w:r>
      <w:r w:rsidRPr="00CD1426">
        <w:rPr>
          <w:rFonts w:ascii="Book Antiqua" w:hAnsi="Book Antiqua" w:cs="Arial"/>
          <w:lang w:val="en-US"/>
        </w:rPr>
        <w:fldChar w:fldCharType="begin" w:fldLock="1"/>
      </w:r>
      <w:r w:rsidR="001D4A08" w:rsidRPr="00CD1426">
        <w:rPr>
          <w:rFonts w:ascii="Book Antiqua" w:hAnsi="Book Antiqua" w:cs="Arial"/>
          <w:lang w:val="en-US"/>
        </w:rPr>
        <w:instrText>ADDIN CSL_CITATION { "citationItems" : [ { "id" : "ITEM-1", "itemData" : { "DOI" : "10.1053/j.gastro.2006.06.008", "ISSN" : "0016-5085", "PMID" : "16890601", "abstract" : "Compared with Caucasian Americans (CA), African Americans (AA) with chronic hepatitis C are less likely to respond to interferon-based antiviral therapy.", "author" : [ { "dropping-particle" : "", "family" : "Conjeevaram", "given" : "Hari S", "non-dropping-particle" : "", "parse-names" : false, "suffix" : "" }, { "dropping-particle" : "", "family" : "Fried", "given" : "Michael W", "non-dropping-particle" : "", "parse-names" : false, "suffix" : "" }, { "dropping-particle" : "", "family" : "Jeffers", "given" : "Lennox J", "non-dropping-particle" : "", "parse-names" : false, "suffix" : "" }, { "dropping-particle" : "", "family" : "Terrault", "given" : "Norah a", "non-dropping-particle" : "", "parse-names" : false, "suffix" : "" }, { "dropping-particle" : "", "family" : "Wiley-Lucas", "given" : "Thelma E", "non-dropping-particle" : "", "parse-names" : false, "suffix" : "" }, { "dropping-particle" : "", "family" : "Afdhal", "given" : "Nezam", "non-dropping-particle" : "", "parse-names" : false, "suffix" : "" }, { "dropping-particle" : "", "family" : "Brown", "given" : "Robert S", "non-dropping-particle" : "", "parse-names" : false, "suffix" : "" }, { "dropping-particle" : "", "family" : "Belle", "given" : "Steven H", "non-dropping-particle" : "", "parse-names" : false, "suffix" : "" }, { "dropping-particle" : "", "family" : "Hoofnagle", "given" : "Jay H", "non-dropping-particle" : "", "parse-names" : false, "suffix" : "" }, { "dropping-particle" : "", "family" : "Kleiner", "given" : "David E", "non-dropping-particle" : "", "parse-names" : false, "suffix" : "" }, { "dropping-particle" : "", "family" : "Howell", "given" : "Charles D", "non-dropping-particle" : "", "parse-names" : false, "suffix" : "" } ], "container-title" : "Gastroenterology", "id" : "ITEM-1", "issue" : "2", "issued" : { "date-parts" : [ [ "2006", "8" ] ] }, "page" : "470-7", "title" : "Peginterferon and ribavirin treatment in African American and Caucasian American patients with hepatitis C genotype 1.", "type" : "article-journal", "volume" : "131" }, "uris" : [ "http://www.mendeley.com/documents/?uuid=38946e65-fd11-484f-b655-cf3facd78202" ] }, { "id" : "ITEM-2", "itemData" : { "DOI" : "10.1002/hep.22223", "ISSN" : "1527-3350", "PMID" : "18302296", "abstract" : "Chronic liver diseases are a major public health issue in the United States, and there are substantial racial disparities in liver cirrhosis-related mortality. Hepatitis C virus (HCV) is the most significant contributing factor in the development of chronic liver disease, complications such as hepatocellular carcinoma, and the need for liver transplantation. In the United States, African Americans have twice the prevalence of HCV seropositivity and develop hepatocellular carcinoma at more than twice the rate as whites. African Americans are, however, less likely to respond to interferon therapy for HCV than are whites and have considerably lower likelihood of receiving liver transplantation, the only definitive therapy for end-stage liver disease. Even among those who undergo transplantation, African Americans have lower 2-year and 5-year graft and patient survival compared to whites. We will review these racial disparities in chronic liver diseases and discuss potential biological, socioeconomic, and cultural contributions. An understanding of their underlying mechanisms is an essential step in implementing measures to mollify racially based inequities in the burden and management of liver disease in an increasingly racially and ethnically diverse population.", "author" : [ { "dropping-particle" : "", "family" : "Nguyen", "given" : "Geoffrey C", "non-dropping-particle" : "", "parse-names" : false, "suffix" : "" }, { "dropping-particle" : "", "family" : "Thuluvath", "given" : "Paul J", "non-dropping-particle" : "", "parse-names" : false, "suffix" : "" } ], "container-title" : "Hepatology (Baltimore, Md.)", "id" : "ITEM-2", "issue" : "3", "issued" : { "date-parts" : [ [ "2008", "3" ] ] }, "page" : "1058-66", "title" : "Racial disparity in liver disease: Biological, cultural, or socioeconomic factors.", "type" : "article-journal", "volume" : "47" }, "uris" : [ "http://www.mendeley.com/documents/?uuid=6fbbb57e-213f-402d-9596-a6ae7105004c" ] } ], "mendeley" : { "formattedCitation" : "&lt;sup&gt;[19,20]&lt;/sup&gt;", "plainTextFormattedCitation" : "[19,20]", "previouslyFormattedCitation" : "&lt;sup&gt;[19,20]&lt;/sup&gt;" }, "properties" : { "noteIndex" : 0 }, "schema" : "https://github.com/citation-style-language/schema/raw/master/csl-citation.json" }</w:instrText>
      </w:r>
      <w:r w:rsidRPr="00CD1426">
        <w:rPr>
          <w:rFonts w:ascii="Book Antiqua" w:hAnsi="Book Antiqua" w:cs="Arial"/>
          <w:lang w:val="en-US"/>
        </w:rPr>
        <w:fldChar w:fldCharType="separate"/>
      </w:r>
      <w:r w:rsidR="001D4A08" w:rsidRPr="00CD1426">
        <w:rPr>
          <w:rFonts w:ascii="Book Antiqua" w:hAnsi="Book Antiqua" w:cs="Arial"/>
          <w:noProof/>
          <w:vertAlign w:val="superscript"/>
          <w:lang w:val="en-US"/>
        </w:rPr>
        <w:t>[19,20]</w:t>
      </w:r>
      <w:r w:rsidRPr="00CD1426">
        <w:rPr>
          <w:rFonts w:ascii="Book Antiqua" w:hAnsi="Book Antiqua" w:cs="Arial"/>
          <w:lang w:val="en-US"/>
        </w:rPr>
        <w:fldChar w:fldCharType="end"/>
      </w:r>
      <w:r w:rsidRPr="00CD1426">
        <w:rPr>
          <w:rFonts w:ascii="Book Antiqua" w:hAnsi="Book Antiqua" w:cs="Arial"/>
          <w:lang w:val="en-US"/>
        </w:rPr>
        <w:t>. The IL28B polymorphisms are most likely influenced by ancestry, and these variables may modify int</w:t>
      </w:r>
      <w:r w:rsidR="00B33120" w:rsidRPr="00CD1426">
        <w:rPr>
          <w:rFonts w:ascii="Book Antiqua" w:hAnsi="Book Antiqua" w:cs="Arial"/>
          <w:lang w:val="en-US"/>
        </w:rPr>
        <w:t>erferon-based therapy outcomes</w:t>
      </w:r>
      <w:r w:rsidRPr="00CD1426">
        <w:rPr>
          <w:rFonts w:ascii="Book Antiqua" w:hAnsi="Book Antiqua" w:cs="Arial"/>
          <w:lang w:val="en-US"/>
        </w:rPr>
        <w:fldChar w:fldCharType="begin" w:fldLock="1"/>
      </w:r>
      <w:r w:rsidR="001D4A08" w:rsidRPr="00CD1426">
        <w:rPr>
          <w:rFonts w:ascii="Book Antiqua" w:hAnsi="Book Antiqua" w:cs="Arial"/>
          <w:lang w:val="en-US"/>
        </w:rPr>
        <w:instrText>ADDIN CSL_CITATION { "citationItems" : [ { "id" : "ITEM-1", "itemData" : { "DOI" : "10.1002/hep.23912", "ISSN" : "1527-3350", "PMID" : "20931559", "abstract" : "Genetic variation in the IL28B (interleukin 28B; interferon lambda 3) region has been associated with sustained virological response (SVR) rates in patients with chronic hepatitis C (CHC) who were treated with peginterferon-\u03b1 and ribavirin. We hypothesized that IL28B polymorphism is associated with intrahepatic expression of interferon-stimulated genes (ISGs), known to influence treatment outcome. IL28B genotyping (rs12979860) and whole-genome RNA expression were performed using liver biopsies from 61 North American patients with CHC. After correction for multiple testing (false discovery rate &lt; 0.10), 164 transcripts were found to be differentially expressed by IL28B-type. The interferon signaling pathway was the most enriched canonical pathway differentially expressed by IL28B-type (P &lt; 10(-5)), with most genes showing higher expression in livers of individuals carrying the poor-response IL28B-type. In 25 patients for which treatment response data were available, IL28B-type was associated with SVR (P = 0.0054). ISG expression was also associated with SVR; however, this was not independent of IL28B-type. Analysis of miR-122 expression in liver biopsies showed reduced miR-122 levels associated with poorer treatment outcome, independently of IL28B-type. No association was observed between IL28B-type and levels of liver IL28B or IL28A messenger RNA expression. IL28B protein sequence variants associated with rs12979860 were therefore investigated in vitro: no differences in ISG induction or inhibition of HCV replication were observed in Huh7.5 cells. Conclusion: The good response IL28B variant was strongly associated with lower level ISG expression. The results suggest that IL28B genotype may explain the relationship between hepatic ISG expression and HCV treatment outcome, and this is independent of miR-122 expression. IL28B-type was not associated with intrahepatic IL28B messenger RNA expression in vivo. Further investigation of the precise molecular mechanism(s) by which IL28B genetic variation influences HCV outcomes is warranted.", "author" : [ { "dropping-particle" : "", "family" : "Urban", "given" : "Thomas J", "non-dropping-particle" : "", "parse-names" : false, "suffix" : "" }, { "dropping-particle" : "", "family" : "Thompson", "given" : "Alexander J", "non-dropping-particle" : "", "parse-names" : false, "suffix" : "" }, { "dropping-particle" : "", "family" : "Bradrick", "given" : "Shelton S", "non-dropping-particle" : "", "parse-names" : false, "suffix" : "" }, { "dropping-particle" : "", "family" : "Fellay", "given" : "Jacques", "non-dropping-particle" : "", "parse-names" : false, "suffix" : "" }, { "dropping-particle" : "", "family" : "Schuppan", "given" : "Detlef", "non-dropping-particle" : "", "parse-names" : false, "suffix" : "" }, { "dropping-particle" : "", "family" : "Cronin", "given" : "Kenneth D", "non-dropping-particle" : "", "parse-names" : false, "suffix" : "" }, { "dropping-particle" : "", "family" : "Hong", "given" : "Linda", "non-dropping-particle" : "", "parse-names" : false, "suffix" : "" }, { "dropping-particle" : "", "family" : "McKenzie", "given" : "Alexander", "non-dropping-particle" : "", "parse-names" : false, "suffix" : "" }, { "dropping-particle" : "", "family" : "Patel", "given" : "Keyur", "non-dropping-particle" : "", "parse-names" : false, "suffix" : "" }, { "dropping-particle" : "V", "family" : "Shianna", "given" : "Kevin", "non-dropping-particle" : "", "parse-names" : false, "suffix" : "" }, { "dropping-particle" : "", "family" : "McHutchison", "given" : "John G", "non-dropping-particle" : "", "parse-names" : false, "suffix" : "" }, { "dropping-particle" : "", "family" : "Goldstein", "given" : "David B", "non-dropping-particle" : "", "parse-names" : false, "suffix" : "" }, { "dropping-particle" : "", "family" : "Afdhal", "given" : "Nezam", "non-dropping-particle" : "", "parse-names" : false, "suffix" : "" } ], "container-title" : "Hepatology (Baltimore, Md.)", "id" : "ITEM-1", "issue" : "6", "issued" : { "date-parts" : [ [ "2010", "12" ] ] }, "page" : "1888-96", "title" : "IL28B genotype is associated with differential expression of intrahepatic interferon-stimulated genes in patients with chronic hepatitis C.", "type" : "article-journal", "volume" : "52" }, "uris" : [ "http://www.mendeley.com/documents/?uuid=0468444b-d27e-425d-8071-f46da294d6a6" ] } ], "mendeley" : { "formattedCitation" : "&lt;sup&gt;[21]&lt;/sup&gt;", "plainTextFormattedCitation" : "[21]", "previouslyFormattedCitation" : "&lt;sup&gt;[21]&lt;/sup&gt;" }, "properties" : { "noteIndex" : 0 }, "schema" : "https://github.com/citation-style-language/schema/raw/master/csl-citation.json" }</w:instrText>
      </w:r>
      <w:r w:rsidRPr="00CD1426">
        <w:rPr>
          <w:rFonts w:ascii="Book Antiqua" w:hAnsi="Book Antiqua" w:cs="Arial"/>
          <w:lang w:val="en-US"/>
        </w:rPr>
        <w:fldChar w:fldCharType="separate"/>
      </w:r>
      <w:r w:rsidR="001D4A08" w:rsidRPr="00CD1426">
        <w:rPr>
          <w:rFonts w:ascii="Book Antiqua" w:hAnsi="Book Antiqua" w:cs="Arial"/>
          <w:noProof/>
          <w:vertAlign w:val="superscript"/>
          <w:lang w:val="en-US"/>
        </w:rPr>
        <w:t>[21]</w:t>
      </w:r>
      <w:r w:rsidRPr="00CD1426">
        <w:rPr>
          <w:rFonts w:ascii="Book Antiqua" w:hAnsi="Book Antiqua" w:cs="Arial"/>
          <w:lang w:val="en-US"/>
        </w:rPr>
        <w:fldChar w:fldCharType="end"/>
      </w:r>
      <w:r w:rsidR="00B33120" w:rsidRPr="00CD1426">
        <w:rPr>
          <w:rFonts w:ascii="Book Antiqua" w:hAnsi="Book Antiqua" w:cs="Arial"/>
          <w:lang w:val="en-US" w:eastAsia="zh-CN"/>
        </w:rPr>
        <w:t>.</w:t>
      </w:r>
    </w:p>
    <w:p w14:paraId="70B179AA" w14:textId="77777777" w:rsidR="002B302F" w:rsidRPr="00CD1426" w:rsidRDefault="002B302F" w:rsidP="00CD1426">
      <w:pPr>
        <w:autoSpaceDE w:val="0"/>
        <w:spacing w:line="360" w:lineRule="auto"/>
        <w:jc w:val="both"/>
        <w:rPr>
          <w:rFonts w:ascii="Book Antiqua" w:hAnsi="Book Antiqua" w:cs="Arial"/>
          <w:lang w:val="en-US"/>
        </w:rPr>
      </w:pPr>
    </w:p>
    <w:p w14:paraId="63956BA9" w14:textId="77777777" w:rsidR="002B302F" w:rsidRPr="00CD1426" w:rsidRDefault="002B302F" w:rsidP="00CD1426">
      <w:pPr>
        <w:autoSpaceDE w:val="0"/>
        <w:spacing w:line="360" w:lineRule="auto"/>
        <w:jc w:val="both"/>
        <w:rPr>
          <w:rFonts w:ascii="Book Antiqua" w:hAnsi="Book Antiqua" w:cs="Arial"/>
          <w:b/>
          <w:i/>
          <w:lang w:val="en-US"/>
        </w:rPr>
      </w:pPr>
      <w:r w:rsidRPr="00CD1426">
        <w:rPr>
          <w:rFonts w:ascii="Book Antiqua" w:hAnsi="Book Antiqua" w:cs="Arial"/>
          <w:b/>
          <w:i/>
          <w:lang w:val="en-US"/>
        </w:rPr>
        <w:t>IL28B polymorphisms</w:t>
      </w:r>
    </w:p>
    <w:p w14:paraId="76502ACD" w14:textId="0F2A55D1" w:rsidR="002B302F" w:rsidRPr="00CD1426" w:rsidRDefault="002B302F" w:rsidP="00CD1426">
      <w:pPr>
        <w:tabs>
          <w:tab w:val="right" w:pos="540"/>
          <w:tab w:val="left" w:pos="720"/>
        </w:tabs>
        <w:spacing w:line="360" w:lineRule="auto"/>
        <w:jc w:val="both"/>
        <w:rPr>
          <w:rFonts w:ascii="Book Antiqua" w:hAnsi="Book Antiqua" w:cs="Arial"/>
          <w:lang w:val="en-US" w:eastAsia="zh-CN"/>
        </w:rPr>
      </w:pPr>
      <w:r w:rsidRPr="00CD1426">
        <w:rPr>
          <w:rFonts w:ascii="Book Antiqua" w:hAnsi="Book Antiqua" w:cs="Arial"/>
          <w:lang w:val="en-US"/>
        </w:rPr>
        <w:t>Genome Wide Association Studies (GWAS) described single nucleotide polymorphisms of genes in the area of the interferon lambda (IFN-</w:t>
      </w:r>
      <w:r w:rsidRPr="00CD1426">
        <w:rPr>
          <w:rFonts w:ascii="Book Antiqua" w:hAnsi="Book Antiqua" w:cs="Lucida Grande"/>
          <w:lang w:val="en-US"/>
        </w:rPr>
        <w:t>λ</w:t>
      </w:r>
      <w:r w:rsidRPr="00CD1426">
        <w:rPr>
          <w:rFonts w:ascii="Book Antiqua" w:hAnsi="Book Antiqua" w:cs="Arial"/>
          <w:lang w:val="en-US"/>
        </w:rPr>
        <w:t>) as powerful predictors of therapy response with double regimen with peg-interferon plus ribavirin in patients infected by Hepatitis C genotype 1 and of spontaneous viral clear</w:t>
      </w:r>
      <w:r w:rsidR="00B33120" w:rsidRPr="00CD1426">
        <w:rPr>
          <w:rFonts w:ascii="Book Antiqua" w:hAnsi="Book Antiqua" w:cs="Arial"/>
          <w:lang w:val="en-US"/>
        </w:rPr>
        <w:t>ance during acute HCV infection</w:t>
      </w:r>
      <w:r w:rsidRPr="00CD1426">
        <w:rPr>
          <w:rFonts w:ascii="Book Antiqua" w:hAnsi="Book Antiqua" w:cs="Arial"/>
          <w:lang w:val="en-US"/>
        </w:rPr>
        <w:fldChar w:fldCharType="begin" w:fldLock="1"/>
      </w:r>
      <w:r w:rsidR="001D4A08" w:rsidRPr="00CD1426">
        <w:rPr>
          <w:rFonts w:ascii="Book Antiqua" w:hAnsi="Book Antiqua" w:cs="Arial"/>
          <w:lang w:val="en-US"/>
        </w:rPr>
        <w:instrText>ADDIN CSL_CITATION { "citationItems" : [ { "id" : "ITEM-1", "itemData" : { "DOI" : "10.1038/nature08309", "ISSN" : "1476-4687", "PMID" : "19684573", "abstract" : "Chronic infection with hepatitis C virus (HCV) affects 170 million people worldwide and is the leading cause of cirrhosis in North America. Although the recommended treatment for chronic infection involves a 48-week course of peginterferon-alpha-2b (PegIFN-alpha-2b) or -alpha-2a (PegIFN-alpha-2a) combined with ribavirin (RBV), it is well known that many patients will not be cured by treatment, and that patients of European ancestry have a significantly higher probability of being cured than patients of African ancestry. In addition to limited efficacy, treatment is often poorly tolerated because of side effects that prevent some patients from completing therapy. For these reasons, identification of the determinants of response to treatment is a high priority. Here we report that a genetic polymorphism near the IL28B gene, encoding interferon-lambda-3 (IFN-lambda-3), is associated with an approximately twofold change in response to treatment, both among patients of European ancestry (P = 1.06 x 10(-25)) and African-Americans (P = 2.06 x 10(-3)). Because the genotype leading to better response is in substantially greater frequency in European than African populations, this genetic polymorphism also explains approximately half of the difference in response rates between African-Americans and patients of European ancestry.", "author" : [ { "dropping-particle" : "", "family" : "Ge", "given" : "Dongliang", "non-dropping-particle" : "", "parse-names" : false, "suffix" : "" }, { "dropping-particle" : "", "family" : "Fellay", "given" : "Jacques", "non-dropping-particle" : "", "parse-names" : false, "suffix" : "" }, { "dropping-particle" : "", "family" : "Thompson", "given" : "Alexander J", "non-dropping-particle" : "", "parse-names" : false, "suffix" : "" }, { "dropping-particle" : "", "family" : "Simon", "given" : "Jason S", "non-dropping-particle" : "", "parse-names" : false, "suffix" : "" }, { "dropping-particle" : "V", "family" : "Shianna", "given" : "Kevin", "non-dropping-particle" : "", "parse-names" : false, "suffix" : "" }, { "dropping-particle" : "", "family" : "Urban", "given" : "Thomas J", "non-dropping-particle" : "", "parse-names" : false, "suffix" : "" }, { "dropping-particle" : "", "family" : "Heinzen", "given" : "Erin L", "non-dropping-particle" : "", "parse-names" : false, "suffix" : "" }, { "dropping-particle" : "", "family" : "Qiu", "given" : "Ping", "non-dropping-particle" : "", "parse-names" : false, "suffix" : "" }, { "dropping-particle" : "", "family" : "Bertelsen", "given" : "Arthur H", "non-dropping-particle" : "", "parse-names" : false, "suffix" : "" }, { "dropping-particle" : "", "family" : "Muir", "given" : "Andrew J", "non-dropping-particle" : "", "parse-names" : false, "suffix" : "" }, { "dropping-particle" : "", "family" : "Sulkowski", "given" : "Mark", "non-dropping-particle" : "", "parse-names" : false, "suffix" : "" }, { "dropping-particle" : "", "family" : "McHutchison", "given" : "John G", "non-dropping-particle" : "", "parse-names" : false, "suffix" : "" }, { "dropping-particle" : "", "family" : "Goldstein", "given" : "David B", "non-dropping-particle" : "", "parse-names" : false, "suffix" : "" } ], "container-title" : "Nature", "id" : "ITEM-1", "issue" : "7262", "issued" : { "date-parts" : [ [ "2009", "9", "17" ] ] }, "page" : "399-401", "publisher" : "Nature Publishing Group", "title" : "Genetic variation in IL28B predicts hepatitis C treatment-induced viral clearance.", "type" : "article-journal", "volume" : "461" }, "uris" : [ "http://www.mendeley.com/documents/?uuid=2c13fa6a-3aa8-4f9f-a647-f09a99e4fc5d" ] }, { "id" : "ITEM-2", "itemData" : { "DOI" : "10.1038/ng.449", "ISSN" : "1546-1718", "PMID" : "19749757", "abstract" : "The recommended treatment for patients with chronic hepatitis C, pegylated interferon-alpha (PEG-IFN-alpha) plus ribavirin (RBV), does not provide sustained virologic response (SVR) in all patients. We report a genome-wide association study (GWAS) to null virological response (NVR) in the treatment of patients with hepatitis C virus (HCV) genotype 1 within a Japanese population. We found two SNPs near the gene IL28B on chromosome 19 to be strongly associated with NVR (rs12980275, P = 1.93 x 10(-13), and rs8099917, 3.11 x 10(-15)). We replicated these associations in an independent cohort (combined P values, 2.84 x 10(-27) (OR = 17.7; 95% CI = 10.0-31.3) and 2.68 x 10(-32) (OR = 27.1; 95% CI = 14.6-50.3), respectively). Compared to NVR, these SNPs were also associated with SVR (rs12980275, P = 3.99 x 10(-24), and rs8099917, P = 1.11 x 10(-27)). In further fine mapping of the region, seven SNPs (rs8105790, rs11881222, rs8103142, rs28416813, rs4803219, rs8099917 and rs7248668) located in the IL28B region showed the most significant associations (P = 5.52 x 10(-28)-2.68 x 10(-32); OR = 22.3-27.1). Real-time quantitative PCR assays in peripheral blood mononuclear cells showed lower IL28B expression levels in individuals carrying the minor alleles (P = 0.015).", "author" : [ { "dropping-particle" : "", "family" : "Tanaka", "given" : "Yasuhito", "non-dropping-particle" : "", "parse-names" : false, "suffix" : "" }, { "dropping-particle" : "", "family" : "Nishida", "given" : "Nao", "non-dropping-particle" : "", "parse-names" : false, "suffix" : "" }, { "dropping-particle" : "", "family" : "Sugiyama", "given" : "Masaya", "non-dropping-particle" : "", "parse-names" : false, "suffix" : "" }, { "dropping-particle" : "", "family" : "Kurosaki", "given" : "Masayuki", "non-dropping-particle" : "", "parse-names" : false, "suffix" : "" }, { "dropping-particle" : "", "family" : "Matsuura", "given" : "Kentaro", "non-dropping-particle" : "", "parse-names" : false, "suffix" : "" }, { "dropping-particle" : "", "family" : "Sakamoto", "given" : "Naoya", "non-dropping-particle" : "", "parse-names" : false, "suffix" : "" }, { "dropping-particle" : "", "family" : "Nakagawa", "given" : "Mina", "non-dropping-particle" : "", "parse-names" : false, "suffix" : "" }, { "dropping-particle" : "", "family" : "Korenaga", "given" : "Masaaki", "non-dropping-particle" : "", "parse-names" : false, "suffix" : "" }, { "dropping-particle" : "", "family" : "Hino", "given" : "Keisuke", "non-dropping-particle" : "", "parse-names" : false, "suffix" : "" }, { "dropping-particle" : "", "family" : "Hige", "given" : "Shuhei", "non-dropping-particle" : "", "parse-names" : false, "suffix" : "" }, { "dropping-particle" : "", "family" : "Ito", "given" : "Yoshito", "non-dropping-particle" : "", "parse-names" : false, "suffix" : "" }, { "dropping-particle" : "", "family" : "Mita", "given" : "Eiji", "non-dropping-particle" : "", "parse-names" : false, "suffix" : "" }, { "dropping-particle" : "", "family" : "Tanaka", "given" : "Eiji", "non-dropping-particle" : "", "parse-names" : false, "suffix" : "" }, { "dropping-particle" : "", "family" : "Mochida", "given" : "Satoshi", "non-dropping-particle" : "", "parse-names" : false, "suffix" : "" }, { "dropping-particle" : "", "family" : "Murawaki", "given" : "Yoshikazu", "non-dropping-particle" : "", "parse-names" : false, "suffix" : "" }, { "dropping-particle" : "", "family" : "Honda", "given" : "Masao", "non-dropping-particle" : "", "parse-names" : false, "suffix" : "" }, { "dropping-particle" : "", "family" : "Sakai", "given" : "Akito", "non-dropping-particle" : "", "parse-names" : false, "suffix" : "" }, { "dropping-particle" : "", "family" : "Hiasa", "given" : "Yoichi", "non-dropping-particle" : "", "parse-names" : false, "suffix" : "" }, { "dropping-particle" : "", "family" : "Nishiguchi", "given" : "Shuhei", "non-dropping-particle" : "", "parse-names" : false, "suffix" : "" }, { "dropping-particle" : "", "family" : "Koike", "given" : "Asako", "non-dropping-particle" : "", "parse-names" : false, "suffix" : "" }, { "dropping-particle" : "", "family" : "Sakaida", "given" : "Isao", "non-dropping-particle" : "", "parse-names" : false, "suffix" : "" }, { "dropping-particle" : "", "family" : "Imamura", "given" : "Masatoshi", "non-dropping-particle" : "", "parse-names" : false, "suffix" : "" }, { "dropping-particle" : "", "family" : "Ito", "given" : "Kiyoaki", "non-dropping-particle" : "", "parse-names" : false, "suffix" : "" }, { "dropping-particle" : "", "family" : "Yano", "given" : "Koji", "non-dropping-particle" : "", "parse-names" : false, "suffix" : "" }, { "dropping-particle" : "", "family" : "Masaki", "given" : "Naohiko", "non-dropping-particle" : "", "parse-names" : false, "suffix" : "" }, { "dropping-particle" : "", "family" : "Sugauchi", "given" : "Fuminaka", "non-dropping-particle" : "", "parse-names" : false, "suffix" : "" }, { "dropping-particle" : "", "family" : "Izumi", "given" : "Namiki", "non-dropping-particle" : "", "parse-names" : false, "suffix" : "" }, { "dropping-particle" : "", "family" : "Tokunaga", "given" : "Katsushi", "non-dropping-particle" : "", "parse-names" : false, "suffix" : "" }, { "dropping-particle" : "", "family" : "Mizokami", "given" : "Masashi", "non-dropping-particle" : "", "parse-names" : false, "suffix" : "" } ], "container-title" : "Nature genetics", "id" : "ITEM-2", "issue" : "10", "issued" : { "date-parts" : [ [ "2009", "10" ] ] }, "page" : "1105-9", "title" : "Genome-wide association of IL28B with response to pegylated interferon-alpha and ribavirin therapy for chronic hepatitis C.", "type" : "article", "volume" : "41" }, "uris" : [ "http://www.mendeley.com/documents/?uuid=4cb879ee-aa05-4559-bf67-962b7a1f3ee4" ] }, { "id" : "ITEM-3", "itemData" : { "ISSN" : "1478-3231", "abstract" : "IL28B polymorphisms are predictors of therapy response in hepatitis C virus (HCV) patients. We do not know whether they are markers of treatment response in admixed populations or not.", "author" : [ { "dropping-particle" : "", "family" : "Cavalcante", "given" : "Lourianne N", "non-dropping-particle" : "", "parse-names" : false, "suffix" : "" }, { "dropping-particle" : "", "family" : "Abe-Sandes", "given" : "Kiyoko", "non-dropping-particle" : "", "parse-names" : false, "suffix" : "" }, { "dropping-particle" : "", "family" : "Angelo", "given" : "Ana Luiza D", "non-dropping-particle" : "", "parse-names" : false, "suffix" : "" }, { "dropping-particle" : "", "family" : "Machado", "given" : "Taisa M B", "non-dropping-particle" : "", "parse-names" : false, "suffix" : "" }, { "dropping-particle" : "", "family" : "Lemaire", "given" : "Denise C", "non-dropping-particle" : "", "parse-names" : false, "suffix" : "" }, { "dropping-particle" : "", "family" : "Mendes", "given" : "Carlos M C", "non-dropping-particle" : "", "parse-names" : false, "suffix" : "" }, { "dropping-particle" : "", "family" : "Pinho", "given" : "Jo\u00e3o R", "non-dropping-particle" : "", "parse-names" : false, "suffix" : "" }, { "dropping-particle" : "", "family" : "Malta", "given" : "Fernanda", "non-dropping-particle" : "", "parse-names" : false, "suffix" : "" }, { "dropping-particle" : "", "family" : "Lyra", "given" : "Luiz G C", "non-dropping-particle" : "", "parse-names" : false, "suffix" : "" }, { "dropping-particle" : "", "family" : "Lyra", "given" : "Andr\u00e9 C", "non-dropping-particle" : "", "parse-names" : false, "suffix" : "" } ], "container-title" : "Liver international : official journal of the International Association for the Study of the Liver", "id" : "ITEM-3", "issue" : "3", "issued" : { "date-parts" : [ [ "2012", "3" ] ] }, "page" : "476-86", "title" : "IL28B polymorphisms are markers of therapy response and are influenced by genetic ancestry in chronic hepatitis C patients from an admixed population.", "type" : "article-journal", "volume" : "32" }, "uris" : [ "http://www.mendeley.com/documents/?uuid=67a73e52-2e5a-495e-8d20-29d2aedccb00" ] }, { "id" : "ITEM-4", "itemData" : { "DOI" : "10.1002/hep.23912", "ISSN" : "1527-3350", "PMID" : "20931559", "abstract" : "Genetic variation in the IL28B (interleukin 28B; interferon lambda 3) region has been associated with sustained virological response (SVR) rates in patients with chronic hepatitis C (CHC) who were treated with peginterferon-\u03b1 and ribavirin. We hypothesized that IL28B polymorphism is associated with intrahepatic expression of interferon-stimulated genes (ISGs), known to influence treatment outcome. IL28B genotyping (rs12979860) and whole-genome RNA expression were performed using liver biopsies from 61 North American patients with CHC. After correction for multiple testing (false discovery rate &lt; 0.10), 164 transcripts were found to be differentially expressed by IL28B-type. The interferon signaling pathway was the most enriched canonical pathway differentially expressed by IL28B-type (P &lt; 10(-5)), with most genes showing higher expression in livers of individuals carrying the poor-response IL28B-type. In 25 patients for which treatment response data were available, IL28B-type was associated with SVR (P = 0.0054). ISG expression was also associated with SVR; however, this was not independent of IL28B-type. Analysis of miR-122 expression in liver biopsies showed reduced miR-122 levels associated with poorer treatment outcome, independently of IL28B-type. No association was observed between IL28B-type and levels of liver IL28B or IL28A messenger RNA expression. IL28B protein sequence variants associated with rs12979860 were therefore investigated in vitro: no differences in ISG induction or inhibition of HCV replication were observed in Huh7.5 cells. Conclusion: The good response IL28B variant was strongly associated with lower level ISG expression. The results suggest that IL28B genotype may explain the relationship between hepatic ISG expression and HCV treatment outcome, and this is independent of miR-122 expression. IL28B-type was not associated with intrahepatic IL28B messenger RNA expression in vivo. Further investigation of the precise molecular mechanism(s) by which IL28B genetic variation influences HCV outcomes is warranted.", "author" : [ { "dropping-particle" : "", "family" : "Urban", "given" : "Thomas J", "non-dropping-particle" : "", "parse-names" : false, "suffix" : "" }, { "dropping-particle" : "", "family" : "Thompson", "given" : "Alexander J", "non-dropping-particle" : "", "parse-names" : false, "suffix" : "" }, { "dropping-particle" : "", "family" : "Bradrick", "given" : "Shelton S", "non-dropping-particle" : "", "parse-names" : false, "suffix" : "" }, { "dropping-particle" : "", "family" : "Fellay", "given" : "Jacques", "non-dropping-particle" : "", "parse-names" : false, "suffix" : "" }, { "dropping-particle" : "", "family" : "Schuppan", "given" : "Detlef", "non-dropping-particle" : "", "parse-names" : false, "suffix" : "" }, { "dropping-particle" : "", "family" : "Cronin", "given" : "Kenneth D", "non-dropping-particle" : "", "parse-names" : false, "suffix" : "" }, { "dropping-particle" : "", "family" : "Hong", "given" : "Linda", "non-dropping-particle" : "", "parse-names" : false, "suffix" : "" }, { "dropping-particle" : "", "family" : "McKenzie", "given" : "Alexander", "non-dropping-particle" : "", "parse-names" : false, "suffix" : "" }, { "dropping-particle" : "", "family" : "Patel", "given" : "Keyur", "non-dropping-particle" : "", "parse-names" : false, "suffix" : "" }, { "dropping-particle" : "V", "family" : "Shianna", "given" : "Kevin", "non-dropping-particle" : "", "parse-names" : false, "suffix" : "" }, { "dropping-particle" : "", "family" : "McHutchison", "given" : "John G", "non-dropping-particle" : "", "parse-names" : false, "suffix" : "" }, { "dropping-particle" : "", "family" : "Goldstein", "given" : "David B", "non-dropping-particle" : "", "parse-names" : false, "suffix" : "" }, { "dropping-particle" : "", "family" : "Afdhal", "given" : "Nezam", "non-dropping-particle" : "", "parse-names" : false, "suffix" : "" } ], "container-title" : "Hepatology (Baltimore, Md.)", "id" : "ITEM-4", "issue" : "6", "issued" : { "date-parts" : [ [ "2010", "12" ] ] }, "page" : "1888-96", "title" : "IL28B genotype is associated with differential expression of intrahepatic interferon-stimulated genes in patients with chronic hepatitis C.", "type" : "article-journal", "volume" : "52" }, "uris" : [ "http://www.mendeley.com/documents/?uuid=0468444b-d27e-425d-8071-f46da294d6a6" ] }, { "id" : "ITEM-5", "itemData" : { "DOI" : "10.1038/ng.447", "ISSN" : "1546-1718", "PMID" : "19749758", "abstract" : "Hepatitis C virus (HCV) infects 3% of the world's population. Treatment of chronic HCV consists of a combination of PEGylated interferon-alpha (PEG-IFN-alpha) and ribavirin (RBV). To identify genetic variants associated with HCV treatment response, we conducted a genome-wide association study of sustained virological response (SVR) to PEG-IFN-alpha/RBV combination therapy in 293 Australian individuals with genotype 1 chronic hepatitis C, with validation in an independent replication cohort consisting of 555 individuals. We report an association to SVR within the gene region encoding interleukin 28B (IL28B, also called IFNlambda3; rs8099917 combined P = 9.25 x 10(-9), OR = 1.98, 95% CI = 1.57-2.52). IL28B contributes to viral resistance and is known to be upregulated by interferons and by RNA virus infection. These data suggest that host genetics may be useful for the prediction of drug response, and they also support the investigation of the role of IL28B in the treatment of HCV and in other diseases treated with IFN-alpha.", "author" : [ { "dropping-particle" : "", "family" : "Suppiah", "given" : "Vijayaprakash", "non-dropping-particle" : "", "parse-names" : false, "suffix" : "" }, { "dropping-particle" : "", "family" : "Moldovan", "given" : "Max", "non-dropping-particle" : "", "parse-names" : false, "suffix" : "" }, { "dropping-particle" : "", "family" : "Ahlenstiel", "given" : "Golo", "non-dropping-particle" : "", "parse-names" : false, "suffix" : "" }, { "dropping-particle" : "", "family" : "Berg", "given" : "Thomas", "non-dropping-particle" : "", "parse-names" : false, "suffix" : "" }, { "dropping-particle" : "", "family" : "Weltman", "given" : "Martin", "non-dropping-particle" : "", "parse-names" : false, "suffix" : "" }, { "dropping-particle" : "", "family" : "Abate", "given" : "Maria Lorena", "non-dropping-particle" : "", "parse-names" : false, "suffix" : "" }, { "dropping-particle" : "", "family" : "Bassendine", "given" : "Margaret", "non-dropping-particle" : "", "parse-names" : false, "suffix" : "" }, { "dropping-particle" : "", "family" : "Spengler", "given" : "Ulrich", "non-dropping-particle" : "", "parse-names" : false, "suffix" : "" }, { "dropping-particle" : "", "family" : "Dore", "given" : "Gregory J", "non-dropping-particle" : "", "parse-names" : false, "suffix" : "" }, { "dropping-particle" : "", "family" : "Powell", "given" : "Elizabeth", "non-dropping-particle" : "", "parse-names" : false, "suffix" : "" }, { "dropping-particle" : "", "family" : "Riordan", "given" : "Stephen", "non-dropping-particle" : "", "parse-names" : false, "suffix" : "" }, { "dropping-particle" : "", "family" : "Sheridan", "given" : "David", "non-dropping-particle" : "", "parse-names" : false, "suffix" : "" }, { "dropping-particle" : "", "family" : "Smedile", "given" : "Antonina", "non-dropping-particle" : "", "parse-names" : false, "suffix" : "" }, { "dropping-particle" : "", "family" : "Fragomeli", "given" : "Vincenzo", "non-dropping-particle" : "", "parse-names" : false, "suffix" : "" }, { "dropping-particle" : "", "family" : "M\u00fcller", "given" : "Tobias", "non-dropping-particle" : "", "parse-names" : false, "suffix" : "" }, { "dropping-particle" : "", "family" : "Bahlo", "given" : "Melanie", "non-dropping-particle" : "", "parse-names" : false, "suffix" : "" }, { "dropping-particle" : "", "family" : "Stewart", "given" : "Graeme J", "non-dropping-particle" : "", "parse-names" : false, "suffix" : "" }, { "dropping-particle" : "", "family" : "Booth", "given" : "David R", "non-dropping-particle" : "", "parse-names" : false, "suffix" : "" }, { "dropping-particle" : "", "family" : "George", "given" : "Jacob", "non-dropping-particle" : "", "parse-names" : false, "suffix" : "" } ], "container-title" : "Nature genetics", "id" : "ITEM-5", "issue" : "10", "issued" : { "date-parts" : [ [ "2009", "10" ] ] }, "page" : "1100-4", "title" : "IL28B is associated with response to chronic hepatitis C interferon-alpha and ribavirin therapy.", "type" : "article-journal", "volume" : "41" }, "uris" : [ "http://www.mendeley.com/documents/?uuid=25da8f18-cf1a-498d-910a-d1804bff754f" ] }, { "id" : "ITEM-6", "itemData" : { "DOI" : "10.1038/nature08463", "ISSN" : "1476-4687", "PMID" : "19759533", "abstract" : "Hepatitis C virus (HCV) infection is the most common blood-borne infection in the United States, with estimates of 4 million HCV-infected individuals in the United States and 170 million worldwide. Most (70-80%) HCV infections persist and about 30% of individuals with persistent infection develop chronic liver disease, including cirrhosis and hepatocellular carcinoma. Epidemiological, viral and host factors have been associated with the differences in HCV clearance or persistence, and studies have demonstrated that a strong host immune response against HCV favours viral clearance. Thus, variation in genes involved in the immune response may contribute to the ability to clear the virus. In a recent genome-wide association study, a single nucleotide polymorphism (rs12979860) 3 kilobases upstream of the IL28B gene, which encodes the type III interferon IFN-3, was shown to associate strongly with more than a twofold difference in response to HCV drug treatment. To determine the potential effect of rs12979860 variation on outcome to HCV infection in a natural history setting, we genotyped this variant in HCV cohorts comprised of individuals who spontaneously cleared the virus (n = 388) or had persistent infection (n = 620). We show that the C/C genotype strongly enhances resolution of HCV infection among individuals of both European and African ancestry. To our knowledge, this is the strongest and most significant genetic effect associated with natural clearance of HCV, and these results implicate a primary role for IL28B in resolution of HCV infection.", "author" : [ { "dropping-particle" : "", "family" : "Thomas", "given" : "David L", "non-dropping-particle" : "", "parse-names" : false, "suffix" : "" }, { "dropping-particle" : "", "family" : "Thio", "given" : "Chloe L", "non-dropping-particle" : "", "parse-names" : false, "suffix" : "" }, { "dropping-particle" : "", "family" : "Martin", "given" : "Maureen P", "non-dropping-particle" : "", "parse-names" : false, "suffix" : "" }, { "dropping-particle" : "", "family" : "Qi", "given" : "Ying", "non-dropping-particle" : "", "parse-names" : false, "suffix" : "" }, { "dropping-particle" : "", "family" : "Ge", "given" : "Dongliang", "non-dropping-particle" : "", "parse-names" : false, "suffix" : "" }, { "dropping-particle" : "", "family" : "O'Huigin", "given" : "Colm", "non-dropping-particle" : "", "parse-names" : false, "suffix" : "" }, { "dropping-particle" : "", "family" : "Kidd", "given" : "Judith", "non-dropping-particle" : "", "parse-names" : false, "suffix" : "" }, { "dropping-particle" : "", "family" : "Kidd", "given" : "Kenneth", "non-dropping-particle" : "", "parse-names" : false, "suffix" : "" }, { "dropping-particle" : "", "family" : "Khakoo", "given" : "Salim I", "non-dropping-particle" : "", "parse-names" : false, "suffix" : "" }, { "dropping-particle" : "", "family" : "Alexander", "given" : "Graeme", "non-dropping-particle" : "", "parse-names" : false, "suffix" : "" }, { "dropping-particle" : "", "family" : "Goedert", "given" : "James J", "non-dropping-particle" : "", "parse-names" : false, "suffix" : "" }, { "dropping-particle" : "", "family" : "Kirk", "given" : "Gregory D", "non-dropping-particle" : "", "parse-names" : false, "suffix" : "" }, { "dropping-particle" : "", "family" : "Donfield", "given" : "Sharyne M", "non-dropping-particle" : "", "parse-names" : false, "suffix" : "" }, { "dropping-particle" : "", "family" : "Rosen", "given" : "Hugo R", "non-dropping-particle" : "", "parse-names" : false, "suffix" : "" }, { "dropping-particle" : "", "family" : "Tobler", "given" : "Leslie H", "non-dropping-particle" : "", "parse-names" : false, "suffix" : "" }, { "dropping-particle" : "", "family" : "Busch", "given" : "Michael P", "non-dropping-particle" : "", "parse-names" : false, "suffix" : "" }, { "dropping-particle" : "", "family" : "McHutchison", "given" : "John G", "non-dropping-particle" : "", "parse-names" : false, "suffix" : "" }, { "dropping-particle" : "", "family" : "Goldstein", "given" : "David B", "non-dropping-particle" : "", "parse-names" : false, "suffix" : "" }, { "dropping-particle" : "", "family" : "Carrington", "given" : "Mary", "non-dropping-particle" : "", "parse-names" : false, "suffix" : "" } ], "container-title" : "Nature", "id" : "ITEM-6", "issue" : "7265", "issued" : { "date-parts" : [ [ "2009", "10", "8" ] ] }, "page" : "798-801", "publisher" : "Nature Publishing Group", "title" : "Genetic variation in IL28B and spontaneous clearance of hepatitis C virus.", "type" : "article-journal", "volume" : "461" }, "uris" : [ "http://www.mendeley.com/documents/?uuid=b144d8c8-a039-463c-a58a-2e0f8ce5e52f" ] }, { "id" : "ITEM-7", "itemData" : { "DOI" : "10.1053/j.gastro.2010.05.079", "ISSN" : "1528-0012", "PMID" : "20621700", "abstract" : "Polymorphisms in the region of the interleukin (IL)-28B gene on chromosome 19 have been associated with peginterferon-alfa-induced clearance of genotype 1 hepatitis C virus (HCV); there are no data for patients with genotype 2 or 3 HCV. We evaluated the effects of IL-28B polymorphisms on response to treatment with peginterferon and ribavirin in a well-characterized cohort of genotype 2/3 patients.", "author" : [ { "dropping-particle" : "", "family" : "Mangia", "given" : "Alessandra", "non-dropping-particle" : "", "parse-names" : false, "suffix" : "" }, { "dropping-particle" : "", "family" : "Thompson", "given" : "Alexander J", "non-dropping-particle" : "", "parse-names" : false, "suffix" : "" }, { "dropping-particle" : "", "family" : "Santoro", "given" : "Rosanna", "non-dropping-particle" : "", "parse-names" : false, "suffix" : "" }, { "dropping-particle" : "", "family" : "Piazzolla", "given" : "Valeria", "non-dropping-particle" : "", "parse-names" : false, "suffix" : "" }, { "dropping-particle" : "", "family" : "Tillmann", "given" : "Hans L", "non-dropping-particle" : "", "parse-names" : false, "suffix" : "" }, { "dropping-particle" : "", "family" : "Patel", "given" : "Keyur", "non-dropping-particle" : "", "parse-names" : false, "suffix" : "" }, { "dropping-particle" : "V", "family" : "Shianna", "given" : "Kevin", "non-dropping-particle" : "", "parse-names" : false, "suffix" : "" }, { "dropping-particle" : "", "family" : "Mottola", "given" : "Leonardo", "non-dropping-particle" : "", "parse-names" : false, "suffix" : "" }, { "dropping-particle" : "", "family" : "Petruzzellis", "given" : "Daniela", "non-dropping-particle" : "", "parse-names" : false, "suffix" : "" }, { "dropping-particle" : "", "family" : "Bacca", "given" : "Donato", "non-dropping-particle" : "", "parse-names" : false, "suffix" : "" }, { "dropping-particle" : "", "family" : "Carretta", "given" : "Vito", "non-dropping-particle" : "", "parse-names" : false, "suffix" : "" }, { "dropping-particle" : "", "family" : "Minerva", "given" : "Nicola", "non-dropping-particle" : "", "parse-names" : false, "suffix" : "" }, { "dropping-particle" : "", "family" : "Goldstein", "given" : "David B", "non-dropping-particle" : "", "parse-names" : false, "suffix" : "" }, { "dropping-particle" : "", "family" : "McHutchison", "given" : "John G", "non-dropping-particle" : "", "parse-names" : false, "suffix" : "" } ], "container-title" : "Gastroenterology", "id" : "ITEM-7", "issue" : "3", "issued" : { "date-parts" : [ [ "2010", "9" ] ] }, "page" : "821-7, 827.e1", "publisher" : "Elsevier Inc.", "title" : "An IL28B polymorphism determines treatment response of hepatitis C virus genotype 2 or 3 patients who do not achieve a rapid virologic response.", "type" : "article-journal", "volume" : "139" }, "uris" : [ "http://www.mendeley.com/documents/?uuid=0917f7fd-c7a6-4b37-b45e-75fdba7092dc" ] } ], "mendeley" : { "formattedCitation" : "&lt;sup&gt;[6,7,18,21\u201324]&lt;/sup&gt;", "plainTextFormattedCitation" : "[6,7,18,21\u201324]", "previouslyFormattedCitation" : "&lt;sup&gt;[6,7,18,21\u201324]&lt;/sup&gt;" }, "properties" : { "noteIndex" : 0 }, "schema" : "https://github.com/citation-style-language/schema/raw/master/csl-citation.json" }</w:instrText>
      </w:r>
      <w:r w:rsidRPr="00CD1426">
        <w:rPr>
          <w:rFonts w:ascii="Book Antiqua" w:hAnsi="Book Antiqua" w:cs="Arial"/>
          <w:lang w:val="en-US"/>
        </w:rPr>
        <w:fldChar w:fldCharType="separate"/>
      </w:r>
      <w:r w:rsidR="001D4A08" w:rsidRPr="00CD1426">
        <w:rPr>
          <w:rFonts w:ascii="Book Antiqua" w:hAnsi="Book Antiqua" w:cs="Arial"/>
          <w:noProof/>
          <w:vertAlign w:val="superscript"/>
          <w:lang w:val="en-US"/>
        </w:rPr>
        <w:t>[6,7,18,21</w:t>
      </w:r>
      <w:r w:rsidR="00B33120" w:rsidRPr="00CD1426">
        <w:rPr>
          <w:rFonts w:ascii="Book Antiqua" w:hAnsi="Book Antiqua" w:cs="Arial"/>
          <w:noProof/>
          <w:vertAlign w:val="superscript"/>
          <w:lang w:val="en-US" w:eastAsia="zh-CN"/>
        </w:rPr>
        <w:t>-</w:t>
      </w:r>
      <w:r w:rsidR="001D4A08" w:rsidRPr="00CD1426">
        <w:rPr>
          <w:rFonts w:ascii="Book Antiqua" w:hAnsi="Book Antiqua" w:cs="Arial"/>
          <w:noProof/>
          <w:vertAlign w:val="superscript"/>
          <w:lang w:val="en-US"/>
        </w:rPr>
        <w:t>24]</w:t>
      </w:r>
      <w:r w:rsidRPr="00CD1426">
        <w:rPr>
          <w:rFonts w:ascii="Book Antiqua" w:hAnsi="Book Antiqua" w:cs="Arial"/>
          <w:lang w:val="en-US"/>
        </w:rPr>
        <w:fldChar w:fldCharType="end"/>
      </w:r>
      <w:r w:rsidRPr="00CD1426">
        <w:rPr>
          <w:rFonts w:ascii="Book Antiqua" w:hAnsi="Book Antiqua" w:cs="Arial"/>
          <w:lang w:val="en-US"/>
        </w:rPr>
        <w:t xml:space="preserve">. In HCV genotypes 2 and 3 infected individuals, the outcomes were somewhat controversial; some studies showed that IL28B polymorphisms are associated with </w:t>
      </w:r>
      <w:r w:rsidR="00B33120" w:rsidRPr="00CD1426">
        <w:rPr>
          <w:rFonts w:ascii="Book Antiqua" w:hAnsi="Book Antiqua" w:cs="Arial"/>
          <w:lang w:val="en-US"/>
        </w:rPr>
        <w:t xml:space="preserve">rapid </w:t>
      </w:r>
      <w:proofErr w:type="spellStart"/>
      <w:r w:rsidR="00B33120" w:rsidRPr="00CD1426">
        <w:rPr>
          <w:rFonts w:ascii="Book Antiqua" w:hAnsi="Book Antiqua" w:cs="Arial"/>
          <w:lang w:val="en-US"/>
        </w:rPr>
        <w:t>virologic</w:t>
      </w:r>
      <w:proofErr w:type="spellEnd"/>
      <w:r w:rsidR="00B33120" w:rsidRPr="00CD1426">
        <w:rPr>
          <w:rFonts w:ascii="Book Antiqua" w:hAnsi="Book Antiqua" w:cs="Arial"/>
          <w:lang w:val="en-US"/>
        </w:rPr>
        <w:t xml:space="preserve"> response </w:t>
      </w:r>
      <w:r w:rsidR="00B33120" w:rsidRPr="00CD1426">
        <w:rPr>
          <w:rFonts w:ascii="Book Antiqua" w:hAnsi="Book Antiqua" w:cs="Arial"/>
          <w:lang w:val="en-US" w:eastAsia="zh-CN"/>
        </w:rPr>
        <w:t>(</w:t>
      </w:r>
      <w:r w:rsidRPr="00CD1426">
        <w:rPr>
          <w:rFonts w:ascii="Book Antiqua" w:hAnsi="Book Antiqua" w:cs="Arial"/>
          <w:lang w:val="en-US"/>
        </w:rPr>
        <w:t>RVR</w:t>
      </w:r>
      <w:r w:rsidR="00B33120" w:rsidRPr="00CD1426">
        <w:rPr>
          <w:rFonts w:ascii="Book Antiqua" w:hAnsi="Book Antiqua" w:cs="Arial"/>
          <w:lang w:val="en-US" w:eastAsia="zh-CN"/>
        </w:rPr>
        <w:t>)</w:t>
      </w:r>
      <w:r w:rsidRPr="00CD1426">
        <w:rPr>
          <w:rFonts w:ascii="Book Antiqua" w:hAnsi="Book Antiqua" w:cs="Arial"/>
          <w:lang w:val="en-US"/>
        </w:rPr>
        <w:t xml:space="preserve"> and not SVR, whereas others showed that IL28B polymorphisms are associated with SVR only i</w:t>
      </w:r>
      <w:r w:rsidR="00B33120" w:rsidRPr="00CD1426">
        <w:rPr>
          <w:rFonts w:ascii="Book Antiqua" w:hAnsi="Book Antiqua" w:cs="Arial"/>
          <w:lang w:val="en-US"/>
        </w:rPr>
        <w:t>n patients who did not get RVR</w:t>
      </w:r>
      <w:r w:rsidRPr="00CD1426">
        <w:rPr>
          <w:rFonts w:ascii="Book Antiqua" w:hAnsi="Book Antiqua" w:cs="Arial"/>
          <w:lang w:val="en-US"/>
        </w:rPr>
        <w:fldChar w:fldCharType="begin" w:fldLock="1"/>
      </w:r>
      <w:r w:rsidR="001D4A08" w:rsidRPr="00CD1426">
        <w:rPr>
          <w:rFonts w:ascii="Book Antiqua" w:hAnsi="Book Antiqua" w:cs="Arial"/>
          <w:lang w:val="en-US"/>
        </w:rPr>
        <w:instrText>ADDIN CSL_CITATION { "citationItems" : [ { "id" : "ITEM-1", "itemData" : { "DOI" : "10.1053/j.gastro.2010.05.079", "ISSN" : "1528-0012", "PMID" : "20621700", "abstract" : "Polymorphisms in the region of the interleukin (IL)-28B gene on chromosome 19 have been associated with peginterferon-alfa-induced clearance of genotype 1 hepatitis C virus (HCV); there are no data for patients with genotype 2 or 3 HCV. We evaluated the effects of IL-28B polymorphisms on response to treatment with peginterferon and ribavirin in a well-characterized cohort of genotype 2/3 patients.", "author" : [ { "dropping-particle" : "", "family" : "Mangia", "given" : "Alessandra", "non-dropping-particle" : "", "parse-names" : false, "suffix" : "" }, { "dropping-particle" : "", "family" : "Thompson", "given" : "Alexander J", "non-dropping-particle" : "", "parse-names" : false, "suffix" : "" }, { "dropping-particle" : "", "family" : "Santoro", "given" : "Rosanna", "non-dropping-particle" : "", "parse-names" : false, "suffix" : "" }, { "dropping-particle" : "", "family" : "Piazzolla", "given" : "Valeria", "non-dropping-particle" : "", "parse-names" : false, "suffix" : "" }, { "dropping-particle" : "", "family" : "Tillmann", "given" : "Hans L", "non-dropping-particle" : "", "parse-names" : false, "suffix" : "" }, { "dropping-particle" : "", "family" : "Patel", "given" : "Keyur", "non-dropping-particle" : "", "parse-names" : false, "suffix" : "" }, { "dropping-particle" : "V", "family" : "Shianna", "given" : "Kevin", "non-dropping-particle" : "", "parse-names" : false, "suffix" : "" }, { "dropping-particle" : "", "family" : "Mottola", "given" : "Leonardo", "non-dropping-particle" : "", "parse-names" : false, "suffix" : "" }, { "dropping-particle" : "", "family" : "Petruzzellis", "given" : "Daniela", "non-dropping-particle" : "", "parse-names" : false, "suffix" : "" }, { "dropping-particle" : "", "family" : "Bacca", "given" : "Donato", "non-dropping-particle" : "", "parse-names" : false, "suffix" : "" }, { "dropping-particle" : "", "family" : "Carretta", "given" : "Vito", "non-dropping-particle" : "", "parse-names" : false, "suffix" : "" }, { "dropping-particle" : "", "family" : "Minerva", "given" : "Nicola", "non-dropping-particle" : "", "parse-names" : false, "suffix" : "" }, { "dropping-particle" : "", "family" : "Goldstein", "given" : "David B", "non-dropping-particle" : "", "parse-names" : false, "suffix" : "" }, { "dropping-particle" : "", "family" : "McHutchison", "given" : "John G", "non-dropping-particle" : "", "parse-names" : false, "suffix" : "" } ], "container-title" : "Gastroenterology", "id" : "ITEM-1", "issue" : "3", "issued" : { "date-parts" : [ [ "2010", "9" ] ] }, "page" : "821-7, 827.e1", "publisher" : "Elsevier Inc.", "title" : "An IL28B polymorphism determines treatment response of hepatitis C virus genotype 2 or 3 patients who do not achieve a rapid virologic response.", "type" : "article-journal", "volume" : "139" }, "uris" : [ "http://www.mendeley.com/documents/?uuid=0917f7fd-c7a6-4b37-b45e-75fdba7092dc" ] } ], "mendeley" : { "formattedCitation" : "&lt;sup&gt;[24]&lt;/sup&gt;", "plainTextFormattedCitation" : "[24]", "previouslyFormattedCitation" : "&lt;sup&gt;[24]&lt;/sup&gt;" }, "properties" : { "noteIndex" : 0 }, "schema" : "https://github.com/citation-style-language/schema/raw/master/csl-citation.json" }</w:instrText>
      </w:r>
      <w:r w:rsidRPr="00CD1426">
        <w:rPr>
          <w:rFonts w:ascii="Book Antiqua" w:hAnsi="Book Antiqua" w:cs="Arial"/>
          <w:lang w:val="en-US"/>
        </w:rPr>
        <w:fldChar w:fldCharType="separate"/>
      </w:r>
      <w:r w:rsidR="001D4A08" w:rsidRPr="00CD1426">
        <w:rPr>
          <w:rFonts w:ascii="Book Antiqua" w:hAnsi="Book Antiqua" w:cs="Arial"/>
          <w:noProof/>
          <w:vertAlign w:val="superscript"/>
          <w:lang w:val="en-US"/>
        </w:rPr>
        <w:t>[24]</w:t>
      </w:r>
      <w:r w:rsidRPr="00CD1426">
        <w:rPr>
          <w:rFonts w:ascii="Book Antiqua" w:hAnsi="Book Antiqua" w:cs="Arial"/>
          <w:lang w:val="en-US"/>
        </w:rPr>
        <w:fldChar w:fldCharType="end"/>
      </w:r>
      <w:r w:rsidR="00B33120" w:rsidRPr="00CD1426">
        <w:rPr>
          <w:rFonts w:ascii="Book Antiqua" w:hAnsi="Book Antiqua" w:cs="Arial"/>
          <w:lang w:val="en-US" w:eastAsia="zh-CN"/>
        </w:rPr>
        <w:t>.</w:t>
      </w:r>
    </w:p>
    <w:p w14:paraId="7C86F6B3" w14:textId="718E9262" w:rsidR="002B302F" w:rsidRPr="00CD1426" w:rsidRDefault="002B302F" w:rsidP="00CD1426">
      <w:pPr>
        <w:tabs>
          <w:tab w:val="right" w:pos="540"/>
          <w:tab w:val="left" w:pos="720"/>
        </w:tabs>
        <w:spacing w:line="360" w:lineRule="auto"/>
        <w:ind w:firstLineChars="200" w:firstLine="480"/>
        <w:jc w:val="both"/>
        <w:rPr>
          <w:rFonts w:ascii="Book Antiqua" w:hAnsi="Book Antiqua" w:cs="Arial"/>
          <w:lang w:val="en-US" w:eastAsia="zh-CN"/>
        </w:rPr>
      </w:pPr>
      <w:r w:rsidRPr="00CD1426">
        <w:rPr>
          <w:rFonts w:ascii="Book Antiqua" w:hAnsi="Book Antiqua" w:cs="Arial"/>
          <w:lang w:val="en-US"/>
        </w:rPr>
        <w:t>The most studied IL28B genetic polymorphisms are IL28B (IFN-</w:t>
      </w:r>
      <w:r w:rsidRPr="00CD1426">
        <w:rPr>
          <w:rFonts w:ascii="Book Antiqua" w:hAnsi="Book Antiqua" w:cs="Arial"/>
          <w:lang w:val="en-US"/>
        </w:rPr>
        <w:sym w:font="Symbol" w:char="F06C"/>
      </w:r>
      <w:r w:rsidRPr="00CD1426">
        <w:rPr>
          <w:rFonts w:ascii="Book Antiqua" w:hAnsi="Book Antiqua" w:cs="Arial"/>
          <w:lang w:val="en-US"/>
        </w:rPr>
        <w:t>III) rs12979860 SNP (T</w:t>
      </w:r>
      <w:r w:rsidR="00C04C74">
        <w:rPr>
          <w:rFonts w:ascii="Book Antiqua" w:hAnsi="Book Antiqua" w:cs="Arial" w:hint="eastAsia"/>
          <w:lang w:val="en-US" w:eastAsia="zh-CN"/>
        </w:rPr>
        <w:t xml:space="preserve"> </w:t>
      </w:r>
      <w:r w:rsidRPr="00CD1426">
        <w:rPr>
          <w:rFonts w:ascii="Book Antiqua" w:hAnsi="Book Antiqua" w:cs="Arial"/>
          <w:lang w:val="en-US"/>
        </w:rPr>
        <w:t>&gt; C) and rs8099917 (T</w:t>
      </w:r>
      <w:r w:rsidR="00C04C74">
        <w:rPr>
          <w:rFonts w:ascii="Book Antiqua" w:hAnsi="Book Antiqua" w:cs="Arial" w:hint="eastAsia"/>
          <w:lang w:val="en-US" w:eastAsia="zh-CN"/>
        </w:rPr>
        <w:t xml:space="preserve"> </w:t>
      </w:r>
      <w:r w:rsidRPr="00CD1426">
        <w:rPr>
          <w:rFonts w:ascii="Book Antiqua" w:hAnsi="Book Antiqua" w:cs="Arial"/>
          <w:lang w:val="en-US"/>
        </w:rPr>
        <w:t xml:space="preserve">&gt; G), which are separated by 4378 nucleotides. In genetic studies with hepatitis C infected patients, both IL28B variants (rs12979860 and rs8099917) are in linkage disequilibrium, and in HCV genotype 1 patients treated with </w:t>
      </w:r>
      <w:proofErr w:type="spellStart"/>
      <w:r w:rsidRPr="00CD1426">
        <w:rPr>
          <w:rFonts w:ascii="Book Antiqua" w:hAnsi="Book Antiqua" w:cs="Arial"/>
          <w:lang w:val="en-US"/>
        </w:rPr>
        <w:t>pegylated</w:t>
      </w:r>
      <w:proofErr w:type="spellEnd"/>
      <w:r w:rsidRPr="00CD1426">
        <w:rPr>
          <w:rFonts w:ascii="Book Antiqua" w:hAnsi="Book Antiqua" w:cs="Arial"/>
          <w:lang w:val="en-US"/>
        </w:rPr>
        <w:t xml:space="preserve"> interferon plus ribavirin, the IL28B C/C genotype in rs12979860, T/T in rs8099917 and A/A in rs12980275 were associated with</w:t>
      </w:r>
      <w:r w:rsidR="00B33120" w:rsidRPr="00CD1426">
        <w:rPr>
          <w:rFonts w:ascii="Book Antiqua" w:hAnsi="Book Antiqua" w:cs="Arial"/>
          <w:lang w:val="en-US"/>
        </w:rPr>
        <w:t xml:space="preserve"> sustained </w:t>
      </w:r>
      <w:proofErr w:type="spellStart"/>
      <w:r w:rsidR="00B33120" w:rsidRPr="00CD1426">
        <w:rPr>
          <w:rFonts w:ascii="Book Antiqua" w:hAnsi="Book Antiqua" w:cs="Arial"/>
          <w:lang w:val="en-US"/>
        </w:rPr>
        <w:t>virological</w:t>
      </w:r>
      <w:proofErr w:type="spellEnd"/>
      <w:r w:rsidR="00B33120" w:rsidRPr="00CD1426">
        <w:rPr>
          <w:rFonts w:ascii="Book Antiqua" w:hAnsi="Book Antiqua" w:cs="Arial"/>
          <w:lang w:val="en-US"/>
        </w:rPr>
        <w:t xml:space="preserve"> response</w:t>
      </w:r>
      <w:r w:rsidRPr="00CD1426">
        <w:rPr>
          <w:rFonts w:ascii="Book Antiqua" w:hAnsi="Book Antiqua" w:cs="Arial"/>
          <w:lang w:val="en-US"/>
        </w:rPr>
        <w:fldChar w:fldCharType="begin" w:fldLock="1"/>
      </w:r>
      <w:r w:rsidR="001D4A08" w:rsidRPr="00CD1426">
        <w:rPr>
          <w:rFonts w:ascii="Book Antiqua" w:hAnsi="Book Antiqua" w:cs="Arial"/>
          <w:lang w:val="en-US"/>
        </w:rPr>
        <w:instrText>ADDIN CSL_CITATION { "citationItems" : [ { "id" : "ITEM-1", "itemData" : { "DOI" : "10.1038/ng.449", "ISSN" : "1546-1718", "PMID" : "19749757", "abstract" : "The recommended treatment for patients with chronic hepatitis C, pegylated interferon-alpha (PEG-IFN-alpha) plus ribavirin (RBV), does not provide sustained virologic response (SVR) in all patients. We report a genome-wide association study (GWAS) to null virological response (NVR) in the treatment of patients with hepatitis C virus (HCV) genotype 1 within a Japanese population. We found two SNPs near the gene IL28B on chromosome 19 to be strongly associated with NVR (rs12980275, P = 1.93 x 10(-13), and rs8099917, 3.11 x 10(-15)). We replicated these associations in an independent cohort (combined P values, 2.84 x 10(-27) (OR = 17.7; 95% CI = 10.0-31.3) and 2.68 x 10(-32) (OR = 27.1; 95% CI = 14.6-50.3), respectively). Compared to NVR, these SNPs were also associated with SVR (rs12980275, P = 3.99 x 10(-24), and rs8099917, P = 1.11 x 10(-27)). In further fine mapping of the region, seven SNPs (rs8105790, rs11881222, rs8103142, rs28416813, rs4803219, rs8099917 and rs7248668) located in the IL28B region showed the most significant associations (P = 5.52 x 10(-28)-2.68 x 10(-32); OR = 22.3-27.1). Real-time quantitative PCR assays in peripheral blood mononuclear cells showed lower IL28B expression levels in individuals carrying the minor alleles (P = 0.015).", "author" : [ { "dropping-particle" : "", "family" : "Tanaka", "given" : "Yasuhito", "non-dropping-particle" : "", "parse-names" : false, "suffix" : "" }, { "dropping-particle" : "", "family" : "Nishida", "given" : "Nao", "non-dropping-particle" : "", "parse-names" : false, "suffix" : "" }, { "dropping-particle" : "", "family" : "Sugiyama", "given" : "Masaya", "non-dropping-particle" : "", "parse-names" : false, "suffix" : "" }, { "dropping-particle" : "", "family" : "Kurosaki", "given" : "Masayuki", "non-dropping-particle" : "", "parse-names" : false, "suffix" : "" }, { "dropping-particle" : "", "family" : "Matsuura", "given" : "Kentaro", "non-dropping-particle" : "", "parse-names" : false, "suffix" : "" }, { "dropping-particle" : "", "family" : "Sakamoto", "given" : "Naoya", "non-dropping-particle" : "", "parse-names" : false, "suffix" : "" }, { "dropping-particle" : "", "family" : "Nakagawa", "given" : "Mina", "non-dropping-particle" : "", "parse-names" : false, "suffix" : "" }, { "dropping-particle" : "", "family" : "Korenaga", "given" : "Masaaki", "non-dropping-particle" : "", "parse-names" : false, "suffix" : "" }, { "dropping-particle" : "", "family" : "Hino", "given" : "Keisuke", "non-dropping-particle" : "", "parse-names" : false, "suffix" : "" }, { "dropping-particle" : "", "family" : "Hige", "given" : "Shuhei", "non-dropping-particle" : "", "parse-names" : false, "suffix" : "" }, { "dropping-particle" : "", "family" : "Ito", "given" : "Yoshito", "non-dropping-particle" : "", "parse-names" : false, "suffix" : "" }, { "dropping-particle" : "", "family" : "Mita", "given" : "Eiji", "non-dropping-particle" : "", "parse-names" : false, "suffix" : "" }, { "dropping-particle" : "", "family" : "Tanaka", "given" : "Eiji", "non-dropping-particle" : "", "parse-names" : false, "suffix" : "" }, { "dropping-particle" : "", "family" : "Mochida", "given" : "Satoshi", "non-dropping-particle" : "", "parse-names" : false, "suffix" : "" }, { "dropping-particle" : "", "family" : "Murawaki", "given" : "Yoshikazu", "non-dropping-particle" : "", "parse-names" : false, "suffix" : "" }, { "dropping-particle" : "", "family" : "Honda", "given" : "Masao", "non-dropping-particle" : "", "parse-names" : false, "suffix" : "" }, { "dropping-particle" : "", "family" : "Sakai", "given" : "Akito", "non-dropping-particle" : "", "parse-names" : false, "suffix" : "" }, { "dropping-particle" : "", "family" : "Hiasa", "given" : "Yoichi", "non-dropping-particle" : "", "parse-names" : false, "suffix" : "" }, { "dropping-particle" : "", "family" : "Nishiguchi", "given" : "Shuhei", "non-dropping-particle" : "", "parse-names" : false, "suffix" : "" }, { "dropping-particle" : "", "family" : "Koike", "given" : "Asako", "non-dropping-particle" : "", "parse-names" : false, "suffix" : "" }, { "dropping-particle" : "", "family" : "Sakaida", "given" : "Isao", "non-dropping-particle" : "", "parse-names" : false, "suffix" : "" }, { "dropping-particle" : "", "family" : "Imamura", "given" : "Masatoshi", "non-dropping-particle" : "", "parse-names" : false, "suffix" : "" }, { "dropping-particle" : "", "family" : "Ito", "given" : "Kiyoaki", "non-dropping-particle" : "", "parse-names" : false, "suffix" : "" }, { "dropping-particle" : "", "family" : "Yano", "given" : "Koji", "non-dropping-particle" : "", "parse-names" : false, "suffix" : "" }, { "dropping-particle" : "", "family" : "Masaki", "given" : "Naohiko", "non-dropping-particle" : "", "parse-names" : false, "suffix" : "" }, { "dropping-particle" : "", "family" : "Sugauchi", "given" : "Fuminaka", "non-dropping-particle" : "", "parse-names" : false, "suffix" : "" }, { "dropping-particle" : "", "family" : "Izumi", "given" : "Namiki", "non-dropping-particle" : "", "parse-names" : false, "suffix" : "" }, { "dropping-particle" : "", "family" : "Tokunaga", "given" : "Katsushi", "non-dropping-particle" : "", "parse-names" : false, "suffix" : "" }, { "dropping-particle" : "", "family" : "Mizokami", "given" : "Masashi", "non-dropping-particle" : "", "parse-names" : false, "suffix" : "" } ], "container-title" : "Nature genetics", "id" : "ITEM-1", "issue" : "10", "issued" : { "date-parts" : [ [ "2009", "10" ] ] }, "page" : "1105-9", "title" : "Genome-wide association of IL28B with response to pegylated interferon-alpha and ribavirin therapy for chronic hepatitis C.", "type" : "article", "volume" : "41" }, "uris" : [ "http://www.mendeley.com/documents/?uuid=4cb879ee-aa05-4559-bf67-962b7a1f3ee4" ] }, { "id" : "ITEM-2", "itemData" : { "ISSN" : "0016-5085", "abstract" : "Liver fibrosis is an important prognostic factor in patients with hepatitis C. The effect of pegylated (PEG) interferon alone or its combination with ribavirin on fibrosis has not been established.", "author" : [ { "dropping-particle" : "", "family" : "Poynard", "given" : "Thierry", "non-dropping-particle" : "", "parse-names" : false, "suffix" : "" }, { "dropping-particle" : "", "family" : "McHutchison", "given" : "John", "non-dropping-particle" : "", "parse-names" : false, "suffix" : "" }, { "dropping-particle" : "", "family" : "Manns", "given" : "Michael", "non-dropping-particle" : "", "parse-names" : false, "suffix" : "" }, { "dropping-particle" : "", "family" : "Trepo", "given" : "Christian", "non-dropping-particle" : "", "parse-names" : false, "suffix" : "" }, { "dropping-particle" : "", "family" : "Lindsay", "given" : "Karen", "non-dropping-particle" : "", "parse-names" : false, "suffix" : "" }, { "dropping-particle" : "", "family" : "Goodman", "given" : "Zachary", "non-dropping-particle" : "", "parse-names" : false, "suffix" : "" }, { "dropping-particle" : "", "family" : "Ling", "given" : "Mei-Hsiu", "non-dropping-particle" : "", "parse-names" : false, "suffix" : "" }, { "dropping-particle" : "", "family" : "Albrecht", "given" : "Janice", "non-dropping-particle" : "", "parse-names" : false, "suffix" : "" } ], "container-title" : "Gastroenterology", "id" : "ITEM-2", "issue" : "5", "issued" : { "date-parts" : [ [ "2002", "5" ] ] }, "page" : "1303-13", "title" : "Impact of pegylated interferon alfa-2b and ribavirin on liver fibrosis in patients with chronic hepatitis C.", "type" : "article-journal", "volume" : "122" }, "uris" : [ "http://www.mendeley.com/documents/?uuid=e9ed6657-4157-4a01-be52-44a14d394e29" ] } ], "mendeley" : { "formattedCitation" : "&lt;sup&gt;[7,25]&lt;/sup&gt;", "plainTextFormattedCitation" : "[7,25]", "previouslyFormattedCitation" : "&lt;sup&gt;[7,25]&lt;/sup&gt;" }, "properties" : { "noteIndex" : 0 }, "schema" : "https://github.com/citation-style-language/schema/raw/master/csl-citation.json" }</w:instrText>
      </w:r>
      <w:r w:rsidRPr="00CD1426">
        <w:rPr>
          <w:rFonts w:ascii="Book Antiqua" w:hAnsi="Book Antiqua" w:cs="Arial"/>
          <w:lang w:val="en-US"/>
        </w:rPr>
        <w:fldChar w:fldCharType="separate"/>
      </w:r>
      <w:r w:rsidR="001D4A08" w:rsidRPr="00CD1426">
        <w:rPr>
          <w:rFonts w:ascii="Book Antiqua" w:hAnsi="Book Antiqua" w:cs="Arial"/>
          <w:noProof/>
          <w:vertAlign w:val="superscript"/>
          <w:lang w:val="en-US"/>
        </w:rPr>
        <w:t>[7,25]</w:t>
      </w:r>
      <w:r w:rsidRPr="00CD1426">
        <w:rPr>
          <w:rFonts w:ascii="Book Antiqua" w:hAnsi="Book Antiqua" w:cs="Arial"/>
          <w:lang w:val="en-US"/>
        </w:rPr>
        <w:fldChar w:fldCharType="end"/>
      </w:r>
      <w:r w:rsidR="00B33120" w:rsidRPr="00CD1426">
        <w:rPr>
          <w:rFonts w:ascii="Book Antiqua" w:hAnsi="Book Antiqua" w:cs="Arial"/>
          <w:lang w:val="en-US" w:eastAsia="zh-CN"/>
        </w:rPr>
        <w:t>.</w:t>
      </w:r>
    </w:p>
    <w:p w14:paraId="60B33786" w14:textId="5402BE2E" w:rsidR="002B302F" w:rsidRPr="00CD1426" w:rsidRDefault="002B302F" w:rsidP="00CD1426">
      <w:pPr>
        <w:tabs>
          <w:tab w:val="right" w:pos="540"/>
          <w:tab w:val="left" w:pos="720"/>
        </w:tabs>
        <w:spacing w:line="360" w:lineRule="auto"/>
        <w:ind w:firstLineChars="200" w:firstLine="480"/>
        <w:jc w:val="both"/>
        <w:rPr>
          <w:rFonts w:ascii="Book Antiqua" w:hAnsi="Book Antiqua" w:cs="Arial"/>
          <w:lang w:val="en-US" w:eastAsia="zh-CN"/>
        </w:rPr>
      </w:pPr>
      <w:r w:rsidRPr="00CD1426">
        <w:rPr>
          <w:rFonts w:ascii="Book Antiqua" w:hAnsi="Book Antiqua" w:cs="Arial"/>
          <w:lang w:val="en-US"/>
        </w:rPr>
        <w:t>According to GWAS, SNP rs12979860 IL28B C/C genotype was strongly related with superior chances of SVR, and it was observed that ancestry had affected the results. Individuals with European ancestry and C/C genotype had two times superior chances of achieving SVR than did subjects with T/T genotype; IL28B C/C African Americans had three times higher chances of achieving SVR than IL28B T/T genotype African Americans, and among Hispanics, the C/C genotype was associated with a twofold higher chance of S</w:t>
      </w:r>
      <w:r w:rsidR="00B33120" w:rsidRPr="00CD1426">
        <w:rPr>
          <w:rFonts w:ascii="Book Antiqua" w:hAnsi="Book Antiqua" w:cs="Arial"/>
          <w:lang w:val="en-US"/>
        </w:rPr>
        <w:t>VR compared to the T/T genotype</w:t>
      </w:r>
      <w:r w:rsidRPr="00CD1426">
        <w:rPr>
          <w:rFonts w:ascii="Book Antiqua" w:hAnsi="Book Antiqua" w:cs="Arial"/>
          <w:lang w:val="en-US"/>
        </w:rPr>
        <w:fldChar w:fldCharType="begin" w:fldLock="1"/>
      </w:r>
      <w:r w:rsidR="001D4A08" w:rsidRPr="00CD1426">
        <w:rPr>
          <w:rFonts w:ascii="Book Antiqua" w:hAnsi="Book Antiqua" w:cs="Arial"/>
          <w:lang w:val="en-US"/>
        </w:rPr>
        <w:instrText>ADDIN CSL_CITATION { "citationItems" : [ { "id" : "ITEM-1", "itemData" : { "DOI" : "10.1136/gut.2005.074062", "ISSN" : "0017-5749", "PMID" : "16150856", "abstract" : "BACKGROUND: Increased serum and intrahepatic interferon gamma inducible protein 10 (IP-10) levels in patients with chronic hepatitis C (CHC) have been described.\n\nAIM: To analyse the possible association of serum IP-10 levels with different outcomes to antiviral therapy.\n\nPATIENTS: A total of 137 CHC patients treated with peginterferon plus ribavirin.\n\nMETHODS: Serum IP-10 levels were determined by enzyme linked immunosorbent assay before therapy, after 12 weeks of treatment, and 24 weeks after cessation of therapy. Variables significantly associated with a sustained virological response (SVR) on univariate analysis were included in a multivariate logistic regression model.\n\nRESULTS: Pretreatment serum IP-10 levels in patients with SVR were significantly lower than in non-responders (NR) (332.4 (222.1) v 476.8 (305.3) pg/ml, respectively; p=0.004). Serum IP-10 concentrations significantly decreased in patients with SVR (pretreatment: 332.4 (222.1) pg/ml; post-treatment: 170.2 (140.1) pg/ml; p&lt;0.001) but not in NR (pretreatment: 476.8 (305.3) pg/ml; post treatment: 387.3 (268.1) pg/ml; p=0.06). By multivariate analysis, non-1 genotype (odds ratio (OR) 3.5 (95% confidence interval (CI) 1.1-10.4); p=0.003) and low viral load at baseline (OR 0.34 (95% CI 0.14-0.79); p=0.01) were independent predictors of SVR in all patients. When multivariate analysis was restricted to patients with genotype 1, only baseline viral load (OR 0.38 (95% CI 0.155-0.96); p=0.04) and pretreatment serum IP-10 levels (OR 0.99 (95% CI 0.996-0.999); p=0.03) were identified as predictive factors of SVR.\n\nCONCLUSION: Pretreatment serum IP-10 behaves as a predictive factor of SVR to peginterferon plus ribavirin therapy in genotype 1 infected patients.", "author" : [ { "dropping-particle" : "", "family" : "Diago", "given" : "M", "non-dropping-particle" : "", "parse-names" : false, "suffix" : "" }, { "dropping-particle" : "", "family" : "Castellano", "given" : "G", "non-dropping-particle" : "", "parse-names" : false, "suffix" : "" }, { "dropping-particle" : "", "family" : "Garc\u00eda-Samaniego", "given" : "J", "non-dropping-particle" : "", "parse-names" : false, "suffix" : "" }, { "dropping-particle" : "", "family" : "P\u00e9rez", "given" : "C", "non-dropping-particle" : "", "parse-names" : false, "suffix" : "" }, { "dropping-particle" : "", "family" : "Fern\u00e1ndez", "given" : "I", "non-dropping-particle" : "", "parse-names" : false, "suffix" : "" }, { "dropping-particle" : "", "family" : "Romero", "given" : "M", "non-dropping-particle" : "", "parse-names" : false, "suffix" : "" }, { "dropping-particle" : "", "family" : "Iacono", "given" : "O L", "non-dropping-particle" : "", "parse-names" : false, "suffix" : "" }, { "dropping-particle" : "", "family" : "Garc\u00eda-Monz\u00f3n", "given" : "C", "non-dropping-particle" : "", "parse-names" : false, "suffix" : "" } ], "container-title" : "Gut", "id" : "ITEM-1", "issue" : "3", "issued" : { "date-parts" : [ [ "2006", "3" ] ] }, "page" : "374-9", "title" : "Association of pretreatment serum interferon gamma inducible protein 10 levels with sustained virological response to peginterferon plus ribavirin therapy in genotype 1 infected patients with chronic hepatitis C.", "type" : "article-journal", "volume" : "55" }, "uris" : [ "http://www.mendeley.com/documents/?uuid=0bbb01cb-5e66-4169-b1c8-fb35ae61c9ce" ] } ], "mendeley" : { "formattedCitation" : "&lt;sup&gt;[26]&lt;/sup&gt;", "plainTextFormattedCitation" : "[26]", "previouslyFormattedCitation" : "&lt;sup&gt;[26]&lt;/sup&gt;" }, "properties" : { "noteIndex" : 0 }, "schema" : "https://github.com/citation-style-language/schema/raw/master/csl-citation.json" }</w:instrText>
      </w:r>
      <w:r w:rsidRPr="00CD1426">
        <w:rPr>
          <w:rFonts w:ascii="Book Antiqua" w:hAnsi="Book Antiqua" w:cs="Arial"/>
          <w:lang w:val="en-US"/>
        </w:rPr>
        <w:fldChar w:fldCharType="separate"/>
      </w:r>
      <w:r w:rsidR="001D4A08" w:rsidRPr="00CD1426">
        <w:rPr>
          <w:rFonts w:ascii="Book Antiqua" w:hAnsi="Book Antiqua" w:cs="Arial"/>
          <w:noProof/>
          <w:vertAlign w:val="superscript"/>
          <w:lang w:val="en-US"/>
        </w:rPr>
        <w:t>[26]</w:t>
      </w:r>
      <w:r w:rsidRPr="00CD1426">
        <w:rPr>
          <w:rFonts w:ascii="Book Antiqua" w:hAnsi="Book Antiqua" w:cs="Arial"/>
          <w:lang w:val="en-US"/>
        </w:rPr>
        <w:fldChar w:fldCharType="end"/>
      </w:r>
      <w:r w:rsidR="00B33120" w:rsidRPr="00CD1426">
        <w:rPr>
          <w:rFonts w:ascii="Book Antiqua" w:hAnsi="Book Antiqua" w:cs="Arial"/>
          <w:lang w:val="en-US" w:eastAsia="zh-CN"/>
        </w:rPr>
        <w:t>.</w:t>
      </w:r>
      <w:r w:rsidRPr="00CD1426">
        <w:rPr>
          <w:rFonts w:ascii="Book Antiqua" w:hAnsi="Book Antiqua" w:cs="Arial"/>
          <w:lang w:val="en-US"/>
        </w:rPr>
        <w:t xml:space="preserve"> Data revealed that African Americans </w:t>
      </w:r>
      <w:r w:rsidRPr="00CD1426">
        <w:rPr>
          <w:rFonts w:ascii="Book Antiqua" w:hAnsi="Book Antiqua" w:cs="Arial"/>
          <w:lang w:val="en-US"/>
        </w:rPr>
        <w:lastRenderedPageBreak/>
        <w:t>with chronic hepatitis C genotype 1 and Il28B C/C have better SVR rates compared to European Americans (north American Caucasians)</w:t>
      </w:r>
      <w:r w:rsidR="00B33120" w:rsidRPr="00CD1426">
        <w:rPr>
          <w:rFonts w:ascii="Book Antiqua" w:hAnsi="Book Antiqua" w:cs="Arial"/>
          <w:lang w:val="en-US"/>
        </w:rPr>
        <w:t xml:space="preserve"> without the IL28B C/C genotype</w:t>
      </w:r>
      <w:r w:rsidRPr="00CD1426">
        <w:rPr>
          <w:rFonts w:ascii="Book Antiqua" w:hAnsi="Book Antiqua" w:cs="Arial"/>
          <w:lang w:val="en-US"/>
        </w:rPr>
        <w:fldChar w:fldCharType="begin" w:fldLock="1"/>
      </w:r>
      <w:r w:rsidR="001D4A08" w:rsidRPr="00CD1426">
        <w:rPr>
          <w:rFonts w:ascii="Book Antiqua" w:hAnsi="Book Antiqua" w:cs="Arial"/>
          <w:lang w:val="en-US"/>
        </w:rPr>
        <w:instrText>ADDIN CSL_CITATION { "citationItems" : [ { "id" : "ITEM-1", "itemData" : { "DOI" : "10.1086/507307", "ISSN" : "0022-1899", "PMID" : "16960776", "abstract" : "BACKGROUND: We investigated associations between interferon (IFN)-gamma-inducible protein (IP)-10 and liver histological results, viral kinetic response, and treatment outcome in patients infected with hepatitis C virus (HCV) genotypes 1-4.\n\nMETHODS: Plasma IP-10 was monitored before, during, and after treatment with pegylated IFN- alpha 2a and ribavirin in 265 HCV-infected patients.\n\nRESULTS: In univariate analyses, a low baseline IP-10 level was significantly associated with low baseline viral load, rapid viral response (RVR), a sustained viral response (SVR), body mass index &lt;25 kg/m2, and less-pronounced fibrosis, inflammation, and steatosis (for HCV genotypes other than 3). When the results of the univariate analyses were included in multivariate analyses, a low plasma IP-10 level, low baseline viral load, and genotype 2 or 3 infection were independent predictors of an RVR and SVR. IP-10 levels decreased 6 weeks into treatment and remained low in patients with an SVR. By contrast, plasma levels of IP-10 rebounded in patients who had detectable HCV RNA after the completion of treatment. Using cutoff IP-10 levels of 150 and 600 pg/mL for predicting an SVR in patients infected with HCV genotype 1 yielded a specificity and sensitivity of 81% and 95%, respectively.\n\nCONCLUSION: Baseline IP-10 levels are predictive of the response to HCV treatment.", "author" : [ { "dropping-particle" : "", "family" : "Romero", "given" : "Ana I", "non-dropping-particle" : "", "parse-names" : false, "suffix" : "" }, { "dropping-particle" : "", "family" : "Lagging", "given" : "Martin", "non-dropping-particle" : "", "parse-names" : false, "suffix" : "" }, { "dropping-particle" : "", "family" : "Westin", "given" : "Johan", "non-dropping-particle" : "", "parse-names" : false, "suffix" : "" }, { "dropping-particle" : "", "family" : "Dhillon", "given" : "Amar P", "non-dropping-particle" : "", "parse-names" : false, "suffix" : "" }, { "dropping-particle" : "", "family" : "Dustin", "given" : "Lynn B", "non-dropping-particle" : "", "parse-names" : false, "suffix" : "" }, { "dropping-particle" : "", "family" : "Pawlotsky", "given" : "Jean-Michel", "non-dropping-particle" : "", "parse-names" : false, "suffix" : "" }, { "dropping-particle" : "", "family" : "Neumann", "given" : "Avidan U", "non-dropping-particle" : "", "parse-names" : false, "suffix" : "" }, { "dropping-particle" : "", "family" : "Ferrari", "given" : "Carlo", "non-dropping-particle" : "", "parse-names" : false, "suffix" : "" }, { "dropping-particle" : "", "family" : "Missale", "given" : "Gabriele", "non-dropping-particle" : "", "parse-names" : false, "suffix" : "" }, { "dropping-particle" : "", "family" : "Haagmans", "given" : "Bart L", "non-dropping-particle" : "", "parse-names" : false, "suffix" : "" }, { "dropping-particle" : "", "family" : "Schalm", "given" : "Solko W", "non-dropping-particle" : "", "parse-names" : false, "suffix" : "" }, { "dropping-particle" : "", "family" : "Zeuzem", "given" : "Stefan", "non-dropping-particle" : "", "parse-names" : false, "suffix" : "" }, { "dropping-particle" : "", "family" : "Negro", "given" : "Francesco", "non-dropping-particle" : "", "parse-names" : false, "suffix" : "" }, { "dropping-particle" : "", "family" : "Verheij-Hart", "given" : "Elke", "non-dropping-particle" : "", "parse-names" : false, "suffix" : "" }, { "dropping-particle" : "", "family" : "Hellstrand", "given" : "Kristoffer", "non-dropping-particle" : "", "parse-names" : false, "suffix" : "" } ], "container-title" : "The Journal of infectious diseases", "id" : "ITEM-1", "issue" : "7", "issued" : { "date-parts" : [ [ "2006", "10", "1" ] ] }, "page" : "895-903", "title" : "Interferon (IFN)-gamma-inducible protein-10: association with histological results, viral kinetics, and outcome during treatment with pegylated IFN-alpha 2a and ribavirin for chronic hepatitis C virus infection.", "type" : "article-journal", "volume" : "194" }, "uris" : [ "http://www.mendeley.com/documents/?uuid=30a865ef-37d9-4b71-bd59-4a4858d6af6b" ] } ], "mendeley" : { "formattedCitation" : "&lt;sup&gt;[27]&lt;/sup&gt;", "plainTextFormattedCitation" : "[27]", "previouslyFormattedCitation" : "&lt;sup&gt;[27]&lt;/sup&gt;" }, "properties" : { "noteIndex" : 0 }, "schema" : "https://github.com/citation-style-language/schema/raw/master/csl-citation.json" }</w:instrText>
      </w:r>
      <w:r w:rsidRPr="00CD1426">
        <w:rPr>
          <w:rFonts w:ascii="Book Antiqua" w:hAnsi="Book Antiqua" w:cs="Arial"/>
          <w:lang w:val="en-US"/>
        </w:rPr>
        <w:fldChar w:fldCharType="separate"/>
      </w:r>
      <w:r w:rsidR="001D4A08" w:rsidRPr="00CD1426">
        <w:rPr>
          <w:rFonts w:ascii="Book Antiqua" w:hAnsi="Book Antiqua" w:cs="Arial"/>
          <w:noProof/>
          <w:vertAlign w:val="superscript"/>
          <w:lang w:val="en-US"/>
        </w:rPr>
        <w:t>[27]</w:t>
      </w:r>
      <w:r w:rsidRPr="00CD1426">
        <w:rPr>
          <w:rFonts w:ascii="Book Antiqua" w:hAnsi="Book Antiqua" w:cs="Arial"/>
          <w:lang w:val="en-US"/>
        </w:rPr>
        <w:fldChar w:fldCharType="end"/>
      </w:r>
      <w:r w:rsidR="00B33120" w:rsidRPr="00CD1426">
        <w:rPr>
          <w:rFonts w:ascii="Book Antiqua" w:hAnsi="Book Antiqua" w:cs="Arial"/>
          <w:lang w:val="en-US" w:eastAsia="zh-CN"/>
        </w:rPr>
        <w:t>.</w:t>
      </w:r>
      <w:r w:rsidRPr="00CD1426">
        <w:rPr>
          <w:rFonts w:ascii="Book Antiqua" w:hAnsi="Book Antiqua" w:cs="Arial"/>
          <w:lang w:val="en-US"/>
        </w:rPr>
        <w:t xml:space="preserve"> The C allele is more common in populations of European and Asian ancestries, and this supports the hypothesis that some of the differences in sustained </w:t>
      </w:r>
      <w:proofErr w:type="spellStart"/>
      <w:r w:rsidRPr="00CD1426">
        <w:rPr>
          <w:rFonts w:ascii="Book Antiqua" w:hAnsi="Book Antiqua" w:cs="Arial"/>
          <w:lang w:val="en-US"/>
        </w:rPr>
        <w:t>virologic</w:t>
      </w:r>
      <w:proofErr w:type="spellEnd"/>
      <w:r w:rsidRPr="00CD1426">
        <w:rPr>
          <w:rFonts w:ascii="Book Antiqua" w:hAnsi="Book Antiqua" w:cs="Arial"/>
          <w:lang w:val="en-US"/>
        </w:rPr>
        <w:t xml:space="preserve"> response rates among people of African descent and Caucasians can be explained by the variance in the frequency of the C allele in these populations. Asians infected with hepatitis C genotype 1 virus had higher SVR rates compared with Caucasians, African Americans and Hispanics, and the frequency of the IL28B alleles is a possible explanation for </w:t>
      </w:r>
      <w:r w:rsidR="00B33120" w:rsidRPr="00CD1426">
        <w:rPr>
          <w:rFonts w:ascii="Book Antiqua" w:hAnsi="Book Antiqua" w:cs="Arial"/>
          <w:lang w:val="en-US"/>
        </w:rPr>
        <w:t>this difference</w:t>
      </w:r>
      <w:r w:rsidRPr="00CD1426">
        <w:rPr>
          <w:rFonts w:ascii="Book Antiqua" w:hAnsi="Book Antiqua" w:cs="Arial"/>
          <w:lang w:val="en-US"/>
        </w:rPr>
        <w:fldChar w:fldCharType="begin" w:fldLock="1"/>
      </w:r>
      <w:r w:rsidR="001D4A08" w:rsidRPr="00CD1426">
        <w:rPr>
          <w:rFonts w:ascii="Book Antiqua" w:hAnsi="Book Antiqua" w:cs="Arial"/>
          <w:lang w:val="en-US"/>
        </w:rPr>
        <w:instrText>ADDIN CSL_CITATION { "citationItems" : [ { "id" : "ITEM-1", "itemData" : { "DOI" : "10.1038/ng.449", "ISSN" : "1546-1718", "PMID" : "19749757", "abstract" : "The recommended treatment for patients with chronic hepatitis C, pegylated interferon-alpha (PEG-IFN-alpha) plus ribavirin (RBV), does not provide sustained virologic response (SVR) in all patients. We report a genome-wide association study (GWAS) to null virological response (NVR) in the treatment of patients with hepatitis C virus (HCV) genotype 1 within a Japanese population. We found two SNPs near the gene IL28B on chromosome 19 to be strongly associated with NVR (rs12980275, P = 1.93 x 10(-13), and rs8099917, 3.11 x 10(-15)). We replicated these associations in an independent cohort (combined P values, 2.84 x 10(-27) (OR = 17.7; 95% CI = 10.0-31.3) and 2.68 x 10(-32) (OR = 27.1; 95% CI = 14.6-50.3), respectively). Compared to NVR, these SNPs were also associated with SVR (rs12980275, P = 3.99 x 10(-24), and rs8099917, P = 1.11 x 10(-27)). In further fine mapping of the region, seven SNPs (rs8105790, rs11881222, rs8103142, rs28416813, rs4803219, rs8099917 and rs7248668) located in the IL28B region showed the most significant associations (P = 5.52 x 10(-28)-2.68 x 10(-32); OR = 22.3-27.1). Real-time quantitative PCR assays in peripheral blood mononuclear cells showed lower IL28B expression levels in individuals carrying the minor alleles (P = 0.015).", "author" : [ { "dropping-particle" : "", "family" : "Tanaka", "given" : "Yasuhito", "non-dropping-particle" : "", "parse-names" : false, "suffix" : "" }, { "dropping-particle" : "", "family" : "Nishida", "given" : "Nao", "non-dropping-particle" : "", "parse-names" : false, "suffix" : "" }, { "dropping-particle" : "", "family" : "Sugiyama", "given" : "Masaya", "non-dropping-particle" : "", "parse-names" : false, "suffix" : "" }, { "dropping-particle" : "", "family" : "Kurosaki", "given" : "Masayuki", "non-dropping-particle" : "", "parse-names" : false, "suffix" : "" }, { "dropping-particle" : "", "family" : "Matsuura", "given" : "Kentaro", "non-dropping-particle" : "", "parse-names" : false, "suffix" : "" }, { "dropping-particle" : "", "family" : "Sakamoto", "given" : "Naoya", "non-dropping-particle" : "", "parse-names" : false, "suffix" : "" }, { "dropping-particle" : "", "family" : "Nakagawa", "given" : "Mina", "non-dropping-particle" : "", "parse-names" : false, "suffix" : "" }, { "dropping-particle" : "", "family" : "Korenaga", "given" : "Masaaki", "non-dropping-particle" : "", "parse-names" : false, "suffix" : "" }, { "dropping-particle" : "", "family" : "Hino", "given" : "Keisuke", "non-dropping-particle" : "", "parse-names" : false, "suffix" : "" }, { "dropping-particle" : "", "family" : "Hige", "given" : "Shuhei", "non-dropping-particle" : "", "parse-names" : false, "suffix" : "" }, { "dropping-particle" : "", "family" : "Ito", "given" : "Yoshito", "non-dropping-particle" : "", "parse-names" : false, "suffix" : "" }, { "dropping-particle" : "", "family" : "Mita", "given" : "Eiji", "non-dropping-particle" : "", "parse-names" : false, "suffix" : "" }, { "dropping-particle" : "", "family" : "Tanaka", "given" : "Eiji", "non-dropping-particle" : "", "parse-names" : false, "suffix" : "" }, { "dropping-particle" : "", "family" : "Mochida", "given" : "Satoshi", "non-dropping-particle" : "", "parse-names" : false, "suffix" : "" }, { "dropping-particle" : "", "family" : "Murawaki", "given" : "Yoshikazu", "non-dropping-particle" : "", "parse-names" : false, "suffix" : "" }, { "dropping-particle" : "", "family" : "Honda", "given" : "Masao", "non-dropping-particle" : "", "parse-names" : false, "suffix" : "" }, { "dropping-particle" : "", "family" : "Sakai", "given" : "Akito", "non-dropping-particle" : "", "parse-names" : false, "suffix" : "" }, { "dropping-particle" : "", "family" : "Hiasa", "given" : "Yoichi", "non-dropping-particle" : "", "parse-names" : false, "suffix" : "" }, { "dropping-particle" : "", "family" : "Nishiguchi", "given" : "Shuhei", "non-dropping-particle" : "", "parse-names" : false, "suffix" : "" }, { "dropping-particle" : "", "family" : "Koike", "given" : "Asako", "non-dropping-particle" : "", "parse-names" : false, "suffix" : "" }, { "dropping-particle" : "", "family" : "Sakaida", "given" : "Isao", "non-dropping-particle" : "", "parse-names" : false, "suffix" : "" }, { "dropping-particle" : "", "family" : "Imamura", "given" : "Masatoshi", "non-dropping-particle" : "", "parse-names" : false, "suffix" : "" }, { "dropping-particle" : "", "family" : "Ito", "given" : "Kiyoaki", "non-dropping-particle" : "", "parse-names" : false, "suffix" : "" }, { "dropping-particle" : "", "family" : "Yano", "given" : "Koji", "non-dropping-particle" : "", "parse-names" : false, "suffix" : "" }, { "dropping-particle" : "", "family" : "Masaki", "given" : "Naohiko", "non-dropping-particle" : "", "parse-names" : false, "suffix" : "" }, { "dropping-particle" : "", "family" : "Sugauchi", "given" : "Fuminaka", "non-dropping-particle" : "", "parse-names" : false, "suffix" : "" }, { "dropping-particle" : "", "family" : "Izumi", "given" : "Namiki", "non-dropping-particle" : "", "parse-names" : false, "suffix" : "" }, { "dropping-particle" : "", "family" : "Tokunaga", "given" : "Katsushi", "non-dropping-particle" : "", "parse-names" : false, "suffix" : "" }, { "dropping-particle" : "", "family" : "Mizokami", "given" : "Masashi", "non-dropping-particle" : "", "parse-names" : false, "suffix" : "" } ], "container-title" : "Nature genetics", "id" : "ITEM-1", "issue" : "10", "issued" : { "date-parts" : [ [ "2009", "10" ] ] }, "page" : "1105-9", "title" : "Genome-wide association of IL28B with response to pegylated interferon-alpha and ribavirin therapy for chronic hepatitis C.", "type" : "article", "volume" : "41" }, "uris" : [ "http://www.mendeley.com/documents/?uuid=4cb879ee-aa05-4559-bf67-962b7a1f3ee4" ] } ], "mendeley" : { "formattedCitation" : "&lt;sup&gt;[7]&lt;/sup&gt;", "plainTextFormattedCitation" : "[7]", "previouslyFormattedCitation" : "&lt;sup&gt;[7]&lt;/sup&gt;" }, "properties" : { "noteIndex" : 0 }, "schema" : "https://github.com/citation-style-language/schema/raw/master/csl-citation.json" }</w:instrText>
      </w:r>
      <w:r w:rsidRPr="00CD1426">
        <w:rPr>
          <w:rFonts w:ascii="Book Antiqua" w:hAnsi="Book Antiqua" w:cs="Arial"/>
          <w:lang w:val="en-US"/>
        </w:rPr>
        <w:fldChar w:fldCharType="separate"/>
      </w:r>
      <w:r w:rsidR="001D4A08" w:rsidRPr="00CD1426">
        <w:rPr>
          <w:rFonts w:ascii="Book Antiqua" w:hAnsi="Book Antiqua" w:cs="Arial"/>
          <w:noProof/>
          <w:vertAlign w:val="superscript"/>
          <w:lang w:val="en-US"/>
        </w:rPr>
        <w:t>[7]</w:t>
      </w:r>
      <w:r w:rsidRPr="00CD1426">
        <w:rPr>
          <w:rFonts w:ascii="Book Antiqua" w:hAnsi="Book Antiqua" w:cs="Arial"/>
          <w:lang w:val="en-US"/>
        </w:rPr>
        <w:fldChar w:fldCharType="end"/>
      </w:r>
      <w:r w:rsidR="00B33120" w:rsidRPr="00CD1426">
        <w:rPr>
          <w:rFonts w:ascii="Book Antiqua" w:hAnsi="Book Antiqua" w:cs="Arial"/>
          <w:lang w:val="en-US" w:eastAsia="zh-CN"/>
        </w:rPr>
        <w:t>.</w:t>
      </w:r>
    </w:p>
    <w:p w14:paraId="5665EB51" w14:textId="40BCCED3" w:rsidR="002B302F" w:rsidRPr="00CD1426" w:rsidRDefault="002B302F" w:rsidP="00CD1426">
      <w:pPr>
        <w:tabs>
          <w:tab w:val="right" w:pos="540"/>
          <w:tab w:val="left" w:pos="720"/>
        </w:tabs>
        <w:spacing w:line="360" w:lineRule="auto"/>
        <w:ind w:firstLineChars="200" w:firstLine="480"/>
        <w:jc w:val="both"/>
        <w:rPr>
          <w:rFonts w:ascii="Book Antiqua" w:hAnsi="Book Antiqua" w:cs="Arial"/>
          <w:lang w:val="en-US" w:eastAsia="zh-CN"/>
        </w:rPr>
      </w:pPr>
      <w:r w:rsidRPr="00CD1426">
        <w:rPr>
          <w:rFonts w:ascii="Book Antiqua" w:hAnsi="Book Antiqua" w:cs="Arial"/>
          <w:lang w:val="en-US"/>
        </w:rPr>
        <w:t>An analysis of the Brazilian admixed population showed that the IL28B gene polymorphisms, rs12979860 and rs8099917, were also predictors of SVR to PR dual therapy consistent with results of studies conducted in populations with</w:t>
      </w:r>
      <w:r w:rsidR="00B33120" w:rsidRPr="00CD1426">
        <w:rPr>
          <w:rFonts w:ascii="Book Antiqua" w:hAnsi="Book Antiqua" w:cs="Arial"/>
          <w:lang w:val="en-US"/>
        </w:rPr>
        <w:t xml:space="preserve"> low levels of racial admixture</w:t>
      </w:r>
      <w:r w:rsidRPr="00CD1426">
        <w:rPr>
          <w:rFonts w:ascii="Book Antiqua" w:hAnsi="Book Antiqua" w:cs="Arial"/>
          <w:lang w:val="en-US"/>
        </w:rPr>
        <w:fldChar w:fldCharType="begin" w:fldLock="1"/>
      </w:r>
      <w:r w:rsidR="001D4A08" w:rsidRPr="00CD1426">
        <w:rPr>
          <w:rFonts w:ascii="Book Antiqua" w:hAnsi="Book Antiqua" w:cs="Arial"/>
          <w:lang w:val="en-US"/>
        </w:rPr>
        <w:instrText>ADDIN CSL_CITATION { "citationItems" : [ { "id" : "ITEM-1", "itemData" : { "ISSN" : "1478-3231", "abstract" : "IL28B polymorphisms are predictors of therapy response in hepatitis C virus (HCV) patients. We do not know whether they are markers of treatment response in admixed populations or not.", "author" : [ { "dropping-particle" : "", "family" : "Cavalcante", "given" : "Lourianne N", "non-dropping-particle" : "", "parse-names" : false, "suffix" : "" }, { "dropping-particle" : "", "family" : "Abe-Sandes", "given" : "Kiyoko", "non-dropping-particle" : "", "parse-names" : false, "suffix" : "" }, { "dropping-particle" : "", "family" : "Angelo", "given" : "Ana Luiza D", "non-dropping-particle" : "", "parse-names" : false, "suffix" : "" }, { "dropping-particle" : "", "family" : "Machado", "given" : "Taisa M B", "non-dropping-particle" : "", "parse-names" : false, "suffix" : "" }, { "dropping-particle" : "", "family" : "Lemaire", "given" : "Denise C", "non-dropping-particle" : "", "parse-names" : false, "suffix" : "" }, { "dropping-particle" : "", "family" : "Mendes", "given" : "Carlos M C", "non-dropping-particle" : "", "parse-names" : false, "suffix" : "" }, { "dropping-particle" : "", "family" : "Pinho", "given" : "Jo\u00e3o R", "non-dropping-particle" : "", "parse-names" : false, "suffix" : "" }, { "dropping-particle" : "", "family" : "Malta", "given" : "Fernanda", "non-dropping-particle" : "", "parse-names" : false, "suffix" : "" }, { "dropping-particle" : "", "family" : "Lyra", "given" : "Luiz G C", "non-dropping-particle" : "", "parse-names" : false, "suffix" : "" }, { "dropping-particle" : "", "family" : "Lyra", "given" : "Andr\u00e9 C", "non-dropping-particle" : "", "parse-names" : false, "suffix" : "" } ], "container-title" : "Liver international : official journal of the International Association for the Study of the Liver", "id" : "ITEM-1", "issue" : "3", "issued" : { "date-parts" : [ [ "2012", "3" ] ] }, "page" : "476-86", "title" : "IL28B polymorphisms are markers of therapy response and are influenced by genetic ancestry in chronic hepatitis C patients from an admixed population.", "type" : "article-journal", "volume" : "32" }, "uris" : [ "http://www.mendeley.com/documents/?uuid=67a73e52-2e5a-495e-8d20-29d2aedccb00" ] } ], "mendeley" : { "formattedCitation" : "&lt;sup&gt;[18]&lt;/sup&gt;", "plainTextFormattedCitation" : "[18]", "previouslyFormattedCitation" : "&lt;sup&gt;[18]&lt;/sup&gt;" }, "properties" : { "noteIndex" : 0 }, "schema" : "https://github.com/citation-style-language/schema/raw/master/csl-citation.json" }</w:instrText>
      </w:r>
      <w:r w:rsidRPr="00CD1426">
        <w:rPr>
          <w:rFonts w:ascii="Book Antiqua" w:hAnsi="Book Antiqua" w:cs="Arial"/>
          <w:lang w:val="en-US"/>
        </w:rPr>
        <w:fldChar w:fldCharType="separate"/>
      </w:r>
      <w:r w:rsidR="001D4A08" w:rsidRPr="00CD1426">
        <w:rPr>
          <w:rFonts w:ascii="Book Antiqua" w:hAnsi="Book Antiqua" w:cs="Arial"/>
          <w:noProof/>
          <w:vertAlign w:val="superscript"/>
          <w:lang w:val="en-US"/>
        </w:rPr>
        <w:t>[18]</w:t>
      </w:r>
      <w:r w:rsidRPr="00CD1426">
        <w:rPr>
          <w:rFonts w:ascii="Book Antiqua" w:hAnsi="Book Antiqua" w:cs="Arial"/>
          <w:lang w:val="en-US"/>
        </w:rPr>
        <w:fldChar w:fldCharType="end"/>
      </w:r>
      <w:r w:rsidRPr="00CD1426">
        <w:rPr>
          <w:rFonts w:ascii="Book Antiqua" w:hAnsi="Book Antiqua" w:cs="Arial"/>
          <w:lang w:val="en-US"/>
        </w:rPr>
        <w:t>. However, in the studied admixed population, the association among ancestry, IL28B polymorphisms and therapy response was detected only when ancestry was</w:t>
      </w:r>
      <w:r w:rsidR="00B33120" w:rsidRPr="00CD1426">
        <w:rPr>
          <w:rFonts w:ascii="Book Antiqua" w:hAnsi="Book Antiqua" w:cs="Arial"/>
          <w:lang w:val="en-US"/>
        </w:rPr>
        <w:t xml:space="preserve"> assessed using genetic markers</w:t>
      </w:r>
      <w:r w:rsidRPr="00CD1426">
        <w:rPr>
          <w:rFonts w:ascii="Book Antiqua" w:hAnsi="Book Antiqua" w:cs="Arial"/>
          <w:lang w:val="en-US"/>
        </w:rPr>
        <w:fldChar w:fldCharType="begin" w:fldLock="1"/>
      </w:r>
      <w:r w:rsidR="001D4A08" w:rsidRPr="00CD1426">
        <w:rPr>
          <w:rFonts w:ascii="Book Antiqua" w:hAnsi="Book Antiqua" w:cs="Arial"/>
          <w:lang w:val="en-US"/>
        </w:rPr>
        <w:instrText>ADDIN CSL_CITATION { "citationItems" : [ { "id" : "ITEM-1", "itemData" : { "ISSN" : "1478-3231", "abstract" : "IL28B polymorphisms are predictors of therapy response in hepatitis C virus (HCV) patients. We do not know whether they are markers of treatment response in admixed populations or not.", "author" : [ { "dropping-particle" : "", "family" : "Cavalcante", "given" : "Lourianne N", "non-dropping-particle" : "", "parse-names" : false, "suffix" : "" }, { "dropping-particle" : "", "family" : "Abe-Sandes", "given" : "Kiyoko", "non-dropping-particle" : "", "parse-names" : false, "suffix" : "" }, { "dropping-particle" : "", "family" : "Angelo", "given" : "Ana Luiza D", "non-dropping-particle" : "", "parse-names" : false, "suffix" : "" }, { "dropping-particle" : "", "family" : "Machado", "given" : "Taisa M B", "non-dropping-particle" : "", "parse-names" : false, "suffix" : "" }, { "dropping-particle" : "", "family" : "Lemaire", "given" : "Denise C", "non-dropping-particle" : "", "parse-names" : false, "suffix" : "" }, { "dropping-particle" : "", "family" : "Mendes", "given" : "Carlos M C", "non-dropping-particle" : "", "parse-names" : false, "suffix" : "" }, { "dropping-particle" : "", "family" : "Pinho", "given" : "Jo\u00e3o R", "non-dropping-particle" : "", "parse-names" : false, "suffix" : "" }, { "dropping-particle" : "", "family" : "Malta", "given" : "Fernanda", "non-dropping-particle" : "", "parse-names" : false, "suffix" : "" }, { "dropping-particle" : "", "family" : "Lyra", "given" : "Luiz G C", "non-dropping-particle" : "", "parse-names" : false, "suffix" : "" }, { "dropping-particle" : "", "family" : "Lyra", "given" : "Andr\u00e9 C", "non-dropping-particle" : "", "parse-names" : false, "suffix" : "" } ], "container-title" : "Liver international : official journal of the International Association for the Study of the Liver", "id" : "ITEM-1", "issue" : "3", "issued" : { "date-parts" : [ [ "2012", "3" ] ] }, "page" : "476-86", "title" : "IL28B polymorphisms are markers of therapy response and are influenced by genetic ancestry in chronic hepatitis C patients from an admixed population.", "type" : "article-journal", "volume" : "32" }, "uris" : [ "http://www.mendeley.com/documents/?uuid=67a73e52-2e5a-495e-8d20-29d2aedccb00" ] } ], "mendeley" : { "formattedCitation" : "&lt;sup&gt;[18]&lt;/sup&gt;", "plainTextFormattedCitation" : "[18]", "previouslyFormattedCitation" : "&lt;sup&gt;[18]&lt;/sup&gt;" }, "properties" : { "noteIndex" : 0 }, "schema" : "https://github.com/citation-style-language/schema/raw/master/csl-citation.json" }</w:instrText>
      </w:r>
      <w:r w:rsidRPr="00CD1426">
        <w:rPr>
          <w:rFonts w:ascii="Book Antiqua" w:hAnsi="Book Antiqua" w:cs="Arial"/>
          <w:lang w:val="en-US"/>
        </w:rPr>
        <w:fldChar w:fldCharType="separate"/>
      </w:r>
      <w:r w:rsidR="001D4A08" w:rsidRPr="00CD1426">
        <w:rPr>
          <w:rFonts w:ascii="Book Antiqua" w:hAnsi="Book Antiqua" w:cs="Arial"/>
          <w:noProof/>
          <w:vertAlign w:val="superscript"/>
          <w:lang w:val="en-US"/>
        </w:rPr>
        <w:t>[18]</w:t>
      </w:r>
      <w:r w:rsidRPr="00CD1426">
        <w:rPr>
          <w:rFonts w:ascii="Book Antiqua" w:hAnsi="Book Antiqua" w:cs="Arial"/>
          <w:lang w:val="en-US"/>
        </w:rPr>
        <w:fldChar w:fldCharType="end"/>
      </w:r>
      <w:r w:rsidR="00B33120" w:rsidRPr="00CD1426">
        <w:rPr>
          <w:rFonts w:ascii="Book Antiqua" w:hAnsi="Book Antiqua" w:cs="Arial"/>
          <w:lang w:val="en-US" w:eastAsia="zh-CN"/>
        </w:rPr>
        <w:t>.</w:t>
      </w:r>
    </w:p>
    <w:p w14:paraId="1F0161E3" w14:textId="77777777" w:rsidR="002B302F" w:rsidRPr="00CD1426" w:rsidRDefault="002B302F" w:rsidP="00CD1426">
      <w:pPr>
        <w:spacing w:line="360" w:lineRule="auto"/>
        <w:jc w:val="both"/>
        <w:rPr>
          <w:rFonts w:ascii="Book Antiqua" w:hAnsi="Book Antiqua" w:cs="Arial"/>
          <w:i/>
          <w:lang w:val="en-US"/>
        </w:rPr>
      </w:pPr>
    </w:p>
    <w:p w14:paraId="131504AE" w14:textId="7C2378F8" w:rsidR="002B302F" w:rsidRPr="00CD1426" w:rsidRDefault="002B302F" w:rsidP="00CD1426">
      <w:pPr>
        <w:spacing w:line="360" w:lineRule="auto"/>
        <w:jc w:val="both"/>
        <w:rPr>
          <w:rFonts w:ascii="Book Antiqua" w:hAnsi="Book Antiqua" w:cs="Arial"/>
          <w:b/>
          <w:i/>
          <w:lang w:val="en-US"/>
        </w:rPr>
      </w:pPr>
      <w:r w:rsidRPr="00CD1426">
        <w:rPr>
          <w:rFonts w:ascii="Book Antiqua" w:hAnsi="Book Antiqua" w:cs="Arial"/>
          <w:b/>
          <w:i/>
          <w:lang w:val="en-US"/>
        </w:rPr>
        <w:t xml:space="preserve">Liver </w:t>
      </w:r>
      <w:r w:rsidR="00B33120" w:rsidRPr="00CD1426">
        <w:rPr>
          <w:rFonts w:ascii="Book Antiqua" w:hAnsi="Book Antiqua" w:cs="Arial"/>
          <w:b/>
          <w:i/>
          <w:lang w:val="en-US"/>
        </w:rPr>
        <w:t>fibrosis</w:t>
      </w:r>
    </w:p>
    <w:p w14:paraId="28613811" w14:textId="571335AC" w:rsidR="002B302F" w:rsidRPr="00CD1426" w:rsidRDefault="002B302F" w:rsidP="00CD1426">
      <w:pPr>
        <w:spacing w:line="360" w:lineRule="auto"/>
        <w:jc w:val="both"/>
        <w:rPr>
          <w:rFonts w:ascii="Book Antiqua" w:hAnsi="Book Antiqua" w:cs="Arial"/>
          <w:b/>
          <w:lang w:val="en-US" w:eastAsia="zh-CN"/>
        </w:rPr>
      </w:pPr>
      <w:r w:rsidRPr="00CD1426">
        <w:rPr>
          <w:rFonts w:ascii="Book Antiqua" w:hAnsi="Book Antiqua" w:cs="Arial"/>
          <w:lang w:val="en-US"/>
        </w:rPr>
        <w:t>Liver fibrosis is a host factor that has consistently been associated with response rates to interferon-based therapies. Patients with advanced liver fibrosis (</w:t>
      </w:r>
      <w:proofErr w:type="spellStart"/>
      <w:r w:rsidRPr="00CD1426">
        <w:rPr>
          <w:rFonts w:ascii="Book Antiqua" w:hAnsi="Book Antiqua" w:cs="Arial"/>
          <w:lang w:val="en-US"/>
        </w:rPr>
        <w:t>Metavir</w:t>
      </w:r>
      <w:proofErr w:type="spellEnd"/>
      <w:r w:rsidRPr="00CD1426">
        <w:rPr>
          <w:rFonts w:ascii="Book Antiqua" w:hAnsi="Book Antiqua" w:cs="Arial"/>
          <w:lang w:val="en-US"/>
        </w:rPr>
        <w:t xml:space="preserve"> F3 or F4) have a lower chance of SVR compared to subjects with milder liver fibrosis. Invasive (liver-biopsy) and non-invasive methods may be use</w:t>
      </w:r>
      <w:r w:rsidR="00B33120" w:rsidRPr="00CD1426">
        <w:rPr>
          <w:rFonts w:ascii="Book Antiqua" w:hAnsi="Book Antiqua" w:cs="Arial"/>
          <w:lang w:val="en-US"/>
        </w:rPr>
        <w:t>d to assess the fibrosis stage</w:t>
      </w:r>
      <w:r w:rsidRPr="00CD1426">
        <w:rPr>
          <w:rFonts w:ascii="Book Antiqua" w:hAnsi="Book Antiqua" w:cs="Arial"/>
          <w:lang w:val="en-US"/>
        </w:rPr>
        <w:fldChar w:fldCharType="begin" w:fldLock="1"/>
      </w:r>
      <w:r w:rsidR="001D4A08" w:rsidRPr="00CD1426">
        <w:rPr>
          <w:rFonts w:ascii="Book Antiqua" w:hAnsi="Book Antiqua" w:cs="Arial"/>
          <w:lang w:val="en-US"/>
        </w:rPr>
        <w:instrText>ADDIN CSL_CITATION { "citationItems" : [ { "id" : "ITEM-1", "itemData" : { "ISSN" : "0016-5085", "abstract" : "Liver fibrosis is an important prognostic factor in patients with hepatitis C. The effect of pegylated (PEG) interferon alone or its combination with ribavirin on fibrosis has not been established.", "author" : [ { "dropping-particle" : "", "family" : "Poynard", "given" : "Thierry", "non-dropping-particle" : "", "parse-names" : false, "suffix" : "" }, { "dropping-particle" : "", "family" : "McHutchison", "given" : "John", "non-dropping-particle" : "", "parse-names" : false, "suffix" : "" }, { "dropping-particle" : "", "family" : "Manns", "given" : "Michael", "non-dropping-particle" : "", "parse-names" : false, "suffix" : "" }, { "dropping-particle" : "", "family" : "Trepo", "given" : "Christian", "non-dropping-particle" : "", "parse-names" : false, "suffix" : "" }, { "dropping-particle" : "", "family" : "Lindsay", "given" : "Karen", "non-dropping-particle" : "", "parse-names" : false, "suffix" : "" }, { "dropping-particle" : "", "family" : "Goodman", "given" : "Zachary", "non-dropping-particle" : "", "parse-names" : false, "suffix" : "" }, { "dropping-particle" : "", "family" : "Ling", "given" : "Mei-Hsiu", "non-dropping-particle" : "", "parse-names" : false, "suffix" : "" }, { "dropping-particle" : "", "family" : "Albrecht", "given" : "Janice", "non-dropping-particle" : "", "parse-names" : false, "suffix" : "" } ], "container-title" : "Gastroenterology", "id" : "ITEM-1", "issue" : "5", "issued" : { "date-parts" : [ [ "2002", "5" ] ] }, "page" : "1303-13", "title" : "Impact of pegylated interferon alfa-2b and ribavirin on liver fibrosis in patients with chronic hepatitis C.", "type" : "article-journal", "volume" : "122" }, "uris" : [ "http://www.mendeley.com/documents/?uuid=e9ed6657-4157-4a01-be52-44a14d394e29" ] } ], "mendeley" : { "formattedCitation" : "&lt;sup&gt;[25]&lt;/sup&gt;", "plainTextFormattedCitation" : "[25]", "previouslyFormattedCitation" : "&lt;sup&gt;[25]&lt;/sup&gt;" }, "properties" : { "noteIndex" : 0 }, "schema" : "https://github.com/citation-style-language/schema/raw/master/csl-citation.json" }</w:instrText>
      </w:r>
      <w:r w:rsidRPr="00CD1426">
        <w:rPr>
          <w:rFonts w:ascii="Book Antiqua" w:hAnsi="Book Antiqua" w:cs="Arial"/>
          <w:lang w:val="en-US"/>
        </w:rPr>
        <w:fldChar w:fldCharType="separate"/>
      </w:r>
      <w:r w:rsidR="001D4A08" w:rsidRPr="00CD1426">
        <w:rPr>
          <w:rFonts w:ascii="Book Antiqua" w:hAnsi="Book Antiqua" w:cs="Arial"/>
          <w:noProof/>
          <w:vertAlign w:val="superscript"/>
          <w:lang w:val="en-US"/>
        </w:rPr>
        <w:t>[25]</w:t>
      </w:r>
      <w:r w:rsidRPr="00CD1426">
        <w:rPr>
          <w:rFonts w:ascii="Book Antiqua" w:hAnsi="Book Antiqua" w:cs="Arial"/>
          <w:lang w:val="en-US"/>
        </w:rPr>
        <w:fldChar w:fldCharType="end"/>
      </w:r>
      <w:r w:rsidR="00B33120" w:rsidRPr="00CD1426">
        <w:rPr>
          <w:rFonts w:ascii="Book Antiqua" w:hAnsi="Book Antiqua" w:cs="Arial"/>
          <w:lang w:val="en-US" w:eastAsia="zh-CN"/>
        </w:rPr>
        <w:t>.</w:t>
      </w:r>
    </w:p>
    <w:p w14:paraId="34B0A823" w14:textId="77777777" w:rsidR="002B302F" w:rsidRPr="00CD1426" w:rsidRDefault="002B302F" w:rsidP="00CD1426">
      <w:pPr>
        <w:tabs>
          <w:tab w:val="right" w:pos="540"/>
          <w:tab w:val="left" w:pos="720"/>
        </w:tabs>
        <w:spacing w:line="360" w:lineRule="auto"/>
        <w:jc w:val="both"/>
        <w:rPr>
          <w:rFonts w:ascii="Book Antiqua" w:hAnsi="Book Antiqua" w:cs="Arial"/>
          <w:lang w:val="en-US"/>
        </w:rPr>
      </w:pPr>
    </w:p>
    <w:p w14:paraId="782F16E3" w14:textId="7768979F" w:rsidR="002B302F" w:rsidRPr="00CD1426" w:rsidRDefault="002B302F" w:rsidP="00CD1426">
      <w:pPr>
        <w:tabs>
          <w:tab w:val="right" w:pos="540"/>
          <w:tab w:val="left" w:pos="720"/>
        </w:tabs>
        <w:spacing w:line="360" w:lineRule="auto"/>
        <w:jc w:val="both"/>
        <w:rPr>
          <w:rFonts w:ascii="Book Antiqua" w:hAnsi="Book Antiqua" w:cs="Arial"/>
          <w:b/>
          <w:i/>
          <w:lang w:val="en-US"/>
        </w:rPr>
      </w:pPr>
      <w:r w:rsidRPr="00CD1426">
        <w:rPr>
          <w:rFonts w:ascii="Book Antiqua" w:hAnsi="Book Antiqua" w:cs="Arial"/>
          <w:b/>
          <w:i/>
          <w:lang w:val="en-US"/>
        </w:rPr>
        <w:t xml:space="preserve">IP-10 </w:t>
      </w:r>
    </w:p>
    <w:p w14:paraId="418DE9F1" w14:textId="7356B5C7" w:rsidR="002B302F" w:rsidRPr="00CD1426" w:rsidRDefault="002B302F" w:rsidP="00CD1426">
      <w:pPr>
        <w:tabs>
          <w:tab w:val="right" w:pos="540"/>
          <w:tab w:val="left" w:pos="720"/>
        </w:tabs>
        <w:spacing w:line="360" w:lineRule="auto"/>
        <w:jc w:val="both"/>
        <w:rPr>
          <w:rFonts w:ascii="Book Antiqua" w:hAnsi="Book Antiqua" w:cs="Arial"/>
          <w:i/>
          <w:lang w:val="en-US" w:eastAsia="zh-CN"/>
        </w:rPr>
      </w:pPr>
      <w:r w:rsidRPr="00CD1426">
        <w:rPr>
          <w:rFonts w:ascii="Book Antiqua" w:hAnsi="Book Antiqua" w:cs="Arial"/>
          <w:lang w:val="en-US"/>
        </w:rPr>
        <w:t>The combination of serum IP-10 and IL28B SNPs may increase the predictive value of the treatment response. The IP-10</w:t>
      </w:r>
      <w:r w:rsidRPr="00CD1426">
        <w:rPr>
          <w:rFonts w:ascii="Book Antiqua" w:hAnsi="Book Antiqua" w:cs="Arial"/>
          <w:b/>
          <w:bCs/>
          <w:lang w:val="en-US"/>
        </w:rPr>
        <w:t xml:space="preserve"> (</w:t>
      </w:r>
      <w:r w:rsidRPr="00CD1426">
        <w:rPr>
          <w:rFonts w:ascii="Book Antiqua" w:hAnsi="Book Antiqua" w:cs="Arial"/>
          <w:lang w:val="en-US"/>
        </w:rPr>
        <w:t xml:space="preserve">Interferon- Inducible Protein 10) is also called CXCL10 and belongs to the CXC chemokine family. IP-10 is </w:t>
      </w:r>
      <w:proofErr w:type="gramStart"/>
      <w:r w:rsidRPr="00CD1426">
        <w:rPr>
          <w:rFonts w:ascii="Book Antiqua" w:hAnsi="Book Antiqua" w:cs="Arial"/>
          <w:lang w:val="en-US"/>
        </w:rPr>
        <w:t>a</w:t>
      </w:r>
      <w:proofErr w:type="gramEnd"/>
      <w:r w:rsidRPr="00CD1426">
        <w:rPr>
          <w:rFonts w:ascii="Book Antiqua" w:hAnsi="Book Antiqua" w:cs="Arial"/>
          <w:lang w:val="en-US"/>
        </w:rPr>
        <w:t xml:space="preserve"> indicator of liver inflammation and fibrosis in individuals with chronic hepatitis C. Low pre-treatment IP-10 levels have been related with SVR and on the other hand, increased levels have been associated with therapy failure. A </w:t>
      </w:r>
      <w:r w:rsidRPr="00CD1426">
        <w:rPr>
          <w:rFonts w:ascii="Book Antiqua" w:hAnsi="Book Antiqua" w:cs="Arial"/>
          <w:lang w:val="en-US"/>
        </w:rPr>
        <w:lastRenderedPageBreak/>
        <w:t xml:space="preserve">baseline IP-10 level &gt; 600 </w:t>
      </w:r>
      <w:proofErr w:type="spellStart"/>
      <w:r w:rsidRPr="00CD1426">
        <w:rPr>
          <w:rFonts w:ascii="Book Antiqua" w:hAnsi="Book Antiqua" w:cs="Arial"/>
          <w:lang w:val="en-US"/>
        </w:rPr>
        <w:t>pg</w:t>
      </w:r>
      <w:proofErr w:type="spellEnd"/>
      <w:r w:rsidRPr="00CD1426">
        <w:rPr>
          <w:rFonts w:ascii="Book Antiqua" w:hAnsi="Book Antiqua" w:cs="Arial"/>
          <w:lang w:val="en-US"/>
        </w:rPr>
        <w:t>/mL was determined to be greatly predictive of an</w:t>
      </w:r>
      <w:r w:rsidR="00B33120" w:rsidRPr="00CD1426">
        <w:rPr>
          <w:rFonts w:ascii="Book Antiqua" w:hAnsi="Book Antiqua" w:cs="Arial"/>
          <w:lang w:val="en-US"/>
        </w:rPr>
        <w:t xml:space="preserve"> unfavorable therapy outcome</w:t>
      </w:r>
      <w:r w:rsidRPr="00CD1426">
        <w:rPr>
          <w:rFonts w:ascii="Book Antiqua" w:hAnsi="Book Antiqua" w:cs="Arial"/>
          <w:lang w:val="en-US"/>
        </w:rPr>
        <w:fldChar w:fldCharType="begin" w:fldLock="1"/>
      </w:r>
      <w:r w:rsidR="001D4A08" w:rsidRPr="00CD1426">
        <w:rPr>
          <w:rFonts w:ascii="Book Antiqua" w:hAnsi="Book Antiqua" w:cs="Arial"/>
          <w:lang w:val="en-US"/>
        </w:rPr>
        <w:instrText>ADDIN CSL_CITATION { "citationItems" : [ { "id" : "ITEM-1", "itemData" : { "DOI" : "10.1136/gut.2005.074062", "ISSN" : "0017-5749", "PMID" : "16150856", "abstract" : "BACKGROUND: Increased serum and intrahepatic interferon gamma inducible protein 10 (IP-10) levels in patients with chronic hepatitis C (CHC) have been described.\n\nAIM: To analyse the possible association of serum IP-10 levels with different outcomes to antiviral therapy.\n\nPATIENTS: A total of 137 CHC patients treated with peginterferon plus ribavirin.\n\nMETHODS: Serum IP-10 levels were determined by enzyme linked immunosorbent assay before therapy, after 12 weeks of treatment, and 24 weeks after cessation of therapy. Variables significantly associated with a sustained virological response (SVR) on univariate analysis were included in a multivariate logistic regression model.\n\nRESULTS: Pretreatment serum IP-10 levels in patients with SVR were significantly lower than in non-responders (NR) (332.4 (222.1) v 476.8 (305.3) pg/ml, respectively; p=0.004). Serum IP-10 concentrations significantly decreased in patients with SVR (pretreatment: 332.4 (222.1) pg/ml; post-treatment: 170.2 (140.1) pg/ml; p&lt;0.001) but not in NR (pretreatment: 476.8 (305.3) pg/ml; post treatment: 387.3 (268.1) pg/ml; p=0.06). By multivariate analysis, non-1 genotype (odds ratio (OR) 3.5 (95% confidence interval (CI) 1.1-10.4); p=0.003) and low viral load at baseline (OR 0.34 (95% CI 0.14-0.79); p=0.01) were independent predictors of SVR in all patients. When multivariate analysis was restricted to patients with genotype 1, only baseline viral load (OR 0.38 (95% CI 0.155-0.96); p=0.04) and pretreatment serum IP-10 levels (OR 0.99 (95% CI 0.996-0.999); p=0.03) were identified as predictive factors of SVR.\n\nCONCLUSION: Pretreatment serum IP-10 behaves as a predictive factor of SVR to peginterferon plus ribavirin therapy in genotype 1 infected patients.", "author" : [ { "dropping-particle" : "", "family" : "Diago", "given" : "M", "non-dropping-particle" : "", "parse-names" : false, "suffix" : "" }, { "dropping-particle" : "", "family" : "Castellano", "given" : "G", "non-dropping-particle" : "", "parse-names" : false, "suffix" : "" }, { "dropping-particle" : "", "family" : "Garc\u00eda-Samaniego", "given" : "J", "non-dropping-particle" : "", "parse-names" : false, "suffix" : "" }, { "dropping-particle" : "", "family" : "P\u00e9rez", "given" : "C", "non-dropping-particle" : "", "parse-names" : false, "suffix" : "" }, { "dropping-particle" : "", "family" : "Fern\u00e1ndez", "given" : "I", "non-dropping-particle" : "", "parse-names" : false, "suffix" : "" }, { "dropping-particle" : "", "family" : "Romero", "given" : "M", "non-dropping-particle" : "", "parse-names" : false, "suffix" : "" }, { "dropping-particle" : "", "family" : "Iacono", "given" : "O L", "non-dropping-particle" : "", "parse-names" : false, "suffix" : "" }, { "dropping-particle" : "", "family" : "Garc\u00eda-Monz\u00f3n", "given" : "C", "non-dropping-particle" : "", "parse-names" : false, "suffix" : "" } ], "container-title" : "Gut", "id" : "ITEM-1", "issue" : "3", "issued" : { "date-parts" : [ [ "2006", "3" ] ] }, "page" : "374-9", "title" : "Association of pretreatment serum interferon gamma inducible protein 10 levels with sustained virological response to peginterferon plus ribavirin therapy in genotype 1 infected patients with chronic hepatitis C.", "type" : "article-journal", "volume" : "55" }, "uris" : [ "http://www.mendeley.com/documents/?uuid=0bbb01cb-5e66-4169-b1c8-fb35ae61c9ce" ] }, { "id" : "ITEM-2", "itemData" : { "DOI" : "10.1086/507307", "ISSN" : "0022-1899", "PMID" : "16960776", "abstract" : "BACKGROUND: We investigated associations between interferon (IFN)-gamma-inducible protein (IP)-10 and liver histological results, viral kinetic response, and treatment outcome in patients infected with hepatitis C virus (HCV) genotypes 1-4.\n\nMETHODS: Plasma IP-10 was monitored before, during, and after treatment with pegylated IFN- alpha 2a and ribavirin in 265 HCV-infected patients.\n\nRESULTS: In univariate analyses, a low baseline IP-10 level was significantly associated with low baseline viral load, rapid viral response (RVR), a sustained viral response (SVR), body mass index &lt;25 kg/m2, and less-pronounced fibrosis, inflammation, and steatosis (for HCV genotypes other than 3). When the results of the univariate analyses were included in multivariate analyses, a low plasma IP-10 level, low baseline viral load, and genotype 2 or 3 infection were independent predictors of an RVR and SVR. IP-10 levels decreased 6 weeks into treatment and remained low in patients with an SVR. By contrast, plasma levels of IP-10 rebounded in patients who had detectable HCV RNA after the completion of treatment. Using cutoff IP-10 levels of 150 and 600 pg/mL for predicting an SVR in patients infected with HCV genotype 1 yielded a specificity and sensitivity of 81% and 95%, respectively.\n\nCONCLUSION: Baseline IP-10 levels are predictive of the response to HCV treatment.", "author" : [ { "dropping-particle" : "", "family" : "Romero", "given" : "Ana I", "non-dropping-particle" : "", "parse-names" : false, "suffix" : "" }, { "dropping-particle" : "", "family" : "Lagging", "given" : "Martin", "non-dropping-particle" : "", "parse-names" : false, "suffix" : "" }, { "dropping-particle" : "", "family" : "Westin", "given" : "Johan", "non-dropping-particle" : "", "parse-names" : false, "suffix" : "" }, { "dropping-particle" : "", "family" : "Dhillon", "given" : "Amar P", "non-dropping-particle" : "", "parse-names" : false, "suffix" : "" }, { "dropping-particle" : "", "family" : "Dustin", "given" : "Lynn B", "non-dropping-particle" : "", "parse-names" : false, "suffix" : "" }, { "dropping-particle" : "", "family" : "Pawlotsky", "given" : "Jean-Michel", "non-dropping-particle" : "", "parse-names" : false, "suffix" : "" }, { "dropping-particle" : "", "family" : "Neumann", "given" : "Avidan U", "non-dropping-particle" : "", "parse-names" : false, "suffix" : "" }, { "dropping-particle" : "", "family" : "Ferrari", "given" : "Carlo", "non-dropping-particle" : "", "parse-names" : false, "suffix" : "" }, { "dropping-particle" : "", "family" : "Missale", "given" : "Gabriele", "non-dropping-particle" : "", "parse-names" : false, "suffix" : "" }, { "dropping-particle" : "", "family" : "Haagmans", "given" : "Bart L", "non-dropping-particle" : "", "parse-names" : false, "suffix" : "" }, { "dropping-particle" : "", "family" : "Schalm", "given" : "Solko W", "non-dropping-particle" : "", "parse-names" : false, "suffix" : "" }, { "dropping-particle" : "", "family" : "Zeuzem", "given" : "Stefan", "non-dropping-particle" : "", "parse-names" : false, "suffix" : "" }, { "dropping-particle" : "", "family" : "Negro", "given" : "Francesco", "non-dropping-particle" : "", "parse-names" : false, "suffix" : "" }, { "dropping-particle" : "", "family" : "Verheij-Hart", "given" : "Elke", "non-dropping-particle" : "", "parse-names" : false, "suffix" : "" }, { "dropping-particle" : "", "family" : "Hellstrand", "given" : "Kristoffer", "non-dropping-particle" : "", "parse-names" : false, "suffix" : "" } ], "container-title" : "The Journal of infectious diseases", "id" : "ITEM-2", "issue" : "7", "issued" : { "date-parts" : [ [ "2006", "10", "1" ] ] }, "page" : "895-903", "title" : "Interferon (IFN)-gamma-inducible protein-10: association with histological results, viral kinetics, and outcome during treatment with pegylated IFN-alpha 2a and ribavirin for chronic hepatitis C virus infection.", "type" : "article-journal", "volume" : "194" }, "uris" : [ "http://www.mendeley.com/documents/?uuid=30a865ef-37d9-4b71-bd59-4a4858d6af6b" ] } ], "mendeley" : { "formattedCitation" : "&lt;sup&gt;[26,27]&lt;/sup&gt;", "plainTextFormattedCitation" : "[26,27]", "previouslyFormattedCitation" : "&lt;sup&gt;[26,27]&lt;/sup&gt;" }, "properties" : { "noteIndex" : 0 }, "schema" : "https://github.com/citation-style-language/schema/raw/master/csl-citation.json" }</w:instrText>
      </w:r>
      <w:r w:rsidRPr="00CD1426">
        <w:rPr>
          <w:rFonts w:ascii="Book Antiqua" w:hAnsi="Book Antiqua" w:cs="Arial"/>
          <w:lang w:val="en-US"/>
        </w:rPr>
        <w:fldChar w:fldCharType="separate"/>
      </w:r>
      <w:r w:rsidR="001D4A08" w:rsidRPr="00CD1426">
        <w:rPr>
          <w:rFonts w:ascii="Book Antiqua" w:hAnsi="Book Antiqua" w:cs="Arial"/>
          <w:noProof/>
          <w:vertAlign w:val="superscript"/>
          <w:lang w:val="en-US"/>
        </w:rPr>
        <w:t>[26,27]</w:t>
      </w:r>
      <w:r w:rsidRPr="00CD1426">
        <w:rPr>
          <w:rFonts w:ascii="Book Antiqua" w:hAnsi="Book Antiqua" w:cs="Arial"/>
          <w:lang w:val="en-US"/>
        </w:rPr>
        <w:fldChar w:fldCharType="end"/>
      </w:r>
      <w:r w:rsidR="00B33120" w:rsidRPr="00CD1426">
        <w:rPr>
          <w:rFonts w:ascii="Book Antiqua" w:hAnsi="Book Antiqua" w:cs="Arial"/>
          <w:lang w:val="en-US" w:eastAsia="zh-CN"/>
        </w:rPr>
        <w:t>.</w:t>
      </w:r>
    </w:p>
    <w:p w14:paraId="7C54968B" w14:textId="77777777" w:rsidR="002B302F" w:rsidRPr="00CD1426" w:rsidRDefault="002B302F" w:rsidP="00CD1426">
      <w:pPr>
        <w:spacing w:line="360" w:lineRule="auto"/>
        <w:jc w:val="both"/>
        <w:rPr>
          <w:rFonts w:ascii="Book Antiqua" w:hAnsi="Book Antiqua" w:cs="Arial"/>
          <w:b/>
          <w:lang w:val="en-US"/>
        </w:rPr>
      </w:pPr>
    </w:p>
    <w:p w14:paraId="54204416" w14:textId="77777777" w:rsidR="002B302F" w:rsidRPr="00CD1426" w:rsidRDefault="002B302F" w:rsidP="00CD1426">
      <w:pPr>
        <w:tabs>
          <w:tab w:val="right" w:pos="540"/>
          <w:tab w:val="left" w:pos="720"/>
        </w:tabs>
        <w:spacing w:line="360" w:lineRule="auto"/>
        <w:jc w:val="both"/>
        <w:rPr>
          <w:rFonts w:ascii="Book Antiqua" w:hAnsi="Book Antiqua" w:cs="Arial"/>
          <w:b/>
          <w:i/>
          <w:lang w:val="en-US"/>
        </w:rPr>
      </w:pPr>
      <w:r w:rsidRPr="00CD1426">
        <w:rPr>
          <w:rFonts w:ascii="Book Antiqua" w:hAnsi="Book Antiqua" w:cs="Arial"/>
          <w:b/>
          <w:i/>
          <w:lang w:val="en-US"/>
        </w:rPr>
        <w:t>Vitamin D</w:t>
      </w:r>
    </w:p>
    <w:p w14:paraId="74E0E7EA" w14:textId="65CA09CB" w:rsidR="002B302F" w:rsidRPr="00CD1426" w:rsidRDefault="002B302F" w:rsidP="00CD1426">
      <w:pPr>
        <w:pStyle w:val="Heading1"/>
        <w:shd w:val="clear" w:color="auto" w:fill="FFFFFF"/>
        <w:spacing w:before="0" w:beforeAutospacing="0" w:after="0" w:afterAutospacing="0" w:line="360" w:lineRule="auto"/>
        <w:jc w:val="both"/>
        <w:rPr>
          <w:rFonts w:ascii="Book Antiqua" w:hAnsi="Book Antiqua" w:cs="Arial"/>
          <w:b w:val="0"/>
          <w:sz w:val="24"/>
          <w:szCs w:val="24"/>
          <w:lang w:val="en-US"/>
        </w:rPr>
      </w:pPr>
      <w:r w:rsidRPr="00CD1426">
        <w:rPr>
          <w:rFonts w:ascii="Book Antiqua" w:hAnsi="Book Antiqua" w:cs="Arial"/>
          <w:b w:val="0"/>
          <w:sz w:val="24"/>
          <w:szCs w:val="24"/>
          <w:shd w:val="clear" w:color="auto" w:fill="FFFFFF"/>
          <w:lang w:val="en-US"/>
        </w:rPr>
        <w:t>Studies including HCV genotypes 1 and 4 infected patients have revealed that low vitamin D status is related with inferior probabilities of achieving SVR following peg-interfer</w:t>
      </w:r>
      <w:r w:rsidR="00B33120" w:rsidRPr="00CD1426">
        <w:rPr>
          <w:rFonts w:ascii="Book Antiqua" w:hAnsi="Book Antiqua" w:cs="Arial"/>
          <w:b w:val="0"/>
          <w:sz w:val="24"/>
          <w:szCs w:val="24"/>
          <w:shd w:val="clear" w:color="auto" w:fill="FFFFFF"/>
          <w:lang w:val="en-US"/>
        </w:rPr>
        <w:t>on alpha plus ribavirin therapy</w:t>
      </w:r>
      <w:r w:rsidRPr="00CD1426">
        <w:rPr>
          <w:rFonts w:ascii="Book Antiqua" w:hAnsi="Book Antiqua" w:cs="Arial"/>
          <w:b w:val="0"/>
          <w:sz w:val="24"/>
          <w:szCs w:val="24"/>
          <w:shd w:val="clear" w:color="auto" w:fill="FFFFFF"/>
          <w:lang w:val="en-US"/>
        </w:rPr>
        <w:fldChar w:fldCharType="begin" w:fldLock="1"/>
      </w:r>
      <w:r w:rsidR="001D4A08" w:rsidRPr="00CD1426">
        <w:rPr>
          <w:rFonts w:ascii="Book Antiqua" w:hAnsi="Book Antiqua" w:cs="Arial"/>
          <w:b w:val="0"/>
          <w:sz w:val="24"/>
          <w:szCs w:val="24"/>
          <w:shd w:val="clear" w:color="auto" w:fill="FFFFFF"/>
          <w:lang w:val="en-US"/>
        </w:rPr>
        <w:instrText>ADDIN CSL_CITATION { "citationItems" : [ { "id" : "ITEM-1", "itemData" : { "DOI" : "10.1002/hep.27281", "ISSN" : "1527-3350", "PMID" : "24975775", "abstract" : "Background and Aims: There is growing evidence that vitamin D is related to chronic hepatitis C (CHC) pathogenicity. We analysed the relationship of vitamin D status with advanced liver fibrosis (ALF) in CHC treatment-na\u00efve patients and sustained virologic response (SVR) in CHC patients on pegylated interferon alpha plus ribavirin (pegIFN\u03b1/ribavirin) therapy. Methods: We performed a meta-analysis of all eligible studies published to date (April, 2014) in PubMed, SCOPUS, LILACS and the Cochrane Library , assessing plasma/serum vitamin D levels related to ALF and/or SVR. Pooled odds ratios were estimated by either fixed or random effects models. Results: Fourteen studies were selected from the literature search, 7 for ALF (1083 patients) and 11 for SVR (2672 patients). For liver fibrosis, low vitamin D status was related to a diagnosis of ALF, with the cut-offs of 10 ng/mL (OR=2.37 (95%CI=1.20, 4.72)) and 30 ng/mL (OR=2.22 (95%CI=1.24, 3.97)) being significant, and a near-significance for 20 ng/mL (OR=1.44 (95%CI=0.99, 2.12)). Regarding SVR, a significant heterogeneity among studies was found (p&lt;0.001), and we only found a significant association with SVR for a vitamin D cut-off of 20 ng/mL (OR=0.53 (95%CI=0.31, 0.91)). When meta-analysis was performed excluding the outliers, significant pooled ORs were found for all patients [10 ng/mL (OR=0.48 (95%CI=0.34, 0.67)) and 20 ng/mL (OR=0.58 (95%CI=0.45, 0.76))] and GT1/4 patients [10 ng/mL (OR=0.53 (95%CI=0.34, 0.81)) and 20 ng/mL (OR=0.54 (95%CI=0.39, 0.74))]. Conclusions: Low vitamin D status in CHC patients is associated with a higher likelihood of having ALF and lower odds of achieving SVR following pegIFN\u03b1/ribavirin therapy. (Hepatology 2014;).", "author" : [ { "dropping-particle" : "", "family" : "Garc\u00eda-\u00c1lvarez", "given" : "M\u00f3nica", "non-dropping-particle" : "", "parse-names" : false, "suffix" : "" }, { "dropping-particle" : "", "family" : "Pineda-Tenor", "given" : "Daniel", "non-dropping-particle" : "", "parse-names" : false, "suffix" : "" }, { "dropping-particle" : "", "family" : "Jim\u00e9nez-Sousa", "given" : "Mar\u00eda A", "non-dropping-particle" : "", "parse-names" : false, "suffix" : "" }, { "dropping-particle" : "", "family" : "Fern\u00e1ndez-Rodr\u00edguez", "given" : "Amanda", "non-dropping-particle" : "", "parse-names" : false, "suffix" : "" }, { "dropping-particle" : "", "family" : "Guzm\u00e1n-Fulgencio", "given" : "Mar\u00eda", "non-dropping-particle" : "", "parse-names" : false, "suffix" : "" }, { "dropping-particle" : "", "family" : "Resino", "given" : "Salvador", "non-dropping-particle" : "", "parse-names" : false, "suffix" : "" } ], "container-title" : "Hepatology (Baltimore, Md.)", "id" : "ITEM-1", "issued" : { "date-parts" : [ [ "2014", "6", "27" ] ] }, "title" : "Relationship of vitamin D status with advanced liver fibrosis and response to hepatitis C virus therapy: A meta-analysis.", "type" : "article-journal" }, "uris" : [ "http://www.mendeley.com/documents/?uuid=ea73a779-83e4-4dfb-a378-89b19eecbb80" ] }, { "id" : "ITEM-2", "itemData" : { "ISSN" : "1527-3350", "abstract" : "Vitamin D supplementation was reported to improve the probability of achieving a sustained virological response when combined with antiviral treatment against hepatitis C virus (HCV). Our aim was to determine the in vitro potential of vitamin D to inhibit HCV infectious virus production and explore the mechanism(s) of inhibition. Here we show that vitamin D(3) remarkably inhibits HCV production in Huh7.5 hepatoma cells. These cells express CYP27B1, the gene encoding for the enzyme responsible for the synthesis of the vitamin D hormonally active metabolite, calcitriol. Treatment with vitamin D(3) resulted in calcitriol production and induction of calcitriol target gene CYP24A1, indicating that these cells contain the full machinery for vitamin D metabolism and activity. Notably, treatment with calcitriol resulted in HCV inhibition. Collectively, these findings suggest that vitamin D(3) has an antiviral activity which is mediated by its active metabolite. This antiviral activity involves the induction of the interferon signaling pathway, resulting in expression of interferon-\u03b2 and the interferon-stimulated gene, MxA. Intriguingly, HCV infection increased calcitriol production by inhibiting CYP24A1 induction, the enzyme responsible for the first step in calcitriol catabolism. Importantly, the combination of vitamin D(3) or calcitriol and interferon-\u03b1 synergistically inhibited viral production. CONCLUSION: This study demonstrates for the first time a direct antiviral effect of vitamin D in an in vitro infectious virus production system. It proposes an interplay between the hepatic vitamin D endocrine system and HCV, suggesting that vitamin D has a role as a natural antiviral mediator. Importantly, our study implies that vitamin D might have an interferon-sparing effect, thus improving antiviral treatment of HCV-infected patients.", "author" : [ { "dropping-particle" : "", "family" : "Gal-Tanamy", "given" : "Meital", "non-dropping-particle" : "", "parse-names" : false, "suffix" : "" }, { "dropping-particle" : "", "family" : "Bachmetov", "given" : "Larisa", "non-dropping-particle" : "", "parse-names" : false, "suffix" : "" }, { "dropping-particle" : "", "family" : "Ravid", "given" : "Amiram", "non-dropping-particle" : "", "parse-names" : false, "suffix" : "" }, { "dropping-particle" : "", "family" : "Koren", "given" : "Ruth", "non-dropping-particle" : "", "parse-names" : false, "suffix" : "" }, { "dropping-particle" : "", "family" : "Erman", "given" : "Arie", "non-dropping-particle" : "", "parse-names" : false, "suffix" : "" }, { "dropping-particle" : "", "family" : "Tur-Kaspa", "given" : "Ran", "non-dropping-particle" : "", "parse-names" : false, "suffix" : "" }, { "dropping-particle" : "", "family" : "Zemel", "given" : "Romy", "non-dropping-particle" : "", "parse-names" : false, "suffix" : "" } ], "container-title" : "Hepatology (Baltimore, Md.)", "id" : "ITEM-2", "issue" : "5", "issued" : { "date-parts" : [ [ "2011", "11" ] ] }, "page" : "1570-9", "title" : "Vitamin D: an innate antiviral agent suppressing hepatitis C virus in human hepatocytes.", "type" : "article-journal", "volume" : "54" }, "uris" : [ "http://www.mendeley.com/documents/?uuid=83a1627f-a49e-4908-8913-85dc004c2403" ] } ], "mendeley" : { "formattedCitation" : "&lt;sup&gt;[28,29]&lt;/sup&gt;", "plainTextFormattedCitation" : "[28,29]", "previouslyFormattedCitation" : "&lt;sup&gt;[28,29]&lt;/sup&gt;" }, "properties" : { "noteIndex" : 0 }, "schema" : "https://github.com/citation-style-language/schema/raw/master/csl-citation.json" }</w:instrText>
      </w:r>
      <w:r w:rsidRPr="00CD1426">
        <w:rPr>
          <w:rFonts w:ascii="Book Antiqua" w:hAnsi="Book Antiqua" w:cs="Arial"/>
          <w:b w:val="0"/>
          <w:sz w:val="24"/>
          <w:szCs w:val="24"/>
          <w:shd w:val="clear" w:color="auto" w:fill="FFFFFF"/>
          <w:lang w:val="en-US"/>
        </w:rPr>
        <w:fldChar w:fldCharType="separate"/>
      </w:r>
      <w:r w:rsidR="001D4A08" w:rsidRPr="00CD1426">
        <w:rPr>
          <w:rFonts w:ascii="Book Antiqua" w:hAnsi="Book Antiqua" w:cs="Arial"/>
          <w:b w:val="0"/>
          <w:noProof/>
          <w:sz w:val="24"/>
          <w:szCs w:val="24"/>
          <w:shd w:val="clear" w:color="auto" w:fill="FFFFFF"/>
          <w:vertAlign w:val="superscript"/>
          <w:lang w:val="en-US"/>
        </w:rPr>
        <w:t>[28,29]</w:t>
      </w:r>
      <w:r w:rsidRPr="00CD1426">
        <w:rPr>
          <w:rFonts w:ascii="Book Antiqua" w:hAnsi="Book Antiqua" w:cs="Arial"/>
          <w:b w:val="0"/>
          <w:sz w:val="24"/>
          <w:szCs w:val="24"/>
          <w:shd w:val="clear" w:color="auto" w:fill="FFFFFF"/>
          <w:lang w:val="en-US"/>
        </w:rPr>
        <w:fldChar w:fldCharType="end"/>
      </w:r>
      <w:r w:rsidRPr="00CD1426">
        <w:rPr>
          <w:rFonts w:ascii="Book Antiqua" w:hAnsi="Book Antiqua" w:cs="Arial"/>
          <w:b w:val="0"/>
          <w:sz w:val="24"/>
          <w:szCs w:val="24"/>
          <w:shd w:val="clear" w:color="auto" w:fill="FFFFFF"/>
          <w:lang w:val="en-US"/>
        </w:rPr>
        <w:t>.</w:t>
      </w:r>
      <w:r w:rsidRPr="00CD1426">
        <w:rPr>
          <w:rFonts w:ascii="Book Antiqua" w:hAnsi="Book Antiqua" w:cs="Arial"/>
          <w:b w:val="0"/>
          <w:sz w:val="24"/>
          <w:szCs w:val="24"/>
          <w:lang w:val="en-US"/>
        </w:rPr>
        <w:t xml:space="preserve"> Nevertheless, a recent published </w:t>
      </w:r>
      <w:r w:rsidRPr="00CD1426">
        <w:rPr>
          <w:rStyle w:val="highlight"/>
          <w:rFonts w:ascii="Book Antiqua" w:hAnsi="Book Antiqua" w:cs="Arial"/>
          <w:b w:val="0"/>
          <w:sz w:val="24"/>
          <w:szCs w:val="24"/>
          <w:lang w:val="en-US"/>
        </w:rPr>
        <w:t>systematic review</w:t>
      </w:r>
      <w:r w:rsidRPr="00CD1426">
        <w:rPr>
          <w:rStyle w:val="apple-converted-space"/>
          <w:rFonts w:ascii="Book Antiqua" w:hAnsi="Book Antiqua" w:cs="Arial"/>
          <w:sz w:val="24"/>
          <w:szCs w:val="24"/>
          <w:lang w:val="en-US"/>
        </w:rPr>
        <w:t> </w:t>
      </w:r>
      <w:r w:rsidRPr="00CD1426">
        <w:rPr>
          <w:rFonts w:ascii="Book Antiqua" w:hAnsi="Book Antiqua" w:cs="Arial"/>
          <w:b w:val="0"/>
          <w:sz w:val="24"/>
          <w:szCs w:val="24"/>
          <w:lang w:val="en-US"/>
        </w:rPr>
        <w:t>and</w:t>
      </w:r>
      <w:r w:rsidRPr="00CD1426">
        <w:rPr>
          <w:rStyle w:val="apple-converted-space"/>
          <w:rFonts w:ascii="Book Antiqua" w:hAnsi="Book Antiqua" w:cs="Arial"/>
          <w:sz w:val="24"/>
          <w:szCs w:val="24"/>
          <w:lang w:val="en-US"/>
        </w:rPr>
        <w:t> </w:t>
      </w:r>
      <w:r w:rsidRPr="00CD1426">
        <w:rPr>
          <w:rStyle w:val="highlight"/>
          <w:rFonts w:ascii="Book Antiqua" w:hAnsi="Book Antiqua" w:cs="Arial"/>
          <w:b w:val="0"/>
          <w:sz w:val="24"/>
          <w:szCs w:val="24"/>
          <w:lang w:val="en-US"/>
        </w:rPr>
        <w:t>meta-analysis</w:t>
      </w:r>
      <w:r w:rsidR="007805C5" w:rsidRPr="00CD1426">
        <w:rPr>
          <w:rStyle w:val="highlight"/>
          <w:rFonts w:ascii="Book Antiqua" w:hAnsi="Book Antiqua" w:cs="Arial"/>
          <w:b w:val="0"/>
          <w:sz w:val="24"/>
          <w:szCs w:val="24"/>
          <w:lang w:val="en-US"/>
        </w:rPr>
        <w:t xml:space="preserve"> </w:t>
      </w:r>
      <w:r w:rsidR="00B33120" w:rsidRPr="00CD1426">
        <w:rPr>
          <w:rStyle w:val="highlight"/>
          <w:rFonts w:ascii="Book Antiqua" w:hAnsi="Book Antiqua" w:cs="Arial"/>
          <w:b w:val="0"/>
          <w:sz w:val="24"/>
          <w:szCs w:val="24"/>
          <w:lang w:val="en-US"/>
        </w:rPr>
        <w:t>did not confirm these findings</w:t>
      </w:r>
      <w:r w:rsidR="007805C5" w:rsidRPr="00CD1426">
        <w:rPr>
          <w:rStyle w:val="highlight"/>
          <w:rFonts w:ascii="Book Antiqua" w:hAnsi="Book Antiqua" w:cs="Arial"/>
          <w:b w:val="0"/>
          <w:sz w:val="24"/>
          <w:szCs w:val="24"/>
          <w:lang w:val="en-US"/>
        </w:rPr>
        <w:fldChar w:fldCharType="begin" w:fldLock="1"/>
      </w:r>
      <w:r w:rsidR="001D4A08" w:rsidRPr="00CD1426">
        <w:rPr>
          <w:rStyle w:val="highlight"/>
          <w:rFonts w:ascii="Book Antiqua" w:hAnsi="Book Antiqua" w:cs="Arial"/>
          <w:b w:val="0"/>
          <w:sz w:val="24"/>
          <w:szCs w:val="24"/>
          <w:lang w:val="en-US"/>
        </w:rPr>
        <w:instrText>ADDIN CSL_CITATION { "citationItems" : [ { "id" : "ITEM-1", "itemData" : { "DOI" : "10.1111/j.1478-3231.2010.02382.x", "ISSN" : "1478-3231", "PMID" : "21205136", "abstract" : "Current guidelines recommend that patients with genotype 2 (G2) and 3 (G3) chronic hepatitis C be treated with pegylated interferon (PEG-IFN) plus low doses of ribavirin (800 mg/day) for 24 weeks, resulting in a sustained virological response (SVR) rate of approximately 80%. Considering these high response rates, several recent randomized trials have assessed whether shorter treatment (12-16 weeks) could be cost-effective in these patients. The results of these studies vary but suggest better responsiveness in G2 patients, and overall, do not strongly support reducing treatment to &lt;24 weeks in all patients. On the other hand, the presence of a rapid virological response (RVR) (defined as an undetectable hepatitis C virus-RNA at 4 weeks of treatment) was always reported to be the best positive predictor of achieving SVR in both G2 and G3 patients. These results suggest that in a subgroup of subjects with RVR (G2&gt;G3, viral load &lt;400,000 IU, low fibrosis, no metabolic cofactors), shorter treatment is as effective as standard regimens, and that it can be proposed mainly if problems of poor tolerance or adherence are foreseen. It is possible that the SVR rate in non-RVR patients and non-responder patients could also be improved by prolonging therapy, but this must be specifically investigated in other studies along with the role of IL28B polymorphisms.", "author" : [ { "dropping-particle" : "", "family" : "Petta", "given" : "Salvatore", "non-dropping-particle" : "", "parse-names" : false, "suffix" : "" }, { "dropping-particle" : "", "family" : "Crax\u00ec", "given" : "Antonio", "non-dropping-particle" : "", "parse-names" : false, "suffix" : "" } ], "container-title" : "Liver international : official journal of the International Association for the Study of the Liver", "id" : "ITEM-1", "issued" : { "date-parts" : [ [ "2011", "1" ] ] }, "page" : "36-44", "title" : "Optimal therapy in hepatitis C virus genotypes 2 and 3 patients.", "type" : "article-journal", "volume" : "31 Suppl 1" }, "uris" : [ "http://www.mendeley.com/documents/?uuid=282c85f1-11a4-43f6-80a9-98e42c7e03ba" ] } ], "mendeley" : { "formattedCitation" : "&lt;sup&gt;[30]&lt;/sup&gt;", "plainTextFormattedCitation" : "[30]", "previouslyFormattedCitation" : "&lt;sup&gt;[30]&lt;/sup&gt;" }, "properties" : { "noteIndex" : 0 }, "schema" : "https://github.com/citation-style-language/schema/raw/master/csl-citation.json" }</w:instrText>
      </w:r>
      <w:r w:rsidR="007805C5" w:rsidRPr="00CD1426">
        <w:rPr>
          <w:rStyle w:val="highlight"/>
          <w:rFonts w:ascii="Book Antiqua" w:hAnsi="Book Antiqua" w:cs="Arial"/>
          <w:b w:val="0"/>
          <w:sz w:val="24"/>
          <w:szCs w:val="24"/>
          <w:lang w:val="en-US"/>
        </w:rPr>
        <w:fldChar w:fldCharType="separate"/>
      </w:r>
      <w:r w:rsidR="001D4A08" w:rsidRPr="00CD1426">
        <w:rPr>
          <w:rStyle w:val="highlight"/>
          <w:rFonts w:ascii="Book Antiqua" w:hAnsi="Book Antiqua" w:cs="Arial"/>
          <w:b w:val="0"/>
          <w:noProof/>
          <w:sz w:val="24"/>
          <w:szCs w:val="24"/>
          <w:vertAlign w:val="superscript"/>
          <w:lang w:val="en-US"/>
        </w:rPr>
        <w:t>[30]</w:t>
      </w:r>
      <w:r w:rsidR="007805C5" w:rsidRPr="00CD1426">
        <w:rPr>
          <w:rStyle w:val="highlight"/>
          <w:rFonts w:ascii="Book Antiqua" w:hAnsi="Book Antiqua" w:cs="Arial"/>
          <w:b w:val="0"/>
          <w:sz w:val="24"/>
          <w:szCs w:val="24"/>
          <w:lang w:val="en-US"/>
        </w:rPr>
        <w:fldChar w:fldCharType="end"/>
      </w:r>
      <w:r w:rsidR="00B33120" w:rsidRPr="00CD1426">
        <w:rPr>
          <w:rStyle w:val="highlight"/>
          <w:rFonts w:ascii="Book Antiqua" w:hAnsi="Book Antiqua" w:cs="Arial"/>
          <w:b w:val="0"/>
          <w:sz w:val="24"/>
          <w:szCs w:val="24"/>
          <w:lang w:val="en-US" w:eastAsia="zh-CN"/>
        </w:rPr>
        <w:t>.</w:t>
      </w:r>
      <w:r w:rsidRPr="00CD1426">
        <w:rPr>
          <w:rStyle w:val="highlight"/>
          <w:rFonts w:ascii="Book Antiqua" w:hAnsi="Book Antiqua" w:cs="Arial"/>
          <w:b w:val="0"/>
          <w:sz w:val="24"/>
          <w:szCs w:val="24"/>
          <w:lang w:val="en-US"/>
        </w:rPr>
        <w:t xml:space="preserve"> The authors found </w:t>
      </w:r>
      <w:r w:rsidRPr="00CD1426">
        <w:rPr>
          <w:rFonts w:ascii="Book Antiqua" w:hAnsi="Book Antiqua" w:cs="Arial"/>
          <w:b w:val="0"/>
          <w:sz w:val="24"/>
          <w:szCs w:val="24"/>
          <w:lang w:val="en-US"/>
        </w:rPr>
        <w:t xml:space="preserve">no significant association between the baseline mean 25(OH) D level and SVR (OR </w:t>
      </w:r>
      <w:r w:rsidR="00B33120" w:rsidRPr="00CD1426">
        <w:rPr>
          <w:rFonts w:ascii="Book Antiqua" w:hAnsi="Book Antiqua" w:cs="Arial"/>
          <w:b w:val="0"/>
          <w:sz w:val="24"/>
          <w:szCs w:val="24"/>
          <w:lang w:val="en-US" w:eastAsia="zh-CN"/>
        </w:rPr>
        <w:t xml:space="preserve">= </w:t>
      </w:r>
      <w:r w:rsidRPr="00CD1426">
        <w:rPr>
          <w:rFonts w:ascii="Book Antiqua" w:hAnsi="Book Antiqua" w:cs="Arial"/>
          <w:b w:val="0"/>
          <w:sz w:val="24"/>
          <w:szCs w:val="24"/>
          <w:lang w:val="en-US"/>
        </w:rPr>
        <w:t xml:space="preserve">1.44; </w:t>
      </w:r>
      <w:r w:rsidRPr="00CD1426">
        <w:rPr>
          <w:rFonts w:ascii="Book Antiqua" w:hAnsi="Book Antiqua" w:cs="Arial"/>
          <w:b w:val="0"/>
          <w:i/>
          <w:sz w:val="24"/>
          <w:szCs w:val="24"/>
          <w:lang w:val="en-US"/>
        </w:rPr>
        <w:t>P</w:t>
      </w:r>
      <w:r w:rsidR="00B33120" w:rsidRPr="00CD1426">
        <w:rPr>
          <w:rFonts w:ascii="Book Antiqua" w:hAnsi="Book Antiqua" w:cs="Arial"/>
          <w:b w:val="0"/>
          <w:sz w:val="24"/>
          <w:szCs w:val="24"/>
          <w:lang w:val="en-US" w:eastAsia="zh-CN"/>
        </w:rPr>
        <w:t xml:space="preserve"> </w:t>
      </w:r>
      <w:r w:rsidRPr="00CD1426">
        <w:rPr>
          <w:rFonts w:ascii="Book Antiqua" w:hAnsi="Book Antiqua" w:cs="Arial"/>
          <w:b w:val="0"/>
          <w:sz w:val="24"/>
          <w:szCs w:val="24"/>
          <w:lang w:val="en-US"/>
        </w:rPr>
        <w:t>=</w:t>
      </w:r>
      <w:r w:rsidR="00B33120" w:rsidRPr="00CD1426">
        <w:rPr>
          <w:rFonts w:ascii="Book Antiqua" w:hAnsi="Book Antiqua" w:cs="Arial"/>
          <w:b w:val="0"/>
          <w:sz w:val="24"/>
          <w:szCs w:val="24"/>
          <w:lang w:val="en-US" w:eastAsia="zh-CN"/>
        </w:rPr>
        <w:t xml:space="preserve"> </w:t>
      </w:r>
      <w:r w:rsidRPr="00CD1426">
        <w:rPr>
          <w:rFonts w:ascii="Book Antiqua" w:hAnsi="Book Antiqua" w:cs="Arial"/>
          <w:b w:val="0"/>
          <w:sz w:val="24"/>
          <w:szCs w:val="24"/>
          <w:lang w:val="en-US"/>
        </w:rPr>
        <w:t>0.11), either in patients infected with HCV genotypes 1,</w:t>
      </w:r>
      <w:r w:rsidR="00C04C74">
        <w:rPr>
          <w:rFonts w:ascii="Book Antiqua" w:hAnsi="Book Antiqua" w:cs="Arial" w:hint="eastAsia"/>
          <w:b w:val="0"/>
          <w:sz w:val="24"/>
          <w:szCs w:val="24"/>
          <w:lang w:val="en-US" w:eastAsia="zh-CN"/>
        </w:rPr>
        <w:t xml:space="preserve"> </w:t>
      </w:r>
      <w:r w:rsidRPr="00CD1426">
        <w:rPr>
          <w:rFonts w:ascii="Book Antiqua" w:hAnsi="Book Antiqua" w:cs="Arial"/>
          <w:b w:val="0"/>
          <w:sz w:val="24"/>
          <w:szCs w:val="24"/>
          <w:lang w:val="en-US"/>
        </w:rPr>
        <w:t>4,</w:t>
      </w:r>
      <w:r w:rsidR="00C04C74">
        <w:rPr>
          <w:rFonts w:ascii="Book Antiqua" w:hAnsi="Book Antiqua" w:cs="Arial" w:hint="eastAsia"/>
          <w:b w:val="0"/>
          <w:sz w:val="24"/>
          <w:szCs w:val="24"/>
          <w:lang w:val="en-US" w:eastAsia="zh-CN"/>
        </w:rPr>
        <w:t xml:space="preserve"> </w:t>
      </w:r>
      <w:r w:rsidRPr="00CD1426">
        <w:rPr>
          <w:rFonts w:ascii="Book Antiqua" w:hAnsi="Book Antiqua" w:cs="Arial"/>
          <w:b w:val="0"/>
          <w:sz w:val="24"/>
          <w:szCs w:val="24"/>
          <w:lang w:val="en-US"/>
        </w:rPr>
        <w:t>5 (</w:t>
      </w:r>
      <w:r w:rsidR="00B33120" w:rsidRPr="00CD1426">
        <w:rPr>
          <w:rFonts w:ascii="Book Antiqua" w:hAnsi="Book Antiqua" w:cs="Arial"/>
          <w:b w:val="0"/>
          <w:sz w:val="24"/>
          <w:szCs w:val="24"/>
          <w:lang w:val="en-US"/>
        </w:rPr>
        <w:t xml:space="preserve">OR </w:t>
      </w:r>
      <w:r w:rsidR="00B33120" w:rsidRPr="00CD1426">
        <w:rPr>
          <w:rFonts w:ascii="Book Antiqua" w:hAnsi="Book Antiqua" w:cs="Arial"/>
          <w:b w:val="0"/>
          <w:sz w:val="24"/>
          <w:szCs w:val="24"/>
          <w:lang w:val="en-US" w:eastAsia="zh-CN"/>
        </w:rPr>
        <w:t xml:space="preserve">= </w:t>
      </w:r>
      <w:r w:rsidRPr="00CD1426">
        <w:rPr>
          <w:rFonts w:ascii="Book Antiqua" w:hAnsi="Book Antiqua" w:cs="Arial"/>
          <w:b w:val="0"/>
          <w:sz w:val="24"/>
          <w:szCs w:val="24"/>
          <w:lang w:val="en-US"/>
        </w:rPr>
        <w:t xml:space="preserve">1.48; </w:t>
      </w:r>
      <w:r w:rsidR="00B33120" w:rsidRPr="00CD1426">
        <w:rPr>
          <w:rFonts w:ascii="Book Antiqua" w:hAnsi="Book Antiqua" w:cs="Arial"/>
          <w:b w:val="0"/>
          <w:i/>
          <w:sz w:val="24"/>
          <w:szCs w:val="24"/>
          <w:lang w:val="en-US"/>
        </w:rPr>
        <w:t>P</w:t>
      </w:r>
      <w:r w:rsidR="00B33120" w:rsidRPr="00CD1426">
        <w:rPr>
          <w:rFonts w:ascii="Book Antiqua" w:hAnsi="Book Antiqua" w:cs="Arial"/>
          <w:b w:val="0"/>
          <w:sz w:val="24"/>
          <w:szCs w:val="24"/>
          <w:lang w:val="en-US" w:eastAsia="zh-CN"/>
        </w:rPr>
        <w:t xml:space="preserve"> </w:t>
      </w:r>
      <w:r w:rsidR="00B33120" w:rsidRPr="00CD1426">
        <w:rPr>
          <w:rFonts w:ascii="Book Antiqua" w:hAnsi="Book Antiqua" w:cs="Arial"/>
          <w:b w:val="0"/>
          <w:sz w:val="24"/>
          <w:szCs w:val="24"/>
          <w:lang w:val="en-US"/>
        </w:rPr>
        <w:t>=</w:t>
      </w:r>
      <w:r w:rsidR="00B33120" w:rsidRPr="00CD1426">
        <w:rPr>
          <w:rFonts w:ascii="Book Antiqua" w:hAnsi="Book Antiqua" w:cs="Arial"/>
          <w:b w:val="0"/>
          <w:sz w:val="24"/>
          <w:szCs w:val="24"/>
          <w:lang w:val="en-US" w:eastAsia="zh-CN"/>
        </w:rPr>
        <w:t xml:space="preserve"> </w:t>
      </w:r>
      <w:r w:rsidRPr="00CD1426">
        <w:rPr>
          <w:rFonts w:ascii="Book Antiqua" w:hAnsi="Book Antiqua" w:cs="Arial"/>
          <w:b w:val="0"/>
          <w:sz w:val="24"/>
          <w:szCs w:val="24"/>
          <w:lang w:val="en-US"/>
        </w:rPr>
        <w:t>0.09) or genotypes 2/3 (</w:t>
      </w:r>
      <w:r w:rsidR="00B33120" w:rsidRPr="00CD1426">
        <w:rPr>
          <w:rFonts w:ascii="Book Antiqua" w:hAnsi="Book Antiqua" w:cs="Arial"/>
          <w:b w:val="0"/>
          <w:sz w:val="24"/>
          <w:szCs w:val="24"/>
          <w:lang w:val="en-US"/>
        </w:rPr>
        <w:t xml:space="preserve">OR </w:t>
      </w:r>
      <w:r w:rsidR="00B33120" w:rsidRPr="00CD1426">
        <w:rPr>
          <w:rFonts w:ascii="Book Antiqua" w:hAnsi="Book Antiqua" w:cs="Arial"/>
          <w:b w:val="0"/>
          <w:sz w:val="24"/>
          <w:szCs w:val="24"/>
          <w:lang w:val="en-US" w:eastAsia="zh-CN"/>
        </w:rPr>
        <w:t xml:space="preserve">= </w:t>
      </w:r>
      <w:r w:rsidRPr="00CD1426">
        <w:rPr>
          <w:rFonts w:ascii="Book Antiqua" w:hAnsi="Book Antiqua" w:cs="Arial"/>
          <w:b w:val="0"/>
          <w:sz w:val="24"/>
          <w:szCs w:val="24"/>
          <w:lang w:val="en-US"/>
        </w:rPr>
        <w:t xml:space="preserve">1.51; </w:t>
      </w:r>
      <w:r w:rsidR="00B33120" w:rsidRPr="00CD1426">
        <w:rPr>
          <w:rFonts w:ascii="Book Antiqua" w:hAnsi="Book Antiqua" w:cs="Arial"/>
          <w:b w:val="0"/>
          <w:i/>
          <w:sz w:val="24"/>
          <w:szCs w:val="24"/>
          <w:lang w:val="en-US"/>
        </w:rPr>
        <w:t>P</w:t>
      </w:r>
      <w:r w:rsidR="00B33120" w:rsidRPr="00CD1426">
        <w:rPr>
          <w:rFonts w:ascii="Book Antiqua" w:hAnsi="Book Antiqua" w:cs="Arial"/>
          <w:b w:val="0"/>
          <w:sz w:val="24"/>
          <w:szCs w:val="24"/>
          <w:lang w:val="en-US" w:eastAsia="zh-CN"/>
        </w:rPr>
        <w:t xml:space="preserve"> </w:t>
      </w:r>
      <w:r w:rsidR="00B33120" w:rsidRPr="00CD1426">
        <w:rPr>
          <w:rFonts w:ascii="Book Antiqua" w:hAnsi="Book Antiqua" w:cs="Arial"/>
          <w:b w:val="0"/>
          <w:sz w:val="24"/>
          <w:szCs w:val="24"/>
          <w:lang w:val="en-US"/>
        </w:rPr>
        <w:t>=</w:t>
      </w:r>
      <w:r w:rsidR="00B33120" w:rsidRPr="00CD1426">
        <w:rPr>
          <w:rFonts w:ascii="Book Antiqua" w:hAnsi="Book Antiqua" w:cs="Arial"/>
          <w:b w:val="0"/>
          <w:sz w:val="24"/>
          <w:szCs w:val="24"/>
          <w:lang w:val="en-US" w:eastAsia="zh-CN"/>
        </w:rPr>
        <w:t xml:space="preserve"> </w:t>
      </w:r>
      <w:r w:rsidRPr="00CD1426">
        <w:rPr>
          <w:rFonts w:ascii="Book Antiqua" w:hAnsi="Book Antiqua" w:cs="Arial"/>
          <w:b w:val="0"/>
          <w:sz w:val="24"/>
          <w:szCs w:val="24"/>
          <w:lang w:val="en-US"/>
        </w:rPr>
        <w:t>0.65).</w:t>
      </w:r>
    </w:p>
    <w:p w14:paraId="732DF9BC" w14:textId="77777777" w:rsidR="002B302F" w:rsidRPr="00CD1426" w:rsidRDefault="002B302F" w:rsidP="00CD1426">
      <w:pPr>
        <w:spacing w:line="360" w:lineRule="auto"/>
        <w:jc w:val="both"/>
        <w:rPr>
          <w:rFonts w:ascii="Book Antiqua" w:hAnsi="Book Antiqua" w:cs="Arial"/>
          <w:b/>
          <w:lang w:val="en-US" w:eastAsia="en-US"/>
        </w:rPr>
      </w:pPr>
    </w:p>
    <w:p w14:paraId="45D299B5" w14:textId="77777777" w:rsidR="002B302F" w:rsidRPr="00CD1426" w:rsidRDefault="002B302F" w:rsidP="00CD1426">
      <w:pPr>
        <w:tabs>
          <w:tab w:val="right" w:pos="540"/>
          <w:tab w:val="left" w:pos="720"/>
        </w:tabs>
        <w:spacing w:line="360" w:lineRule="auto"/>
        <w:jc w:val="both"/>
        <w:rPr>
          <w:rFonts w:ascii="Book Antiqua" w:hAnsi="Book Antiqua" w:cs="Arial"/>
          <w:b/>
          <w:i/>
          <w:lang w:val="en-US"/>
        </w:rPr>
      </w:pPr>
      <w:r w:rsidRPr="00CD1426">
        <w:rPr>
          <w:rFonts w:ascii="Book Antiqua" w:hAnsi="Book Antiqua" w:cs="Arial"/>
          <w:b/>
          <w:i/>
          <w:lang w:val="en-US"/>
        </w:rPr>
        <w:t>Statin use</w:t>
      </w:r>
    </w:p>
    <w:p w14:paraId="3B5F8AB3" w14:textId="35C60F45" w:rsidR="002B302F" w:rsidRPr="00CD1426" w:rsidRDefault="002B302F" w:rsidP="00CD1426">
      <w:pPr>
        <w:tabs>
          <w:tab w:val="right" w:pos="540"/>
          <w:tab w:val="left" w:pos="720"/>
        </w:tabs>
        <w:spacing w:line="360" w:lineRule="auto"/>
        <w:jc w:val="both"/>
        <w:rPr>
          <w:rFonts w:ascii="Book Antiqua" w:hAnsi="Book Antiqua" w:cs="Arial"/>
          <w:bCs/>
          <w:shd w:val="clear" w:color="auto" w:fill="FFFFFF"/>
          <w:lang w:val="en-US"/>
        </w:rPr>
      </w:pPr>
      <w:r w:rsidRPr="00CD1426">
        <w:rPr>
          <w:rFonts w:ascii="Book Antiqua" w:hAnsi="Book Antiqua" w:cs="Arial"/>
          <w:lang w:val="en-US"/>
        </w:rPr>
        <w:t xml:space="preserve">The role of metabolic factors as well overweight and visceral obesity, hepatic </w:t>
      </w:r>
      <w:proofErr w:type="spellStart"/>
      <w:r w:rsidRPr="00CD1426">
        <w:rPr>
          <w:rFonts w:ascii="Book Antiqua" w:hAnsi="Book Antiqua" w:cs="Arial"/>
          <w:lang w:val="en-US"/>
        </w:rPr>
        <w:t>steatosis</w:t>
      </w:r>
      <w:proofErr w:type="spellEnd"/>
      <w:r w:rsidRPr="00CD1426">
        <w:rPr>
          <w:rFonts w:ascii="Book Antiqua" w:hAnsi="Book Antiqua" w:cs="Arial"/>
          <w:lang w:val="en-US"/>
        </w:rPr>
        <w:t>, insulin resistance and diabetes, in the response to antiviral therapy has been stu</w:t>
      </w:r>
      <w:r w:rsidR="00B33120" w:rsidRPr="00CD1426">
        <w:rPr>
          <w:rFonts w:ascii="Book Antiqua" w:hAnsi="Book Antiqua" w:cs="Arial"/>
          <w:lang w:val="en-US"/>
        </w:rPr>
        <w:t>died widely in the last decade</w:t>
      </w:r>
      <w:r w:rsidRPr="00CD1426">
        <w:rPr>
          <w:rFonts w:ascii="Book Antiqua" w:hAnsi="Book Antiqua" w:cs="Arial"/>
          <w:lang w:val="en-US"/>
        </w:rPr>
        <w:fldChar w:fldCharType="begin" w:fldLock="1"/>
      </w:r>
      <w:r w:rsidR="001D4A08" w:rsidRPr="00CD1426">
        <w:rPr>
          <w:rFonts w:ascii="Book Antiqua" w:hAnsi="Book Antiqua" w:cs="Arial"/>
          <w:bCs/>
          <w:lang w:val="en-US"/>
        </w:rPr>
        <w:instrText>ADDIN CSL_CITATION { "citationItems" : [ { "id" : "ITEM-1", "itemData" : { "DOI" : "10.1111/j.1478-3231.2010.02382.x", "ISSN" : "1478-3231", "PMID" : "21205136", "abstract" : "Current guidelines recommend that patients with genotype 2 (G2) and 3 (G3) chronic hepatitis C be treated with pegylated interferon (PEG-IFN) plus low doses of ribavirin (800 mg/day) for 24 weeks, resulting in a sustained virological response (SVR) rate of approximately 80%. Considering these high response rates, several recent randomized trials have assessed whether shorter treatment (12-16 weeks) could be cost-effective in these patients. The results of these studies vary but suggest better responsiveness in G2 patients, and overall, do not strongly support reducing treatment to &lt;24 weeks in all patients. On the other hand, the presence of a rapid virological response (RVR) (defined as an undetectable hepatitis C virus-RNA at 4 weeks of treatment) was always reported to be the best positive predictor of achieving SVR in both G2 and G3 patients. These results suggest that in a subgroup of subjects with RVR (G2&gt;G3, viral load &lt;400,000 IU, low fibrosis, no metabolic cofactors), shorter treatment is as effective as standard regimens, and that it can be proposed mainly if problems of poor tolerance or adherence are foreseen. It is possible that the SVR rate in non-RVR patients and non-responder patients could also be improved by prolonging therapy, but this must be specifically investigated in other studies along with the role of IL28B polymorphisms.", "author" : [ { "dropping-particle" : "", "family" : "Petta", "given" : "Salvatore", "non-dropping-particle" : "", "parse-names" : false, "suffix" : "" }, { "dropping-particle" : "", "family" : "Crax\u00ec", "given" : "Antonio", "non-dropping-particle" : "", "parse-names" : false, "suffix" : "" } ], "container-title" : "Liver international : official journal of the International Association for the Study of the Liver", "id" : "ITEM-1", "issued" : { "date-parts" : [ [ "2011", "1" ] ] }, "page" : "36-44", "title" : "Optimal therapy in hepatitis C virus genotypes 2 and 3 patients.", "type" : "article-journal", "volume" : "31 Suppl 1" }, "uris" : [ "http://www.mendeley.com/documents/?uuid=282c85f1-11a4-43f6-80a9-98e42c7e03ba" ] } ], "mendeley" : { "formattedCitation" : "&lt;sup&gt;[30]&lt;/sup&gt;", "plainTextFormattedCitation" : "[30]", "previouslyFormattedCitation" : "&lt;sup&gt;[30]&lt;/sup&gt;" }, "properties" : { "noteIndex" : 0 }, "schema" : "https://github.com/citation-style-language/schema/raw/master/csl-citation.json" }</w:instrText>
      </w:r>
      <w:r w:rsidRPr="00CD1426">
        <w:rPr>
          <w:rFonts w:ascii="Book Antiqua" w:hAnsi="Book Antiqua" w:cs="Arial"/>
          <w:bCs/>
          <w:lang w:val="en-US"/>
        </w:rPr>
        <w:fldChar w:fldCharType="separate"/>
      </w:r>
      <w:r w:rsidR="001D4A08" w:rsidRPr="00CD1426">
        <w:rPr>
          <w:rFonts w:ascii="Book Antiqua" w:hAnsi="Book Antiqua" w:cs="Arial"/>
          <w:bCs/>
          <w:noProof/>
          <w:vertAlign w:val="superscript"/>
          <w:lang w:val="en-US"/>
        </w:rPr>
        <w:t>[30]</w:t>
      </w:r>
      <w:r w:rsidRPr="00CD1426">
        <w:rPr>
          <w:rFonts w:ascii="Book Antiqua" w:hAnsi="Book Antiqua" w:cs="Arial"/>
          <w:bCs/>
          <w:lang w:val="en-US"/>
        </w:rPr>
        <w:fldChar w:fldCharType="end"/>
      </w:r>
      <w:r w:rsidR="00B33120" w:rsidRPr="00CD1426">
        <w:rPr>
          <w:rFonts w:ascii="Book Antiqua" w:hAnsi="Book Antiqua" w:cs="Arial"/>
          <w:bCs/>
          <w:lang w:val="en-US" w:eastAsia="zh-CN"/>
        </w:rPr>
        <w:t>.</w:t>
      </w:r>
      <w:r w:rsidR="007805C5" w:rsidRPr="00CD1426">
        <w:rPr>
          <w:rFonts w:ascii="Book Antiqua" w:hAnsi="Book Antiqua" w:cs="Arial"/>
          <w:bCs/>
          <w:lang w:val="en-US"/>
        </w:rPr>
        <w:t xml:space="preserve">  </w:t>
      </w:r>
      <w:r w:rsidRPr="00CD1426">
        <w:rPr>
          <w:rFonts w:ascii="Book Antiqua" w:hAnsi="Book Antiqua" w:cs="Arial"/>
          <w:bCs/>
          <w:lang w:val="en-US"/>
        </w:rPr>
        <w:t>To assessing the role of statins on HCV response rate to treatment, several studies analyzed the</w:t>
      </w:r>
      <w:r w:rsidRPr="00CD1426">
        <w:rPr>
          <w:rFonts w:ascii="Book Antiqua" w:hAnsi="Book Antiqua" w:cs="Arial"/>
          <w:lang w:val="en-US"/>
        </w:rPr>
        <w:t xml:space="preserve"> </w:t>
      </w:r>
      <w:r w:rsidRPr="00CD1426">
        <w:rPr>
          <w:rFonts w:ascii="Book Antiqua" w:hAnsi="Book Antiqua" w:cs="Arial"/>
          <w:bCs/>
          <w:lang w:val="en-US"/>
        </w:rPr>
        <w:t xml:space="preserve">addition of </w:t>
      </w:r>
      <w:proofErr w:type="spellStart"/>
      <w:r w:rsidRPr="00CD1426">
        <w:rPr>
          <w:rFonts w:ascii="Book Antiqua" w:hAnsi="Book Antiqua" w:cs="Arial"/>
          <w:bCs/>
          <w:lang w:val="en-US"/>
        </w:rPr>
        <w:t>fluvastatin</w:t>
      </w:r>
      <w:proofErr w:type="spellEnd"/>
      <w:r w:rsidRPr="00CD1426">
        <w:rPr>
          <w:rFonts w:ascii="Book Antiqua" w:hAnsi="Book Antiqua" w:cs="Arial"/>
          <w:bCs/>
          <w:lang w:val="en-US"/>
        </w:rPr>
        <w:t xml:space="preserve"> to the HCV treatment</w:t>
      </w:r>
      <w:r w:rsidR="00B33120" w:rsidRPr="00CD1426">
        <w:rPr>
          <w:rFonts w:ascii="Book Antiqua" w:hAnsi="Book Antiqua" w:cs="Arial"/>
          <w:bCs/>
          <w:lang w:val="en-US"/>
        </w:rPr>
        <w:t xml:space="preserve"> (peg-interferon and ribavirin)</w:t>
      </w:r>
      <w:r w:rsidRPr="00CD1426">
        <w:rPr>
          <w:rFonts w:ascii="Book Antiqua" w:hAnsi="Book Antiqua" w:cs="Arial"/>
          <w:bCs/>
          <w:lang w:val="en-US"/>
        </w:rPr>
        <w:fldChar w:fldCharType="begin" w:fldLock="1"/>
      </w:r>
      <w:r w:rsidR="001D4A08" w:rsidRPr="00CD1426">
        <w:rPr>
          <w:rFonts w:ascii="Book Antiqua" w:hAnsi="Book Antiqua" w:cs="Arial"/>
          <w:bCs/>
          <w:lang w:val="en-US"/>
        </w:rPr>
        <w:instrText>ADDIN CSL_CITATION { "citationItems" : [ { "id" : "ITEM-1", "itemData" : { "DOI" : "10.1016/j.antiviral.2013.04.009", "ISSN" : "1872-9096", "PMID" : "23603497", "abstract" : "The treatment of interferon alfa (IFN-\u03b1) and ribavirin for chronic hepatitis C virus (HCV) infection achieves limited sustained virological response (SVR). We conducted a systematic review and meta-analysis to explore the efficacy of adding statins to IFN-\u03b1 and ribavirin therapy for chronic hepatitis C. Studies with data pertinent to the effect of statins on chronic hepatitis C were reviewed, and randomized controlled trials (RCTs) evaluating the efficacy of the addition of statins to IFN-\u03b1 and ribavirin were included in meta-analysis. The primary outcome measure was SVR. Secondary outcome measures were rapid virological response (RVR) and early virological response (EVR). The literature was systematically searched through October 2012. After screening of the 1724 non-duplicated entries, 54 potentially relevant studies were fully reviewed. Of those, 18 studies were relevant and 5 RCTs met the inclusion criteria for meta-analysis. In comparison with IFN-\u03b1 and ribavirin therapy, the addition of statins significantly increased SVR (OR=2.02, 95% CI: 1.38-2.94), RVR (OR=3.51, 95% CI: 1.08-11.42) and EVR (OR=1.89, 95% CI: 1.20-2.98). The SVR increase remained significant for HCV genotype 1 (OR=2.11, 95% CI: 1.40-3.18). There were no significant increases in adverse events and withdrawals with the addition of statins. In conclusion, the addition of statins to IFN-\u03b1 and ribavirin improves SVR, RVR, and EVR without additional adverse events and thus may be considered as adjuvant to IFN-\u03b1 and ribavirin for chronic hepatitis C. Statins might also be used for HCV genotypes other than genotype 1, or in patients in whom the use of protease inhibitors is contraindicated or not indicated.", "author" : [ { "dropping-particle" : "", "family" : "Zhu", "given" : "Qianqian", "non-dropping-particle" : "", "parse-names" : false, "suffix" : "" }, { "dropping-particle" : "", "family" : "Li", "given" : "Na", "non-dropping-particle" : "", "parse-names" : false, "suffix" : "" }, { "dropping-particle" : "", "family" : "Han", "given" : "Qunying", "non-dropping-particle" : "", "parse-names" : false, "suffix" : "" }, { "dropping-particle" : "", "family" : "Zhang", "given" : "Pingping", "non-dropping-particle" : "", "parse-names" : false, "suffix" : "" }, { "dropping-particle" : "", "family" : "Yang", "given" : "Cuiling", "non-dropping-particle" : "", "parse-names" : false, "suffix" : "" }, { "dropping-particle" : "", "family" : "Zeng", "given" : "Xiaoyan", "non-dropping-particle" : "", "parse-names" : false, "suffix" : "" }, { "dropping-particle" : "", "family" : "Chen", "given" : "Yanping", "non-dropping-particle" : "", "parse-names" : false, "suffix" : "" }, { "dropping-particle" : "", "family" : "Lv", "given" : "Yi", "non-dropping-particle" : "", "parse-names" : false, "suffix" : "" }, { "dropping-particle" : "", "family" : "Liu", "given" : "Xi", "non-dropping-particle" : "", "parse-names" : false, "suffix" : "" }, { "dropping-particle" : "", "family" : "Liu", "given" : "Zhengwen", "non-dropping-particle" : "", "parse-names" : false, "suffix" : "" } ], "container-title" : "Antiviral research", "id" : "ITEM-1", "issue" : "3", "issued" : { "date-parts" : [ [ "2013", "6" ] ] }, "page" : "373-9", "title" : "Statin therapy improves response to interferon alfa and ribavirin in chronic hepatitis C: a systematic review and meta-analysis.", "type" : "article-journal", "volume" : "98" }, "uris" : [ "http://www.mendeley.com/documents/?uuid=7e97ba97-1234-45ce-9e88-9878723caf54" ] }, { "id" : "ITEM-2", "itemData" : { "ISSN" : "1110-0583", "PMID" : "23469629", "abstract" : "This study assessed the clinical outcome of fluvastatin in addition to the standard regimen used now for treatment of chronic HCV in Egypt. A total of 80 patients with chronic hepatitis C virus infection fulfilled clinical, laboratory and histo-pathological criteria were ready for interferon therapy. They were divided into two groups: GI (N = 40) received standard treatment for HCV (Pegylated interferon and Ribavirin) and GII (N = 40) received standard treatment plus Fluvastatin (80 mg/daily). Six months before and after treatment liver function tests and HCV-RNA were evaluated. The results showed that addition of Fluvastatin to the standard HCV treatment (Pegylated interferon and Ribavirin) significantly increased sustained virological response (SVR) from (55%-62.5%; P &lt; 0.01) and significantly decreased viral load in relapse patients (P &lt; 0.001). No significant differences and correlations were found between serum levels of LDL-cholesterol and viral load before and after treatment in both groups.", "author" : [ { "dropping-particle" : "", "family" : "Abd-Eldaem", "given" : "Ashraf A", "non-dropping-particle" : "", "parse-names" : false, "suffix" : "" }, { "dropping-particle" : "", "family" : "Azmy", "given" : "Mohammed K", "non-dropping-particle" : "", "parse-names" : false, "suffix" : "" }, { "dropping-particle" : "", "family" : "Ahmad", "given" : "Youssef K", "non-dropping-particle" : "", "parse-names" : false, "suffix" : "" }, { "dropping-particle" : "", "family" : "Badr", "given" : "Gamal A", "non-dropping-particle" : "", "parse-names" : false, "suffix" : "" }, { "dropping-particle" : "", "family" : "Houssein", "given" : "Mousa A", "non-dropping-particle" : "", "parse-names" : false, "suffix" : "" }, { "dropping-particle" : "", "family" : "El-Dahshan", "given" : "Tarek", "non-dropping-particle" : "", "parse-names" : false, "suffix" : "" } ], "container-title" : "Journal of the Egyptian Society of Parasitology", "id" : "ITEM-2", "issue" : "3", "issued" : { "date-parts" : [ [ "2012", "12" ] ] }, "page" : "535-40", "title" : "Role of statins in the treatment of chronic hepatitis C virus infection.", "type" : "article-journal", "volume" : "42" }, "uris" : [ "http://www.mendeley.com/documents/?uuid=783790d2-01e0-4123-9ab1-3fc7ad5ee8f2" ] } ], "mendeley" : { "formattedCitation" : "&lt;sup&gt;[31,32]&lt;/sup&gt;", "plainTextFormattedCitation" : "[31,32]", "previouslyFormattedCitation" : "&lt;sup&gt;[31,32]&lt;/sup&gt;" }, "properties" : { "noteIndex" : 0 }, "schema" : "https://github.com/citation-style-language/schema/raw/master/csl-citation.json" }</w:instrText>
      </w:r>
      <w:r w:rsidRPr="00CD1426">
        <w:rPr>
          <w:rFonts w:ascii="Book Antiqua" w:hAnsi="Book Antiqua" w:cs="Arial"/>
          <w:bCs/>
          <w:lang w:val="en-US"/>
        </w:rPr>
        <w:fldChar w:fldCharType="separate"/>
      </w:r>
      <w:r w:rsidR="001D4A08" w:rsidRPr="00CD1426">
        <w:rPr>
          <w:rFonts w:ascii="Book Antiqua" w:hAnsi="Book Antiqua" w:cs="Arial"/>
          <w:bCs/>
          <w:noProof/>
          <w:vertAlign w:val="superscript"/>
          <w:lang w:val="en-US"/>
        </w:rPr>
        <w:t>[31,32]</w:t>
      </w:r>
      <w:r w:rsidRPr="00CD1426">
        <w:rPr>
          <w:rFonts w:ascii="Book Antiqua" w:hAnsi="Book Antiqua" w:cs="Arial"/>
          <w:bCs/>
          <w:lang w:val="en-US"/>
        </w:rPr>
        <w:fldChar w:fldCharType="end"/>
      </w:r>
      <w:r w:rsidR="00B33120" w:rsidRPr="00CD1426">
        <w:rPr>
          <w:rFonts w:ascii="Book Antiqua" w:hAnsi="Book Antiqua" w:cs="Arial"/>
          <w:bCs/>
          <w:lang w:val="en-US" w:eastAsia="zh-CN"/>
        </w:rPr>
        <w:t>.</w:t>
      </w:r>
      <w:r w:rsidRPr="00CD1426">
        <w:rPr>
          <w:rFonts w:ascii="Book Antiqua" w:hAnsi="Book Antiqua" w:cs="Arial"/>
          <w:lang w:val="en-US"/>
        </w:rPr>
        <w:t xml:space="preserve"> The use of statins significantly improved SVR (OR</w:t>
      </w:r>
      <w:r w:rsidR="00B33120" w:rsidRPr="00CD1426">
        <w:rPr>
          <w:rFonts w:ascii="Book Antiqua" w:hAnsi="Book Antiqua" w:cs="Arial"/>
          <w:lang w:val="en-US" w:eastAsia="zh-CN"/>
        </w:rPr>
        <w:t xml:space="preserve"> </w:t>
      </w:r>
      <w:r w:rsidR="00B33120" w:rsidRPr="00CD1426">
        <w:rPr>
          <w:rFonts w:ascii="Book Antiqua" w:hAnsi="Book Antiqua" w:cs="Arial"/>
          <w:lang w:val="en-US"/>
        </w:rPr>
        <w:t>=2.02, 95%</w:t>
      </w:r>
      <w:r w:rsidRPr="00CD1426">
        <w:rPr>
          <w:rFonts w:ascii="Book Antiqua" w:hAnsi="Book Antiqua" w:cs="Arial"/>
          <w:lang w:val="en-US"/>
        </w:rPr>
        <w:t>CI: 1.38-2.94), RVR (OR</w:t>
      </w:r>
      <w:r w:rsidR="00B33120" w:rsidRPr="00CD1426">
        <w:rPr>
          <w:rFonts w:ascii="Book Antiqua" w:hAnsi="Book Antiqua" w:cs="Arial"/>
          <w:lang w:val="en-US" w:eastAsia="zh-CN"/>
        </w:rPr>
        <w:t xml:space="preserve"> </w:t>
      </w:r>
      <w:r w:rsidRPr="00CD1426">
        <w:rPr>
          <w:rFonts w:ascii="Book Antiqua" w:hAnsi="Book Antiqua" w:cs="Arial"/>
          <w:lang w:val="en-US"/>
        </w:rPr>
        <w:t>=</w:t>
      </w:r>
      <w:r w:rsidR="00B33120" w:rsidRPr="00CD1426">
        <w:rPr>
          <w:rFonts w:ascii="Book Antiqua" w:hAnsi="Book Antiqua" w:cs="Arial"/>
          <w:lang w:val="en-US" w:eastAsia="zh-CN"/>
        </w:rPr>
        <w:t xml:space="preserve"> </w:t>
      </w:r>
      <w:r w:rsidR="00B33120" w:rsidRPr="00CD1426">
        <w:rPr>
          <w:rFonts w:ascii="Book Antiqua" w:hAnsi="Book Antiqua" w:cs="Arial"/>
          <w:lang w:val="en-US"/>
        </w:rPr>
        <w:t>3.51, 95%</w:t>
      </w:r>
      <w:r w:rsidRPr="00CD1426">
        <w:rPr>
          <w:rFonts w:ascii="Book Antiqua" w:hAnsi="Book Antiqua" w:cs="Arial"/>
          <w:lang w:val="en-US"/>
        </w:rPr>
        <w:t>CI: 1.08-11.42) and EVR (OR</w:t>
      </w:r>
      <w:r w:rsidR="00B33120" w:rsidRPr="00CD1426">
        <w:rPr>
          <w:rFonts w:ascii="Book Antiqua" w:hAnsi="Book Antiqua" w:cs="Arial"/>
          <w:lang w:val="en-US" w:eastAsia="zh-CN"/>
        </w:rPr>
        <w:t xml:space="preserve"> </w:t>
      </w:r>
      <w:r w:rsidRPr="00CD1426">
        <w:rPr>
          <w:rFonts w:ascii="Book Antiqua" w:hAnsi="Book Antiqua" w:cs="Arial"/>
          <w:lang w:val="en-US"/>
        </w:rPr>
        <w:t>=</w:t>
      </w:r>
      <w:r w:rsidR="00B33120" w:rsidRPr="00CD1426">
        <w:rPr>
          <w:rFonts w:ascii="Book Antiqua" w:hAnsi="Book Antiqua" w:cs="Arial"/>
          <w:lang w:val="en-US" w:eastAsia="zh-CN"/>
        </w:rPr>
        <w:t xml:space="preserve"> </w:t>
      </w:r>
      <w:r w:rsidR="00B33120" w:rsidRPr="00CD1426">
        <w:rPr>
          <w:rFonts w:ascii="Book Antiqua" w:hAnsi="Book Antiqua" w:cs="Arial"/>
          <w:lang w:val="en-US"/>
        </w:rPr>
        <w:t>1.89, 95%</w:t>
      </w:r>
      <w:r w:rsidRPr="00CD1426">
        <w:rPr>
          <w:rFonts w:ascii="Book Antiqua" w:hAnsi="Book Antiqua" w:cs="Arial"/>
          <w:lang w:val="en-US"/>
        </w:rPr>
        <w:t>CI: 1.20-2.98). The SVR rate substantially improved for</w:t>
      </w:r>
      <w:r w:rsidR="00B33120" w:rsidRPr="00CD1426">
        <w:rPr>
          <w:rFonts w:ascii="Book Antiqua" w:hAnsi="Book Antiqua" w:cs="Arial"/>
          <w:lang w:val="en-US"/>
        </w:rPr>
        <w:t xml:space="preserve"> HCV genotype 1 (OR = 2.11; 95%CI: 1.40</w:t>
      </w:r>
      <w:r w:rsidR="00B33120" w:rsidRPr="00CD1426">
        <w:rPr>
          <w:rFonts w:ascii="Book Antiqua" w:hAnsi="Book Antiqua" w:cs="Arial"/>
          <w:lang w:val="en-US" w:eastAsia="zh-CN"/>
        </w:rPr>
        <w:t>-</w:t>
      </w:r>
      <w:r w:rsidRPr="00CD1426">
        <w:rPr>
          <w:rFonts w:ascii="Book Antiqua" w:hAnsi="Book Antiqua" w:cs="Arial"/>
          <w:lang w:val="en-US"/>
        </w:rPr>
        <w:t>3.18). There was not an important increase in adverse events reports and withdrawn with the adding of statins</w:t>
      </w:r>
      <w:r w:rsidRPr="00CD1426">
        <w:rPr>
          <w:rFonts w:ascii="Book Antiqua" w:hAnsi="Book Antiqua" w:cs="Arial"/>
          <w:bCs/>
          <w:lang w:val="en-US"/>
        </w:rPr>
        <w:t>.</w:t>
      </w:r>
    </w:p>
    <w:p w14:paraId="5B58B59D" w14:textId="77777777" w:rsidR="002B302F" w:rsidRPr="00CD1426" w:rsidRDefault="002B302F" w:rsidP="00CD1426">
      <w:pPr>
        <w:spacing w:line="360" w:lineRule="auto"/>
        <w:jc w:val="both"/>
        <w:rPr>
          <w:rFonts w:ascii="Book Antiqua" w:hAnsi="Book Antiqua" w:cs="Arial"/>
          <w:lang w:val="en-US"/>
        </w:rPr>
      </w:pPr>
    </w:p>
    <w:p w14:paraId="753C37E6" w14:textId="77777777" w:rsidR="002B302F" w:rsidRPr="00CD1426" w:rsidRDefault="002B302F" w:rsidP="00CD1426">
      <w:pPr>
        <w:spacing w:line="360" w:lineRule="auto"/>
        <w:jc w:val="both"/>
        <w:rPr>
          <w:rFonts w:ascii="Book Antiqua" w:hAnsi="Book Antiqua" w:cs="Arial"/>
          <w:b/>
          <w:i/>
          <w:lang w:val="en-US"/>
        </w:rPr>
      </w:pPr>
      <w:r w:rsidRPr="00CD1426">
        <w:rPr>
          <w:rFonts w:ascii="Book Antiqua" w:hAnsi="Book Antiqua" w:cs="Arial"/>
          <w:b/>
          <w:i/>
          <w:lang w:val="en-US"/>
        </w:rPr>
        <w:t>Gender</w:t>
      </w:r>
    </w:p>
    <w:p w14:paraId="22397A07" w14:textId="03542F5C" w:rsidR="002B302F" w:rsidRPr="00CD1426" w:rsidRDefault="002B302F" w:rsidP="00CD1426">
      <w:pPr>
        <w:spacing w:line="360" w:lineRule="auto"/>
        <w:jc w:val="both"/>
        <w:rPr>
          <w:rFonts w:ascii="Book Antiqua" w:hAnsi="Book Antiqua" w:cs="Arial"/>
          <w:lang w:val="en-US" w:eastAsia="en-US"/>
        </w:rPr>
      </w:pPr>
      <w:r w:rsidRPr="00CD1426">
        <w:rPr>
          <w:rFonts w:ascii="Book Antiqua" w:hAnsi="Book Antiqua" w:cs="Arial"/>
          <w:lang w:val="en-US"/>
        </w:rPr>
        <w:t>Females overall appear to have higher chances of achieving SVR. Nevertheless, several studies have suggested that in HCV genotype 1 infected women, menopause is related with an increased severity of liver fibrosis, and with a lower likelihood of response to therapy wi</w:t>
      </w:r>
      <w:r w:rsidR="00B33120" w:rsidRPr="00CD1426">
        <w:rPr>
          <w:rFonts w:ascii="Book Antiqua" w:hAnsi="Book Antiqua" w:cs="Arial"/>
          <w:lang w:val="en-US"/>
        </w:rPr>
        <w:t>th peg-interferon and ribavirin</w:t>
      </w:r>
      <w:r w:rsidRPr="00CD1426">
        <w:rPr>
          <w:rFonts w:ascii="Book Antiqua" w:hAnsi="Book Antiqua" w:cs="Arial"/>
          <w:lang w:val="en-US"/>
        </w:rPr>
        <w:fldChar w:fldCharType="begin" w:fldLock="1"/>
      </w:r>
      <w:r w:rsidR="001D4A08" w:rsidRPr="00CD1426">
        <w:rPr>
          <w:rFonts w:ascii="Book Antiqua" w:hAnsi="Book Antiqua" w:cs="Arial"/>
          <w:lang w:val="en-US"/>
        </w:rPr>
        <w:instrText>ADDIN CSL_CITATION { "citationItems" : [ { "id" : "ITEM-1", "itemData" : { "DOI" : "10.1111/jvh.12106", "ISSN" : "1365-2893", "PMID" : "24168258", "abstract" : "We assessed, in real-life practice, viral, demographic, genetic and metabolic factors influencing the sustained virologic response (SVR), with a gender-oriented analysis, in patients with chronic hepatitis C virus (HCV) treated with pegylated interferon and ribavirin. Six hundred and seventy na\u00efve patients were treated with dual therapy and evaluated by gender and HCV genotype. Associations between baseline variables and SVR were assessed by multivariate logistic regression analysis. Among 362 genotype 1 patients, SVR was achieved in 158 patients (44%), and SVR was independently associated with age less than 50 years (OR 2.12; 95% CI 1.09-4.30; P=0.039) and C/C genotype rs12979860 SNP (OR 2.83; 1.19-6.74; P=0.002) in 163 females, while absence of visceral obesity (OR 2.491; 1.131-5.487; P=0.023), HCV-RNA lower than 400,000 IU/mL (OR 2.66; 1.273-5.558; P=0.009) and C/C genotype rs12979860 SNP (OR 4.969; 2.401-10.283; P&lt;0.001) were independently associated with SVR in 199 males. Combining favourable baseline variables, the probability of obtaining SVR ranged from 27.6% to 84.2% in females, and from 14.3% to 85.7% in males. The rate of SVR was 81.1% in 175 genotype 2 patients, and 69% in 100 genotype 3 patients. Rapid virologic response was the only valid predictor of SVR regardless of other features. In conclusions, in the setting of HCV genotype 1, chronic hepatitis, combining rapid virologic response and predictive factors, which are different for females and males, allows clinicians to single out a group of patients whose likelihood of SVR exceeds 80%. For these patients, triple therapy with first-generation protease inhibitors may be unwarranted.", "author" : [ { "dropping-particle" : "", "family" : "Marco", "given" : "V", "non-dropping-particle" : "Di", "parse-names" : false, "suffix" : "" }, { "dropping-particle" : "", "family" : "Covolo", "given" : "L", "non-dropping-particle" : "", "parse-names" : false, "suffix" : "" }, { "dropping-particle" : "", "family" : "Calvaruso", "given" : "V", "non-dropping-particle" : "", "parse-names" : false, "suffix" : "" }, { "dropping-particle" : "", "family" : "Levrero", "given" : "M", "non-dropping-particle" : "", "parse-names" : false, "suffix" : "" }, { "dropping-particle" : "", "family" : "Puoti", "given" : "M", "non-dropping-particle" : "", "parse-names" : false, "suffix" : "" }, { "dropping-particle" : "", "family" : "Suter", "given" : "F", "non-dropping-particle" : "", "parse-names" : false, "suffix" : "" }, { "dropping-particle" : "", "family" : "Gaeta", "given" : "G B", "non-dropping-particle" : "", "parse-names" : false, "suffix" : "" }, { "dropping-particle" : "", "family" : "Ferrari", "given" : "C", "non-dropping-particle" : "", "parse-names" : false, "suffix" : "" }, { "dropping-particle" : "", "family" : "Raimondo", "given" : "G", "non-dropping-particle" : "", "parse-names" : false, "suffix" : "" }, { "dropping-particle" : "", "family" : "Fattovich", "given" : "G", "non-dropping-particle" : "", "parse-names" : false, "suffix" : "" }, { "dropping-particle" : "", "family" : "Santantonio", "given" : "T", "non-dropping-particle" : "", "parse-names" : false, "suffix" : "" }, { "dropping-particle" : "", "family" : "Alberti", "given" : "A", "non-dropping-particle" : "", "parse-names" : false, "suffix" : "" }, { "dropping-particle" : "", "family" : "Bruno", "given" : "R", "non-dropping-particle" : "", "parse-names" : false, "suffix" : "" }, { "dropping-particle" : "", "family" : "Mussini", "given" : "C", "non-dropping-particle" : "", "parse-names" : false, "suffix" : "" }, { "dropping-particle" : "", "family" : "Mondelli", "given" : "M", "non-dropping-particle" : "", "parse-names" : false, "suffix" : "" }, { "dropping-particle" : "", "family" : "Donato", "given" : "F", "non-dropping-particle" : "", "parse-names" : false, "suffix" : "" }, { "dropping-particle" : "", "family" : "Crax\u00ec", "given" : "A", "non-dropping-particle" : "", "parse-names" : false, "suffix" : "" } ], "container-title" : "Journal of viral hepatitis", "id" : "ITEM-1", "issue" : "11", "issued" : { "date-parts" : [ [ "2013", "11" ] ] }, "page" : "790-800", "title" : "Who is more likely to respond to dual treatment with pegylated-interferon and ribavirin for chronic hepatitis C? A gender-oriented analysis.", "type" : "article-journal", "volume" : "20" }, "uris" : [ "http://www.mendeley.com/documents/?uuid=6a5ac917-231b-4443-b520-17c4aa2be903" ] }, { "id" : "ITEM-2", "itemData" : { "DOI" : "10.1590/S0004-28032010000200009", "ISSN" : "0004-2803", "PMID" : "20721461", "abstract" : "CONTEXT: Due to its good correlation to glycemic clamp, HOMA-IR has been widely utilized as insulin resistance index in clinical and epidemiological studies involving non-alcoholic fatty liver disease carriers. However, values used for this parameter have shown large variability.\n\nOBJECTIVE: To identify the HOMA-IR cut value that best distinguishes non-diabetic non-alcoholic fatty liver disease patients from a control group.\n\nMETHODS: One hundred sixteen non-alcoholic fatty liver disease patients were studied, diagnosed by clinical, biochemical, and liver image or biopsy criteria, and 88 healthy individuals, without any liver disease and testing for oral glucose tolerance within normality. These groups did not differ in age and gender. All were submitted to oral glucose tolerance test and blood samples were collected for glucose and insulin measurements by immunofluorometric method. HOMA-IR was calculated according to the formula: fasting insulin (microU/L) x fasting glucose (nmol/L)/22.5.\n\nRESULTS: NAFLD patients showed higher insulin, glycemia, and HOMA-IR values than control group, even when excluding glucose intolerant and diabetes mellitus patients by their glycemic curves. HOMA-IR 75th percentile for control group was 1.78 and the best area under the curve index was obtained for HOMA-IR values of 2.0 [AUC= 0.840 (0.781-0.899 CI 95%), sensitivity (Se): 85%, specificity (Sp): 83%] while value 2.5 showed best specificity without important loss in sensitivity [AUC=0,831 (0.773-0.888) Se = 72%, Sp = 94%].\n\nCONCLUSION: HOMA-IR values above or equal to 2.0 or 2.5 show enhanced diagnostic value in distinguishing non-alcoholic fatty liver disease carriers from control group individuals.", "author" : [ { "dropping-particle" : "", "family" : "Salgado", "given" : "Ana L\u00facia Farias de Azevedo", "non-dropping-particle" : "", "parse-names" : false, "suffix" : "" }, { "dropping-particle" : "de", "family" : "Carvalho", "given" : "Luciana", "non-dropping-particle" : "", "parse-names" : false, "suffix" : "" }, { "dropping-particle" : "", "family" : "Oliveira", "given" : "Ana Claudia", "non-dropping-particle" : "", "parse-names" : false, "suffix" : "" }, { "dropping-particle" : "dos", "family" : "Santos", "given" : "Virg\u00ednia Nascimento", "non-dropping-particle" : "", "parse-names" : false, "suffix" : "" }, { "dropping-particle" : "", "family" : "Vieira", "given" : "Jose Gilberto", "non-dropping-particle" : "", "parse-names" : false, "suffix" : "" }, { "dropping-particle" : "", "family" : "Parise", "given" : "Edison Roberto", "non-dropping-particle" : "", "parse-names" : false, "suffix" : "" } ], "container-title" : "Arquivos de Gastroenterologia", "id" : "ITEM-2", "issue" : "2", "issued" : { "date-parts" : [ [ "2010", "6" ] ] }, "page" : "165-169", "publisher" : "IBEPEGE, CBCD e SBMD, FBG, SBH, SOBED", "title" : "Insulin resistance index (HOMA-IR) in the differentiation of patients with non-alcoholic fatty liver disease and healthy individuals", "type" : "article-journal", "volume" : "47" }, "uris" : [ "http://www.mendeley.com/documents/?uuid=fef23cfa-e880-492b-a8eb-7166044ee278" ] }, { "id" : "ITEM-3", "itemData" : { "DOI" : "10.1136/gut.2006.101931", "ISSN" : "0017-5749", "PMID" : "17005762", "abstract" : "BACKGROUND AND AIMS: The rates of fibrosis progression in chronic hepatitis C are significantly different between males and females. The antifibrogenic effect of oestrogen has been proposed, possibly via inhibition of stellate cells. The aim of this study was to evaluate the severity of chronic hepatitis C in women, in relation to the menopause, steatosis and hormone replacement therapy (HRT).\n\nMETHODS: From November 2003 to October 2004, women with chronic hepatitis C were enrolled prospectively. A questionnaire was completed prospectively and a blood sample was obtained on the day of biopsy. We identified characteristics associated with moderate/severe fibrosis using univariate and multivariate analysis.\n\nRESULTS: 251 women were included in the study. 122 women (52%) were menopausal and 65 were receiving HRT. 61 (24%) women with moderate/severe fibrosis (F2-F4, Metavir score) had a longer known duration of infection (&gt;15 years), a higher body mass index and presented with steatosis more frequently than 190 (76%) women with mild fibrosis (F0-F1). Women with F2-F4 were more often menopausal (67% v 47%). The probability of fibrosis F2-F4 was lower for menopausal women receiving HRT (p = 0.012). Steatosis was more frequent and more severe in menopausal women.\n\nCONCLUSIONS: Severity of fibrosis was associated with a longer duration of infection (&gt;15 years), a higher body mass index, advanced steatosis and the menopause. Menopausal women receiving HRT presented with a lower stage fibrosis. These results reinforce the hypothesis of a protective role of oestrogens in the progression of fibrosis. Steatosis may be implicated in the progression of fibrosis after the menopause.", "author" : [ { "dropping-particle" : "", "family" : "Codes", "given" : "Liana", "non-dropping-particle" : "", "parse-names" : false, "suffix" : "" }, { "dropping-particle" : "", "family" : "Asselah", "given" : "Tarik", "non-dropping-particle" : "", "parse-names" : false, "suffix" : "" }, { "dropping-particle" : "", "family" : "Cazals-Hatem", "given" : "Dominique", "non-dropping-particle" : "", "parse-names" : false, "suffix" : "" }, { "dropping-particle" : "", "family" : "Tubach", "given" : "Florence", "non-dropping-particle" : "", "parse-names" : false, "suffix" : "" }, { "dropping-particle" : "", "family" : "Vidaud", "given" : "Dominique", "non-dropping-particle" : "", "parse-names" : false, "suffix" : "" }, { "dropping-particle" : "", "family" : "Paran\u00e1", "given" : "Raymundo", "non-dropping-particle" : "", "parse-names" : false, "suffix" : "" }, { "dropping-particle" : "", "family" : "Bedossa", "given" : "Pierre", "non-dropping-particle" : "", "parse-names" : false, "suffix" : "" }, { "dropping-particle" : "", "family" : "Valla", "given" : "Dominique", "non-dropping-particle" : "", "parse-names" : false, "suffix" : "" }, { "dropping-particle" : "", "family" : "Marcellin", "given" : "Patrick", "non-dropping-particle" : "", "parse-names" : false, "suffix" : "" } ], "container-title" : "Gut", "id" : "ITEM-3", "issue" : "3", "issued" : { "date-parts" : [ [ "2007", "3" ] ] }, "page" : "390-5", "title" : "Liver fibrosis in women with chronic hepatitis C: evidence for the negative role of the menopause and steatosis and the potential benefit of hormone replacement therapy.", "type" : "article-journal", "volume" : "56" }, "uris" : [ "http://www.mendeley.com/documents/?uuid=9d4afae9-dd97-4360-9d8e-3d7d1f6f9991" ] }, { "id" : "ITEM-4", "itemData" : { "DOI" : "10.1053/j.gastro.2010.12.027", "ISSN" : "1528-0012", "PMID" : "21167831", "abstract" : "BACKGROUND &amp; AIMS: Chronic hepatitis C (CHC) and liver fibrosis progress more rapidly in men and menopausal women than in women of reproductive age. We investigated the associations among menopause, sustained virologic response (SVR), and liver damage in patients with CHC.\n\nMETHODS: We performed a prospective study of 1000 consecutive, treatment-na\u00efve patients 18 years of age and older with compensated liver disease from CHC. Liver biopsy samples were analyzed (for fibrosis, inflammation, and steatosis) before patients received standard antiviral therapy. From women (n = 442), we collected data on the presence, type, and timing of menopause; associated hormone and metabolic features; serum levels of interleukin-6; and hepatic tumor necrosis factor (TNF)-\u03b1.\n\nRESULTS: Postmenopausal women achieved SVRs less frequently than women of reproductive age (46.0% vs 67.5%; P &lt; .0001) but as frequently as men (51.1%; P = .283). By multivariate regression analysis, independent significant predictors for women to not achieve an SVR were early menopause (odds ratio [OR], 8.055; 95% confidence interval [CI], 1.834-25.350), levels of \u03b3-glutamyl transpeptidase (OR, 2.165; 95% CI, 1.364-3.436), infection with hepatitis C virus genotype 1 or 4 (OR, 3.861; 95% CI, 2.433-6.134), and cholesterol levels (OR, 0.985; 95% CI, 0.971-0.998). Early menopause was the only independent factor that predicted lack of an SVR among women with genotype 1 hepatitis C virus infection (OR, 3.933; 95% CI, 1.274-12.142). Baseline levels of liver inflammation, fibrosis, steatosis, serum interleukin-6 (P = .04), and hepatic TNF-\u03b1 (P = .007) were significantly higher among postmenopausal women than women of reproductive age.\n\nCONCLUSIONS: Among women with CHC, early menopause was associated with a low likelihood of SVR, probably because of inflammatory factors that change at menopause.", "author" : [ { "dropping-particle" : "", "family" : "Villa", "given" : "Erica", "non-dropping-particle" : "", "parse-names" : false, "suffix" : "" }, { "dropping-particle" : "", "family" : "Karampatou", "given" : "Aimilia", "non-dropping-particle" : "", "parse-names" : false, "suffix" : "" }, { "dropping-particle" : "", "family" : "Camm\u00e0", "given" : "Calogero", "non-dropping-particle" : "", "parse-names" : false, "suffix" : "" }, { "dropping-particle" : "", "family" : "Leo", "given" : "Alfredo", "non-dropping-particle" : "Di", "parse-names" : false, "suffix" : "" }, { "dropping-particle" : "", "family" : "Luongo", "given" : "Monica", "non-dropping-particle" : "", "parse-names" : false, "suffix" : "" }, { "dropping-particle" : "", "family" : "Ferrari", "given" : "Anna", "non-dropping-particle" : "", "parse-names" : false, "suffix" : "" }, { "dropping-particle" : "", "family" : "Petta", "given" : "Salvatore", "non-dropping-particle" : "", "parse-names" : false, "suffix" : "" }, { "dropping-particle" : "", "family" : "Losi", "given" : "Luisa", "non-dropping-particle" : "", "parse-names" : false, "suffix" : "" }, { "dropping-particle" : "", "family" : "Taliani", "given" : "Gloria", "non-dropping-particle" : "", "parse-names" : false, "suffix" : "" }, { "dropping-particle" : "", "family" : "Trande", "given" : "Paolo", "non-dropping-particle" : "", "parse-names" : false, "suffix" : "" }, { "dropping-particle" : "", "family" : "Lei", "given" : "Barbara", "non-dropping-particle" : "", "parse-names" : false, "suffix" : "" }, { "dropping-particle" : "", "family" : "Graziosi", "given" : "Amalia", "non-dropping-particle" : "", "parse-names" : false, "suffix" : "" }, { "dropping-particle" : "", "family" : "Bernabucci", "given" : "Veronica", "non-dropping-particle" : "", "parse-names" : false, "suffix" : "" }, { "dropping-particle" : "", "family" : "Critelli", "given" : "Rosina", "non-dropping-particle" : "", "parse-names" : false, "suffix" : "" }, { "dropping-particle" : "", "family" : "Pazienza", "given" : "Paola", "non-dropping-particle" : "", "parse-names" : false, "suffix" : "" }, { "dropping-particle" : "", "family" : "Rendina", "given" : "Maria", "non-dropping-particle" : "", "parse-names" : false, "suffix" : "" }, { "dropping-particle" : "", "family" : "Antonelli", "given" : "Alessandro", "non-dropping-particle" : "", "parse-names" : false, "suffix" : "" }, { "dropping-particle" : "", "family" : "Francavilla", "given" : "Antonio", "non-dropping-particle" : "", "parse-names" : false, "suffix" : "" } ], "container-title" : "Gastroenterology", "id" : "ITEM-4", "issue" : "3", "issued" : { "date-parts" : [ [ "2011", "3" ] ] }, "page" : "818-29", "title" : "Early menopause is associated with lack of response to antiviral therapy in women with chronic hepatitis C.", "type" : "article-journal", "volume" : "140" }, "uris" : [ "http://www.mendeley.com/documents/?uuid=b84e5741-dfc8-4c65-8465-2e4219b87414" ] } ], "mendeley" : { "formattedCitation" : "&lt;sup&gt;[33\u201336]&lt;/sup&gt;", "plainTextFormattedCitation" : "[33\u201336]", "previouslyFormattedCitation" : "&lt;sup&gt;[33\u201336]&lt;/sup&gt;" }, "properties" : { "noteIndex" : 0 }, "schema" : "https://github.com/citation-style-language/schema/raw/master/csl-citation.json" }</w:instrText>
      </w:r>
      <w:r w:rsidRPr="00CD1426">
        <w:rPr>
          <w:rFonts w:ascii="Book Antiqua" w:hAnsi="Book Antiqua" w:cs="Arial"/>
          <w:lang w:val="en-US"/>
        </w:rPr>
        <w:fldChar w:fldCharType="separate"/>
      </w:r>
      <w:r w:rsidR="001D4A08" w:rsidRPr="00CD1426">
        <w:rPr>
          <w:rFonts w:ascii="Book Antiqua" w:hAnsi="Book Antiqua" w:cs="Arial"/>
          <w:noProof/>
          <w:vertAlign w:val="superscript"/>
          <w:lang w:val="en-US"/>
        </w:rPr>
        <w:t>[33–36]</w:t>
      </w:r>
      <w:r w:rsidRPr="00CD1426">
        <w:rPr>
          <w:rFonts w:ascii="Book Antiqua" w:hAnsi="Book Antiqua" w:cs="Arial"/>
          <w:lang w:val="en-US"/>
        </w:rPr>
        <w:fldChar w:fldCharType="end"/>
      </w:r>
      <w:r w:rsidRPr="00CD1426">
        <w:rPr>
          <w:rFonts w:ascii="Book Antiqua" w:hAnsi="Book Antiqua" w:cs="Arial"/>
          <w:lang w:val="en-US"/>
        </w:rPr>
        <w:t>.</w:t>
      </w:r>
    </w:p>
    <w:p w14:paraId="120B219B" w14:textId="2778330E" w:rsidR="002B302F" w:rsidRPr="00CD1426" w:rsidRDefault="002B302F" w:rsidP="00CD1426">
      <w:pPr>
        <w:tabs>
          <w:tab w:val="right" w:pos="540"/>
          <w:tab w:val="left" w:pos="720"/>
        </w:tabs>
        <w:spacing w:line="360" w:lineRule="auto"/>
        <w:jc w:val="both"/>
        <w:rPr>
          <w:rFonts w:ascii="Book Antiqua" w:hAnsi="Book Antiqua" w:cs="Arial"/>
          <w:lang w:val="en-US" w:eastAsia="zh-CN"/>
        </w:rPr>
      </w:pPr>
      <w:r w:rsidRPr="00CD1426">
        <w:rPr>
          <w:rFonts w:ascii="Book Antiqua" w:hAnsi="Book Antiqua" w:cs="Arial"/>
          <w:lang w:val="en-US"/>
        </w:rPr>
        <w:lastRenderedPageBreak/>
        <w:t>A cohort of HCV patients treated with dual therapy revealed that SVR was independently related with female gender, younger age, IL28B C/C genotype, viral genotype and low b</w:t>
      </w:r>
      <w:r w:rsidR="00B33120" w:rsidRPr="00CD1426">
        <w:rPr>
          <w:rFonts w:ascii="Book Antiqua" w:hAnsi="Book Antiqua" w:cs="Arial"/>
          <w:lang w:val="en-US"/>
        </w:rPr>
        <w:t>aseline levels of serum HCV-RNA</w:t>
      </w:r>
      <w:r w:rsidRPr="00CD1426">
        <w:rPr>
          <w:rFonts w:ascii="Book Antiqua" w:hAnsi="Book Antiqua" w:cs="Arial"/>
          <w:lang w:val="en-US"/>
        </w:rPr>
        <w:fldChar w:fldCharType="begin" w:fldLock="1"/>
      </w:r>
      <w:r w:rsidR="001D4A08" w:rsidRPr="00CD1426">
        <w:rPr>
          <w:rFonts w:ascii="Book Antiqua" w:hAnsi="Book Antiqua" w:cs="Arial"/>
          <w:lang w:val="en-US"/>
        </w:rPr>
        <w:instrText>ADDIN CSL_CITATION { "citationItems" : [ { "id" : "ITEM-1", "itemData" : { "DOI" : "10.1136/gut.2006.101931", "ISSN" : "0017-5749", "PMID" : "17005762", "abstract" : "BACKGROUND AND AIMS: The rates of fibrosis progression in chronic hepatitis C are significantly different between males and females. The antifibrogenic effect of oestrogen has been proposed, possibly via inhibition of stellate cells. The aim of this study was to evaluate the severity of chronic hepatitis C in women, in relation to the menopause, steatosis and hormone replacement therapy (HRT).\n\nMETHODS: From November 2003 to October 2004, women with chronic hepatitis C were enrolled prospectively. A questionnaire was completed prospectively and a blood sample was obtained on the day of biopsy. We identified characteristics associated with moderate/severe fibrosis using univariate and multivariate analysis.\n\nRESULTS: 251 women were included in the study. 122 women (52%) were menopausal and 65 were receiving HRT. 61 (24%) women with moderate/severe fibrosis (F2-F4, Metavir score) had a longer known duration of infection (&gt;15 years), a higher body mass index and presented with steatosis more frequently than 190 (76%) women with mild fibrosis (F0-F1). Women with F2-F4 were more often menopausal (67% v 47%). The probability of fibrosis F2-F4 was lower for menopausal women receiving HRT (p = 0.012). Steatosis was more frequent and more severe in menopausal women.\n\nCONCLUSIONS: Severity of fibrosis was associated with a longer duration of infection (&gt;15 years), a higher body mass index, advanced steatosis and the menopause. Menopausal women receiving HRT presented with a lower stage fibrosis. These results reinforce the hypothesis of a protective role of oestrogens in the progression of fibrosis. Steatosis may be implicated in the progression of fibrosis after the menopause.", "author" : [ { "dropping-particle" : "", "family" : "Codes", "given" : "Liana", "non-dropping-particle" : "", "parse-names" : false, "suffix" : "" }, { "dropping-particle" : "", "family" : "Asselah", "given" : "Tarik", "non-dropping-particle" : "", "parse-names" : false, "suffix" : "" }, { "dropping-particle" : "", "family" : "Cazals-Hatem", "given" : "Dominique", "non-dropping-particle" : "", "parse-names" : false, "suffix" : "" }, { "dropping-particle" : "", "family" : "Tubach", "given" : "Florence", "non-dropping-particle" : "", "parse-names" : false, "suffix" : "" }, { "dropping-particle" : "", "family" : "Vidaud", "given" : "Dominique", "non-dropping-particle" : "", "parse-names" : false, "suffix" : "" }, { "dropping-particle" : "", "family" : "Paran\u00e1", "given" : "Raymundo", "non-dropping-particle" : "", "parse-names" : false, "suffix" : "" }, { "dropping-particle" : "", "family" : "Bedossa", "given" : "Pierre", "non-dropping-particle" : "", "parse-names" : false, "suffix" : "" }, { "dropping-particle" : "", "family" : "Valla", "given" : "Dominique", "non-dropping-particle" : "", "parse-names" : false, "suffix" : "" }, { "dropping-particle" : "", "family" : "Marcellin", "given" : "Patrick", "non-dropping-particle" : "", "parse-names" : false, "suffix" : "" } ], "container-title" : "Gut", "id" : "ITEM-1", "issue" : "3", "issued" : { "date-parts" : [ [ "2007", "3" ] ] }, "page" : "390-5", "title" : "Liver fibrosis in women with chronic hepatitis C: evidence for the negative role of the menopause and steatosis and the potential benefit of hormone replacement therapy.", "type" : "article-journal", "volume" : "56" }, "uris" : [ "http://www.mendeley.com/documents/?uuid=9d4afae9-dd97-4360-9d8e-3d7d1f6f9991" ] } ], "mendeley" : { "formattedCitation" : "&lt;sup&gt;[35]&lt;/sup&gt;", "plainTextFormattedCitation" : "[35]", "previouslyFormattedCitation" : "&lt;sup&gt;[35]&lt;/sup&gt;" }, "properties" : { "noteIndex" : 0 }, "schema" : "https://github.com/citation-style-language/schema/raw/master/csl-citation.json" }</w:instrText>
      </w:r>
      <w:r w:rsidRPr="00CD1426">
        <w:rPr>
          <w:rFonts w:ascii="Book Antiqua" w:hAnsi="Book Antiqua" w:cs="Arial"/>
          <w:lang w:val="en-US"/>
        </w:rPr>
        <w:fldChar w:fldCharType="separate"/>
      </w:r>
      <w:r w:rsidR="001D4A08" w:rsidRPr="00CD1426">
        <w:rPr>
          <w:rFonts w:ascii="Book Antiqua" w:hAnsi="Book Antiqua" w:cs="Arial"/>
          <w:noProof/>
          <w:vertAlign w:val="superscript"/>
          <w:lang w:val="en-US"/>
        </w:rPr>
        <w:t>[35]</w:t>
      </w:r>
      <w:r w:rsidRPr="00CD1426">
        <w:rPr>
          <w:rFonts w:ascii="Book Antiqua" w:hAnsi="Book Antiqua" w:cs="Arial"/>
          <w:lang w:val="en-US"/>
        </w:rPr>
        <w:fldChar w:fldCharType="end"/>
      </w:r>
      <w:r w:rsidR="00B33120" w:rsidRPr="00CD1426">
        <w:rPr>
          <w:rFonts w:ascii="Book Antiqua" w:hAnsi="Book Antiqua" w:cs="Arial"/>
          <w:lang w:val="en-US" w:eastAsia="zh-CN"/>
        </w:rPr>
        <w:t>.</w:t>
      </w:r>
      <w:r w:rsidRPr="00CD1426">
        <w:rPr>
          <w:rFonts w:ascii="Book Antiqua" w:hAnsi="Book Antiqua" w:cs="Arial"/>
          <w:lang w:val="en-US"/>
        </w:rPr>
        <w:t xml:space="preserve"> However, females older than 50 years infected with HCV genotype 1 achieved lower rates of SVR. The possible reason was that, at baseline, females older than 50 years included in cohort had high body mass index and visceral obesity, metabolic alterations and severe histological liver damage, findings more frequently observed in the menopause females. In genotype 2 and genotype 3 patients, gender u</w:t>
      </w:r>
      <w:r w:rsidR="00B33120" w:rsidRPr="00CD1426">
        <w:rPr>
          <w:rFonts w:ascii="Book Antiqua" w:hAnsi="Book Antiqua" w:cs="Arial"/>
          <w:lang w:val="en-US"/>
        </w:rPr>
        <w:t>sually does not affect the SVR</w:t>
      </w:r>
      <w:r w:rsidRPr="00CD1426">
        <w:rPr>
          <w:rFonts w:ascii="Book Antiqua" w:hAnsi="Book Antiqua" w:cs="Arial"/>
          <w:lang w:val="en-US"/>
        </w:rPr>
        <w:fldChar w:fldCharType="begin" w:fldLock="1"/>
      </w:r>
      <w:r w:rsidR="001D4A08" w:rsidRPr="00CD1426">
        <w:rPr>
          <w:rFonts w:ascii="Book Antiqua" w:hAnsi="Book Antiqua" w:cs="Arial"/>
          <w:lang w:val="en-US"/>
        </w:rPr>
        <w:instrText>ADDIN CSL_CITATION { "citationItems" : [ { "id" : "ITEM-1", "itemData" : { "DOI" : "10.1016/j.jhep.2010.10.032", "ISSN" : "1600-0641", "PMID" : "21145856", "abstract" : "BACKGROUND &amp; AIMS: The probability of response to peginterferon and ribavirin is associated with numerous host and virological factors. Attainment of a rapid virological response (RVR), defined as undetectable HCV RNA at week 4 during treatment with peginterferon and ribavirin, is highly predictive of sustained virological response (SVR). The aim of the present study was to determine the relative importance of the kinetics of antiviral response compared to baseline host and virological factors for predicting SVR.\n\nMETHODS: A retrospective analysis of 1383 patients, encompassing genotypes 1-4, treated with peginterferon alfa-2a and ribavirin, was performed. Baseline characteristics were compared across HCV genotypes and pretreatment factors associated with RVR were identified. The relative significance of RVR compared to other baseline factors for predicting SVR was analyzed by multiple logistic regression analysis.\n\nRESULTS: RVR was achieved by 16% of patients with genotype 1 and 71% and 60% of those with genotype 2 and 3, respectively. Among patients who achieved RVR, the rate of SVR was high across all genotypes and ranged from 88% to 100% (genotypes 1-4). Baseline factors predictive of RVR included genotype, younger age, lower initial viral load, higher ALT ratio, absence of advanced fibrosis, and younger age. Notably, the presence of RVR generated the highest odds ratio (5.47, 95% confidence interval 3.97-7.52) for predicting SVR in multiple logistic regression analysis of these factors.\n\nCONCLUSIONS: Attainment of RVR varies by genotype and is associated with several baseline factors. Patients who achieve RVR have the highest rates of SVR, regardless of genotype. These findings have important implications for predicting and managing response-guided combination antiviral therapies.", "author" : [ { "dropping-particle" : "", "family" : "Fried", "given" : "Michael W", "non-dropping-particle" : "", "parse-names" : false, "suffix" : "" }, { "dropping-particle" : "", "family" : "Hadziyannis", "given" : "Stephanos J", "non-dropping-particle" : "", "parse-names" : false, "suffix" : "" }, { "dropping-particle" : "", "family" : "Shiffman", "given" : "Mitchell L", "non-dropping-particle" : "", "parse-names" : false, "suffix" : "" }, { "dropping-particle" : "", "family" : "Messinger", "given" : "Diethelm", "non-dropping-particle" : "", "parse-names" : false, "suffix" : "" }, { "dropping-particle" : "", "family" : "Zeuzem", "given" : "Stefan", "non-dropping-particle" : "", "parse-names" : false, "suffix" : "" } ], "container-title" : "Journal of hepatology", "id" : "ITEM-1", "issue" : "1", "issued" : { "date-parts" : [ [ "2011", "7" ] ] }, "page" : "69-75", "title" : "Rapid virological response is the most important predictor of sustained virological response across genotypes in patients with chronic hepatitis C virus infection.", "type" : "article-journal", "volume" : "55" }, "uris" : [ "http://www.mendeley.com/documents/?uuid=1359ba59-cbe0-4498-9c65-4e2e79e361cb" ] } ], "mendeley" : { "formattedCitation" : "&lt;sup&gt;[37]&lt;/sup&gt;", "plainTextFormattedCitation" : "[37]", "previouslyFormattedCitation" : "&lt;sup&gt;[37]&lt;/sup&gt;" }, "properties" : { "noteIndex" : 0 }, "schema" : "https://github.com/citation-style-language/schema/raw/master/csl-citation.json" }</w:instrText>
      </w:r>
      <w:r w:rsidRPr="00CD1426">
        <w:rPr>
          <w:rFonts w:ascii="Book Antiqua" w:hAnsi="Book Antiqua" w:cs="Arial"/>
          <w:lang w:val="en-US"/>
        </w:rPr>
        <w:fldChar w:fldCharType="separate"/>
      </w:r>
      <w:r w:rsidR="001D4A08" w:rsidRPr="00CD1426">
        <w:rPr>
          <w:rFonts w:ascii="Book Antiqua" w:hAnsi="Book Antiqua" w:cs="Arial"/>
          <w:noProof/>
          <w:vertAlign w:val="superscript"/>
          <w:lang w:val="en-US"/>
        </w:rPr>
        <w:t>[37]</w:t>
      </w:r>
      <w:r w:rsidRPr="00CD1426">
        <w:rPr>
          <w:rFonts w:ascii="Book Antiqua" w:hAnsi="Book Antiqua" w:cs="Arial"/>
          <w:lang w:val="en-US"/>
        </w:rPr>
        <w:fldChar w:fldCharType="end"/>
      </w:r>
      <w:r w:rsidR="00B33120" w:rsidRPr="00CD1426">
        <w:rPr>
          <w:rFonts w:ascii="Book Antiqua" w:hAnsi="Book Antiqua" w:cs="Arial"/>
          <w:lang w:val="en-US" w:eastAsia="zh-CN"/>
        </w:rPr>
        <w:t>.</w:t>
      </w:r>
    </w:p>
    <w:p w14:paraId="61D436D8" w14:textId="77777777" w:rsidR="00430B01" w:rsidRPr="00CD1426" w:rsidRDefault="00430B01" w:rsidP="00CD1426">
      <w:pPr>
        <w:tabs>
          <w:tab w:val="right" w:pos="540"/>
          <w:tab w:val="left" w:pos="720"/>
        </w:tabs>
        <w:spacing w:line="360" w:lineRule="auto"/>
        <w:jc w:val="both"/>
        <w:rPr>
          <w:rFonts w:ascii="Book Antiqua" w:hAnsi="Book Antiqua" w:cs="Arial"/>
          <w:i/>
          <w:lang w:val="en-US"/>
        </w:rPr>
      </w:pPr>
    </w:p>
    <w:p w14:paraId="50150096" w14:textId="1F899983" w:rsidR="002B302F" w:rsidRPr="00CD1426" w:rsidRDefault="00B33120" w:rsidP="00CD1426">
      <w:pPr>
        <w:tabs>
          <w:tab w:val="right" w:pos="540"/>
          <w:tab w:val="left" w:pos="720"/>
        </w:tabs>
        <w:spacing w:line="360" w:lineRule="auto"/>
        <w:jc w:val="both"/>
        <w:rPr>
          <w:rFonts w:ascii="Book Antiqua" w:hAnsi="Book Antiqua" w:cs="Arial"/>
          <w:b/>
          <w:i/>
          <w:lang w:val="en-US" w:eastAsia="zh-CN"/>
        </w:rPr>
      </w:pPr>
      <w:r w:rsidRPr="00CD1426">
        <w:rPr>
          <w:rFonts w:ascii="Book Antiqua" w:hAnsi="Book Antiqua" w:cs="Arial"/>
          <w:b/>
          <w:i/>
          <w:lang w:val="en-US"/>
        </w:rPr>
        <w:t>RVR</w:t>
      </w:r>
    </w:p>
    <w:p w14:paraId="50C46D0F" w14:textId="2AF6049C" w:rsidR="002B302F" w:rsidRPr="00CD1426" w:rsidRDefault="002B302F" w:rsidP="00CD1426">
      <w:pPr>
        <w:tabs>
          <w:tab w:val="right" w:pos="540"/>
          <w:tab w:val="left" w:pos="720"/>
        </w:tabs>
        <w:spacing w:line="360" w:lineRule="auto"/>
        <w:jc w:val="both"/>
        <w:rPr>
          <w:rFonts w:ascii="Book Antiqua" w:hAnsi="Book Antiqua" w:cs="Arial"/>
          <w:caps/>
          <w:lang w:val="en-US" w:eastAsia="zh-CN"/>
        </w:rPr>
      </w:pPr>
      <w:r w:rsidRPr="00CD1426">
        <w:rPr>
          <w:rFonts w:ascii="Book Antiqua" w:hAnsi="Book Antiqua" w:cs="Arial"/>
          <w:lang w:val="en-US"/>
        </w:rPr>
        <w:t xml:space="preserve">As reported in several studies, RVR (HCV RNA viral load undetectable at week 4) is associated with a notably higher rate of SVR. Some trials have observed that patients infected with HCV genotypes 2 or 3 achieve RVR in higher proportions than patients infected with genotype 1. However, regardless of the HCV genotype, </w:t>
      </w:r>
      <w:r w:rsidRPr="00CD1426">
        <w:rPr>
          <w:rStyle w:val="highlight"/>
          <w:rFonts w:ascii="Book Antiqua" w:hAnsi="Book Antiqua" w:cs="Arial"/>
          <w:lang w:val="en-US"/>
        </w:rPr>
        <w:t>patients</w:t>
      </w:r>
      <w:r w:rsidRPr="00CD1426">
        <w:rPr>
          <w:rStyle w:val="apple-converted-space"/>
          <w:rFonts w:ascii="Book Antiqua" w:hAnsi="Book Antiqua" w:cs="Arial"/>
          <w:lang w:val="en-US"/>
        </w:rPr>
        <w:t> </w:t>
      </w:r>
      <w:r w:rsidRPr="00CD1426">
        <w:rPr>
          <w:rFonts w:ascii="Book Antiqua" w:hAnsi="Book Antiqua" w:cs="Arial"/>
          <w:lang w:val="en-US"/>
        </w:rPr>
        <w:t>who reach RVR have the highest rates of SVR. In the study by Fried et al, RVR was achieved by 16% of</w:t>
      </w:r>
      <w:r w:rsidRPr="00CD1426">
        <w:rPr>
          <w:rStyle w:val="apple-converted-space"/>
          <w:rFonts w:ascii="Book Antiqua" w:hAnsi="Book Antiqua" w:cs="Arial"/>
          <w:lang w:val="en-US"/>
        </w:rPr>
        <w:t> </w:t>
      </w:r>
      <w:r w:rsidRPr="00CD1426">
        <w:rPr>
          <w:rStyle w:val="highlight"/>
          <w:rFonts w:ascii="Book Antiqua" w:hAnsi="Book Antiqua" w:cs="Arial"/>
          <w:lang w:val="en-US"/>
        </w:rPr>
        <w:t>patients</w:t>
      </w:r>
      <w:r w:rsidRPr="00CD1426">
        <w:rPr>
          <w:rStyle w:val="apple-converted-space"/>
          <w:rFonts w:ascii="Book Antiqua" w:hAnsi="Book Antiqua" w:cs="Arial"/>
          <w:lang w:val="en-US"/>
        </w:rPr>
        <w:t> </w:t>
      </w:r>
      <w:r w:rsidRPr="00CD1426">
        <w:rPr>
          <w:rFonts w:ascii="Book Antiqua" w:hAnsi="Book Antiqua" w:cs="Arial"/>
          <w:lang w:val="en-US"/>
        </w:rPr>
        <w:t>with</w:t>
      </w:r>
      <w:r w:rsidRPr="00CD1426">
        <w:rPr>
          <w:rStyle w:val="apple-converted-space"/>
          <w:rFonts w:ascii="Book Antiqua" w:hAnsi="Book Antiqua" w:cs="Arial"/>
          <w:lang w:val="en-US"/>
        </w:rPr>
        <w:t> </w:t>
      </w:r>
      <w:r w:rsidRPr="00CD1426">
        <w:rPr>
          <w:rStyle w:val="highlight"/>
          <w:rFonts w:ascii="Book Antiqua" w:hAnsi="Book Antiqua" w:cs="Arial"/>
          <w:lang w:val="en-US"/>
        </w:rPr>
        <w:t>genotype</w:t>
      </w:r>
      <w:r w:rsidRPr="00CD1426">
        <w:rPr>
          <w:rStyle w:val="apple-converted-space"/>
          <w:rFonts w:ascii="Book Antiqua" w:hAnsi="Book Antiqua" w:cs="Arial"/>
          <w:lang w:val="en-US"/>
        </w:rPr>
        <w:t> </w:t>
      </w:r>
      <w:r w:rsidRPr="00CD1426">
        <w:rPr>
          <w:rFonts w:ascii="Book Antiqua" w:hAnsi="Book Antiqua" w:cs="Arial"/>
          <w:lang w:val="en-US"/>
        </w:rPr>
        <w:t>1, 71% of genotype 2 and 60% of</w:t>
      </w:r>
      <w:r w:rsidRPr="00CD1426">
        <w:rPr>
          <w:rStyle w:val="highlight"/>
          <w:rFonts w:ascii="Book Antiqua" w:hAnsi="Book Antiqua" w:cs="Arial"/>
          <w:lang w:val="en-US"/>
        </w:rPr>
        <w:t xml:space="preserve"> genotype</w:t>
      </w:r>
      <w:r w:rsidRPr="00CD1426">
        <w:rPr>
          <w:rStyle w:val="apple-converted-space"/>
          <w:rFonts w:ascii="Book Antiqua" w:hAnsi="Book Antiqua" w:cs="Arial"/>
          <w:lang w:val="en-US"/>
        </w:rPr>
        <w:t> </w:t>
      </w:r>
      <w:r w:rsidRPr="00CD1426">
        <w:rPr>
          <w:rFonts w:ascii="Book Antiqua" w:hAnsi="Book Antiqua" w:cs="Arial"/>
          <w:lang w:val="en-US"/>
        </w:rPr>
        <w:t>3. Among</w:t>
      </w:r>
      <w:r w:rsidRPr="00CD1426">
        <w:rPr>
          <w:rStyle w:val="apple-converted-space"/>
          <w:rFonts w:ascii="Book Antiqua" w:hAnsi="Book Antiqua" w:cs="Arial"/>
          <w:lang w:val="en-US"/>
        </w:rPr>
        <w:t> </w:t>
      </w:r>
      <w:r w:rsidRPr="00CD1426">
        <w:rPr>
          <w:rStyle w:val="highlight"/>
          <w:rFonts w:ascii="Book Antiqua" w:hAnsi="Book Antiqua" w:cs="Arial"/>
          <w:lang w:val="en-US"/>
        </w:rPr>
        <w:t>individuals</w:t>
      </w:r>
      <w:r w:rsidRPr="00CD1426">
        <w:rPr>
          <w:rStyle w:val="apple-converted-space"/>
          <w:rFonts w:ascii="Book Antiqua" w:hAnsi="Book Antiqua" w:cs="Arial"/>
          <w:lang w:val="en-US"/>
        </w:rPr>
        <w:t> </w:t>
      </w:r>
      <w:r w:rsidRPr="00CD1426">
        <w:rPr>
          <w:rFonts w:ascii="Book Antiqua" w:hAnsi="Book Antiqua" w:cs="Arial"/>
          <w:lang w:val="en-US"/>
        </w:rPr>
        <w:t>who reached RVR, the SVR rate was high</w:t>
      </w:r>
      <w:r w:rsidRPr="00CD1426">
        <w:rPr>
          <w:rStyle w:val="apple-converted-space"/>
          <w:rFonts w:ascii="Book Antiqua" w:hAnsi="Book Antiqua" w:cs="Arial"/>
          <w:lang w:val="en-US"/>
        </w:rPr>
        <w:t> </w:t>
      </w:r>
      <w:r w:rsidRPr="00CD1426">
        <w:rPr>
          <w:rStyle w:val="highlight"/>
          <w:rFonts w:ascii="Book Antiqua" w:hAnsi="Book Antiqua" w:cs="Arial"/>
          <w:lang w:val="en-US"/>
        </w:rPr>
        <w:t>across</w:t>
      </w:r>
      <w:r w:rsidRPr="00CD1426">
        <w:rPr>
          <w:rStyle w:val="apple-converted-space"/>
          <w:rFonts w:ascii="Book Antiqua" w:hAnsi="Book Antiqua" w:cs="Arial"/>
          <w:lang w:val="en-US"/>
        </w:rPr>
        <w:t> </w:t>
      </w:r>
      <w:r w:rsidRPr="00CD1426">
        <w:rPr>
          <w:rFonts w:ascii="Book Antiqua" w:hAnsi="Book Antiqua" w:cs="Arial"/>
          <w:lang w:val="en-US"/>
        </w:rPr>
        <w:t>all</w:t>
      </w:r>
      <w:r w:rsidRPr="00CD1426">
        <w:rPr>
          <w:rStyle w:val="apple-converted-space"/>
          <w:rFonts w:ascii="Book Antiqua" w:hAnsi="Book Antiqua" w:cs="Arial"/>
          <w:lang w:val="en-US"/>
        </w:rPr>
        <w:t> HCV-</w:t>
      </w:r>
      <w:r w:rsidRPr="00CD1426">
        <w:rPr>
          <w:rStyle w:val="highlight"/>
          <w:rFonts w:ascii="Book Antiqua" w:hAnsi="Book Antiqua" w:cs="Arial"/>
          <w:lang w:val="en-US"/>
        </w:rPr>
        <w:t>genotypes</w:t>
      </w:r>
      <w:r w:rsidRPr="00CD1426">
        <w:rPr>
          <w:rStyle w:val="apple-converted-space"/>
          <w:rFonts w:ascii="Book Antiqua" w:hAnsi="Book Antiqua" w:cs="Arial"/>
          <w:lang w:val="en-US"/>
        </w:rPr>
        <w:t> </w:t>
      </w:r>
      <w:r w:rsidRPr="00CD1426">
        <w:rPr>
          <w:rFonts w:ascii="Book Antiqua" w:hAnsi="Book Antiqua" w:cs="Arial"/>
          <w:lang w:val="en-US"/>
        </w:rPr>
        <w:t>and ranged from 88% to 100% (</w:t>
      </w:r>
      <w:r w:rsidRPr="00CD1426">
        <w:rPr>
          <w:rStyle w:val="highlight"/>
          <w:rFonts w:ascii="Book Antiqua" w:hAnsi="Book Antiqua" w:cs="Arial"/>
          <w:lang w:val="en-US"/>
        </w:rPr>
        <w:t>genotypes</w:t>
      </w:r>
      <w:r w:rsidRPr="00CD1426">
        <w:rPr>
          <w:rStyle w:val="apple-converted-space"/>
          <w:rFonts w:ascii="Book Antiqua" w:hAnsi="Book Antiqua" w:cs="Arial"/>
          <w:lang w:val="en-US"/>
        </w:rPr>
        <w:t> </w:t>
      </w:r>
      <w:r w:rsidRPr="00CD1426">
        <w:rPr>
          <w:rFonts w:ascii="Book Antiqua" w:hAnsi="Book Antiqua" w:cs="Arial"/>
          <w:lang w:val="en-US"/>
        </w:rPr>
        <w:t>1-4). Baseline predictive factors of RVR comprised</w:t>
      </w:r>
      <w:r w:rsidRPr="00CD1426">
        <w:rPr>
          <w:rStyle w:val="apple-converted-space"/>
          <w:rFonts w:ascii="Book Antiqua" w:hAnsi="Book Antiqua" w:cs="Arial"/>
          <w:lang w:val="en-US"/>
        </w:rPr>
        <w:t> </w:t>
      </w:r>
      <w:r w:rsidRPr="00CD1426">
        <w:rPr>
          <w:rStyle w:val="highlight"/>
          <w:rFonts w:ascii="Book Antiqua" w:hAnsi="Book Antiqua" w:cs="Arial"/>
          <w:lang w:val="en-US"/>
        </w:rPr>
        <w:t>genotype</w:t>
      </w:r>
      <w:r w:rsidRPr="00CD1426">
        <w:rPr>
          <w:rFonts w:ascii="Book Antiqua" w:hAnsi="Book Antiqua" w:cs="Arial"/>
          <w:lang w:val="en-US"/>
        </w:rPr>
        <w:t>, low baseline viral load, high ALT ratio, nonexistence of advanced fibrosis, and younger age. RVR was the most important predictor of SVR based o</w:t>
      </w:r>
      <w:r w:rsidR="00B33120" w:rsidRPr="00CD1426">
        <w:rPr>
          <w:rFonts w:ascii="Book Antiqua" w:hAnsi="Book Antiqua" w:cs="Arial"/>
          <w:lang w:val="en-US"/>
        </w:rPr>
        <w:t>n logistic regression analysis</w:t>
      </w:r>
      <w:r w:rsidRPr="00CD1426">
        <w:rPr>
          <w:rFonts w:ascii="Book Antiqua" w:hAnsi="Book Antiqua" w:cs="Arial"/>
          <w:lang w:val="en-US"/>
        </w:rPr>
        <w:fldChar w:fldCharType="begin" w:fldLock="1"/>
      </w:r>
      <w:r w:rsidR="001D4A08" w:rsidRPr="00CD1426">
        <w:rPr>
          <w:rFonts w:ascii="Book Antiqua" w:hAnsi="Book Antiqua" w:cs="Arial"/>
          <w:lang w:val="en-US"/>
        </w:rPr>
        <w:instrText>ADDIN CSL_CITATION { "citationItems" : [ { "id" : "ITEM-1", "itemData" : { "DOI" : "10.1016/j.jhep.2010.10.032", "ISSN" : "1600-0641", "PMID" : "21145856", "abstract" : "BACKGROUND &amp; AIMS: The probability of response to peginterferon and ribavirin is associated with numerous host and virological factors. Attainment of a rapid virological response (RVR), defined as undetectable HCV RNA at week 4 during treatment with peginterferon and ribavirin, is highly predictive of sustained virological response (SVR). The aim of the present study was to determine the relative importance of the kinetics of antiviral response compared to baseline host and virological factors for predicting SVR.\n\nMETHODS: A retrospective analysis of 1383 patients, encompassing genotypes 1-4, treated with peginterferon alfa-2a and ribavirin, was performed. Baseline characteristics were compared across HCV genotypes and pretreatment factors associated with RVR were identified. The relative significance of RVR compared to other baseline factors for predicting SVR was analyzed by multiple logistic regression analysis.\n\nRESULTS: RVR was achieved by 16% of patients with genotype 1 and 71% and 60% of those with genotype 2 and 3, respectively. Among patients who achieved RVR, the rate of SVR was high across all genotypes and ranged from 88% to 100% (genotypes 1-4). Baseline factors predictive of RVR included genotype, younger age, lower initial viral load, higher ALT ratio, absence of advanced fibrosis, and younger age. Notably, the presence of RVR generated the highest odds ratio (5.47, 95% confidence interval 3.97-7.52) for predicting SVR in multiple logistic regression analysis of these factors.\n\nCONCLUSIONS: Attainment of RVR varies by genotype and is associated with several baseline factors. Patients who achieve RVR have the highest rates of SVR, regardless of genotype. These findings have important implications for predicting and managing response-guided combination antiviral therapies.", "author" : [ { "dropping-particle" : "", "family" : "Fried", "given" : "Michael W", "non-dropping-particle" : "", "parse-names" : false, "suffix" : "" }, { "dropping-particle" : "", "family" : "Hadziyannis", "given" : "Stephanos J", "non-dropping-particle" : "", "parse-names" : false, "suffix" : "" }, { "dropping-particle" : "", "family" : "Shiffman", "given" : "Mitchell L", "non-dropping-particle" : "", "parse-names" : false, "suffix" : "" }, { "dropping-particle" : "", "family" : "Messinger", "given" : "Diethelm", "non-dropping-particle" : "", "parse-names" : false, "suffix" : "" }, { "dropping-particle" : "", "family" : "Zeuzem", "given" : "Stefan", "non-dropping-particle" : "", "parse-names" : false, "suffix" : "" } ], "container-title" : "Journal of hepatology", "id" : "ITEM-1", "issue" : "1", "issued" : { "date-parts" : [ [ "2011", "7" ] ] }, "page" : "69-75", "title" : "Rapid virological response is the most important predictor of sustained virological response across genotypes in patients with chronic hepatitis C virus infection.", "type" : "article-journal", "volume" : "55" }, "uris" : [ "http://www.mendeley.com/documents/?uuid=1359ba59-cbe0-4498-9c65-4e2e79e361cb" ] } ], "mendeley" : { "formattedCitation" : "&lt;sup&gt;[37]&lt;/sup&gt;", "plainTextFormattedCitation" : "[37]", "previouslyFormattedCitation" : "&lt;sup&gt;[37]&lt;/sup&gt;" }, "properties" : { "noteIndex" : 0 }, "schema" : "https://github.com/citation-style-language/schema/raw/master/csl-citation.json" }</w:instrText>
      </w:r>
      <w:r w:rsidRPr="00CD1426">
        <w:rPr>
          <w:rFonts w:ascii="Book Antiqua" w:hAnsi="Book Antiqua" w:cs="Arial"/>
          <w:lang w:val="en-US"/>
        </w:rPr>
        <w:fldChar w:fldCharType="separate"/>
      </w:r>
      <w:r w:rsidR="001D4A08" w:rsidRPr="00CD1426">
        <w:rPr>
          <w:rFonts w:ascii="Book Antiqua" w:hAnsi="Book Antiqua" w:cs="Arial"/>
          <w:noProof/>
          <w:vertAlign w:val="superscript"/>
          <w:lang w:val="en-US"/>
        </w:rPr>
        <w:t>[37]</w:t>
      </w:r>
      <w:r w:rsidRPr="00CD1426">
        <w:rPr>
          <w:rFonts w:ascii="Book Antiqua" w:hAnsi="Book Antiqua" w:cs="Arial"/>
          <w:lang w:val="en-US"/>
        </w:rPr>
        <w:fldChar w:fldCharType="end"/>
      </w:r>
      <w:r w:rsidR="00B33120" w:rsidRPr="00CD1426">
        <w:rPr>
          <w:rFonts w:ascii="Book Antiqua" w:hAnsi="Book Antiqua" w:cs="Arial"/>
          <w:lang w:val="en-US" w:eastAsia="zh-CN"/>
        </w:rPr>
        <w:t>.</w:t>
      </w:r>
      <w:r w:rsidRPr="00CD1426">
        <w:rPr>
          <w:rFonts w:ascii="Book Antiqua" w:hAnsi="Book Antiqua" w:cs="Arial"/>
          <w:lang w:val="en-US"/>
        </w:rPr>
        <w:t xml:space="preserve"> Among HCV genotype 3 infected patients, if RVR is present, the treatment period may be shortened. In a previous trial, among</w:t>
      </w:r>
      <w:r w:rsidRPr="00CD1426">
        <w:rPr>
          <w:rStyle w:val="apple-converted-space"/>
          <w:rFonts w:ascii="Book Antiqua" w:hAnsi="Book Antiqua" w:cs="Arial"/>
          <w:lang w:val="en-US"/>
        </w:rPr>
        <w:t> </w:t>
      </w:r>
      <w:r w:rsidRPr="00CD1426">
        <w:rPr>
          <w:rStyle w:val="highlight"/>
          <w:rFonts w:ascii="Book Antiqua" w:hAnsi="Book Antiqua" w:cs="Arial"/>
          <w:lang w:val="en-US"/>
        </w:rPr>
        <w:t xml:space="preserve">patients </w:t>
      </w:r>
      <w:r w:rsidRPr="00CD1426">
        <w:rPr>
          <w:rFonts w:ascii="Book Antiqua" w:hAnsi="Book Antiqua" w:cs="Arial"/>
          <w:lang w:val="en-US"/>
        </w:rPr>
        <w:t xml:space="preserve">with RVR – week 4, SVR was 81.6% among patients treated for 24 </w:t>
      </w:r>
      <w:proofErr w:type="spellStart"/>
      <w:r w:rsidRPr="00CD1426">
        <w:rPr>
          <w:rFonts w:ascii="Book Antiqua" w:hAnsi="Book Antiqua" w:cs="Arial"/>
          <w:lang w:val="en-US"/>
        </w:rPr>
        <w:t>w</w:t>
      </w:r>
      <w:r w:rsidR="00B33120" w:rsidRPr="00CD1426">
        <w:rPr>
          <w:rFonts w:ascii="Book Antiqua" w:hAnsi="Book Antiqua" w:cs="Arial"/>
          <w:lang w:val="en-US"/>
        </w:rPr>
        <w:t>k</w:t>
      </w:r>
      <w:proofErr w:type="spellEnd"/>
      <w:r w:rsidRPr="00CD1426">
        <w:rPr>
          <w:rFonts w:ascii="Book Antiqua" w:hAnsi="Book Antiqua" w:cs="Arial"/>
          <w:lang w:val="en-US"/>
        </w:rPr>
        <w:t xml:space="preserve"> and 82.5% among them treated for 12 w</w:t>
      </w:r>
      <w:r w:rsidR="00B33120" w:rsidRPr="00CD1426">
        <w:rPr>
          <w:rFonts w:ascii="Book Antiqua" w:hAnsi="Book Antiqua" w:cs="Arial"/>
          <w:lang w:val="en-US"/>
        </w:rPr>
        <w:t>k</w:t>
      </w:r>
      <w:r w:rsidRPr="00CD1426">
        <w:rPr>
          <w:rFonts w:ascii="Book Antiqua" w:hAnsi="Book Antiqua" w:cs="Arial"/>
          <w:lang w:val="en-US"/>
        </w:rPr>
        <w:t>. In</w:t>
      </w:r>
      <w:r w:rsidRPr="00CD1426">
        <w:rPr>
          <w:rStyle w:val="apple-converted-space"/>
          <w:rFonts w:ascii="Book Antiqua" w:hAnsi="Book Antiqua" w:cs="Arial"/>
          <w:lang w:val="en-US"/>
        </w:rPr>
        <w:t> </w:t>
      </w:r>
      <w:r w:rsidRPr="00CD1426">
        <w:rPr>
          <w:rStyle w:val="highlight"/>
          <w:rFonts w:ascii="Book Antiqua" w:hAnsi="Book Antiqua" w:cs="Arial"/>
          <w:lang w:val="en-US"/>
        </w:rPr>
        <w:t>patients</w:t>
      </w:r>
      <w:r w:rsidRPr="00CD1426">
        <w:rPr>
          <w:rStyle w:val="apple-converted-space"/>
          <w:rFonts w:ascii="Book Antiqua" w:hAnsi="Book Antiqua" w:cs="Arial"/>
          <w:lang w:val="en-US"/>
        </w:rPr>
        <w:t> </w:t>
      </w:r>
      <w:r w:rsidRPr="00CD1426">
        <w:rPr>
          <w:rFonts w:ascii="Book Antiqua" w:hAnsi="Book Antiqua" w:cs="Arial"/>
          <w:lang w:val="en-US"/>
        </w:rPr>
        <w:t xml:space="preserve">without RVR, SVR was 52.1% if the treatment duration was 24 </w:t>
      </w:r>
      <w:proofErr w:type="spellStart"/>
      <w:r w:rsidRPr="00CD1426">
        <w:rPr>
          <w:rFonts w:ascii="Book Antiqua" w:hAnsi="Book Antiqua" w:cs="Arial"/>
          <w:lang w:val="en-US"/>
        </w:rPr>
        <w:t>w</w:t>
      </w:r>
      <w:r w:rsidR="00B33120" w:rsidRPr="00CD1426">
        <w:rPr>
          <w:rFonts w:ascii="Book Antiqua" w:hAnsi="Book Antiqua" w:cs="Arial"/>
          <w:lang w:val="en-US"/>
        </w:rPr>
        <w:t>k</w:t>
      </w:r>
      <w:proofErr w:type="spellEnd"/>
      <w:r w:rsidRPr="00CD1426">
        <w:rPr>
          <w:rFonts w:ascii="Book Antiqua" w:hAnsi="Book Antiqua" w:cs="Arial"/>
          <w:lang w:val="en-US"/>
        </w:rPr>
        <w:t xml:space="preserve"> and 61.7% if the duration was 36 w</w:t>
      </w:r>
      <w:r w:rsidR="00B33120" w:rsidRPr="00CD1426">
        <w:rPr>
          <w:rFonts w:ascii="Book Antiqua" w:hAnsi="Book Antiqua" w:cs="Arial"/>
          <w:lang w:val="en-US"/>
        </w:rPr>
        <w:t>k</w:t>
      </w:r>
      <w:r w:rsidRPr="00CD1426">
        <w:rPr>
          <w:rFonts w:ascii="Book Antiqua" w:hAnsi="Book Antiqua" w:cs="Arial"/>
          <w:lang w:val="en-US"/>
        </w:rPr>
        <w:t xml:space="preserve">. According to this study, </w:t>
      </w:r>
      <w:r w:rsidRPr="00CD1426">
        <w:rPr>
          <w:rStyle w:val="highlight"/>
          <w:rFonts w:ascii="Book Antiqua" w:hAnsi="Book Antiqua" w:cs="Arial"/>
          <w:lang w:val="en-US"/>
        </w:rPr>
        <w:t>HCV</w:t>
      </w:r>
      <w:r w:rsidRPr="00CD1426">
        <w:rPr>
          <w:rStyle w:val="apple-converted-space"/>
          <w:rFonts w:ascii="Book Antiqua" w:hAnsi="Book Antiqua" w:cs="Arial"/>
          <w:lang w:val="en-US"/>
        </w:rPr>
        <w:t> </w:t>
      </w:r>
      <w:r w:rsidRPr="00CD1426">
        <w:rPr>
          <w:rStyle w:val="highlight"/>
          <w:rFonts w:ascii="Book Antiqua" w:hAnsi="Book Antiqua" w:cs="Arial"/>
          <w:lang w:val="en-US"/>
        </w:rPr>
        <w:t>genotype</w:t>
      </w:r>
      <w:r w:rsidRPr="00CD1426">
        <w:rPr>
          <w:rStyle w:val="apple-converted-space"/>
          <w:rFonts w:ascii="Book Antiqua" w:hAnsi="Book Antiqua" w:cs="Arial"/>
          <w:lang w:val="en-US"/>
        </w:rPr>
        <w:t> </w:t>
      </w:r>
      <w:r w:rsidRPr="00CD1426">
        <w:rPr>
          <w:rStyle w:val="highlight"/>
          <w:rFonts w:ascii="Book Antiqua" w:hAnsi="Book Antiqua" w:cs="Arial"/>
          <w:lang w:val="en-US"/>
        </w:rPr>
        <w:t>3</w:t>
      </w:r>
      <w:r w:rsidRPr="00CD1426">
        <w:rPr>
          <w:rStyle w:val="apple-converted-space"/>
          <w:rFonts w:ascii="Book Antiqua" w:hAnsi="Book Antiqua" w:cs="Arial"/>
          <w:lang w:val="en-US"/>
        </w:rPr>
        <w:t> </w:t>
      </w:r>
      <w:r w:rsidRPr="00CD1426">
        <w:rPr>
          <w:rStyle w:val="highlight"/>
          <w:rFonts w:ascii="Book Antiqua" w:hAnsi="Book Antiqua" w:cs="Arial"/>
          <w:lang w:val="en-US"/>
        </w:rPr>
        <w:t>patients</w:t>
      </w:r>
      <w:r w:rsidRPr="00CD1426">
        <w:rPr>
          <w:rStyle w:val="apple-converted-space"/>
          <w:rFonts w:ascii="Book Antiqua" w:hAnsi="Book Antiqua" w:cs="Arial"/>
          <w:lang w:val="en-US"/>
        </w:rPr>
        <w:t> </w:t>
      </w:r>
      <w:r w:rsidRPr="00CD1426">
        <w:rPr>
          <w:rFonts w:ascii="Book Antiqua" w:hAnsi="Book Antiqua" w:cs="Arial"/>
          <w:lang w:val="en-US"/>
        </w:rPr>
        <w:t xml:space="preserve">with RVR may be treated for 12 </w:t>
      </w:r>
      <w:proofErr w:type="spellStart"/>
      <w:r w:rsidRPr="00CD1426">
        <w:rPr>
          <w:rFonts w:ascii="Book Antiqua" w:hAnsi="Book Antiqua" w:cs="Arial"/>
          <w:lang w:val="en-US"/>
        </w:rPr>
        <w:t>w</w:t>
      </w:r>
      <w:r w:rsidR="00B33120" w:rsidRPr="00CD1426">
        <w:rPr>
          <w:rFonts w:ascii="Book Antiqua" w:hAnsi="Book Antiqua" w:cs="Arial"/>
          <w:lang w:val="en-US"/>
        </w:rPr>
        <w:t>k</w:t>
      </w:r>
      <w:proofErr w:type="spellEnd"/>
      <w:r w:rsidRPr="00CD1426">
        <w:rPr>
          <w:rFonts w:ascii="Book Antiqua" w:hAnsi="Book Antiqua" w:cs="Arial"/>
          <w:lang w:val="en-US"/>
        </w:rPr>
        <w:t xml:space="preserve"> if the appropriate ribavirin doses are used; in </w:t>
      </w:r>
      <w:r w:rsidRPr="00CD1426">
        <w:rPr>
          <w:rStyle w:val="highlight"/>
          <w:rFonts w:ascii="Book Antiqua" w:hAnsi="Book Antiqua" w:cs="Arial"/>
          <w:lang w:val="en-US"/>
        </w:rPr>
        <w:t>patients</w:t>
      </w:r>
      <w:r w:rsidRPr="00CD1426">
        <w:rPr>
          <w:rStyle w:val="apple-converted-space"/>
          <w:rFonts w:ascii="Book Antiqua" w:hAnsi="Book Antiqua" w:cs="Arial"/>
          <w:lang w:val="en-US"/>
        </w:rPr>
        <w:t xml:space="preserve"> without RVR, the </w:t>
      </w:r>
      <w:r w:rsidRPr="00CD1426">
        <w:rPr>
          <w:rFonts w:ascii="Book Antiqua" w:hAnsi="Book Antiqua" w:cs="Arial"/>
          <w:lang w:val="en-US"/>
        </w:rPr>
        <w:t xml:space="preserve">SVR rates were higher with 36 </w:t>
      </w:r>
      <w:proofErr w:type="spellStart"/>
      <w:r w:rsidRPr="00CD1426">
        <w:rPr>
          <w:rFonts w:ascii="Book Antiqua" w:hAnsi="Book Antiqua" w:cs="Arial"/>
          <w:lang w:val="en-US"/>
        </w:rPr>
        <w:t>w</w:t>
      </w:r>
      <w:r w:rsidR="00B33120" w:rsidRPr="00CD1426">
        <w:rPr>
          <w:rFonts w:ascii="Book Antiqua" w:hAnsi="Book Antiqua" w:cs="Arial"/>
          <w:lang w:val="en-US"/>
        </w:rPr>
        <w:t>k</w:t>
      </w:r>
      <w:proofErr w:type="spellEnd"/>
      <w:r w:rsidRPr="00CD1426">
        <w:rPr>
          <w:rFonts w:ascii="Book Antiqua" w:hAnsi="Book Antiqua" w:cs="Arial"/>
          <w:lang w:val="en-US"/>
        </w:rPr>
        <w:t xml:space="preserve"> of </w:t>
      </w:r>
      <w:r w:rsidR="00B33120" w:rsidRPr="00CD1426">
        <w:rPr>
          <w:rStyle w:val="highlight"/>
          <w:rFonts w:ascii="Book Antiqua" w:hAnsi="Book Antiqua" w:cs="Arial"/>
          <w:lang w:val="en-US"/>
        </w:rPr>
        <w:t xml:space="preserve">treatment compared with 24 </w:t>
      </w:r>
      <w:proofErr w:type="spellStart"/>
      <w:r w:rsidR="00B33120" w:rsidRPr="00CD1426">
        <w:rPr>
          <w:rStyle w:val="highlight"/>
          <w:rFonts w:ascii="Book Antiqua" w:hAnsi="Book Antiqua" w:cs="Arial"/>
          <w:lang w:val="en-US"/>
        </w:rPr>
        <w:t>wk</w:t>
      </w:r>
      <w:proofErr w:type="spellEnd"/>
      <w:r w:rsidRPr="00CD1426">
        <w:rPr>
          <w:rStyle w:val="apple-converted-space"/>
          <w:rFonts w:ascii="Book Antiqua" w:hAnsi="Book Antiqua" w:cs="Arial"/>
          <w:lang w:val="en-US"/>
        </w:rPr>
        <w:fldChar w:fldCharType="begin" w:fldLock="1"/>
      </w:r>
      <w:r w:rsidR="001D4A08" w:rsidRPr="00CD1426">
        <w:rPr>
          <w:rStyle w:val="apple-converted-space"/>
          <w:rFonts w:ascii="Book Antiqua" w:hAnsi="Book Antiqua" w:cs="Arial"/>
          <w:lang w:val="en-US"/>
        </w:rPr>
        <w:instrText>ADDIN CSL_CITATION { "citationItems" : [ { "id" : "ITEM-1", "itemData" : { "DOI" : "10.1016/j.jhep.2010.04.042", "ISSN" : "1600-0641", "PMID" : "20843575", "abstract" : "BACKGROUND &amp; AIMS: The benefit of individualizing treatment for patients with genotype 3 HCV infection on the basis of viral clearance at week 4 (wk4-R) has not been firmly established.\n\nMETHODS: Four hundred and fourteen patients received Peg-interferon alpha-2b plus 1000-1200 mg of ribavirin daily according with body weight &gt; or &lt;75 kg. Patients were randomized to standard 24 weeks (Std24) or to a 12 or 36 weeks variable treatment duration (Var12/36). In the variable treatment arm, patients with or without wk4-R were allocated to either 12 or 36 weeks duration.\n\nRESULTS: At treatment week 4, HCV RNA was undetectable in 262 patients (63.3%), 136 in the Std24, and 126 in the Var12/36 group (p=0.41). In patients with wk4-R, end-of-treatment (EOT) responses were 80.4% (CI 85.4-95.3) and 97.6% (CI 94.9-99.9) in the two arms, respectively (p=0.019). In patients without wk4-R, corresponding rates were 61.9% (50.6-73.2) and 75.3% (CI 65.9-84.6) (p=0.08). SVR was attained in 302 patients, 71.4% (CI 65.3-77.6) in the St24 group and 74.3% (CI 58.4-80.3) in the variable 12/36 arm. Among patients with wk4-R, SVR was 81.6% (CI 75.1-88.1) and 82.5% (75.9-89.1), respectively. In patients without wk4-R, SVR amounted to 52.1% (CI 40.4-63.7) and 61.7 (CI 51.1-72.3) in the two arms (p=0.25).\n\nCONCLUSIONS: HCV genotype 3 patients with week4-R may be treated safely with 12 weeks of therapy, provided that sufficiently high doses of ribavirin are administered. For patients still viremic at treatment week 4, SVR rates were numerically higher after 36 weeks of treatment than after the currently recommended 24 weeks.", "author" : [ { "dropping-particle" : "", "family" : "Mangia", "given" : "Alessandra", "non-dropping-particle" : "", "parse-names" : false, "suffix" : "" }, { "dropping-particle" : "", "family" : "Bandiera", "given" : "Franco", "non-dropping-particle" : "", "parse-names" : false, "suffix" : "" }, { "dropping-particle" : "", "family" : "Montalto", "given" : "Giuseppe", "non-dropping-particle" : "", "parse-names" : false, "suffix" : "" }, { "dropping-particle" : "", "family" : "Mottola", "given" : "Leonardo", "non-dropping-particle" : "", "parse-names" : false, "suffix" : "" }, { "dropping-particle" : "", "family" : "Piazzolla", "given" : "Valeria", "non-dropping-particle" : "", "parse-names" : false, "suffix" : "" }, { "dropping-particle" : "", "family" : "Minerva", "given" : "Nicola", "non-dropping-particle" : "", "parse-names" : false, "suffix" : "" }, { "dropping-particle" : "", "family" : "Pellicelli", "given" : "Adriano", "non-dropping-particle" : "", "parse-names" : false, "suffix" : "" }, { "dropping-particle" : "", "family" : "Ricci", "given" : "Giovanni L", "non-dropping-particle" : "", "parse-names" : false, "suffix" : "" }, { "dropping-particle" : "", "family" : "Cela", "given" : "Marina", "non-dropping-particle" : "", "parse-names" : false, "suffix" : "" }, { "dropping-particle" : "", "family" : "Carretta", "given" : "Vito", "non-dropping-particle" : "", "parse-names" : false, "suffix" : "" }, { "dropping-particle" : "", "family" : "Scotto", "given" : "Gaetano", "non-dropping-particle" : "", "parse-names" : false, "suffix" : "" }, { "dropping-particle" : "", "family" : "Bacca", "given" : "Donato", "non-dropping-particle" : "", "parse-names" : false, "suffix" : "" }, { "dropping-particle" : "", "family" : "Annicchiarico", "given" : "Brigida", "non-dropping-particle" : "", "parse-names" : false, "suffix" : "" }, { "dropping-particle" : "", "family" : "Romano", "given" : "Mario", "non-dropping-particle" : "", "parse-names" : false, "suffix" : "" }, { "dropping-particle" : "", "family" : "Russello", "given" : "Maurizio", "non-dropping-particle" : "", "parse-names" : false, "suffix" : "" }, { "dropping-particle" : "", "family" : "Barbarini", "given" : "Giorgio", "non-dropping-particle" : "", "parse-names" : false, "suffix" : "" }, { "dropping-particle" : "", "family" : "Agostinacchio", "given" : "Ernesto", "non-dropping-particle" : "", "parse-names" : false, "suffix" : "" }, { "dropping-particle" : "", "family" : "Andriulli", "given" : "Angelo", "non-dropping-particle" : "", "parse-names" : false, "suffix" : "" } ], "container-title" : "Journal of hepatology", "id" : "ITEM-1", "issue" : "6", "issued" : { "date-parts" : [ [ "2010", "12" ] ] }, "page" : "1000-5", "title" : "Individualized treatment with combination of Peg-interferon alpha 2b and ribavirin in patients infected with HCV genotype 3.", "type" : "article-journal", "volume" : "53" }, "uris" : [ "http://www.mendeley.com/documents/?uuid=b3ae0dad-9aa2-4988-b742-159dba424158" ] } ], "mendeley" : { "formattedCitation" : "&lt;sup&gt;[38]&lt;/sup&gt;", "plainTextFormattedCitation" : "[38]", "previouslyFormattedCitation" : "&lt;sup&gt;[38]&lt;/sup&gt;" }, "properties" : { "noteIndex" : 0 }, "schema" : "https://github.com/citation-style-language/schema/raw/master/csl-citation.json" }</w:instrText>
      </w:r>
      <w:r w:rsidRPr="00CD1426">
        <w:rPr>
          <w:rStyle w:val="apple-converted-space"/>
          <w:rFonts w:ascii="Book Antiqua" w:hAnsi="Book Antiqua" w:cs="Arial"/>
          <w:lang w:val="en-US"/>
        </w:rPr>
        <w:fldChar w:fldCharType="separate"/>
      </w:r>
      <w:r w:rsidR="001D4A08" w:rsidRPr="00CD1426">
        <w:rPr>
          <w:rStyle w:val="apple-converted-space"/>
          <w:rFonts w:ascii="Book Antiqua" w:hAnsi="Book Antiqua" w:cs="Arial"/>
          <w:noProof/>
          <w:vertAlign w:val="superscript"/>
          <w:lang w:val="en-US"/>
        </w:rPr>
        <w:t>[38]</w:t>
      </w:r>
      <w:r w:rsidRPr="00CD1426">
        <w:rPr>
          <w:rStyle w:val="apple-converted-space"/>
          <w:rFonts w:ascii="Book Antiqua" w:hAnsi="Book Antiqua" w:cs="Arial"/>
          <w:lang w:val="en-US"/>
        </w:rPr>
        <w:fldChar w:fldCharType="end"/>
      </w:r>
      <w:r w:rsidR="00B33120" w:rsidRPr="00CD1426">
        <w:rPr>
          <w:rStyle w:val="apple-converted-space"/>
          <w:rFonts w:ascii="Book Antiqua" w:hAnsi="Book Antiqua" w:cs="Arial"/>
          <w:lang w:val="en-US" w:eastAsia="zh-CN"/>
        </w:rPr>
        <w:t>.</w:t>
      </w:r>
    </w:p>
    <w:p w14:paraId="68AB4892" w14:textId="77777777" w:rsidR="00B33120" w:rsidRPr="00CD1426" w:rsidRDefault="00B33120" w:rsidP="00CD1426">
      <w:pPr>
        <w:spacing w:line="360" w:lineRule="auto"/>
        <w:jc w:val="both"/>
        <w:rPr>
          <w:rStyle w:val="apple-style-span"/>
          <w:rFonts w:ascii="Book Antiqua" w:hAnsi="Book Antiqua" w:cs="Arial"/>
          <w:i/>
          <w:lang w:val="en-US" w:eastAsia="zh-CN"/>
        </w:rPr>
      </w:pPr>
    </w:p>
    <w:p w14:paraId="0A53AC2D" w14:textId="3D97191D" w:rsidR="002B302F" w:rsidRPr="00CD1426" w:rsidRDefault="002B302F" w:rsidP="00CD1426">
      <w:pPr>
        <w:spacing w:line="360" w:lineRule="auto"/>
        <w:jc w:val="both"/>
        <w:rPr>
          <w:rStyle w:val="apple-style-span"/>
          <w:rFonts w:ascii="Book Antiqua" w:hAnsi="Book Antiqua" w:cs="Arial"/>
          <w:b/>
          <w:lang w:val="en-US"/>
        </w:rPr>
      </w:pPr>
      <w:r w:rsidRPr="00CD1426">
        <w:rPr>
          <w:rFonts w:ascii="Book Antiqua" w:hAnsi="Book Antiqua" w:cs="Arial"/>
          <w:b/>
          <w:lang w:val="en-US"/>
        </w:rPr>
        <w:lastRenderedPageBreak/>
        <w:t>FIRST WAVE OF DIRECT ACTING ANTIVIRAL (TELAPREVIR AND BOCEPREVIR)</w:t>
      </w:r>
    </w:p>
    <w:p w14:paraId="4700FB03" w14:textId="12A1D2D3" w:rsidR="002B302F" w:rsidRPr="00CD1426" w:rsidRDefault="002B302F" w:rsidP="00CD1426">
      <w:pPr>
        <w:tabs>
          <w:tab w:val="left" w:pos="0"/>
          <w:tab w:val="right" w:pos="540"/>
        </w:tabs>
        <w:spacing w:line="360" w:lineRule="auto"/>
        <w:jc w:val="both"/>
        <w:rPr>
          <w:rFonts w:ascii="Book Antiqua" w:hAnsi="Book Antiqua" w:cs="Arial"/>
          <w:lang w:val="en-US" w:eastAsia="zh-CN"/>
        </w:rPr>
      </w:pPr>
      <w:r w:rsidRPr="00CD1426">
        <w:rPr>
          <w:rFonts w:ascii="Book Antiqua" w:hAnsi="Book Antiqua" w:cs="Arial"/>
          <w:lang w:val="en-US"/>
        </w:rPr>
        <w:t xml:space="preserve">In 2010/2011, therapeutic regimens for HCV genotype 1 patients were modified, and the adding NS3/4a protease inhibitors to dual therapy increased the effectiveness and chances of SVR. The grouping of </w:t>
      </w:r>
      <w:proofErr w:type="spellStart"/>
      <w:r w:rsidRPr="00CD1426">
        <w:rPr>
          <w:rFonts w:ascii="Book Antiqua" w:hAnsi="Book Antiqua" w:cs="Arial"/>
          <w:lang w:val="en-US"/>
        </w:rPr>
        <w:t>pegylated</w:t>
      </w:r>
      <w:proofErr w:type="spellEnd"/>
      <w:r w:rsidRPr="00CD1426">
        <w:rPr>
          <w:rFonts w:ascii="Book Antiqua" w:hAnsi="Book Antiqua" w:cs="Arial"/>
          <w:lang w:val="en-US"/>
        </w:rPr>
        <w:t xml:space="preserve"> interferon, ribavirin and a protease inhibitor (</w:t>
      </w:r>
      <w:proofErr w:type="spellStart"/>
      <w:r w:rsidRPr="00CD1426">
        <w:rPr>
          <w:rFonts w:ascii="Book Antiqua" w:hAnsi="Book Antiqua" w:cs="Arial"/>
          <w:lang w:val="en-US"/>
        </w:rPr>
        <w:t>boceprevir</w:t>
      </w:r>
      <w:proofErr w:type="spellEnd"/>
      <w:r w:rsidRPr="00CD1426">
        <w:rPr>
          <w:rFonts w:ascii="Book Antiqua" w:hAnsi="Book Antiqua" w:cs="Arial"/>
          <w:lang w:val="en-US"/>
        </w:rPr>
        <w:t xml:space="preserve"> or </w:t>
      </w:r>
      <w:proofErr w:type="spellStart"/>
      <w:r w:rsidRPr="00CD1426">
        <w:rPr>
          <w:rFonts w:ascii="Book Antiqua" w:hAnsi="Book Antiqua" w:cs="Arial"/>
          <w:lang w:val="en-US"/>
        </w:rPr>
        <w:t>telaprevir</w:t>
      </w:r>
      <w:proofErr w:type="spellEnd"/>
      <w:r w:rsidRPr="00CD1426">
        <w:rPr>
          <w:rFonts w:ascii="Book Antiqua" w:hAnsi="Book Antiqua" w:cs="Arial"/>
          <w:lang w:val="en-US"/>
        </w:rPr>
        <w:t xml:space="preserve">) significantly improved the sustained </w:t>
      </w:r>
      <w:proofErr w:type="spellStart"/>
      <w:r w:rsidRPr="00CD1426">
        <w:rPr>
          <w:rFonts w:ascii="Book Antiqua" w:hAnsi="Book Antiqua" w:cs="Arial"/>
          <w:lang w:val="en-US"/>
        </w:rPr>
        <w:t>virologic</w:t>
      </w:r>
      <w:proofErr w:type="spellEnd"/>
      <w:r w:rsidRPr="00CD1426">
        <w:rPr>
          <w:rFonts w:ascii="Book Antiqua" w:hAnsi="Book Antiqua" w:cs="Arial"/>
          <w:lang w:val="en-US"/>
        </w:rPr>
        <w:t xml:space="preserve"> response rates compared with dual treatment (approximately 70 to 80% </w:t>
      </w:r>
      <w:r w:rsidRPr="00CD1426">
        <w:rPr>
          <w:rFonts w:ascii="Book Antiqua" w:hAnsi="Book Antiqua" w:cs="Arial"/>
          <w:i/>
          <w:lang w:val="en-US"/>
        </w:rPr>
        <w:t>vs</w:t>
      </w:r>
      <w:r w:rsidR="00B33120" w:rsidRPr="00CD1426">
        <w:rPr>
          <w:rFonts w:ascii="Book Antiqua" w:hAnsi="Book Antiqua" w:cs="Arial"/>
          <w:lang w:val="en-US"/>
        </w:rPr>
        <w:t xml:space="preserve"> 40 to 50% SVR, respectively)</w:t>
      </w:r>
      <w:r w:rsidRPr="00CD1426">
        <w:rPr>
          <w:rFonts w:ascii="Book Antiqua" w:hAnsi="Book Antiqua" w:cs="Arial"/>
          <w:lang w:val="en-US"/>
        </w:rPr>
        <w:fldChar w:fldCharType="begin" w:fldLock="1"/>
      </w:r>
      <w:r w:rsidR="001D4A08" w:rsidRPr="00CD1426">
        <w:rPr>
          <w:rFonts w:ascii="Book Antiqua" w:hAnsi="Book Antiqua" w:cs="Arial"/>
          <w:lang w:val="en-US"/>
        </w:rPr>
        <w:instrText>ADDIN CSL_CITATION { "citationItems" : [ { "id" : "ITEM-1", "itemData" : { "DOI" : "10.1056/NEJMoa1012912", "ISSN" : "1533-4406", "PMID" : "21696307", "abstract" : "In phase 2 trials, telaprevir, a hepatitis C virus (HCV) genotype 1 protease inhibitor, in combination with peginterferon-ribavirin, as compared with peginterferon-ribavirin alone, has shown improved efficacy, with potential for shortening the duration of treatment in a majority of patients.", "author" : [ { "dropping-particle" : "", "family" : "Jacobson", "given" : "Ira M", "non-dropping-particle" : "", "parse-names" : false, "suffix" : "" }, { "dropping-particle" : "", "family" : "McHutchison", "given" : "John G", "non-dropping-particle" : "", "parse-names" : false, "suffix" : "" }, { "dropping-particle" : "", "family" : "Dusheiko", "given" : "Geoffrey", "non-dropping-particle" : "", "parse-names" : false, "suffix" : "" }, { "dropping-particle" : "", "family" : "Bisceglie", "given" : "Adrian M", "non-dropping-particle" : "Di", "parse-names" : false, "suffix" : "" }, { "dropping-particle" : "", "family" : "Reddy", "given" : "K Rajender", "non-dropping-particle" : "", "parse-names" : false, "suffix" : "" }, { "dropping-particle" : "", "family" : "Bzowej", "given" : "Natalie H", "non-dropping-particle" : "", "parse-names" : false, "suffix" : "" }, { "dropping-particle" : "", "family" : "Marcellin", "given" : "Patrick", "non-dropping-particle" : "", "parse-names" : false, "suffix" : "" }, { "dropping-particle" : "", "family" : "Muir", "given" : "Andrew J", "non-dropping-particle" : "", "parse-names" : false, "suffix" : "" }, { "dropping-particle" : "", "family" : "Ferenci", "given" : "Peter", "non-dropping-particle" : "", "parse-names" : false, "suffix" : "" }, { "dropping-particle" : "", "family" : "Flisiak", "given" : "Robert", "non-dropping-particle" : "", "parse-names" : false, "suffix" : "" }, { "dropping-particle" : "", "family" : "George", "given" : "Jacob", "non-dropping-particle" : "", "parse-names" : false, "suffix" : "" }, { "dropping-particle" : "", "family" : "Rizzetto", "given" : "Mario", "non-dropping-particle" : "", "parse-names" : false, "suffix" : "" }, { "dropping-particle" : "", "family" : "Shouval", "given" : "Daniel", "non-dropping-particle" : "", "parse-names" : false, "suffix" : "" }, { "dropping-particle" : "", "family" : "Sola", "given" : "Ricard", "non-dropping-particle" : "", "parse-names" : false, "suffix" : "" }, { "dropping-particle" : "", "family" : "Terg", "given" : "Ruben a", "non-dropping-particle" : "", "parse-names" : false, "suffix" : "" }, { "dropping-particle" : "", "family" : "Yoshida", "given" : "Eric M", "non-dropping-particle" : "", "parse-names" : false, "suffix" : "" }, { "dropping-particle" : "", "family" : "Adda", "given" : "Nathalie", "non-dropping-particle" : "", "parse-names" : false, "suffix" : "" }, { "dropping-particle" : "", "family" : "Bengtsson", "given" : "Leif", "non-dropping-particle" : "", "parse-names" : false, "suffix" : "" }, { "dropping-particle" : "", "family" : "Sankoh", "given" : "Abdul J", "non-dropping-particle" : "", "parse-names" : false, "suffix" : "" }, { "dropping-particle" : "", "family" : "Kieffer", "given" : "Tara L", "non-dropping-particle" : "", "parse-names" : false, "suffix" : "" }, { "dropping-particle" : "", "family" : "George", "given" : "Shelley", "non-dropping-particle" : "", "parse-names" : false, "suffix" : "" }, { "dropping-particle" : "", "family" : "Kauffman", "given" : "Robert S", "non-dropping-particle" : "", "parse-names" : false, "suffix" : "" }, { "dropping-particle" : "", "family" : "Zeuzem", "given" : "Stefan", "non-dropping-particle" : "", "parse-names" : false, "suffix" : "" } ], "container-title" : "The New England journal of medicine", "id" : "ITEM-1", "issue" : "25", "issued" : { "date-parts" : [ [ "2011", "6", "23" ] ] }, "page" : "2405-16", "title" : "Telaprevir for previously untreated chronic hepatitis C virus infection.", "type" : "article-journal", "volume" : "364" }, "uris" : [ "http://www.mendeley.com/documents/?uuid=9eaa9077-5e5f-4fe3-97a7-cd8dc90cad78" ] }, { "id" : "ITEM-2", "itemData" : { "ISSN" : "1478-3231", "abstract" : "Chronic hepatitis C virus infection affects approximately 2% of the world population and can result in cirrhosis and hepatocellular carcinoma. Until 2011, the standard of care (SOC) has been therapy with pegylated interferon alfa and ribavirin (PEG-IFN/RBV). Sustained virologic response rates (SVR) after SOC in patients infected with genotype 1 have been 40-50%. The development of new direct antiviral agents (DAA) is vital. The first drugs that specifically target the HCV protease have been approved in 2011. This review summarizes the results of SPRINT-2, a phase III double blind, placebo controlled study in which the efficacy and safety of Boceprevir, a new HCV protease inhibitor, was compared to SOC.", "author" : [ { "dropping-particle" : "", "family" : "Manns", "given" : "Michael P", "non-dropping-particle" : "", "parse-names" : false, "suffix" : "" }, { "dropping-particle" : "", "family" : "Markova", "given" : "Antoaneta A", "non-dropping-particle" : "", "parse-names" : false, "suffix" : "" }, { "dropping-particle" : "", "family" : "Serrano", "given" : "Beatriz Calle", "non-dropping-particle" : "", "parse-names" : false, "suffix" : "" }, { "dropping-particle" : "", "family" : "Cornberg", "given" : "Markus", "non-dropping-particle" : "", "parse-names" : false, "suffix" : "" } ], "container-title" : "Liver international : official journal of the International Association for the Study of the Liver", "id" : "ITEM-2", "issued" : { "date-parts" : [ [ "2012", "2" ] ] }, "page" : "27-31", "title" : "Phase III results of Boceprevir in treatment na\u00efve patients with chronic hepatitis C genotype 1.", "type" : "article-journal", "volume" : "32 Suppl 1" }, "uris" : [ "http://www.mendeley.com/documents/?uuid=2e806347-3ad2-419a-b4f2-830c20eb8867" ] }, { "id" : "ITEM-3", "itemData" : { "DOI" : "10.1056/NEJMoa0908014", "ISSN" : "1533-4406", "PMID" : "20375406", "abstract" : "BACKGROUND: Patients with genotype 1 hepatitis C virus (HCV) who do not have a sustained response to therapy with peginterferon alfa and ribavirin have a low likelihood of success with retreatment.\n\nMETHODS: We randomly assigned patients with HCV genotype 1 who had not had a sustained virologic response after peginterferon alfa-ribavirin therapy to one of four treatment groups: 115 patients to the T12PR24 group, receiving telaprevir (1125-mg loading dose, then 750 mg every 8 hours) for 12 weeks and peginterferon alfa-2a (180 microg per week) and ribavirin (1000 or 1200 mg per day, according to body weight) for 24 weeks; 113 patients to the T24PR48 group, receiving telaprevir for 24 weeks and peginterferon alfa-2a and ribavirin for 48 weeks (at the same doses as in the T12PR24 group); 111 patients to the T24P24 group, receiving telaprevir and peginterferon alfa-2a for 24 weeks (at the same doses as in the T12PR24 group); and 114 patients to the PR48 (or control) group, receiving peginterferon alfa-2a and ribavirin for 48 weeks (at the same doses as in the T12PR24 group). The primary end point was sustained virologic response (undetectable HCV RNA levels 24 weeks after the last dose of study drugs).\n\nRESULTS: The rates of sustained virologic response in the three telaprevir groups--51% in the T12PR24 group, 53% in the T24PR48 group, and 24% in the T24P24 group--were significantly higher than the rate in the control group (14%; P&lt;0.001, P&lt;0.001, and P=0.02, respectively). Response rates were higher among patients who had previously had relapses than among nonresponders. One of the most common adverse events in the telaprevir groups was rash (overall, occurring in 51% of patients, with severe rash in 5%). Discontinuation of study drugs because of adverse events was more frequent in the telaprevir groups than in the control group (15% vs. 4%).\n\nCONCLUSIONS: In HCV-infected patients in whom initial peginterferon alfa and ribavirin treatment failed, retreatment with telaprevir in combination with peginterferon alfa-2a and ribavirin was more effective than retreatment with peginterferon alfa-2a and ribavirin alone. (ClinicalTrials.gov number, NCT00420784.)", "author" : [ { "dropping-particle" : "", "family" : "McHutchison", "given" : "John G", "non-dropping-particle" : "", "parse-names" : false, "suffix" : "" }, { "dropping-particle" : "", "family" : "Manns", "given" : "Michael P", "non-dropping-particle" : "", "parse-names" : false, "suffix" : "" }, { "dropping-particle" : "", "family" : "Muir", "given" : "Andrew J", "non-dropping-particle" : "", "parse-names" : false, "suffix" : "" }, { "dropping-particle" : "", "family" : "Terrault", "given" : "Norah A", "non-dropping-particle" : "", "parse-names" : false, "suffix" : "" }, { "dropping-particle" : "", "family" : "Jacobson", "given" : "Ira M", "non-dropping-particle" : "", "parse-names" : false, "suffix" : "" }, { "dropping-particle" : "", "family" : "Afdhal", "given" : "Nezam H", "non-dropping-particle" : "", "parse-names" : false, "suffix" : "" }, { "dropping-particle" : "", "family" : "Heathcote", "given" : "E Jenny", "non-dropping-particle" : "", "parse-names" : false, "suffix" : "" }, { "dropping-particle" : "", "family" : "Zeuzem", "given" : "Stefan", "non-dropping-particle" : "", "parse-names" : false, "suffix" : "" }, { "dropping-particle" : "", "family" : "Reesink", "given" : "Hendrik W", "non-dropping-particle" : "", "parse-names" : false, "suffix" : "" }, { "dropping-particle" : "", "family" : "Garg", "given" : "Jyotsna", "non-dropping-particle" : "", "parse-names" : false, "suffix" : "" }, { "dropping-particle" : "", "family" : "Bsharat", "given" : "Mohammad", "non-dropping-particle" : "", "parse-names" : false, "suffix" : "" }, { "dropping-particle" : "", "family" : "George", "given" : "Shelley", "non-dropping-particle" : "", "parse-names" : false, "suffix" : "" }, { "dropping-particle" : "", "family" : "Kauffman", "given" : "Robert S", "non-dropping-particle" : "", "parse-names" : false, "suffix" : "" }, { "dropping-particle" : "", "family" : "Adda", "given" : "Nathalie", "non-dropping-particle" : "", "parse-names" : false, "suffix" : "" }, { "dropping-particle" : "", "family" : "Bisceglie", "given" : "Adrian M", "non-dropping-particle" : "Di", "parse-names" : false, "suffix" : "" } ], "container-title" : "The New England journal of medicine", "id" : "ITEM-3", "issue" : "14", "issued" : { "date-parts" : [ [ "2010", "4", "8" ] ] }, "page" : "1292-303", "title" : "Telaprevir for previously treated chronic HCV infection.", "type" : "article-journal", "volume" : "362" }, "uris" : [ "http://www.mendeley.com/documents/?uuid=fa9dfd29-641a-4071-98e6-4d737c6368dd" ] } ], "mendeley" : { "formattedCitation" : "&lt;sup&gt;[9,39,40]&lt;/sup&gt;", "plainTextFormattedCitation" : "[9,39,40]", "previouslyFormattedCitation" : "&lt;sup&gt;[9,39,40]&lt;/sup&gt;" }, "properties" : { "noteIndex" : 0 }, "schema" : "https://github.com/citation-style-language/schema/raw/master/csl-citation.json" }</w:instrText>
      </w:r>
      <w:r w:rsidRPr="00CD1426">
        <w:rPr>
          <w:rFonts w:ascii="Book Antiqua" w:hAnsi="Book Antiqua" w:cs="Arial"/>
          <w:lang w:val="en-US"/>
        </w:rPr>
        <w:fldChar w:fldCharType="separate"/>
      </w:r>
      <w:r w:rsidR="001D4A08" w:rsidRPr="00CD1426">
        <w:rPr>
          <w:rFonts w:ascii="Book Antiqua" w:hAnsi="Book Antiqua" w:cs="Arial"/>
          <w:noProof/>
          <w:vertAlign w:val="superscript"/>
          <w:lang w:val="en-US"/>
        </w:rPr>
        <w:t>[9,39,40]</w:t>
      </w:r>
      <w:r w:rsidRPr="00CD1426">
        <w:rPr>
          <w:rFonts w:ascii="Book Antiqua" w:hAnsi="Book Antiqua" w:cs="Arial"/>
          <w:lang w:val="en-US"/>
        </w:rPr>
        <w:fldChar w:fldCharType="end"/>
      </w:r>
      <w:r w:rsidR="00B33120" w:rsidRPr="00CD1426">
        <w:rPr>
          <w:rFonts w:ascii="Book Antiqua" w:hAnsi="Book Antiqua" w:cs="Arial"/>
          <w:lang w:val="en-US" w:eastAsia="zh-CN"/>
        </w:rPr>
        <w:t>.</w:t>
      </w:r>
      <w:r w:rsidRPr="00CD1426">
        <w:rPr>
          <w:rFonts w:ascii="Book Antiqua" w:hAnsi="Book Antiqua" w:cs="Arial"/>
          <w:lang w:val="en-US"/>
        </w:rPr>
        <w:t xml:space="preserve"> Protease inhibitors should not be used as monotherapy, due to the development of resistance and genetic modification of the host barrier. With triple therapy, there is the possibility of shortening treatment as guided by viral kinetics. Individuals with IL28B (rs12979860) genotype C/C have higher chances of achieving shortened response guided therapy. Randomized trials have suggested that patients with unfavorable IL28B genotypes (C/T and T/T, rs12979860) had significantly improved SVR rates when protease inhibitors w</w:t>
      </w:r>
      <w:r w:rsidR="00B33120" w:rsidRPr="00CD1426">
        <w:rPr>
          <w:rFonts w:ascii="Book Antiqua" w:hAnsi="Book Antiqua" w:cs="Arial"/>
          <w:lang w:val="en-US"/>
        </w:rPr>
        <w:t>ere combined with dual therapy</w:t>
      </w:r>
      <w:r w:rsidRPr="00CD1426">
        <w:rPr>
          <w:rFonts w:ascii="Book Antiqua" w:hAnsi="Book Antiqua" w:cs="Arial"/>
          <w:lang w:val="en-US"/>
        </w:rPr>
        <w:fldChar w:fldCharType="begin" w:fldLock="1"/>
      </w:r>
      <w:r w:rsidR="001D4A08" w:rsidRPr="00CD1426">
        <w:rPr>
          <w:rFonts w:ascii="Book Antiqua" w:hAnsi="Book Antiqua" w:cs="Arial"/>
          <w:lang w:val="en-US"/>
        </w:rPr>
        <w:instrText>ADDIN CSL_CITATION { "citationItems" : [ { "id" : "ITEM-1", "itemData" : { "DOI" : "10.1056/NEJMoa1013086", "ISSN" : "1533-4406", "PMID" : "21696308", "abstract" : "Up to 60% of patients with hepatitis C virus (HCV) genotype 1 infection do not have a sustained virologic response to therapy with peginterferon alfa plus ribavirin.", "author" : [ { "dropping-particle" : "", "family" : "Zeuzem", "given" : "Stefan", "non-dropping-particle" : "", "parse-names" : false, "suffix" : "" }, { "dropping-particle" : "", "family" : "Andreone", "given" : "Pietro", "non-dropping-particle" : "", "parse-names" : false, "suffix" : "" }, { "dropping-particle" : "", "family" : "Pol", "given" : "Stanislas", "non-dropping-particle" : "", "parse-names" : false, "suffix" : "" }, { "dropping-particle" : "", "family" : "Lawitz", "given" : "Eric", "non-dropping-particle" : "", "parse-names" : false, "suffix" : "" }, { "dropping-particle" : "", "family" : "Diago", "given" : "Moises", "non-dropping-particle" : "", "parse-names" : false, "suffix" : "" }, { "dropping-particle" : "", "family" : "Roberts", "given" : "Stuart", "non-dropping-particle" : "", "parse-names" : false, "suffix" : "" }, { "dropping-particle" : "", "family" : "Focaccia", "given" : "Roberto", "non-dropping-particle" : "", "parse-names" : false, "suffix" : "" }, { "dropping-particle" : "", "family" : "Younossi", "given" : "Zobair", "non-dropping-particle" : "", "parse-names" : false, "suffix" : "" }, { "dropping-particle" : "", "family" : "Foster", "given" : "Graham R", "non-dropping-particle" : "", "parse-names" : false, "suffix" : "" }, { "dropping-particle" : "", "family" : "Horban", "given" : "Andrzej", "non-dropping-particle" : "", "parse-names" : false, "suffix" : "" }, { "dropping-particle" : "", "family" : "Ferenci", "given" : "Peter", "non-dropping-particle" : "", "parse-names" : false, "suffix" : "" }, { "dropping-particle" : "", "family" : "Nevens", "given" : "Frederik", "non-dropping-particle" : "", "parse-names" : false, "suffix" : "" }, { "dropping-particle" : "", "family" : "M\u00fcllhaupt", "given" : "Beat", "non-dropping-particle" : "", "parse-names" : false, "suffix" : "" }, { "dropping-particle" : "", "family" : "Pockros", "given" : "Paul", "non-dropping-particle" : "", "parse-names" : false, "suffix" : "" }, { "dropping-particle" : "", "family" : "Terg", "given" : "Ruben", "non-dropping-particle" : "", "parse-names" : false, "suffix" : "" }, { "dropping-particle" : "", "family" : "Shouval", "given" : "Daniel", "non-dropping-particle" : "", "parse-names" : false, "suffix" : "" }, { "dropping-particle" : "", "family" : "Hoek", "given" : "Bart", "non-dropping-particle" : "van", "parse-names" : false, "suffix" : "" }, { "dropping-particle" : "", "family" : "Weiland", "given" : "Ola", "non-dropping-particle" : "", "parse-names" : false, "suffix" : "" }, { "dropping-particle" : "", "family" : "Heeswijk", "given" : "Rolf", "non-dropping-particle" : "Van", "parse-names" : false, "suffix" : "" }, { "dropping-particle" : "", "family" : "Meyer", "given" : "Sandra", "non-dropping-particle" : "De", "parse-names" : false, "suffix" : "" }, { "dropping-particle" : "", "family" : "Luo", "given" : "Don", "non-dropping-particle" : "", "parse-names" : false, "suffix" : "" }, { "dropping-particle" : "", "family" : "Boogaerts", "given" : "Griet", "non-dropping-particle" : "", "parse-names" : false, "suffix" : "" }, { "dropping-particle" : "", "family" : "Polo", "given" : "Ramon", "non-dropping-particle" : "", "parse-names" : false, "suffix" : "" }, { "dropping-particle" : "", "family" : "Picchio", "given" : "Gaston", "non-dropping-particle" : "", "parse-names" : false, "suffix" : "" }, { "dropping-particle" : "", "family" : "Beumont", "given" : "Maria", "non-dropping-particle" : "", "parse-names" : false, "suffix" : "" } ], "container-title" : "The New England journal of medicine", "id" : "ITEM-1", "issue" : "25", "issued" : { "date-parts" : [ [ "2011", "6", "23" ] ] }, "page" : "2417-28", "title" : "Telaprevir for retreatment of HCV infection.", "type" : "article-journal", "volume" : "364" }, "uris" : [ "http://www.mendeley.com/documents/?uuid=e8dfc464-989f-4db1-a090-36404e673d78" ] }, { "id" : "ITEM-2", "itemData" : { "DOI" : "10.1016/j.jhep.2012.12.023", "ISSN" : "1600-0641", "PMID" : "23321318", "abstract" : "BACKGROUND &amp; AIMS: Nucleotide polymorphisms upstream of the interleukin 28B (IL28B) gene are strongly associated with hepatitis C virus (HCV) clearance in treatment-na\u00efve patients treated with peginterferon/ribavirin (PegIFN/RBV). This subanalysis of the REALIZE study evaluated the impact of IL28B polymorphisms on sustained virologic response (SVR) in telaprevir-treated, HCV genotype 1-infected patients with prior PegIFN/RBV treatment failure.\n\nMETHODS: Treatment-experienced patients were randomized to 12 weeks of telaprevir (750 mg every 8h) with/without a 4-week PegIFN/RBV lead-in, or placebo, each with PegIFN-\u03b1-2a (180 \u03bcg/week) and ribavirin (1000-1200 mg/day) for 48 weeks overall. Data from telaprevir arms were pooled.\n\nRESULTS: Eighty percent (527/662) of patients consented to genetic testing and were included. Similar proportions of patients had IL28B CC, CT and TT genotypes across treatment arms; baseline characteristics were generally well balanced. SVR rates were higher in the pooled telaprevir versus placebo group for all IL28B genotypes; CC: 79% versus 29%, respectively; CT: 60% versus 16%, respectively; TT: 61% versus 13%, respectively. Within each prior response category (relapse, partial or null response), SVR and viral breakthrough rates with telaprevir-based treatment were comparable across IL28B genotypes. IL28B genotype did not significantly affect SVR (2-step multivariate analyses; p &gt;0.16 in pairwise comparison among CC, TT, and CT). Variations in rapid virologic response and relapse rates were noted in certain patient subgroups.\n\nCONCLUSIONS: Our findings suggest that IL28B genotype has a limited impact on SVR rates with telaprevir-based therapy in treatment-experienced patients. IL28B genotyping may have limited utility in the baseline evaluation of similar patients considered for telaprevir-based therapy.", "author" : [ { "dropping-particle" : "", "family" : "Pol", "given" : "Stanislas", "non-dropping-particle" : "", "parse-names" : false, "suffix" : "" }, { "dropping-particle" : "", "family" : "Aerssens", "given" : "Jeroen", "non-dropping-particle" : "", "parse-names" : false, "suffix" : "" }, { "dropping-particle" : "", "family" : "Zeuzem", "given" : "Stefan", "non-dropping-particle" : "", "parse-names" : false, "suffix" : "" }, { "dropping-particle" : "", "family" : "Andreone", "given" : "Pietro", "non-dropping-particle" : "", "parse-names" : false, "suffix" : "" }, { "dropping-particle" : "", "family" : "Lawitz", "given" : "Eric J", "non-dropping-particle" : "", "parse-names" : false, "suffix" : "" }, { "dropping-particle" : "", "family" : "Roberts", "given" : "Stuart", "non-dropping-particle" : "", "parse-names" : false, "suffix" : "" }, { "dropping-particle" : "", "family" : "Younossi", "given" : "Zobair", "non-dropping-particle" : "", "parse-names" : false, "suffix" : "" }, { "dropping-particle" : "", "family" : "Foster", "given" : "Graham R", "non-dropping-particle" : "", "parse-names" : false, "suffix" : "" }, { "dropping-particle" : "", "family" : "Focaccia", "given" : "Roberto", "non-dropping-particle" : "", "parse-names" : false, "suffix" : "" }, { "dropping-particle" : "", "family" : "Horban", "given" : "Andrzej", "non-dropping-particle" : "", "parse-names" : false, "suffix" : "" }, { "dropping-particle" : "", "family" : "Pockros", "given" : "Paul J", "non-dropping-particle" : "", "parse-names" : false, "suffix" : "" }, { "dropping-particle" : "", "family" : "Heeswijk", "given" : "Rolf P G", "non-dropping-particle" : "Van", "parse-names" : false, "suffix" : "" }, { "dropping-particle" : "", "family" : "Meyer", "given" : "Sandra", "non-dropping-particle" : "De", "parse-names" : false, "suffix" : "" }, { "dropping-particle" : "", "family" : "Luo", "given" : "Don", "non-dropping-particle" : "", "parse-names" : false, "suffix" : "" }, { "dropping-particle" : "", "family" : "Botfield", "given" : "Martyn", "non-dropping-particle" : "", "parse-names" : false, "suffix" : "" }, { "dropping-particle" : "", "family" : "Beumont", "given" : "Maria", "non-dropping-particle" : "", "parse-names" : false, "suffix" : "" }, { "dropping-particle" : "", "family" : "Picchio", "given" : "Gaston", "non-dropping-particle" : "", "parse-names" : false, "suffix" : "" } ], "container-title" : "Journal of hepatology", "id" : "ITEM-2", "issue" : "5", "issued" : { "date-parts" : [ [ "2013", "5", "5" ] ] }, "page" : "883-9", "publisher" : "Elsevier", "title" : "Limited impact of IL28B genotype on response rates in telaprevir-treated patients with prior treatment failure.", "type" : "article-journal", "volume" : "58" }, "uris" : [ "http://www.mendeley.com/documents/?uuid=e89749ff-b60d-45e9-bd82-48da20f2801f" ] }, { "id" : "ITEM-3", "itemData" : { "DOI" : "10.5946/ce.2012.45.3.217", "ISSN" : "2234-2443", "PMID" : "22977805", "abstract" : "Upper gastrointestinal (GI) endoscopy is the most basic part of endoscopy field. Although old and basic procedures are still in use, a line of innovative techniques and devices are being introduced to allow much complex and difficult procedures in endoscopy unit. High quality upper endoscopic procedures can replace or obviate surgical treatment. Selected reviews dealing with non-variceal upper GI bleeding, challenging esophageal stenting, endoscopic management of subpeithelial tumor, and endoscopic evaluation for candidate lesions of endoscopic submucosal dissection were selected among the topics from International Digestive Endoscopy Network 2012.", "author" : [ { "dropping-particle" : "", "family" : "Choi", "given" : "Il Ju", "non-dropping-particle" : "", "parse-names" : false, "suffix" : "" } ], "container-title" : "Clinical endoscopy", "id" : "ITEM-3", "issue" : "3", "issued" : { "date-parts" : [ [ "2012", "9" ] ] }, "page" : "217-9", "title" : "Upper endoscopy in international digestive endoscopy network 2012: towards upper end of quality.", "type" : "article-journal", "volume" : "45" }, "uris" : [ "http://www.mendeley.com/documents/?uuid=13904231-e8cc-41de-8cce-8cc15a8193a6" ] }, { "id" : "ITEM-4", "itemData" : { "DOI" : "10.1053/j.gastro.2012.05.011", "ISSN" : "1528-0012", "PMID" : "22626609", "abstract" : "BACKGROUND &amp; AIMS: Little is known about factors associated with a sustained virologic response (SVR) among patients with hepatitis C virus (HCV) infection to treatment with protease inhibitors.\n\nMETHODS: Previously untreated patients (from the Serine Protease Inhibitor Therapy 2 [SPRINT-2] trial) and those who did not respond to prior therapy (from the Retreatment with HCV Serine Protease Inhibitor Boceprevir and PegIntron/Rebetol 2 [RESPOND-2] trial) received either a combination of peginterferon and ribavirin for 48 weeks or boceprevir, peginterferon, and ribavirin (triple therapy) after 4 weeks of peginterferon and ribavirin (total treatment duration, 28-48 wk). A good response to interferon was defined as a \u2265 1 log(10) decrease in HCV RNA at week 4; a poor response was defined as a &lt;1 log(10) decrease. We used multivariate regression analyses to identify baseline factors of the host (including the polymorphism interleukin [IL]-28B rs12979860) associated with response. The polymorphism IL-28B rs8099917 also was assessed.\n\nRESULTS: In the SPRINT-2 trial, factors that predicted a SVR to triple therapy included low viral load (odds ratio [OR], 11.6), IL-28B genotype (rs 12979860 CC vs TT and CT; ORs, 2.6 and 2.1, respectively), absence of cirrhosis (OR, 4.3), HCV subtype 1b (OR, 2.0), and non-black race (OR, 2.0). In the RESPOND-2 trial, the only factor significantly associated with a SVR was previous relapse, compared with previous nonresponse (OR, 2.6). Most patients with rs12979860 CC who received triple therapy had undetectable levels of HCV RNA by week 8 (76%-89%), and were eligible for shortened therapy. In both studies, IL-28B rs12979860 CC was associated more strongly with a good response to interferon than other baseline factors; however, a \u2265 1 log(10) decrease in HCV-RNA level at week 4 was associated more strongly with SVR than IL-28B rs12979860. Combining the rs8099917 and rs12979860 genotypes does not increase the association with SVR.\n\nCONCLUSIONS: The CC polymorphism at IL-28B rs12979860 is associated with response to triple therapy and can identify candidates for shorter treatment durations. A \u2265 1 log(10) decrease in HCV RNA at week 4 of therapy is the strongest predictor of a SVR, regardless of polymorphisms in IL-28B.", "author" : [ { "dropping-particle" : "", "family" : "Poordad", "given" : "Fred", "non-dropping-particle" : "", "parse-names" : false, "suffix" : "" }, { "dropping-particle" : "", "family" : "Bronowicki", "given" : "Jean-Pierre", "non-dropping-particle" : "", "parse-names" : false, "suffix" : "" }, { "dropping-particle" : "", "family" : "Gordon", "given" : "Stuart C", "non-dropping-particle" : "", "parse-names" : false, "suffix" : "" }, { "dropping-particle" : "", "family" : "Zeuzem", "given" : "Stefan", "non-dropping-particle" : "", "parse-names" : false, "suffix" : "" }, { "dropping-particle" : "", "family" : "Jacobson", "given" : "Ira M", "non-dropping-particle" : "", "parse-names" : false, "suffix" : "" }, { "dropping-particle" : "", "family" : "Sulkowski", "given" : "Mark S", "non-dropping-particle" : "", "parse-names" : false, "suffix" : "" }, { "dropping-particle" : "", "family" : "Poynard", "given" : "Thierry", "non-dropping-particle" : "", "parse-names" : false, "suffix" : "" }, { "dropping-particle" : "", "family" : "Morgan", "given" : "Timothy R", "non-dropping-particle" : "", "parse-names" : false, "suffix" : "" }, { "dropping-particle" : "", "family" : "Molony", "given" : "Cliona", "non-dropping-particle" : "", "parse-names" : false, "suffix" : "" }, { "dropping-particle" : "", "family" : "Pedicone", "given" : "Lisa D", "non-dropping-particle" : "", "parse-names" : false, "suffix" : "" }, { "dropping-particle" : "", "family" : "Sings", "given" : "Heather L", "non-dropping-particle" : "", "parse-names" : false, "suffix" : "" }, { "dropping-particle" : "", "family" : "Burroughs", "given" : "Margaret H", "non-dropping-particle" : "", "parse-names" : false, "suffix" : "" }, { "dropping-particle" : "", "family" : "Sniukiene", "given" : "Vilma", "non-dropping-particle" : "", "parse-names" : false, "suffix" : "" }, { "dropping-particle" : "", "family" : "Boparai", "given" : "Navdeep", "non-dropping-particle" : "", "parse-names" : false, "suffix" : "" }, { "dropping-particle" : "", "family" : "Goteti", "given" : "Venkata S", "non-dropping-particle" : "", "parse-names" : false, "suffix" : "" }, { "dropping-particle" : "", "family" : "Brass", "given" : "Clifford A", "non-dropping-particle" : "", "parse-names" : false, "suffix" : "" }, { "dropping-particle" : "", "family" : "Albrecht", "given" : "Janice K", "non-dropping-particle" : "", "parse-names" : false, "suffix" : "" }, { "dropping-particle" : "", "family" : "Bacon", "given" : "Bruce R", "non-dropping-particle" : "", "parse-names" : false, "suffix" : "" } ], "container-title" : "Gastroenterology", "id" : "ITEM-4", "issue" : "3", "issued" : { "date-parts" : [ [ "2012", "9" ] ] }, "page" : "608-18.e1-5", "title" : "Factors that predict response of patients with hepatitis C virus infection to boceprevir.", "type" : "article-journal", "volume" : "143" }, "uris" : [ "http://www.mendeley.com/documents/?uuid=516c62d2-09e3-4ed0-b97d-05bd8d7ef28d" ] }, { "id" : "ITEM-5", "itemData" : { "ISSN" : "1478-3231", "abstract" : "Chronic hepatitis C virus infection affects approximately 2% of the world population and can result in cirrhosis and hepatocellular carcinoma. Until 2011, the standard of care (SOC) has been therapy with pegylated interferon alfa and ribavirin (PEG-IFN/RBV). Sustained virologic response rates (SVR) after SOC in patients infected with genotype 1 have been 40-50%. The development of new direct antiviral agents (DAA) is vital. The first drugs that specifically target the HCV protease have been approved in 2011. This review summarizes the results of SPRINT-2, a phase III double blind, placebo controlled study in which the efficacy and safety of Boceprevir, a new HCV protease inhibitor, was compared to SOC.", "author" : [ { "dropping-particle" : "", "family" : "Manns", "given" : "Michael P", "non-dropping-particle" : "", "parse-names" : false, "suffix" : "" }, { "dropping-particle" : "", "family" : "Markova", "given" : "Antoaneta A", "non-dropping-particle" : "", "parse-names" : false, "suffix" : "" }, { "dropping-particle" : "", "family" : "Serrano", "given" : "Beatriz Calle", "non-dropping-particle" : "", "parse-names" : false, "suffix" : "" }, { "dropping-particle" : "", "family" : "Cornberg", "given" : "Markus", "non-dropping-particle" : "", "parse-names" : false, "suffix" : "" } ], "container-title" : "Liver international : official journal of the International Association for the Study of the Liver", "id" : "ITEM-5", "issued" : { "date-parts" : [ [ "2012", "2" ] ] }, "page" : "27-31", "title" : "Phase III results of Boceprevir in treatment na\u00efve patients with chronic hepatitis C genotype 1.", "type" : "article-journal", "volume" : "32 Suppl 1" }, "uris" : [ "http://www.mendeley.com/documents/?uuid=2e806347-3ad2-419a-b4f2-830c20eb8867" ] }, { "id" : "ITEM-6", "itemData" : { "ISSN" : "1533-4406", "abstract" : "In patients with chronic infection with hepatitis C virus (HCV) genotype 1 who do not have a sustained response to therapy with peginterferon-ribavirin, outcomes after retreatment are suboptimal. Boceprevir, a protease inhibitor that binds to the HCV nonstructural 3 (NS3) active site, has been suggested as an additional treatment.", "author" : [ { "dropping-particle" : "", "family" : "Bacon", "given" : "Bruce R", "non-dropping-particle" : "", "parse-names" : false, "suffix" : "" }, { "dropping-particle" : "", "family" : "Gordon", "given" : "Stuart C", "non-dropping-particle" : "", "parse-names" : false, "suffix" : "" }, { "dropping-particle" : "", "family" : "Lawitz", "given" : "Eric", "non-dropping-particle" : "", "parse-names" : false, "suffix" : "" }, { "dropping-particle" : "", "family" : "Marcellin", "given" : "Patrick", "non-dropping-particle" : "", "parse-names" : false, "suffix" : "" }, { "dropping-particle" : "", "family" : "Vierling", "given" : "John M", "non-dropping-particle" : "", "parse-names" : false, "suffix" : "" }, { "dropping-particle" : "", "family" : "Zeuzem", "given" : "Stefan", "non-dropping-particle" : "", "parse-names" : false, "suffix" : "" }, { "dropping-particle" : "", "family" : "Poordad", "given" : "Fred", "non-dropping-particle" : "", "parse-names" : false, "suffix" : "" }, { "dropping-particle" : "", "family" : "Goodman", "given" : "Zachary D", "non-dropping-particle" : "", "parse-names" : false, "suffix" : "" }, { "dropping-particle" : "", "family" : "Sings", "given" : "Heather L", "non-dropping-particle" : "", "parse-names" : false, "suffix" : "" }, { "dropping-particle" : "", "family" : "Boparai", "given" : "Navdeep", "non-dropping-particle" : "", "parse-names" : false, "suffix" : "" }, { "dropping-particle" : "", "family" : "Burroughs", "given" : "Margaret", "non-dropping-particle" : "", "parse-names" : false, "suffix" : "" }, { "dropping-particle" : "", "family" : "Brass", "given" : "Clifford A", "non-dropping-particle" : "", "parse-names" : false, "suffix" : "" }, { "dropping-particle" : "", "family" : "Albrecht", "given" : "Janice K", "non-dropping-particle" : "", "parse-names" : false, "suffix" : "" }, { "dropping-particle" : "", "family" : "Esteban", "given" : "Rafael", "non-dropping-particle" : "", "parse-names" : false, "suffix" : "" } ], "container-title" : "The New England journal of medicine", "id" : "ITEM-6", "issue" : "13", "issued" : { "date-parts" : [ [ "2011", "3", "31" ] ] }, "page" : "1207-17", "title" : "Boceprevir for previously treated chronic HCV genotype 1 infection.", "type" : "article-journal", "volume" : "364" }, "uris" : [ "http://www.mendeley.com/documents/?uuid=e82af896-04d0-4a63-98c2-90c2260298b2" ] }, { "id" : "ITEM-7", "itemData" : { "DOI" : "10.1056/NEJMoa1012912", "ISSN" : "1533-4406", "PMID" : "21696307", "abstract" : "In phase 2 trials, telaprevir, a hepatitis C virus (HCV) genotype 1 protease inhibitor, in combination with peginterferon-ribavirin, as compared with peginterferon-ribavirin alone, has shown improved efficacy, with potential for shortening the duration of treatment in a majority of patients.", "author" : [ { "dropping-particle" : "", "family" : "Jacobson", "given" : "Ira M", "non-dropping-particle" : "", "parse-names" : false, "suffix" : "" }, { "dropping-particle" : "", "family" : "McHutchison", "given" : "John G", "non-dropping-particle" : "", "parse-names" : false, "suffix" : "" }, { "dropping-particle" : "", "family" : "Dusheiko", "given" : "Geoffrey", "non-dropping-particle" : "", "parse-names" : false, "suffix" : "" }, { "dropping-particle" : "", "family" : "Bisceglie", "given" : "Adrian M", "non-dropping-particle" : "Di", "parse-names" : false, "suffix" : "" }, { "dropping-particle" : "", "family" : "Reddy", "given" : "K Rajender", "non-dropping-particle" : "", "parse-names" : false, "suffix" : "" }, { "dropping-particle" : "", "family" : "Bzowej", "given" : "Natalie H", "non-dropping-particle" : "", "parse-names" : false, "suffix" : "" }, { "dropping-particle" : "", "family" : "Marcellin", "given" : "Patrick", "non-dropping-particle" : "", "parse-names" : false, "suffix" : "" }, { "dropping-particle" : "", "family" : "Muir", "given" : "Andrew J", "non-dropping-particle" : "", "parse-names" : false, "suffix" : "" }, { "dropping-particle" : "", "family" : "Ferenci", "given" : "Peter", "non-dropping-particle" : "", "parse-names" : false, "suffix" : "" }, { "dropping-particle" : "", "family" : "Flisiak", "given" : "Robert", "non-dropping-particle" : "", "parse-names" : false, "suffix" : "" }, { "dropping-particle" : "", "family" : "George", "given" : "Jacob", "non-dropping-particle" : "", "parse-names" : false, "suffix" : "" }, { "dropping-particle" : "", "family" : "Rizzetto", "given" : "Mario", "non-dropping-particle" : "", "parse-names" : false, "suffix" : "" }, { "dropping-particle" : "", "family" : "Shouval", "given" : "Daniel", "non-dropping-particle" : "", "parse-names" : false, "suffix" : "" }, { "dropping-particle" : "", "family" : "Sola", "given" : "Ricard", "non-dropping-particle" : "", "parse-names" : false, "suffix" : "" }, { "dropping-particle" : "", "family" : "Terg", "given" : "Ruben a", "non-dropping-particle" : "", "parse-names" : false, "suffix" : "" }, { "dropping-particle" : "", "family" : "Yoshida", "given" : "Eric M", "non-dropping-particle" : "", "parse-names" : false, "suffix" : "" }, { "dropping-particle" : "", "family" : "Adda", "given" : "Nathalie", "non-dropping-particle" : "", "parse-names" : false, "suffix" : "" }, { "dropping-particle" : "", "family" : "Bengtsson", "given" : "Leif", "non-dropping-particle" : "", "parse-names" : false, "suffix" : "" }, { "dropping-particle" : "", "family" : "Sankoh", "given" : "Abdul J", "non-dropping-particle" : "", "parse-names" : false, "suffix" : "" }, { "dropping-particle" : "", "family" : "Kieffer", "given" : "Tara L", "non-dropping-particle" : "", "parse-names" : false, "suffix" : "" }, { "dropping-particle" : "", "family" : "George", "given" : "Shelley", "non-dropping-particle" : "", "parse-names" : false, "suffix" : "" }, { "dropping-particle" : "", "family" : "Kauffman", "given" : "Robert S", "non-dropping-particle" : "", "parse-names" : false, "suffix" : "" }, { "dropping-particle" : "", "family" : "Zeuzem", "given" : "Stefan", "non-dropping-particle" : "", "parse-names" : false, "suffix" : "" } ], "container-title" : "The New England journal of medicine", "id" : "ITEM-7", "issue" : "25", "issued" : { "date-parts" : [ [ "2011", "6", "23" ] ] }, "page" : "2405-16", "title" : "Telaprevir for previously untreated chronic hepatitis C virus infection.", "type" : "article-journal", "volume" : "364" }, "uris" : [ "http://www.mendeley.com/documents/?uuid=9eaa9077-5e5f-4fe3-97a7-cd8dc90cad78" ] } ], "mendeley" : { "formattedCitation" : "&lt;sup&gt;[9,39,41\u201345]&lt;/sup&gt;", "plainTextFormattedCitation" : "[9,39,41\u201345]", "previouslyFormattedCitation" : "&lt;sup&gt;[9,39,41\u201345]&lt;/sup&gt;" }, "properties" : { "noteIndex" : 0 }, "schema" : "https://github.com/citation-style-language/schema/raw/master/csl-citation.json" }</w:instrText>
      </w:r>
      <w:r w:rsidRPr="00CD1426">
        <w:rPr>
          <w:rFonts w:ascii="Book Antiqua" w:hAnsi="Book Antiqua" w:cs="Arial"/>
          <w:lang w:val="en-US"/>
        </w:rPr>
        <w:fldChar w:fldCharType="separate"/>
      </w:r>
      <w:r w:rsidR="001D4A08" w:rsidRPr="00CD1426">
        <w:rPr>
          <w:rFonts w:ascii="Book Antiqua" w:hAnsi="Book Antiqua" w:cs="Arial"/>
          <w:noProof/>
          <w:vertAlign w:val="superscript"/>
          <w:lang w:val="en-US"/>
        </w:rPr>
        <w:t>[9,39,41–45]</w:t>
      </w:r>
      <w:r w:rsidRPr="00CD1426">
        <w:rPr>
          <w:rFonts w:ascii="Book Antiqua" w:hAnsi="Book Antiqua" w:cs="Arial"/>
          <w:lang w:val="en-US"/>
        </w:rPr>
        <w:fldChar w:fldCharType="end"/>
      </w:r>
      <w:r w:rsidRPr="00CD1426">
        <w:rPr>
          <w:rFonts w:ascii="Book Antiqua" w:hAnsi="Book Antiqua" w:cs="Arial"/>
          <w:lang w:val="en-US"/>
        </w:rPr>
        <w:t xml:space="preserve"> (Table 1)</w:t>
      </w:r>
      <w:r w:rsidR="00B33120" w:rsidRPr="00CD1426">
        <w:rPr>
          <w:rFonts w:ascii="Book Antiqua" w:hAnsi="Book Antiqua" w:cs="Arial"/>
          <w:lang w:val="en-US" w:eastAsia="zh-CN"/>
        </w:rPr>
        <w:t>.</w:t>
      </w:r>
    </w:p>
    <w:p w14:paraId="0BAA7291" w14:textId="77777777" w:rsidR="002B302F" w:rsidRPr="00CD1426" w:rsidRDefault="002B302F" w:rsidP="00CD1426">
      <w:pPr>
        <w:tabs>
          <w:tab w:val="left" w:pos="0"/>
          <w:tab w:val="right" w:pos="540"/>
        </w:tabs>
        <w:spacing w:line="360" w:lineRule="auto"/>
        <w:ind w:firstLineChars="200" w:firstLine="480"/>
        <w:jc w:val="both"/>
        <w:rPr>
          <w:rFonts w:ascii="Book Antiqua" w:hAnsi="Book Antiqua" w:cs="Arial"/>
          <w:lang w:val="en-US"/>
        </w:rPr>
      </w:pPr>
      <w:r w:rsidRPr="00CD1426">
        <w:rPr>
          <w:rFonts w:ascii="Book Antiqua" w:hAnsi="Book Antiqua" w:cs="Arial"/>
          <w:lang w:val="en-US"/>
        </w:rPr>
        <w:t>Nevertheless, the first generation triple therapy is associated with many adverse events, some of which are serious and associated with death, especially in cirrhotic patients. This led to the need to identify viral and host predictive factors that might influence the SVR rate to triple therapy, and additionally, it was important to determine whether a subdivision of patients might have a higher likelihood of response to dual therapy so that the use of first-generation protease inhibitors with their associated adverse effects and high costs could be avoided.</w:t>
      </w:r>
    </w:p>
    <w:p w14:paraId="24F9DB4D" w14:textId="44327D29" w:rsidR="002B302F" w:rsidRPr="00CD1426" w:rsidRDefault="002B302F" w:rsidP="00CD1426">
      <w:pPr>
        <w:tabs>
          <w:tab w:val="left" w:pos="0"/>
          <w:tab w:val="right" w:pos="540"/>
        </w:tabs>
        <w:spacing w:line="360" w:lineRule="auto"/>
        <w:ind w:firstLineChars="200" w:firstLine="480"/>
        <w:jc w:val="both"/>
        <w:rPr>
          <w:rFonts w:ascii="Book Antiqua" w:hAnsi="Book Antiqua" w:cs="Arial"/>
          <w:lang w:val="en-US"/>
        </w:rPr>
      </w:pPr>
      <w:r w:rsidRPr="00CD1426">
        <w:rPr>
          <w:rFonts w:ascii="Book Antiqua" w:hAnsi="Book Antiqua" w:cs="Arial"/>
          <w:lang w:val="en-US"/>
        </w:rPr>
        <w:t>SVR rates to treatment regimens containing protease inhibitors vary with the type of prior non-response to treatment. Naïve individuals reach response rates between 67</w:t>
      </w:r>
      <w:r w:rsidR="00C04C74">
        <w:rPr>
          <w:rFonts w:ascii="Book Antiqua" w:hAnsi="Book Antiqua" w:cs="Arial" w:hint="eastAsia"/>
          <w:lang w:val="en-US" w:eastAsia="zh-CN"/>
        </w:rPr>
        <w:t>%</w:t>
      </w:r>
      <w:r w:rsidRPr="00CD1426">
        <w:rPr>
          <w:rFonts w:ascii="Book Antiqua" w:hAnsi="Book Antiqua" w:cs="Arial"/>
          <w:lang w:val="en-US"/>
        </w:rPr>
        <w:t xml:space="preserve"> and 75%, and among </w:t>
      </w:r>
      <w:proofErr w:type="spellStart"/>
      <w:r w:rsidRPr="00CD1426">
        <w:rPr>
          <w:rFonts w:ascii="Book Antiqua" w:hAnsi="Book Antiqua" w:cs="Arial"/>
          <w:lang w:val="en-US"/>
        </w:rPr>
        <w:t>relapsers</w:t>
      </w:r>
      <w:proofErr w:type="spellEnd"/>
      <w:r w:rsidRPr="00CD1426">
        <w:rPr>
          <w:rFonts w:ascii="Book Antiqua" w:hAnsi="Book Antiqua" w:cs="Arial"/>
          <w:lang w:val="en-US"/>
        </w:rPr>
        <w:t xml:space="preserve"> to previous dual PR therapy, the response rates vary between 69</w:t>
      </w:r>
      <w:r w:rsidR="00C04C74">
        <w:rPr>
          <w:rFonts w:ascii="Book Antiqua" w:hAnsi="Book Antiqua" w:cs="Arial" w:hint="eastAsia"/>
          <w:lang w:val="en-US" w:eastAsia="zh-CN"/>
        </w:rPr>
        <w:t>%</w:t>
      </w:r>
      <w:r w:rsidRPr="00CD1426">
        <w:rPr>
          <w:rFonts w:ascii="Book Antiqua" w:hAnsi="Book Antiqua" w:cs="Arial"/>
          <w:lang w:val="en-US"/>
        </w:rPr>
        <w:t xml:space="preserve"> and 88%; for previous partial responders, the response rates are between 40</w:t>
      </w:r>
      <w:r w:rsidR="00C04C74">
        <w:rPr>
          <w:rFonts w:ascii="Book Antiqua" w:hAnsi="Book Antiqua" w:cs="Arial" w:hint="eastAsia"/>
          <w:lang w:val="en-US" w:eastAsia="zh-CN"/>
        </w:rPr>
        <w:t>%</w:t>
      </w:r>
      <w:r w:rsidRPr="00CD1426">
        <w:rPr>
          <w:rFonts w:ascii="Book Antiqua" w:hAnsi="Book Antiqua" w:cs="Arial"/>
          <w:lang w:val="en-US"/>
        </w:rPr>
        <w:t xml:space="preserve"> and 59%, and for previous null responders, the SV</w:t>
      </w:r>
      <w:r w:rsidR="00B33120" w:rsidRPr="00CD1426">
        <w:rPr>
          <w:rFonts w:ascii="Book Antiqua" w:hAnsi="Book Antiqua" w:cs="Arial"/>
          <w:lang w:val="en-US"/>
        </w:rPr>
        <w:t>R rates vary between 23</w:t>
      </w:r>
      <w:r w:rsidR="00C04C74">
        <w:rPr>
          <w:rFonts w:ascii="Book Antiqua" w:hAnsi="Book Antiqua" w:cs="Arial" w:hint="eastAsia"/>
          <w:lang w:val="en-US" w:eastAsia="zh-CN"/>
        </w:rPr>
        <w:t>%</w:t>
      </w:r>
      <w:r w:rsidR="00B33120" w:rsidRPr="00CD1426">
        <w:rPr>
          <w:rFonts w:ascii="Book Antiqua" w:hAnsi="Book Antiqua" w:cs="Arial"/>
          <w:lang w:val="en-US"/>
        </w:rPr>
        <w:t xml:space="preserve"> and 38%</w:t>
      </w:r>
      <w:r w:rsidRPr="00CD1426">
        <w:rPr>
          <w:rFonts w:ascii="Book Antiqua" w:hAnsi="Book Antiqua" w:cs="Arial"/>
          <w:lang w:val="en-US"/>
        </w:rPr>
        <w:fldChar w:fldCharType="begin" w:fldLock="1"/>
      </w:r>
      <w:r w:rsidR="001D4A08" w:rsidRPr="00CD1426">
        <w:rPr>
          <w:rFonts w:ascii="Book Antiqua" w:hAnsi="Book Antiqua" w:cs="Arial"/>
          <w:lang w:val="en-US"/>
        </w:rPr>
        <w:instrText>ADDIN CSL_CITATION { "citationItems" : [ { "id" : "ITEM-1", "itemData" : { "DOI" : "10.1056/NEJMoa1012912", "ISSN" : "1533-4406", "PMID" : "21696307", "abstract" : "In phase 2 trials, telaprevir, a hepatitis C virus (HCV) genotype 1 protease inhibitor, in combination with peginterferon-ribavirin, as compared with peginterferon-ribavirin alone, has shown improved efficacy, with potential for shortening the duration of treatment in a majority of patients.", "author" : [ { "dropping-particle" : "", "family" : "Jacobson", "given" : "Ira M", "non-dropping-particle" : "", "parse-names" : false, "suffix" : "" }, { "dropping-particle" : "", "family" : "McHutchison", "given" : "John G", "non-dropping-particle" : "", "parse-names" : false, "suffix" : "" }, { "dropping-particle" : "", "family" : "Dusheiko", "given" : "Geoffrey", "non-dropping-particle" : "", "parse-names" : false, "suffix" : "" }, { "dropping-particle" : "", "family" : "Bisceglie", "given" : "Adrian M", "non-dropping-particle" : "Di", "parse-names" : false, "suffix" : "" }, { "dropping-particle" : "", "family" : "Reddy", "given" : "K Rajender", "non-dropping-particle" : "", "parse-names" : false, "suffix" : "" }, { "dropping-particle" : "", "family" : "Bzowej", "given" : "Natalie H", "non-dropping-particle" : "", "parse-names" : false, "suffix" : "" }, { "dropping-particle" : "", "family" : "Marcellin", "given" : "Patrick", "non-dropping-particle" : "", "parse-names" : false, "suffix" : "" }, { "dropping-particle" : "", "family" : "Muir", "given" : "Andrew J", "non-dropping-particle" : "", "parse-names" : false, "suffix" : "" }, { "dropping-particle" : "", "family" : "Ferenci", "given" : "Peter", "non-dropping-particle" : "", "parse-names" : false, "suffix" : "" }, { "dropping-particle" : "", "family" : "Flisiak", "given" : "Robert", "non-dropping-particle" : "", "parse-names" : false, "suffix" : "" }, { "dropping-particle" : "", "family" : "George", "given" : "Jacob", "non-dropping-particle" : "", "parse-names" : false, "suffix" : "" }, { "dropping-particle" : "", "family" : "Rizzetto", "given" : "Mario", "non-dropping-particle" : "", "parse-names" : false, "suffix" : "" }, { "dropping-particle" : "", "family" : "Shouval", "given" : "Daniel", "non-dropping-particle" : "", "parse-names" : false, "suffix" : "" }, { "dropping-particle" : "", "family" : "Sola", "given" : "Ricard", "non-dropping-particle" : "", "parse-names" : false, "suffix" : "" }, { "dropping-particle" : "", "family" : "Terg", "given" : "Ruben a", "non-dropping-particle" : "", "parse-names" : false, "suffix" : "" }, { "dropping-particle" : "", "family" : "Yoshida", "given" : "Eric M", "non-dropping-particle" : "", "parse-names" : false, "suffix" : "" }, { "dropping-particle" : "", "family" : "Adda", "given" : "Nathalie", "non-dropping-particle" : "", "parse-names" : false, "suffix" : "" }, { "dropping-particle" : "", "family" : "Bengtsson", "given" : "Leif", "non-dropping-particle" : "", "parse-names" : false, "suffix" : "" }, { "dropping-particle" : "", "family" : "Sankoh", "given" : "Abdul J", "non-dropping-particle" : "", "parse-names" : false, "suffix" : "" }, { "dropping-particle" : "", "family" : "Kieffer", "given" : "Tara L", "non-dropping-particle" : "", "parse-names" : false, "suffix" : "" }, { "dropping-particle" : "", "family" : "George", "given" : "Shelley", "non-dropping-particle" : "", "parse-names" : false, "suffix" : "" }, { "dropping-particle" : "", "family" : "Kauffman", "given" : "Robert S", "non-dropping-particle" : "", "parse-names" : false, "suffix" : "" }, { "dropping-particle" : "", "family" : "Zeuzem", "given" : "Stefan", "non-dropping-particle" : "", "parse-names" : false, "suffix" : "" } ], "container-title" : "The New England journal of medicine", "id" : "ITEM-1", "issue" : "25", "issued" : { "date-parts" : [ [ "2011", "6", "23" ] ] }, "page" : "2405-16", "title" : "Telaprevir for previously untreated chronic hepatitis C virus infection.", "type" : "article-journal", "volume" : "364" }, "uris" : [ "http://www.mendeley.com/documents/?uuid=9eaa9077-5e5f-4fe3-97a7-cd8dc90cad78" ] }, { "id" : "ITEM-2", "itemData" : { "DOI" : "10.1056/NEJMoa1013086", "ISSN" : "1533-4406", "PMID" : "21696308", "abstract" : "Up to 60% of patients with hepatitis C virus (HCV) genotype 1 infection do not have a sustained virologic response to therapy with peginterferon alfa plus ribavirin.", "author" : [ { "dropping-particle" : "", "family" : "Zeuzem", "given" : "Stefan", "non-dropping-particle" : "", "parse-names" : false, "suffix" : "" }, { "dropping-particle" : "", "family" : "Andreone", "given" : "Pietro", "non-dropping-particle" : "", "parse-names" : false, "suffix" : "" }, { "dropping-particle" : "", "family" : "Pol", "given" : "Stanislas", "non-dropping-particle" : "", "parse-names" : false, "suffix" : "" }, { "dropping-particle" : "", "family" : "Lawitz", "given" : "Eric", "non-dropping-particle" : "", "parse-names" : false, "suffix" : "" }, { "dropping-particle" : "", "family" : "Diago", "given" : "Moises", "non-dropping-particle" : "", "parse-names" : false, "suffix" : "" }, { "dropping-particle" : "", "family" : "Roberts", "given" : "Stuart", "non-dropping-particle" : "", "parse-names" : false, "suffix" : "" }, { "dropping-particle" : "", "family" : "Focaccia", "given" : "Roberto", "non-dropping-particle" : "", "parse-names" : false, "suffix" : "" }, { "dropping-particle" : "", "family" : "Younossi", "given" : "Zobair", "non-dropping-particle" : "", "parse-names" : false, "suffix" : "" }, { "dropping-particle" : "", "family" : "Foster", "given" : "Graham R", "non-dropping-particle" : "", "parse-names" : false, "suffix" : "" }, { "dropping-particle" : "", "family" : "Horban", "given" : "Andrzej", "non-dropping-particle" : "", "parse-names" : false, "suffix" : "" }, { "dropping-particle" : "", "family" : "Ferenci", "given" : "Peter", "non-dropping-particle" : "", "parse-names" : false, "suffix" : "" }, { "dropping-particle" : "", "family" : "Nevens", "given" : "Frederik", "non-dropping-particle" : "", "parse-names" : false, "suffix" : "" }, { "dropping-particle" : "", "family" : "M\u00fcllhaupt", "given" : "Beat", "non-dropping-particle" : "", "parse-names" : false, "suffix" : "" }, { "dropping-particle" : "", "family" : "Pockros", "given" : "Paul", "non-dropping-particle" : "", "parse-names" : false, "suffix" : "" }, { "dropping-particle" : "", "family" : "Terg", "given" : "Ruben", "non-dropping-particle" : "", "parse-names" : false, "suffix" : "" }, { "dropping-particle" : "", "family" : "Shouval", "given" : "Daniel", "non-dropping-particle" : "", "parse-names" : false, "suffix" : "" }, { "dropping-particle" : "", "family" : "Hoek", "given" : "Bart", "non-dropping-particle" : "van", "parse-names" : false, "suffix" : "" }, { "dropping-particle" : "", "family" : "Weiland", "given" : "Ola", "non-dropping-particle" : "", "parse-names" : false, "suffix" : "" }, { "dropping-particle" : "", "family" : "Heeswijk", "given" : "Rolf", "non-dropping-particle" : "Van", "parse-names" : false, "suffix" : "" }, { "dropping-particle" : "", "family" : "Meyer", "given" : "Sandra", "non-dropping-particle" : "De", "parse-names" : false, "suffix" : "" }, { "dropping-particle" : "", "family" : "Luo", "given" : "Don", "non-dropping-particle" : "", "parse-names" : false, "suffix" : "" }, { "dropping-particle" : "", "family" : "Boogaerts", "given" : "Griet", "non-dropping-particle" : "", "parse-names" : false, "suffix" : "" }, { "dropping-particle" : "", "family" : "Polo", "given" : "Ramon", "non-dropping-particle" : "", "parse-names" : false, "suffix" : "" }, { "dropping-particle" : "", "family" : "Picchio", "given" : "Gaston", "non-dropping-particle" : "", "parse-names" : false, "suffix" : "" }, { "dropping-particle" : "", "family" : "Beumont", "given" : "Maria", "non-dropping-particle" : "", "parse-names" : false, "suffix" : "" } ], "container-title" : "The New England journal of medicine", "id" : "ITEM-2", "issue" : "25", "issued" : { "date-parts" : [ [ "2011", "6", "23" ] ] }, "page" : "2417-28", "title" : "Telaprevir for retreatment of HCV infection.", "type" : "article-journal", "volume" : "364" }, "uris" : [ "http://www.mendeley.com/documents/?uuid=e8dfc464-989f-4db1-a090-36404e673d78" ] }, { "id" : "ITEM-3", "itemData" : { "ISSN" : "1533-4406", "abstract" : "In patients with chronic infection with hepatitis C virus (HCV) genotype 1 who do not have a sustained response to therapy with peginterferon-ribavirin, outcomes after retreatment are suboptimal. Boceprevir, a protease inhibitor that binds to the HCV nonstructural 3 (NS3) active site, has been suggested as an additional treatment.", "author" : [ { "dropping-particle" : "", "family" : "Bacon", "given" : "Bruce R", "non-dropping-particle" : "", "parse-names" : false, "suffix" : "" }, { "dropping-particle" : "", "family" : "Gordon", "given" : "Stuart C", "non-dropping-particle" : "", "parse-names" : false, "suffix" : "" }, { "dropping-particle" : "", "family" : "Lawitz", "given" : "Eric", "non-dropping-particle" : "", "parse-names" : false, "suffix" : "" }, { "dropping-particle" : "", "family" : "Marcellin", "given" : "Patrick", "non-dropping-particle" : "", "parse-names" : false, "suffix" : "" }, { "dropping-particle" : "", "family" : "Vierling", "given" : "John M", "non-dropping-particle" : "", "parse-names" : false, "suffix" : "" }, { "dropping-particle" : "", "family" : "Zeuzem", "given" : "Stefan", "non-dropping-particle" : "", "parse-names" : false, "suffix" : "" }, { "dropping-particle" : "", "family" : "Poordad", "given" : "Fred", "non-dropping-particle" : "", "parse-names" : false, "suffix" : "" }, { "dropping-particle" : "", "family" : "Goodman", "given" : "Zachary D", "non-dropping-particle" : "", "parse-names" : false, "suffix" : "" }, { "dropping-particle" : "", "family" : "Sings", "given" : "Heather L", "non-dropping-particle" : "", "parse-names" : false, "suffix" : "" }, { "dropping-particle" : "", "family" : "Boparai", "given" : "Navdeep", "non-dropping-particle" : "", "parse-names" : false, "suffix" : "" }, { "dropping-particle" : "", "family" : "Burroughs", "given" : "Margaret", "non-dropping-particle" : "", "parse-names" : false, "suffix" : "" }, { "dropping-particle" : "", "family" : "Brass", "given" : "Clifford A", "non-dropping-particle" : "", "parse-names" : false, "suffix" : "" }, { "dropping-particle" : "", "family" : "Albrecht", "given" : "Janice K", "non-dropping-particle" : "", "parse-names" : false, "suffix" : "" }, { "dropping-particle" : "", "family" : "Esteban", "given" : "Rafael", "non-dropping-particle" : "", "parse-names" : false, "suffix" : "" } ], "container-title" : "The New England journal of medicine", "id" : "ITEM-3", "issue" : "13", "issued" : { "date-parts" : [ [ "2011", "3", "31" ] ] }, "page" : "1207-17", "title" : "Boceprevir for previously treated chronic HCV genotype 1 infection.", "type" : "article-journal", "volume" : "364" }, "uris" : [ "http://www.mendeley.com/documents/?uuid=e82af896-04d0-4a63-98c2-90c2260298b2" ] }, { "id" : "ITEM-4", "itemData" : { "ISSN" : "1478-3231", "abstract" : "Chronic hepatitis C virus infection affects approximately 2% of the world population and can result in cirrhosis and hepatocellular carcinoma. Until 2011, the standard of care (SOC) has been therapy with pegylated interferon alfa and ribavirin (PEG-IFN/RBV). Sustained virologic response rates (SVR) after SOC in patients infected with genotype 1 have been 40-50%. The development of new direct antiviral agents (DAA) is vital. The first drugs that specifically target the HCV protease have been approved in 2011. This review summarizes the results of SPRINT-2, a phase III double blind, placebo controlled study in which the efficacy and safety of Boceprevir, a new HCV protease inhibitor, was compared to SOC.", "author" : [ { "dropping-particle" : "", "family" : "Manns", "given" : "Michael P", "non-dropping-particle" : "", "parse-names" : false, "suffix" : "" }, { "dropping-particle" : "", "family" : "Markova", "given" : "Antoaneta A", "non-dropping-particle" : "", "parse-names" : false, "suffix" : "" }, { "dropping-particle" : "", "family" : "Serrano", "given" : "Beatriz Calle", "non-dropping-particle" : "", "parse-names" : false, "suffix" : "" }, { "dropping-particle" : "", "family" : "Cornberg", "given" : "Markus", "non-dropping-particle" : "", "parse-names" : false, "suffix" : "" } ], "container-title" : "Liver international : official journal of the International Association for the Study of the Liver", "id" : "ITEM-4", "issued" : { "date-parts" : [ [ "2012", "2" ] ] }, "page" : "27-31", "title" : "Phase III results of Boceprevir in treatment na\u00efve patients with chronic hepatitis C genotype 1.", "type" : "article-journal", "volume" : "32 Suppl 1" }, "uris" : [ "http://www.mendeley.com/documents/?uuid=2e806347-3ad2-419a-b4f2-830c20eb8867" ] } ], "mendeley" : { "formattedCitation" : "&lt;sup&gt;[9,39,41,45]&lt;/sup&gt;", "plainTextFormattedCitation" : "[9,39,41,45]", "previouslyFormattedCitation" : "&lt;sup&gt;[9,39,41,45]&lt;/sup&gt;" }, "properties" : { "noteIndex" : 0 }, "schema" : "https://github.com/citation-style-language/schema/raw/master/csl-citation.json" }</w:instrText>
      </w:r>
      <w:r w:rsidRPr="00CD1426">
        <w:rPr>
          <w:rFonts w:ascii="Book Antiqua" w:hAnsi="Book Antiqua" w:cs="Arial"/>
          <w:lang w:val="en-US"/>
        </w:rPr>
        <w:fldChar w:fldCharType="separate"/>
      </w:r>
      <w:r w:rsidR="001D4A08" w:rsidRPr="00CD1426">
        <w:rPr>
          <w:rFonts w:ascii="Book Antiqua" w:hAnsi="Book Antiqua" w:cs="Arial"/>
          <w:noProof/>
          <w:vertAlign w:val="superscript"/>
          <w:lang w:val="en-US"/>
        </w:rPr>
        <w:t>[9,39,41,45]</w:t>
      </w:r>
      <w:r w:rsidRPr="00CD1426">
        <w:rPr>
          <w:rFonts w:ascii="Book Antiqua" w:hAnsi="Book Antiqua" w:cs="Arial"/>
          <w:lang w:val="en-US"/>
        </w:rPr>
        <w:fldChar w:fldCharType="end"/>
      </w:r>
      <w:r w:rsidRPr="00CD1426">
        <w:rPr>
          <w:rFonts w:ascii="Book Antiqua" w:hAnsi="Book Antiqua" w:cs="Arial"/>
          <w:lang w:val="en-US"/>
        </w:rPr>
        <w:t>. However, the response rates are lower among individuals with liver cirrhosis (SVR = 14%) and are higher among subjects with IL28B genotype C/C (Table 1).</w:t>
      </w:r>
    </w:p>
    <w:p w14:paraId="205EDC69" w14:textId="49EA7DCB" w:rsidR="002B302F" w:rsidRPr="00CD1426" w:rsidRDefault="002B302F" w:rsidP="00CD1426">
      <w:pPr>
        <w:tabs>
          <w:tab w:val="left" w:pos="0"/>
          <w:tab w:val="right" w:pos="540"/>
        </w:tabs>
        <w:spacing w:line="360" w:lineRule="auto"/>
        <w:ind w:firstLineChars="200" w:firstLine="480"/>
        <w:jc w:val="both"/>
        <w:rPr>
          <w:rFonts w:ascii="Book Antiqua" w:hAnsi="Book Antiqua" w:cs="Arial"/>
          <w:lang w:val="en-US" w:eastAsia="zh-CN"/>
        </w:rPr>
      </w:pPr>
      <w:r w:rsidRPr="00CD1426">
        <w:rPr>
          <w:rFonts w:ascii="Book Antiqua" w:hAnsi="Book Antiqua" w:cs="Arial"/>
          <w:lang w:val="en-US"/>
        </w:rPr>
        <w:lastRenderedPageBreak/>
        <w:t xml:space="preserve">In two phase 3 trials including </w:t>
      </w:r>
      <w:proofErr w:type="spellStart"/>
      <w:r w:rsidRPr="00CD1426">
        <w:rPr>
          <w:rFonts w:ascii="Book Antiqua" w:hAnsi="Book Antiqua" w:cs="Arial"/>
          <w:lang w:val="en-US"/>
        </w:rPr>
        <w:t>boceprevir</w:t>
      </w:r>
      <w:proofErr w:type="spellEnd"/>
      <w:r w:rsidRPr="00CD1426">
        <w:rPr>
          <w:rFonts w:ascii="Book Antiqua" w:hAnsi="Book Antiqua" w:cs="Arial"/>
          <w:lang w:val="en-US"/>
        </w:rPr>
        <w:t>, baseline predictors of SVR in previously treated patients include former treatment response (previous relapse rather than previous partial nonresponse), nonexistence of cirrhosis, use of triple therapy rather than PR, low viral load at baseline and lack of cirrhosis. In previously naive patients, based on multivariate analysis, baseline predictors of SVR were triple therapy, non-black race, low viral load at baseline (&lt;</w:t>
      </w:r>
      <w:r w:rsidR="00B33120" w:rsidRPr="00CD1426">
        <w:rPr>
          <w:rFonts w:ascii="Book Antiqua" w:hAnsi="Book Antiqua" w:cs="Arial"/>
          <w:lang w:val="en-US" w:eastAsia="zh-CN"/>
        </w:rPr>
        <w:t xml:space="preserve"> </w:t>
      </w:r>
      <w:r w:rsidRPr="00CD1426">
        <w:rPr>
          <w:rFonts w:ascii="Book Antiqua" w:hAnsi="Book Antiqua" w:cs="Arial"/>
          <w:lang w:val="en-US"/>
        </w:rPr>
        <w:t>400.00 UI/mL), age (≤</w:t>
      </w:r>
      <w:r w:rsidR="00B33120" w:rsidRPr="00CD1426">
        <w:rPr>
          <w:rFonts w:ascii="Book Antiqua" w:hAnsi="Book Antiqua" w:cs="Arial"/>
          <w:lang w:val="en-US" w:eastAsia="zh-CN"/>
        </w:rPr>
        <w:t xml:space="preserve"> </w:t>
      </w:r>
      <w:r w:rsidRPr="00CD1426">
        <w:rPr>
          <w:rFonts w:ascii="Book Antiqua" w:hAnsi="Book Antiqua" w:cs="Arial"/>
          <w:lang w:val="en-US"/>
        </w:rPr>
        <w:t>40 years), statin use and absence of cirrhosis. In both studies, a 1 log</w:t>
      </w:r>
      <w:r w:rsidRPr="00CD1426">
        <w:rPr>
          <w:rFonts w:ascii="Book Antiqua" w:hAnsi="Book Antiqua" w:cs="Arial"/>
          <w:vertAlign w:val="subscript"/>
          <w:lang w:val="en-US"/>
        </w:rPr>
        <w:t>10</w:t>
      </w:r>
      <w:r w:rsidRPr="00CD1426">
        <w:rPr>
          <w:rFonts w:ascii="Book Antiqua" w:hAnsi="Book Antiqua" w:cs="Arial"/>
          <w:lang w:val="en-US"/>
        </w:rPr>
        <w:t xml:space="preserve"> IU/mL decline in HC</w:t>
      </w:r>
      <w:r w:rsidR="00C04C74">
        <w:rPr>
          <w:rFonts w:ascii="Book Antiqua" w:hAnsi="Book Antiqua" w:cs="Arial"/>
          <w:lang w:val="en-US"/>
        </w:rPr>
        <w:t>V-RNA viral load after the 4-w</w:t>
      </w:r>
      <w:r w:rsidRPr="00CD1426">
        <w:rPr>
          <w:rFonts w:ascii="Book Antiqua" w:hAnsi="Book Antiqua" w:cs="Arial"/>
          <w:lang w:val="en-US"/>
        </w:rPr>
        <w:t>k (lead-in) on-treatment was</w:t>
      </w:r>
      <w:r w:rsidR="00B33120" w:rsidRPr="00CD1426">
        <w:rPr>
          <w:rFonts w:ascii="Book Antiqua" w:hAnsi="Book Antiqua" w:cs="Arial"/>
          <w:lang w:val="en-US"/>
        </w:rPr>
        <w:t xml:space="preserve"> the greatest predictor of SVR</w:t>
      </w:r>
      <w:r w:rsidRPr="00CD1426">
        <w:rPr>
          <w:rFonts w:ascii="Book Antiqua" w:hAnsi="Book Antiqua" w:cs="Arial"/>
          <w:lang w:val="en-US"/>
        </w:rPr>
        <w:fldChar w:fldCharType="begin" w:fldLock="1"/>
      </w:r>
      <w:r w:rsidR="001D4A08" w:rsidRPr="00CD1426">
        <w:rPr>
          <w:rFonts w:ascii="Book Antiqua" w:hAnsi="Book Antiqua" w:cs="Arial"/>
          <w:lang w:val="en-US"/>
        </w:rPr>
        <w:instrText>ADDIN CSL_CITATION { "citationItems" : [ { "id" : "ITEM-1", "itemData" : { "ISSN" : "1533-4406", "abstract" : "In patients with chronic infection with hepatitis C virus (HCV) genotype 1 who do not have a sustained response to therapy with peginterferon-ribavirin, outcomes after retreatment are suboptimal. Boceprevir, a protease inhibitor that binds to the HCV nonstructural 3 (NS3) active site, has been suggested as an additional treatment.", "author" : [ { "dropping-particle" : "", "family" : "Bacon", "given" : "Bruce R", "non-dropping-particle" : "", "parse-names" : false, "suffix" : "" }, { "dropping-particle" : "", "family" : "Gordon", "given" : "Stuart C", "non-dropping-particle" : "", "parse-names" : false, "suffix" : "" }, { "dropping-particle" : "", "family" : "Lawitz", "given" : "Eric", "non-dropping-particle" : "", "parse-names" : false, "suffix" : "" }, { "dropping-particle" : "", "family" : "Marcellin", "given" : "Patrick", "non-dropping-particle" : "", "parse-names" : false, "suffix" : "" }, { "dropping-particle" : "", "family" : "Vierling", "given" : "John M", "non-dropping-particle" : "", "parse-names" : false, "suffix" : "" }, { "dropping-particle" : "", "family" : "Zeuzem", "given" : "Stefan", "non-dropping-particle" : "", "parse-names" : false, "suffix" : "" }, { "dropping-particle" : "", "family" : "Poordad", "given" : "Fred", "non-dropping-particle" : "", "parse-names" : false, "suffix" : "" }, { "dropping-particle" : "", "family" : "Goodman", "given" : "Zachary D", "non-dropping-particle" : "", "parse-names" : false, "suffix" : "" }, { "dropping-particle" : "", "family" : "Sings", "given" : "Heather L", "non-dropping-particle" : "", "parse-names" : false, "suffix" : "" }, { "dropping-particle" : "", "family" : "Boparai", "given" : "Navdeep", "non-dropping-particle" : "", "parse-names" : false, "suffix" : "" }, { "dropping-particle" : "", "family" : "Burroughs", "given" : "Margaret", "non-dropping-particle" : "", "parse-names" : false, "suffix" : "" }, { "dropping-particle" : "", "family" : "Brass", "given" : "Clifford A", "non-dropping-particle" : "", "parse-names" : false, "suffix" : "" }, { "dropping-particle" : "", "family" : "Albrecht", "given" : "Janice K", "non-dropping-particle" : "", "parse-names" : false, "suffix" : "" }, { "dropping-particle" : "", "family" : "Esteban", "given" : "Rafael", "non-dropping-particle" : "", "parse-names" : false, "suffix" : "" } ], "container-title" : "The New England journal of medicine", "id" : "ITEM-1", "issue" : "13", "issued" : { "date-parts" : [ [ "2011", "3", "31" ] ] }, "page" : "1207-17", "title" : "Boceprevir for previously treated chronic HCV genotype 1 infection.", "type" : "article-journal", "volume" : "364" }, "uris" : [ "http://www.mendeley.com/documents/?uuid=e82af896-04d0-4a63-98c2-90c2260298b2" ] }, { "id" : "ITEM-2", "itemData" : { "DOI" : "10.1056/NEJMoa1306218", "ISSN" : "1533-4406", "PMID" : "24428467", "abstract" : "BACKGROUND: All-oral combination therapy is desirable for patients with chronic hepatitis C virus (HCV) infection. We evaluated daclatasvir (an HCV NS5A replication complex inhibitor) plus sofosbuvir (a nucleotide analogue HCV NS5B polymerase inhibitor) in patients infected with HCV genotype 1, 2, or 3.\n\nMETHODS: In this open-label study, we initially randomly assigned 44 previously untreated patients with HCV genotype 1 infection and 44 patients infected with HCV genotype 2 or 3 to daclatasvir at a dose of 60 mg orally once daily plus sofosbuvir at a dose of 400 mg orally once daily, with or without ribavirin, for 24 weeks. The study was expanded to include 123 additional patients with genotype 1 infection who were randomly assigned to daclatasvir plus sofosbuvir, with or without ribavirin, for 12 weeks (82 previously untreated patients) or 24 weeks (41 patients who had previous virologic failure with telaprevir or boceprevir plus peginterferon alfa-ribavirin). The primary end point was a sustained virologic response (an HCV RNA level of &lt;25 IU per milliliter) at week 12 after the end of therapy.\n\nRESULTS: Overall, 211 patients received treatment. Among patients with genotype 1 infection, 98% of 126 previously untreated patients and 98% of 41 patients who did not have a sustained virologic response with HCV protease inhibitors had a sustained virologic response at week 12 after the end of therapy. A total of 92% of 26 patients with genotype 2 infection and 89% of 18 patients with genotype 3 infection had a sustained virologic response at week 12. High rates of sustained virologic response at week 12 were observed among patients with HCV subtypes 1a and 1b (98% and 100%, respectively) and those with CC and non-CC IL28B genotypes (93% and 98%, respectively), as well as among patients who received ribavirin and those who did not (94% and 98%, respectively). The most common adverse events were fatigue, headache, and nausea.\n\nCONCLUSIONS: Once-daily oral daclatasvir plus sofosbuvir was associated with high rates of sustained virologic response among patients infected with HCV genotype 1, 2, or 3, including patients with no response to prior therapy with telaprevir or boceprevir. (Funded by Bristol-Myers Squibb and Pharmasset (Gilead); A1444040 ClinicalTrials.gov number, NCT01359644.).", "author" : [ { "dropping-particle" : "", "family" : "Sulkowski", "given" : "Mark S", "non-dropping-particle" : "", "parse-names" : false, "suffix" : "" }, { "dropping-particle" : "", "family" : "Gardiner", "given" : "David F", "non-dropping-particle" : "", "parse-names" : false, "suffix" : "" }, { "dropping-particle" : "", "family" : "Rodriguez-Torres", "given" : "Maribel", "non-dropping-particle" : "", "parse-names" : false, "suffix" : "" }, { "dropping-particle" : "", "family" : "Reddy", "given" : "K Rajender", "non-dropping-particle" : "", "parse-names" : false, "suffix" : "" }, { "dropping-particle" : "", "family" : "Hassanein", "given" : "Tarek", "non-dropping-particle" : "", "parse-names" : false, "suffix" : "" }, { "dropping-particle" : "", "family" : "Jacobson", "given" : "Ira", "non-dropping-particle" : "", "parse-names" : false, "suffix" : "" }, { "dropping-particle" : "", "family" : "Lawitz", "given" : "Eric", "non-dropping-particle" : "", "parse-names" : false, "suffix" : "" }, { "dropping-particle" : "", "family" : "Lok", "given" : "Anna S", "non-dropping-particle" : "", "parse-names" : false, "suffix" : "" }, { "dropping-particle" : "", "family" : "Hinestrosa", "given" : "Federico", "non-dropping-particle" : "", "parse-names" : false, "suffix" : "" }, { "dropping-particle" : "", "family" : "Thuluvath", "given" : "Paul J", "non-dropping-particle" : "", "parse-names" : false, "suffix" : "" }, { "dropping-particle" : "", "family" : "Schwartz", "given" : "Howard", "non-dropping-particle" : "", "parse-names" : false, "suffix" : "" }, { "dropping-particle" : "", "family" : "Nelson", "given" : "David R", "non-dropping-particle" : "", "parse-names" : false, "suffix" : "" }, { "dropping-particle" : "", "family" : "Everson", "given" : "Gregory T", "non-dropping-particle" : "", "parse-names" : false, "suffix" : "" }, { "dropping-particle" : "", "family" : "Eley", "given" : "Timothy", "non-dropping-particle" : "", "parse-names" : false, "suffix" : "" }, { "dropping-particle" : "", "family" : "Wind-Rotolo", "given" : "Megan", "non-dropping-particle" : "", "parse-names" : false, "suffix" : "" }, { "dropping-particle" : "", "family" : "Huang", "given" : "Shu-Pang", "non-dropping-particle" : "", "parse-names" : false, "suffix" : "" }, { "dropping-particle" : "", "family" : "Gao", "given" : "Min", "non-dropping-particle" : "", "parse-names" : false, "suffix" : "" }, { "dropping-particle" : "", "family" : "Hernandez", "given" : "Dennis", "non-dropping-particle" : "", "parse-names" : false, "suffix" : "" }, { "dropping-particle" : "", "family" : "McPhee", "given" : "Fiona", "non-dropping-particle" : "", "parse-names" : false, "suffix" : "" }, { "dropping-particle" : "", "family" : "Sherman", "given" : "Diane", "non-dropping-particle" : "", "parse-names" : false, "suffix" : "" }, { "dropping-particle" : "", "family" : "Hindes", "given" : "Robert", "non-dropping-particle" : "", "parse-names" : false, "suffix" : "" }, { "dropping-particle" : "", "family" : "Symonds", "given" : "William", "non-dropping-particle" : "", "parse-names" : false, "suffix" : "" }, { "dropping-particle" : "", "family" : "Pasquinelli", "given" : "Claudio", "non-dropping-particle" : "", "parse-names" : false, "suffix" : "" }, { "dropping-particle" : "", "family" : "Grasela", "given" : "Dennis M", "non-dropping-particle" : "", "parse-names" : false, "suffix" : "" } ], "container-title" : "The New England journal of medicine", "id" : "ITEM-2", "issue" : "3", "issued" : { "date-parts" : [ [ "2014", "1", "16" ] ] }, "page" : "211-21", "title" : "Daclatasvir plus sofosbuvir for previously treated or untreated chronic HCV infection.", "type" : "article-journal", "volume" : "370" }, "uris" : [ "http://www.mendeley.com/documents/?uuid=6fc53700-bfb5-4e53-a67b-85e7f148d7a1" ] }, { "id" : "ITEM-3", "itemData" : { "DOI" : "10.1056/NEJMoa1010494", "ISSN" : "1533-4406", "PMID" : "21449783", "abstract" : "BACKGROUND: Peginterferon-ribavirin therapy is the current standard of care for chronic infection with hepatitis C virus (HCV). The rate of sustained virologic response has been below 50% in cases of HCV genotype 1 infection. Boceprevir, a potent oral HCV-protease inhibitor, has been evaluated as an additional treatment in phase 1 and phase 2 studies.\n\nMETHODS: We conducted a double-blind study in which previously untreated adults with HCV genotype 1 infection were randomly assigned to one of three groups. In all three groups, peginterferon alfa-2b and ribavirin were administered for 4 weeks (the lead-in period). Subsequently, group 1 (the control group) received placebo plus peginterferon-ribavirin for 44 weeks; group 2 received boceprevir plus peginterferon-ribavirin for 24 weeks, and those with a detectable HCV RNA level between weeks 8 and 24 received placebo plus peginterferon-ribavirin for an additional 20 weeks; and group 3 received boceprevir plus peginterferon-ribavirin for 44 weeks. Nonblack patients and black patients were enrolled and analyzed separately.\n\nRESULTS: A total of 938 nonblack and 159 black patients were treated. In the nonblack cohort, a sustained virologic response was achieved in 125 of the 311 patients (40%) in group 1, in 211 of the 316 patients (67%) in group 2 (P&lt;0.001), and in 213 of the 311 patients (68%) in group 3 (P&lt;0.001). In the black cohort, a sustained virologic response was achieved in 12 of the 52 patients (23%) in group 1, in 22 of the 52 patients (42%) in group 2 (P=0.04), and in 29 of the 55 patients (53%) in group 3 (P=0.004). In group 2, a total of 44% of patients received peginterferon-ribavirin for 28 weeks. Anemia led to dose reductions in 13% of controls and 21% of boceprevir recipients, with discontinuations in 1% and 2%, respectively.\n\nCONCLUSIONS: The addition of boceprevir to standard therapy with peginterferon-ribavirin, as compared with standard therapy alone, significantly increased the rates of sustained virologic response in previously untreated adults with chronic HCV genotype 1 infection. The rates were similar with 24 weeks and 44 weeks of boceprevir. (Funded by Schering-Plough [now Merck]; SPRINT-2 ClinicalTrials.gov number, NCT00705432.).", "author" : [ { "dropping-particle" : "", "family" : "Poordad", "given" : "Fred", "non-dropping-particle" : "", "parse-names" : false, "suffix" : "" }, { "dropping-particle" : "", "family" : "McCone", "given" : "Jonathan", "non-dropping-particle" : "", "parse-names" : false, "suffix" : "" }, { "dropping-particle" : "", "family" : "Bacon", "given" : "Bruce R", "non-dropping-particle" : "", "parse-names" : false, "suffix" : "" }, { "dropping-particle" : "", "family" : "Bruno", "given" : "Savino", "non-dropping-particle" : "", "parse-names" : false, "suffix" : "" }, { "dropping-particle" : "", "family" : "Manns", "given" : "Michael P", "non-dropping-particle" : "", "parse-names" : false, "suffix" : "" }, { "dropping-particle" : "", "family" : "Sulkowski", "given" : "Mark S", "non-dropping-particle" : "", "parse-names" : false, "suffix" : "" }, { "dropping-particle" : "", "family" : "Jacobson", "given" : "Ira M", "non-dropping-particle" : "", "parse-names" : false, "suffix" : "" }, { "dropping-particle" : "", "family" : "Reddy", "given" : "K Rajender", "non-dropping-particle" : "", "parse-names" : false, "suffix" : "" }, { "dropping-particle" : "", "family" : "Goodman", "given" : "Zachary D", "non-dropping-particle" : "", "parse-names" : false, "suffix" : "" }, { "dropping-particle" : "", "family" : "Boparai", "given" : "Navdeep", "non-dropping-particle" : "", "parse-names" : false, "suffix" : "" }, { "dropping-particle" : "", "family" : "DiNubile", "given" : "Mark J", "non-dropping-particle" : "", "parse-names" : false, "suffix" : "" }, { "dropping-particle" : "", "family" : "Sniukiene", "given" : "Vilma", "non-dropping-particle" : "", "parse-names" : false, "suffix" : "" }, { "dropping-particle" : "", "family" : "Brass", "given" : "Clifford A", "non-dropping-particle" : "", "parse-names" : false, "suffix" : "" }, { "dropping-particle" : "", "family" : "Albrecht", "given" : "Janice K", "non-dropping-particle" : "", "parse-names" : false, "suffix" : "" }, { "dropping-particle" : "", "family" : "Bronowicki", "given" : "Jean-Pierre", "non-dropping-particle" : "", "parse-names" : false, "suffix" : "" } ], "container-title" : "The New England journal of medicine", "id" : "ITEM-3", "issue" : "13", "issued" : { "date-parts" : [ [ "2011", "3", "31" ] ] }, "page" : "1195-206", "title" : "Boceprevir for untreated chronic HCV genotype 1 infection.", "type" : "article-journal", "volume" : "364" }, "uris" : [ "http://www.mendeley.com/documents/?uuid=30f6b073-45d0-4e95-9222-9535822b2f9b" ] } ], "mendeley" : { "formattedCitation" : "&lt;sup&gt;[8,45,46]&lt;/sup&gt;", "plainTextFormattedCitation" : "[8,45,46]", "previouslyFormattedCitation" : "&lt;sup&gt;[8,45,46]&lt;/sup&gt;" }, "properties" : { "noteIndex" : 0 }, "schema" : "https://github.com/citation-style-language/schema/raw/master/csl-citation.json" }</w:instrText>
      </w:r>
      <w:r w:rsidRPr="00CD1426">
        <w:rPr>
          <w:rFonts w:ascii="Book Antiqua" w:hAnsi="Book Antiqua" w:cs="Arial"/>
          <w:lang w:val="en-US"/>
        </w:rPr>
        <w:fldChar w:fldCharType="separate"/>
      </w:r>
      <w:r w:rsidR="001D4A08" w:rsidRPr="00CD1426">
        <w:rPr>
          <w:rFonts w:ascii="Book Antiqua" w:hAnsi="Book Antiqua" w:cs="Arial"/>
          <w:noProof/>
          <w:vertAlign w:val="superscript"/>
          <w:lang w:val="en-US"/>
        </w:rPr>
        <w:t>[8,45,46]</w:t>
      </w:r>
      <w:r w:rsidRPr="00CD1426">
        <w:rPr>
          <w:rFonts w:ascii="Book Antiqua" w:hAnsi="Book Antiqua" w:cs="Arial"/>
          <w:lang w:val="en-US"/>
        </w:rPr>
        <w:fldChar w:fldCharType="end"/>
      </w:r>
      <w:r w:rsidR="00B33120" w:rsidRPr="00CD1426">
        <w:rPr>
          <w:rFonts w:ascii="Book Antiqua" w:hAnsi="Book Antiqua" w:cs="Arial"/>
          <w:lang w:val="en-US" w:eastAsia="zh-CN"/>
        </w:rPr>
        <w:t>.</w:t>
      </w:r>
    </w:p>
    <w:p w14:paraId="723A6DE6" w14:textId="4FF1A880" w:rsidR="002B302F" w:rsidRPr="00CD1426" w:rsidRDefault="002B302F" w:rsidP="00CD1426">
      <w:pPr>
        <w:tabs>
          <w:tab w:val="left" w:pos="0"/>
          <w:tab w:val="right" w:pos="540"/>
        </w:tabs>
        <w:spacing w:line="360" w:lineRule="auto"/>
        <w:ind w:firstLineChars="200" w:firstLine="480"/>
        <w:jc w:val="both"/>
        <w:rPr>
          <w:rFonts w:ascii="Book Antiqua" w:hAnsi="Book Antiqua" w:cs="Arial"/>
          <w:lang w:val="en-US" w:eastAsia="zh-CN"/>
        </w:rPr>
      </w:pPr>
      <w:r w:rsidRPr="00CD1426">
        <w:rPr>
          <w:rFonts w:ascii="Book Antiqua" w:hAnsi="Book Antiqua" w:cs="Arial"/>
          <w:lang w:val="en-US"/>
        </w:rPr>
        <w:t xml:space="preserve">Untreated subjects with unfavorable predictive variables of therapy response to PR treatment have improved the chances of cure with the addition of </w:t>
      </w:r>
      <w:proofErr w:type="spellStart"/>
      <w:r w:rsidRPr="00CD1426">
        <w:rPr>
          <w:rFonts w:ascii="Book Antiqua" w:hAnsi="Book Antiqua" w:cs="Arial"/>
          <w:lang w:val="en-US"/>
        </w:rPr>
        <w:t>telaprevir</w:t>
      </w:r>
      <w:proofErr w:type="spellEnd"/>
      <w:r w:rsidRPr="00CD1426">
        <w:rPr>
          <w:rFonts w:ascii="Book Antiqua" w:hAnsi="Book Antiqua" w:cs="Arial"/>
          <w:lang w:val="en-US"/>
        </w:rPr>
        <w:t>. Patients with advanced fibrosis (bridging fibrosis or cirrhosis), older age, diabetes mell</w:t>
      </w:r>
      <w:r w:rsidR="00B33120" w:rsidRPr="00CD1426">
        <w:rPr>
          <w:rFonts w:ascii="Book Antiqua" w:hAnsi="Book Antiqua" w:cs="Arial"/>
          <w:lang w:val="en-US"/>
        </w:rPr>
        <w:t>itus, and HCV RNA levels of 800</w:t>
      </w:r>
      <w:r w:rsidRPr="00CD1426">
        <w:rPr>
          <w:rFonts w:ascii="Book Antiqua" w:hAnsi="Book Antiqua" w:cs="Arial"/>
          <w:lang w:val="en-US"/>
        </w:rPr>
        <w:t>000 IU/m</w:t>
      </w:r>
      <w:r w:rsidR="00C04C74" w:rsidRPr="00CD1426">
        <w:rPr>
          <w:rFonts w:ascii="Book Antiqua" w:hAnsi="Book Antiqua" w:cs="Arial"/>
          <w:lang w:val="en-US"/>
        </w:rPr>
        <w:t xml:space="preserve">L </w:t>
      </w:r>
      <w:r w:rsidRPr="00CD1426">
        <w:rPr>
          <w:rFonts w:ascii="Book Antiqua" w:hAnsi="Book Antiqua" w:cs="Arial"/>
          <w:lang w:val="en-US"/>
        </w:rPr>
        <w:t>or higher, black race and C/T and T/T IL28B genotypes showed i</w:t>
      </w:r>
      <w:r w:rsidR="00B33120" w:rsidRPr="00CD1426">
        <w:rPr>
          <w:rFonts w:ascii="Book Antiqua" w:hAnsi="Book Antiqua" w:cs="Arial"/>
          <w:lang w:val="en-US"/>
        </w:rPr>
        <w:t>mproved chances of an HCV cure</w:t>
      </w:r>
      <w:r w:rsidRPr="00CD1426">
        <w:rPr>
          <w:rFonts w:ascii="Book Antiqua" w:hAnsi="Book Antiqua" w:cs="Arial"/>
          <w:lang w:val="en-US"/>
        </w:rPr>
        <w:fldChar w:fldCharType="begin" w:fldLock="1"/>
      </w:r>
      <w:r w:rsidR="001D4A08" w:rsidRPr="00CD1426">
        <w:rPr>
          <w:rFonts w:ascii="Book Antiqua" w:hAnsi="Book Antiqua" w:cs="Arial"/>
          <w:lang w:val="en-US"/>
        </w:rPr>
        <w:instrText>ADDIN CSL_CITATION { "citationItems" : [ { "id" : "ITEM-1", "itemData" : { "DOI" : "10.1056/NEJMoa1012912", "ISSN" : "1533-4406", "PMID" : "21696307", "abstract" : "In phase 2 trials, telaprevir, a hepatitis C virus (HCV) genotype 1 protease inhibitor, in combination with peginterferon-ribavirin, as compared with peginterferon-ribavirin alone, has shown improved efficacy, with potential for shortening the duration of treatment in a majority of patients.", "author" : [ { "dropping-particle" : "", "family" : "Jacobson", "given" : "Ira M", "non-dropping-particle" : "", "parse-names" : false, "suffix" : "" }, { "dropping-particle" : "", "family" : "McHutchison", "given" : "John G", "non-dropping-particle" : "", "parse-names" : false, "suffix" : "" }, { "dropping-particle" : "", "family" : "Dusheiko", "given" : "Geoffrey", "non-dropping-particle" : "", "parse-names" : false, "suffix" : "" }, { "dropping-particle" : "", "family" : "Bisceglie", "given" : "Adrian M", "non-dropping-particle" : "Di", "parse-names" : false, "suffix" : "" }, { "dropping-particle" : "", "family" : "Reddy", "given" : "K Rajender", "non-dropping-particle" : "", "parse-names" : false, "suffix" : "" }, { "dropping-particle" : "", "family" : "Bzowej", "given" : "Natalie H", "non-dropping-particle" : "", "parse-names" : false, "suffix" : "" }, { "dropping-particle" : "", "family" : "Marcellin", "given" : "Patrick", "non-dropping-particle" : "", "parse-names" : false, "suffix" : "" }, { "dropping-particle" : "", "family" : "Muir", "given" : "Andrew J", "non-dropping-particle" : "", "parse-names" : false, "suffix" : "" }, { "dropping-particle" : "", "family" : "Ferenci", "given" : "Peter", "non-dropping-particle" : "", "parse-names" : false, "suffix" : "" }, { "dropping-particle" : "", "family" : "Flisiak", "given" : "Robert", "non-dropping-particle" : "", "parse-names" : false, "suffix" : "" }, { "dropping-particle" : "", "family" : "George", "given" : "Jacob", "non-dropping-particle" : "", "parse-names" : false, "suffix" : "" }, { "dropping-particle" : "", "family" : "Rizzetto", "given" : "Mario", "non-dropping-particle" : "", "parse-names" : false, "suffix" : "" }, { "dropping-particle" : "", "family" : "Shouval", "given" : "Daniel", "non-dropping-particle" : "", "parse-names" : false, "suffix" : "" }, { "dropping-particle" : "", "family" : "Sola", "given" : "Ricard", "non-dropping-particle" : "", "parse-names" : false, "suffix" : "" }, { "dropping-particle" : "", "family" : "Terg", "given" : "Ruben a", "non-dropping-particle" : "", "parse-names" : false, "suffix" : "" }, { "dropping-particle" : "", "family" : "Yoshida", "given" : "Eric M", "non-dropping-particle" : "", "parse-names" : false, "suffix" : "" }, { "dropping-particle" : "", "family" : "Adda", "given" : "Nathalie", "non-dropping-particle" : "", "parse-names" : false, "suffix" : "" }, { "dropping-particle" : "", "family" : "Bengtsson", "given" : "Leif", "non-dropping-particle" : "", "parse-names" : false, "suffix" : "" }, { "dropping-particle" : "", "family" : "Sankoh", "given" : "Abdul J", "non-dropping-particle" : "", "parse-names" : false, "suffix" : "" }, { "dropping-particle" : "", "family" : "Kieffer", "given" : "Tara L", "non-dropping-particle" : "", "parse-names" : false, "suffix" : "" }, { "dropping-particle" : "", "family" : "George", "given" : "Shelley", "non-dropping-particle" : "", "parse-names" : false, "suffix" : "" }, { "dropping-particle" : "", "family" : "Kauffman", "given" : "Robert S", "non-dropping-particle" : "", "parse-names" : false, "suffix" : "" }, { "dropping-particle" : "", "family" : "Zeuzem", "given" : "Stefan", "non-dropping-particle" : "", "parse-names" : false, "suffix" : "" } ], "container-title" : "The New England journal of medicine", "id" : "ITEM-1", "issue" : "25", "issued" : { "date-parts" : [ [ "2011", "6", "23" ] ] }, "page" : "2405-16", "title" : "Telaprevir for previously untreated chronic hepatitis C virus infection.", "type" : "article-journal", "volume" : "364" }, "uris" : [ "http://www.mendeley.com/documents/?uuid=9eaa9077-5e5f-4fe3-97a7-cd8dc90cad78" ] } ], "mendeley" : { "formattedCitation" : "&lt;sup&gt;[9]&lt;/sup&gt;", "plainTextFormattedCitation" : "[9]", "previouslyFormattedCitation" : "&lt;sup&gt;[9]&lt;/sup&gt;" }, "properties" : { "noteIndex" : 0 }, "schema" : "https://github.com/citation-style-language/schema/raw/master/csl-citation.json" }</w:instrText>
      </w:r>
      <w:r w:rsidRPr="00CD1426">
        <w:rPr>
          <w:rFonts w:ascii="Book Antiqua" w:hAnsi="Book Antiqua" w:cs="Arial"/>
          <w:lang w:val="en-US"/>
        </w:rPr>
        <w:fldChar w:fldCharType="separate"/>
      </w:r>
      <w:r w:rsidR="001D4A08" w:rsidRPr="00CD1426">
        <w:rPr>
          <w:rFonts w:ascii="Book Antiqua" w:hAnsi="Book Antiqua" w:cs="Arial"/>
          <w:noProof/>
          <w:vertAlign w:val="superscript"/>
          <w:lang w:val="en-US"/>
        </w:rPr>
        <w:t>[9]</w:t>
      </w:r>
      <w:r w:rsidRPr="00CD1426">
        <w:rPr>
          <w:rFonts w:ascii="Book Antiqua" w:hAnsi="Book Antiqua" w:cs="Arial"/>
          <w:lang w:val="en-US"/>
        </w:rPr>
        <w:fldChar w:fldCharType="end"/>
      </w:r>
      <w:r w:rsidR="00B33120" w:rsidRPr="00CD1426">
        <w:rPr>
          <w:rFonts w:ascii="Book Antiqua" w:hAnsi="Book Antiqua" w:cs="Arial"/>
          <w:lang w:val="en-US" w:eastAsia="zh-CN"/>
        </w:rPr>
        <w:t>.</w:t>
      </w:r>
      <w:r w:rsidRPr="00CD1426">
        <w:rPr>
          <w:rFonts w:ascii="Book Antiqua" w:hAnsi="Book Antiqua" w:cs="Arial"/>
          <w:lang w:val="en-US"/>
        </w:rPr>
        <w:t xml:space="preserve"> Studies with </w:t>
      </w:r>
      <w:proofErr w:type="spellStart"/>
      <w:r w:rsidRPr="00CD1426">
        <w:rPr>
          <w:rFonts w:ascii="Book Antiqua" w:hAnsi="Book Antiqua" w:cs="Arial"/>
          <w:lang w:val="en-US"/>
        </w:rPr>
        <w:t>telaprevir</w:t>
      </w:r>
      <w:proofErr w:type="spellEnd"/>
      <w:r w:rsidRPr="00CD1426">
        <w:rPr>
          <w:rFonts w:ascii="Book Antiqua" w:hAnsi="Book Antiqua" w:cs="Arial"/>
          <w:lang w:val="en-US"/>
        </w:rPr>
        <w:t xml:space="preserve">-based triple therapy including previously treated patients evaluated previous partial responders, </w:t>
      </w:r>
      <w:proofErr w:type="spellStart"/>
      <w:r w:rsidRPr="00CD1426">
        <w:rPr>
          <w:rFonts w:ascii="Book Antiqua" w:hAnsi="Book Antiqua" w:cs="Arial"/>
          <w:lang w:val="en-US"/>
        </w:rPr>
        <w:t>relapsers</w:t>
      </w:r>
      <w:proofErr w:type="spellEnd"/>
      <w:r w:rsidRPr="00CD1426" w:rsidDel="00985ACC">
        <w:rPr>
          <w:rFonts w:ascii="Book Antiqua" w:hAnsi="Book Antiqua" w:cs="Arial"/>
          <w:lang w:val="en-US"/>
        </w:rPr>
        <w:t xml:space="preserve"> </w:t>
      </w:r>
      <w:r w:rsidRPr="00CD1426">
        <w:rPr>
          <w:rFonts w:ascii="Book Antiqua" w:hAnsi="Book Antiqua" w:cs="Arial"/>
          <w:lang w:val="en-US"/>
        </w:rPr>
        <w:t xml:space="preserve">and null responders. The SVR rates during treatment were higher in patients who had previous relapse or partial response than in patients who had null response. Based on these analyzes, advanced fibrosis appears to be associated to unsuccessful, especially among patients with no response or a partial response to previous treatment, although there was no such effect on prior </w:t>
      </w:r>
      <w:proofErr w:type="spellStart"/>
      <w:r w:rsidRPr="00CD1426">
        <w:rPr>
          <w:rFonts w:ascii="Book Antiqua" w:hAnsi="Book Antiqua" w:cs="Arial"/>
          <w:lang w:val="en-US"/>
        </w:rPr>
        <w:t>relapsers</w:t>
      </w:r>
      <w:proofErr w:type="spellEnd"/>
      <w:r w:rsidRPr="00CD1426">
        <w:rPr>
          <w:rFonts w:ascii="Book Antiqua" w:hAnsi="Book Antiqua" w:cs="Arial"/>
          <w:lang w:val="en-US"/>
        </w:rPr>
        <w:t xml:space="preserve">. The lead-in phase with </w:t>
      </w:r>
      <w:proofErr w:type="spellStart"/>
      <w:r w:rsidRPr="00CD1426">
        <w:rPr>
          <w:rFonts w:ascii="Book Antiqua" w:hAnsi="Book Antiqua" w:cs="Arial"/>
          <w:lang w:val="en-US"/>
        </w:rPr>
        <w:t>peguilated</w:t>
      </w:r>
      <w:proofErr w:type="spellEnd"/>
      <w:r w:rsidRPr="00CD1426">
        <w:rPr>
          <w:rFonts w:ascii="Book Antiqua" w:hAnsi="Book Antiqua" w:cs="Arial"/>
          <w:lang w:val="en-US"/>
        </w:rPr>
        <w:t xml:space="preserve"> interferon alpha-2a plus ribavirin before </w:t>
      </w:r>
      <w:proofErr w:type="spellStart"/>
      <w:r w:rsidRPr="00CD1426">
        <w:rPr>
          <w:rFonts w:ascii="Book Antiqua" w:hAnsi="Book Antiqua" w:cs="Arial"/>
          <w:lang w:val="en-US"/>
        </w:rPr>
        <w:t>telaprevir</w:t>
      </w:r>
      <w:proofErr w:type="spellEnd"/>
      <w:r w:rsidRPr="00CD1426">
        <w:rPr>
          <w:rFonts w:ascii="Book Antiqua" w:hAnsi="Book Antiqua" w:cs="Arial"/>
          <w:lang w:val="en-US"/>
        </w:rPr>
        <w:t xml:space="preserve"> intake di</w:t>
      </w:r>
      <w:r w:rsidR="00B33120" w:rsidRPr="00CD1426">
        <w:rPr>
          <w:rFonts w:ascii="Book Antiqua" w:hAnsi="Book Antiqua" w:cs="Arial"/>
          <w:lang w:val="en-US"/>
        </w:rPr>
        <w:t>d not improve the response rate</w:t>
      </w:r>
      <w:r w:rsidRPr="00CD1426">
        <w:rPr>
          <w:rFonts w:ascii="Book Antiqua" w:hAnsi="Book Antiqua" w:cs="Arial"/>
          <w:lang w:val="en-US"/>
        </w:rPr>
        <w:fldChar w:fldCharType="begin" w:fldLock="1"/>
      </w:r>
      <w:r w:rsidR="001D4A08" w:rsidRPr="00CD1426">
        <w:rPr>
          <w:rFonts w:ascii="Book Antiqua" w:hAnsi="Book Antiqua" w:cs="Arial"/>
          <w:lang w:val="en-US"/>
        </w:rPr>
        <w:instrText>ADDIN CSL_CITATION { "citationItems" : [ { "id" : "ITEM-1", "itemData" : { "DOI" : "10.1056/NEJMoa1013086", "ISSN" : "1533-4406", "PMID" : "21696308", "abstract" : "Up to 60% of patients with hepatitis C virus (HCV) genotype 1 infection do not have a sustained virologic response to therapy with peginterferon alfa plus ribavirin.", "author" : [ { "dropping-particle" : "", "family" : "Zeuzem", "given" : "Stefan", "non-dropping-particle" : "", "parse-names" : false, "suffix" : "" }, { "dropping-particle" : "", "family" : "Andreone", "given" : "Pietro", "non-dropping-particle" : "", "parse-names" : false, "suffix" : "" }, { "dropping-particle" : "", "family" : "Pol", "given" : "Stanislas", "non-dropping-particle" : "", "parse-names" : false, "suffix" : "" }, { "dropping-particle" : "", "family" : "Lawitz", "given" : "Eric", "non-dropping-particle" : "", "parse-names" : false, "suffix" : "" }, { "dropping-particle" : "", "family" : "Diago", "given" : "Moises", "non-dropping-particle" : "", "parse-names" : false, "suffix" : "" }, { "dropping-particle" : "", "family" : "Roberts", "given" : "Stuart", "non-dropping-particle" : "", "parse-names" : false, "suffix" : "" }, { "dropping-particle" : "", "family" : "Focaccia", "given" : "Roberto", "non-dropping-particle" : "", "parse-names" : false, "suffix" : "" }, { "dropping-particle" : "", "family" : "Younossi", "given" : "Zobair", "non-dropping-particle" : "", "parse-names" : false, "suffix" : "" }, { "dropping-particle" : "", "family" : "Foster", "given" : "Graham R", "non-dropping-particle" : "", "parse-names" : false, "suffix" : "" }, { "dropping-particle" : "", "family" : "Horban", "given" : "Andrzej", "non-dropping-particle" : "", "parse-names" : false, "suffix" : "" }, { "dropping-particle" : "", "family" : "Ferenci", "given" : "Peter", "non-dropping-particle" : "", "parse-names" : false, "suffix" : "" }, { "dropping-particle" : "", "family" : "Nevens", "given" : "Frederik", "non-dropping-particle" : "", "parse-names" : false, "suffix" : "" }, { "dropping-particle" : "", "family" : "M\u00fcllhaupt", "given" : "Beat", "non-dropping-particle" : "", "parse-names" : false, "suffix" : "" }, { "dropping-particle" : "", "family" : "Pockros", "given" : "Paul", "non-dropping-particle" : "", "parse-names" : false, "suffix" : "" }, { "dropping-particle" : "", "family" : "Terg", "given" : "Ruben", "non-dropping-particle" : "", "parse-names" : false, "suffix" : "" }, { "dropping-particle" : "", "family" : "Shouval", "given" : "Daniel", "non-dropping-particle" : "", "parse-names" : false, "suffix" : "" }, { "dropping-particle" : "", "family" : "Hoek", "given" : "Bart", "non-dropping-particle" : "van", "parse-names" : false, "suffix" : "" }, { "dropping-particle" : "", "family" : "Weiland", "given" : "Ola", "non-dropping-particle" : "", "parse-names" : false, "suffix" : "" }, { "dropping-particle" : "", "family" : "Heeswijk", "given" : "Rolf", "non-dropping-particle" : "Van", "parse-names" : false, "suffix" : "" }, { "dropping-particle" : "", "family" : "Meyer", "given" : "Sandra", "non-dropping-particle" : "De", "parse-names" : false, "suffix" : "" }, { "dropping-particle" : "", "family" : "Luo", "given" : "Don", "non-dropping-particle" : "", "parse-names" : false, "suffix" : "" }, { "dropping-particle" : "", "family" : "Boogaerts", "given" : "Griet", "non-dropping-particle" : "", "parse-names" : false, "suffix" : "" }, { "dropping-particle" : "", "family" : "Polo", "given" : "Ramon", "non-dropping-particle" : "", "parse-names" : false, "suffix" : "" }, { "dropping-particle" : "", "family" : "Picchio", "given" : "Gaston", "non-dropping-particle" : "", "parse-names" : false, "suffix" : "" }, { "dropping-particle" : "", "family" : "Beumont", "given" : "Maria", "non-dropping-particle" : "", "parse-names" : false, "suffix" : "" } ], "container-title" : "The New England journal of medicine", "id" : "ITEM-1", "issue" : "25", "issued" : { "date-parts" : [ [ "2011", "6", "23" ] ] }, "page" : "2417-28", "title" : "Telaprevir for retreatment of HCV infection.", "type" : "article-journal", "volume" : "364" }, "uris" : [ "http://www.mendeley.com/documents/?uuid=e8dfc464-989f-4db1-a090-36404e673d78" ] } ], "mendeley" : { "formattedCitation" : "&lt;sup&gt;[41]&lt;/sup&gt;", "plainTextFormattedCitation" : "[41]", "previouslyFormattedCitation" : "&lt;sup&gt;[41]&lt;/sup&gt;" }, "properties" : { "noteIndex" : 0 }, "schema" : "https://github.com/citation-style-language/schema/raw/master/csl-citation.json" }</w:instrText>
      </w:r>
      <w:r w:rsidRPr="00CD1426">
        <w:rPr>
          <w:rFonts w:ascii="Book Antiqua" w:hAnsi="Book Antiqua" w:cs="Arial"/>
          <w:lang w:val="en-US"/>
        </w:rPr>
        <w:fldChar w:fldCharType="separate"/>
      </w:r>
      <w:r w:rsidR="001D4A08" w:rsidRPr="00CD1426">
        <w:rPr>
          <w:rFonts w:ascii="Book Antiqua" w:hAnsi="Book Antiqua" w:cs="Arial"/>
          <w:noProof/>
          <w:vertAlign w:val="superscript"/>
          <w:lang w:val="en-US"/>
        </w:rPr>
        <w:t>[41]</w:t>
      </w:r>
      <w:r w:rsidRPr="00CD1426">
        <w:rPr>
          <w:rFonts w:ascii="Book Antiqua" w:hAnsi="Book Antiqua" w:cs="Arial"/>
          <w:lang w:val="en-US"/>
        </w:rPr>
        <w:fldChar w:fldCharType="end"/>
      </w:r>
      <w:r w:rsidRPr="00CD1426">
        <w:rPr>
          <w:rFonts w:ascii="Book Antiqua" w:hAnsi="Book Antiqua" w:cs="Arial"/>
          <w:lang w:val="en-US"/>
        </w:rPr>
        <w:t xml:space="preserve"> (Table 1)</w:t>
      </w:r>
      <w:r w:rsidR="00B33120" w:rsidRPr="00CD1426">
        <w:rPr>
          <w:rFonts w:ascii="Book Antiqua" w:hAnsi="Book Antiqua" w:cs="Arial"/>
          <w:lang w:val="en-US" w:eastAsia="zh-CN"/>
        </w:rPr>
        <w:t>.</w:t>
      </w:r>
    </w:p>
    <w:p w14:paraId="469714E1" w14:textId="77777777" w:rsidR="002B302F" w:rsidRPr="00CD1426" w:rsidRDefault="002B302F" w:rsidP="00CD1426">
      <w:pPr>
        <w:spacing w:line="360" w:lineRule="auto"/>
        <w:jc w:val="both"/>
        <w:rPr>
          <w:rFonts w:ascii="Book Antiqua" w:hAnsi="Book Antiqua" w:cs="Arial"/>
          <w:b/>
          <w:lang w:val="en-US"/>
        </w:rPr>
      </w:pPr>
    </w:p>
    <w:p w14:paraId="2D08CD30" w14:textId="77777777" w:rsidR="002B302F" w:rsidRPr="00CD1426" w:rsidRDefault="002B302F" w:rsidP="00CD1426">
      <w:pPr>
        <w:tabs>
          <w:tab w:val="left" w:pos="0"/>
          <w:tab w:val="right" w:pos="540"/>
        </w:tabs>
        <w:spacing w:line="360" w:lineRule="auto"/>
        <w:jc w:val="both"/>
        <w:rPr>
          <w:rFonts w:ascii="Book Antiqua" w:hAnsi="Book Antiqua" w:cs="Arial"/>
          <w:b/>
          <w:i/>
          <w:lang w:val="en-US"/>
        </w:rPr>
      </w:pPr>
      <w:r w:rsidRPr="00CD1426">
        <w:rPr>
          <w:rFonts w:ascii="Book Antiqua" w:hAnsi="Book Antiqua" w:cs="Arial"/>
          <w:b/>
          <w:i/>
          <w:lang w:val="en-US"/>
        </w:rPr>
        <w:t>Lead in phase as a predictor of SVR</w:t>
      </w:r>
    </w:p>
    <w:p w14:paraId="30181408" w14:textId="77777777" w:rsidR="00B33120" w:rsidRPr="00CD1426" w:rsidRDefault="002B302F" w:rsidP="00CD1426">
      <w:pPr>
        <w:tabs>
          <w:tab w:val="left" w:pos="0"/>
          <w:tab w:val="right" w:pos="540"/>
        </w:tabs>
        <w:spacing w:line="360" w:lineRule="auto"/>
        <w:jc w:val="both"/>
        <w:rPr>
          <w:rFonts w:ascii="Book Antiqua" w:hAnsi="Book Antiqua" w:cs="Arial"/>
          <w:lang w:val="en-US" w:eastAsia="zh-CN"/>
        </w:rPr>
      </w:pPr>
      <w:r w:rsidRPr="00CD1426">
        <w:rPr>
          <w:rFonts w:ascii="Book Antiqua" w:hAnsi="Book Antiqua" w:cs="Arial"/>
          <w:lang w:val="en-US"/>
        </w:rPr>
        <w:t>Clinical trials have suggested that the lead-in phase, by evaluating the sensitivity to interferon, is able to predict the efficacy of triple the</w:t>
      </w:r>
      <w:r w:rsidR="00B33120" w:rsidRPr="00CD1426">
        <w:rPr>
          <w:rFonts w:ascii="Book Antiqua" w:hAnsi="Book Antiqua" w:cs="Arial"/>
          <w:lang w:val="en-US"/>
        </w:rPr>
        <w:t>rapy using first generation DAA</w:t>
      </w:r>
      <w:r w:rsidRPr="00CD1426">
        <w:rPr>
          <w:rFonts w:ascii="Book Antiqua" w:hAnsi="Book Antiqua" w:cs="Arial"/>
          <w:lang w:val="en-US"/>
        </w:rPr>
        <w:fldChar w:fldCharType="begin" w:fldLock="1"/>
      </w:r>
      <w:r w:rsidR="001D4A08" w:rsidRPr="00CD1426">
        <w:rPr>
          <w:rFonts w:ascii="Book Antiqua" w:hAnsi="Book Antiqua" w:cs="Arial"/>
          <w:lang w:val="en-US"/>
        </w:rPr>
        <w:instrText>ADDIN CSL_CITATION { "citationItems" : [ { "id" : "ITEM-1", "itemData" : { "DOI" : "10.1016/j.jhep.2012.09.023", "ISSN" : "1600-0641", "PMID" : "23063419", "abstract" : "The standard therapeutic approach currently recommended for patients infected with genotype 1 hepatitis C virus (HCV) is the triple therapy combining pegylated interferon (PEG-IFN), ribavirin (RBV)and NS3/NS4 protease inhibitors, boceprevir or telaprevir [1]. Protease inhibitors (PIs) are direct acting antiviral drugs (DAA) which, when added to PEG-IFN and RBV, are able to achieve a significant gain in terms of sustained virological response (SVR), both in na\u00efve and treatment-experienced patients [2\u20135]. The use of these new molecules, despite its in contestable benefits, reveals on the other hand new challenges: the emergence of variants with reduced sensitivity to PIs, the development of new or higher rate of side effects, drug to drug interactions, and significant increase in the overall cost of antiviral therapy. Among the two DAAs commonly used in combination with PEG-IFN and RBV (PEG-IFN/RBV) for the treatment of genotype 1 HCV patients, boceprevir has been licensed with a lead-in phase, while telaprevir has been licensed without. EMA approved regimens of both drugs are reported in Figs. 1 and 2. The lead-in phase represents an initial period of 4 weeks of dual therapy with PEG-IFN/RBV, in standard doses, followed by triple therapy. The concept of lead-in phase was initiated by the Schering\u2013Plough company in order to improve efficacy of boceprevir-based triple therapy. Indeed, by lowering HCV RNA level, a short course of PEG-IFN/RBV may theoretically reduce the risk of viral breakthrough or resistance. However, there is still much controversy regarding the utility of the lead-in phase, some authors advocating its role in improving, and/or predicting triple therapy effectiveness, while others view it as a useless complication of the therapeutic regimen, its chief disadvantage being the inconvenience to the patient.", "author" : [ { "dropping-particle" : "", "family" : "Pascale", "given" : "Alina", "non-dropping-particle" : "", "parse-names" : false, "suffix" : "" }, { "dropping-particle" : "", "family" : "Serfaty", "given" : "Lawrence", "non-dropping-particle" : "", "parse-names" : false, "suffix" : "" } ], "container-title" : "Journal of hepatology", "id" : "ITEM-1", "issue" : "2", "issued" : { "date-parts" : [ [ "2013", "2" ] ] }, "page" : "391-4", "title" : "Triple therapy with first generation HCV protease inhibitors: lead-in or no lead-in phase?", "type" : "article-journal", "volume" : "58" }, "uris" : [ "http://www.mendeley.com/documents/?uuid=0f351b64-eb48-4f76-adaf-5079040b0f21" ] } ], "mendeley" : { "formattedCitation" : "&lt;sup&gt;[47]&lt;/sup&gt;", "plainTextFormattedCitation" : "[47]", "previouslyFormattedCitation" : "&lt;sup&gt;[47]&lt;/sup&gt;" }, "properties" : { "noteIndex" : 0 }, "schema" : "https://github.com/citation-style-language/schema/raw/master/csl-citation.json" }</w:instrText>
      </w:r>
      <w:r w:rsidRPr="00CD1426">
        <w:rPr>
          <w:rFonts w:ascii="Book Antiqua" w:hAnsi="Book Antiqua" w:cs="Arial"/>
          <w:lang w:val="en-US"/>
        </w:rPr>
        <w:fldChar w:fldCharType="separate"/>
      </w:r>
      <w:r w:rsidR="001D4A08" w:rsidRPr="00CD1426">
        <w:rPr>
          <w:rFonts w:ascii="Book Antiqua" w:hAnsi="Book Antiqua" w:cs="Arial"/>
          <w:noProof/>
          <w:vertAlign w:val="superscript"/>
          <w:lang w:val="en-US"/>
        </w:rPr>
        <w:t>[47]</w:t>
      </w:r>
      <w:r w:rsidRPr="00CD1426">
        <w:rPr>
          <w:rFonts w:ascii="Book Antiqua" w:hAnsi="Book Antiqua" w:cs="Arial"/>
          <w:lang w:val="en-US"/>
        </w:rPr>
        <w:fldChar w:fldCharType="end"/>
      </w:r>
      <w:r w:rsidR="00B33120" w:rsidRPr="00CD1426">
        <w:rPr>
          <w:rFonts w:ascii="Book Antiqua" w:hAnsi="Book Antiqua" w:cs="Arial"/>
          <w:lang w:val="en-US" w:eastAsia="zh-CN"/>
        </w:rPr>
        <w:t>.</w:t>
      </w:r>
      <w:r w:rsidRPr="00CD1426">
        <w:rPr>
          <w:rFonts w:ascii="Book Antiqua" w:hAnsi="Book Antiqua" w:cs="Arial"/>
          <w:lang w:val="en-US"/>
        </w:rPr>
        <w:t xml:space="preserve"> Lead-in phase consists of four weeks of </w:t>
      </w:r>
      <w:proofErr w:type="spellStart"/>
      <w:r w:rsidRPr="00CD1426">
        <w:rPr>
          <w:rFonts w:ascii="Book Antiqua" w:hAnsi="Book Antiqua" w:cs="Arial"/>
          <w:lang w:val="en-US"/>
        </w:rPr>
        <w:t>pegylated</w:t>
      </w:r>
      <w:proofErr w:type="spellEnd"/>
      <w:r w:rsidRPr="00CD1426">
        <w:rPr>
          <w:rFonts w:ascii="Book Antiqua" w:hAnsi="Book Antiqua" w:cs="Arial"/>
          <w:lang w:val="en-US"/>
        </w:rPr>
        <w:t xml:space="preserve"> interferon and ribavirin treatment before triple therapy. A viral load decline &gt;</w:t>
      </w:r>
      <w:r w:rsidR="00B33120" w:rsidRPr="00CD1426">
        <w:rPr>
          <w:rFonts w:ascii="Book Antiqua" w:hAnsi="Book Antiqua" w:cs="Arial"/>
          <w:lang w:val="en-US" w:eastAsia="zh-CN"/>
        </w:rPr>
        <w:t xml:space="preserve"> </w:t>
      </w:r>
      <w:r w:rsidRPr="00CD1426">
        <w:rPr>
          <w:rFonts w:ascii="Book Antiqua" w:hAnsi="Book Antiqua" w:cs="Arial"/>
          <w:lang w:val="en-US"/>
        </w:rPr>
        <w:t>1 log after lead-in was the strongest predictor of SVR in both naïve and previously tr</w:t>
      </w:r>
      <w:r w:rsidR="00B33120" w:rsidRPr="00CD1426">
        <w:rPr>
          <w:rFonts w:ascii="Book Antiqua" w:hAnsi="Book Antiqua" w:cs="Arial"/>
          <w:lang w:val="en-US"/>
        </w:rPr>
        <w:t xml:space="preserve">eated patients with </w:t>
      </w:r>
      <w:proofErr w:type="spellStart"/>
      <w:r w:rsidR="00B33120" w:rsidRPr="00CD1426">
        <w:rPr>
          <w:rFonts w:ascii="Book Antiqua" w:hAnsi="Book Antiqua" w:cs="Arial"/>
          <w:lang w:val="en-US"/>
        </w:rPr>
        <w:t>boceprevir</w:t>
      </w:r>
      <w:proofErr w:type="spellEnd"/>
      <w:r w:rsidRPr="00CD1426">
        <w:rPr>
          <w:rFonts w:ascii="Book Antiqua" w:hAnsi="Book Antiqua" w:cs="Arial"/>
          <w:lang w:val="en-US"/>
        </w:rPr>
        <w:fldChar w:fldCharType="begin" w:fldLock="1"/>
      </w:r>
      <w:r w:rsidR="001D4A08" w:rsidRPr="00CD1426">
        <w:rPr>
          <w:rFonts w:ascii="Book Antiqua" w:hAnsi="Book Antiqua" w:cs="Arial"/>
          <w:lang w:val="en-US"/>
        </w:rPr>
        <w:instrText>ADDIN CSL_CITATION { "citationItems" : [ { "id" : "ITEM-1", "itemData" : { "DOI" : "10.1053/j.gastro.2012.05.011", "ISSN" : "1528-0012", "PMID" : "22626609", "abstract" : "BACKGROUND &amp; AIMS: Little is known about factors associated with a sustained virologic response (SVR) among patients with hepatitis C virus (HCV) infection to treatment with protease inhibitors.\n\nMETHODS: Previously untreated patients (from the Serine Protease Inhibitor Therapy 2 [SPRINT-2] trial) and those who did not respond to prior therapy (from the Retreatment with HCV Serine Protease Inhibitor Boceprevir and PegIntron/Rebetol 2 [RESPOND-2] trial) received either a combination of peginterferon and ribavirin for 48 weeks or boceprevir, peginterferon, and ribavirin (triple therapy) after 4 weeks of peginterferon and ribavirin (total treatment duration, 28-48 wk). A good response to interferon was defined as a \u2265 1 log(10) decrease in HCV RNA at week 4; a poor response was defined as a &lt;1 log(10) decrease. We used multivariate regression analyses to identify baseline factors of the host (including the polymorphism interleukin [IL]-28B rs12979860) associated with response. The polymorphism IL-28B rs8099917 also was assessed.\n\nRESULTS: In the SPRINT-2 trial, factors that predicted a SVR to triple therapy included low viral load (odds ratio [OR], 11.6), IL-28B genotype (rs 12979860 CC vs TT and CT; ORs, 2.6 and 2.1, respectively), absence of cirrhosis (OR, 4.3), HCV subtype 1b (OR, 2.0), and non-black race (OR, 2.0). In the RESPOND-2 trial, the only factor significantly associated with a SVR was previous relapse, compared with previous nonresponse (OR, 2.6). Most patients with rs12979860 CC who received triple therapy had undetectable levels of HCV RNA by week 8 (76%-89%), and were eligible for shortened therapy. In both studies, IL-28B rs12979860 CC was associated more strongly with a good response to interferon than other baseline factors; however, a \u2265 1 log(10) decrease in HCV-RNA level at week 4 was associated more strongly with SVR than IL-28B rs12979860. Combining the rs8099917 and rs12979860 genotypes does not increase the association with SVR.\n\nCONCLUSIONS: The CC polymorphism at IL-28B rs12979860 is associated with response to triple therapy and can identify candidates for shorter treatment durations. A \u2265 1 log(10) decrease in HCV RNA at week 4 of therapy is the strongest predictor of a SVR, regardless of polymorphisms in IL-28B.", "author" : [ { "dropping-particle" : "", "family" : "Poordad", "given" : "Fred", "non-dropping-particle" : "", "parse-names" : false, "suffix" : "" }, { "dropping-particle" : "", "family" : "Bronowicki", "given" : "Jean-Pierre", "non-dropping-particle" : "", "parse-names" : false, "suffix" : "" }, { "dropping-particle" : "", "family" : "Gordon", "given" : "Stuart C", "non-dropping-particle" : "", "parse-names" : false, "suffix" : "" }, { "dropping-particle" : "", "family" : "Zeuzem", "given" : "Stefan", "non-dropping-particle" : "", "parse-names" : false, "suffix" : "" }, { "dropping-particle" : "", "family" : "Jacobson", "given" : "Ira M", "non-dropping-particle" : "", "parse-names" : false, "suffix" : "" }, { "dropping-particle" : "", "family" : "Sulkowski", "given" : "Mark S", "non-dropping-particle" : "", "parse-names" : false, "suffix" : "" }, { "dropping-particle" : "", "family" : "Poynard", "given" : "Thierry", "non-dropping-particle" : "", "parse-names" : false, "suffix" : "" }, { "dropping-particle" : "", "family" : "Morgan", "given" : "Timothy R", "non-dropping-particle" : "", "parse-names" : false, "suffix" : "" }, { "dropping-particle" : "", "family" : "Molony", "given" : "Cliona", "non-dropping-particle" : "", "parse-names" : false, "suffix" : "" }, { "dropping-particle" : "", "family" : "Pedicone", "given" : "Lisa D", "non-dropping-particle" : "", "parse-names" : false, "suffix" : "" }, { "dropping-particle" : "", "family" : "Sings", "given" : "Heather L", "non-dropping-particle" : "", "parse-names" : false, "suffix" : "" }, { "dropping-particle" : "", "family" : "Burroughs", "given" : "Margaret H", "non-dropping-particle" : "", "parse-names" : false, "suffix" : "" }, { "dropping-particle" : "", "family" : "Sniukiene", "given" : "Vilma", "non-dropping-particle" : "", "parse-names" : false, "suffix" : "" }, { "dropping-particle" : "", "family" : "Boparai", "given" : "Navdeep", "non-dropping-particle" : "", "parse-names" : false, "suffix" : "" }, { "dropping-particle" : "", "family" : "Goteti", "given" : "Venkata S", "non-dropping-particle" : "", "parse-names" : false, "suffix" : "" }, { "dropping-particle" : "", "family" : "Brass", "given" : "Clifford A", "non-dropping-particle" : "", "parse-names" : false, "suffix" : "" }, { "dropping-particle" : "", "family" : "Albrecht", "given" : "Janice K", "non-dropping-particle" : "", "parse-names" : false, "suffix" : "" }, { "dropping-particle" : "", "family" : "Bacon", "given" : "Bruce R", "non-dropping-particle" : "", "parse-names" : false, "suffix" : "" } ], "container-title" : "Gastroenterology", "id" : "ITEM-1", "issue" : "3", "issued" : { "date-parts" : [ [ "2012", "9" ] ] }, "page" : "608-18.e1-5", "title" : "Factors that predict response of patients with hepatitis C virus infection to boceprevir.", "type" : "article-journal", "volume" : "143" }, "uris" : [ "http://www.mendeley.com/documents/?uuid=516c62d2-09e3-4ed0-b97d-05bd8d7ef28d" ] } ], "mendeley" : { "formattedCitation" : "&lt;sup&gt;[44]&lt;/sup&gt;", "plainTextFormattedCitation" : "[44]", "previouslyFormattedCitation" : "&lt;sup&gt;[44]&lt;/sup&gt;" }, "properties" : { "noteIndex" : 0 }, "schema" : "https://github.com/citation-style-language/schema/raw/master/csl-citation.json" }</w:instrText>
      </w:r>
      <w:r w:rsidRPr="00CD1426">
        <w:rPr>
          <w:rFonts w:ascii="Book Antiqua" w:hAnsi="Book Antiqua" w:cs="Arial"/>
          <w:lang w:val="en-US"/>
        </w:rPr>
        <w:fldChar w:fldCharType="separate"/>
      </w:r>
      <w:r w:rsidR="001D4A08" w:rsidRPr="00CD1426">
        <w:rPr>
          <w:rFonts w:ascii="Book Antiqua" w:hAnsi="Book Antiqua" w:cs="Arial"/>
          <w:noProof/>
          <w:vertAlign w:val="superscript"/>
          <w:lang w:val="en-US"/>
        </w:rPr>
        <w:t>[44]</w:t>
      </w:r>
      <w:r w:rsidRPr="00CD1426">
        <w:rPr>
          <w:rFonts w:ascii="Book Antiqua" w:hAnsi="Book Antiqua" w:cs="Arial"/>
          <w:lang w:val="en-US"/>
        </w:rPr>
        <w:fldChar w:fldCharType="end"/>
      </w:r>
      <w:r w:rsidR="00B33120" w:rsidRPr="00CD1426">
        <w:rPr>
          <w:rFonts w:ascii="Book Antiqua" w:hAnsi="Book Antiqua" w:cs="Arial"/>
          <w:lang w:val="en-US" w:eastAsia="zh-CN"/>
        </w:rPr>
        <w:t>.</w:t>
      </w:r>
      <w:r w:rsidRPr="00CD1426">
        <w:rPr>
          <w:rFonts w:ascii="Book Antiqua" w:hAnsi="Book Antiqua" w:cs="Arial"/>
          <w:lang w:val="en-US"/>
        </w:rPr>
        <w:t xml:space="preserve"> Notably, in individuals with a viral load decline less than 1 log after lead-in phase, the chances of achieving </w:t>
      </w:r>
      <w:r w:rsidRPr="00CD1426">
        <w:rPr>
          <w:rFonts w:ascii="Book Antiqua" w:hAnsi="Book Antiqua" w:cs="Arial"/>
          <w:lang w:val="en-US"/>
        </w:rPr>
        <w:lastRenderedPageBreak/>
        <w:t>SVR were lower, which may reflect resistance to interferon. In the Sprint-2 trial, patients who achieved more than a 2 log viral load decline after lead-in ha</w:t>
      </w:r>
      <w:r w:rsidR="00B33120" w:rsidRPr="00CD1426">
        <w:rPr>
          <w:rFonts w:ascii="Book Antiqua" w:hAnsi="Book Antiqua" w:cs="Arial"/>
          <w:lang w:val="en-US"/>
        </w:rPr>
        <w:t>d an SVR rate greater that 80%.</w:t>
      </w:r>
    </w:p>
    <w:p w14:paraId="36102E53" w14:textId="26C542CF" w:rsidR="002B302F" w:rsidRPr="00CD1426" w:rsidRDefault="002B302F" w:rsidP="00CD1426">
      <w:pPr>
        <w:tabs>
          <w:tab w:val="left" w:pos="0"/>
          <w:tab w:val="right" w:pos="540"/>
        </w:tabs>
        <w:spacing w:line="360" w:lineRule="auto"/>
        <w:ind w:firstLineChars="200" w:firstLine="480"/>
        <w:jc w:val="both"/>
        <w:rPr>
          <w:rFonts w:ascii="Book Antiqua" w:hAnsi="Book Antiqua" w:cs="Arial"/>
          <w:lang w:val="en-US"/>
        </w:rPr>
      </w:pPr>
      <w:r w:rsidRPr="00CD1426">
        <w:rPr>
          <w:rFonts w:ascii="Book Antiqua" w:hAnsi="Book Antiqua" w:cs="Arial"/>
          <w:lang w:val="en-US"/>
        </w:rPr>
        <w:t xml:space="preserve">The rationale for performing a lead-in phase is to avoid adverse effects associated with triple therapy with </w:t>
      </w:r>
      <w:proofErr w:type="spellStart"/>
      <w:r w:rsidRPr="00CD1426">
        <w:rPr>
          <w:rFonts w:ascii="Book Antiqua" w:hAnsi="Book Antiqua" w:cs="Arial"/>
          <w:lang w:val="en-US"/>
        </w:rPr>
        <w:t>boceprevir</w:t>
      </w:r>
      <w:proofErr w:type="spellEnd"/>
      <w:r w:rsidRPr="00CD1426">
        <w:rPr>
          <w:rFonts w:ascii="Book Antiqua" w:hAnsi="Book Antiqua" w:cs="Arial"/>
          <w:lang w:val="en-US"/>
        </w:rPr>
        <w:t xml:space="preserve"> or </w:t>
      </w:r>
      <w:proofErr w:type="spellStart"/>
      <w:r w:rsidRPr="00CD1426">
        <w:rPr>
          <w:rFonts w:ascii="Book Antiqua" w:hAnsi="Book Antiqua" w:cs="Arial"/>
          <w:lang w:val="en-US"/>
        </w:rPr>
        <w:t>telaprevir</w:t>
      </w:r>
      <w:proofErr w:type="spellEnd"/>
      <w:r w:rsidRPr="00CD1426">
        <w:rPr>
          <w:rFonts w:ascii="Book Antiqua" w:hAnsi="Book Antiqua" w:cs="Arial"/>
          <w:lang w:val="en-US"/>
        </w:rPr>
        <w:t xml:space="preserve"> in patients with few chances of SVR, particularly in cirrhotic and previous experimented patients. Poor-interferon sensitive patients without RVR at week 4 after lead-in and with other unfavorable predictors to SVR may avoid the disadvantages of triple therapy with </w:t>
      </w:r>
      <w:proofErr w:type="spellStart"/>
      <w:r w:rsidRPr="00CD1426">
        <w:rPr>
          <w:rFonts w:ascii="Book Antiqua" w:hAnsi="Book Antiqua" w:cs="Arial"/>
          <w:lang w:val="en-US"/>
        </w:rPr>
        <w:t>boceprevir</w:t>
      </w:r>
      <w:proofErr w:type="spellEnd"/>
      <w:r w:rsidRPr="00CD1426">
        <w:rPr>
          <w:rFonts w:ascii="Book Antiqua" w:hAnsi="Book Antiqua" w:cs="Arial"/>
          <w:lang w:val="en-US"/>
        </w:rPr>
        <w:t xml:space="preserve"> or </w:t>
      </w:r>
      <w:proofErr w:type="spellStart"/>
      <w:r w:rsidRPr="00CD1426">
        <w:rPr>
          <w:rFonts w:ascii="Book Antiqua" w:hAnsi="Book Antiqua" w:cs="Arial"/>
          <w:lang w:val="en-US"/>
        </w:rPr>
        <w:t>telaprevir</w:t>
      </w:r>
      <w:proofErr w:type="spellEnd"/>
      <w:r w:rsidRPr="00CD1426">
        <w:rPr>
          <w:rFonts w:ascii="Book Antiqua" w:hAnsi="Book Antiqua" w:cs="Arial"/>
          <w:lang w:val="en-US"/>
        </w:rPr>
        <w:t xml:space="preserve"> and should be treated with new interferon-free therapies.</w:t>
      </w:r>
    </w:p>
    <w:p w14:paraId="25CDF0C8" w14:textId="28FA4B7B" w:rsidR="002B302F" w:rsidRPr="00CD1426" w:rsidRDefault="002B302F" w:rsidP="00CD1426">
      <w:pPr>
        <w:tabs>
          <w:tab w:val="left" w:pos="0"/>
          <w:tab w:val="right" w:pos="540"/>
        </w:tabs>
        <w:spacing w:line="360" w:lineRule="auto"/>
        <w:ind w:firstLineChars="250" w:firstLine="600"/>
        <w:jc w:val="both"/>
        <w:rPr>
          <w:rFonts w:ascii="Book Antiqua" w:hAnsi="Book Antiqua" w:cs="Arial"/>
          <w:lang w:val="en-US" w:eastAsia="zh-CN"/>
        </w:rPr>
      </w:pPr>
      <w:r w:rsidRPr="00CD1426">
        <w:rPr>
          <w:rFonts w:ascii="Book Antiqua" w:hAnsi="Book Antiqua" w:cs="Arial"/>
          <w:lang w:val="en-US"/>
        </w:rPr>
        <w:t>A multivariate analysis to evaluate the baseline markers that predict this interferon response after the lead-in phase, accessing previously untreated patients, showed that baseline markers of good response involved the following: IL28B C/C genotype, low baseline viral load, absence of cirrhosis, and lower body mass index (BMI). In previous treatment-failures, baseline predictors of good response after lead-in were IL28B C/C genotype and previous relapse to PR therapy. Statistically significant differences in SVR rates for patients who did not reach a 1 Log IU/mL decline after lead-in were observed such as the followin</w:t>
      </w:r>
      <w:r w:rsidR="00B33120" w:rsidRPr="00CD1426">
        <w:rPr>
          <w:rFonts w:ascii="Book Antiqua" w:hAnsi="Book Antiqua" w:cs="Arial"/>
          <w:lang w:val="en-US"/>
        </w:rPr>
        <w:t xml:space="preserve">g: patients with genotype 1b </w:t>
      </w:r>
      <w:r w:rsidR="00B33120" w:rsidRPr="00CD1426">
        <w:rPr>
          <w:rFonts w:ascii="Book Antiqua" w:hAnsi="Book Antiqua" w:cs="Arial"/>
          <w:i/>
          <w:lang w:val="en-US"/>
        </w:rPr>
        <w:t>vs</w:t>
      </w:r>
      <w:r w:rsidR="00B33120" w:rsidRPr="00CD1426">
        <w:rPr>
          <w:rFonts w:ascii="Book Antiqua" w:hAnsi="Book Antiqua" w:cs="Arial"/>
          <w:lang w:val="en-US" w:eastAsia="zh-CN"/>
        </w:rPr>
        <w:t xml:space="preserve"> </w:t>
      </w:r>
      <w:r w:rsidR="00B33120" w:rsidRPr="00CD1426">
        <w:rPr>
          <w:rFonts w:ascii="Book Antiqua" w:hAnsi="Book Antiqua" w:cs="Arial"/>
          <w:lang w:val="en-US"/>
        </w:rPr>
        <w:t xml:space="preserve">1a (47% </w:t>
      </w:r>
      <w:r w:rsidR="00B33120" w:rsidRPr="00CD1426">
        <w:rPr>
          <w:rFonts w:ascii="Book Antiqua" w:hAnsi="Book Antiqua" w:cs="Arial"/>
          <w:i/>
          <w:lang w:val="en-US"/>
        </w:rPr>
        <w:t>vs</w:t>
      </w:r>
      <w:r w:rsidRPr="00CD1426">
        <w:rPr>
          <w:rFonts w:ascii="Book Antiqua" w:hAnsi="Book Antiqua" w:cs="Arial"/>
          <w:lang w:val="en-US"/>
        </w:rPr>
        <w:t xml:space="preserve"> 25%), METAVI</w:t>
      </w:r>
      <w:r w:rsidR="00B33120" w:rsidRPr="00CD1426">
        <w:rPr>
          <w:rFonts w:ascii="Book Antiqua" w:hAnsi="Book Antiqua" w:cs="Arial"/>
          <w:lang w:val="en-US"/>
        </w:rPr>
        <w:t xml:space="preserve">R score F0/1/2 </w:t>
      </w:r>
      <w:r w:rsidR="00B33120" w:rsidRPr="00CD1426">
        <w:rPr>
          <w:rFonts w:ascii="Book Antiqua" w:hAnsi="Book Antiqua" w:cs="Arial"/>
          <w:i/>
          <w:lang w:val="en-US"/>
        </w:rPr>
        <w:t>vs</w:t>
      </w:r>
      <w:r w:rsidR="00B33120" w:rsidRPr="00CD1426">
        <w:rPr>
          <w:rFonts w:ascii="Book Antiqua" w:hAnsi="Book Antiqua" w:cs="Arial"/>
          <w:lang w:val="en-US"/>
        </w:rPr>
        <w:t xml:space="preserve"> F3/4 (38% </w:t>
      </w:r>
      <w:r w:rsidR="00B33120" w:rsidRPr="00CD1426">
        <w:rPr>
          <w:rFonts w:ascii="Book Antiqua" w:hAnsi="Book Antiqua" w:cs="Arial"/>
          <w:i/>
          <w:lang w:val="en-US"/>
        </w:rPr>
        <w:t>vs</w:t>
      </w:r>
      <w:r w:rsidRPr="00CD1426">
        <w:rPr>
          <w:rFonts w:ascii="Book Antiqua" w:hAnsi="Book Antiqua" w:cs="Arial"/>
          <w:lang w:val="en-US"/>
        </w:rPr>
        <w:t xml:space="preserve"> 17%), and baseline viral load </w:t>
      </w:r>
      <w:r w:rsidR="00B33120" w:rsidRPr="00CD1426">
        <w:rPr>
          <w:rFonts w:ascii="Book Antiqua" w:hAnsi="Book Antiqua" w:cs="Arial"/>
          <w:lang w:val="en-US" w:eastAsia="zh-CN"/>
        </w:rPr>
        <w:t>≤</w:t>
      </w:r>
      <w:r w:rsidR="00B33120" w:rsidRPr="00CD1426">
        <w:rPr>
          <w:rFonts w:ascii="Book Antiqua" w:hAnsi="Book Antiqua" w:cs="Arial"/>
          <w:lang w:val="en-US"/>
        </w:rPr>
        <w:t xml:space="preserve">800000 </w:t>
      </w:r>
      <w:r w:rsidR="00B33120" w:rsidRPr="00CD1426">
        <w:rPr>
          <w:rFonts w:ascii="Book Antiqua" w:hAnsi="Book Antiqua" w:cs="Arial"/>
          <w:i/>
          <w:lang w:val="en-US"/>
        </w:rPr>
        <w:t>vs</w:t>
      </w:r>
      <w:r w:rsidRPr="00CD1426">
        <w:rPr>
          <w:rFonts w:ascii="Book Antiqua" w:hAnsi="Book Antiqua" w:cs="Arial"/>
          <w:lang w:val="en-US"/>
        </w:rPr>
        <w:t xml:space="preserve"> &gt;</w:t>
      </w:r>
      <w:r w:rsidR="00B33120" w:rsidRPr="00CD1426">
        <w:rPr>
          <w:rFonts w:ascii="Book Antiqua" w:hAnsi="Book Antiqua" w:cs="Arial"/>
          <w:lang w:val="en-US" w:eastAsia="zh-CN"/>
        </w:rPr>
        <w:t xml:space="preserve"> </w:t>
      </w:r>
      <w:r w:rsidRPr="00CD1426">
        <w:rPr>
          <w:rFonts w:ascii="Book Antiqua" w:hAnsi="Book Antiqua" w:cs="Arial"/>
          <w:lang w:val="en-US"/>
        </w:rPr>
        <w:t>8</w:t>
      </w:r>
      <w:r w:rsidR="00B33120" w:rsidRPr="00CD1426">
        <w:rPr>
          <w:rFonts w:ascii="Book Antiqua" w:hAnsi="Book Antiqua" w:cs="Arial"/>
          <w:lang w:val="en-US"/>
        </w:rPr>
        <w:t xml:space="preserve">00000 (69% </w:t>
      </w:r>
      <w:r w:rsidR="00B33120" w:rsidRPr="00CD1426">
        <w:rPr>
          <w:rFonts w:ascii="Book Antiqua" w:hAnsi="Book Antiqua" w:cs="Arial"/>
          <w:i/>
          <w:lang w:val="en-US"/>
        </w:rPr>
        <w:t>vs</w:t>
      </w:r>
      <w:r w:rsidR="00B33120" w:rsidRPr="00CD1426">
        <w:rPr>
          <w:rFonts w:ascii="Book Antiqua" w:hAnsi="Book Antiqua" w:cs="Arial"/>
          <w:lang w:val="en-US"/>
        </w:rPr>
        <w:t xml:space="preserve"> 31%). Gender, race (black </w:t>
      </w:r>
      <w:r w:rsidR="00B33120" w:rsidRPr="00CD1426">
        <w:rPr>
          <w:rFonts w:ascii="Book Antiqua" w:hAnsi="Book Antiqua" w:cs="Arial"/>
          <w:i/>
          <w:lang w:val="en-US"/>
        </w:rPr>
        <w:t>vs</w:t>
      </w:r>
      <w:r w:rsidRPr="00CD1426">
        <w:rPr>
          <w:rFonts w:ascii="Book Antiqua" w:hAnsi="Book Antiqua" w:cs="Arial"/>
          <w:lang w:val="en-US"/>
        </w:rPr>
        <w:t xml:space="preserve"> nonblack), age, BMI and </w:t>
      </w:r>
      <w:proofErr w:type="spellStart"/>
      <w:r w:rsidRPr="00CD1426">
        <w:rPr>
          <w:rFonts w:ascii="Book Antiqua" w:hAnsi="Book Antiqua" w:cs="Arial"/>
          <w:lang w:val="en-US"/>
        </w:rPr>
        <w:t>steatosis</w:t>
      </w:r>
      <w:proofErr w:type="spellEnd"/>
      <w:r w:rsidRPr="00CD1426">
        <w:rPr>
          <w:rFonts w:ascii="Book Antiqua" w:hAnsi="Book Antiqua" w:cs="Arial"/>
          <w:lang w:val="en-US"/>
        </w:rPr>
        <w:t xml:space="preserve"> score were not associated with respons</w:t>
      </w:r>
      <w:r w:rsidR="00B33120" w:rsidRPr="00CD1426">
        <w:rPr>
          <w:rFonts w:ascii="Book Antiqua" w:hAnsi="Book Antiqua" w:cs="Arial"/>
          <w:lang w:val="en-US"/>
        </w:rPr>
        <w:t>e in this subgroup of patients</w:t>
      </w:r>
      <w:r w:rsidRPr="00CD1426">
        <w:rPr>
          <w:rFonts w:ascii="Book Antiqua" w:hAnsi="Book Antiqua" w:cs="Arial"/>
          <w:lang w:val="en-US"/>
        </w:rPr>
        <w:fldChar w:fldCharType="begin" w:fldLock="1"/>
      </w:r>
      <w:r w:rsidR="001D4A08" w:rsidRPr="00CD1426">
        <w:rPr>
          <w:rFonts w:ascii="Book Antiqua" w:hAnsi="Book Antiqua" w:cs="Arial"/>
          <w:lang w:val="en-US"/>
        </w:rPr>
        <w:instrText>ADDIN CSL_CITATION { "citationItems" : [ { "id" : "ITEM-1", "itemData" : { "DOI" : "10.1053/j.gastro.2012.05.011", "ISSN" : "1528-0012", "PMID" : "22626609", "abstract" : "BACKGROUND &amp; AIMS: Little is known about factors associated with a sustained virologic response (SVR) among patients with hepatitis C virus (HCV) infection to treatment with protease inhibitors.\n\nMETHODS: Previously untreated patients (from the Serine Protease Inhibitor Therapy 2 [SPRINT-2] trial) and those who did not respond to prior therapy (from the Retreatment with HCV Serine Protease Inhibitor Boceprevir and PegIntron/Rebetol 2 [RESPOND-2] trial) received either a combination of peginterferon and ribavirin for 48 weeks or boceprevir, peginterferon, and ribavirin (triple therapy) after 4 weeks of peginterferon and ribavirin (total treatment duration, 28-48 wk). A good response to interferon was defined as a \u2265 1 log(10) decrease in HCV RNA at week 4; a poor response was defined as a &lt;1 log(10) decrease. We used multivariate regression analyses to identify baseline factors of the host (including the polymorphism interleukin [IL]-28B rs12979860) associated with response. The polymorphism IL-28B rs8099917 also was assessed.\n\nRESULTS: In the SPRINT-2 trial, factors that predicted a SVR to triple therapy included low viral load (odds ratio [OR], 11.6), IL-28B genotype (rs 12979860 CC vs TT and CT; ORs, 2.6 and 2.1, respectively), absence of cirrhosis (OR, 4.3), HCV subtype 1b (OR, 2.0), and non-black race (OR, 2.0). In the RESPOND-2 trial, the only factor significantly associated with a SVR was previous relapse, compared with previous nonresponse (OR, 2.6). Most patients with rs12979860 CC who received triple therapy had undetectable levels of HCV RNA by week 8 (76%-89%), and were eligible for shortened therapy. In both studies, IL-28B rs12979860 CC was associated more strongly with a good response to interferon than other baseline factors; however, a \u2265 1 log(10) decrease in HCV-RNA level at week 4 was associated more strongly with SVR than IL-28B rs12979860. Combining the rs8099917 and rs12979860 genotypes does not increase the association with SVR.\n\nCONCLUSIONS: The CC polymorphism at IL-28B rs12979860 is associated with response to triple therapy and can identify candidates for shorter treatment durations. A \u2265 1 log(10) decrease in HCV RNA at week 4 of therapy is the strongest predictor of a SVR, regardless of polymorphisms in IL-28B.", "author" : [ { "dropping-particle" : "", "family" : "Poordad", "given" : "Fred", "non-dropping-particle" : "", "parse-names" : false, "suffix" : "" }, { "dropping-particle" : "", "family" : "Bronowicki", "given" : "Jean-Pierre", "non-dropping-particle" : "", "parse-names" : false, "suffix" : "" }, { "dropping-particle" : "", "family" : "Gordon", "given" : "Stuart C", "non-dropping-particle" : "", "parse-names" : false, "suffix" : "" }, { "dropping-particle" : "", "family" : "Zeuzem", "given" : "Stefan", "non-dropping-particle" : "", "parse-names" : false, "suffix" : "" }, { "dropping-particle" : "", "family" : "Jacobson", "given" : "Ira M", "non-dropping-particle" : "", "parse-names" : false, "suffix" : "" }, { "dropping-particle" : "", "family" : "Sulkowski", "given" : "Mark S", "non-dropping-particle" : "", "parse-names" : false, "suffix" : "" }, { "dropping-particle" : "", "family" : "Poynard", "given" : "Thierry", "non-dropping-particle" : "", "parse-names" : false, "suffix" : "" }, { "dropping-particle" : "", "family" : "Morgan", "given" : "Timothy R", "non-dropping-particle" : "", "parse-names" : false, "suffix" : "" }, { "dropping-particle" : "", "family" : "Molony", "given" : "Cliona", "non-dropping-particle" : "", "parse-names" : false, "suffix" : "" }, { "dropping-particle" : "", "family" : "Pedicone", "given" : "Lisa D", "non-dropping-particle" : "", "parse-names" : false, "suffix" : "" }, { "dropping-particle" : "", "family" : "Sings", "given" : "Heather L", "non-dropping-particle" : "", "parse-names" : false, "suffix" : "" }, { "dropping-particle" : "", "family" : "Burroughs", "given" : "Margaret H", "non-dropping-particle" : "", "parse-names" : false, "suffix" : "" }, { "dropping-particle" : "", "family" : "Sniukiene", "given" : "Vilma", "non-dropping-particle" : "", "parse-names" : false, "suffix" : "" }, { "dropping-particle" : "", "family" : "Boparai", "given" : "Navdeep", "non-dropping-particle" : "", "parse-names" : false, "suffix" : "" }, { "dropping-particle" : "", "family" : "Goteti", "given" : "Venkata S", "non-dropping-particle" : "", "parse-names" : false, "suffix" : "" }, { "dropping-particle" : "", "family" : "Brass", "given" : "Clifford A", "non-dropping-particle" : "", "parse-names" : false, "suffix" : "" }, { "dropping-particle" : "", "family" : "Albrecht", "given" : "Janice K", "non-dropping-particle" : "", "parse-names" : false, "suffix" : "" }, { "dropping-particle" : "", "family" : "Bacon", "given" : "Bruce R", "non-dropping-particle" : "", "parse-names" : false, "suffix" : "" } ], "container-title" : "Gastroenterology", "id" : "ITEM-1", "issue" : "3", "issued" : { "date-parts" : [ [ "2012", "9" ] ] }, "page" : "608-18.e1-5", "title" : "Factors that predict response of patients with hepatitis C virus infection to boceprevir.", "type" : "article-journal", "volume" : "143" }, "uris" : [ "http://www.mendeley.com/documents/?uuid=516c62d2-09e3-4ed0-b97d-05bd8d7ef28d" ] } ], "mendeley" : { "formattedCitation" : "&lt;sup&gt;[44]&lt;/sup&gt;", "plainTextFormattedCitation" : "[44]", "previouslyFormattedCitation" : "&lt;sup&gt;[44]&lt;/sup&gt;" }, "properties" : { "noteIndex" : 0 }, "schema" : "https://github.com/citation-style-language/schema/raw/master/csl-citation.json" }</w:instrText>
      </w:r>
      <w:r w:rsidRPr="00CD1426">
        <w:rPr>
          <w:rFonts w:ascii="Book Antiqua" w:hAnsi="Book Antiqua" w:cs="Arial"/>
          <w:lang w:val="en-US"/>
        </w:rPr>
        <w:fldChar w:fldCharType="separate"/>
      </w:r>
      <w:r w:rsidR="001D4A08" w:rsidRPr="00CD1426">
        <w:rPr>
          <w:rFonts w:ascii="Book Antiqua" w:hAnsi="Book Antiqua" w:cs="Arial"/>
          <w:noProof/>
          <w:vertAlign w:val="superscript"/>
          <w:lang w:val="en-US"/>
        </w:rPr>
        <w:t>[44]</w:t>
      </w:r>
      <w:r w:rsidRPr="00CD1426">
        <w:rPr>
          <w:rFonts w:ascii="Book Antiqua" w:hAnsi="Book Antiqua" w:cs="Arial"/>
          <w:lang w:val="en-US"/>
        </w:rPr>
        <w:fldChar w:fldCharType="end"/>
      </w:r>
      <w:r w:rsidR="00B33120" w:rsidRPr="00CD1426">
        <w:rPr>
          <w:rFonts w:ascii="Book Antiqua" w:hAnsi="Book Antiqua" w:cs="Arial"/>
          <w:lang w:val="en-US" w:eastAsia="zh-CN"/>
        </w:rPr>
        <w:t>.</w:t>
      </w:r>
    </w:p>
    <w:p w14:paraId="689AFF32" w14:textId="77777777" w:rsidR="002B302F" w:rsidRPr="00CD1426" w:rsidRDefault="002B302F" w:rsidP="00CD1426">
      <w:pPr>
        <w:tabs>
          <w:tab w:val="left" w:pos="0"/>
          <w:tab w:val="right" w:pos="540"/>
        </w:tabs>
        <w:spacing w:line="360" w:lineRule="auto"/>
        <w:jc w:val="both"/>
        <w:rPr>
          <w:rFonts w:ascii="Book Antiqua" w:hAnsi="Book Antiqua" w:cs="Arial"/>
          <w:i/>
          <w:lang w:val="en-US"/>
        </w:rPr>
      </w:pPr>
    </w:p>
    <w:p w14:paraId="1D3D1980" w14:textId="77777777" w:rsidR="002B302F" w:rsidRPr="00CD1426" w:rsidRDefault="002B302F" w:rsidP="00CD1426">
      <w:pPr>
        <w:tabs>
          <w:tab w:val="left" w:pos="0"/>
          <w:tab w:val="right" w:pos="540"/>
        </w:tabs>
        <w:spacing w:line="360" w:lineRule="auto"/>
        <w:jc w:val="both"/>
        <w:rPr>
          <w:rFonts w:ascii="Book Antiqua" w:hAnsi="Book Antiqua" w:cs="Arial"/>
          <w:b/>
          <w:i/>
          <w:lang w:val="en-US"/>
        </w:rPr>
      </w:pPr>
      <w:r w:rsidRPr="00CD1426">
        <w:rPr>
          <w:rFonts w:ascii="Book Antiqua" w:hAnsi="Book Antiqua" w:cs="Arial"/>
          <w:b/>
          <w:i/>
          <w:lang w:val="en-US"/>
        </w:rPr>
        <w:t>First generation DAA and IL28B</w:t>
      </w:r>
    </w:p>
    <w:p w14:paraId="4C081266" w14:textId="77777777" w:rsidR="002B302F" w:rsidRPr="00CD1426" w:rsidRDefault="002B302F" w:rsidP="00CD1426">
      <w:pPr>
        <w:tabs>
          <w:tab w:val="left" w:pos="0"/>
          <w:tab w:val="right" w:pos="540"/>
        </w:tabs>
        <w:spacing w:line="360" w:lineRule="auto"/>
        <w:jc w:val="both"/>
        <w:rPr>
          <w:rFonts w:ascii="Book Antiqua" w:hAnsi="Book Antiqua" w:cs="Arial"/>
          <w:lang w:val="en-US"/>
        </w:rPr>
      </w:pPr>
      <w:r w:rsidRPr="00CD1426">
        <w:rPr>
          <w:rFonts w:ascii="Book Antiqua" w:hAnsi="Book Antiqua" w:cs="Arial"/>
          <w:lang w:val="en-US"/>
        </w:rPr>
        <w:t>The IL28B C/C genotype is a strong predictor of interferon response with PR therapy, however, with first wave</w:t>
      </w:r>
      <w:r w:rsidRPr="00CD1426">
        <w:rPr>
          <w:rFonts w:ascii="Book Antiqua" w:hAnsi="Book Antiqua" w:cs="Arial"/>
          <w:i/>
          <w:lang w:val="en-US"/>
        </w:rPr>
        <w:t xml:space="preserve"> DAA</w:t>
      </w:r>
      <w:r w:rsidRPr="00CD1426">
        <w:rPr>
          <w:rFonts w:ascii="Book Antiqua" w:hAnsi="Book Antiqua" w:cs="Arial"/>
          <w:lang w:val="en-US"/>
        </w:rPr>
        <w:t xml:space="preserve"> interferon-based triple therapy</w:t>
      </w:r>
      <w:r w:rsidRPr="00CD1426" w:rsidDel="00B846C7">
        <w:rPr>
          <w:rFonts w:ascii="Book Antiqua" w:hAnsi="Book Antiqua" w:cs="Arial"/>
          <w:lang w:val="en-US"/>
        </w:rPr>
        <w:t xml:space="preserve"> </w:t>
      </w:r>
      <w:r w:rsidRPr="00CD1426">
        <w:rPr>
          <w:rFonts w:ascii="Book Antiqua" w:hAnsi="Book Antiqua" w:cs="Arial"/>
          <w:lang w:val="en-US"/>
        </w:rPr>
        <w:t xml:space="preserve">IL-28B C/C genotype is a good marker of early response in naïve or previous treatment experimented patients and viral kinetics is the strongest predictor of SVR. </w:t>
      </w:r>
    </w:p>
    <w:p w14:paraId="6CB6B728" w14:textId="005CEF76" w:rsidR="002B302F" w:rsidRPr="00CD1426" w:rsidRDefault="002B302F" w:rsidP="00CD1426">
      <w:pPr>
        <w:tabs>
          <w:tab w:val="left" w:pos="0"/>
          <w:tab w:val="right" w:pos="540"/>
        </w:tabs>
        <w:spacing w:line="360" w:lineRule="auto"/>
        <w:ind w:firstLineChars="200" w:firstLine="480"/>
        <w:jc w:val="both"/>
        <w:rPr>
          <w:rFonts w:ascii="Book Antiqua" w:hAnsi="Book Antiqua" w:cs="Arial"/>
          <w:lang w:val="en-US" w:eastAsia="zh-CN"/>
        </w:rPr>
      </w:pPr>
      <w:r w:rsidRPr="00CD1426">
        <w:rPr>
          <w:rFonts w:ascii="Book Antiqua" w:hAnsi="Book Antiqua" w:cs="Arial"/>
          <w:lang w:val="en-US"/>
        </w:rPr>
        <w:t xml:space="preserve">Sprint-2 and Respond-2 were phase III studies that evaluated the effectiveness of triple therapy with </w:t>
      </w:r>
      <w:proofErr w:type="spellStart"/>
      <w:r w:rsidRPr="00CD1426">
        <w:rPr>
          <w:rFonts w:ascii="Book Antiqua" w:hAnsi="Book Antiqua" w:cs="Arial"/>
          <w:lang w:val="en-US"/>
        </w:rPr>
        <w:t>pegylated</w:t>
      </w:r>
      <w:proofErr w:type="spellEnd"/>
      <w:r w:rsidRPr="00CD1426">
        <w:rPr>
          <w:rFonts w:ascii="Book Antiqua" w:hAnsi="Book Antiqua" w:cs="Arial"/>
          <w:lang w:val="en-US"/>
        </w:rPr>
        <w:t xml:space="preserve"> interferon, ribavirin and </w:t>
      </w:r>
      <w:proofErr w:type="spellStart"/>
      <w:r w:rsidRPr="00CD1426">
        <w:rPr>
          <w:rFonts w:ascii="Book Antiqua" w:hAnsi="Book Antiqua" w:cs="Arial"/>
          <w:lang w:val="en-US"/>
        </w:rPr>
        <w:lastRenderedPageBreak/>
        <w:t>boceprevir</w:t>
      </w:r>
      <w:proofErr w:type="spellEnd"/>
      <w:r w:rsidRPr="00CD1426">
        <w:rPr>
          <w:rFonts w:ascii="Book Antiqua" w:hAnsi="Book Antiqua" w:cs="Arial"/>
          <w:lang w:val="en-US"/>
        </w:rPr>
        <w:t xml:space="preserve"> in naïve and previous treated patients, respectively. </w:t>
      </w:r>
      <w:proofErr w:type="spellStart"/>
      <w:r w:rsidRPr="00CD1426">
        <w:rPr>
          <w:rFonts w:ascii="Book Antiqua" w:hAnsi="Book Antiqua" w:cs="Arial"/>
          <w:lang w:val="en-US"/>
        </w:rPr>
        <w:t>Subanalysis</w:t>
      </w:r>
      <w:proofErr w:type="spellEnd"/>
      <w:r w:rsidRPr="00CD1426">
        <w:rPr>
          <w:rFonts w:ascii="Book Antiqua" w:hAnsi="Book Antiqua" w:cs="Arial"/>
          <w:lang w:val="en-US"/>
        </w:rPr>
        <w:t xml:space="preserve"> of these studies assessed the impact of the IL28B polymorphism (rs12979860) as a</w:t>
      </w:r>
      <w:r w:rsidR="00AE459C" w:rsidRPr="00CD1426">
        <w:rPr>
          <w:rFonts w:ascii="Book Antiqua" w:hAnsi="Book Antiqua" w:cs="Arial"/>
          <w:lang w:val="en-US"/>
        </w:rPr>
        <w:t xml:space="preserve"> predictor of therapy response</w:t>
      </w:r>
      <w:r w:rsidRPr="00CD1426">
        <w:rPr>
          <w:rFonts w:ascii="Book Antiqua" w:hAnsi="Book Antiqua" w:cs="Arial"/>
          <w:vertAlign w:val="superscript"/>
          <w:lang w:val="en-US"/>
        </w:rPr>
        <w:fldChar w:fldCharType="begin" w:fldLock="1"/>
      </w:r>
      <w:r w:rsidR="001D4A08" w:rsidRPr="00CD1426">
        <w:rPr>
          <w:rFonts w:ascii="Book Antiqua" w:hAnsi="Book Antiqua" w:cs="Arial"/>
          <w:vertAlign w:val="superscript"/>
          <w:lang w:val="en-US"/>
        </w:rPr>
        <w:instrText>ADDIN CSL_CITATION { "citationItems" : [ { "id" : "ITEM-1", "itemData" : { "DOI" : "10.1016/j.jhep.2012.12.023", "ISSN" : "1600-0641", "PMID" : "23321318", "abstract" : "BACKGROUND &amp; AIMS: Nucleotide polymorphisms upstream of the interleukin 28B (IL28B) gene are strongly associated with hepatitis C virus (HCV) clearance in treatment-na\u00efve patients treated with peginterferon/ribavirin (PegIFN/RBV). This subanalysis of the REALIZE study evaluated the impact of IL28B polymorphisms on sustained virologic response (SVR) in telaprevir-treated, HCV genotype 1-infected patients with prior PegIFN/RBV treatment failure.\n\nMETHODS: Treatment-experienced patients were randomized to 12 weeks of telaprevir (750 mg every 8h) with/without a 4-week PegIFN/RBV lead-in, or placebo, each with PegIFN-\u03b1-2a (180 \u03bcg/week) and ribavirin (1000-1200 mg/day) for 48 weeks overall. Data from telaprevir arms were pooled.\n\nRESULTS: Eighty percent (527/662) of patients consented to genetic testing and were included. Similar proportions of patients had IL28B CC, CT and TT genotypes across treatment arms; baseline characteristics were generally well balanced. SVR rates were higher in the pooled telaprevir versus placebo group for all IL28B genotypes; CC: 79% versus 29%, respectively; CT: 60% versus 16%, respectively; TT: 61% versus 13%, respectively. Within each prior response category (relapse, partial or null response), SVR and viral breakthrough rates with telaprevir-based treatment were comparable across IL28B genotypes. IL28B genotype did not significantly affect SVR (2-step multivariate analyses; p &gt;0.16 in pairwise comparison among CC, TT, and CT). Variations in rapid virologic response and relapse rates were noted in certain patient subgroups.\n\nCONCLUSIONS: Our findings suggest that IL28B genotype has a limited impact on SVR rates with telaprevir-based therapy in treatment-experienced patients. IL28B genotyping may have limited utility in the baseline evaluation of similar patients considered for telaprevir-based therapy.", "author" : [ { "dropping-particle" : "", "family" : "Pol", "given" : "Stanislas", "non-dropping-particle" : "", "parse-names" : false, "suffix" : "" }, { "dropping-particle" : "", "family" : "Aerssens", "given" : "Jeroen", "non-dropping-particle" : "", "parse-names" : false, "suffix" : "" }, { "dropping-particle" : "", "family" : "Zeuzem", "given" : "Stefan", "non-dropping-particle" : "", "parse-names" : false, "suffix" : "" }, { "dropping-particle" : "", "family" : "Andreone", "given" : "Pietro", "non-dropping-particle" : "", "parse-names" : false, "suffix" : "" }, { "dropping-particle" : "", "family" : "Lawitz", "given" : "Eric J", "non-dropping-particle" : "", "parse-names" : false, "suffix" : "" }, { "dropping-particle" : "", "family" : "Roberts", "given" : "Stuart", "non-dropping-particle" : "", "parse-names" : false, "suffix" : "" }, { "dropping-particle" : "", "family" : "Younossi", "given" : "Zobair", "non-dropping-particle" : "", "parse-names" : false, "suffix" : "" }, { "dropping-particle" : "", "family" : "Foster", "given" : "Graham R", "non-dropping-particle" : "", "parse-names" : false, "suffix" : "" }, { "dropping-particle" : "", "family" : "Focaccia", "given" : "Roberto", "non-dropping-particle" : "", "parse-names" : false, "suffix" : "" }, { "dropping-particle" : "", "family" : "Horban", "given" : "Andrzej", "non-dropping-particle" : "", "parse-names" : false, "suffix" : "" }, { "dropping-particle" : "", "family" : "Pockros", "given" : "Paul J", "non-dropping-particle" : "", "parse-names" : false, "suffix" : "" }, { "dropping-particle" : "", "family" : "Heeswijk", "given" : "Rolf P G", "non-dropping-particle" : "Van", "parse-names" : false, "suffix" : "" }, { "dropping-particle" : "", "family" : "Meyer", "given" : "Sandra", "non-dropping-particle" : "De", "parse-names" : false, "suffix" : "" }, { "dropping-particle" : "", "family" : "Luo", "given" : "Don", "non-dropping-particle" : "", "parse-names" : false, "suffix" : "" }, { "dropping-particle" : "", "family" : "Botfield", "given" : "Martyn", "non-dropping-particle" : "", "parse-names" : false, "suffix" : "" }, { "dropping-particle" : "", "family" : "Beumont", "given" : "Maria", "non-dropping-particle" : "", "parse-names" : false, "suffix" : "" }, { "dropping-particle" : "", "family" : "Picchio", "given" : "Gaston", "non-dropping-particle" : "", "parse-names" : false, "suffix" : "" } ], "container-title" : "Journal of hepatology", "id" : "ITEM-1", "issue" : "5", "issued" : { "date-parts" : [ [ "2013", "5", "5" ] ] }, "page" : "883-9", "publisher" : "Elsevier", "title" : "Limited impact of IL28B genotype on response rates in telaprevir-treated patients with prior treatment failure.", "type" : "article-journal", "volume" : "58" }, "uris" : [ "http://www.mendeley.com/documents/?uuid=e89749ff-b60d-45e9-bd82-48da20f2801f" ] }, { "id" : "ITEM-2", "itemData" : { "DOI" : "10.3748/wjg.v19.i47.8963", "ISSN" : "2219-2840", "PMID" : "24379621", "abstract" : "Hepatitis C virus (HCV) infection is the leading cause of chronic liver-related diseases, including cirrhosis, liver failure, and hepatocellular carcinoma. Currently, no effective vaccine is available for HCV infection. Polyethylene glycol interferon-\u03b1 (PegIFN-\u03b1) in combination with ribavirin (RBV) is the standard of care (SOC) for chronic hepatitis C. However, the efficacy of PegIFN-\u03b1 and RBV combination therapy is less than 50% for genotype 1 HCV, which is the dominant virus in humans. In addition, IFN and RBV have several severe side effects. Therefore, strategies to improve sustained virological response (SVR) rates have been an important focus for clinical physicians. The serine protease inhibitors telaprevir and boceprevir were approved by the United States Food and Drug Administration in 2011. The addition of HCV protease inhibitors to the SOC has significantly improved the efficacy of treatments for HCV infection. Several direct-acting antiviral drugs currently in late-stage clinical trials, both with and without peg-IFN and RBV, have several advantages over the previous SOC, including higher specificity and efficacy, fewer side effects, and the ability to be administered orally, and might be optimal regimens in the future. Factors affecting the efficacy of anti-HCV treatments based on IFN-\u03b1 include the HCV genotype, baseline viral load, virological response during treatment, host IL28B gene polymorphisms and hepatic steatosis. However, determining the effect of the above factors on DAA therapy is necessary. In this review, we summarize the development of anti-HCV agents and assess the main factors affecting the efficacy of antiviral treatments.", "author" : [ { "dropping-particle" : "", "family" : "Zhu", "given" : "Yan", "non-dropping-particle" : "", "parse-names" : false, "suffix" : "" }, { "dropping-particle" : "", "family" : "Chen", "given" : "Song", "non-dropping-particle" : "", "parse-names" : false, "suffix" : "" } ], "container-title" : "World journal of gastroenterology : WJG", "id" : "ITEM-2", "issue" : "47", "issued" : { "date-parts" : [ [ "2013", "12", "21" ] ] }, "page" : "8963-73", "title" : "Antiviral treatment of hepatitis C virus infection and factors affecting efficacy.", "type" : "article-journal", "volume" : "19" }, "uris" : [ "http://www.mendeley.com/documents/?uuid=2f4e712e-f418-444f-a0c0-103ee32af771" ] }, { "id" : "ITEM-3", "itemData" : { "DOI" : "10.1053/j.gastro.2012.05.011", "ISSN" : "1528-0012", "PMID" : "22626609", "abstract" : "BACKGROUND &amp; AIMS: Little is known about factors associated with a sustained virologic response (SVR) among patients with hepatitis C virus (HCV) infection to treatment with protease inhibitors.\n\nMETHODS: Previously untreated patients (from the Serine Protease Inhibitor Therapy 2 [SPRINT-2] trial) and those who did not respond to prior therapy (from the Retreatment with HCV Serine Protease Inhibitor Boceprevir and PegIntron/Rebetol 2 [RESPOND-2] trial) received either a combination of peginterferon and ribavirin for 48 weeks or boceprevir, peginterferon, and ribavirin (triple therapy) after 4 weeks of peginterferon and ribavirin (total treatment duration, 28-48 wk). A good response to interferon was defined as a \u2265 1 log(10) decrease in HCV RNA at week 4; a poor response was defined as a &lt;1 log(10) decrease. We used multivariate regression analyses to identify baseline factors of the host (including the polymorphism interleukin [IL]-28B rs12979860) associated with response. The polymorphism IL-28B rs8099917 also was assessed.\n\nRESULTS: In the SPRINT-2 trial, factors that predicted a SVR to triple therapy included low viral load (odds ratio [OR], 11.6), IL-28B genotype (rs 12979860 CC vs TT and CT; ORs, 2.6 and 2.1, respectively), absence of cirrhosis (OR, 4.3), HCV subtype 1b (OR, 2.0), and non-black race (OR, 2.0). In the RESPOND-2 trial, the only factor significantly associated with a SVR was previous relapse, compared with previous nonresponse (OR, 2.6). Most patients with rs12979860 CC who received triple therapy had undetectable levels of HCV RNA by week 8 (76%-89%), and were eligible for shortened therapy. In both studies, IL-28B rs12979860 CC was associated more strongly with a good response to interferon than other baseline factors; however, a \u2265 1 log(10) decrease in HCV-RNA level at week 4 was associated more strongly with SVR than IL-28B rs12979860. Combining the rs8099917 and rs12979860 genotypes does not increase the association with SVR.\n\nCONCLUSIONS: The CC polymorphism at IL-28B rs12979860 is associated with response to triple therapy and can identify candidates for shorter treatment durations. A \u2265 1 log(10) decrease in HCV RNA at week 4 of therapy is the strongest predictor of a SVR, regardless of polymorphisms in IL-28B.", "author" : [ { "dropping-particle" : "", "family" : "Poordad", "given" : "Fred", "non-dropping-particle" : "", "parse-names" : false, "suffix" : "" }, { "dropping-particle" : "", "family" : "Bronowicki", "given" : "Jean-Pierre", "non-dropping-particle" : "", "parse-names" : false, "suffix" : "" }, { "dropping-particle" : "", "family" : "Gordon", "given" : "Stuart C", "non-dropping-particle" : "", "parse-names" : false, "suffix" : "" }, { "dropping-particle" : "", "family" : "Zeuzem", "given" : "Stefan", "non-dropping-particle" : "", "parse-names" : false, "suffix" : "" }, { "dropping-particle" : "", "family" : "Jacobson", "given" : "Ira M", "non-dropping-particle" : "", "parse-names" : false, "suffix" : "" }, { "dropping-particle" : "", "family" : "Sulkowski", "given" : "Mark S", "non-dropping-particle" : "", "parse-names" : false, "suffix" : "" }, { "dropping-particle" : "", "family" : "Poynard", "given" : "Thierry", "non-dropping-particle" : "", "parse-names" : false, "suffix" : "" }, { "dropping-particle" : "", "family" : "Morgan", "given" : "Timothy R", "non-dropping-particle" : "", "parse-names" : false, "suffix" : "" }, { "dropping-particle" : "", "family" : "Molony", "given" : "Cliona", "non-dropping-particle" : "", "parse-names" : false, "suffix" : "" }, { "dropping-particle" : "", "family" : "Pedicone", "given" : "Lisa D", "non-dropping-particle" : "", "parse-names" : false, "suffix" : "" }, { "dropping-particle" : "", "family" : "Sings", "given" : "Heather L", "non-dropping-particle" : "", "parse-names" : false, "suffix" : "" }, { "dropping-particle" : "", "family" : "Burroughs", "given" : "Margaret H", "non-dropping-particle" : "", "parse-names" : false, "suffix" : "" }, { "dropping-particle" : "", "family" : "Sniukiene", "given" : "Vilma", "non-dropping-particle" : "", "parse-names" : false, "suffix" : "" }, { "dropping-particle" : "", "family" : "Boparai", "given" : "Navdeep", "non-dropping-particle" : "", "parse-names" : false, "suffix" : "" }, { "dropping-particle" : "", "family" : "Goteti", "given" : "Venkata S", "non-dropping-particle" : "", "parse-names" : false, "suffix" : "" }, { "dropping-particle" : "", "family" : "Brass", "given" : "Clifford A", "non-dropping-particle" : "", "parse-names" : false, "suffix" : "" }, { "dropping-particle" : "", "family" : "Albrecht", "given" : "Janice K", "non-dropping-particle" : "", "parse-names" : false, "suffix" : "" }, { "dropping-particle" : "", "family" : "Bacon", "given" : "Bruce R", "non-dropping-particle" : "", "parse-names" : false, "suffix" : "" } ], "container-title" : "Gastroenterology", "id" : "ITEM-3", "issue" : "3", "issued" : { "date-parts" : [ [ "2012", "9" ] ] }, "page" : "608-18.e1-5", "title" : "Factors that predict response of patients with hepatitis C virus infection to boceprevir.", "type" : "article-journal", "volume" : "143" }, "uris" : [ "http://www.mendeley.com/documents/?uuid=516c62d2-09e3-4ed0-b97d-05bd8d7ef28d" ] }, { "id" : "ITEM-4", "itemData" : { "DOI" : "10.1111/j.1478-3231.2011.02718.x", "ISSN" : "1478-3231", "PMID" : "22212573", "abstract" : "Boceprevir and telaprevir are the first two protease inhibitors available for the treatment of patients infected with hepatitis C virus (HCV) genotype 1. A sustained virological response (SVR) of 70-80% is observed when either of these protease inhibitors is utilized with pegylated interferon (PEG-IFN) and ribavirin (RBV) in treatment na\u00efve patients. Both agents are also highly effective in patients who failed to achieve a SVR during previous treatment with PEG-IFN/RBV. A rapid virological response (RVR) is observed in 56-60% of treatment na\u00efve patients. Patients who achieve a RVR can be treated with a shorter course of therapy (24-28 weeks) and still achieve a SVR rate of 90% or higher. Patients who do not achieve a RVR, those with cirrhosis and certain prior non-responders should be treated for 48 weeks. Although the SVR rates observed with boceprevir and telaprevir are quite similar both globally and within sub-populations, the treatment algorithms for the two agents are unique. The decision of which protease inhibitor to use should assess several factors including the treatment scheme, duration of therapy, adverse event profile, cost and the likelihood of achieving a RVR. The latter is highly dependent upon IFN sensitivity and the IL28B genotype.", "author" : [ { "dropping-particle" : "", "family" : "Shiffman", "given" : "Mitchell L", "non-dropping-particle" : "", "parse-names" : false, "suffix" : "" }, { "dropping-particle" : "", "family" : "Esteban", "given" : "Rafael", "non-dropping-particle" : "", "parse-names" : false, "suffix" : "" } ], "container-title" : "Liver international : official journal of the International Association for the Study of the Liver", "id" : "ITEM-4", "issued" : { "date-parts" : [ [ "2012", "2" ] ] }, "page" : "54-60", "title" : "Triple therapy for HCV genotype 1 infection: telaprevir or boceprevir?", "type" : "article-journal", "volume" : "32 Suppl 1" }, "uris" : [ "http://www.mendeley.com/documents/?uuid=a17fe6cd-e5f3-4e2d-ab97-804057c291e3" ] } ], "mendeley" : { "formattedCitation" : "&lt;sup&gt;[42,44,48,49]&lt;/sup&gt;", "manualFormatting" : "(41,43,47,48)", "plainTextFormattedCitation" : "[42,44,48,49]", "previouslyFormattedCitation" : "&lt;sup&gt;[42,44,48,49]&lt;/sup&gt;" }, "properties" : { "noteIndex" : 0 }, "schema" : "https://github.com/citation-style-language/schema/raw/master/csl-citation.json" }</w:instrText>
      </w:r>
      <w:r w:rsidRPr="00CD1426">
        <w:rPr>
          <w:rFonts w:ascii="Book Antiqua" w:hAnsi="Book Antiqua" w:cs="Arial"/>
          <w:vertAlign w:val="superscript"/>
          <w:lang w:val="en-US"/>
        </w:rPr>
        <w:fldChar w:fldCharType="separate"/>
      </w:r>
      <w:r w:rsidR="00AE459C" w:rsidRPr="00CD1426">
        <w:rPr>
          <w:rFonts w:ascii="Book Antiqua" w:hAnsi="Book Antiqua" w:cs="Arial"/>
          <w:noProof/>
          <w:vertAlign w:val="superscript"/>
          <w:lang w:val="en-US" w:eastAsia="zh-CN"/>
        </w:rPr>
        <w:t>[</w:t>
      </w:r>
      <w:r w:rsidR="007805C5" w:rsidRPr="00CD1426">
        <w:rPr>
          <w:rFonts w:ascii="Book Antiqua" w:hAnsi="Book Antiqua" w:cs="Arial"/>
          <w:noProof/>
          <w:vertAlign w:val="superscript"/>
          <w:lang w:val="en-US"/>
        </w:rPr>
        <w:t>41,43,47</w:t>
      </w:r>
      <w:r w:rsidR="008C5897" w:rsidRPr="00CD1426">
        <w:rPr>
          <w:rFonts w:ascii="Book Antiqua" w:hAnsi="Book Antiqua" w:cs="Arial"/>
          <w:noProof/>
          <w:vertAlign w:val="superscript"/>
          <w:lang w:val="en-US"/>
        </w:rPr>
        <w:t>,48</w:t>
      </w:r>
      <w:r w:rsidR="00AE459C" w:rsidRPr="00CD1426">
        <w:rPr>
          <w:rFonts w:ascii="Book Antiqua" w:hAnsi="Book Antiqua" w:cs="Arial"/>
          <w:noProof/>
          <w:vertAlign w:val="superscript"/>
          <w:lang w:val="en-US" w:eastAsia="zh-CN"/>
        </w:rPr>
        <w:t>]</w:t>
      </w:r>
      <w:r w:rsidRPr="00CD1426">
        <w:rPr>
          <w:rFonts w:ascii="Book Antiqua" w:hAnsi="Book Antiqua" w:cs="Arial"/>
          <w:vertAlign w:val="superscript"/>
          <w:lang w:val="en-US"/>
        </w:rPr>
        <w:fldChar w:fldCharType="end"/>
      </w:r>
      <w:r w:rsidR="00AE459C" w:rsidRPr="00CD1426">
        <w:rPr>
          <w:rFonts w:ascii="Book Antiqua" w:hAnsi="Book Antiqua" w:cs="Arial"/>
          <w:lang w:val="en-US" w:eastAsia="zh-CN"/>
        </w:rPr>
        <w:t>.</w:t>
      </w:r>
      <w:r w:rsidRPr="00CD1426">
        <w:rPr>
          <w:rFonts w:ascii="Book Antiqua" w:hAnsi="Book Antiqua" w:cs="Arial"/>
          <w:lang w:val="en-US"/>
        </w:rPr>
        <w:t xml:space="preserve"> The genotype C/C IL28B was the best predictor of treatment response at week 4 (after lead-in) and week 8. Considering the IL28B C/C and Rapid </w:t>
      </w:r>
      <w:proofErr w:type="spellStart"/>
      <w:r w:rsidRPr="00CD1426">
        <w:rPr>
          <w:rFonts w:ascii="Book Antiqua" w:hAnsi="Book Antiqua" w:cs="Arial"/>
          <w:lang w:val="en-US"/>
        </w:rPr>
        <w:t>Virologic</w:t>
      </w:r>
      <w:proofErr w:type="spellEnd"/>
      <w:r w:rsidRPr="00CD1426">
        <w:rPr>
          <w:rFonts w:ascii="Book Antiqua" w:hAnsi="Book Antiqua" w:cs="Arial"/>
          <w:lang w:val="en-US"/>
        </w:rPr>
        <w:t xml:space="preserve"> Respon</w:t>
      </w:r>
      <w:r w:rsidR="00B33120" w:rsidRPr="00CD1426">
        <w:rPr>
          <w:rFonts w:ascii="Book Antiqua" w:hAnsi="Book Antiqua" w:cs="Arial"/>
          <w:lang w:val="en-US"/>
        </w:rPr>
        <w:t>se (HCVRNA &lt;</w:t>
      </w:r>
      <w:r w:rsidR="00B33120" w:rsidRPr="00CD1426">
        <w:rPr>
          <w:rFonts w:ascii="Book Antiqua" w:hAnsi="Book Antiqua" w:cs="Arial"/>
          <w:lang w:val="en-US" w:eastAsia="zh-CN"/>
        </w:rPr>
        <w:t xml:space="preserve"> </w:t>
      </w:r>
      <w:r w:rsidR="00B33120" w:rsidRPr="00CD1426">
        <w:rPr>
          <w:rFonts w:ascii="Book Antiqua" w:hAnsi="Book Antiqua" w:cs="Arial"/>
          <w:lang w:val="en-US"/>
        </w:rPr>
        <w:t>100IU/mL at week</w:t>
      </w:r>
      <w:r w:rsidRPr="00CD1426">
        <w:rPr>
          <w:rFonts w:ascii="Book Antiqua" w:hAnsi="Book Antiqua" w:cs="Arial"/>
          <w:lang w:val="en-US"/>
        </w:rPr>
        <w:t xml:space="preserve"> 8 and 12), the duration of treatment with triple therapy was reduced in approximately 90% of previously treated and treatment-naïve patients. In the IL28B C/C genotype group in the Sprint-2 study, the SVR rates were higher in all three treatment studied arms (dual therapy, response-guided triple therapy with </w:t>
      </w:r>
      <w:proofErr w:type="spellStart"/>
      <w:r w:rsidRPr="00CD1426">
        <w:rPr>
          <w:rFonts w:ascii="Book Antiqua" w:hAnsi="Book Antiqua" w:cs="Arial"/>
          <w:lang w:val="en-US"/>
        </w:rPr>
        <w:t>boceprevir</w:t>
      </w:r>
      <w:proofErr w:type="spellEnd"/>
      <w:r w:rsidRPr="00CD1426">
        <w:rPr>
          <w:rFonts w:ascii="Book Antiqua" w:hAnsi="Book Antiqua" w:cs="Arial"/>
          <w:lang w:val="en-US"/>
        </w:rPr>
        <w:t xml:space="preserve"> and triple thera</w:t>
      </w:r>
      <w:r w:rsidR="00AE459C" w:rsidRPr="00CD1426">
        <w:rPr>
          <w:rFonts w:ascii="Book Antiqua" w:hAnsi="Book Antiqua" w:cs="Arial"/>
          <w:lang w:val="en-US"/>
        </w:rPr>
        <w:t xml:space="preserve">py with </w:t>
      </w:r>
      <w:proofErr w:type="spellStart"/>
      <w:r w:rsidR="00AE459C" w:rsidRPr="00CD1426">
        <w:rPr>
          <w:rFonts w:ascii="Book Antiqua" w:hAnsi="Book Antiqua" w:cs="Arial"/>
          <w:lang w:val="en-US"/>
        </w:rPr>
        <w:t>boceprevir</w:t>
      </w:r>
      <w:proofErr w:type="spellEnd"/>
      <w:r w:rsidR="00AE459C" w:rsidRPr="00CD1426">
        <w:rPr>
          <w:rFonts w:ascii="Book Antiqua" w:hAnsi="Book Antiqua" w:cs="Arial"/>
          <w:lang w:val="en-US"/>
        </w:rPr>
        <w:t xml:space="preserve"> fixed dose)</w:t>
      </w:r>
      <w:r w:rsidRPr="00CD1426">
        <w:rPr>
          <w:rFonts w:ascii="Book Antiqua" w:hAnsi="Book Antiqua" w:cs="Arial"/>
          <w:lang w:val="en-US"/>
        </w:rPr>
        <w:fldChar w:fldCharType="begin" w:fldLock="1"/>
      </w:r>
      <w:r w:rsidR="001D4A08" w:rsidRPr="00CD1426">
        <w:rPr>
          <w:rFonts w:ascii="Book Antiqua" w:hAnsi="Book Antiqua" w:cs="Arial"/>
          <w:lang w:val="en-US"/>
        </w:rPr>
        <w:instrText>ADDIN CSL_CITATION { "citationItems" : [ { "id" : "ITEM-1", "itemData" : { "DOI" : "10.1056/NEJMoa1010494", "ISSN" : "1533-4406", "PMID" : "21449783", "abstract" : "BACKGROUND: Peginterferon-ribavirin therapy is the current standard of care for chronic infection with hepatitis C virus (HCV). The rate of sustained virologic response has been below 50% in cases of HCV genotype 1 infection. Boceprevir, a potent oral HCV-protease inhibitor, has been evaluated as an additional treatment in phase 1 and phase 2 studies.\n\nMETHODS: We conducted a double-blind study in which previously untreated adults with HCV genotype 1 infection were randomly assigned to one of three groups. In all three groups, peginterferon alfa-2b and ribavirin were administered for 4 weeks (the lead-in period). Subsequently, group 1 (the control group) received placebo plus peginterferon-ribavirin for 44 weeks; group 2 received boceprevir plus peginterferon-ribavirin for 24 weeks, and those with a detectable HCV RNA level between weeks 8 and 24 received placebo plus peginterferon-ribavirin for an additional 20 weeks; and group 3 received boceprevir plus peginterferon-ribavirin for 44 weeks. Nonblack patients and black patients were enrolled and analyzed separately.\n\nRESULTS: A total of 938 nonblack and 159 black patients were treated. In the nonblack cohort, a sustained virologic response was achieved in 125 of the 311 patients (40%) in group 1, in 211 of the 316 patients (67%) in group 2 (P&lt;0.001), and in 213 of the 311 patients (68%) in group 3 (P&lt;0.001). In the black cohort, a sustained virologic response was achieved in 12 of the 52 patients (23%) in group 1, in 22 of the 52 patients (42%) in group 2 (P=0.04), and in 29 of the 55 patients (53%) in group 3 (P=0.004). In group 2, a total of 44% of patients received peginterferon-ribavirin for 28 weeks. Anemia led to dose reductions in 13% of controls and 21% of boceprevir recipients, with discontinuations in 1% and 2%, respectively.\n\nCONCLUSIONS: The addition of boceprevir to standard therapy with peginterferon-ribavirin, as compared with standard therapy alone, significantly increased the rates of sustained virologic response in previously untreated adults with chronic HCV genotype 1 infection. The rates were similar with 24 weeks and 44 weeks of boceprevir. (Funded by Schering-Plough [now Merck]; SPRINT-2 ClinicalTrials.gov number, NCT00705432.).", "author" : [ { "dropping-particle" : "", "family" : "Poordad", "given" : "Fred", "non-dropping-particle" : "", "parse-names" : false, "suffix" : "" }, { "dropping-particle" : "", "family" : "McCone", "given" : "Jonathan", "non-dropping-particle" : "", "parse-names" : false, "suffix" : "" }, { "dropping-particle" : "", "family" : "Bacon", "given" : "Bruce R", "non-dropping-particle" : "", "parse-names" : false, "suffix" : "" }, { "dropping-particle" : "", "family" : "Bruno", "given" : "Savino", "non-dropping-particle" : "", "parse-names" : false, "suffix" : "" }, { "dropping-particle" : "", "family" : "Manns", "given" : "Michael P", "non-dropping-particle" : "", "parse-names" : false, "suffix" : "" }, { "dropping-particle" : "", "family" : "Sulkowski", "given" : "Mark S", "non-dropping-particle" : "", "parse-names" : false, "suffix" : "" }, { "dropping-particle" : "", "family" : "Jacobson", "given" : "Ira M", "non-dropping-particle" : "", "parse-names" : false, "suffix" : "" }, { "dropping-particle" : "", "family" : "Reddy", "given" : "K Rajender", "non-dropping-particle" : "", "parse-names" : false, "suffix" : "" }, { "dropping-particle" : "", "family" : "Goodman", "given" : "Zachary D", "non-dropping-particle" : "", "parse-names" : false, "suffix" : "" }, { "dropping-particle" : "", "family" : "Boparai", "given" : "Navdeep", "non-dropping-particle" : "", "parse-names" : false, "suffix" : "" }, { "dropping-particle" : "", "family" : "DiNubile", "given" : "Mark J", "non-dropping-particle" : "", "parse-names" : false, "suffix" : "" }, { "dropping-particle" : "", "family" : "Sniukiene", "given" : "Vilma", "non-dropping-particle" : "", "parse-names" : false, "suffix" : "" }, { "dropping-particle" : "", "family" : "Brass", "given" : "Clifford A", "non-dropping-particle" : "", "parse-names" : false, "suffix" : "" }, { "dropping-particle" : "", "family" : "Albrecht", "given" : "Janice K", "non-dropping-particle" : "", "parse-names" : false, "suffix" : "" }, { "dropping-particle" : "", "family" : "Bronowicki", "given" : "Jean-Pierre", "non-dropping-particle" : "", "parse-names" : false, "suffix" : "" } ], "container-title" : "The New England journal of medicine", "id" : "ITEM-1", "issue" : "13", "issued" : { "date-parts" : [ [ "2011", "3", "31" ] ] }, "page" : "1195-206", "title" : "Boceprevir for untreated chronic HCV genotype 1 infection.", "type" : "article-journal", "volume" : "364" }, "uris" : [ "http://www.mendeley.com/documents/?uuid=30f6b073-45d0-4e95-9222-9535822b2f9b" ] } ], "mendeley" : { "formattedCitation" : "&lt;sup&gt;[8]&lt;/sup&gt;", "plainTextFormattedCitation" : "[8]", "previouslyFormattedCitation" : "&lt;sup&gt;[8]&lt;/sup&gt;" }, "properties" : { "noteIndex" : 0 }, "schema" : "https://github.com/citation-style-language/schema/raw/master/csl-citation.json" }</w:instrText>
      </w:r>
      <w:r w:rsidRPr="00CD1426">
        <w:rPr>
          <w:rFonts w:ascii="Book Antiqua" w:hAnsi="Book Antiqua" w:cs="Arial"/>
          <w:lang w:val="en-US"/>
        </w:rPr>
        <w:fldChar w:fldCharType="separate"/>
      </w:r>
      <w:r w:rsidR="001D4A08" w:rsidRPr="00CD1426">
        <w:rPr>
          <w:rFonts w:ascii="Book Antiqua" w:hAnsi="Book Antiqua" w:cs="Arial"/>
          <w:noProof/>
          <w:vertAlign w:val="superscript"/>
          <w:lang w:val="en-US"/>
        </w:rPr>
        <w:t>[8]</w:t>
      </w:r>
      <w:r w:rsidRPr="00CD1426">
        <w:rPr>
          <w:rFonts w:ascii="Book Antiqua" w:hAnsi="Book Antiqua" w:cs="Arial"/>
          <w:lang w:val="en-US"/>
        </w:rPr>
        <w:fldChar w:fldCharType="end"/>
      </w:r>
      <w:r w:rsidR="00AE459C" w:rsidRPr="00CD1426">
        <w:rPr>
          <w:rFonts w:ascii="Book Antiqua" w:hAnsi="Book Antiqua" w:cs="Arial"/>
          <w:lang w:val="en-US" w:eastAsia="zh-CN"/>
        </w:rPr>
        <w:t>.</w:t>
      </w:r>
      <w:r w:rsidRPr="00CD1426">
        <w:rPr>
          <w:rFonts w:ascii="Book Antiqua" w:hAnsi="Book Antiqua" w:cs="Arial"/>
          <w:lang w:val="en-US"/>
        </w:rPr>
        <w:t xml:space="preserve"> However, in this cohort, the IL28B genotype C/C was a more important predictor of shortening treatment; 89% of patients cleared the virus at week 8 of treatment. IL28B C/C was a predictor of SVR in a limited model analysis with covariates (Respond-2: OR </w:t>
      </w:r>
      <w:r w:rsidR="00AE459C" w:rsidRPr="00CD1426">
        <w:rPr>
          <w:rFonts w:ascii="Book Antiqua" w:hAnsi="Book Antiqua" w:cs="Arial"/>
          <w:lang w:val="en-US" w:eastAsia="zh-CN"/>
        </w:rPr>
        <w:t xml:space="preserve">= </w:t>
      </w:r>
      <w:r w:rsidRPr="00CD1426">
        <w:rPr>
          <w:rFonts w:ascii="Book Antiqua" w:hAnsi="Book Antiqua" w:cs="Arial"/>
          <w:lang w:val="en-US"/>
        </w:rPr>
        <w:t xml:space="preserve">2.2, </w:t>
      </w:r>
      <w:r w:rsidR="00AE459C" w:rsidRPr="00CD1426">
        <w:rPr>
          <w:rFonts w:ascii="Book Antiqua" w:hAnsi="Book Antiqua" w:cs="Arial"/>
          <w:i/>
          <w:lang w:val="en-US"/>
        </w:rPr>
        <w:t>P</w:t>
      </w:r>
      <w:r w:rsidRPr="00CD1426">
        <w:rPr>
          <w:rFonts w:ascii="Book Antiqua" w:hAnsi="Book Antiqua" w:cs="Arial"/>
          <w:lang w:val="en-US"/>
        </w:rPr>
        <w:t xml:space="preserve"> = 0.025 and Sprint-2: OR</w:t>
      </w:r>
      <w:r w:rsidR="00AE459C" w:rsidRPr="00CD1426">
        <w:rPr>
          <w:rFonts w:ascii="Book Antiqua" w:hAnsi="Book Antiqua" w:cs="Arial"/>
          <w:lang w:val="en-US" w:eastAsia="zh-CN"/>
        </w:rPr>
        <w:t xml:space="preserve"> =</w:t>
      </w:r>
      <w:r w:rsidRPr="00CD1426">
        <w:rPr>
          <w:rFonts w:ascii="Book Antiqua" w:hAnsi="Book Antiqua" w:cs="Arial"/>
          <w:lang w:val="en-US"/>
        </w:rPr>
        <w:t xml:space="preserve"> 4.5, </w:t>
      </w:r>
      <w:r w:rsidR="00AE459C" w:rsidRPr="00CD1426">
        <w:rPr>
          <w:rFonts w:ascii="Book Antiqua" w:hAnsi="Book Antiqua" w:cs="Arial"/>
          <w:i/>
          <w:lang w:val="en-US"/>
        </w:rPr>
        <w:t>P</w:t>
      </w:r>
      <w:r w:rsidRPr="00CD1426">
        <w:rPr>
          <w:rFonts w:ascii="Book Antiqua" w:hAnsi="Book Antiqua" w:cs="Arial"/>
          <w:lang w:val="en-US"/>
        </w:rPr>
        <w:t xml:space="preserve"> &lt;</w:t>
      </w:r>
      <w:r w:rsidR="00AE459C" w:rsidRPr="00CD1426">
        <w:rPr>
          <w:rFonts w:ascii="Book Antiqua" w:hAnsi="Book Antiqua" w:cs="Arial"/>
          <w:lang w:val="en-US" w:eastAsia="zh-CN"/>
        </w:rPr>
        <w:t xml:space="preserve"> </w:t>
      </w:r>
      <w:r w:rsidRPr="00CD1426">
        <w:rPr>
          <w:rFonts w:ascii="Book Antiqua" w:hAnsi="Book Antiqua" w:cs="Arial"/>
          <w:lang w:val="en-US"/>
        </w:rPr>
        <w:t xml:space="preserve">0.001), but when a model of logistic regression analysis was performed, the response after lead-in (week 4) was a stronger variable for predicting SVR than any other, including IL28B C/C, based on the baseline evaluation. In a combined Sprint-2 and Respond-2 studies analysis, early response to </w:t>
      </w:r>
      <w:proofErr w:type="spellStart"/>
      <w:r w:rsidRPr="00CD1426">
        <w:rPr>
          <w:rFonts w:ascii="Book Antiqua" w:hAnsi="Book Antiqua" w:cs="Arial"/>
          <w:lang w:val="en-US"/>
        </w:rPr>
        <w:t>pegylated</w:t>
      </w:r>
      <w:proofErr w:type="spellEnd"/>
      <w:r w:rsidRPr="00CD1426">
        <w:rPr>
          <w:rFonts w:ascii="Book Antiqua" w:hAnsi="Book Antiqua" w:cs="Arial"/>
          <w:lang w:val="en-US"/>
        </w:rPr>
        <w:t xml:space="preserve"> interferon and ribavirin, </w:t>
      </w:r>
      <w:r w:rsidRPr="00CD1426">
        <w:rPr>
          <w:rFonts w:ascii="Book Antiqua" w:hAnsi="Book Antiqua" w:cs="Arial"/>
          <w:i/>
          <w:lang w:val="en-US"/>
        </w:rPr>
        <w:t>i.e.,</w:t>
      </w:r>
      <w:r w:rsidRPr="00CD1426">
        <w:rPr>
          <w:rFonts w:ascii="Book Antiqua" w:hAnsi="Book Antiqua" w:cs="Arial"/>
          <w:lang w:val="en-US"/>
        </w:rPr>
        <w:t xml:space="preserve"> response after week </w:t>
      </w:r>
      <w:proofErr w:type="gramStart"/>
      <w:r w:rsidRPr="00CD1426">
        <w:rPr>
          <w:rFonts w:ascii="Book Antiqua" w:hAnsi="Book Antiqua" w:cs="Arial"/>
          <w:lang w:val="en-US"/>
        </w:rPr>
        <w:t>4,</w:t>
      </w:r>
      <w:proofErr w:type="gramEnd"/>
      <w:r w:rsidRPr="00CD1426">
        <w:rPr>
          <w:rFonts w:ascii="Book Antiqua" w:hAnsi="Book Antiqua" w:cs="Arial"/>
          <w:lang w:val="en-US"/>
        </w:rPr>
        <w:t xml:space="preserve"> was the best predictor of SVR in patients with unfavorable IL28B genotypes C/T and T/T. In the response-guided therapy, the duration of therapy was based on the detection of HCV-RNA at week 8 and patients who had undetectable HCV at this time point were eligible for shortening their therapy. The majority of C/C patients treated with </w:t>
      </w:r>
      <w:proofErr w:type="spellStart"/>
      <w:r w:rsidRPr="00CD1426">
        <w:rPr>
          <w:rFonts w:ascii="Book Antiqua" w:hAnsi="Book Antiqua" w:cs="Arial"/>
          <w:lang w:val="en-US"/>
        </w:rPr>
        <w:t>boceprevir</w:t>
      </w:r>
      <w:proofErr w:type="spellEnd"/>
      <w:r w:rsidRPr="00CD1426">
        <w:rPr>
          <w:rFonts w:ascii="Book Antiqua" w:hAnsi="Book Antiqua" w:cs="Arial"/>
          <w:lang w:val="en-US"/>
        </w:rPr>
        <w:t xml:space="preserve"> had undetectable HCV-RNA viral load by week 8 (89% in Sprint-2, and 76% in Respond-2), and consequently was eligible for abbreviated treatment. On the other hand, a fewer number of patients with the C/T and T/T IL28B genotypes had undetectable viral loads at week 8 (CT, 53% in </w:t>
      </w:r>
      <w:r w:rsidR="00C04C74">
        <w:rPr>
          <w:rFonts w:ascii="Book Antiqua" w:hAnsi="Book Antiqua" w:cs="Arial"/>
          <w:lang w:val="en-US"/>
        </w:rPr>
        <w:t>Sprint-2 and 46% in Respond-2/</w:t>
      </w:r>
      <w:r w:rsidRPr="00CD1426">
        <w:rPr>
          <w:rFonts w:ascii="Book Antiqua" w:hAnsi="Book Antiqua" w:cs="Arial"/>
          <w:lang w:val="en-US"/>
        </w:rPr>
        <w:t xml:space="preserve">TT, 42% in Sprint-2 and 63% in Respond-2). The SVR rate for patients in the </w:t>
      </w:r>
      <w:proofErr w:type="spellStart"/>
      <w:r w:rsidRPr="00CD1426">
        <w:rPr>
          <w:rFonts w:ascii="Book Antiqua" w:hAnsi="Book Antiqua" w:cs="Arial"/>
          <w:lang w:val="en-US"/>
        </w:rPr>
        <w:t>boceprevir</w:t>
      </w:r>
      <w:proofErr w:type="spellEnd"/>
      <w:r w:rsidRPr="00CD1426">
        <w:rPr>
          <w:rFonts w:ascii="Book Antiqua" w:hAnsi="Book Antiqua" w:cs="Arial"/>
          <w:lang w:val="en-US"/>
        </w:rPr>
        <w:t xml:space="preserve"> groups who became undetectable by week 8 was 81%</w:t>
      </w:r>
      <w:r w:rsidR="00AE459C" w:rsidRPr="00CD1426">
        <w:rPr>
          <w:rFonts w:ascii="Book Antiqua" w:hAnsi="Book Antiqua" w:cs="Arial"/>
          <w:lang w:val="en-US" w:eastAsia="zh-CN"/>
        </w:rPr>
        <w:t>-</w:t>
      </w:r>
      <w:r w:rsidRPr="00CD1426">
        <w:rPr>
          <w:rFonts w:ascii="Book Antiqua" w:hAnsi="Book Antiqua" w:cs="Arial"/>
          <w:lang w:val="en-US"/>
        </w:rPr>
        <w:t>100%, re</w:t>
      </w:r>
      <w:r w:rsidR="00AE459C" w:rsidRPr="00CD1426">
        <w:rPr>
          <w:rFonts w:ascii="Book Antiqua" w:hAnsi="Book Antiqua" w:cs="Arial"/>
          <w:lang w:val="en-US"/>
        </w:rPr>
        <w:t>gardless of the IL28B genotype</w:t>
      </w:r>
      <w:r w:rsidRPr="00CD1426">
        <w:rPr>
          <w:rFonts w:ascii="Book Antiqua" w:hAnsi="Book Antiqua" w:cs="Arial"/>
          <w:lang w:val="en-US"/>
        </w:rPr>
        <w:fldChar w:fldCharType="begin" w:fldLock="1"/>
      </w:r>
      <w:r w:rsidR="001D4A08" w:rsidRPr="00CD1426">
        <w:rPr>
          <w:rFonts w:ascii="Book Antiqua" w:hAnsi="Book Antiqua" w:cs="Arial"/>
          <w:lang w:val="en-US"/>
        </w:rPr>
        <w:instrText>ADDIN CSL_CITATION { "citationItems" : [ { "id" : "ITEM-1", "itemData" : { "DOI" : "10.1056/NEJMoa1010494", "ISSN" : "1533-4406", "PMID" : "21449783", "abstract" : "BACKGROUND: Peginterferon-ribavirin therapy is the current standard of care for chronic infection with hepatitis C virus (HCV). The rate of sustained virologic response has been below 50% in cases of HCV genotype 1 infection. Boceprevir, a potent oral HCV-protease inhibitor, has been evaluated as an additional treatment in phase 1 and phase 2 studies.\n\nMETHODS: We conducted a double-blind study in which previously untreated adults with HCV genotype 1 infection were randomly assigned to one of three groups. In all three groups, peginterferon alfa-2b and ribavirin were administered for 4 weeks (the lead-in period). Subsequently, group 1 (the control group) received placebo plus peginterferon-ribavirin for 44 weeks; group 2 received boceprevir plus peginterferon-ribavirin for 24 weeks, and those with a detectable HCV RNA level between weeks 8 and 24 received placebo plus peginterferon-ribavirin for an additional 20 weeks; and group 3 received boceprevir plus peginterferon-ribavirin for 44 weeks. Nonblack patients and black patients were enrolled and analyzed separately.\n\nRESULTS: A total of 938 nonblack and 159 black patients were treated. In the nonblack cohort, a sustained virologic response was achieved in 125 of the 311 patients (40%) in group 1, in 211 of the 316 patients (67%) in group 2 (P&lt;0.001), and in 213 of the 311 patients (68%) in group 3 (P&lt;0.001). In the black cohort, a sustained virologic response was achieved in 12 of the 52 patients (23%) in group 1, in 22 of the 52 patients (42%) in group 2 (P=0.04), and in 29 of the 55 patients (53%) in group 3 (P=0.004). In group 2, a total of 44% of patients received peginterferon-ribavirin for 28 weeks. Anemia led to dose reductions in 13% of controls and 21% of boceprevir recipients, with discontinuations in 1% and 2%, respectively.\n\nCONCLUSIONS: The addition of boceprevir to standard therapy with peginterferon-ribavirin, as compared with standard therapy alone, significantly increased the rates of sustained virologic response in previously untreated adults with chronic HCV genotype 1 infection. The rates were similar with 24 weeks and 44 weeks of boceprevir. (Funded by Schering-Plough [now Merck]; SPRINT-2 ClinicalTrials.gov number, NCT00705432.).", "author" : [ { "dropping-particle" : "", "family" : "Poordad", "given" : "Fred", "non-dropping-particle" : "", "parse-names" : false, "suffix" : "" }, { "dropping-particle" : "", "family" : "McCone", "given" : "Jonathan", "non-dropping-particle" : "", "parse-names" : false, "suffix" : "" }, { "dropping-particle" : "", "family" : "Bacon", "given" : "Bruce R", "non-dropping-particle" : "", "parse-names" : false, "suffix" : "" }, { "dropping-particle" : "", "family" : "Bruno", "given" : "Savino", "non-dropping-particle" : "", "parse-names" : false, "suffix" : "" }, { "dropping-particle" : "", "family" : "Manns", "given" : "Michael P", "non-dropping-particle" : "", "parse-names" : false, "suffix" : "" }, { "dropping-particle" : "", "family" : "Sulkowski", "given" : "Mark S", "non-dropping-particle" : "", "parse-names" : false, "suffix" : "" }, { "dropping-particle" : "", "family" : "Jacobson", "given" : "Ira M", "non-dropping-particle" : "", "parse-names" : false, "suffix" : "" }, { "dropping-particle" : "", "family" : "Reddy", "given" : "K Rajender", "non-dropping-particle" : "", "parse-names" : false, "suffix" : "" }, { "dropping-particle" : "", "family" : "Goodman", "given" : "Zachary D", "non-dropping-particle" : "", "parse-names" : false, "suffix" : "" }, { "dropping-particle" : "", "family" : "Boparai", "given" : "Navdeep", "non-dropping-particle" : "", "parse-names" : false, "suffix" : "" }, { "dropping-particle" : "", "family" : "DiNubile", "given" : "Mark J", "non-dropping-particle" : "", "parse-names" : false, "suffix" : "" }, { "dropping-particle" : "", "family" : "Sniukiene", "given" : "Vilma", "non-dropping-particle" : "", "parse-names" : false, "suffix" : "" }, { "dropping-particle" : "", "family" : "Brass", "given" : "Clifford A", "non-dropping-particle" : "", "parse-names" : false, "suffix" : "" }, { "dropping-particle" : "", "family" : "Albrecht", "given" : "Janice K", "non-dropping-particle" : "", "parse-names" : false, "suffix" : "" }, { "dropping-particle" : "", "family" : "Bronowicki", "given" : "Jean-Pierre", "non-dropping-particle" : "", "parse-names" : false, "suffix" : "" } ], "container-title" : "The New England journal of medicine", "id" : "ITEM-1", "issue" : "13", "issued" : { "date-parts" : [ [ "2011", "3", "31" ] ] }, "page" : "1195-206", "title" : "Boceprevir for untreated chronic HCV genotype 1 infection.", "type" : "article-journal", "volume" : "364" }, "uris" : [ "http://www.mendeley.com/documents/?uuid=30f6b073-45d0-4e95-9222-9535822b2f9b" ] }, { "id" : "ITEM-2", "itemData" : { "ISSN" : "1533-4406", "abstract" : "In patients with chronic infection with hepatitis C virus (HCV) genotype 1 who do not have a sustained response to therapy with peginterferon-ribavirin, outcomes after retreatment are suboptimal. Boceprevir, a protease inhibitor that binds to the HCV nonstructural 3 (NS3) active site, has been suggested as an additional treatment.", "author" : [ { "dropping-particle" : "", "family" : "Bacon", "given" : "Bruce R", "non-dropping-particle" : "", "parse-names" : false, "suffix" : "" }, { "dropping-particle" : "", "family" : "Gordon", "given" : "Stuart C", "non-dropping-particle" : "", "parse-names" : false, "suffix" : "" }, { "dropping-particle" : "", "family" : "Lawitz", "given" : "Eric", "non-dropping-particle" : "", "parse-names" : false, "suffix" : "" }, { "dropping-particle" : "", "family" : "Marcellin", "given" : "Patrick", "non-dropping-particle" : "", "parse-names" : false, "suffix" : "" }, { "dropping-particle" : "", "family" : "Vierling", "given" : "John M", "non-dropping-particle" : "", "parse-names" : false, "suffix" : "" }, { "dropping-particle" : "", "family" : "Zeuzem", "given" : "Stefan", "non-dropping-particle" : "", "parse-names" : false, "suffix" : "" }, { "dropping-particle" : "", "family" : "Poordad", "given" : "Fred", "non-dropping-particle" : "", "parse-names" : false, "suffix" : "" }, { "dropping-particle" : "", "family" : "Goodman", "given" : "Zachary D", "non-dropping-particle" : "", "parse-names" : false, "suffix" : "" }, { "dropping-particle" : "", "family" : "Sings", "given" : "Heather L", "non-dropping-particle" : "", "parse-names" : false, "suffix" : "" }, { "dropping-particle" : "", "family" : "Boparai", "given" : "Navdeep", "non-dropping-particle" : "", "parse-names" : false, "suffix" : "" }, { "dropping-particle" : "", "family" : "Burroughs", "given" : "Margaret", "non-dropping-particle" : "", "parse-names" : false, "suffix" : "" }, { "dropping-particle" : "", "family" : "Brass", "given" : "Clifford A", "non-dropping-particle" : "", "parse-names" : false, "suffix" : "" }, { "dropping-particle" : "", "family" : "Albrecht", "given" : "Janice K", "non-dropping-particle" : "", "parse-names" : false, "suffix" : "" }, { "dropping-particle" : "", "family" : "Esteban", "given" : "Rafael", "non-dropping-particle" : "", "parse-names" : false, "suffix" : "" } ], "container-title" : "The New England journal of medicine", "id" : "ITEM-2", "issue" : "13", "issued" : { "date-parts" : [ [ "2011", "3", "31" ] ] }, "page" : "1207-17", "title" : "Boceprevir for previously treated chronic HCV genotype 1 infection.", "type" : "article-journal", "volume" : "364" }, "uris" : [ "http://www.mendeley.com/documents/?uuid=e82af896-04d0-4a63-98c2-90c2260298b2" ] } ], "mendeley" : { "formattedCitation" : "&lt;sup&gt;[8,45]&lt;/sup&gt;", "plainTextFormattedCitation" : "[8,45]", "previouslyFormattedCitation" : "&lt;sup&gt;[8,45]&lt;/sup&gt;" }, "properties" : { "noteIndex" : 0 }, "schema" : "https://github.com/citation-style-language/schema/raw/master/csl-citation.json" }</w:instrText>
      </w:r>
      <w:r w:rsidRPr="00CD1426">
        <w:rPr>
          <w:rFonts w:ascii="Book Antiqua" w:hAnsi="Book Antiqua" w:cs="Arial"/>
          <w:lang w:val="en-US"/>
        </w:rPr>
        <w:fldChar w:fldCharType="separate"/>
      </w:r>
      <w:r w:rsidR="001D4A08" w:rsidRPr="00CD1426">
        <w:rPr>
          <w:rFonts w:ascii="Book Antiqua" w:hAnsi="Book Antiqua" w:cs="Arial"/>
          <w:noProof/>
          <w:vertAlign w:val="superscript"/>
          <w:lang w:val="en-US"/>
        </w:rPr>
        <w:t>[8,45]</w:t>
      </w:r>
      <w:r w:rsidRPr="00CD1426">
        <w:rPr>
          <w:rFonts w:ascii="Book Antiqua" w:hAnsi="Book Antiqua" w:cs="Arial"/>
          <w:lang w:val="en-US"/>
        </w:rPr>
        <w:fldChar w:fldCharType="end"/>
      </w:r>
      <w:r w:rsidR="00AE459C" w:rsidRPr="00CD1426">
        <w:rPr>
          <w:rFonts w:ascii="Book Antiqua" w:hAnsi="Book Antiqua" w:cs="Arial"/>
          <w:lang w:val="en-US" w:eastAsia="zh-CN"/>
        </w:rPr>
        <w:t>.</w:t>
      </w:r>
    </w:p>
    <w:p w14:paraId="389D6D25" w14:textId="70169344" w:rsidR="002B302F" w:rsidRPr="00CD1426" w:rsidRDefault="002B302F" w:rsidP="00CD1426">
      <w:pPr>
        <w:tabs>
          <w:tab w:val="left" w:pos="0"/>
          <w:tab w:val="right" w:pos="540"/>
        </w:tabs>
        <w:spacing w:line="360" w:lineRule="auto"/>
        <w:ind w:firstLineChars="200" w:firstLine="480"/>
        <w:jc w:val="both"/>
        <w:rPr>
          <w:rFonts w:ascii="Book Antiqua" w:hAnsi="Book Antiqua" w:cs="Arial"/>
          <w:lang w:val="en-US"/>
        </w:rPr>
      </w:pPr>
      <w:r w:rsidRPr="00CD1426">
        <w:rPr>
          <w:rFonts w:ascii="Book Antiqua" w:hAnsi="Book Antiqua" w:cs="Arial"/>
          <w:lang w:val="en-US"/>
        </w:rPr>
        <w:lastRenderedPageBreak/>
        <w:t xml:space="preserve">The phase III study Advance analyzed triple therapy with </w:t>
      </w:r>
      <w:proofErr w:type="spellStart"/>
      <w:r w:rsidRPr="00CD1426">
        <w:rPr>
          <w:rFonts w:ascii="Book Antiqua" w:hAnsi="Book Antiqua" w:cs="Arial"/>
          <w:lang w:val="en-US"/>
        </w:rPr>
        <w:t>pegylated</w:t>
      </w:r>
      <w:proofErr w:type="spellEnd"/>
      <w:r w:rsidRPr="00CD1426">
        <w:rPr>
          <w:rFonts w:ascii="Book Antiqua" w:hAnsi="Book Antiqua" w:cs="Arial"/>
          <w:lang w:val="en-US"/>
        </w:rPr>
        <w:t xml:space="preserve"> interferon, ribavirin and </w:t>
      </w:r>
      <w:proofErr w:type="spellStart"/>
      <w:r w:rsidRPr="00CD1426">
        <w:rPr>
          <w:rFonts w:ascii="Book Antiqua" w:hAnsi="Book Antiqua" w:cs="Arial"/>
          <w:lang w:val="en-US"/>
        </w:rPr>
        <w:t>telaprevir</w:t>
      </w:r>
      <w:proofErr w:type="spellEnd"/>
      <w:r w:rsidRPr="00CD1426">
        <w:rPr>
          <w:rFonts w:ascii="Book Antiqua" w:hAnsi="Book Antiqua" w:cs="Arial"/>
          <w:lang w:val="en-US"/>
        </w:rPr>
        <w:t xml:space="preserve"> in treatment-naïve patients with genotype 1 chronic hepatitis C</w:t>
      </w:r>
      <w:r w:rsidR="00AE459C" w:rsidRPr="00CD1426">
        <w:rPr>
          <w:rFonts w:ascii="Book Antiqua" w:hAnsi="Book Antiqua" w:cs="Arial"/>
          <w:vertAlign w:val="superscript"/>
          <w:lang w:val="en-US"/>
        </w:rPr>
        <w:fldChar w:fldCharType="begin" w:fldLock="1"/>
      </w:r>
      <w:r w:rsidR="00AE459C" w:rsidRPr="00CD1426">
        <w:rPr>
          <w:rFonts w:ascii="Book Antiqua" w:hAnsi="Book Antiqua" w:cs="Arial"/>
          <w:vertAlign w:val="superscript"/>
          <w:lang w:val="en-US"/>
        </w:rPr>
        <w:instrText>ADDIN CSL_CITATION { "citationItems" : [ { "id" : "ITEM-1", "itemData" : { "DOI" : "10.1056/NEJMoa1012912", "ISSN" : "1533-4406", "PMID" : "21696307", "abstract" : "In phase 2 trials, telaprevir, a hepatitis C virus (HCV) genotype 1 protease inhibitor, in combination with peginterferon-ribavirin, as compared with peginterferon-ribavirin alone, has shown improved efficacy, with potential for shortening the duration of treatment in a majority of patients.", "author" : [ { "dropping-particle" : "", "family" : "Jacobson", "given" : "Ira M", "non-dropping-particle" : "", "parse-names" : false, "suffix" : "" }, { "dropping-particle" : "", "family" : "McHutchison", "given" : "John G", "non-dropping-particle" : "", "parse-names" : false, "suffix" : "" }, { "dropping-particle" : "", "family" : "Dusheiko", "given" : "Geoffrey", "non-dropping-particle" : "", "parse-names" : false, "suffix" : "" }, { "dropping-particle" : "", "family" : "Bisceglie", "given" : "Adrian M", "non-dropping-particle" : "Di", "parse-names" : false, "suffix" : "" }, { "dropping-particle" : "", "family" : "Reddy", "given" : "K Rajender", "non-dropping-particle" : "", "parse-names" : false, "suffix" : "" }, { "dropping-particle" : "", "family" : "Bzowej", "given" : "Natalie H", "non-dropping-particle" : "", "parse-names" : false, "suffix" : "" }, { "dropping-particle" : "", "family" : "Marcellin", "given" : "Patrick", "non-dropping-particle" : "", "parse-names" : false, "suffix" : "" }, { "dropping-particle" : "", "family" : "Muir", "given" : "Andrew J", "non-dropping-particle" : "", "parse-names" : false, "suffix" : "" }, { "dropping-particle" : "", "family" : "Ferenci", "given" : "Peter", "non-dropping-particle" : "", "parse-names" : false, "suffix" : "" }, { "dropping-particle" : "", "family" : "Flisiak", "given" : "Robert", "non-dropping-particle" : "", "parse-names" : false, "suffix" : "" }, { "dropping-particle" : "", "family" : "George", "given" : "Jacob", "non-dropping-particle" : "", "parse-names" : false, "suffix" : "" }, { "dropping-particle" : "", "family" : "Rizzetto", "given" : "Mario", "non-dropping-particle" : "", "parse-names" : false, "suffix" : "" }, { "dropping-particle" : "", "family" : "Shouval", "given" : "Daniel", "non-dropping-particle" : "", "parse-names" : false, "suffix" : "" }, { "dropping-particle" : "", "family" : "Sola", "given" : "Ricard", "non-dropping-particle" : "", "parse-names" : false, "suffix" : "" }, { "dropping-particle" : "", "family" : "Terg", "given" : "Ruben a", "non-dropping-particle" : "", "parse-names" : false, "suffix" : "" }, { "dropping-particle" : "", "family" : "Yoshida", "given" : "Eric M", "non-dropping-particle" : "", "parse-names" : false, "suffix" : "" }, { "dropping-particle" : "", "family" : "Adda", "given" : "Nathalie", "non-dropping-particle" : "", "parse-names" : false, "suffix" : "" }, { "dropping-particle" : "", "family" : "Bengtsson", "given" : "Leif", "non-dropping-particle" : "", "parse-names" : false, "suffix" : "" }, { "dropping-particle" : "", "family" : "Sankoh", "given" : "Abdul J", "non-dropping-particle" : "", "parse-names" : false, "suffix" : "" }, { "dropping-particle" : "", "family" : "Kieffer", "given" : "Tara L", "non-dropping-particle" : "", "parse-names" : false, "suffix" : "" }, { "dropping-particle" : "", "family" : "George", "given" : "Shelley", "non-dropping-particle" : "", "parse-names" : false, "suffix" : "" }, { "dropping-particle" : "", "family" : "Kauffman", "given" : "Robert S", "non-dropping-particle" : "", "parse-names" : false, "suffix" : "" }, { "dropping-particle" : "", "family" : "Zeuzem", "given" : "Stefan", "non-dropping-particle" : "", "parse-names" : false, "suffix" : "" } ], "container-title" : "The New England journal of medicine", "id" : "ITEM-1", "issue" : "25", "issued" : { "date-parts" : [ [ "2011", "6", "23" ] ] }, "page" : "2405-16", "title" : "Telaprevir for previously untreated chronic hepatitis C virus infection.", "type" : "article-journal", "volume" : "364" }, "uris" : [ "http://www.mendeley.com/documents/?uuid=9eaa9077-5e5f-4fe3-97a7-cd8dc90cad78" ] } ], "mendeley" : { "formattedCitation" : "&lt;sup&gt;[9]&lt;/sup&gt;", "manualFormatting" : "(9)", "plainTextFormattedCitation" : "[9]", "previouslyFormattedCitation" : "&lt;sup&gt;[9]&lt;/sup&gt;" }, "properties" : { "noteIndex" : 0 }, "schema" : "https://github.com/citation-style-language/schema/raw/master/csl-citation.json" }</w:instrText>
      </w:r>
      <w:r w:rsidR="00AE459C" w:rsidRPr="00CD1426">
        <w:rPr>
          <w:rFonts w:ascii="Book Antiqua" w:hAnsi="Book Antiqua" w:cs="Arial"/>
          <w:vertAlign w:val="superscript"/>
          <w:lang w:val="en-US"/>
        </w:rPr>
        <w:fldChar w:fldCharType="separate"/>
      </w:r>
      <w:r w:rsidR="00AE459C" w:rsidRPr="00CD1426">
        <w:rPr>
          <w:rFonts w:ascii="Book Antiqua" w:hAnsi="Book Antiqua" w:cs="Arial"/>
          <w:noProof/>
          <w:vertAlign w:val="superscript"/>
          <w:lang w:val="en-US" w:eastAsia="zh-CN"/>
        </w:rPr>
        <w:t>[</w:t>
      </w:r>
      <w:r w:rsidR="00D51687">
        <w:rPr>
          <w:rFonts w:ascii="Book Antiqua" w:hAnsi="Book Antiqua" w:cs="Arial" w:hint="eastAsia"/>
          <w:noProof/>
          <w:vertAlign w:val="superscript"/>
          <w:lang w:val="en-US" w:eastAsia="zh-CN"/>
        </w:rPr>
        <w:t>4</w:t>
      </w:r>
      <w:r w:rsidR="00AE459C" w:rsidRPr="00CD1426">
        <w:rPr>
          <w:rFonts w:ascii="Book Antiqua" w:hAnsi="Book Antiqua" w:cs="Arial"/>
          <w:noProof/>
          <w:vertAlign w:val="superscript"/>
          <w:lang w:val="en-US"/>
        </w:rPr>
        <w:t>9</w:t>
      </w:r>
      <w:r w:rsidR="00AE459C" w:rsidRPr="00CD1426">
        <w:rPr>
          <w:rFonts w:ascii="Book Antiqua" w:hAnsi="Book Antiqua" w:cs="Arial"/>
          <w:noProof/>
          <w:vertAlign w:val="superscript"/>
          <w:lang w:val="en-US" w:eastAsia="zh-CN"/>
        </w:rPr>
        <w:t>]</w:t>
      </w:r>
      <w:r w:rsidR="00AE459C" w:rsidRPr="00CD1426">
        <w:rPr>
          <w:rFonts w:ascii="Book Antiqua" w:hAnsi="Book Antiqua" w:cs="Arial"/>
          <w:vertAlign w:val="superscript"/>
          <w:lang w:val="en-US"/>
        </w:rPr>
        <w:fldChar w:fldCharType="end"/>
      </w:r>
      <w:r w:rsidRPr="00CD1426">
        <w:rPr>
          <w:rFonts w:ascii="Book Antiqua" w:hAnsi="Book Antiqua" w:cs="Arial"/>
          <w:lang w:val="en-US"/>
        </w:rPr>
        <w:t>. Retrospective analysis of the Advance study evaluated SVR rates based on IL28B genotypes in 42% (</w:t>
      </w:r>
      <w:r w:rsidRPr="00CD1426">
        <w:rPr>
          <w:rFonts w:ascii="Book Antiqua" w:hAnsi="Book Antiqua" w:cs="Arial"/>
          <w:i/>
          <w:lang w:val="en-US"/>
        </w:rPr>
        <w:t>n</w:t>
      </w:r>
      <w:r w:rsidR="00AE459C" w:rsidRPr="00CD1426">
        <w:rPr>
          <w:rFonts w:ascii="Book Antiqua" w:hAnsi="Book Antiqua" w:cs="Arial"/>
          <w:lang w:val="en-US" w:eastAsia="zh-CN"/>
        </w:rPr>
        <w:t xml:space="preserve"> </w:t>
      </w:r>
      <w:r w:rsidRPr="00CD1426">
        <w:rPr>
          <w:rFonts w:ascii="Book Antiqua" w:hAnsi="Book Antiqua" w:cs="Arial"/>
          <w:lang w:val="en-US"/>
        </w:rPr>
        <w:t>=</w:t>
      </w:r>
      <w:r w:rsidR="00AE459C" w:rsidRPr="00CD1426">
        <w:rPr>
          <w:rFonts w:ascii="Book Antiqua" w:hAnsi="Book Antiqua" w:cs="Arial"/>
          <w:lang w:val="en-US" w:eastAsia="zh-CN"/>
        </w:rPr>
        <w:t xml:space="preserve"> </w:t>
      </w:r>
      <w:r w:rsidRPr="00CD1426">
        <w:rPr>
          <w:rFonts w:ascii="Book Antiqua" w:hAnsi="Book Antiqua" w:cs="Arial"/>
          <w:lang w:val="en-US"/>
        </w:rPr>
        <w:t>454/1088) of patients from the study population, all Caucasians based on self-reported ancestry. In the group with IL28B C/C, 90% of subjects (</w:t>
      </w:r>
      <w:r w:rsidR="00AE459C" w:rsidRPr="00CD1426">
        <w:rPr>
          <w:rFonts w:ascii="Book Antiqua" w:hAnsi="Book Antiqua" w:cs="Arial"/>
          <w:i/>
          <w:lang w:val="en-US"/>
        </w:rPr>
        <w:t>n</w:t>
      </w:r>
      <w:r w:rsidR="00AE459C" w:rsidRPr="00CD1426">
        <w:rPr>
          <w:rFonts w:ascii="Book Antiqua" w:hAnsi="Book Antiqua" w:cs="Arial"/>
          <w:lang w:val="en-US" w:eastAsia="zh-CN"/>
        </w:rPr>
        <w:t xml:space="preserve"> </w:t>
      </w:r>
      <w:r w:rsidR="00AE459C" w:rsidRPr="00CD1426">
        <w:rPr>
          <w:rFonts w:ascii="Book Antiqua" w:hAnsi="Book Antiqua" w:cs="Arial"/>
          <w:lang w:val="en-US"/>
        </w:rPr>
        <w:t>=</w:t>
      </w:r>
      <w:r w:rsidR="00AE459C" w:rsidRPr="00CD1426">
        <w:rPr>
          <w:rFonts w:ascii="Book Antiqua" w:hAnsi="Book Antiqua" w:cs="Arial"/>
          <w:lang w:val="en-US" w:eastAsia="zh-CN"/>
        </w:rPr>
        <w:t xml:space="preserve"> </w:t>
      </w:r>
      <w:r w:rsidRPr="00CD1426">
        <w:rPr>
          <w:rFonts w:ascii="Book Antiqua" w:hAnsi="Book Antiqua" w:cs="Arial"/>
          <w:lang w:val="en-US"/>
        </w:rPr>
        <w:t xml:space="preserve">45/50) achieved SVR with triple therapy </w:t>
      </w:r>
      <w:r w:rsidRPr="00CD1426">
        <w:rPr>
          <w:rFonts w:ascii="Book Antiqua" w:hAnsi="Book Antiqua" w:cs="Arial"/>
          <w:i/>
          <w:lang w:val="en-US"/>
        </w:rPr>
        <w:t>vs</w:t>
      </w:r>
      <w:r w:rsidRPr="00CD1426">
        <w:rPr>
          <w:rFonts w:ascii="Book Antiqua" w:hAnsi="Book Antiqua" w:cs="Arial"/>
          <w:lang w:val="en-US"/>
        </w:rPr>
        <w:t xml:space="preserve"> 64% SVR among those who received </w:t>
      </w:r>
      <w:proofErr w:type="spellStart"/>
      <w:r w:rsidRPr="00CD1426">
        <w:rPr>
          <w:rFonts w:ascii="Book Antiqua" w:hAnsi="Book Antiqua" w:cs="Arial"/>
          <w:lang w:val="en-US"/>
        </w:rPr>
        <w:t>pegylated</w:t>
      </w:r>
      <w:proofErr w:type="spellEnd"/>
      <w:r w:rsidRPr="00CD1426">
        <w:rPr>
          <w:rFonts w:ascii="Book Antiqua" w:hAnsi="Book Antiqua" w:cs="Arial"/>
          <w:lang w:val="en-US"/>
        </w:rPr>
        <w:t xml:space="preserve"> interferon and ribavirin in the control group. The genotypes C/T and T/T patients had SVR rates of 71% and 73%, respectively in the group treated with triple therapy compared with SVR rates of 23% and 25% in those treated with dual therapy. The C/C patients achieved higher rates of extended rapid </w:t>
      </w:r>
      <w:proofErr w:type="spellStart"/>
      <w:r w:rsidRPr="00CD1426">
        <w:rPr>
          <w:rFonts w:ascii="Book Antiqua" w:hAnsi="Book Antiqua" w:cs="Arial"/>
          <w:lang w:val="en-US"/>
        </w:rPr>
        <w:t>virologic</w:t>
      </w:r>
      <w:proofErr w:type="spellEnd"/>
      <w:r w:rsidRPr="00CD1426">
        <w:rPr>
          <w:rFonts w:ascii="Book Antiqua" w:hAnsi="Book Antiqua" w:cs="Arial"/>
          <w:lang w:val="en-US"/>
        </w:rPr>
        <w:t xml:space="preserve"> response (</w:t>
      </w:r>
      <w:proofErr w:type="spellStart"/>
      <w:r w:rsidRPr="00CD1426">
        <w:rPr>
          <w:rFonts w:ascii="Book Antiqua" w:hAnsi="Book Antiqua" w:cs="Arial"/>
          <w:lang w:val="en-US"/>
        </w:rPr>
        <w:t>eRVR</w:t>
      </w:r>
      <w:proofErr w:type="spellEnd"/>
      <w:r w:rsidRPr="00CD1426">
        <w:rPr>
          <w:rFonts w:ascii="Book Antiqua" w:hAnsi="Book Antiqua" w:cs="Arial"/>
          <w:lang w:val="en-US"/>
        </w:rPr>
        <w:t>) characterized by HCVRNA viral load &lt;</w:t>
      </w:r>
      <w:r w:rsidR="00AE459C" w:rsidRPr="00CD1426">
        <w:rPr>
          <w:rFonts w:ascii="Book Antiqua" w:hAnsi="Book Antiqua" w:cs="Arial"/>
          <w:lang w:val="en-US" w:eastAsia="zh-CN"/>
        </w:rPr>
        <w:t xml:space="preserve"> </w:t>
      </w:r>
      <w:r w:rsidRPr="00CD1426">
        <w:rPr>
          <w:rFonts w:ascii="Book Antiqua" w:hAnsi="Book Antiqua" w:cs="Arial"/>
          <w:lang w:val="en-US"/>
        </w:rPr>
        <w:t xml:space="preserve">1000IU/mL at </w:t>
      </w:r>
      <w:proofErr w:type="spellStart"/>
      <w:r w:rsidRPr="00CD1426">
        <w:rPr>
          <w:rFonts w:ascii="Book Antiqua" w:hAnsi="Book Antiqua" w:cs="Arial"/>
          <w:lang w:val="en-US"/>
        </w:rPr>
        <w:t>w</w:t>
      </w:r>
      <w:r w:rsidR="00AE459C" w:rsidRPr="00CD1426">
        <w:rPr>
          <w:rFonts w:ascii="Book Antiqua" w:hAnsi="Book Antiqua" w:cs="Arial"/>
          <w:lang w:val="en-US" w:eastAsia="zh-CN"/>
        </w:rPr>
        <w:t>k</w:t>
      </w:r>
      <w:proofErr w:type="spellEnd"/>
      <w:r w:rsidRPr="00CD1426">
        <w:rPr>
          <w:rFonts w:ascii="Book Antiqua" w:hAnsi="Book Antiqua" w:cs="Arial"/>
          <w:lang w:val="en-US"/>
        </w:rPr>
        <w:t xml:space="preserve"> 4 and 12 of treatment; subjects with </w:t>
      </w:r>
      <w:proofErr w:type="spellStart"/>
      <w:r w:rsidRPr="00CD1426">
        <w:rPr>
          <w:rFonts w:ascii="Book Antiqua" w:hAnsi="Book Antiqua" w:cs="Arial"/>
          <w:lang w:val="en-US"/>
        </w:rPr>
        <w:t>eRVR</w:t>
      </w:r>
      <w:proofErr w:type="spellEnd"/>
      <w:r w:rsidRPr="00CD1426">
        <w:rPr>
          <w:rFonts w:ascii="Book Antiqua" w:hAnsi="Book Antiqua" w:cs="Arial"/>
          <w:lang w:val="en-US"/>
        </w:rPr>
        <w:t xml:space="preserve"> were eligible for shortened therapy. In this study, </w:t>
      </w:r>
      <w:proofErr w:type="spellStart"/>
      <w:r w:rsidRPr="00CD1426">
        <w:rPr>
          <w:rFonts w:ascii="Book Antiqua" w:hAnsi="Book Antiqua" w:cs="Arial"/>
          <w:lang w:val="en-US"/>
        </w:rPr>
        <w:t>eRVR</w:t>
      </w:r>
      <w:proofErr w:type="spellEnd"/>
      <w:r w:rsidRPr="00CD1426">
        <w:rPr>
          <w:rFonts w:ascii="Book Antiqua" w:hAnsi="Book Antiqua" w:cs="Arial"/>
          <w:lang w:val="en-US"/>
        </w:rPr>
        <w:t xml:space="preserve"> was the best predictor of SVR, although, notably, individuals with the IL28B C/C genotype also had high rates of SVR. The overall SVR rate in the group with </w:t>
      </w:r>
      <w:proofErr w:type="spellStart"/>
      <w:r w:rsidRPr="00CD1426">
        <w:rPr>
          <w:rFonts w:ascii="Book Antiqua" w:hAnsi="Book Antiqua" w:cs="Arial"/>
          <w:lang w:val="en-US"/>
        </w:rPr>
        <w:t>eRVR</w:t>
      </w:r>
      <w:proofErr w:type="spellEnd"/>
      <w:r w:rsidRPr="00CD1426">
        <w:rPr>
          <w:rFonts w:ascii="Book Antiqua" w:hAnsi="Book Antiqua" w:cs="Arial"/>
          <w:lang w:val="en-US"/>
        </w:rPr>
        <w:t xml:space="preserve"> was 91%, but among individuals who also had the IL28B C/C genotype, the SVR rate increased by 6% (97%); among those who did not achieve </w:t>
      </w:r>
      <w:proofErr w:type="spellStart"/>
      <w:r w:rsidRPr="00CD1426">
        <w:rPr>
          <w:rFonts w:ascii="Book Antiqua" w:hAnsi="Book Antiqua" w:cs="Arial"/>
          <w:lang w:val="en-US"/>
        </w:rPr>
        <w:t>eRVR</w:t>
      </w:r>
      <w:proofErr w:type="spellEnd"/>
      <w:r w:rsidRPr="00CD1426">
        <w:rPr>
          <w:rFonts w:ascii="Book Antiqua" w:hAnsi="Book Antiqua" w:cs="Arial"/>
          <w:lang w:val="en-US"/>
        </w:rPr>
        <w:t xml:space="preserve">, the SVR rate was significantly lower (43%), but in those without </w:t>
      </w:r>
      <w:proofErr w:type="spellStart"/>
      <w:r w:rsidRPr="00CD1426">
        <w:rPr>
          <w:rFonts w:ascii="Book Antiqua" w:hAnsi="Book Antiqua" w:cs="Arial"/>
          <w:lang w:val="en-US"/>
        </w:rPr>
        <w:t>eRVR</w:t>
      </w:r>
      <w:proofErr w:type="spellEnd"/>
      <w:r w:rsidRPr="00CD1426">
        <w:rPr>
          <w:rFonts w:ascii="Book Antiqua" w:hAnsi="Book Antiqua" w:cs="Arial"/>
          <w:lang w:val="en-US"/>
        </w:rPr>
        <w:t xml:space="preserve"> and with genotype C/C IL28B, the SVR was 63%. </w:t>
      </w:r>
    </w:p>
    <w:p w14:paraId="0A7108C6" w14:textId="184B468B" w:rsidR="002B302F" w:rsidRPr="00CD1426" w:rsidRDefault="002B302F" w:rsidP="00CD1426">
      <w:pPr>
        <w:tabs>
          <w:tab w:val="left" w:pos="0"/>
          <w:tab w:val="right" w:pos="540"/>
        </w:tabs>
        <w:spacing w:line="360" w:lineRule="auto"/>
        <w:ind w:firstLineChars="200" w:firstLine="480"/>
        <w:jc w:val="both"/>
        <w:rPr>
          <w:rFonts w:ascii="Book Antiqua" w:hAnsi="Book Antiqua" w:cs="Arial"/>
          <w:lang w:val="en-US" w:eastAsia="zh-CN"/>
        </w:rPr>
      </w:pPr>
      <w:r w:rsidRPr="00CD1426">
        <w:rPr>
          <w:rFonts w:ascii="Book Antiqua" w:hAnsi="Book Antiqua" w:cs="Arial"/>
          <w:lang w:val="en-US"/>
        </w:rPr>
        <w:t xml:space="preserve">The phase III study Realize compared the efficacy, safety and tolerability of </w:t>
      </w:r>
      <w:proofErr w:type="spellStart"/>
      <w:r w:rsidRPr="00CD1426">
        <w:rPr>
          <w:rFonts w:ascii="Book Antiqua" w:hAnsi="Book Antiqua" w:cs="Arial"/>
          <w:lang w:val="en-US"/>
        </w:rPr>
        <w:t>telaprevir</w:t>
      </w:r>
      <w:proofErr w:type="spellEnd"/>
      <w:r w:rsidRPr="00CD1426">
        <w:rPr>
          <w:rFonts w:ascii="Book Antiqua" w:hAnsi="Book Antiqua" w:cs="Arial"/>
          <w:lang w:val="en-US"/>
        </w:rPr>
        <w:t xml:space="preserve"> (with or without lead-in) in combination with </w:t>
      </w:r>
      <w:proofErr w:type="spellStart"/>
      <w:r w:rsidRPr="00CD1426">
        <w:rPr>
          <w:rFonts w:ascii="Book Antiqua" w:hAnsi="Book Antiqua" w:cs="Arial"/>
          <w:lang w:val="en-US"/>
        </w:rPr>
        <w:t>pegylated</w:t>
      </w:r>
      <w:proofErr w:type="spellEnd"/>
      <w:r w:rsidRPr="00CD1426">
        <w:rPr>
          <w:rFonts w:ascii="Book Antiqua" w:hAnsi="Book Antiqua" w:cs="Arial"/>
          <w:lang w:val="en-US"/>
        </w:rPr>
        <w:t xml:space="preserve"> interferon and ribavirin, with the control group treated with </w:t>
      </w:r>
      <w:proofErr w:type="spellStart"/>
      <w:r w:rsidRPr="00CD1426">
        <w:rPr>
          <w:rFonts w:ascii="Book Antiqua" w:hAnsi="Book Antiqua" w:cs="Arial"/>
          <w:lang w:val="en-US"/>
        </w:rPr>
        <w:t>pegylated</w:t>
      </w:r>
      <w:proofErr w:type="spellEnd"/>
      <w:r w:rsidRPr="00CD1426">
        <w:rPr>
          <w:rFonts w:ascii="Book Antiqua" w:hAnsi="Book Antiqua" w:cs="Arial"/>
          <w:lang w:val="en-US"/>
        </w:rPr>
        <w:t xml:space="preserve"> interferon and ribavirin in patients non responsive to prior treatment, including </w:t>
      </w:r>
      <w:proofErr w:type="spellStart"/>
      <w:r w:rsidRPr="00CD1426">
        <w:rPr>
          <w:rFonts w:ascii="Book Antiqua" w:hAnsi="Book Antiqua" w:cs="Arial"/>
          <w:lang w:val="en-US"/>
        </w:rPr>
        <w:t>relapsers</w:t>
      </w:r>
      <w:proofErr w:type="spellEnd"/>
      <w:r w:rsidRPr="00CD1426">
        <w:rPr>
          <w:rFonts w:ascii="Book Antiqua" w:hAnsi="Book Antiqua" w:cs="Arial"/>
          <w:lang w:val="en-US"/>
        </w:rPr>
        <w:t>, as well as partial and null responders. In a retrospective analysis, the association between the IL28B genotype (rs12979860) and SVR was investigated in 527 (80%) patients included in the study; however, the IL28B C/C genotypes were not predictors of SVR among individuals treated with triple therapy. SVR rates were greater</w:t>
      </w:r>
      <w:r w:rsidR="00B33120" w:rsidRPr="00CD1426">
        <w:rPr>
          <w:rFonts w:ascii="Book Antiqua" w:hAnsi="Book Antiqua" w:cs="Arial"/>
          <w:lang w:val="en-US"/>
        </w:rPr>
        <w:t xml:space="preserve"> in </w:t>
      </w:r>
      <w:proofErr w:type="spellStart"/>
      <w:r w:rsidR="00B33120" w:rsidRPr="00CD1426">
        <w:rPr>
          <w:rFonts w:ascii="Book Antiqua" w:hAnsi="Book Antiqua" w:cs="Arial"/>
          <w:lang w:val="en-US"/>
        </w:rPr>
        <w:t>telaprevir</w:t>
      </w:r>
      <w:proofErr w:type="spellEnd"/>
      <w:r w:rsidR="00B33120" w:rsidRPr="00CD1426">
        <w:rPr>
          <w:rFonts w:ascii="Book Antiqua" w:hAnsi="Book Antiqua" w:cs="Arial"/>
          <w:lang w:val="en-US"/>
        </w:rPr>
        <w:t xml:space="preserve"> treated groups </w:t>
      </w:r>
      <w:proofErr w:type="spellStart"/>
      <w:r w:rsidR="00B33120" w:rsidRPr="00CD1426">
        <w:rPr>
          <w:rFonts w:ascii="Book Antiqua" w:hAnsi="Book Antiqua" w:cs="Arial"/>
          <w:i/>
          <w:lang w:val="en-US"/>
        </w:rPr>
        <w:t>v</w:t>
      </w:r>
      <w:r w:rsidRPr="00CD1426">
        <w:rPr>
          <w:rFonts w:ascii="Book Antiqua" w:hAnsi="Book Antiqua" w:cs="Arial"/>
          <w:i/>
          <w:lang w:val="en-US"/>
        </w:rPr>
        <w:t>s</w:t>
      </w:r>
      <w:proofErr w:type="spellEnd"/>
      <w:r w:rsidRPr="00CD1426">
        <w:rPr>
          <w:rFonts w:ascii="Book Antiqua" w:hAnsi="Book Antiqua" w:cs="Arial"/>
          <w:lang w:val="en-US"/>
        </w:rPr>
        <w:t xml:space="preserve"> PR for all </w:t>
      </w:r>
      <w:r w:rsidRPr="00CD1426">
        <w:rPr>
          <w:rFonts w:ascii="Book Antiqua" w:hAnsi="Book Antiqua" w:cs="Arial"/>
          <w:i/>
          <w:iCs/>
          <w:lang w:val="en-US"/>
        </w:rPr>
        <w:t>IL28B</w:t>
      </w:r>
      <w:r w:rsidR="00B33120" w:rsidRPr="00CD1426">
        <w:rPr>
          <w:rFonts w:ascii="Book Antiqua" w:hAnsi="Book Antiqua" w:cs="Arial"/>
          <w:lang w:val="en-US"/>
        </w:rPr>
        <w:t xml:space="preserve"> genotypes (CC: 79% </w:t>
      </w:r>
      <w:r w:rsidR="00B33120" w:rsidRPr="00CD1426">
        <w:rPr>
          <w:rFonts w:ascii="Book Antiqua" w:hAnsi="Book Antiqua" w:cs="Arial"/>
          <w:i/>
          <w:lang w:val="en-US"/>
        </w:rPr>
        <w:t>vs</w:t>
      </w:r>
      <w:r w:rsidR="00B33120" w:rsidRPr="00CD1426">
        <w:rPr>
          <w:rFonts w:ascii="Book Antiqua" w:hAnsi="Book Antiqua" w:cs="Arial"/>
          <w:lang w:val="en-US"/>
        </w:rPr>
        <w:t xml:space="preserve"> 29%, CT: 60% </w:t>
      </w:r>
      <w:r w:rsidR="00B33120" w:rsidRPr="00CD1426">
        <w:rPr>
          <w:rFonts w:ascii="Book Antiqua" w:hAnsi="Book Antiqua" w:cs="Arial"/>
          <w:i/>
          <w:lang w:val="en-US"/>
        </w:rPr>
        <w:t>vs</w:t>
      </w:r>
      <w:r w:rsidR="00B33120" w:rsidRPr="00CD1426">
        <w:rPr>
          <w:rFonts w:ascii="Book Antiqua" w:hAnsi="Book Antiqua" w:cs="Arial"/>
          <w:lang w:val="en-US"/>
        </w:rPr>
        <w:t xml:space="preserve"> 16%, TT: 61% </w:t>
      </w:r>
      <w:r w:rsidR="00B33120" w:rsidRPr="00CD1426">
        <w:rPr>
          <w:rFonts w:ascii="Book Antiqua" w:hAnsi="Book Antiqua" w:cs="Arial"/>
          <w:i/>
          <w:lang w:val="en-US"/>
        </w:rPr>
        <w:t>vs</w:t>
      </w:r>
      <w:r w:rsidR="00B33120" w:rsidRPr="00CD1426">
        <w:rPr>
          <w:rFonts w:ascii="Book Antiqua" w:hAnsi="Book Antiqua" w:cs="Arial"/>
          <w:lang w:val="en-US"/>
        </w:rPr>
        <w:t xml:space="preserve"> 13%, respectively)</w:t>
      </w:r>
      <w:r w:rsidRPr="00CD1426">
        <w:rPr>
          <w:rFonts w:ascii="Book Antiqua" w:hAnsi="Book Antiqua" w:cs="Arial"/>
          <w:lang w:val="en-US"/>
        </w:rPr>
        <w:fldChar w:fldCharType="begin" w:fldLock="1"/>
      </w:r>
      <w:r w:rsidR="001D4A08" w:rsidRPr="00CD1426">
        <w:rPr>
          <w:rFonts w:ascii="Book Antiqua" w:hAnsi="Book Antiqua" w:cs="Arial"/>
          <w:lang w:val="en-US"/>
        </w:rPr>
        <w:instrText>ADDIN CSL_CITATION { "citationItems" : [ { "id" : "ITEM-1", "itemData" : { "DOI" : "10.1016/j.jhep.2012.12.023", "ISSN" : "1600-0641", "PMID" : "23321318", "abstract" : "BACKGROUND &amp; AIMS: Nucleotide polymorphisms upstream of the interleukin 28B (IL28B) gene are strongly associated with hepatitis C virus (HCV) clearance in treatment-na\u00efve patients treated with peginterferon/ribavirin (PegIFN/RBV). This subanalysis of the REALIZE study evaluated the impact of IL28B polymorphisms on sustained virologic response (SVR) in telaprevir-treated, HCV genotype 1-infected patients with prior PegIFN/RBV treatment failure.\n\nMETHODS: Treatment-experienced patients were randomized to 12 weeks of telaprevir (750 mg every 8h) with/without a 4-week PegIFN/RBV lead-in, or placebo, each with PegIFN-\u03b1-2a (180 \u03bcg/week) and ribavirin (1000-1200 mg/day) for 48 weeks overall. Data from telaprevir arms were pooled.\n\nRESULTS: Eighty percent (527/662) of patients consented to genetic testing and were included. Similar proportions of patients had IL28B CC, CT and TT genotypes across treatment arms; baseline characteristics were generally well balanced. SVR rates were higher in the pooled telaprevir versus placebo group for all IL28B genotypes; CC: 79% versus 29%, respectively; CT: 60% versus 16%, respectively; TT: 61% versus 13%, respectively. Within each prior response category (relapse, partial or null response), SVR and viral breakthrough rates with telaprevir-based treatment were comparable across IL28B genotypes. IL28B genotype did not significantly affect SVR (2-step multivariate analyses; p &gt;0.16 in pairwise comparison among CC, TT, and CT). Variations in rapid virologic response and relapse rates were noted in certain patient subgroups.\n\nCONCLUSIONS: Our findings suggest that IL28B genotype has a limited impact on SVR rates with telaprevir-based therapy in treatment-experienced patients. IL28B genotyping may have limited utility in the baseline evaluation of similar patients considered for telaprevir-based therapy.", "author" : [ { "dropping-particle" : "", "family" : "Pol", "given" : "Stanislas", "non-dropping-particle" : "", "parse-names" : false, "suffix" : "" }, { "dropping-particle" : "", "family" : "Aerssens", "given" : "Jeroen", "non-dropping-particle" : "", "parse-names" : false, "suffix" : "" }, { "dropping-particle" : "", "family" : "Zeuzem", "given" : "Stefan", "non-dropping-particle" : "", "parse-names" : false, "suffix" : "" }, { "dropping-particle" : "", "family" : "Andreone", "given" : "Pietro", "non-dropping-particle" : "", "parse-names" : false, "suffix" : "" }, { "dropping-particle" : "", "family" : "Lawitz", "given" : "Eric J", "non-dropping-particle" : "", "parse-names" : false, "suffix" : "" }, { "dropping-particle" : "", "family" : "Roberts", "given" : "Stuart", "non-dropping-particle" : "", "parse-names" : false, "suffix" : "" }, { "dropping-particle" : "", "family" : "Younossi", "given" : "Zobair", "non-dropping-particle" : "", "parse-names" : false, "suffix" : "" }, { "dropping-particle" : "", "family" : "Foster", "given" : "Graham R", "non-dropping-particle" : "", "parse-names" : false, "suffix" : "" }, { "dropping-particle" : "", "family" : "Focaccia", "given" : "Roberto", "non-dropping-particle" : "", "parse-names" : false, "suffix" : "" }, { "dropping-particle" : "", "family" : "Horban", "given" : "Andrzej", "non-dropping-particle" : "", "parse-names" : false, "suffix" : "" }, { "dropping-particle" : "", "family" : "Pockros", "given" : "Paul J", "non-dropping-particle" : "", "parse-names" : false, "suffix" : "" }, { "dropping-particle" : "", "family" : "Heeswijk", "given" : "Rolf P G", "non-dropping-particle" : "Van", "parse-names" : false, "suffix" : "" }, { "dropping-particle" : "", "family" : "Meyer", "given" : "Sandra", "non-dropping-particle" : "De", "parse-names" : false, "suffix" : "" }, { "dropping-particle" : "", "family" : "Luo", "given" : "Don", "non-dropping-particle" : "", "parse-names" : false, "suffix" : "" }, { "dropping-particle" : "", "family" : "Botfield", "given" : "Martyn", "non-dropping-particle" : "", "parse-names" : false, "suffix" : "" }, { "dropping-particle" : "", "family" : "Beumont", "given" : "Maria", "non-dropping-particle" : "", "parse-names" : false, "suffix" : "" }, { "dropping-particle" : "", "family" : "Picchio", "given" : "Gaston", "non-dropping-particle" : "", "parse-names" : false, "suffix" : "" } ], "container-title" : "Journal of hepatology", "id" : "ITEM-1", "issue" : "5", "issued" : { "date-parts" : [ [ "2013", "5", "5" ] ] }, "page" : "883-9", "publisher" : "Elsevier", "title" : "Limited impact of IL28B genotype on response rates in telaprevir-treated patients with prior treatment failure.", "type" : "article-journal", "volume" : "58" }, "uris" : [ "http://www.mendeley.com/documents/?uuid=e89749ff-b60d-45e9-bd82-48da20f2801f" ] } ], "mendeley" : { "formattedCitation" : "&lt;sup&gt;[42]&lt;/sup&gt;", "plainTextFormattedCitation" : "[42]", "previouslyFormattedCitation" : "&lt;sup&gt;[42]&lt;/sup&gt;" }, "properties" : { "noteIndex" : 0 }, "schema" : "https://github.com/citation-style-language/schema/raw/master/csl-citation.json" }</w:instrText>
      </w:r>
      <w:r w:rsidRPr="00CD1426">
        <w:rPr>
          <w:rFonts w:ascii="Book Antiqua" w:hAnsi="Book Antiqua" w:cs="Arial"/>
          <w:lang w:val="en-US"/>
        </w:rPr>
        <w:fldChar w:fldCharType="separate"/>
      </w:r>
      <w:r w:rsidR="001D4A08" w:rsidRPr="00CD1426">
        <w:rPr>
          <w:rFonts w:ascii="Book Antiqua" w:hAnsi="Book Antiqua" w:cs="Arial"/>
          <w:noProof/>
          <w:vertAlign w:val="superscript"/>
          <w:lang w:val="en-US"/>
        </w:rPr>
        <w:t>[42]</w:t>
      </w:r>
      <w:r w:rsidRPr="00CD1426">
        <w:rPr>
          <w:rFonts w:ascii="Book Antiqua" w:hAnsi="Book Antiqua" w:cs="Arial"/>
          <w:lang w:val="en-US"/>
        </w:rPr>
        <w:fldChar w:fldCharType="end"/>
      </w:r>
      <w:r w:rsidR="00B33120" w:rsidRPr="00CD1426">
        <w:rPr>
          <w:rFonts w:ascii="Book Antiqua" w:hAnsi="Book Antiqua" w:cs="Arial"/>
          <w:lang w:val="en-US" w:eastAsia="zh-CN"/>
        </w:rPr>
        <w:t>.</w:t>
      </w:r>
    </w:p>
    <w:p w14:paraId="2D6A4FB9" w14:textId="77777777" w:rsidR="002B302F" w:rsidRPr="00CD1426" w:rsidRDefault="002B302F" w:rsidP="00CD1426">
      <w:pPr>
        <w:tabs>
          <w:tab w:val="left" w:pos="0"/>
          <w:tab w:val="right" w:pos="540"/>
        </w:tabs>
        <w:spacing w:line="360" w:lineRule="auto"/>
        <w:jc w:val="both"/>
        <w:rPr>
          <w:rFonts w:ascii="Book Antiqua" w:hAnsi="Book Antiqua" w:cs="Arial"/>
          <w:lang w:val="en-US"/>
        </w:rPr>
      </w:pPr>
    </w:p>
    <w:p w14:paraId="62814419" w14:textId="24BB7BB6" w:rsidR="002B302F" w:rsidRPr="00CD1426" w:rsidRDefault="00AE459C" w:rsidP="00CD1426">
      <w:pPr>
        <w:tabs>
          <w:tab w:val="left" w:pos="0"/>
          <w:tab w:val="right" w:pos="540"/>
        </w:tabs>
        <w:spacing w:line="360" w:lineRule="auto"/>
        <w:jc w:val="both"/>
        <w:rPr>
          <w:rFonts w:ascii="Book Antiqua" w:hAnsi="Book Antiqua" w:cs="Arial"/>
          <w:b/>
          <w:lang w:val="en-US"/>
        </w:rPr>
      </w:pPr>
      <w:r w:rsidRPr="00CD1426">
        <w:rPr>
          <w:rFonts w:ascii="Book Antiqua" w:hAnsi="Book Antiqua" w:cs="Arial"/>
          <w:b/>
          <w:i/>
          <w:lang w:val="en-US"/>
        </w:rPr>
        <w:lastRenderedPageBreak/>
        <w:t xml:space="preserve">Role </w:t>
      </w:r>
      <w:r w:rsidR="002B302F" w:rsidRPr="00CD1426">
        <w:rPr>
          <w:rFonts w:ascii="Book Antiqua" w:hAnsi="Book Antiqua" w:cs="Arial"/>
          <w:b/>
          <w:i/>
          <w:lang w:val="en-US"/>
        </w:rPr>
        <w:t xml:space="preserve">of </w:t>
      </w:r>
      <w:r w:rsidRPr="00CD1426">
        <w:rPr>
          <w:rFonts w:ascii="Book Antiqua" w:hAnsi="Book Antiqua" w:cs="Arial"/>
          <w:b/>
          <w:i/>
          <w:lang w:val="en-US"/>
        </w:rPr>
        <w:t>advanced liver f</w:t>
      </w:r>
      <w:r w:rsidR="002B302F" w:rsidRPr="00CD1426">
        <w:rPr>
          <w:rFonts w:ascii="Book Antiqua" w:hAnsi="Book Antiqua" w:cs="Arial"/>
          <w:b/>
          <w:i/>
          <w:lang w:val="en-US"/>
        </w:rPr>
        <w:t>ibrosis in first wave DAA treatment regimens</w:t>
      </w:r>
    </w:p>
    <w:p w14:paraId="141E4F66" w14:textId="77777777" w:rsidR="002B302F" w:rsidRPr="00CD1426" w:rsidRDefault="002B302F" w:rsidP="00CD1426">
      <w:pPr>
        <w:tabs>
          <w:tab w:val="left" w:pos="0"/>
          <w:tab w:val="right" w:pos="540"/>
        </w:tabs>
        <w:spacing w:line="360" w:lineRule="auto"/>
        <w:jc w:val="both"/>
        <w:rPr>
          <w:rFonts w:ascii="Book Antiqua" w:hAnsi="Book Antiqua" w:cs="Arial"/>
          <w:lang w:val="en-US"/>
        </w:rPr>
      </w:pPr>
      <w:r w:rsidRPr="00CD1426">
        <w:rPr>
          <w:rFonts w:ascii="Book Antiqua" w:hAnsi="Book Antiqua" w:cs="Arial"/>
          <w:lang w:val="en-US"/>
        </w:rPr>
        <w:t>Although triple therapy combining the protease inhibitors (</w:t>
      </w:r>
      <w:proofErr w:type="spellStart"/>
      <w:r w:rsidRPr="00CD1426">
        <w:rPr>
          <w:rFonts w:ascii="Book Antiqua" w:hAnsi="Book Antiqua" w:cs="Arial"/>
          <w:lang w:val="en-US"/>
        </w:rPr>
        <w:t>telaprevir</w:t>
      </w:r>
      <w:proofErr w:type="spellEnd"/>
      <w:r w:rsidRPr="00CD1426">
        <w:rPr>
          <w:rFonts w:ascii="Book Antiqua" w:hAnsi="Book Antiqua" w:cs="Arial"/>
          <w:lang w:val="en-US"/>
        </w:rPr>
        <w:t xml:space="preserve"> or </w:t>
      </w:r>
      <w:proofErr w:type="spellStart"/>
      <w:r w:rsidRPr="00CD1426">
        <w:rPr>
          <w:rFonts w:ascii="Book Antiqua" w:hAnsi="Book Antiqua" w:cs="Arial"/>
          <w:lang w:val="en-US"/>
        </w:rPr>
        <w:t>boceprevir</w:t>
      </w:r>
      <w:proofErr w:type="spellEnd"/>
      <w:r w:rsidRPr="00CD1426">
        <w:rPr>
          <w:rFonts w:ascii="Book Antiqua" w:hAnsi="Book Antiqua" w:cs="Arial"/>
          <w:lang w:val="en-US"/>
        </w:rPr>
        <w:t xml:space="preserve">), </w:t>
      </w:r>
      <w:proofErr w:type="spellStart"/>
      <w:r w:rsidRPr="00CD1426">
        <w:rPr>
          <w:rFonts w:ascii="Book Antiqua" w:hAnsi="Book Antiqua" w:cs="Arial"/>
          <w:lang w:val="en-US"/>
        </w:rPr>
        <w:t>pegylated</w:t>
      </w:r>
      <w:proofErr w:type="spellEnd"/>
      <w:r w:rsidRPr="00CD1426">
        <w:rPr>
          <w:rFonts w:ascii="Book Antiqua" w:hAnsi="Book Antiqua" w:cs="Arial"/>
          <w:lang w:val="en-US"/>
        </w:rPr>
        <w:t xml:space="preserve">-interferon and ribavirin have increased the chances to eliminate hepatitis C virus in many groups of patients, its efficacy remains suboptimal in treatment experienced cirrhosis patients. These patients are considered difficult-to-treat, and lower SVR rates than </w:t>
      </w:r>
      <w:proofErr w:type="spellStart"/>
      <w:r w:rsidRPr="00CD1426">
        <w:rPr>
          <w:rFonts w:ascii="Book Antiqua" w:hAnsi="Book Antiqua" w:cs="Arial"/>
          <w:lang w:val="en-US"/>
        </w:rPr>
        <w:t>noncirrhotics</w:t>
      </w:r>
      <w:proofErr w:type="spellEnd"/>
      <w:r w:rsidRPr="00CD1426">
        <w:rPr>
          <w:rFonts w:ascii="Book Antiqua" w:hAnsi="Book Antiqua" w:cs="Arial"/>
          <w:lang w:val="en-US"/>
        </w:rPr>
        <w:t xml:space="preserve"> are achieved; they have an enlarged risk of developing serious adverse events. Moreover, cirrhosis patients were underrepresented in first generation DAA clinical trials.</w:t>
      </w:r>
    </w:p>
    <w:p w14:paraId="69D8A723" w14:textId="71A6B297" w:rsidR="002B302F" w:rsidRPr="00CD1426" w:rsidRDefault="002B302F" w:rsidP="00CD1426">
      <w:pPr>
        <w:tabs>
          <w:tab w:val="left" w:pos="0"/>
          <w:tab w:val="right" w:pos="540"/>
        </w:tabs>
        <w:spacing w:line="360" w:lineRule="auto"/>
        <w:ind w:firstLineChars="200" w:firstLine="480"/>
        <w:jc w:val="both"/>
        <w:rPr>
          <w:rFonts w:ascii="Book Antiqua" w:hAnsi="Book Antiqua" w:cs="Arial"/>
          <w:lang w:val="en-US"/>
        </w:rPr>
      </w:pPr>
      <w:r w:rsidRPr="00CD1426">
        <w:rPr>
          <w:rFonts w:ascii="Book Antiqua" w:hAnsi="Book Antiqua" w:cs="Arial"/>
          <w:lang w:val="en-US"/>
        </w:rPr>
        <w:t xml:space="preserve">A real life study analyzed a total of 660 cirrhosis patients who were previous </w:t>
      </w:r>
      <w:proofErr w:type="spellStart"/>
      <w:r w:rsidRPr="00CD1426">
        <w:rPr>
          <w:rFonts w:ascii="Book Antiqua" w:hAnsi="Book Antiqua" w:cs="Arial"/>
          <w:lang w:val="en-US"/>
        </w:rPr>
        <w:t>relapsers</w:t>
      </w:r>
      <w:proofErr w:type="spellEnd"/>
      <w:r w:rsidRPr="00CD1426">
        <w:rPr>
          <w:rFonts w:ascii="Book Antiqua" w:hAnsi="Book Antiqua" w:cs="Arial"/>
          <w:lang w:val="en-US"/>
        </w:rPr>
        <w:t xml:space="preserve">, partial responders and null responders to </w:t>
      </w:r>
      <w:proofErr w:type="spellStart"/>
      <w:r w:rsidRPr="00CD1426">
        <w:rPr>
          <w:rFonts w:ascii="Book Antiqua" w:hAnsi="Book Antiqua" w:cs="Arial"/>
          <w:lang w:val="en-US"/>
        </w:rPr>
        <w:t>pegylated</w:t>
      </w:r>
      <w:proofErr w:type="spellEnd"/>
      <w:r w:rsidRPr="00CD1426">
        <w:rPr>
          <w:rFonts w:ascii="Book Antiqua" w:hAnsi="Book Antiqua" w:cs="Arial"/>
          <w:lang w:val="en-US"/>
        </w:rPr>
        <w:t xml:space="preserve"> interferon and ribavirin treatment, including 299 treated with </w:t>
      </w:r>
      <w:proofErr w:type="spellStart"/>
      <w:r w:rsidRPr="00CD1426">
        <w:rPr>
          <w:rFonts w:ascii="Book Antiqua" w:hAnsi="Book Antiqua" w:cs="Arial"/>
          <w:lang w:val="en-US"/>
        </w:rPr>
        <w:t>telaprevir</w:t>
      </w:r>
      <w:proofErr w:type="spellEnd"/>
      <w:r w:rsidRPr="00CD1426">
        <w:rPr>
          <w:rFonts w:ascii="Book Antiqua" w:hAnsi="Book Antiqua" w:cs="Arial"/>
          <w:lang w:val="en-US"/>
        </w:rPr>
        <w:t xml:space="preserve"> and 212 with </w:t>
      </w:r>
      <w:proofErr w:type="spellStart"/>
      <w:r w:rsidRPr="00CD1426">
        <w:rPr>
          <w:rFonts w:ascii="Book Antiqua" w:hAnsi="Book Antiqua" w:cs="Arial"/>
          <w:lang w:val="en-US"/>
        </w:rPr>
        <w:t>boceprevir</w:t>
      </w:r>
      <w:proofErr w:type="spellEnd"/>
      <w:r w:rsidRPr="00CD1426">
        <w:rPr>
          <w:rFonts w:ascii="Book Antiqua" w:hAnsi="Book Antiqua" w:cs="Arial"/>
          <w:lang w:val="en-US"/>
        </w:rPr>
        <w:t>. Patients were included in each group at the discretion of the physician</w:t>
      </w:r>
      <w:r w:rsidRPr="00CD1426">
        <w:rPr>
          <w:rFonts w:ascii="Book Antiqua" w:hAnsi="Book Antiqua" w:cs="Arial"/>
          <w:lang w:val="en-US"/>
        </w:rPr>
        <w:fldChar w:fldCharType="begin" w:fldLock="1"/>
      </w:r>
      <w:r w:rsidR="001D4A08" w:rsidRPr="00CD1426">
        <w:rPr>
          <w:rFonts w:ascii="Book Antiqua" w:hAnsi="Book Antiqua" w:cs="Arial"/>
          <w:lang w:val="en-US"/>
        </w:rPr>
        <w:instrText>ADDIN CSL_CITATION { "citationItems" : [ { "id" : "ITEM-1", "itemData" : { "DOI" : "10.1053/j.gastro.2014.03.051", "ISSN" : "1528-0012", "PMID" : "24704719", "abstract" : "BACKGROUND &amp; AIMS: We investigated the effectiveness of the protease inhibitors peginterferon and ribavirin in treatment-experienced patients with hepatitis C virus (HCV) genotype 1 infection and cirrhosis.\n\nMETHODS: In the Compassionate Use of Protease Inhibitors in Viral C Cirrhosis study, 511 patients with HCV genotype 1 infection and compensated cirrhosis who did not respond to a prior course of peginterferon and ribavirin (44.3% relapsers or patients with viral breakthrough, 44.8% partial responders, and 8.0% null responders) were given either telaprevir (n\u00a0= 299) or boceprevir (n\u00a0= 212) for 48 weeks. We assessed percentages of patients with sustained viral responses 12 weeks after therapy and safety. This observational study did not allow for direct comparison of the 2 regimens.\n\nRESULTS: Among patients given telaprevir, 74.2% of relapsers, 40.0% of partial responders, and 19.4% of null responders achieved SVR12. Among those given boceprevir, 53.9% of relapsers, 38.3% of partial responders, and none of the null responders achieved SVR12. In multivariate analysis, factors associated with SVR12 included prior response to treatment response, no lead-in phase, HCV subtype 1b (vs 1a), and baseline platelet count greater than 100,000/mm(3). Severe adverse events occurred in 49.9% of cases, including liver decompensation, severe infections in 10.4%, and death in 2.2%. In multivariate analysis, baseline serum albumin level less than 35 g/L and baseline platelet counts of 100,000/mm(3) or less predicted severe side effects or death.\n\nCONCLUSIONS: Relatively high percentages of real-life, treatment-experienced patients with HCV genotype 1 infection and cirrhosis respond to the combination of peginterferon and ribavirin with telaprevir or boceprevir. However, side effects are frequent and often severe. Baseline levels of albumin and platelet counts can be used to guide treatment decisions. ClinicalTrials.gov number: NCT01514890.", "author" : [ { "dropping-particle" : "", "family" : "H\u00e9zode", "given" : "Christophe", "non-dropping-particle" : "", "parse-names" : false, "suffix" : "" }, { "dropping-particle" : "", "family" : "Fontaine", "given" : "Helene", "non-dropping-particle" : "", "parse-names" : false, "suffix" : "" }, { "dropping-particle" : "", "family" : "Dorival", "given" : "Celine", "non-dropping-particle" : "", "parse-names" : false, "suffix" : "" }, { "dropping-particle" : "", "family" : "Zoulim", "given" : "Fabien", "non-dropping-particle" : "", "parse-names" : false, "suffix" : "" }, { "dropping-particle" : "", "family" : "Larrey", "given" : "Dominique", "non-dropping-particle" : "", "parse-names" : false, "suffix" : "" }, { "dropping-particle" : "", "family" : "Canva", "given" : "Valerie", "non-dropping-particle" : "", "parse-names" : false, "suffix" : "" }, { "dropping-particle" : "", "family" : "Ledinghen", "given" : "Victor", "non-dropping-particle" : "De", "parse-names" : false, "suffix" : "" }, { "dropping-particle" : "", "family" : "Poynard", "given" : "Thierry", "non-dropping-particle" : "", "parse-names" : false, "suffix" : "" }, { "dropping-particle" : "", "family" : "Samuel", "given" : "Didier", "non-dropping-particle" : "", "parse-names" : false, "suffix" : "" }, { "dropping-particle" : "", "family" : "Bourliere", "given" : "Marc", "non-dropping-particle" : "", "parse-names" : false, "suffix" : "" }, { "dropping-particle" : "", "family" : "Alric", "given" : "Laurent", "non-dropping-particle" : "", "parse-names" : false, "suffix" : "" }, { "dropping-particle" : "", "family" : "Raabe", "given" : "Jean-Jacques", "non-dropping-particle" : "", "parse-names" : false, "suffix" : "" }, { "dropping-particle" : "", "family" : "Zarski", "given" : "Jean-Pierre", "non-dropping-particle" : "", "parse-names" : false, "suffix" : "" }, { "dropping-particle" : "", "family" : "Marcellin", "given" : "Patrick", "non-dropping-particle" : "", "parse-names" : false, "suffix" : "" }, { "dropping-particle" : "", "family" : "Riachi", "given" : "Ghassan", "non-dropping-particle" : "", "parse-names" : false, "suffix" : "" }, { "dropping-particle" : "", "family" : "Bernard", "given" : "Pierre-Henri", "non-dropping-particle" : "", "parse-names" : false, "suffix" : "" }, { "dropping-particle" : "", "family" : "Loustaud-Ratti", "given" : "Veronique", "non-dropping-particle" : "", "parse-names" : false, "suffix" : "" }, { "dropping-particle" : "", "family" : "Chazouilleres", "given" : "Olivier", "non-dropping-particle" : "", "parse-names" : false, "suffix" : "" }, { "dropping-particle" : "", "family" : "Abergel", "given" : "Armand", "non-dropping-particle" : "", "parse-names" : false, "suffix" : "" }, { "dropping-particle" : "", "family" : "Guyader", "given" : "Dominique", "non-dropping-particle" : "", "parse-names" : false, "suffix" : "" }, { "dropping-particle" : "", "family" : "Metivier", "given" : "Sophie", "non-dropping-particle" : "", "parse-names" : false, "suffix" : "" }, { "dropping-particle" : "", "family" : "Tran", "given" : "Albert", "non-dropping-particle" : "", "parse-names" : false, "suffix" : "" }, { "dropping-particle" : "", "family" : "Martino", "given" : "Vincent", "non-dropping-particle" : "Di", "parse-names" : false, "suffix" : "" }, { "dropping-particle" : "", "family" : "Causse", "given" : "Xavier", "non-dropping-particle" : "", "parse-names" : false, "suffix" : "" }, { "dropping-particle" : "", "family" : "Dao", "given" : "Thong", "non-dropping-particle" : "", "parse-names" : false, "suffix" : "" }, { "dropping-particle" : "", "family" : "Lucidarme", "given" : "Damien", "non-dropping-particle" : "", "parse-names" : false, "suffix" : "" }, { "dropping-particle" : "", "family" : "Portal", "given" : "Isabelle", "non-dropping-particle" : "", "parse-names" : false, "suffix" : "" }, { "dropping-particle" : "", "family" : "Cacoub", "given" : "Patrice", "non-dropping-particle" : "", "parse-names" : false, "suffix" : "" }, { "dropping-particle" : "", "family" : "Gournay", "given" : "Jerome", "non-dropping-particle" : "", "parse-names" : false, "suffix" : "" }, { "dropping-particle" : "", "family" : "Grando-Lemaire", "given" : "Veronique", "non-dropping-particle" : "", "parse-names" : false, "suffix" : "" }, { "dropping-particle" : "", "family" : "Hillon", "given" : "Patrick", "non-dropping-particle" : "", "parse-names" : false, "suffix" : "" }, { "dropping-particle" : "", "family" : "Attali", "given" : "Pierre", "non-dropping-particle" : "", "parse-names" : false, "suffix" : "" }, { "dropping-particle" : "", "family" : "Fontanges", "given" : "Thierry", "non-dropping-particle" : "", "parse-names" : false, "suffix" : "" }, { "dropping-particle" : "", "family" : "Rosa", "given" : "Isabelle", "non-dropping-particle" : "", "parse-names" : false, "suffix" : "" }, { "dropping-particle" : "", "family" : "Petrov-Sanchez", "given" : "Ventzislava", "non-dropping-particle" : "", "parse-names" : false, "suffix" : "" }, { "dropping-particle" : "", "family" : "Barthe", "given" : "Yoann", "non-dropping-particle" : "", "parse-names" : false, "suffix" : "" }, { "dropping-particle" : "", "family" : "Pawlotsky", "given" : "Jean-Michel", "non-dropping-particle" : "", "parse-names" : false, "suffix" : "" }, { "dropping-particle" : "", "family" : "Pol", "given" : "Stanislas", "non-dropping-particle" : "", "parse-names" : false, "suffix" : "" }, { "dropping-particle" : "", "family" : "Carrat", "given" : "Fabrice", "non-dropping-particle" : "", "parse-names" : false, "suffix" : "" }, { "dropping-particle" : "", "family" : "Bronowicki", "given" : "Jean-Pierre", "non-dropping-particle" : "", "parse-names" : false, "suffix" : "" } ], "container-title" : "Gastroenterology", "id" : "ITEM-1", "issue" : "1", "issued" : { "date-parts" : [ [ "2014", "7" ] ] }, "page" : "132-142.e4", "title" : "Effectiveness of telaprevir or boceprevir in treatment-experienced patients with HCV genotype 1 infection and cirrhosis.", "type" : "article-journal", "volume" : "147" }, "uris" : [ "http://www.mendeley.com/documents/?uuid=71a25f70-566b-44f3-b34c-6e83c09a9979" ] } ], "mendeley" : { "formattedCitation" : "&lt;sup&gt;[50]&lt;/sup&gt;", "plainTextFormattedCitation" : "[50]", "previouslyFormattedCitation" : "&lt;sup&gt;[50]&lt;/sup&gt;" }, "properties" : { "noteIndex" : 0 }, "schema" : "https://github.com/citation-style-language/schema/raw/master/csl-citation.json" }</w:instrText>
      </w:r>
      <w:r w:rsidRPr="00CD1426">
        <w:rPr>
          <w:rFonts w:ascii="Book Antiqua" w:hAnsi="Book Antiqua" w:cs="Arial"/>
          <w:lang w:val="en-US"/>
        </w:rPr>
        <w:fldChar w:fldCharType="separate"/>
      </w:r>
      <w:r w:rsidR="001D4A08" w:rsidRPr="00CD1426">
        <w:rPr>
          <w:rFonts w:ascii="Book Antiqua" w:hAnsi="Book Antiqua" w:cs="Arial"/>
          <w:noProof/>
          <w:vertAlign w:val="superscript"/>
          <w:lang w:val="en-US"/>
        </w:rPr>
        <w:t>[50]</w:t>
      </w:r>
      <w:r w:rsidRPr="00CD1426">
        <w:rPr>
          <w:rFonts w:ascii="Book Antiqua" w:hAnsi="Book Antiqua" w:cs="Arial"/>
          <w:lang w:val="en-US"/>
        </w:rPr>
        <w:fldChar w:fldCharType="end"/>
      </w:r>
      <w:r w:rsidR="00AE459C" w:rsidRPr="00CD1426">
        <w:rPr>
          <w:rFonts w:ascii="Book Antiqua" w:hAnsi="Book Antiqua" w:cs="Arial"/>
          <w:lang w:val="en-US" w:eastAsia="zh-CN"/>
        </w:rPr>
        <w:t>.</w:t>
      </w:r>
      <w:r w:rsidRPr="00CD1426">
        <w:rPr>
          <w:rFonts w:ascii="Book Antiqua" w:hAnsi="Book Antiqua" w:cs="Arial"/>
          <w:lang w:val="en-US"/>
        </w:rPr>
        <w:t xml:space="preserve"> The first endpoint (SVR 12) achieved among patients treated with </w:t>
      </w:r>
      <w:proofErr w:type="spellStart"/>
      <w:r w:rsidRPr="00CD1426">
        <w:rPr>
          <w:rFonts w:ascii="Book Antiqua" w:hAnsi="Book Antiqua" w:cs="Arial"/>
          <w:lang w:val="en-US"/>
        </w:rPr>
        <w:t>telaprevir</w:t>
      </w:r>
      <w:proofErr w:type="spellEnd"/>
      <w:r w:rsidRPr="00CD1426">
        <w:rPr>
          <w:rFonts w:ascii="Book Antiqua" w:hAnsi="Book Antiqua" w:cs="Arial"/>
          <w:lang w:val="en-US"/>
        </w:rPr>
        <w:t xml:space="preserve"> was 74.2% for </w:t>
      </w:r>
      <w:proofErr w:type="spellStart"/>
      <w:r w:rsidRPr="00CD1426">
        <w:rPr>
          <w:rFonts w:ascii="Book Antiqua" w:hAnsi="Book Antiqua" w:cs="Arial"/>
          <w:lang w:val="en-US"/>
        </w:rPr>
        <w:t>relapsers</w:t>
      </w:r>
      <w:proofErr w:type="spellEnd"/>
      <w:r w:rsidRPr="00CD1426">
        <w:rPr>
          <w:rFonts w:ascii="Book Antiqua" w:hAnsi="Book Antiqua" w:cs="Arial"/>
          <w:lang w:val="en-US"/>
        </w:rPr>
        <w:t xml:space="preserve">, 40.0% for partial responders and 19.4% for null responders. Among individuals treated with </w:t>
      </w:r>
      <w:proofErr w:type="spellStart"/>
      <w:r w:rsidRPr="00CD1426">
        <w:rPr>
          <w:rFonts w:ascii="Book Antiqua" w:hAnsi="Book Antiqua" w:cs="Arial"/>
          <w:lang w:val="en-US"/>
        </w:rPr>
        <w:t>boceprevir</w:t>
      </w:r>
      <w:proofErr w:type="spellEnd"/>
      <w:r w:rsidRPr="00CD1426">
        <w:rPr>
          <w:rFonts w:ascii="Book Antiqua" w:hAnsi="Book Antiqua" w:cs="Arial"/>
          <w:lang w:val="en-US"/>
        </w:rPr>
        <w:t xml:space="preserve">, 53.9% of </w:t>
      </w:r>
      <w:proofErr w:type="spellStart"/>
      <w:r w:rsidRPr="00CD1426">
        <w:rPr>
          <w:rFonts w:ascii="Book Antiqua" w:hAnsi="Book Antiqua" w:cs="Arial"/>
          <w:lang w:val="en-US"/>
        </w:rPr>
        <w:t>relapsers</w:t>
      </w:r>
      <w:proofErr w:type="spellEnd"/>
      <w:r w:rsidRPr="00CD1426">
        <w:rPr>
          <w:rFonts w:ascii="Book Antiqua" w:hAnsi="Book Antiqua" w:cs="Arial"/>
          <w:lang w:val="en-US"/>
        </w:rPr>
        <w:t xml:space="preserve">, 38.3% of partial responders and none of null responders got SVR at week 12. A late </w:t>
      </w:r>
      <w:proofErr w:type="spellStart"/>
      <w:r w:rsidRPr="00CD1426">
        <w:rPr>
          <w:rFonts w:ascii="Book Antiqua" w:hAnsi="Book Antiqua" w:cs="Arial"/>
          <w:lang w:val="en-US"/>
        </w:rPr>
        <w:t>virologic</w:t>
      </w:r>
      <w:proofErr w:type="spellEnd"/>
      <w:r w:rsidRPr="00CD1426">
        <w:rPr>
          <w:rFonts w:ascii="Book Antiqua" w:hAnsi="Book Antiqua" w:cs="Arial"/>
          <w:lang w:val="en-US"/>
        </w:rPr>
        <w:t xml:space="preserve"> breakthrough during therapy was observed after discontinuing TVR in 16.4% of the cases, a relapse in 14.7%, and 4.7% patients failed for other reasons (7 were lost to follow-up, 4 died, and 3 were missing HCV-RNA level measurements). Among the 121 patients who failed </w:t>
      </w:r>
      <w:proofErr w:type="spellStart"/>
      <w:r w:rsidRPr="00CD1426">
        <w:rPr>
          <w:rFonts w:ascii="Book Antiqua" w:hAnsi="Book Antiqua" w:cs="Arial"/>
          <w:lang w:val="en-US"/>
        </w:rPr>
        <w:t>boceprevir</w:t>
      </w:r>
      <w:proofErr w:type="spellEnd"/>
      <w:r w:rsidRPr="00CD1426">
        <w:rPr>
          <w:rFonts w:ascii="Book Antiqua" w:hAnsi="Book Antiqua" w:cs="Arial"/>
          <w:lang w:val="en-US"/>
        </w:rPr>
        <w:t xml:space="preserve"> treatment, </w:t>
      </w:r>
      <w:proofErr w:type="spellStart"/>
      <w:r w:rsidRPr="00CD1426">
        <w:rPr>
          <w:rFonts w:ascii="Book Antiqua" w:hAnsi="Book Antiqua" w:cs="Arial"/>
          <w:lang w:val="en-US"/>
        </w:rPr>
        <w:t>virologic</w:t>
      </w:r>
      <w:proofErr w:type="spellEnd"/>
      <w:r w:rsidRPr="00CD1426">
        <w:rPr>
          <w:rFonts w:ascii="Book Antiqua" w:hAnsi="Book Antiqua" w:cs="Arial"/>
          <w:lang w:val="en-US"/>
        </w:rPr>
        <w:t xml:space="preserve"> breakthrough during therapy was observed in 9%, 17% relapsed and 1.9% patients failed for other reasons (2 deaths and 2 missing HCV-RNA level measurements).</w:t>
      </w:r>
    </w:p>
    <w:p w14:paraId="3790D490" w14:textId="2CE6B07B" w:rsidR="002B302F" w:rsidRPr="00CD1426" w:rsidRDefault="002B302F" w:rsidP="00CD1426">
      <w:pPr>
        <w:tabs>
          <w:tab w:val="left" w:pos="0"/>
          <w:tab w:val="right" w:pos="540"/>
        </w:tabs>
        <w:spacing w:line="360" w:lineRule="auto"/>
        <w:ind w:firstLineChars="200" w:firstLine="480"/>
        <w:jc w:val="both"/>
        <w:rPr>
          <w:rFonts w:ascii="Book Antiqua" w:hAnsi="Book Antiqua" w:cs="Arial"/>
          <w:lang w:val="en-US"/>
        </w:rPr>
      </w:pPr>
      <w:r w:rsidRPr="00CD1426">
        <w:rPr>
          <w:rFonts w:ascii="Book Antiqua" w:hAnsi="Book Antiqua" w:cs="Arial"/>
          <w:lang w:val="en-US"/>
        </w:rPr>
        <w:t xml:space="preserve">Variables associated with SVR 12 among patients treated with </w:t>
      </w:r>
      <w:proofErr w:type="spellStart"/>
      <w:r w:rsidRPr="00CD1426">
        <w:rPr>
          <w:rFonts w:ascii="Book Antiqua" w:hAnsi="Book Antiqua" w:cs="Arial"/>
          <w:lang w:val="en-US"/>
        </w:rPr>
        <w:t>telaprevir</w:t>
      </w:r>
      <w:proofErr w:type="spellEnd"/>
      <w:r w:rsidRPr="00CD1426">
        <w:rPr>
          <w:rFonts w:ascii="Book Antiqua" w:hAnsi="Book Antiqua" w:cs="Arial"/>
          <w:lang w:val="en-US"/>
        </w:rPr>
        <w:t xml:space="preserve"> were HCV subtype 1b and rapid </w:t>
      </w:r>
      <w:proofErr w:type="spellStart"/>
      <w:r w:rsidRPr="00CD1426">
        <w:rPr>
          <w:rFonts w:ascii="Book Antiqua" w:hAnsi="Book Antiqua" w:cs="Arial"/>
          <w:lang w:val="en-US"/>
        </w:rPr>
        <w:t>virologic</w:t>
      </w:r>
      <w:proofErr w:type="spellEnd"/>
      <w:r w:rsidRPr="00CD1426">
        <w:rPr>
          <w:rFonts w:ascii="Book Antiqua" w:hAnsi="Book Antiqua" w:cs="Arial"/>
          <w:lang w:val="en-US"/>
        </w:rPr>
        <w:t xml:space="preserve"> response. In the group treated with </w:t>
      </w:r>
      <w:proofErr w:type="spellStart"/>
      <w:r w:rsidRPr="00CD1426">
        <w:rPr>
          <w:rFonts w:ascii="Book Antiqua" w:hAnsi="Book Antiqua" w:cs="Arial"/>
          <w:lang w:val="en-US"/>
        </w:rPr>
        <w:t>boceprevir</w:t>
      </w:r>
      <w:proofErr w:type="spellEnd"/>
      <w:r w:rsidRPr="00CD1426">
        <w:rPr>
          <w:rFonts w:ascii="Book Antiqua" w:hAnsi="Book Antiqua" w:cs="Arial"/>
          <w:lang w:val="en-US"/>
        </w:rPr>
        <w:t xml:space="preserve">, HCV subtype 1b, 1 Log HCVRNA decline after lead in (week 4), 3 Log HCVRNA decline or undetectable viral load at week 8 were good predictors of SVR12. In multivariate analysis, factors associated with SVR12 included previous response to previous treatment, HCV subtype 1b and baseline </w:t>
      </w:r>
      <w:r w:rsidR="00AE459C" w:rsidRPr="00CD1426">
        <w:rPr>
          <w:rFonts w:ascii="Book Antiqua" w:hAnsi="Book Antiqua" w:cs="Arial"/>
          <w:lang w:val="en-US"/>
        </w:rPr>
        <w:t>platelet count greater than 100</w:t>
      </w:r>
      <w:r w:rsidR="00C04C74">
        <w:rPr>
          <w:rFonts w:ascii="Book Antiqua" w:hAnsi="Book Antiqua" w:cs="Arial"/>
          <w:lang w:val="en-US"/>
        </w:rPr>
        <w:t>000/</w:t>
      </w:r>
      <w:r w:rsidRPr="00CD1426">
        <w:rPr>
          <w:rFonts w:ascii="Book Antiqua" w:hAnsi="Book Antiqua" w:cs="Arial"/>
          <w:lang w:val="en-US"/>
        </w:rPr>
        <w:t>mm</w:t>
      </w:r>
      <w:r w:rsidRPr="00CD1426">
        <w:rPr>
          <w:rFonts w:ascii="Book Antiqua" w:hAnsi="Book Antiqua" w:cs="Arial"/>
          <w:vertAlign w:val="superscript"/>
          <w:lang w:val="en-US"/>
        </w:rPr>
        <w:t>3</w:t>
      </w:r>
      <w:r w:rsidRPr="00CD1426">
        <w:rPr>
          <w:rFonts w:ascii="Book Antiqua" w:hAnsi="Book Antiqua" w:cs="Arial"/>
          <w:lang w:val="en-US"/>
        </w:rPr>
        <w:t xml:space="preserve">. </w:t>
      </w:r>
    </w:p>
    <w:p w14:paraId="4A3772E7" w14:textId="32EFAC11" w:rsidR="002B302F" w:rsidRPr="00CD1426" w:rsidRDefault="002B302F" w:rsidP="00CD1426">
      <w:pPr>
        <w:tabs>
          <w:tab w:val="left" w:pos="0"/>
          <w:tab w:val="right" w:pos="540"/>
        </w:tabs>
        <w:spacing w:line="360" w:lineRule="auto"/>
        <w:ind w:firstLineChars="200" w:firstLine="480"/>
        <w:jc w:val="both"/>
        <w:rPr>
          <w:rFonts w:ascii="Book Antiqua" w:hAnsi="Book Antiqua" w:cs="Arial"/>
          <w:lang w:val="en-US" w:eastAsia="zh-CN"/>
        </w:rPr>
      </w:pPr>
      <w:r w:rsidRPr="00CD1426">
        <w:rPr>
          <w:rFonts w:ascii="Book Antiqua" w:hAnsi="Book Antiqua" w:cs="Arial"/>
          <w:lang w:val="en-US"/>
        </w:rPr>
        <w:lastRenderedPageBreak/>
        <w:t>Serious adverse events occurred in 49.9% of cases, comprising hepatic decompensation, severe infections in 10.4%, and death in 2.2%. According to multivariate analysis, baseline serum albumin level less than 35</w:t>
      </w:r>
      <w:r w:rsidR="00AE459C" w:rsidRPr="00CD1426">
        <w:rPr>
          <w:rFonts w:ascii="Book Antiqua" w:hAnsi="Book Antiqua" w:cs="Arial"/>
          <w:lang w:val="en-US"/>
        </w:rPr>
        <w:t xml:space="preserve"> g/L and platelet counts of 100</w:t>
      </w:r>
      <w:r w:rsidRPr="00CD1426">
        <w:rPr>
          <w:rFonts w:ascii="Book Antiqua" w:hAnsi="Book Antiqua" w:cs="Arial"/>
          <w:lang w:val="en-US"/>
        </w:rPr>
        <w:t>000/mm</w:t>
      </w:r>
      <w:r w:rsidRPr="00CD1426">
        <w:rPr>
          <w:rFonts w:ascii="Book Antiqua" w:hAnsi="Book Antiqua" w:cs="Arial"/>
          <w:vertAlign w:val="superscript"/>
          <w:lang w:val="en-US"/>
        </w:rPr>
        <w:t>3</w:t>
      </w:r>
      <w:r w:rsidRPr="00CD1426">
        <w:rPr>
          <w:rFonts w:ascii="Book Antiqua" w:hAnsi="Book Antiqua" w:cs="Arial"/>
          <w:lang w:val="en-US"/>
        </w:rPr>
        <w:t xml:space="preserve"> or less predict serious side effects or death. Among patients with serum albumin levels &lt; 35 g/L and platelet counts </w:t>
      </w:r>
      <w:r w:rsidR="00AE459C" w:rsidRPr="00CD1426">
        <w:rPr>
          <w:rFonts w:ascii="Book Antiqua" w:hAnsi="Book Antiqua" w:cs="Arial"/>
          <w:lang w:val="en-US"/>
        </w:rPr>
        <w:t>≤</w:t>
      </w:r>
      <w:r w:rsidRPr="00CD1426">
        <w:rPr>
          <w:rFonts w:ascii="Book Antiqua" w:hAnsi="Book Antiqua" w:cs="Arial"/>
          <w:lang w:val="en-US"/>
        </w:rPr>
        <w:t xml:space="preserve"> 100.000/mm</w:t>
      </w:r>
      <w:r w:rsidRPr="00CD1426">
        <w:rPr>
          <w:rFonts w:ascii="Book Antiqua" w:hAnsi="Book Antiqua" w:cs="Arial"/>
          <w:vertAlign w:val="superscript"/>
          <w:lang w:val="en-US"/>
        </w:rPr>
        <w:t>3</w:t>
      </w:r>
      <w:r w:rsidRPr="00CD1426">
        <w:rPr>
          <w:rFonts w:ascii="Book Antiqua" w:hAnsi="Book Antiqua" w:cs="Arial"/>
          <w:lang w:val="en-US"/>
        </w:rPr>
        <w:t>, the proportion of severe complications or death was 51.4%, and therefore, this treatment is not advisable for this subgroup of patie</w:t>
      </w:r>
      <w:r w:rsidR="00AE459C" w:rsidRPr="00CD1426">
        <w:rPr>
          <w:rFonts w:ascii="Book Antiqua" w:hAnsi="Book Antiqua" w:cs="Arial"/>
          <w:lang w:val="en-US"/>
        </w:rPr>
        <w:t>nts (Table 2)</w:t>
      </w:r>
      <w:r w:rsidRPr="00CD1426">
        <w:rPr>
          <w:rFonts w:ascii="Book Antiqua" w:hAnsi="Book Antiqua" w:cs="Arial"/>
          <w:lang w:val="en-US"/>
        </w:rPr>
        <w:fldChar w:fldCharType="begin" w:fldLock="1"/>
      </w:r>
      <w:r w:rsidR="001D4A08" w:rsidRPr="00CD1426">
        <w:rPr>
          <w:rFonts w:ascii="Book Antiqua" w:hAnsi="Book Antiqua" w:cs="Arial"/>
          <w:lang w:val="en-US"/>
        </w:rPr>
        <w:instrText>ADDIN CSL_CITATION { "citationItems" : [ { "id" : "ITEM-1", "itemData" : { "DOI" : "10.1053/j.gastro.2014.03.051", "ISSN" : "1528-0012", "PMID" : "24704719", "abstract" : "BACKGROUND &amp; AIMS: We investigated the effectiveness of the protease inhibitors peginterferon and ribavirin in treatment-experienced patients with hepatitis C virus (HCV) genotype 1 infection and cirrhosis.\n\nMETHODS: In the Compassionate Use of Protease Inhibitors in Viral C Cirrhosis study, 511 patients with HCV genotype 1 infection and compensated cirrhosis who did not respond to a prior course of peginterferon and ribavirin (44.3% relapsers or patients with viral breakthrough, 44.8% partial responders, and 8.0% null responders) were given either telaprevir (n\u00a0= 299) or boceprevir (n\u00a0= 212) for 48 weeks. We assessed percentages of patients with sustained viral responses 12 weeks after therapy and safety. This observational study did not allow for direct comparison of the 2 regimens.\n\nRESULTS: Among patients given telaprevir, 74.2% of relapsers, 40.0% of partial responders, and 19.4% of null responders achieved SVR12. Among those given boceprevir, 53.9% of relapsers, 38.3% of partial responders, and none of the null responders achieved SVR12. In multivariate analysis, factors associated with SVR12 included prior response to treatment response, no lead-in phase, HCV subtype 1b (vs 1a), and baseline platelet count greater than 100,000/mm(3). Severe adverse events occurred in 49.9% of cases, including liver decompensation, severe infections in 10.4%, and death in 2.2%. In multivariate analysis, baseline serum albumin level less than 35 g/L and baseline platelet counts of 100,000/mm(3) or less predicted severe side effects or death.\n\nCONCLUSIONS: Relatively high percentages of real-life, treatment-experienced patients with HCV genotype 1 infection and cirrhosis respond to the combination of peginterferon and ribavirin with telaprevir or boceprevir. However, side effects are frequent and often severe. Baseline levels of albumin and platelet counts can be used to guide treatment decisions. ClinicalTrials.gov number: NCT01514890.", "author" : [ { "dropping-particle" : "", "family" : "H\u00e9zode", "given" : "Christophe", "non-dropping-particle" : "", "parse-names" : false, "suffix" : "" }, { "dropping-particle" : "", "family" : "Fontaine", "given" : "Helene", "non-dropping-particle" : "", "parse-names" : false, "suffix" : "" }, { "dropping-particle" : "", "family" : "Dorival", "given" : "Celine", "non-dropping-particle" : "", "parse-names" : false, "suffix" : "" }, { "dropping-particle" : "", "family" : "Zoulim", "given" : "Fabien", "non-dropping-particle" : "", "parse-names" : false, "suffix" : "" }, { "dropping-particle" : "", "family" : "Larrey", "given" : "Dominique", "non-dropping-particle" : "", "parse-names" : false, "suffix" : "" }, { "dropping-particle" : "", "family" : "Canva", "given" : "Valerie", "non-dropping-particle" : "", "parse-names" : false, "suffix" : "" }, { "dropping-particle" : "", "family" : "Ledinghen", "given" : "Victor", "non-dropping-particle" : "De", "parse-names" : false, "suffix" : "" }, { "dropping-particle" : "", "family" : "Poynard", "given" : "Thierry", "non-dropping-particle" : "", "parse-names" : false, "suffix" : "" }, { "dropping-particle" : "", "family" : "Samuel", "given" : "Didier", "non-dropping-particle" : "", "parse-names" : false, "suffix" : "" }, { "dropping-particle" : "", "family" : "Bourliere", "given" : "Marc", "non-dropping-particle" : "", "parse-names" : false, "suffix" : "" }, { "dropping-particle" : "", "family" : "Alric", "given" : "Laurent", "non-dropping-particle" : "", "parse-names" : false, "suffix" : "" }, { "dropping-particle" : "", "family" : "Raabe", "given" : "Jean-Jacques", "non-dropping-particle" : "", "parse-names" : false, "suffix" : "" }, { "dropping-particle" : "", "family" : "Zarski", "given" : "Jean-Pierre", "non-dropping-particle" : "", "parse-names" : false, "suffix" : "" }, { "dropping-particle" : "", "family" : "Marcellin", "given" : "Patrick", "non-dropping-particle" : "", "parse-names" : false, "suffix" : "" }, { "dropping-particle" : "", "family" : "Riachi", "given" : "Ghassan", "non-dropping-particle" : "", "parse-names" : false, "suffix" : "" }, { "dropping-particle" : "", "family" : "Bernard", "given" : "Pierre-Henri", "non-dropping-particle" : "", "parse-names" : false, "suffix" : "" }, { "dropping-particle" : "", "family" : "Loustaud-Ratti", "given" : "Veronique", "non-dropping-particle" : "", "parse-names" : false, "suffix" : "" }, { "dropping-particle" : "", "family" : "Chazouilleres", "given" : "Olivier", "non-dropping-particle" : "", "parse-names" : false, "suffix" : "" }, { "dropping-particle" : "", "family" : "Abergel", "given" : "Armand", "non-dropping-particle" : "", "parse-names" : false, "suffix" : "" }, { "dropping-particle" : "", "family" : "Guyader", "given" : "Dominique", "non-dropping-particle" : "", "parse-names" : false, "suffix" : "" }, { "dropping-particle" : "", "family" : "Metivier", "given" : "Sophie", "non-dropping-particle" : "", "parse-names" : false, "suffix" : "" }, { "dropping-particle" : "", "family" : "Tran", "given" : "Albert", "non-dropping-particle" : "", "parse-names" : false, "suffix" : "" }, { "dropping-particle" : "", "family" : "Martino", "given" : "Vincent", "non-dropping-particle" : "Di", "parse-names" : false, "suffix" : "" }, { "dropping-particle" : "", "family" : "Causse", "given" : "Xavier", "non-dropping-particle" : "", "parse-names" : false, "suffix" : "" }, { "dropping-particle" : "", "family" : "Dao", "given" : "Thong", "non-dropping-particle" : "", "parse-names" : false, "suffix" : "" }, { "dropping-particle" : "", "family" : "Lucidarme", "given" : "Damien", "non-dropping-particle" : "", "parse-names" : false, "suffix" : "" }, { "dropping-particle" : "", "family" : "Portal", "given" : "Isabelle", "non-dropping-particle" : "", "parse-names" : false, "suffix" : "" }, { "dropping-particle" : "", "family" : "Cacoub", "given" : "Patrice", "non-dropping-particle" : "", "parse-names" : false, "suffix" : "" }, { "dropping-particle" : "", "family" : "Gournay", "given" : "Jerome", "non-dropping-particle" : "", "parse-names" : false, "suffix" : "" }, { "dropping-particle" : "", "family" : "Grando-Lemaire", "given" : "Veronique", "non-dropping-particle" : "", "parse-names" : false, "suffix" : "" }, { "dropping-particle" : "", "family" : "Hillon", "given" : "Patrick", "non-dropping-particle" : "", "parse-names" : false, "suffix" : "" }, { "dropping-particle" : "", "family" : "Attali", "given" : "Pierre", "non-dropping-particle" : "", "parse-names" : false, "suffix" : "" }, { "dropping-particle" : "", "family" : "Fontanges", "given" : "Thierry", "non-dropping-particle" : "", "parse-names" : false, "suffix" : "" }, { "dropping-particle" : "", "family" : "Rosa", "given" : "Isabelle", "non-dropping-particle" : "", "parse-names" : false, "suffix" : "" }, { "dropping-particle" : "", "family" : "Petrov-Sanchez", "given" : "Ventzislava", "non-dropping-particle" : "", "parse-names" : false, "suffix" : "" }, { "dropping-particle" : "", "family" : "Barthe", "given" : "Yoann", "non-dropping-particle" : "", "parse-names" : false, "suffix" : "" }, { "dropping-particle" : "", "family" : "Pawlotsky", "given" : "Jean-Michel", "non-dropping-particle" : "", "parse-names" : false, "suffix" : "" }, { "dropping-particle" : "", "family" : "Pol", "given" : "Stanislas", "non-dropping-particle" : "", "parse-names" : false, "suffix" : "" }, { "dropping-particle" : "", "family" : "Carrat", "given" : "Fabrice", "non-dropping-particle" : "", "parse-names" : false, "suffix" : "" }, { "dropping-particle" : "", "family" : "Bronowicki", "given" : "Jean-Pierre", "non-dropping-particle" : "", "parse-names" : false, "suffix" : "" } ], "container-title" : "Gastroenterology", "id" : "ITEM-1", "issue" : "1", "issued" : { "date-parts" : [ [ "2014", "7" ] ] }, "page" : "132-142.e4", "title" : "Effectiveness of telaprevir or boceprevir in treatment-experienced patients with HCV genotype 1 infection and cirrhosis.", "type" : "article-journal", "volume" : "147" }, "uris" : [ "http://www.mendeley.com/documents/?uuid=71a25f70-566b-44f3-b34c-6e83c09a9979" ] } ], "mendeley" : { "formattedCitation" : "&lt;sup&gt;[50]&lt;/sup&gt;", "plainTextFormattedCitation" : "[50]", "previouslyFormattedCitation" : "&lt;sup&gt;[50]&lt;/sup&gt;" }, "properties" : { "noteIndex" : 0 }, "schema" : "https://github.com/citation-style-language/schema/raw/master/csl-citation.json" }</w:instrText>
      </w:r>
      <w:r w:rsidRPr="00CD1426">
        <w:rPr>
          <w:rFonts w:ascii="Book Antiqua" w:hAnsi="Book Antiqua" w:cs="Arial"/>
          <w:lang w:val="en-US"/>
        </w:rPr>
        <w:fldChar w:fldCharType="separate"/>
      </w:r>
      <w:r w:rsidR="001D4A08" w:rsidRPr="00CD1426">
        <w:rPr>
          <w:rFonts w:ascii="Book Antiqua" w:hAnsi="Book Antiqua" w:cs="Arial"/>
          <w:noProof/>
          <w:vertAlign w:val="superscript"/>
          <w:lang w:val="en-US"/>
        </w:rPr>
        <w:t>[50]</w:t>
      </w:r>
      <w:r w:rsidRPr="00CD1426">
        <w:rPr>
          <w:rFonts w:ascii="Book Antiqua" w:hAnsi="Book Antiqua" w:cs="Arial"/>
          <w:lang w:val="en-US"/>
        </w:rPr>
        <w:fldChar w:fldCharType="end"/>
      </w:r>
      <w:r w:rsidR="00AE459C" w:rsidRPr="00CD1426">
        <w:rPr>
          <w:rFonts w:ascii="Book Antiqua" w:hAnsi="Book Antiqua" w:cs="Arial"/>
          <w:lang w:val="en-US" w:eastAsia="zh-CN"/>
        </w:rPr>
        <w:t>.</w:t>
      </w:r>
    </w:p>
    <w:p w14:paraId="4C3FD28C" w14:textId="0E005B09" w:rsidR="002B302F" w:rsidRPr="00CD1426" w:rsidRDefault="002B302F" w:rsidP="00CD1426">
      <w:pPr>
        <w:tabs>
          <w:tab w:val="left" w:pos="0"/>
          <w:tab w:val="right" w:pos="540"/>
        </w:tabs>
        <w:spacing w:line="360" w:lineRule="auto"/>
        <w:ind w:firstLineChars="200" w:firstLine="480"/>
        <w:jc w:val="both"/>
        <w:rPr>
          <w:rFonts w:ascii="Book Antiqua" w:hAnsi="Book Antiqua" w:cs="Arial"/>
          <w:lang w:val="en-US" w:eastAsia="zh-CN"/>
        </w:rPr>
      </w:pPr>
      <w:r w:rsidRPr="00CD1426">
        <w:rPr>
          <w:rFonts w:ascii="Book Antiqua" w:hAnsi="Book Antiqua" w:cs="Arial"/>
          <w:lang w:val="en-US"/>
        </w:rPr>
        <w:t xml:space="preserve">In the </w:t>
      </w:r>
      <w:proofErr w:type="spellStart"/>
      <w:r w:rsidRPr="00CD1426">
        <w:rPr>
          <w:rFonts w:ascii="Book Antiqua" w:hAnsi="Book Antiqua" w:cs="Arial"/>
          <w:lang w:val="en-US"/>
        </w:rPr>
        <w:t>Cupic</w:t>
      </w:r>
      <w:proofErr w:type="spellEnd"/>
      <w:r w:rsidRPr="00CD1426">
        <w:rPr>
          <w:rFonts w:ascii="Book Antiqua" w:hAnsi="Book Antiqua" w:cs="Arial"/>
          <w:lang w:val="en-US"/>
        </w:rPr>
        <w:t xml:space="preserve"> study, the long follow-up period (60 </w:t>
      </w:r>
      <w:proofErr w:type="spellStart"/>
      <w:r w:rsidRPr="00CD1426">
        <w:rPr>
          <w:rFonts w:ascii="Book Antiqua" w:hAnsi="Book Antiqua" w:cs="Arial"/>
          <w:lang w:val="en-US"/>
        </w:rPr>
        <w:t>w</w:t>
      </w:r>
      <w:r w:rsidR="00B33120" w:rsidRPr="00CD1426">
        <w:rPr>
          <w:rFonts w:ascii="Book Antiqua" w:hAnsi="Book Antiqua" w:cs="Arial"/>
          <w:lang w:val="en-US"/>
        </w:rPr>
        <w:t>k</w:t>
      </w:r>
      <w:proofErr w:type="spellEnd"/>
      <w:r w:rsidRPr="00CD1426">
        <w:rPr>
          <w:rFonts w:ascii="Book Antiqua" w:hAnsi="Book Antiqua" w:cs="Arial"/>
          <w:lang w:val="en-US"/>
        </w:rPr>
        <w:t xml:space="preserve">) of subjects treated with </w:t>
      </w:r>
      <w:proofErr w:type="spellStart"/>
      <w:r w:rsidRPr="00CD1426">
        <w:rPr>
          <w:rFonts w:ascii="Book Antiqua" w:hAnsi="Book Antiqua" w:cs="Arial"/>
          <w:lang w:val="en-US"/>
        </w:rPr>
        <w:t>telaprevir</w:t>
      </w:r>
      <w:proofErr w:type="spellEnd"/>
      <w:r w:rsidRPr="00CD1426">
        <w:rPr>
          <w:rFonts w:ascii="Book Antiqua" w:hAnsi="Book Antiqua" w:cs="Arial"/>
          <w:lang w:val="en-US"/>
        </w:rPr>
        <w:t xml:space="preserve"> or </w:t>
      </w:r>
      <w:proofErr w:type="spellStart"/>
      <w:r w:rsidRPr="00CD1426">
        <w:rPr>
          <w:rFonts w:ascii="Book Antiqua" w:hAnsi="Book Antiqua" w:cs="Arial"/>
          <w:lang w:val="en-US"/>
        </w:rPr>
        <w:t>boceprevir</w:t>
      </w:r>
      <w:proofErr w:type="spellEnd"/>
      <w:r w:rsidRPr="00CD1426">
        <w:rPr>
          <w:rFonts w:ascii="Book Antiqua" w:hAnsi="Book Antiqua" w:cs="Arial"/>
          <w:lang w:val="en-US"/>
        </w:rPr>
        <w:t xml:space="preserve"> revealed a large number of serious adverse events (SAE), such as severe infection or hepatic decompensation and death in 10.6% of patients. These SAE were attributed, in part, to a higher mean age of the study population compared to phase 3 studies, as well as a more severe liver disease and portal hypertension. Therefore, treatment with first-generation DAA is </w:t>
      </w:r>
      <w:r w:rsidR="00CF6E39" w:rsidRPr="00CD1426">
        <w:rPr>
          <w:rFonts w:ascii="Book Antiqua" w:hAnsi="Book Antiqua" w:cs="Arial"/>
          <w:lang w:val="en-US"/>
        </w:rPr>
        <w:t>not recommended</w:t>
      </w:r>
      <w:r w:rsidRPr="00CD1426">
        <w:rPr>
          <w:rFonts w:ascii="Book Antiqua" w:hAnsi="Book Antiqua" w:cs="Arial"/>
          <w:lang w:val="en-US"/>
        </w:rPr>
        <w:t xml:space="preserve"> for patients with advanced cirrhosis </w:t>
      </w:r>
      <w:r w:rsidR="00AE459C" w:rsidRPr="00CD1426">
        <w:rPr>
          <w:rFonts w:ascii="Book Antiqua" w:hAnsi="Book Antiqua" w:cs="Arial"/>
          <w:lang w:val="en-US"/>
        </w:rPr>
        <w:t>and severe portal hypertension</w:t>
      </w:r>
      <w:r w:rsidRPr="00CD1426">
        <w:rPr>
          <w:rFonts w:ascii="Book Antiqua" w:hAnsi="Book Antiqua" w:cs="Arial"/>
          <w:lang w:val="en-US"/>
        </w:rPr>
        <w:fldChar w:fldCharType="begin" w:fldLock="1"/>
      </w:r>
      <w:r w:rsidR="001D4A08" w:rsidRPr="00CD1426">
        <w:rPr>
          <w:rFonts w:ascii="Book Antiqua" w:hAnsi="Book Antiqua" w:cs="Arial"/>
          <w:lang w:val="en-US"/>
        </w:rPr>
        <w:instrText>ADDIN CSL_CITATION { "citationItems" : [ { "id" : "ITEM-1", "itemData" : { "DOI" : "10.1053/j.gastro.2014.03.051", "ISSN" : "1528-0012", "PMID" : "24704719", "abstract" : "BACKGROUND &amp; AIMS: We investigated the effectiveness of the protease inhibitors peginterferon and ribavirin in treatment-experienced patients with hepatitis C virus (HCV) genotype 1 infection and cirrhosis.\n\nMETHODS: In the Compassionate Use of Protease Inhibitors in Viral C Cirrhosis study, 511 patients with HCV genotype 1 infection and compensated cirrhosis who did not respond to a prior course of peginterferon and ribavirin (44.3% relapsers or patients with viral breakthrough, 44.8% partial responders, and 8.0% null responders) were given either telaprevir (n\u00a0= 299) or boceprevir (n\u00a0= 212) for 48 weeks. We assessed percentages of patients with sustained viral responses 12 weeks after therapy and safety. This observational study did not allow for direct comparison of the 2 regimens.\n\nRESULTS: Among patients given telaprevir, 74.2% of relapsers, 40.0% of partial responders, and 19.4% of null responders achieved SVR12. Among those given boceprevir, 53.9% of relapsers, 38.3% of partial responders, and none of the null responders achieved SVR12. In multivariate analysis, factors associated with SVR12 included prior response to treatment response, no lead-in phase, HCV subtype 1b (vs 1a), and baseline platelet count greater than 100,000/mm(3). Severe adverse events occurred in 49.9% of cases, including liver decompensation, severe infections in 10.4%, and death in 2.2%. In multivariate analysis, baseline serum albumin level less than 35 g/L and baseline platelet counts of 100,000/mm(3) or less predicted severe side effects or death.\n\nCONCLUSIONS: Relatively high percentages of real-life, treatment-experienced patients with HCV genotype 1 infection and cirrhosis respond to the combination of peginterferon and ribavirin with telaprevir or boceprevir. However, side effects are frequent and often severe. Baseline levels of albumin and platelet counts can be used to guide treatment decisions. ClinicalTrials.gov number: NCT01514890.", "author" : [ { "dropping-particle" : "", "family" : "H\u00e9zode", "given" : "Christophe", "non-dropping-particle" : "", "parse-names" : false, "suffix" : "" }, { "dropping-particle" : "", "family" : "Fontaine", "given" : "Helene", "non-dropping-particle" : "", "parse-names" : false, "suffix" : "" }, { "dropping-particle" : "", "family" : "Dorival", "given" : "Celine", "non-dropping-particle" : "", "parse-names" : false, "suffix" : "" }, { "dropping-particle" : "", "family" : "Zoulim", "given" : "Fabien", "non-dropping-particle" : "", "parse-names" : false, "suffix" : "" }, { "dropping-particle" : "", "family" : "Larrey", "given" : "Dominique", "non-dropping-particle" : "", "parse-names" : false, "suffix" : "" }, { "dropping-particle" : "", "family" : "Canva", "given" : "Valerie", "non-dropping-particle" : "", "parse-names" : false, "suffix" : "" }, { "dropping-particle" : "", "family" : "Ledinghen", "given" : "Victor", "non-dropping-particle" : "De", "parse-names" : false, "suffix" : "" }, { "dropping-particle" : "", "family" : "Poynard", "given" : "Thierry", "non-dropping-particle" : "", "parse-names" : false, "suffix" : "" }, { "dropping-particle" : "", "family" : "Samuel", "given" : "Didier", "non-dropping-particle" : "", "parse-names" : false, "suffix" : "" }, { "dropping-particle" : "", "family" : "Bourliere", "given" : "Marc", "non-dropping-particle" : "", "parse-names" : false, "suffix" : "" }, { "dropping-particle" : "", "family" : "Alric", "given" : "Laurent", "non-dropping-particle" : "", "parse-names" : false, "suffix" : "" }, { "dropping-particle" : "", "family" : "Raabe", "given" : "Jean-Jacques", "non-dropping-particle" : "", "parse-names" : false, "suffix" : "" }, { "dropping-particle" : "", "family" : "Zarski", "given" : "Jean-Pierre", "non-dropping-particle" : "", "parse-names" : false, "suffix" : "" }, { "dropping-particle" : "", "family" : "Marcellin", "given" : "Patrick", "non-dropping-particle" : "", "parse-names" : false, "suffix" : "" }, { "dropping-particle" : "", "family" : "Riachi", "given" : "Ghassan", "non-dropping-particle" : "", "parse-names" : false, "suffix" : "" }, { "dropping-particle" : "", "family" : "Bernard", "given" : "Pierre-Henri", "non-dropping-particle" : "", "parse-names" : false, "suffix" : "" }, { "dropping-particle" : "", "family" : "Loustaud-Ratti", "given" : "Veronique", "non-dropping-particle" : "", "parse-names" : false, "suffix" : "" }, { "dropping-particle" : "", "family" : "Chazouilleres", "given" : "Olivier", "non-dropping-particle" : "", "parse-names" : false, "suffix" : "" }, { "dropping-particle" : "", "family" : "Abergel", "given" : "Armand", "non-dropping-particle" : "", "parse-names" : false, "suffix" : "" }, { "dropping-particle" : "", "family" : "Guyader", "given" : "Dominique", "non-dropping-particle" : "", "parse-names" : false, "suffix" : "" }, { "dropping-particle" : "", "family" : "Metivier", "given" : "Sophie", "non-dropping-particle" : "", "parse-names" : false, "suffix" : "" }, { "dropping-particle" : "", "family" : "Tran", "given" : "Albert", "non-dropping-particle" : "", "parse-names" : false, "suffix" : "" }, { "dropping-particle" : "", "family" : "Martino", "given" : "Vincent", "non-dropping-particle" : "Di", "parse-names" : false, "suffix" : "" }, { "dropping-particle" : "", "family" : "Causse", "given" : "Xavier", "non-dropping-particle" : "", "parse-names" : false, "suffix" : "" }, { "dropping-particle" : "", "family" : "Dao", "given" : "Thong", "non-dropping-particle" : "", "parse-names" : false, "suffix" : "" }, { "dropping-particle" : "", "family" : "Lucidarme", "given" : "Damien", "non-dropping-particle" : "", "parse-names" : false, "suffix" : "" }, { "dropping-particle" : "", "family" : "Portal", "given" : "Isabelle", "non-dropping-particle" : "", "parse-names" : false, "suffix" : "" }, { "dropping-particle" : "", "family" : "Cacoub", "given" : "Patrice", "non-dropping-particle" : "", "parse-names" : false, "suffix" : "" }, { "dropping-particle" : "", "family" : "Gournay", "given" : "Jerome", "non-dropping-particle" : "", "parse-names" : false, "suffix" : "" }, { "dropping-particle" : "", "family" : "Grando-Lemaire", "given" : "Veronique", "non-dropping-particle" : "", "parse-names" : false, "suffix" : "" }, { "dropping-particle" : "", "family" : "Hillon", "given" : "Patrick", "non-dropping-particle" : "", "parse-names" : false, "suffix" : "" }, { "dropping-particle" : "", "family" : "Attali", "given" : "Pierre", "non-dropping-particle" : "", "parse-names" : false, "suffix" : "" }, { "dropping-particle" : "", "family" : "Fontanges", "given" : "Thierry", "non-dropping-particle" : "", "parse-names" : false, "suffix" : "" }, { "dropping-particle" : "", "family" : "Rosa", "given" : "Isabelle", "non-dropping-particle" : "", "parse-names" : false, "suffix" : "" }, { "dropping-particle" : "", "family" : "Petrov-Sanchez", "given" : "Ventzislava", "non-dropping-particle" : "", "parse-names" : false, "suffix" : "" }, { "dropping-particle" : "", "family" : "Barthe", "given" : "Yoann", "non-dropping-particle" : "", "parse-names" : false, "suffix" : "" }, { "dropping-particle" : "", "family" : "Pawlotsky", "given" : "Jean-Michel", "non-dropping-particle" : "", "parse-names" : false, "suffix" : "" }, { "dropping-particle" : "", "family" : "Pol", "given" : "Stanislas", "non-dropping-particle" : "", "parse-names" : false, "suffix" : "" }, { "dropping-particle" : "", "family" : "Carrat", "given" : "Fabrice", "non-dropping-particle" : "", "parse-names" : false, "suffix" : "" }, { "dropping-particle" : "", "family" : "Bronowicki", "given" : "Jean-Pierre", "non-dropping-particle" : "", "parse-names" : false, "suffix" : "" } ], "container-title" : "Gastroenterology", "id" : "ITEM-1", "issue" : "1", "issued" : { "date-parts" : [ [ "2014", "7" ] ] }, "page" : "132-142.e4", "title" : "Effectiveness of telaprevir or boceprevir in treatment-experienced patients with HCV genotype 1 infection and cirrhosis.", "type" : "article-journal", "volume" : "147" }, "uris" : [ "http://www.mendeley.com/documents/?uuid=71a25f70-566b-44f3-b34c-6e83c09a9979" ] } ], "mendeley" : { "formattedCitation" : "&lt;sup&gt;[50]&lt;/sup&gt;", "plainTextFormattedCitation" : "[50]", "previouslyFormattedCitation" : "&lt;sup&gt;[50]&lt;/sup&gt;" }, "properties" : { "noteIndex" : 0 }, "schema" : "https://github.com/citation-style-language/schema/raw/master/csl-citation.json" }</w:instrText>
      </w:r>
      <w:r w:rsidRPr="00CD1426">
        <w:rPr>
          <w:rFonts w:ascii="Book Antiqua" w:hAnsi="Book Antiqua" w:cs="Arial"/>
          <w:lang w:val="en-US"/>
        </w:rPr>
        <w:fldChar w:fldCharType="separate"/>
      </w:r>
      <w:r w:rsidR="001D4A08" w:rsidRPr="00CD1426">
        <w:rPr>
          <w:rFonts w:ascii="Book Antiqua" w:hAnsi="Book Antiqua" w:cs="Arial"/>
          <w:noProof/>
          <w:vertAlign w:val="superscript"/>
          <w:lang w:val="en-US"/>
        </w:rPr>
        <w:t>[50]</w:t>
      </w:r>
      <w:r w:rsidRPr="00CD1426">
        <w:rPr>
          <w:rFonts w:ascii="Book Antiqua" w:hAnsi="Book Antiqua" w:cs="Arial"/>
          <w:lang w:val="en-US"/>
        </w:rPr>
        <w:fldChar w:fldCharType="end"/>
      </w:r>
      <w:r w:rsidR="00AE459C" w:rsidRPr="00CD1426">
        <w:rPr>
          <w:rFonts w:ascii="Book Antiqua" w:hAnsi="Book Antiqua" w:cs="Arial"/>
          <w:lang w:val="en-US" w:eastAsia="zh-CN"/>
        </w:rPr>
        <w:t>.</w:t>
      </w:r>
    </w:p>
    <w:p w14:paraId="477D1B67" w14:textId="77777777" w:rsidR="002B302F" w:rsidRPr="00CD1426" w:rsidRDefault="002B302F" w:rsidP="00CD1426">
      <w:pPr>
        <w:tabs>
          <w:tab w:val="right" w:pos="540"/>
          <w:tab w:val="left" w:pos="720"/>
        </w:tabs>
        <w:spacing w:line="360" w:lineRule="auto"/>
        <w:jc w:val="both"/>
        <w:rPr>
          <w:rFonts w:ascii="Book Antiqua" w:hAnsi="Book Antiqua" w:cs="Arial"/>
          <w:i/>
          <w:lang w:val="en-US"/>
        </w:rPr>
      </w:pPr>
    </w:p>
    <w:p w14:paraId="25911064" w14:textId="77777777" w:rsidR="002B302F" w:rsidRPr="00CD1426" w:rsidRDefault="002B302F" w:rsidP="00CD1426">
      <w:pPr>
        <w:tabs>
          <w:tab w:val="right" w:pos="540"/>
          <w:tab w:val="left" w:pos="720"/>
        </w:tabs>
        <w:spacing w:line="360" w:lineRule="auto"/>
        <w:jc w:val="both"/>
        <w:rPr>
          <w:rFonts w:ascii="Book Antiqua" w:hAnsi="Book Antiqua" w:cs="Arial"/>
          <w:b/>
          <w:i/>
          <w:lang w:val="en-US"/>
        </w:rPr>
      </w:pPr>
      <w:r w:rsidRPr="00CD1426">
        <w:rPr>
          <w:rFonts w:ascii="Book Antiqua" w:hAnsi="Book Antiqua" w:cs="Arial"/>
          <w:b/>
          <w:i/>
          <w:lang w:val="en-US"/>
        </w:rPr>
        <w:t>First wave DAA and drug resistance</w:t>
      </w:r>
    </w:p>
    <w:p w14:paraId="492E9B3A" w14:textId="7435B6A1" w:rsidR="002B302F" w:rsidRPr="00CD1426" w:rsidRDefault="002B302F" w:rsidP="00CD1426">
      <w:pPr>
        <w:shd w:val="clear" w:color="auto" w:fill="FFFFFF"/>
        <w:spacing w:line="360" w:lineRule="auto"/>
        <w:jc w:val="both"/>
        <w:rPr>
          <w:rFonts w:ascii="Book Antiqua" w:hAnsi="Book Antiqua" w:cs="Arial"/>
          <w:lang w:val="en-US"/>
        </w:rPr>
      </w:pPr>
      <w:r w:rsidRPr="00CD1426">
        <w:rPr>
          <w:rFonts w:ascii="Book Antiqua" w:hAnsi="Book Antiqua" w:cs="Arial"/>
          <w:lang w:val="en-US"/>
        </w:rPr>
        <w:t xml:space="preserve">The emergence of drug-resistant variants is a concern with the utilization of antiviral drugs. A large amount of genetically different variants, or viral </w:t>
      </w:r>
      <w:proofErr w:type="spellStart"/>
      <w:r w:rsidRPr="00CD1426">
        <w:rPr>
          <w:rFonts w:ascii="Book Antiqua" w:hAnsi="Book Antiqua" w:cs="Arial"/>
          <w:lang w:val="en-US"/>
        </w:rPr>
        <w:t>quasispecies</w:t>
      </w:r>
      <w:proofErr w:type="spellEnd"/>
      <w:r w:rsidRPr="00CD1426">
        <w:rPr>
          <w:rFonts w:ascii="Book Antiqua" w:hAnsi="Book Antiqua" w:cs="Arial"/>
          <w:lang w:val="en-US"/>
        </w:rPr>
        <w:t xml:space="preserve"> may occur in a unique individual, considering that about 10</w:t>
      </w:r>
      <w:r w:rsidRPr="00CD1426">
        <w:rPr>
          <w:rFonts w:ascii="Book Antiqua" w:hAnsi="Book Antiqua" w:cs="Arial"/>
          <w:vertAlign w:val="superscript"/>
          <w:lang w:val="en-US"/>
        </w:rPr>
        <w:t>12</w:t>
      </w:r>
      <w:r w:rsidRPr="00CD1426">
        <w:rPr>
          <w:rFonts w:ascii="Book Antiqua" w:hAnsi="Book Antiqua" w:cs="Arial"/>
          <w:lang w:val="en-US"/>
        </w:rPr>
        <w:t xml:space="preserve"> hepatitis C </w:t>
      </w:r>
      <w:proofErr w:type="spellStart"/>
      <w:r w:rsidRPr="00CD1426">
        <w:rPr>
          <w:rFonts w:ascii="Book Antiqua" w:hAnsi="Book Antiqua" w:cs="Arial"/>
          <w:lang w:val="en-US"/>
        </w:rPr>
        <w:t>virion</w:t>
      </w:r>
      <w:proofErr w:type="spellEnd"/>
      <w:r w:rsidRPr="00CD1426">
        <w:rPr>
          <w:rFonts w:ascii="Book Antiqua" w:hAnsi="Book Antiqua" w:cs="Arial"/>
          <w:lang w:val="en-US"/>
        </w:rPr>
        <w:t xml:space="preserve"> are produced daily with a mutation rate of approximately 1</w:t>
      </w:r>
      <w:r w:rsidR="00AE459C" w:rsidRPr="00CD1426">
        <w:rPr>
          <w:rFonts w:ascii="Book Antiqua" w:hAnsi="Book Antiqua" w:cs="Arial"/>
          <w:lang w:val="en-US" w:eastAsia="zh-CN"/>
        </w:rPr>
        <w:t xml:space="preserve">  × </w:t>
      </w:r>
      <w:r w:rsidRPr="00CD1426">
        <w:rPr>
          <w:rFonts w:ascii="Book Antiqua" w:hAnsi="Book Antiqua" w:cs="Arial"/>
          <w:lang w:val="en-US"/>
        </w:rPr>
        <w:t>10</w:t>
      </w:r>
      <w:r w:rsidRPr="00CD1426">
        <w:rPr>
          <w:rFonts w:ascii="Book Antiqua" w:hAnsi="Book Antiqua" w:cs="Arial"/>
          <w:vertAlign w:val="superscript"/>
          <w:lang w:val="en-US"/>
        </w:rPr>
        <w:t>4</w:t>
      </w:r>
      <w:r w:rsidRPr="00CD1426">
        <w:rPr>
          <w:rFonts w:ascii="Book Antiqua" w:hAnsi="Book Antiqua" w:cs="Arial"/>
          <w:lang w:val="en-US"/>
        </w:rPr>
        <w:t xml:space="preserve"> to 1</w:t>
      </w:r>
      <w:r w:rsidR="00AE459C" w:rsidRPr="00CD1426">
        <w:rPr>
          <w:rFonts w:ascii="Book Antiqua" w:hAnsi="Book Antiqua" w:cs="Arial"/>
          <w:lang w:val="en-US" w:eastAsia="zh-CN"/>
        </w:rPr>
        <w:t xml:space="preserve"> </w:t>
      </w:r>
      <w:r w:rsidR="006074EB" w:rsidRPr="00CD1426">
        <w:rPr>
          <w:rFonts w:ascii="Book Antiqua" w:hAnsi="Book Antiqua" w:cs="Arial"/>
          <w:lang w:val="en-US" w:eastAsia="zh-CN"/>
        </w:rPr>
        <w:t>×</w:t>
      </w:r>
      <w:r w:rsidR="00AE459C" w:rsidRPr="00CD1426">
        <w:rPr>
          <w:rFonts w:ascii="Book Antiqua" w:hAnsi="Book Antiqua" w:cs="Arial"/>
          <w:lang w:val="en-US" w:eastAsia="zh-CN"/>
        </w:rPr>
        <w:t xml:space="preserve"> </w:t>
      </w:r>
      <w:r w:rsidRPr="00CD1426">
        <w:rPr>
          <w:rFonts w:ascii="Book Antiqua" w:hAnsi="Book Antiqua" w:cs="Arial"/>
          <w:lang w:val="en-US"/>
        </w:rPr>
        <w:t>10</w:t>
      </w:r>
      <w:r w:rsidRPr="00CD1426">
        <w:rPr>
          <w:rFonts w:ascii="Book Antiqua" w:hAnsi="Book Antiqua" w:cs="Arial"/>
          <w:vertAlign w:val="superscript"/>
          <w:lang w:val="en-US"/>
        </w:rPr>
        <w:t>-5</w:t>
      </w:r>
      <w:r w:rsidRPr="00CD1426">
        <w:rPr>
          <w:rFonts w:ascii="Book Antiqua" w:hAnsi="Book Antiqua" w:cs="Arial"/>
          <w:lang w:val="en-US"/>
        </w:rPr>
        <w:t xml:space="preserve"> per nucleotides</w:t>
      </w:r>
      <w:r w:rsidRPr="00CD1426">
        <w:rPr>
          <w:rFonts w:ascii="Book Antiqua" w:hAnsi="Book Antiqua" w:cs="Arial"/>
          <w:lang w:val="en-US"/>
        </w:rPr>
        <w:fldChar w:fldCharType="begin" w:fldLock="1"/>
      </w:r>
      <w:r w:rsidR="001D4A08" w:rsidRPr="00CD1426">
        <w:rPr>
          <w:rFonts w:ascii="Book Antiqua" w:hAnsi="Book Antiqua" w:cs="Arial"/>
          <w:lang w:val="en-US"/>
        </w:rPr>
        <w:instrText>ADDIN CSL_CITATION { "citationItems" : [ { "id" : "ITEM-1", "itemData" : { "ISSN" : "0036-8075", "PMID" : "9756471", "abstract" : "To better understand the dynamics of hepatitis C virus and the antiviral effect of interferon-alpha-2b (IFN), viral decline in 23 patients during therapy was analyzed with a mathematical model. The analysis indicates that the major initial effect of IFN is to block virion production or release, with blocking efficacies of 81, 95, and 96% for daily doses of 5, 10, and 15 million international units, respectively. The estimated virion half-life (t1/2) was, on average, 2.7 hours, with pretreatment production and clearance of 10(12) virions per day. The estimated infected cell death rate exhibited large interpatient variation (corresponding t1/2 = 1.7 to 70 days), was inversely correlated with baseline viral load, and was positively correlated with alanine aminotransferase levels. Fast death rates were predictive of virus being undetectable by polymerase chain reaction at 3 months. These findings show that infection with hepatitis C virus is highly dynamic and that early monitoring of viral load can help guide therapy.", "author" : [ { "dropping-particle" : "", "family" : "Neumann", "given" : "A U", "non-dropping-particle" : "", "parse-names" : false, "suffix" : "" }, { "dropping-particle" : "", "family" : "Lam", "given" : "N P", "non-dropping-particle" : "", "parse-names" : false, "suffix" : "" }, { "dropping-particle" : "", "family" : "Dahari", "given" : "H", "non-dropping-particle" : "", "parse-names" : false, "suffix" : "" }, { "dropping-particle" : "", "family" : "Gretch", "given" : "D R", "non-dropping-particle" : "", "parse-names" : false, "suffix" : "" }, { "dropping-particle" : "", "family" : "Wiley", "given" : "T E", "non-dropping-particle" : "", "parse-names" : false, "suffix" : "" }, { "dropping-particle" : "", "family" : "Layden", "given" : "T J", "non-dropping-particle" : "", "parse-names" : false, "suffix" : "" }, { "dropping-particle" : "", "family" : "Perelson", "given" : "A S", "non-dropping-particle" : "", "parse-names" : false, "suffix" : "" } ], "container-title" : "Science (New York, N.Y.)", "id" : "ITEM-1", "issue" : "5386", "issued" : { "date-parts" : [ [ "1998", "10", "2" ] ] }, "page" : "103-7", "title" : "Hepatitis C viral dynamics in vivo and the antiviral efficacy of interferon-alpha therapy.", "type" : "article-journal", "volume" : "282" }, "uris" : [ "http://www.mendeley.com/documents/?uuid=3eb7b36c-ce3a-4f3b-ab86-9a86f72d88fe" ] } ], "mendeley" : { "formattedCitation" : "&lt;sup&gt;[51]&lt;/sup&gt;", "plainTextFormattedCitation" : "[51]", "previouslyFormattedCitation" : "&lt;sup&gt;[51]&lt;/sup&gt;" }, "properties" : { "noteIndex" : 0 }, "schema" : "https://github.com/citation-style-language/schema/raw/master/csl-citation.json" }</w:instrText>
      </w:r>
      <w:r w:rsidRPr="00CD1426">
        <w:rPr>
          <w:rFonts w:ascii="Book Antiqua" w:hAnsi="Book Antiqua" w:cs="Arial"/>
          <w:lang w:val="en-US"/>
        </w:rPr>
        <w:fldChar w:fldCharType="separate"/>
      </w:r>
      <w:r w:rsidR="001D4A08" w:rsidRPr="00CD1426">
        <w:rPr>
          <w:rFonts w:ascii="Book Antiqua" w:hAnsi="Book Antiqua" w:cs="Arial"/>
          <w:noProof/>
          <w:vertAlign w:val="superscript"/>
          <w:lang w:val="en-US"/>
        </w:rPr>
        <w:t>[51]</w:t>
      </w:r>
      <w:r w:rsidRPr="00CD1426">
        <w:rPr>
          <w:rFonts w:ascii="Book Antiqua" w:hAnsi="Book Antiqua" w:cs="Arial"/>
          <w:lang w:val="en-US"/>
        </w:rPr>
        <w:fldChar w:fldCharType="end"/>
      </w:r>
      <w:r w:rsidR="00AE459C" w:rsidRPr="00CD1426">
        <w:rPr>
          <w:rFonts w:ascii="Book Antiqua" w:hAnsi="Book Antiqua" w:cs="Arial"/>
          <w:lang w:val="en-US" w:eastAsia="zh-CN"/>
        </w:rPr>
        <w:t>.</w:t>
      </w:r>
      <w:r w:rsidRPr="00CD1426">
        <w:rPr>
          <w:rFonts w:ascii="Book Antiqua" w:hAnsi="Book Antiqua" w:cs="Arial"/>
          <w:lang w:val="en-US"/>
        </w:rPr>
        <w:t xml:space="preserve"> These resistant variants can be selected in antiviral treatment as the level of wild-type HCV decreases. </w:t>
      </w:r>
    </w:p>
    <w:p w14:paraId="1C05E42D" w14:textId="6196B012" w:rsidR="002B302F" w:rsidRPr="00CD1426" w:rsidRDefault="002B302F" w:rsidP="00CD1426">
      <w:pPr>
        <w:widowControl w:val="0"/>
        <w:autoSpaceDE w:val="0"/>
        <w:autoSpaceDN w:val="0"/>
        <w:adjustRightInd w:val="0"/>
        <w:spacing w:line="360" w:lineRule="auto"/>
        <w:ind w:firstLineChars="200" w:firstLine="480"/>
        <w:jc w:val="both"/>
        <w:rPr>
          <w:rFonts w:ascii="Book Antiqua" w:hAnsi="Book Antiqua" w:cs="Arial"/>
          <w:lang w:val="en-US"/>
        </w:rPr>
      </w:pPr>
      <w:r w:rsidRPr="00CD1426">
        <w:rPr>
          <w:rFonts w:ascii="Book Antiqua" w:hAnsi="Book Antiqua" w:cs="Arial"/>
          <w:lang w:val="en-US"/>
        </w:rPr>
        <w:t xml:space="preserve">The most common resistance variants related to therapy failure are comparable for </w:t>
      </w:r>
      <w:proofErr w:type="spellStart"/>
      <w:r w:rsidRPr="00CD1426">
        <w:rPr>
          <w:rFonts w:ascii="Book Antiqua" w:hAnsi="Book Antiqua" w:cs="Arial"/>
          <w:lang w:val="en-US"/>
        </w:rPr>
        <w:t>telaprevir</w:t>
      </w:r>
      <w:proofErr w:type="spellEnd"/>
      <w:r w:rsidRPr="00CD1426">
        <w:rPr>
          <w:rFonts w:ascii="Book Antiqua" w:hAnsi="Book Antiqua" w:cs="Arial"/>
          <w:lang w:val="en-US"/>
        </w:rPr>
        <w:t xml:space="preserve"> and </w:t>
      </w:r>
      <w:proofErr w:type="spellStart"/>
      <w:r w:rsidRPr="00CD1426">
        <w:rPr>
          <w:rFonts w:ascii="Book Antiqua" w:hAnsi="Book Antiqua" w:cs="Arial"/>
          <w:lang w:val="en-US"/>
        </w:rPr>
        <w:t>boceprevir</w:t>
      </w:r>
      <w:proofErr w:type="spellEnd"/>
      <w:r w:rsidRPr="00CD1426">
        <w:rPr>
          <w:rFonts w:ascii="Book Antiqua" w:hAnsi="Book Antiqua" w:cs="Arial"/>
          <w:lang w:val="en-US"/>
        </w:rPr>
        <w:t>. V36A/M, T54A/S, R155K/T and A156S/T are clinically expressive variants t</w:t>
      </w:r>
      <w:r w:rsidR="006074EB" w:rsidRPr="00CD1426">
        <w:rPr>
          <w:rFonts w:ascii="Book Antiqua" w:hAnsi="Book Antiqua" w:cs="Arial"/>
          <w:lang w:val="en-US"/>
        </w:rPr>
        <w:t>hat are resistant to both drugs</w:t>
      </w:r>
      <w:r w:rsidRPr="00CD1426">
        <w:rPr>
          <w:rFonts w:ascii="Book Antiqua" w:hAnsi="Book Antiqua" w:cs="Arial"/>
          <w:lang w:val="en-US"/>
        </w:rPr>
        <w:fldChar w:fldCharType="begin" w:fldLock="1"/>
      </w:r>
      <w:r w:rsidR="001D4A08" w:rsidRPr="00CD1426">
        <w:rPr>
          <w:rFonts w:ascii="Book Antiqua" w:hAnsi="Book Antiqua" w:cs="Arial"/>
          <w:lang w:val="en-US"/>
        </w:rPr>
        <w:instrText>ADDIN CSL_CITATION { "citationItems" : [ { "id" : "ITEM-1", "itemData" : { "id" : "ITEM-1", "issued" : { "date-parts" : [ [ "2013" ] ] }, "title" : "(Victrelis (boceprevir) [package insert]. Whitehouse Station, NJ: Merck Sharp &amp; Dohme Corp., a subsidiary of Merck &amp; Co., Inc", "type" : "report" }, "uris" : [ "http://www.mendeley.com/documents/?uuid=4b46db6f-e1b0-4415-8e32-e28210614827" ] } ], "mendeley" : { "formattedCitation" : "&lt;sup&gt;[52]&lt;/sup&gt;", "plainTextFormattedCitation" : "[52]", "previouslyFormattedCitation" : "&lt;sup&gt;[52]&lt;/sup&gt;" }, "properties" : { "noteIndex" : 0 }, "schema" : "https://github.com/citation-style-language/schema/raw/master/csl-citation.json" }</w:instrText>
      </w:r>
      <w:r w:rsidRPr="00CD1426">
        <w:rPr>
          <w:rFonts w:ascii="Book Antiqua" w:hAnsi="Book Antiqua" w:cs="Arial"/>
          <w:lang w:val="en-US"/>
        </w:rPr>
        <w:fldChar w:fldCharType="separate"/>
      </w:r>
      <w:r w:rsidR="001D4A08" w:rsidRPr="00CD1426">
        <w:rPr>
          <w:rFonts w:ascii="Book Antiqua" w:hAnsi="Book Antiqua" w:cs="Arial"/>
          <w:noProof/>
          <w:vertAlign w:val="superscript"/>
          <w:lang w:val="en-US"/>
        </w:rPr>
        <w:t>[52]</w:t>
      </w:r>
      <w:r w:rsidRPr="00CD1426">
        <w:rPr>
          <w:rFonts w:ascii="Book Antiqua" w:hAnsi="Book Antiqua" w:cs="Arial"/>
          <w:lang w:val="en-US"/>
        </w:rPr>
        <w:fldChar w:fldCharType="end"/>
      </w:r>
      <w:r w:rsidR="006074EB" w:rsidRPr="00CD1426">
        <w:rPr>
          <w:rFonts w:ascii="Book Antiqua" w:hAnsi="Book Antiqua" w:cs="Arial"/>
          <w:lang w:val="en-US" w:eastAsia="zh-CN"/>
        </w:rPr>
        <w:t>.</w:t>
      </w:r>
      <w:r w:rsidRPr="00CD1426">
        <w:rPr>
          <w:rFonts w:ascii="Book Antiqua" w:hAnsi="Book Antiqua" w:cs="Arial"/>
          <w:lang w:val="en-US"/>
        </w:rPr>
        <w:t xml:space="preserve"> The V55A and A156V are variants associated with </w:t>
      </w:r>
      <w:proofErr w:type="spellStart"/>
      <w:r w:rsidRPr="00CD1426">
        <w:rPr>
          <w:rFonts w:ascii="Book Antiqua" w:hAnsi="Book Antiqua" w:cs="Arial"/>
          <w:lang w:val="en-US"/>
        </w:rPr>
        <w:t>boceprevir</w:t>
      </w:r>
      <w:proofErr w:type="spellEnd"/>
      <w:r w:rsidRPr="00CD1426">
        <w:rPr>
          <w:rFonts w:ascii="Book Antiqua" w:hAnsi="Book Antiqua" w:cs="Arial"/>
          <w:lang w:val="en-US"/>
        </w:rPr>
        <w:t xml:space="preserve"> only. In patients treated with </w:t>
      </w:r>
      <w:proofErr w:type="spellStart"/>
      <w:r w:rsidRPr="00CD1426">
        <w:rPr>
          <w:rFonts w:ascii="Book Antiqua" w:hAnsi="Book Antiqua" w:cs="Arial"/>
          <w:lang w:val="en-US"/>
        </w:rPr>
        <w:t>telaprevir</w:t>
      </w:r>
      <w:proofErr w:type="spellEnd"/>
      <w:r w:rsidRPr="00CD1426">
        <w:rPr>
          <w:rFonts w:ascii="Book Antiqua" w:hAnsi="Book Antiqua" w:cs="Arial"/>
          <w:lang w:val="en-US"/>
        </w:rPr>
        <w:t xml:space="preserve"> or </w:t>
      </w:r>
      <w:proofErr w:type="spellStart"/>
      <w:r w:rsidRPr="00CD1426">
        <w:rPr>
          <w:rFonts w:ascii="Book Antiqua" w:hAnsi="Book Antiqua" w:cs="Arial"/>
          <w:lang w:val="en-US"/>
        </w:rPr>
        <w:t>boceprevir</w:t>
      </w:r>
      <w:proofErr w:type="spellEnd"/>
      <w:r w:rsidRPr="00CD1426">
        <w:rPr>
          <w:rFonts w:ascii="Book Antiqua" w:hAnsi="Book Antiqua" w:cs="Arial"/>
          <w:lang w:val="en-US"/>
        </w:rPr>
        <w:t xml:space="preserve">, diverse resistance patterns are identified for the HCV genotype 1 subtypes (1a and 1b). Genotype 1b is correlated with a low-resistant variant selection rate, the higher genetic barrier and superior response to triple therapy </w:t>
      </w:r>
      <w:r w:rsidR="006074EB" w:rsidRPr="00CD1426">
        <w:rPr>
          <w:rFonts w:ascii="Book Antiqua" w:hAnsi="Book Antiqua" w:cs="Arial"/>
          <w:lang w:val="en-US"/>
        </w:rPr>
        <w:t>in comparison with genotype 1a</w:t>
      </w:r>
      <w:r w:rsidRPr="00CD1426">
        <w:rPr>
          <w:rFonts w:ascii="Book Antiqua" w:hAnsi="Book Antiqua" w:cs="Arial"/>
          <w:lang w:val="en-US"/>
        </w:rPr>
        <w:fldChar w:fldCharType="begin" w:fldLock="1"/>
      </w:r>
      <w:r w:rsidR="001D4A08" w:rsidRPr="00CD1426">
        <w:rPr>
          <w:rFonts w:ascii="Book Antiqua" w:hAnsi="Book Antiqua" w:cs="Arial"/>
          <w:lang w:val="en-US"/>
        </w:rPr>
        <w:instrText>ADDIN CSL_CITATION { "citationItems" : [ { "id" : "ITEM-1", "itemData" : { "DOI" : "10.1111/jvh.12230", "ISSN" : "1365-2893", "PMID" : "24597691", "abstract" : "The treatment for patients infected with hepatitis C virus (HCV) genotype 1 has undergone major changes with the availability of direct-acting antivirals. Triple therapy, containing telaprevir or boceprevir, first-wave NS3 protease inhibitors, in combination with peginterferon and ribavirin, improved rates of sustained virologic response compared with peginterferon and ribavirin alone in patients with HCV genotype 1. However, the development of drug-resistant variants is a concern. In patients treated with telaprevir or boceprevir, different patterns of resistance are observed for the two major HCV genotype 1 subtypes, 1a and 1b. Genotype 1b is associated with a lower rate of resistant variant selection and better response to triple therapy compared with genotype 1a. Similar subtype-specific patterns have been observed for investigational direct-acting antivirals, including second-wave NS3 protease inhibitors, NS5A inhibitors and non-nucleoside NS5B inhibitors. This review explores resistance to approved and investigational direct-acting antivirals for the treatment of HCV, focusing on the differences between genotype 1a and genotype 1b. Finally, given the importance of HCV genotype 1 subtype on resistance and treatment outcomes, clinicians must also be aware of the tests currently available for genotype subtyping and their limitations.", "author" : [ { "dropping-particle" : "", "family" : "Wyles", "given" : "D L", "non-dropping-particle" : "", "parse-names" : false, "suffix" : "" }, { "dropping-particle" : "", "family" : "Gutierrez", "given" : "J A", "non-dropping-particle" : "", "parse-names" : false, "suffix" : "" } ], "container-title" : "Journal of viral hepatitis", "id" : "ITEM-1", "issue" : "4", "issued" : { "date-parts" : [ [ "2014", "4" ] ] }, "page" : "229-40", "title" : "Importance of HCV genotype 1 subtypes for drug resistance and response to therapy.", "type" : "article-journal", "volume" : "21" }, "uris" : [ "http://www.mendeley.com/documents/?uuid=a464b0f8-542f-4bed-bb6b-cb577a5a78f4" ] } ], "mendeley" : { "formattedCitation" : "&lt;sup&gt;[53]&lt;/sup&gt;", "plainTextFormattedCitation" : "[53]", "previouslyFormattedCitation" : "&lt;sup&gt;[53]&lt;/sup&gt;" }, "properties" : { "noteIndex" : 0 }, "schema" : "https://github.com/citation-style-language/schema/raw/master/csl-citation.json" }</w:instrText>
      </w:r>
      <w:r w:rsidRPr="00CD1426">
        <w:rPr>
          <w:rFonts w:ascii="Book Antiqua" w:hAnsi="Book Antiqua" w:cs="Arial"/>
          <w:lang w:val="en-US"/>
        </w:rPr>
        <w:fldChar w:fldCharType="separate"/>
      </w:r>
      <w:r w:rsidR="001D4A08" w:rsidRPr="00CD1426">
        <w:rPr>
          <w:rFonts w:ascii="Book Antiqua" w:hAnsi="Book Antiqua" w:cs="Arial"/>
          <w:noProof/>
          <w:vertAlign w:val="superscript"/>
          <w:lang w:val="en-US"/>
        </w:rPr>
        <w:t>[53]</w:t>
      </w:r>
      <w:r w:rsidRPr="00CD1426">
        <w:rPr>
          <w:rFonts w:ascii="Book Antiqua" w:hAnsi="Book Antiqua" w:cs="Arial"/>
          <w:lang w:val="en-US"/>
        </w:rPr>
        <w:fldChar w:fldCharType="end"/>
      </w:r>
      <w:r w:rsidR="006074EB" w:rsidRPr="00CD1426">
        <w:rPr>
          <w:rFonts w:ascii="Book Antiqua" w:hAnsi="Book Antiqua" w:cs="Arial"/>
          <w:lang w:val="en-US" w:eastAsia="zh-CN"/>
        </w:rPr>
        <w:t>.</w:t>
      </w:r>
      <w:r w:rsidRPr="00CD1426">
        <w:rPr>
          <w:rFonts w:ascii="Book Antiqua" w:hAnsi="Book Antiqua" w:cs="Arial"/>
          <w:lang w:val="en-US"/>
        </w:rPr>
        <w:t xml:space="preserve"> The most </w:t>
      </w:r>
      <w:r w:rsidRPr="00CD1426">
        <w:rPr>
          <w:rFonts w:ascii="Book Antiqua" w:hAnsi="Book Antiqua" w:cs="Arial"/>
          <w:lang w:val="en-US"/>
        </w:rPr>
        <w:lastRenderedPageBreak/>
        <w:t xml:space="preserve">probable reason for these differences </w:t>
      </w:r>
      <w:proofErr w:type="gramStart"/>
      <w:r w:rsidRPr="00CD1426">
        <w:rPr>
          <w:rFonts w:ascii="Book Antiqua" w:hAnsi="Book Antiqua" w:cs="Arial"/>
          <w:lang w:val="en-US"/>
        </w:rPr>
        <w:t>are</w:t>
      </w:r>
      <w:proofErr w:type="gramEnd"/>
      <w:r w:rsidRPr="00CD1426">
        <w:rPr>
          <w:rFonts w:ascii="Book Antiqua" w:hAnsi="Book Antiqua" w:cs="Arial"/>
          <w:lang w:val="en-US"/>
        </w:rPr>
        <w:t xml:space="preserve"> the lower genetic barriers to resistant variants at key-sites on the HCV NS3 protease in genotype 1a patients in comparison to patients with genotype 1b.</w:t>
      </w:r>
    </w:p>
    <w:p w14:paraId="290F5F9A" w14:textId="08710642" w:rsidR="002B302F" w:rsidRPr="00CD1426" w:rsidRDefault="002B302F" w:rsidP="00CD1426">
      <w:pPr>
        <w:widowControl w:val="0"/>
        <w:autoSpaceDE w:val="0"/>
        <w:autoSpaceDN w:val="0"/>
        <w:adjustRightInd w:val="0"/>
        <w:spacing w:line="360" w:lineRule="auto"/>
        <w:ind w:firstLineChars="200" w:firstLine="480"/>
        <w:jc w:val="both"/>
        <w:rPr>
          <w:rFonts w:ascii="Book Antiqua" w:hAnsi="Book Antiqua" w:cs="Arial"/>
          <w:lang w:val="en-US"/>
        </w:rPr>
      </w:pPr>
      <w:r w:rsidRPr="00CD1426">
        <w:rPr>
          <w:rFonts w:ascii="Book Antiqua" w:hAnsi="Book Antiqua" w:cs="Arial"/>
          <w:lang w:val="en-US"/>
        </w:rPr>
        <w:t xml:space="preserve">In phase 3 trials, patients who did not reach SVR with </w:t>
      </w:r>
      <w:proofErr w:type="spellStart"/>
      <w:r w:rsidRPr="00CD1426">
        <w:rPr>
          <w:rFonts w:ascii="Book Antiqua" w:hAnsi="Book Antiqua" w:cs="Arial"/>
          <w:lang w:val="en-US"/>
        </w:rPr>
        <w:t>telaprevir</w:t>
      </w:r>
      <w:proofErr w:type="spellEnd"/>
      <w:r w:rsidRPr="00CD1426">
        <w:rPr>
          <w:rFonts w:ascii="Book Antiqua" w:hAnsi="Book Antiqua" w:cs="Arial"/>
          <w:lang w:val="en-US"/>
        </w:rPr>
        <w:t xml:space="preserve"> and </w:t>
      </w:r>
      <w:proofErr w:type="spellStart"/>
      <w:r w:rsidRPr="00CD1426">
        <w:rPr>
          <w:rFonts w:ascii="Book Antiqua" w:hAnsi="Book Antiqua" w:cs="Arial"/>
          <w:lang w:val="en-US"/>
        </w:rPr>
        <w:t>boceprevir</w:t>
      </w:r>
      <w:proofErr w:type="spellEnd"/>
      <w:r w:rsidRPr="00CD1426">
        <w:rPr>
          <w:rFonts w:ascii="Book Antiqua" w:hAnsi="Book Antiqua" w:cs="Arial"/>
          <w:lang w:val="en-US"/>
        </w:rPr>
        <w:t xml:space="preserve"> triple therapy, resistant variants were identified in 86% and 55% of genotype 1a patients, respectively; 56% and 47%, of those</w:t>
      </w:r>
      <w:r w:rsidR="006074EB" w:rsidRPr="00CD1426">
        <w:rPr>
          <w:rFonts w:ascii="Book Antiqua" w:hAnsi="Book Antiqua" w:cs="Arial"/>
          <w:lang w:val="en-US"/>
        </w:rPr>
        <w:t xml:space="preserve"> with genotype 1b, respectively</w:t>
      </w:r>
      <w:r w:rsidRPr="00CD1426">
        <w:rPr>
          <w:rFonts w:ascii="Book Antiqua" w:hAnsi="Book Antiqua" w:cs="Arial"/>
          <w:lang w:val="en-US"/>
        </w:rPr>
        <w:fldChar w:fldCharType="begin" w:fldLock="1"/>
      </w:r>
      <w:r w:rsidR="001D4A08" w:rsidRPr="00CD1426">
        <w:rPr>
          <w:rFonts w:ascii="Book Antiqua" w:hAnsi="Book Antiqua" w:cs="Arial"/>
          <w:lang w:val="en-US"/>
        </w:rPr>
        <w:instrText>ADDIN CSL_CITATION { "citationItems" : [ { "id" : "ITEM-1", "itemData" : { "DOI" : "10.1093/cid/cit226", "ISSN" : "1537-6591", "PMID" : "23575197", "abstract" : "BACKGROUND: Telaprevir (TVR), a hepatitis C virus (HCV) NS3/4A protease inhibitor, has been approved to treat genotype 1 HCV. To understand the clinical impact of TVR-resistant variants, we analyzed samples from patients in phase 3 clinical trials to determine the frequency and retention of TVR-resistant variants in patients who did not achieve sustained virologic response (SVR).\n\nMETHODS: A total of 1797 patients were treated with TVR. Resistant variants (V36A/G/I/L/M, T54A/S, I132V [subtype 1a only], R155G/K/T/M, A156F/N/S/T/V, and D168N) were identified after treatment failure and at visits thereafter, by direct (population) sequencing of the NS3/4A region. Kaplan-Meier analysis was used to determine median time to loss of these variants.\n\nRESULTS: Resistant variants were observed in 77% (299/388) of patients who did not achieve SVR. Resistance occurred more commonly in subtype 1a (86%; 232/269) than subtype 1b infections (56%; 67/119). After treatment failure, 355 patients had at least 1 follow-up visit (median follow-up period: 9.6 months). Of patients with resistance at time of failure and at least 1 follow-up visit, 60% (153/254) lost resistance. Kaplan-Meier analysis, including all patients with any sequence data after treatment failure, indicated that median time to wild type was 10.6 months (95% confidence interval [CI], 9.47-12.20) in subtype 1a and 0.9 months (95% CI, 0.00-2.07) in subtype 1b infections.\n\nCONCLUSIONS: After failure to achieve SVR with TVR-based treatment, resistant variants are observed in most patients. However, presumably due to the lower fitness of those variants, they tend to be replaced with wild-type virus over time.", "author" : [ { "dropping-particle" : "", "family" : "Sullivan", "given" : "James C", "non-dropping-particle" : "", "parse-names" : false, "suffix" : "" }, { "dropping-particle" : "", "family" : "Meyer", "given" : "Sandra", "non-dropping-particle" : "De", "parse-names" : false, "suffix" : "" }, { "dropping-particle" : "", "family" : "Bartels", "given" : "Doug J", "non-dropping-particle" : "", "parse-names" : false, "suffix" : "" }, { "dropping-particle" : "", "family" : "Dierynck", "given" : "Inge", "non-dropping-particle" : "", "parse-names" : false, "suffix" : "" }, { "dropping-particle" : "", "family" : "Zhang", "given" : "Eileen Z", "non-dropping-particle" : "", "parse-names" : false, "suffix" : "" }, { "dropping-particle" : "", "family" : "Spanks", "given" : "Joan", "non-dropping-particle" : "", "parse-names" : false, "suffix" : "" }, { "dropping-particle" : "", "family" : "Tigges", "given" : "Ann M", "non-dropping-particle" : "", "parse-names" : false, "suffix" : "" }, { "dropping-particle" : "", "family" : "Ghys", "given" : "Anne", "non-dropping-particle" : "", "parse-names" : false, "suffix" : "" }, { "dropping-particle" : "", "family" : "Dorrian", "given" : "Jennifer", "non-dropping-particle" : "", "parse-names" : false, "suffix" : "" }, { "dropping-particle" : "", "family" : "Adda", "given" : "Nathalie", "non-dropping-particle" : "", "parse-names" : false, "suffix" : "" }, { "dropping-particle" : "", "family" : "Martin", "given" : "Emily C", "non-dropping-particle" : "", "parse-names" : false, "suffix" : "" }, { "dropping-particle" : "", "family" : "Beumont", "given" : "Maria", "non-dropping-particle" : "", "parse-names" : false, "suffix" : "" }, { "dropping-particle" : "", "family" : "Jacobson", "given" : "Ira M", "non-dropping-particle" : "", "parse-names" : false, "suffix" : "" }, { "dropping-particle" : "", "family" : "Sherman", "given" : "Kenneth E", "non-dropping-particle" : "", "parse-names" : false, "suffix" : "" }, { "dropping-particle" : "", "family" : "Zeuzem", "given" : "Stefan", "non-dropping-particle" : "", "parse-names" : false, "suffix" : "" }, { "dropping-particle" : "", "family" : "Picchio", "given" : "Gaston", "non-dropping-particle" : "", "parse-names" : false, "suffix" : "" }, { "dropping-particle" : "", "family" : "Kieffer", "given" : "Tara L", "non-dropping-particle" : "", "parse-names" : false, "suffix" : "" } ], "container-title" : "Clinical infectious diseases : an official publication of the Infectious Diseases Society of America", "id" : "ITEM-1", "issue" : "2", "issued" : { "date-parts" : [ [ "2013", "7" ] ] }, "page" : "221-9", "title" : "Evolution of treatment-emergent resistant variants in telaprevir phase 3 clinical trials.", "type" : "article-journal", "volume" : "57" }, "uris" : [ "http://www.mendeley.com/documents/?uuid=2f5ea761-b57f-4370-b741-7debab3b29ca" ] } ], "mendeley" : { "formattedCitation" : "&lt;sup&gt;[54]&lt;/sup&gt;", "plainTextFormattedCitation" : "[54]", "previouslyFormattedCitation" : "&lt;sup&gt;[54]&lt;/sup&gt;" }, "properties" : { "noteIndex" : 0 }, "schema" : "https://github.com/citation-style-language/schema/raw/master/csl-citation.json" }</w:instrText>
      </w:r>
      <w:r w:rsidRPr="00CD1426">
        <w:rPr>
          <w:rFonts w:ascii="Book Antiqua" w:hAnsi="Book Antiqua" w:cs="Arial"/>
          <w:lang w:val="en-US"/>
        </w:rPr>
        <w:fldChar w:fldCharType="separate"/>
      </w:r>
      <w:r w:rsidR="001D4A08" w:rsidRPr="00CD1426">
        <w:rPr>
          <w:rFonts w:ascii="Book Antiqua" w:hAnsi="Book Antiqua" w:cs="Arial"/>
          <w:noProof/>
          <w:vertAlign w:val="superscript"/>
          <w:lang w:val="en-US"/>
        </w:rPr>
        <w:t>[54]</w:t>
      </w:r>
      <w:r w:rsidRPr="00CD1426">
        <w:rPr>
          <w:rFonts w:ascii="Book Antiqua" w:hAnsi="Book Antiqua" w:cs="Arial"/>
          <w:lang w:val="en-US"/>
        </w:rPr>
        <w:fldChar w:fldCharType="end"/>
      </w:r>
      <w:r w:rsidR="006074EB" w:rsidRPr="00CD1426">
        <w:rPr>
          <w:rFonts w:ascii="Book Antiqua" w:hAnsi="Book Antiqua" w:cs="Arial"/>
          <w:lang w:val="en-US" w:eastAsia="zh-CN"/>
        </w:rPr>
        <w:t>.</w:t>
      </w:r>
      <w:r w:rsidRPr="00CD1426">
        <w:rPr>
          <w:rFonts w:ascii="Book Antiqua" w:hAnsi="Book Antiqua" w:cs="Arial"/>
          <w:lang w:val="en-US"/>
        </w:rPr>
        <w:t xml:space="preserve"> Genotype 1b-resistant variants sustained for a median of 1–2 months comparatively with 8–11 months for genotype 1a, in phase 3 c</w:t>
      </w:r>
      <w:r w:rsidR="006074EB" w:rsidRPr="00CD1426">
        <w:rPr>
          <w:rFonts w:ascii="Book Antiqua" w:hAnsi="Book Antiqua" w:cs="Arial"/>
          <w:lang w:val="en-US"/>
        </w:rPr>
        <w:t xml:space="preserve">linical trials with </w:t>
      </w:r>
      <w:proofErr w:type="spellStart"/>
      <w:r w:rsidR="006074EB" w:rsidRPr="00CD1426">
        <w:rPr>
          <w:rFonts w:ascii="Book Antiqua" w:hAnsi="Book Antiqua" w:cs="Arial"/>
          <w:lang w:val="en-US"/>
        </w:rPr>
        <w:t>telaprevir</w:t>
      </w:r>
      <w:proofErr w:type="spellEnd"/>
      <w:r w:rsidRPr="00CD1426">
        <w:rPr>
          <w:rFonts w:ascii="Book Antiqua" w:hAnsi="Book Antiqua" w:cs="Arial"/>
          <w:lang w:val="en-US"/>
        </w:rPr>
        <w:fldChar w:fldCharType="begin" w:fldLock="1"/>
      </w:r>
      <w:r w:rsidR="001D4A08" w:rsidRPr="00CD1426">
        <w:rPr>
          <w:rFonts w:ascii="Book Antiqua" w:hAnsi="Book Antiqua" w:cs="Arial"/>
          <w:lang w:val="en-US"/>
        </w:rPr>
        <w:instrText>ADDIN CSL_CITATION { "citationItems" : [ { "id" : "ITEM-1", "itemData" : { "DOI" : "10.1093/cid/cit226", "ISSN" : "1537-6591", "PMID" : "23575197", "abstract" : "BACKGROUND: Telaprevir (TVR), a hepatitis C virus (HCV) NS3/4A protease inhibitor, has been approved to treat genotype 1 HCV. To understand the clinical impact of TVR-resistant variants, we analyzed samples from patients in phase 3 clinical trials to determine the frequency and retention of TVR-resistant variants in patients who did not achieve sustained virologic response (SVR).\n\nMETHODS: A total of 1797 patients were treated with TVR. Resistant variants (V36A/G/I/L/M, T54A/S, I132V [subtype 1a only], R155G/K/T/M, A156F/N/S/T/V, and D168N) were identified after treatment failure and at visits thereafter, by direct (population) sequencing of the NS3/4A region. Kaplan-Meier analysis was used to determine median time to loss of these variants.\n\nRESULTS: Resistant variants were observed in 77% (299/388) of patients who did not achieve SVR. Resistance occurred more commonly in subtype 1a (86%; 232/269) than subtype 1b infections (56%; 67/119). After treatment failure, 355 patients had at least 1 follow-up visit (median follow-up period: 9.6 months). Of patients with resistance at time of failure and at least 1 follow-up visit, 60% (153/254) lost resistance. Kaplan-Meier analysis, including all patients with any sequence data after treatment failure, indicated that median time to wild type was 10.6 months (95% confidence interval [CI], 9.47-12.20) in subtype 1a and 0.9 months (95% CI, 0.00-2.07) in subtype 1b infections.\n\nCONCLUSIONS: After failure to achieve SVR with TVR-based treatment, resistant variants are observed in most patients. However, presumably due to the lower fitness of those variants, they tend to be replaced with wild-type virus over time.", "author" : [ { "dropping-particle" : "", "family" : "Sullivan", "given" : "James C", "non-dropping-particle" : "", "parse-names" : false, "suffix" : "" }, { "dropping-particle" : "", "family" : "Meyer", "given" : "Sandra", "non-dropping-particle" : "De", "parse-names" : false, "suffix" : "" }, { "dropping-particle" : "", "family" : "Bartels", "given" : "Doug J", "non-dropping-particle" : "", "parse-names" : false, "suffix" : "" }, { "dropping-particle" : "", "family" : "Dierynck", "given" : "Inge", "non-dropping-particle" : "", "parse-names" : false, "suffix" : "" }, { "dropping-particle" : "", "family" : "Zhang", "given" : "Eileen Z", "non-dropping-particle" : "", "parse-names" : false, "suffix" : "" }, { "dropping-particle" : "", "family" : "Spanks", "given" : "Joan", "non-dropping-particle" : "", "parse-names" : false, "suffix" : "" }, { "dropping-particle" : "", "family" : "Tigges", "given" : "Ann M", "non-dropping-particle" : "", "parse-names" : false, "suffix" : "" }, { "dropping-particle" : "", "family" : "Ghys", "given" : "Anne", "non-dropping-particle" : "", "parse-names" : false, "suffix" : "" }, { "dropping-particle" : "", "family" : "Dorrian", "given" : "Jennifer", "non-dropping-particle" : "", "parse-names" : false, "suffix" : "" }, { "dropping-particle" : "", "family" : "Adda", "given" : "Nathalie", "non-dropping-particle" : "", "parse-names" : false, "suffix" : "" }, { "dropping-particle" : "", "family" : "Martin", "given" : "Emily C", "non-dropping-particle" : "", "parse-names" : false, "suffix" : "" }, { "dropping-particle" : "", "family" : "Beumont", "given" : "Maria", "non-dropping-particle" : "", "parse-names" : false, "suffix" : "" }, { "dropping-particle" : "", "family" : "Jacobson", "given" : "Ira M", "non-dropping-particle" : "", "parse-names" : false, "suffix" : "" }, { "dropping-particle" : "", "family" : "Sherman", "given" : "Kenneth E", "non-dropping-particle" : "", "parse-names" : false, "suffix" : "" }, { "dropping-particle" : "", "family" : "Zeuzem", "given" : "Stefan", "non-dropping-particle" : "", "parse-names" : false, "suffix" : "" }, { "dropping-particle" : "", "family" : "Picchio", "given" : "Gaston", "non-dropping-particle" : "", "parse-names" : false, "suffix" : "" }, { "dropping-particle" : "", "family" : "Kieffer", "given" : "Tara L", "non-dropping-particle" : "", "parse-names" : false, "suffix" : "" } ], "container-title" : "Clinical infectious diseases : an official publication of the Infectious Diseases Society of America", "id" : "ITEM-1", "issue" : "2", "issued" : { "date-parts" : [ [ "2013", "7" ] ] }, "page" : "221-9", "title" : "Evolution of treatment-emergent resistant variants in telaprevir phase 3 clinical trials.", "type" : "article-journal", "volume" : "57" }, "uris" : [ "http://www.mendeley.com/documents/?uuid=2f5ea761-b57f-4370-b741-7debab3b29ca" ] } ], "mendeley" : { "formattedCitation" : "&lt;sup&gt;[54]&lt;/sup&gt;", "plainTextFormattedCitation" : "[54]", "previouslyFormattedCitation" : "&lt;sup&gt;[54]&lt;/sup&gt;" }, "properties" : { "noteIndex" : 0 }, "schema" : "https://github.com/citation-style-language/schema/raw/master/csl-citation.json" }</w:instrText>
      </w:r>
      <w:r w:rsidRPr="00CD1426">
        <w:rPr>
          <w:rFonts w:ascii="Book Antiqua" w:hAnsi="Book Antiqua" w:cs="Arial"/>
          <w:lang w:val="en-US"/>
        </w:rPr>
        <w:fldChar w:fldCharType="separate"/>
      </w:r>
      <w:r w:rsidR="001D4A08" w:rsidRPr="00CD1426">
        <w:rPr>
          <w:rFonts w:ascii="Book Antiqua" w:hAnsi="Book Antiqua" w:cs="Arial"/>
          <w:noProof/>
          <w:vertAlign w:val="superscript"/>
          <w:lang w:val="en-US"/>
        </w:rPr>
        <w:t>[54]</w:t>
      </w:r>
      <w:r w:rsidRPr="00CD1426">
        <w:rPr>
          <w:rFonts w:ascii="Book Antiqua" w:hAnsi="Book Antiqua" w:cs="Arial"/>
          <w:lang w:val="en-US"/>
        </w:rPr>
        <w:fldChar w:fldCharType="end"/>
      </w:r>
      <w:r w:rsidR="006074EB" w:rsidRPr="00CD1426">
        <w:rPr>
          <w:rFonts w:ascii="Book Antiqua" w:hAnsi="Book Antiqua" w:cs="Arial"/>
          <w:lang w:val="en-US" w:eastAsia="zh-CN"/>
        </w:rPr>
        <w:t>.</w:t>
      </w:r>
      <w:r w:rsidRPr="00CD1426">
        <w:rPr>
          <w:rFonts w:ascii="Book Antiqua" w:hAnsi="Book Antiqua" w:cs="Arial"/>
          <w:lang w:val="en-US"/>
        </w:rPr>
        <w:t xml:space="preserve"> In phase 1b trials, </w:t>
      </w:r>
      <w:proofErr w:type="spellStart"/>
      <w:r w:rsidRPr="00CD1426">
        <w:rPr>
          <w:rFonts w:ascii="Book Antiqua" w:hAnsi="Book Antiqua" w:cs="Arial"/>
          <w:lang w:val="en-US"/>
        </w:rPr>
        <w:t>ultradeep</w:t>
      </w:r>
      <w:proofErr w:type="spellEnd"/>
      <w:r w:rsidRPr="00CD1426">
        <w:rPr>
          <w:rFonts w:ascii="Book Antiqua" w:hAnsi="Book Antiqua" w:cs="Arial"/>
          <w:lang w:val="en-US"/>
        </w:rPr>
        <w:t xml:space="preserve"> sequencing showed more variants in patients treated with </w:t>
      </w:r>
      <w:proofErr w:type="spellStart"/>
      <w:r w:rsidRPr="00CD1426">
        <w:rPr>
          <w:rFonts w:ascii="Book Antiqua" w:hAnsi="Book Antiqua" w:cs="Arial"/>
          <w:lang w:val="en-US"/>
        </w:rPr>
        <w:t>telaprevir</w:t>
      </w:r>
      <w:proofErr w:type="spellEnd"/>
      <w:r w:rsidRPr="00CD1426">
        <w:rPr>
          <w:rFonts w:ascii="Book Antiqua" w:hAnsi="Book Antiqua" w:cs="Arial"/>
          <w:lang w:val="en-US"/>
        </w:rPr>
        <w:t xml:space="preserve"> or </w:t>
      </w:r>
      <w:proofErr w:type="spellStart"/>
      <w:r w:rsidRPr="00CD1426">
        <w:rPr>
          <w:rFonts w:ascii="Book Antiqua" w:hAnsi="Book Antiqua" w:cs="Arial"/>
          <w:lang w:val="en-US"/>
        </w:rPr>
        <w:t>boceprevir</w:t>
      </w:r>
      <w:proofErr w:type="spellEnd"/>
      <w:r w:rsidRPr="00CD1426">
        <w:rPr>
          <w:rFonts w:ascii="Book Antiqua" w:hAnsi="Book Antiqua" w:cs="Arial"/>
          <w:lang w:val="en-US"/>
        </w:rPr>
        <w:t xml:space="preserve">: R117H in patients treated with </w:t>
      </w:r>
      <w:proofErr w:type="spellStart"/>
      <w:r w:rsidRPr="00CD1426">
        <w:rPr>
          <w:rFonts w:ascii="Book Antiqua" w:hAnsi="Book Antiqua" w:cs="Arial"/>
          <w:lang w:val="en-US"/>
        </w:rPr>
        <w:t>telaprevir</w:t>
      </w:r>
      <w:proofErr w:type="spellEnd"/>
      <w:r w:rsidRPr="00CD1426">
        <w:rPr>
          <w:rFonts w:ascii="Book Antiqua" w:hAnsi="Book Antiqua" w:cs="Arial"/>
          <w:lang w:val="en-US"/>
        </w:rPr>
        <w:t xml:space="preserve">, S174F in </w:t>
      </w:r>
      <w:proofErr w:type="spellStart"/>
      <w:r w:rsidRPr="00CD1426">
        <w:rPr>
          <w:rFonts w:ascii="Book Antiqua" w:hAnsi="Book Antiqua" w:cs="Arial"/>
          <w:lang w:val="en-US"/>
        </w:rPr>
        <w:t>boceprevir</w:t>
      </w:r>
      <w:proofErr w:type="spellEnd"/>
      <w:r w:rsidRPr="00CD1426">
        <w:rPr>
          <w:rFonts w:ascii="Book Antiqua" w:hAnsi="Book Antiqua" w:cs="Arial"/>
          <w:lang w:val="en-US"/>
        </w:rPr>
        <w:t xml:space="preserve">-treated patients and A87T in both groups; they were only found in genotype 1b, and the effect of these variants on triple therapy is undetermined.  </w:t>
      </w:r>
    </w:p>
    <w:p w14:paraId="4DD354D6" w14:textId="2DA00683" w:rsidR="002B302F" w:rsidRPr="00CD1426" w:rsidRDefault="002B302F" w:rsidP="00CD1426">
      <w:pPr>
        <w:tabs>
          <w:tab w:val="right" w:pos="540"/>
          <w:tab w:val="left" w:pos="851"/>
        </w:tabs>
        <w:spacing w:line="360" w:lineRule="auto"/>
        <w:ind w:firstLineChars="200" w:firstLine="480"/>
        <w:jc w:val="both"/>
        <w:rPr>
          <w:rFonts w:ascii="Book Antiqua" w:hAnsi="Book Antiqua" w:cs="Arial"/>
          <w:lang w:val="en-US" w:eastAsia="zh-CN"/>
        </w:rPr>
      </w:pPr>
      <w:r w:rsidRPr="00CD1426">
        <w:rPr>
          <w:rFonts w:ascii="Book Antiqua" w:hAnsi="Book Antiqua" w:cs="Arial"/>
          <w:lang w:val="en-US"/>
        </w:rPr>
        <w:t>If patients do not get SVR with </w:t>
      </w:r>
      <w:proofErr w:type="spellStart"/>
      <w:r w:rsidRPr="00CD1426">
        <w:rPr>
          <w:rFonts w:ascii="Book Antiqua" w:hAnsi="Book Antiqua" w:cs="Arial"/>
          <w:lang w:val="en-US"/>
        </w:rPr>
        <w:t>telaprevir</w:t>
      </w:r>
      <w:proofErr w:type="spellEnd"/>
      <w:r w:rsidRPr="00CD1426">
        <w:rPr>
          <w:rFonts w:ascii="Book Antiqua" w:hAnsi="Book Antiqua" w:cs="Arial"/>
          <w:lang w:val="en-US"/>
        </w:rPr>
        <w:t xml:space="preserve">-based therapy, </w:t>
      </w:r>
      <w:proofErr w:type="spellStart"/>
      <w:r w:rsidRPr="00CD1426">
        <w:rPr>
          <w:rFonts w:ascii="Book Antiqua" w:hAnsi="Book Antiqua" w:cs="Arial"/>
          <w:lang w:val="en-US"/>
        </w:rPr>
        <w:t>telaprevir</w:t>
      </w:r>
      <w:proofErr w:type="spellEnd"/>
      <w:r w:rsidRPr="00CD1426">
        <w:rPr>
          <w:rFonts w:ascii="Book Antiqua" w:hAnsi="Book Antiqua" w:cs="Arial"/>
          <w:lang w:val="en-US"/>
        </w:rPr>
        <w:t xml:space="preserve">-resistant variants are often increased at the end of treatment. Population sequencing revealed that the </w:t>
      </w:r>
      <w:proofErr w:type="spellStart"/>
      <w:r w:rsidRPr="00CD1426">
        <w:rPr>
          <w:rFonts w:ascii="Book Antiqua" w:hAnsi="Book Antiqua" w:cs="Arial"/>
          <w:lang w:val="en-US"/>
        </w:rPr>
        <w:t>telaprevir</w:t>
      </w:r>
      <w:proofErr w:type="spellEnd"/>
      <w:r w:rsidRPr="00CD1426">
        <w:rPr>
          <w:rFonts w:ascii="Book Antiqua" w:hAnsi="Book Antiqua" w:cs="Arial"/>
          <w:lang w:val="en-US"/>
        </w:rPr>
        <w:t>-resistant variants are typically not detectable at baseline (prevalence of patients ≤</w:t>
      </w:r>
      <w:r w:rsidR="006074EB" w:rsidRPr="00CD1426">
        <w:rPr>
          <w:rFonts w:ascii="Book Antiqua" w:hAnsi="Book Antiqua" w:cs="Arial"/>
          <w:lang w:val="en-US" w:eastAsia="zh-CN"/>
        </w:rPr>
        <w:t xml:space="preserve"> </w:t>
      </w:r>
      <w:r w:rsidRPr="00CD1426">
        <w:rPr>
          <w:rFonts w:ascii="Book Antiqua" w:hAnsi="Book Antiqua" w:cs="Arial"/>
          <w:lang w:val="en-US"/>
        </w:rPr>
        <w:t xml:space="preserve">5%) and the majority of the variants present at the time of treatment failure are no longer detectable at the end of the study. The analysis performed in the Realize study using a deep-sequencing technique showed that before treatment, </w:t>
      </w:r>
      <w:proofErr w:type="spellStart"/>
      <w:r w:rsidRPr="00CD1426">
        <w:rPr>
          <w:rFonts w:ascii="Book Antiqua" w:hAnsi="Book Antiqua" w:cs="Arial"/>
          <w:lang w:val="en-US"/>
        </w:rPr>
        <w:t>telaprevir</w:t>
      </w:r>
      <w:proofErr w:type="spellEnd"/>
      <w:r w:rsidRPr="00CD1426">
        <w:rPr>
          <w:rFonts w:ascii="Book Antiqua" w:hAnsi="Book Antiqua" w:cs="Arial"/>
          <w:lang w:val="en-US"/>
        </w:rPr>
        <w:t>-resistant variants (T54A, T54S, or R155K) were detected in 2% of patients and that these variants were not essentially detected at the time of treatment failure. Analysis of 49 patients, deep-sequencing technique, revealed the presence of variants V36A/L/M, T54S or R155K in 16 patient</w:t>
      </w:r>
      <w:r w:rsidR="006074EB" w:rsidRPr="00CD1426">
        <w:rPr>
          <w:rFonts w:ascii="Book Antiqua" w:hAnsi="Book Antiqua" w:cs="Arial"/>
          <w:lang w:val="en-US"/>
        </w:rPr>
        <w:t>s (33%) at the end of the study</w:t>
      </w:r>
      <w:r w:rsidRPr="00CD1426">
        <w:rPr>
          <w:rFonts w:ascii="Book Antiqua" w:hAnsi="Book Antiqua" w:cs="Arial"/>
          <w:lang w:val="en-US"/>
        </w:rPr>
        <w:fldChar w:fldCharType="begin" w:fldLock="1"/>
      </w:r>
      <w:r w:rsidR="001D4A08" w:rsidRPr="00CD1426">
        <w:rPr>
          <w:rFonts w:ascii="Book Antiqua" w:hAnsi="Book Antiqua" w:cs="Arial"/>
          <w:lang w:val="en-US"/>
        </w:rPr>
        <w:instrText>ADDIN CSL_CITATION { "citationItems" : [ { "id" : "ITEM-1", "itemData" : { "DOI" : "10.1093/infdis/jiu340", "ISSN" : "1537-6613", "PMID" : "24943725", "abstract" : "BACKGROUND: \u2003Population sequencing (PS) has shown that telaprevir-resistant variants are not typically detectable at baseline (prevalence, \u22645% of patients), and most variants present at the time of treatment failure are no longer detectable at the end of the study.\n\nMETHODS: \u2003To gain insight into the evolution of telaprevir-resistant variants, their baseline prevalence and persistence after treatment was investigated using a more sensitive, deep-sequencing (DS) technique in a large number of treatment-experienced patients from the REALIZE study who were infected with hepatitis C virus genotype 1.\n\nRESULTS: \u2003Before treatment initiation, telaprevir-resistant variants (T54A, T54S, or R155K in 1%-2% of the viral population) were detected by DS in a fraction (2%) of patients for whom PS failed to detect resistance; these variants were not necessarily detected at the time of treatment failure. Of 49 patients in whom telaprevir-resistant variants were detected by PS at the time of treatment failure but not at the end of the study, DS revealed the presence of variants (V36A/L/M, T54S, or R155K in 1%-36% of the viral population) in 16 patients (33%) at the end of the study.\n\nCONCLUSIONS: \u2003Similar to PS findings, DS analysis revealed that the frequency of telaprevir-resistant variants before treatment was also low, and variants detected at the time of treatment failure were no longer detectable in the majority of patients during follow-up.", "author" : [ { "dropping-particle" : "", "family" : "Dierynck", "given" : "Inge", "non-dropping-particle" : "", "parse-names" : false, "suffix" : "" }, { "dropping-particle" : "", "family" : "Thys", "given" : "Kim", "non-dropping-particle" : "", "parse-names" : false, "suffix" : "" }, { "dropping-particle" : "", "family" : "Ghys", "given" : "Anne", "non-dropping-particle" : "", "parse-names" : false, "suffix" : "" }, { "dropping-particle" : "", "family" : "Sullivan", "given" : "James C", "non-dropping-particle" : "", "parse-names" : false, "suffix" : "" }, { "dropping-particle" : "", "family" : "Kieffer", "given" : "Tara L", "non-dropping-particle" : "", "parse-names" : false, "suffix" : "" }, { "dropping-particle" : "", "family" : "Aerssens", "given" : "Jeroen", "non-dropping-particle" : "", "parse-names" : false, "suffix" : "" }, { "dropping-particle" : "", "family" : "Picchio", "given" : "Gaston", "non-dropping-particle" : "", "parse-names" : false, "suffix" : "" }, { "dropping-particle" : "", "family" : "Meyer", "given" : "Sandra", "non-dropping-particle" : "De", "parse-names" : false, "suffix" : "" } ], "container-title" : "The Journal of infectious diseases", "id" : "ITEM-1", "issued" : { "date-parts" : [ [ "2014", "6", "18" ] ] }, "title" : "Deep-Sequencing Analysis of the Gene Encoding the Hepatitis C Virus Nonstructural 3-4A Protease Confirms a Low Prevalence of Telaprevir-Resistant Variants at Baseline and the End of the REALIZE Study.", "type" : "article-journal" }, "uris" : [ "http://www.mendeley.com/documents/?uuid=9296a44e-a0d4-43de-b47d-85e188254c6d" ] } ], "mendeley" : { "formattedCitation" : "&lt;sup&gt;[55]&lt;/sup&gt;", "plainTextFormattedCitation" : "[55]", "previouslyFormattedCitation" : "&lt;sup&gt;[55]&lt;/sup&gt;" }, "properties" : { "noteIndex" : 0 }, "schema" : "https://github.com/citation-style-language/schema/raw/master/csl-citation.json" }</w:instrText>
      </w:r>
      <w:r w:rsidRPr="00CD1426">
        <w:rPr>
          <w:rFonts w:ascii="Book Antiqua" w:hAnsi="Book Antiqua" w:cs="Arial"/>
          <w:lang w:val="en-US"/>
        </w:rPr>
        <w:fldChar w:fldCharType="separate"/>
      </w:r>
      <w:r w:rsidR="001D4A08" w:rsidRPr="00CD1426">
        <w:rPr>
          <w:rFonts w:ascii="Book Antiqua" w:hAnsi="Book Antiqua" w:cs="Arial"/>
          <w:noProof/>
          <w:vertAlign w:val="superscript"/>
          <w:lang w:val="en-US"/>
        </w:rPr>
        <w:t>[55]</w:t>
      </w:r>
      <w:r w:rsidRPr="00CD1426">
        <w:rPr>
          <w:rFonts w:ascii="Book Antiqua" w:hAnsi="Book Antiqua" w:cs="Arial"/>
          <w:lang w:val="en-US"/>
        </w:rPr>
        <w:fldChar w:fldCharType="end"/>
      </w:r>
      <w:r w:rsidR="006074EB" w:rsidRPr="00CD1426">
        <w:rPr>
          <w:rFonts w:ascii="Book Antiqua" w:hAnsi="Book Antiqua" w:cs="Arial"/>
          <w:lang w:val="en-US" w:eastAsia="zh-CN"/>
        </w:rPr>
        <w:t>.</w:t>
      </w:r>
    </w:p>
    <w:p w14:paraId="3F6A70EE" w14:textId="77777777" w:rsidR="002B302F" w:rsidRPr="00CD1426" w:rsidRDefault="002B302F" w:rsidP="00CD1426">
      <w:pPr>
        <w:tabs>
          <w:tab w:val="right" w:pos="540"/>
          <w:tab w:val="left" w:pos="851"/>
        </w:tabs>
        <w:spacing w:line="360" w:lineRule="auto"/>
        <w:jc w:val="both"/>
        <w:rPr>
          <w:rFonts w:ascii="Book Antiqua" w:hAnsi="Book Antiqua" w:cs="Arial"/>
          <w:lang w:val="en-US"/>
        </w:rPr>
      </w:pPr>
    </w:p>
    <w:p w14:paraId="717B3678" w14:textId="77777777" w:rsidR="002B302F" w:rsidRPr="00CD1426" w:rsidRDefault="002B302F" w:rsidP="00CD1426">
      <w:pPr>
        <w:spacing w:line="360" w:lineRule="auto"/>
        <w:jc w:val="both"/>
        <w:rPr>
          <w:rFonts w:ascii="Book Antiqua" w:hAnsi="Book Antiqua" w:cs="Arial"/>
          <w:b/>
          <w:lang w:val="en-US"/>
        </w:rPr>
      </w:pPr>
      <w:r w:rsidRPr="00CD1426">
        <w:rPr>
          <w:rFonts w:ascii="Book Antiqua" w:hAnsi="Book Antiqua" w:cs="Arial"/>
          <w:b/>
          <w:lang w:val="en-US"/>
        </w:rPr>
        <w:t>NEW WAVES OF DAA</w:t>
      </w:r>
    </w:p>
    <w:p w14:paraId="1EE59BE5" w14:textId="1984CA8A" w:rsidR="002B302F" w:rsidRPr="00CD1426" w:rsidRDefault="002B302F" w:rsidP="00CD1426">
      <w:pPr>
        <w:tabs>
          <w:tab w:val="left" w:pos="0"/>
          <w:tab w:val="right" w:pos="540"/>
        </w:tabs>
        <w:spacing w:line="360" w:lineRule="auto"/>
        <w:jc w:val="both"/>
        <w:rPr>
          <w:rFonts w:ascii="Book Antiqua" w:hAnsi="Book Antiqua" w:cs="Arial"/>
          <w:lang w:val="en-US"/>
        </w:rPr>
      </w:pPr>
      <w:r w:rsidRPr="00CD1426">
        <w:rPr>
          <w:rFonts w:ascii="Book Antiqua" w:hAnsi="Book Antiqua" w:cs="Arial"/>
          <w:lang w:val="en-US"/>
        </w:rPr>
        <w:t xml:space="preserve">Currently, the hepatitis C virus antiviral therapy challenge is the development of drugs and therapy regimens with markedly antiviral activity, high genetic barrier to resistance, few side effects and short duration. An improved understanding of the hepatitis C virus genome lifecycle led to the discovery of many potential targets for antiviral therapy. The polyprotein processing and replication, viral entry and fusion, the RNA virus translation, assembly and </w:t>
      </w:r>
      <w:r w:rsidRPr="00CD1426">
        <w:rPr>
          <w:rFonts w:ascii="Book Antiqua" w:hAnsi="Book Antiqua" w:cs="Arial"/>
          <w:lang w:val="en-US"/>
        </w:rPr>
        <w:lastRenderedPageBreak/>
        <w:t>release of host cells and numerous other factors are attractive targets for new and alternative antiviral therapies. Combinations of antiviral agents with different action mechanisms have brought about interferon-free treatment regimens, with expressive rates of sustained response, better tolerability an</w:t>
      </w:r>
      <w:r w:rsidR="006074EB" w:rsidRPr="00CD1426">
        <w:rPr>
          <w:rFonts w:ascii="Book Antiqua" w:hAnsi="Book Antiqua" w:cs="Arial"/>
          <w:lang w:val="en-US"/>
        </w:rPr>
        <w:t>d fewer side effects</w:t>
      </w:r>
      <w:r w:rsidRPr="00CD1426">
        <w:rPr>
          <w:rFonts w:ascii="Book Antiqua" w:hAnsi="Book Antiqua" w:cs="Arial"/>
          <w:lang w:val="en-US"/>
        </w:rPr>
        <w:fldChar w:fldCharType="begin" w:fldLock="1"/>
      </w:r>
      <w:r w:rsidR="001D4A08" w:rsidRPr="00CD1426">
        <w:rPr>
          <w:rFonts w:ascii="Book Antiqua" w:hAnsi="Book Antiqua" w:cs="Arial"/>
          <w:lang w:val="en-US"/>
        </w:rPr>
        <w:instrText>ADDIN CSL_CITATION { "citationItems" : [ { "id" : "ITEM-1", "itemData" : { "DOI" : "10.1111/j.1469-0691.2010.03430.x", "ISSN" : "1469-0691", "PMID" : "21087349", "abstract" : "Improved understanding of the hepatitis C virus (HCV) life cycle has led to the discovery of numerous potential targets for antiviral therapy. HCV polyprotein processing and replication have been identified as the most promising viral targets. However, viral entry and fusion, RNA translation, virus assembly and release and several host cell factors may provide alternative attractive targets for future anti-HCV therapies. Inhibitors of the HCV NS3/4A protease are currently the most advanced in clinical development. Monotherapy with protease inhibitors has shown high antiviral activity, but is associated with frequent selection of resistant HCV variants, often resulting in viral breakthrough. However, there is encouraging evidence from phase 2/3 trials indicating that the addition of a protease inhibitor (e.g. telaprevir and boceprevir) to pegylated interferon-\u03b1/ribavirin substantially improves sustained virological response rates in both treatment-na\u00efve and treatment-experienced patients with HCV genotype 1. Nucleos(t)ide inhibitors of the HCV NS5B polymerase have shown variable antiviral activity against different HCV genotypes, but seem to have a higher genetic barrier to resistance than protease inhibitors. In addition, several allosteric binding sites have been identified for non-nucleoside inhibitors of the NS5B polymerase. However, the development of a substance with high antiviral activity and a high genetic barrier to resistance seems to be difficult. Among the different host cell-targeting compounds in early clinical development, cyclophilin inhibitors have shown the most promising results. Although advances have also been made in improving interferons, combinations of antiviral agents with different mechanisms of action may lead to the eventual possibility of interferon-free regimens.", "author" : [ { "dropping-particle" : "", "family" : "Vermehren", "given" : "J", "non-dropping-particle" : "", "parse-names" : false, "suffix" : "" }, { "dropping-particle" : "", "family" : "Sarrazin", "given" : "C", "non-dropping-particle" : "", "parse-names" : false, "suffix" : "" } ], "container-title" : "Clinical microbiology and infection : the official publication of the European Society of Clinical Microbiology and Infectious Diseases", "id" : "ITEM-1", "issue" : "2", "issued" : { "date-parts" : [ [ "2011", "2" ] ] }, "page" : "122-34", "title" : "New HCV therapies on the horizon.", "type" : "article-journal", "volume" : "17" }, "uris" : [ "http://www.mendeley.com/documents/?uuid=4f9157fb-5d82-4a6a-b921-5be944d54c11" ] } ], "mendeley" : { "formattedCitation" : "&lt;sup&gt;[56]&lt;/sup&gt;", "plainTextFormattedCitation" : "[56]", "previouslyFormattedCitation" : "&lt;sup&gt;[56]&lt;/sup&gt;" }, "properties" : { "noteIndex" : 0 }, "schema" : "https://github.com/citation-style-language/schema/raw/master/csl-citation.json" }</w:instrText>
      </w:r>
      <w:r w:rsidRPr="00CD1426">
        <w:rPr>
          <w:rFonts w:ascii="Book Antiqua" w:hAnsi="Book Antiqua" w:cs="Arial"/>
          <w:lang w:val="en-US"/>
        </w:rPr>
        <w:fldChar w:fldCharType="separate"/>
      </w:r>
      <w:r w:rsidR="001D4A08" w:rsidRPr="00CD1426">
        <w:rPr>
          <w:rFonts w:ascii="Book Antiqua" w:hAnsi="Book Antiqua" w:cs="Arial"/>
          <w:noProof/>
          <w:vertAlign w:val="superscript"/>
          <w:lang w:val="en-US"/>
        </w:rPr>
        <w:t>[56]</w:t>
      </w:r>
      <w:r w:rsidRPr="00CD1426">
        <w:rPr>
          <w:rFonts w:ascii="Book Antiqua" w:hAnsi="Book Antiqua" w:cs="Arial"/>
          <w:lang w:val="en-US"/>
        </w:rPr>
        <w:fldChar w:fldCharType="end"/>
      </w:r>
      <w:r w:rsidR="006074EB" w:rsidRPr="00CD1426">
        <w:rPr>
          <w:rFonts w:ascii="Book Antiqua" w:hAnsi="Book Antiqua" w:cs="Arial"/>
          <w:lang w:val="en-US" w:eastAsia="zh-CN"/>
        </w:rPr>
        <w:t>.</w:t>
      </w:r>
      <w:r w:rsidRPr="00CD1426">
        <w:rPr>
          <w:rFonts w:ascii="Book Antiqua" w:hAnsi="Book Antiqua" w:cs="Arial"/>
          <w:lang w:val="en-US"/>
        </w:rPr>
        <w:t xml:space="preserve"> Some characteristics of the new DAA are summarized in Table 3.</w:t>
      </w:r>
    </w:p>
    <w:p w14:paraId="699A753C" w14:textId="77777777" w:rsidR="002B302F" w:rsidRPr="00CD1426" w:rsidRDefault="002B302F" w:rsidP="00CD1426">
      <w:pPr>
        <w:tabs>
          <w:tab w:val="left" w:pos="0"/>
          <w:tab w:val="right" w:pos="540"/>
        </w:tabs>
        <w:spacing w:line="360" w:lineRule="auto"/>
        <w:jc w:val="both"/>
        <w:rPr>
          <w:rFonts w:ascii="Book Antiqua" w:hAnsi="Book Antiqua" w:cs="Arial"/>
          <w:lang w:val="en-US"/>
        </w:rPr>
      </w:pPr>
    </w:p>
    <w:p w14:paraId="65905EDA" w14:textId="77777777" w:rsidR="002B302F" w:rsidRPr="00CD1426" w:rsidRDefault="002B302F" w:rsidP="00CD1426">
      <w:pPr>
        <w:tabs>
          <w:tab w:val="left" w:pos="0"/>
          <w:tab w:val="right" w:pos="540"/>
        </w:tabs>
        <w:spacing w:line="360" w:lineRule="auto"/>
        <w:jc w:val="both"/>
        <w:rPr>
          <w:rFonts w:ascii="Book Antiqua" w:hAnsi="Book Antiqua" w:cs="Arial"/>
          <w:b/>
          <w:i/>
          <w:lang w:val="en-US"/>
        </w:rPr>
      </w:pPr>
      <w:proofErr w:type="spellStart"/>
      <w:r w:rsidRPr="00CD1426">
        <w:rPr>
          <w:rFonts w:ascii="Book Antiqua" w:hAnsi="Book Antiqua" w:cs="Arial"/>
          <w:b/>
          <w:i/>
          <w:lang w:val="en-US"/>
        </w:rPr>
        <w:t>Sofosbuvir</w:t>
      </w:r>
      <w:proofErr w:type="spellEnd"/>
    </w:p>
    <w:p w14:paraId="6E93CC26" w14:textId="77777777" w:rsidR="002B302F" w:rsidRPr="00CD1426" w:rsidRDefault="002B302F" w:rsidP="00CD1426">
      <w:pPr>
        <w:tabs>
          <w:tab w:val="left" w:pos="0"/>
          <w:tab w:val="right" w:pos="540"/>
        </w:tabs>
        <w:spacing w:line="360" w:lineRule="auto"/>
        <w:jc w:val="both"/>
        <w:rPr>
          <w:rFonts w:ascii="Book Antiqua" w:hAnsi="Book Antiqua" w:cs="Arial"/>
          <w:lang w:val="en-US"/>
        </w:rPr>
      </w:pPr>
      <w:proofErr w:type="spellStart"/>
      <w:r w:rsidRPr="00CD1426">
        <w:rPr>
          <w:rFonts w:ascii="Book Antiqua" w:hAnsi="Book Antiqua" w:cs="Arial"/>
          <w:lang w:val="en-US"/>
        </w:rPr>
        <w:t>Sofosbuvir</w:t>
      </w:r>
      <w:proofErr w:type="spellEnd"/>
      <w:r w:rsidRPr="00CD1426">
        <w:rPr>
          <w:rFonts w:ascii="Book Antiqua" w:hAnsi="Book Antiqua" w:cs="Arial"/>
          <w:lang w:val="en-US"/>
        </w:rPr>
        <w:t xml:space="preserve"> is a nucleotide analogue inhibitor of the HCV NS5B RNA-dependent RNA polymerase, with HCV </w:t>
      </w:r>
      <w:proofErr w:type="spellStart"/>
      <w:r w:rsidRPr="00CD1426">
        <w:rPr>
          <w:rFonts w:ascii="Book Antiqua" w:hAnsi="Book Antiqua" w:cs="Arial"/>
          <w:lang w:val="en-US"/>
        </w:rPr>
        <w:t>pangenotypic</w:t>
      </w:r>
      <w:proofErr w:type="spellEnd"/>
      <w:r w:rsidRPr="00CD1426">
        <w:rPr>
          <w:rFonts w:ascii="Book Antiqua" w:hAnsi="Book Antiqua" w:cs="Arial"/>
          <w:lang w:val="en-US"/>
        </w:rPr>
        <w:t xml:space="preserve"> action. </w:t>
      </w:r>
    </w:p>
    <w:p w14:paraId="370BD0C8" w14:textId="59AFF3A6" w:rsidR="002B302F" w:rsidRPr="00CD1426" w:rsidRDefault="002B302F" w:rsidP="00CD1426">
      <w:pPr>
        <w:tabs>
          <w:tab w:val="left" w:pos="0"/>
          <w:tab w:val="right" w:pos="540"/>
        </w:tabs>
        <w:spacing w:line="360" w:lineRule="auto"/>
        <w:ind w:firstLineChars="200" w:firstLine="480"/>
        <w:jc w:val="both"/>
        <w:rPr>
          <w:rFonts w:ascii="Book Antiqua" w:hAnsi="Book Antiqua" w:cs="Arial"/>
          <w:lang w:val="en-US" w:eastAsia="zh-CN"/>
        </w:rPr>
      </w:pPr>
      <w:r w:rsidRPr="00CD1426">
        <w:rPr>
          <w:rFonts w:ascii="Book Antiqua" w:hAnsi="Book Antiqua" w:cs="Arial"/>
          <w:lang w:val="en-US"/>
        </w:rPr>
        <w:t xml:space="preserve">The phase 3 NEUTRINO trial evaluated </w:t>
      </w:r>
      <w:proofErr w:type="spellStart"/>
      <w:r w:rsidRPr="00CD1426">
        <w:rPr>
          <w:rFonts w:ascii="Book Antiqua" w:hAnsi="Book Antiqua" w:cs="Arial"/>
          <w:lang w:val="en-US"/>
        </w:rPr>
        <w:t>sofosbuvir</w:t>
      </w:r>
      <w:proofErr w:type="spellEnd"/>
      <w:r w:rsidRPr="00CD1426">
        <w:rPr>
          <w:rFonts w:ascii="Book Antiqua" w:hAnsi="Book Antiqua" w:cs="Arial"/>
          <w:lang w:val="en-US"/>
        </w:rPr>
        <w:t xml:space="preserve"> (400 mg</w:t>
      </w:r>
      <w:r w:rsidR="006074EB" w:rsidRPr="00CD1426">
        <w:rPr>
          <w:rFonts w:ascii="Book Antiqua" w:hAnsi="Book Antiqua" w:cs="Arial"/>
          <w:lang w:val="en-US" w:eastAsia="zh-CN"/>
        </w:rPr>
        <w:t>/d</w:t>
      </w:r>
      <w:r w:rsidRPr="00CD1426">
        <w:rPr>
          <w:rFonts w:ascii="Book Antiqua" w:hAnsi="Book Antiqua" w:cs="Arial"/>
          <w:lang w:val="en-US"/>
        </w:rPr>
        <w:t xml:space="preserve">) in combination with PEG-interferon and weight-based RBV (1000 mg to 1200 mg daily) for 12 </w:t>
      </w:r>
      <w:proofErr w:type="spellStart"/>
      <w:r w:rsidRPr="00CD1426">
        <w:rPr>
          <w:rFonts w:ascii="Book Antiqua" w:hAnsi="Book Antiqua" w:cs="Arial"/>
          <w:lang w:val="en-US"/>
        </w:rPr>
        <w:t>w</w:t>
      </w:r>
      <w:r w:rsidR="00B33120" w:rsidRPr="00CD1426">
        <w:rPr>
          <w:rFonts w:ascii="Book Antiqua" w:hAnsi="Book Antiqua" w:cs="Arial"/>
          <w:lang w:val="en-US"/>
        </w:rPr>
        <w:t>k</w:t>
      </w:r>
      <w:proofErr w:type="spellEnd"/>
      <w:r w:rsidRPr="00CD1426">
        <w:rPr>
          <w:rFonts w:ascii="Book Antiqua" w:hAnsi="Book Antiqua" w:cs="Arial"/>
          <w:lang w:val="en-US"/>
        </w:rPr>
        <w:fldChar w:fldCharType="begin" w:fldLock="1"/>
      </w:r>
      <w:r w:rsidR="001D4A08" w:rsidRPr="00CD1426">
        <w:rPr>
          <w:rFonts w:ascii="Book Antiqua" w:hAnsi="Book Antiqua" w:cs="Arial"/>
          <w:lang w:val="en-US"/>
        </w:rPr>
        <w:instrText>ADDIN CSL_CITATION { "citationItems" : [ { "id" : "ITEM-1", "itemData" : { "DOI" : "10.1016/S0140-6736(14)61036-9", "ISSN" : "01406736", "PMID" : "25078309", "abstract" : "BACKGROUND: Interferon-free regimens are needed to treat hepatitis C virus (HCV) infections. We investigated the efficacy of combined simeprevir and sofosbuvir.\n\nMETHODS: We enrolled patients with chronic HCV genotype 1 infections who had previously not responded to pegylated interferon (peginterferon) and ribavirin or were treatment naive. Patients were randomly assigned in a 2:2:1:1 ratio to receive 150 mg simeprevir and 400 mg sofosbuvir daily for 24 weeks with (group 1) or without (group 2) ribavirin or for 12 weeks with (group 3) or without (group 4) ribavirin, in two cohorts: previous non-responders with METAVIR scores F0-F2 (cohort 1) and previous non-responders and treatment-naive patients with METAVIR scores F3-F4 (cohort 2). The primary endpoint was sustained virological response 12 weeks after stopping treatment (SVR12). Analysis was done by intention to treat. Safety data from cohorts 1 and 2 were pooled for analysis. This study is registered with ClinicalTrials.gov, number NCT01466790.\n\nFINDINGS: 168 patients were enrolled and randomised, and 167 started treatment (n=80 in cohort 1 and n=87 in cohort 2). SVR12 was achieved in 154 (92%) patients (n=72 [90%, 95% CI 81-96] in cohort 1 and n=82 [94%, 87-98] in cohort 2). The most common adverse events in the pooled groups were fatigue (n=52 [31%]), headache (n=33 [20%]), and nausea (n=26 [16%]). Grade 4 adverse events were seen in one (2%) of 54 patients in each of groups 1 and 3 and in three (10%) of 31 patients in group 2, whereas grade 3-4 events were reported in less than 5% of all patients, except increased blood amylase concentration. Serious adverse events were seen in four (2%) patients, all in groups 1 and 2. Four (2%) patients discontinued all study treatment because of adverse events, three before week 12.\n\nINTERPRETATION: Combined simeprevir and sofosbuvir was efficacious and well tolerated.\n\nFUNDING: Janssen.", "author" : [ { "dropping-particle" : "", "family" : "Lawitz", "given" : "Eric", "non-dropping-particle" : "", "parse-names" : false, "suffix" : "" }, { "dropping-particle" : "", "family" : "Sulkowski", "given" : "Mark S", "non-dropping-particle" : "", "parse-names" : false, "suffix" : "" }, { "dropping-particle" : "", "family" : "Ghalib", "given" : "Reem", "non-dropping-particle" : "", "parse-names" : false, "suffix" : "" }, { "dropping-particle" : "", "family" : "Rodriguez-Torres", "given" : "Maribel", "non-dropping-particle" : "", "parse-names" : false, "suffix" : "" }, { "dropping-particle" : "", "family" : "Younossi", "given" : "Zobair M", "non-dropping-particle" : "", "parse-names" : false, "suffix" : "" }, { "dropping-particle" : "", "family" : "Corregidor", "given" : "Ana", "non-dropping-particle" : "", "parse-names" : false, "suffix" : "" }, { "dropping-particle" : "", "family" : "DeJesus", "given" : "Edwin", "non-dropping-particle" : "", "parse-names" : false, "suffix" : "" }, { "dropping-particle" : "", "family" : "Pearlman", "given" : "Brian", "non-dropping-particle" : "", "parse-names" : false, "suffix" : "" }, { "dropping-particle" : "", "family" : "Rabinovitz", "given" : "Mordechai", "non-dropping-particle" : "", "parse-names" : false, "suffix" : "" }, { "dropping-particle" : "", "family" : "Gitlin", "given" : "Norman", "non-dropping-particle" : "", "parse-names" : false, "suffix" : "" }, { "dropping-particle" : "", "family" : "Lim", "given" : "Joseph K", "non-dropping-particle" : "", "parse-names" : false, "suffix" : "" }, { "dropping-particle" : "", "family" : "Pockros", "given" : "Paul J", "non-dropping-particle" : "", "parse-names" : false, "suffix" : "" }, { "dropping-particle" : "", "family" : "Scott", "given" : "John D", "non-dropping-particle" : "", "parse-names" : false, "suffix" : "" }, { "dropping-particle" : "", "family" : "Fevery", "given" : "Bart", "non-dropping-particle" : "", "parse-names" : false, "suffix" : "" }, { "dropping-particle" : "", "family" : "Lambrecht", "given" : "Tom", "non-dropping-particle" : "", "parse-names" : false, "suffix" : "" }, { "dropping-particle" : "", "family" : "Ouwerkerk-Mahadevan", "given" : "Sivi", "non-dropping-particle" : "", "parse-names" : false, "suffix" : "" }, { "dropping-particle" : "", "family" : "Callewaert", "given" : "Katleen", "non-dropping-particle" : "", "parse-names" : false, "suffix" : "" }, { "dropping-particle" : "", "family" : "Symonds", "given" : "William T", "non-dropping-particle" : "", "parse-names" : false, "suffix" : "" }, { "dropping-particle" : "", "family" : "Picchio", "given" : "Gaston", "non-dropping-particle" : "", "parse-names" : false, "suffix" : "" }, { "dropping-particle" : "", "family" : "Lindsay", "given" : "Karen L", "non-dropping-particle" : "", "parse-names" : false, "suffix" : "" }, { "dropping-particle" : "", "family" : "Beumont", "given" : "Maria", "non-dropping-particle" : "", "parse-names" : false, "suffix" : "" }, { "dropping-particle" : "", "family" : "Jacobson", "given" : "Ira M", "non-dropping-particle" : "", "parse-names" : false, "suffix" : "" } ], "container-title" : "The Lancet", "id" : "ITEM-1", "issued" : { "date-parts" : [ [ "2014", "7", "26" ] ] }, "title" : "Simeprevir plus sofosbuvir, with or without ribavirin, to treat chronic infection with hepatitis C virus genotype 1 in non-responders to pegylated interferon and ribavirin and treatment-naive patients: the COSMOS randomised study", "type" : "article-journal" }, "uris" : [ "http://www.mendeley.com/documents/?uuid=5add4bbc-3578-4ce8-9125-b188e5a3457a" ] } ], "mendeley" : { "formattedCitation" : "&lt;sup&gt;[57]&lt;/sup&gt;", "plainTextFormattedCitation" : "[57]", "previouslyFormattedCitation" : "&lt;sup&gt;[57]&lt;/sup&gt;" }, "properties" : { "noteIndex" : 0 }, "schema" : "https://github.com/citation-style-language/schema/raw/master/csl-citation.json" }</w:instrText>
      </w:r>
      <w:r w:rsidRPr="00CD1426">
        <w:rPr>
          <w:rFonts w:ascii="Book Antiqua" w:hAnsi="Book Antiqua" w:cs="Arial"/>
          <w:lang w:val="en-US"/>
        </w:rPr>
        <w:fldChar w:fldCharType="separate"/>
      </w:r>
      <w:r w:rsidR="001D4A08" w:rsidRPr="00CD1426">
        <w:rPr>
          <w:rFonts w:ascii="Book Antiqua" w:hAnsi="Book Antiqua" w:cs="Arial"/>
          <w:noProof/>
          <w:vertAlign w:val="superscript"/>
          <w:lang w:val="en-US"/>
        </w:rPr>
        <w:t>[57]</w:t>
      </w:r>
      <w:r w:rsidRPr="00CD1426">
        <w:rPr>
          <w:rFonts w:ascii="Book Antiqua" w:hAnsi="Book Antiqua" w:cs="Arial"/>
          <w:lang w:val="en-US"/>
        </w:rPr>
        <w:fldChar w:fldCharType="end"/>
      </w:r>
      <w:r w:rsidR="00B33120" w:rsidRPr="00CD1426">
        <w:rPr>
          <w:rFonts w:ascii="Book Antiqua" w:hAnsi="Book Antiqua" w:cs="Arial"/>
          <w:lang w:val="en-US" w:eastAsia="zh-CN"/>
        </w:rPr>
        <w:t>.</w:t>
      </w:r>
      <w:r w:rsidRPr="00CD1426">
        <w:rPr>
          <w:rFonts w:ascii="Book Antiqua" w:hAnsi="Book Antiqua" w:cs="Arial"/>
          <w:lang w:val="en-US"/>
        </w:rPr>
        <w:t xml:space="preserve"> In the NEUTRINO study, of the 456 patients with HCV genotype 1, 4, 5, or 6, 291 had HCV genotype 1 and 327 began treatment. A total of 17% of patients were black, 71% were non-CC IL28B genotype, and 17% had cirrhosis. The SVR rate at 12 week after treatment was 90%. The variables associated with therapy response were cirrhosis, IL28B (rs12979860) genotype and ribavirin exposure. The SVR12 for patients with genotype 1 infection was 89.4% (SVR12 91.6% to HCV subtype 1a and 81.9% to HCV 1b); SVR12 was inferior in patients with cirrhosis (80%) than in those without cirrhosis (92%). Subjects with IL28B CC achieved a 97.9% SVR12 compared to 87.1</w:t>
      </w:r>
      <w:r w:rsidR="006074EB" w:rsidRPr="00CD1426">
        <w:rPr>
          <w:rFonts w:ascii="Book Antiqua" w:hAnsi="Book Antiqua" w:cs="Arial"/>
          <w:lang w:val="en-US"/>
        </w:rPr>
        <w:t>% among non-CC IL28B genotypes</w:t>
      </w:r>
      <w:r w:rsidRPr="00CD1426">
        <w:rPr>
          <w:rFonts w:ascii="Book Antiqua" w:hAnsi="Book Antiqua" w:cs="Arial"/>
          <w:lang w:val="en-US"/>
        </w:rPr>
        <w:fldChar w:fldCharType="begin" w:fldLock="1"/>
      </w:r>
      <w:r w:rsidR="001D4A08" w:rsidRPr="00CD1426">
        <w:rPr>
          <w:rFonts w:ascii="Book Antiqua" w:hAnsi="Book Antiqua" w:cs="Arial"/>
          <w:lang w:val="en-US"/>
        </w:rPr>
        <w:instrText>ADDIN CSL_CITATION { "citationItems" : [ { "id" : "ITEM-1", "itemData" : { "DOI" : "10.1016/S0140-6736(14)61036-9", "ISSN" : "01406736", "PMID" : "25078309", "abstract" : "BACKGROUND: Interferon-free regimens are needed to treat hepatitis C virus (HCV) infections. We investigated the efficacy of combined simeprevir and sofosbuvir.\n\nMETHODS: We enrolled patients with chronic HCV genotype 1 infections who had previously not responded to pegylated interferon (peginterferon) and ribavirin or were treatment naive. Patients were randomly assigned in a 2:2:1:1 ratio to receive 150 mg simeprevir and 400 mg sofosbuvir daily for 24 weeks with (group 1) or without (group 2) ribavirin or for 12 weeks with (group 3) or without (group 4) ribavirin, in two cohorts: previous non-responders with METAVIR scores F0-F2 (cohort 1) and previous non-responders and treatment-naive patients with METAVIR scores F3-F4 (cohort 2). The primary endpoint was sustained virological response 12 weeks after stopping treatment (SVR12). Analysis was done by intention to treat. Safety data from cohorts 1 and 2 were pooled for analysis. This study is registered with ClinicalTrials.gov, number NCT01466790.\n\nFINDINGS: 168 patients were enrolled and randomised, and 167 started treatment (n=80 in cohort 1 and n=87 in cohort 2). SVR12 was achieved in 154 (92%) patients (n=72 [90%, 95% CI 81-96] in cohort 1 and n=82 [94%, 87-98] in cohort 2). The most common adverse events in the pooled groups were fatigue (n=52 [31%]), headache (n=33 [20%]), and nausea (n=26 [16%]). Grade 4 adverse events were seen in one (2%) of 54 patients in each of groups 1 and 3 and in three (10%) of 31 patients in group 2, whereas grade 3-4 events were reported in less than 5% of all patients, except increased blood amylase concentration. Serious adverse events were seen in four (2%) patients, all in groups 1 and 2. Four (2%) patients discontinued all study treatment because of adverse events, three before week 12.\n\nINTERPRETATION: Combined simeprevir and sofosbuvir was efficacious and well tolerated.\n\nFUNDING: Janssen.", "author" : [ { "dropping-particle" : "", "family" : "Lawitz", "given" : "Eric", "non-dropping-particle" : "", "parse-names" : false, "suffix" : "" }, { "dropping-particle" : "", "family" : "Sulkowski", "given" : "Mark S", "non-dropping-particle" : "", "parse-names" : false, "suffix" : "" }, { "dropping-particle" : "", "family" : "Ghalib", "given" : "Reem", "non-dropping-particle" : "", "parse-names" : false, "suffix" : "" }, { "dropping-particle" : "", "family" : "Rodriguez-Torres", "given" : "Maribel", "non-dropping-particle" : "", "parse-names" : false, "suffix" : "" }, { "dropping-particle" : "", "family" : "Younossi", "given" : "Zobair M", "non-dropping-particle" : "", "parse-names" : false, "suffix" : "" }, { "dropping-particle" : "", "family" : "Corregidor", "given" : "Ana", "non-dropping-particle" : "", "parse-names" : false, "suffix" : "" }, { "dropping-particle" : "", "family" : "DeJesus", "given" : "Edwin", "non-dropping-particle" : "", "parse-names" : false, "suffix" : "" }, { "dropping-particle" : "", "family" : "Pearlman", "given" : "Brian", "non-dropping-particle" : "", "parse-names" : false, "suffix" : "" }, { "dropping-particle" : "", "family" : "Rabinovitz", "given" : "Mordechai", "non-dropping-particle" : "", "parse-names" : false, "suffix" : "" }, { "dropping-particle" : "", "family" : "Gitlin", "given" : "Norman", "non-dropping-particle" : "", "parse-names" : false, "suffix" : "" }, { "dropping-particle" : "", "family" : "Lim", "given" : "Joseph K", "non-dropping-particle" : "", "parse-names" : false, "suffix" : "" }, { "dropping-particle" : "", "family" : "Pockros", "given" : "Paul J", "non-dropping-particle" : "", "parse-names" : false, "suffix" : "" }, { "dropping-particle" : "", "family" : "Scott", "given" : "John D", "non-dropping-particle" : "", "parse-names" : false, "suffix" : "" }, { "dropping-particle" : "", "family" : "Fevery", "given" : "Bart", "non-dropping-particle" : "", "parse-names" : false, "suffix" : "" }, { "dropping-particle" : "", "family" : "Lambrecht", "given" : "Tom", "non-dropping-particle" : "", "parse-names" : false, "suffix" : "" }, { "dropping-particle" : "", "family" : "Ouwerkerk-Mahadevan", "given" : "Sivi", "non-dropping-particle" : "", "parse-names" : false, "suffix" : "" }, { "dropping-particle" : "", "family" : "Callewaert", "given" : "Katleen", "non-dropping-particle" : "", "parse-names" : false, "suffix" : "" }, { "dropping-particle" : "", "family" : "Symonds", "given" : "William T", "non-dropping-particle" : "", "parse-names" : false, "suffix" : "" }, { "dropping-particle" : "", "family" : "Picchio", "given" : "Gaston", "non-dropping-particle" : "", "parse-names" : false, "suffix" : "" }, { "dropping-particle" : "", "family" : "Lindsay", "given" : "Karen L", "non-dropping-particle" : "", "parse-names" : false, "suffix" : "" }, { "dropping-particle" : "", "family" : "Beumont", "given" : "Maria", "non-dropping-particle" : "", "parse-names" : false, "suffix" : "" }, { "dropping-particle" : "", "family" : "Jacobson", "given" : "Ira M", "non-dropping-particle" : "", "parse-names" : false, "suffix" : "" } ], "container-title" : "The Lancet", "id" : "ITEM-1", "issued" : { "date-parts" : [ [ "2014", "7", "26" ] ] }, "title" : "Simeprevir plus sofosbuvir, with or without ribavirin, to treat chronic infection with hepatitis C virus genotype 1 in non-responders to pegylated interferon and ribavirin and treatment-naive patients: the COSMOS randomised study", "type" : "article-journal" }, "uris" : [ "http://www.mendeley.com/documents/?uuid=5add4bbc-3578-4ce8-9125-b188e5a3457a" ] } ], "mendeley" : { "formattedCitation" : "&lt;sup&gt;[57]&lt;/sup&gt;", "plainTextFormattedCitation" : "[57]", "previouslyFormattedCitation" : "&lt;sup&gt;[57]&lt;/sup&gt;" }, "properties" : { "noteIndex" : 0 }, "schema" : "https://github.com/citation-style-language/schema/raw/master/csl-citation.json" }</w:instrText>
      </w:r>
      <w:r w:rsidRPr="00CD1426">
        <w:rPr>
          <w:rFonts w:ascii="Book Antiqua" w:hAnsi="Book Antiqua" w:cs="Arial"/>
          <w:lang w:val="en-US"/>
        </w:rPr>
        <w:fldChar w:fldCharType="separate"/>
      </w:r>
      <w:r w:rsidR="001D4A08" w:rsidRPr="00CD1426">
        <w:rPr>
          <w:rFonts w:ascii="Book Antiqua" w:hAnsi="Book Antiqua" w:cs="Arial"/>
          <w:noProof/>
          <w:vertAlign w:val="superscript"/>
          <w:lang w:val="en-US"/>
        </w:rPr>
        <w:t>[57]</w:t>
      </w:r>
      <w:r w:rsidRPr="00CD1426">
        <w:rPr>
          <w:rFonts w:ascii="Book Antiqua" w:hAnsi="Book Antiqua" w:cs="Arial"/>
          <w:lang w:val="en-US"/>
        </w:rPr>
        <w:fldChar w:fldCharType="end"/>
      </w:r>
      <w:r w:rsidR="006074EB" w:rsidRPr="00CD1426">
        <w:rPr>
          <w:rFonts w:ascii="Book Antiqua" w:hAnsi="Book Antiqua" w:cs="Arial"/>
          <w:lang w:val="en-US" w:eastAsia="zh-CN"/>
        </w:rPr>
        <w:t>.</w:t>
      </w:r>
    </w:p>
    <w:p w14:paraId="5B554F9D" w14:textId="73F7968B" w:rsidR="002B302F" w:rsidRPr="00CD1426" w:rsidRDefault="002B302F" w:rsidP="00CD1426">
      <w:pPr>
        <w:widowControl w:val="0"/>
        <w:autoSpaceDE w:val="0"/>
        <w:autoSpaceDN w:val="0"/>
        <w:adjustRightInd w:val="0"/>
        <w:spacing w:line="360" w:lineRule="auto"/>
        <w:ind w:firstLineChars="200" w:firstLine="480"/>
        <w:jc w:val="both"/>
        <w:rPr>
          <w:rFonts w:ascii="Book Antiqua" w:hAnsi="Book Antiqua" w:cs="Arial"/>
          <w:lang w:val="en-US"/>
        </w:rPr>
      </w:pPr>
      <w:r w:rsidRPr="00CD1426">
        <w:rPr>
          <w:rFonts w:ascii="Book Antiqua" w:hAnsi="Book Antiqua" w:cs="Arial"/>
          <w:lang w:val="en-US"/>
        </w:rPr>
        <w:t>In the FISSION study, 499 patients with HCV genotype 2 or 3 began treatment and 20.5% of patie</w:t>
      </w:r>
      <w:r w:rsidR="006074EB" w:rsidRPr="00CD1426">
        <w:rPr>
          <w:rFonts w:ascii="Book Antiqua" w:hAnsi="Book Antiqua" w:cs="Arial"/>
          <w:lang w:val="en-US"/>
        </w:rPr>
        <w:t>nts in all groups had cirrhosis</w:t>
      </w:r>
      <w:r w:rsidRPr="00CD1426">
        <w:rPr>
          <w:rFonts w:ascii="Book Antiqua" w:hAnsi="Book Antiqua" w:cs="Arial"/>
          <w:lang w:val="en-US"/>
        </w:rPr>
        <w:fldChar w:fldCharType="begin" w:fldLock="1"/>
      </w:r>
      <w:r w:rsidR="001D4A08" w:rsidRPr="00CD1426">
        <w:rPr>
          <w:rFonts w:ascii="Book Antiqua" w:hAnsi="Book Antiqua" w:cs="Arial"/>
          <w:lang w:val="en-US"/>
        </w:rPr>
        <w:instrText>ADDIN CSL_CITATION { "citationItems" : [ { "id" : "ITEM-1", "itemData" : { "DOI" : "10.1016/S0140-6736(14)61036-9", "ISSN" : "01406736", "PMID" : "25078309", "abstract" : "BACKGROUND: Interferon-free regimens are needed to treat hepatitis C virus (HCV) infections. We investigated the efficacy of combined simeprevir and sofosbuvir.\n\nMETHODS: We enrolled patients with chronic HCV genotype 1 infections who had previously not responded to pegylated interferon (peginterferon) and ribavirin or were treatment naive. Patients were randomly assigned in a 2:2:1:1 ratio to receive 150 mg simeprevir and 400 mg sofosbuvir daily for 24 weeks with (group 1) or without (group 2) ribavirin or for 12 weeks with (group 3) or without (group 4) ribavirin, in two cohorts: previous non-responders with METAVIR scores F0-F2 (cohort 1) and previous non-responders and treatment-naive patients with METAVIR scores F3-F4 (cohort 2). The primary endpoint was sustained virological response 12 weeks after stopping treatment (SVR12). Analysis was done by intention to treat. Safety data from cohorts 1 and 2 were pooled for analysis. This study is registered with ClinicalTrials.gov, number NCT01466790.\n\nFINDINGS: 168 patients were enrolled and randomised, and 167 started treatment (n=80 in cohort 1 and n=87 in cohort 2). SVR12 was achieved in 154 (92%) patients (n=72 [90%, 95% CI 81-96] in cohort 1 and n=82 [94%, 87-98] in cohort 2). The most common adverse events in the pooled groups were fatigue (n=52 [31%]), headache (n=33 [20%]), and nausea (n=26 [16%]). Grade 4 adverse events were seen in one (2%) of 54 patients in each of groups 1 and 3 and in three (10%) of 31 patients in group 2, whereas grade 3-4 events were reported in less than 5% of all patients, except increased blood amylase concentration. Serious adverse events were seen in four (2%) patients, all in groups 1 and 2. Four (2%) patients discontinued all study treatment because of adverse events, three before week 12.\n\nINTERPRETATION: Combined simeprevir and sofosbuvir was efficacious and well tolerated.\n\nFUNDING: Janssen.", "author" : [ { "dropping-particle" : "", "family" : "Lawitz", "given" : "Eric", "non-dropping-particle" : "", "parse-names" : false, "suffix" : "" }, { "dropping-particle" : "", "family" : "Sulkowski", "given" : "Mark S", "non-dropping-particle" : "", "parse-names" : false, "suffix" : "" }, { "dropping-particle" : "", "family" : "Ghalib", "given" : "Reem", "non-dropping-particle" : "", "parse-names" : false, "suffix" : "" }, { "dropping-particle" : "", "family" : "Rodriguez-Torres", "given" : "Maribel", "non-dropping-particle" : "", "parse-names" : false, "suffix" : "" }, { "dropping-particle" : "", "family" : "Younossi", "given" : "Zobair M", "non-dropping-particle" : "", "parse-names" : false, "suffix" : "" }, { "dropping-particle" : "", "family" : "Corregidor", "given" : "Ana", "non-dropping-particle" : "", "parse-names" : false, "suffix" : "" }, { "dropping-particle" : "", "family" : "DeJesus", "given" : "Edwin", "non-dropping-particle" : "", "parse-names" : false, "suffix" : "" }, { "dropping-particle" : "", "family" : "Pearlman", "given" : "Brian", "non-dropping-particle" : "", "parse-names" : false, "suffix" : "" }, { "dropping-particle" : "", "family" : "Rabinovitz", "given" : "Mordechai", "non-dropping-particle" : "", "parse-names" : false, "suffix" : "" }, { "dropping-particle" : "", "family" : "Gitlin", "given" : "Norman", "non-dropping-particle" : "", "parse-names" : false, "suffix" : "" }, { "dropping-particle" : "", "family" : "Lim", "given" : "Joseph K", "non-dropping-particle" : "", "parse-names" : false, "suffix" : "" }, { "dropping-particle" : "", "family" : "Pockros", "given" : "Paul J", "non-dropping-particle" : "", "parse-names" : false, "suffix" : "" }, { "dropping-particle" : "", "family" : "Scott", "given" : "John D", "non-dropping-particle" : "", "parse-names" : false, "suffix" : "" }, { "dropping-particle" : "", "family" : "Fevery", "given" : "Bart", "non-dropping-particle" : "", "parse-names" : false, "suffix" : "" }, { "dropping-particle" : "", "family" : "Lambrecht", "given" : "Tom", "non-dropping-particle" : "", "parse-names" : false, "suffix" : "" }, { "dropping-particle" : "", "family" : "Ouwerkerk-Mahadevan", "given" : "Sivi", "non-dropping-particle" : "", "parse-names" : false, "suffix" : "" }, { "dropping-particle" : "", "family" : "Callewaert", "given" : "Katleen", "non-dropping-particle" : "", "parse-names" : false, "suffix" : "" }, { "dropping-particle" : "", "family" : "Symonds", "given" : "William T", "non-dropping-particle" : "", "parse-names" : false, "suffix" : "" }, { "dropping-particle" : "", "family" : "Picchio", "given" : "Gaston", "non-dropping-particle" : "", "parse-names" : false, "suffix" : "" }, { "dropping-particle" : "", "family" : "Lindsay", "given" : "Karen L", "non-dropping-particle" : "", "parse-names" : false, "suffix" : "" }, { "dropping-particle" : "", "family" : "Beumont", "given" : "Maria", "non-dropping-particle" : "", "parse-names" : false, "suffix" : "" }, { "dropping-particle" : "", "family" : "Jacobson", "given" : "Ira M", "non-dropping-particle" : "", "parse-names" : false, "suffix" : "" } ], "container-title" : "The Lancet", "id" : "ITEM-1", "issued" : { "date-parts" : [ [ "2014", "7", "26" ] ] }, "title" : "Simeprevir plus sofosbuvir, with or without ribavirin, to treat chronic infection with hepatitis C virus genotype 1 in non-responders to pegylated interferon and ribavirin and treatment-naive patients: the COSMOS randomised study", "type" : "article-journal" }, "uris" : [ "http://www.mendeley.com/documents/?uuid=5add4bbc-3578-4ce8-9125-b188e5a3457a" ] } ], "mendeley" : { "formattedCitation" : "&lt;sup&gt;[57]&lt;/sup&gt;", "plainTextFormattedCitation" : "[57]", "previouslyFormattedCitation" : "&lt;sup&gt;[57]&lt;/sup&gt;" }, "properties" : { "noteIndex" : 0 }, "schema" : "https://github.com/citation-style-language/schema/raw/master/csl-citation.json" }</w:instrText>
      </w:r>
      <w:r w:rsidRPr="00CD1426">
        <w:rPr>
          <w:rFonts w:ascii="Book Antiqua" w:hAnsi="Book Antiqua" w:cs="Arial"/>
          <w:lang w:val="en-US"/>
        </w:rPr>
        <w:fldChar w:fldCharType="separate"/>
      </w:r>
      <w:r w:rsidR="001D4A08" w:rsidRPr="00CD1426">
        <w:rPr>
          <w:rFonts w:ascii="Book Antiqua" w:hAnsi="Book Antiqua" w:cs="Arial"/>
          <w:noProof/>
          <w:vertAlign w:val="superscript"/>
          <w:lang w:val="en-US"/>
        </w:rPr>
        <w:t>[57]</w:t>
      </w:r>
      <w:r w:rsidRPr="00CD1426">
        <w:rPr>
          <w:rFonts w:ascii="Book Antiqua" w:hAnsi="Book Antiqua" w:cs="Arial"/>
          <w:lang w:val="en-US"/>
        </w:rPr>
        <w:fldChar w:fldCharType="end"/>
      </w:r>
      <w:r w:rsidR="006074EB" w:rsidRPr="00CD1426">
        <w:rPr>
          <w:rFonts w:ascii="Book Antiqua" w:hAnsi="Book Antiqua" w:cs="Arial"/>
          <w:lang w:val="en-US" w:eastAsia="zh-CN"/>
        </w:rPr>
        <w:t>.</w:t>
      </w:r>
      <w:r w:rsidRPr="00CD1426">
        <w:rPr>
          <w:rFonts w:ascii="Book Antiqua" w:hAnsi="Book Antiqua" w:cs="Arial"/>
          <w:lang w:val="en-US"/>
        </w:rPr>
        <w:t xml:space="preserve"> In this phase 3 trial, among patients receiving </w:t>
      </w:r>
      <w:proofErr w:type="spellStart"/>
      <w:r w:rsidRPr="00CD1426">
        <w:rPr>
          <w:rFonts w:ascii="Book Antiqua" w:hAnsi="Book Antiqua" w:cs="Arial"/>
          <w:lang w:val="en-US"/>
        </w:rPr>
        <w:t>sofosbuvir</w:t>
      </w:r>
      <w:proofErr w:type="spellEnd"/>
      <w:r w:rsidRPr="00CD1426">
        <w:rPr>
          <w:rFonts w:ascii="Book Antiqua" w:hAnsi="Book Antiqua" w:cs="Arial"/>
          <w:lang w:val="en-US"/>
        </w:rPr>
        <w:t xml:space="preserve">–ribavirin, the predictive factors associated with SVR12 were HCV genotype, presence of cirrhosis, HCVRNA viral load at baseline and ribavirin exposure. The response rates were lower among patients with HCV genotype 3 than among those with genotype 2 (55.7% </w:t>
      </w:r>
      <w:r w:rsidRPr="00CD1426">
        <w:rPr>
          <w:rFonts w:ascii="Book Antiqua" w:hAnsi="Book Antiqua" w:cs="Arial"/>
          <w:i/>
          <w:lang w:val="en-US"/>
        </w:rPr>
        <w:t>v</w:t>
      </w:r>
      <w:r w:rsidR="00B33120" w:rsidRPr="00CD1426">
        <w:rPr>
          <w:rFonts w:ascii="Book Antiqua" w:hAnsi="Book Antiqua" w:cs="Arial"/>
          <w:i/>
          <w:lang w:val="en-US"/>
        </w:rPr>
        <w:t>s</w:t>
      </w:r>
      <w:r w:rsidRPr="00CD1426">
        <w:rPr>
          <w:rFonts w:ascii="Book Antiqua" w:hAnsi="Book Antiqua" w:cs="Arial"/>
          <w:lang w:val="en-US"/>
        </w:rPr>
        <w:t xml:space="preserve"> 97.1%); in addition, SVR rates observed were worse for cirrhotic patients than for th</w:t>
      </w:r>
      <w:r w:rsidR="00B33120" w:rsidRPr="00CD1426">
        <w:rPr>
          <w:rFonts w:ascii="Book Antiqua" w:hAnsi="Book Antiqua" w:cs="Arial"/>
          <w:lang w:val="en-US"/>
        </w:rPr>
        <w:t xml:space="preserve">ose without cirrhosis (46.9% </w:t>
      </w:r>
      <w:r w:rsidR="00B33120" w:rsidRPr="00CD1426">
        <w:rPr>
          <w:rFonts w:ascii="Book Antiqua" w:hAnsi="Book Antiqua" w:cs="Arial"/>
          <w:i/>
          <w:lang w:val="en-US"/>
        </w:rPr>
        <w:t>vs</w:t>
      </w:r>
      <w:r w:rsidRPr="00CD1426">
        <w:rPr>
          <w:rFonts w:ascii="Book Antiqua" w:hAnsi="Book Antiqua" w:cs="Arial"/>
          <w:lang w:val="en-US"/>
        </w:rPr>
        <w:t xml:space="preserve"> 72.1%), and patients with HCVRNA </w:t>
      </w:r>
      <w:r w:rsidRPr="00CD1426">
        <w:rPr>
          <w:rFonts w:ascii="Book Antiqua" w:hAnsi="Book Antiqua" w:cs="Arial"/>
          <w:u w:val="single"/>
          <w:lang w:val="en-US"/>
        </w:rPr>
        <w:t>&gt;</w:t>
      </w:r>
      <w:r w:rsidRPr="00CD1426">
        <w:rPr>
          <w:rFonts w:ascii="Book Antiqua" w:hAnsi="Book Antiqua" w:cs="Arial"/>
          <w:lang w:val="en-US"/>
        </w:rPr>
        <w:t xml:space="preserve"> 6 </w:t>
      </w:r>
      <w:r w:rsidR="006074EB" w:rsidRPr="00CD1426">
        <w:rPr>
          <w:rFonts w:ascii="Book Antiqua" w:hAnsi="Book Antiqua" w:cs="Arial"/>
          <w:lang w:val="en-US"/>
        </w:rPr>
        <w:t>log</w:t>
      </w:r>
      <w:r w:rsidRPr="00CD1426">
        <w:rPr>
          <w:rFonts w:ascii="Book Antiqua" w:hAnsi="Book Antiqua" w:cs="Arial"/>
          <w:vertAlign w:val="subscript"/>
          <w:lang w:val="en-US"/>
        </w:rPr>
        <w:t>10</w:t>
      </w:r>
      <w:r w:rsidRPr="00CD1426">
        <w:rPr>
          <w:rFonts w:ascii="Book Antiqua" w:hAnsi="Book Antiqua" w:cs="Arial"/>
          <w:lang w:val="en-US"/>
        </w:rPr>
        <w:t xml:space="preserve"> UI/m</w:t>
      </w:r>
      <w:r w:rsidR="006074EB" w:rsidRPr="00CD1426">
        <w:rPr>
          <w:rFonts w:ascii="Book Antiqua" w:hAnsi="Book Antiqua" w:cs="Arial"/>
          <w:lang w:val="en-US"/>
        </w:rPr>
        <w:t>L</w:t>
      </w:r>
      <w:r w:rsidRPr="00CD1426">
        <w:rPr>
          <w:rFonts w:ascii="Book Antiqua" w:hAnsi="Book Antiqua" w:cs="Arial"/>
          <w:lang w:val="en-US"/>
        </w:rPr>
        <w:t xml:space="preserve"> at baseline also had lower</w:t>
      </w:r>
      <w:r w:rsidR="00B33120" w:rsidRPr="00CD1426">
        <w:rPr>
          <w:rFonts w:ascii="Book Antiqua" w:hAnsi="Book Antiqua" w:cs="Arial"/>
          <w:lang w:val="en-US"/>
        </w:rPr>
        <w:t xml:space="preserve"> SVR rates at week 12 (61.6% </w:t>
      </w:r>
      <w:r w:rsidR="00B33120" w:rsidRPr="00CD1426">
        <w:rPr>
          <w:rFonts w:ascii="Book Antiqua" w:hAnsi="Book Antiqua" w:cs="Arial"/>
          <w:i/>
          <w:lang w:val="en-US"/>
        </w:rPr>
        <w:t>vs</w:t>
      </w:r>
      <w:r w:rsidRPr="00CD1426">
        <w:rPr>
          <w:rFonts w:ascii="Book Antiqua" w:hAnsi="Book Antiqua" w:cs="Arial"/>
          <w:lang w:val="en-US"/>
        </w:rPr>
        <w:t xml:space="preserve"> 78%). </w:t>
      </w:r>
    </w:p>
    <w:p w14:paraId="72DC1465" w14:textId="7C574894" w:rsidR="002B302F" w:rsidRPr="00CD1426" w:rsidRDefault="002B302F" w:rsidP="00CD1426">
      <w:pPr>
        <w:widowControl w:val="0"/>
        <w:autoSpaceDE w:val="0"/>
        <w:autoSpaceDN w:val="0"/>
        <w:adjustRightInd w:val="0"/>
        <w:spacing w:line="360" w:lineRule="auto"/>
        <w:ind w:firstLineChars="200" w:firstLine="480"/>
        <w:jc w:val="both"/>
        <w:rPr>
          <w:rFonts w:ascii="Book Antiqua" w:hAnsi="Book Antiqua" w:cs="Arial"/>
          <w:lang w:val="en-US"/>
        </w:rPr>
      </w:pPr>
      <w:r w:rsidRPr="00CD1426">
        <w:rPr>
          <w:rFonts w:ascii="Book Antiqua" w:hAnsi="Book Antiqua" w:cs="Arial"/>
          <w:lang w:val="en-US"/>
        </w:rPr>
        <w:lastRenderedPageBreak/>
        <w:t xml:space="preserve">In both Neutrino and Fission trials, known variables such as older age, black race (self-reported), body mass index </w:t>
      </w:r>
      <w:r w:rsidR="006074EB" w:rsidRPr="00CD1426">
        <w:rPr>
          <w:rFonts w:ascii="Book Antiqua" w:eastAsia="方正细倩简体" w:hAnsi="Book Antiqua" w:cs="Arial"/>
          <w:lang w:val="en-US"/>
        </w:rPr>
        <w:t>≥</w:t>
      </w:r>
      <w:r w:rsidR="006074EB" w:rsidRPr="00CD1426">
        <w:rPr>
          <w:rFonts w:ascii="Book Antiqua" w:eastAsia="方正细倩简体" w:hAnsi="Book Antiqua" w:cs="Arial"/>
          <w:lang w:val="en-US" w:eastAsia="zh-CN"/>
        </w:rPr>
        <w:t xml:space="preserve"> </w:t>
      </w:r>
      <w:r w:rsidRPr="00CD1426">
        <w:rPr>
          <w:rFonts w:ascii="Book Antiqua" w:hAnsi="Book Antiqua" w:cs="Arial"/>
          <w:lang w:val="en-US"/>
        </w:rPr>
        <w:t xml:space="preserve">30 </w:t>
      </w:r>
      <w:r w:rsidR="006074EB" w:rsidRPr="00CD1426">
        <w:rPr>
          <w:rFonts w:ascii="Book Antiqua" w:hAnsi="Book Antiqua" w:cs="Arial"/>
          <w:lang w:val="en-US"/>
        </w:rPr>
        <w:t>k</w:t>
      </w:r>
      <w:r w:rsidRPr="00CD1426">
        <w:rPr>
          <w:rFonts w:ascii="Book Antiqua" w:hAnsi="Book Antiqua" w:cs="Arial"/>
          <w:lang w:val="en-US"/>
        </w:rPr>
        <w:t>g/m</w:t>
      </w:r>
      <w:r w:rsidRPr="00CD1426">
        <w:rPr>
          <w:rFonts w:ascii="Book Antiqua" w:hAnsi="Book Antiqua" w:cs="Arial"/>
          <w:vertAlign w:val="superscript"/>
          <w:lang w:val="en-US"/>
        </w:rPr>
        <w:t>2</w:t>
      </w:r>
      <w:r w:rsidRPr="00CD1426">
        <w:rPr>
          <w:rFonts w:ascii="Book Antiqua" w:hAnsi="Book Antiqua" w:cs="Arial"/>
          <w:lang w:val="en-US"/>
        </w:rPr>
        <w:t xml:space="preserve"> that are commonly associated with failure of previous interferon-based treatments were not associated with SVR based on the multivariate logistic regression.</w:t>
      </w:r>
    </w:p>
    <w:p w14:paraId="00076925" w14:textId="77777777" w:rsidR="002B302F" w:rsidRPr="00CD1426" w:rsidRDefault="002B302F" w:rsidP="00CD1426">
      <w:pPr>
        <w:widowControl w:val="0"/>
        <w:autoSpaceDE w:val="0"/>
        <w:autoSpaceDN w:val="0"/>
        <w:adjustRightInd w:val="0"/>
        <w:spacing w:line="360" w:lineRule="auto"/>
        <w:ind w:firstLineChars="200" w:firstLine="480"/>
        <w:jc w:val="both"/>
        <w:rPr>
          <w:rFonts w:ascii="Book Antiqua" w:hAnsi="Book Antiqua" w:cs="Arial"/>
          <w:lang w:val="en-US"/>
        </w:rPr>
      </w:pPr>
      <w:r w:rsidRPr="00CD1426">
        <w:rPr>
          <w:rFonts w:ascii="Book Antiqua" w:hAnsi="Book Antiqua" w:cs="Arial"/>
          <w:lang w:val="en-US"/>
        </w:rPr>
        <w:t xml:space="preserve">Notably, 28 patients from NEUTRINO study and the 74 patients from FISSION study who received </w:t>
      </w:r>
      <w:proofErr w:type="spellStart"/>
      <w:r w:rsidRPr="00CD1426">
        <w:rPr>
          <w:rFonts w:ascii="Book Antiqua" w:hAnsi="Book Antiqua" w:cs="Arial"/>
          <w:lang w:val="en-US"/>
        </w:rPr>
        <w:t>sofosbuvir</w:t>
      </w:r>
      <w:proofErr w:type="spellEnd"/>
      <w:r w:rsidRPr="00CD1426">
        <w:rPr>
          <w:rFonts w:ascii="Book Antiqua" w:hAnsi="Book Antiqua" w:cs="Arial"/>
          <w:lang w:val="en-US"/>
        </w:rPr>
        <w:t xml:space="preserve"> relapsed after a </w:t>
      </w:r>
      <w:proofErr w:type="spellStart"/>
      <w:r w:rsidRPr="00CD1426">
        <w:rPr>
          <w:rFonts w:ascii="Book Antiqua" w:hAnsi="Book Antiqua" w:cs="Arial"/>
          <w:lang w:val="en-US"/>
        </w:rPr>
        <w:t>virologic</w:t>
      </w:r>
      <w:proofErr w:type="spellEnd"/>
      <w:r w:rsidRPr="00CD1426">
        <w:rPr>
          <w:rFonts w:ascii="Book Antiqua" w:hAnsi="Book Antiqua" w:cs="Arial"/>
          <w:lang w:val="en-US"/>
        </w:rPr>
        <w:t xml:space="preserve"> response at the end of treatment; however, the reason for this non-response is unknown. Testing for viral resistance did not find the S282T HCV mutation associated with </w:t>
      </w:r>
      <w:proofErr w:type="spellStart"/>
      <w:r w:rsidRPr="00CD1426">
        <w:rPr>
          <w:rFonts w:ascii="Book Antiqua" w:hAnsi="Book Antiqua" w:cs="Arial"/>
          <w:lang w:val="en-US"/>
        </w:rPr>
        <w:t>Sofosbuvir</w:t>
      </w:r>
      <w:proofErr w:type="spellEnd"/>
      <w:r w:rsidRPr="00CD1426">
        <w:rPr>
          <w:rFonts w:ascii="Book Antiqua" w:hAnsi="Book Antiqua" w:cs="Arial"/>
          <w:lang w:val="en-US"/>
        </w:rPr>
        <w:t>.</w:t>
      </w:r>
    </w:p>
    <w:p w14:paraId="37596D0F" w14:textId="18F8008E" w:rsidR="002B302F" w:rsidRPr="00CD1426" w:rsidRDefault="002B302F" w:rsidP="00CD1426">
      <w:pPr>
        <w:widowControl w:val="0"/>
        <w:autoSpaceDE w:val="0"/>
        <w:autoSpaceDN w:val="0"/>
        <w:adjustRightInd w:val="0"/>
        <w:spacing w:line="360" w:lineRule="auto"/>
        <w:ind w:firstLineChars="200" w:firstLine="480"/>
        <w:jc w:val="both"/>
        <w:rPr>
          <w:rFonts w:ascii="Book Antiqua" w:hAnsi="Book Antiqua" w:cs="Arial"/>
          <w:lang w:val="en-US" w:eastAsia="zh-CN"/>
        </w:rPr>
      </w:pPr>
      <w:r w:rsidRPr="00CD1426">
        <w:rPr>
          <w:rFonts w:ascii="Book Antiqua" w:hAnsi="Book Antiqua" w:cs="Arial"/>
          <w:lang w:val="en-US"/>
        </w:rPr>
        <w:t xml:space="preserve">Daily </w:t>
      </w:r>
      <w:proofErr w:type="spellStart"/>
      <w:r w:rsidRPr="00CD1426">
        <w:rPr>
          <w:rFonts w:ascii="Book Antiqua" w:hAnsi="Book Antiqua" w:cs="Arial"/>
          <w:lang w:val="en-US"/>
        </w:rPr>
        <w:t>sofosbuvir</w:t>
      </w:r>
      <w:proofErr w:type="spellEnd"/>
      <w:r w:rsidRPr="00CD1426">
        <w:rPr>
          <w:rFonts w:ascii="Book Antiqua" w:hAnsi="Book Antiqua" w:cs="Arial"/>
          <w:lang w:val="en-US"/>
        </w:rPr>
        <w:t xml:space="preserve"> (400 mg) and weight-based ribavirin plus weekly </w:t>
      </w:r>
      <w:proofErr w:type="spellStart"/>
      <w:r w:rsidRPr="00CD1426">
        <w:rPr>
          <w:rFonts w:ascii="Book Antiqua" w:hAnsi="Book Antiqua" w:cs="Arial"/>
          <w:lang w:val="en-US"/>
        </w:rPr>
        <w:t>pegylated</w:t>
      </w:r>
      <w:proofErr w:type="spellEnd"/>
      <w:r w:rsidRPr="00CD1426">
        <w:rPr>
          <w:rFonts w:ascii="Book Antiqua" w:hAnsi="Book Antiqua" w:cs="Arial"/>
          <w:lang w:val="en-US"/>
        </w:rPr>
        <w:t xml:space="preserve"> interferon for 12 </w:t>
      </w:r>
      <w:proofErr w:type="spellStart"/>
      <w:r w:rsidRPr="00CD1426">
        <w:rPr>
          <w:rFonts w:ascii="Book Antiqua" w:hAnsi="Book Antiqua" w:cs="Arial"/>
          <w:lang w:val="en-US"/>
        </w:rPr>
        <w:t>w</w:t>
      </w:r>
      <w:r w:rsidR="00B33120" w:rsidRPr="00CD1426">
        <w:rPr>
          <w:rFonts w:ascii="Book Antiqua" w:hAnsi="Book Antiqua" w:cs="Arial"/>
          <w:lang w:val="en-US"/>
        </w:rPr>
        <w:t>k</w:t>
      </w:r>
      <w:proofErr w:type="spellEnd"/>
      <w:r w:rsidRPr="00CD1426">
        <w:rPr>
          <w:rFonts w:ascii="Book Antiqua" w:hAnsi="Book Antiqua" w:cs="Arial"/>
          <w:lang w:val="en-US"/>
        </w:rPr>
        <w:t xml:space="preserve"> is one of the recommended treatment regimens for interferon-eligible subjects with HCV</w:t>
      </w:r>
      <w:r w:rsidR="006074EB" w:rsidRPr="00CD1426">
        <w:rPr>
          <w:rFonts w:ascii="Book Antiqua" w:hAnsi="Book Antiqua" w:cs="Arial"/>
          <w:lang w:val="en-US"/>
        </w:rPr>
        <w:t xml:space="preserve"> genotype 1, 2 and 3 infection</w:t>
      </w:r>
      <w:r w:rsidRPr="00CD1426">
        <w:rPr>
          <w:rFonts w:ascii="Book Antiqua" w:hAnsi="Book Antiqua" w:cs="Arial"/>
          <w:lang w:val="en-US"/>
        </w:rPr>
        <w:fldChar w:fldCharType="begin" w:fldLock="1"/>
      </w:r>
      <w:r w:rsidR="001D4A08" w:rsidRPr="00CD1426">
        <w:rPr>
          <w:rFonts w:ascii="Book Antiqua" w:hAnsi="Book Antiqua" w:cs="Arial"/>
          <w:lang w:val="en-US"/>
        </w:rPr>
        <w:instrText>ADDIN CSL_CITATION { "citationItems" : [ { "id" : "ITEM-1", "itemData" : { "URL" : "http://www.aasld.org/practiceguidelines/Pages/AASLDStatementonHCVGuidance.aspx", "accessed" : { "date-parts" : [ [ "2014", "8", "17" ] ] }, "id" : "ITEM-1", "issued" : { "date-parts" : [ [ "0" ] ] }, "title" : "AASLD: AASLD Statement on HCV Guidance", "type" : "webpage" }, "uris" : [ "http://www.mendeley.com/documents/?uuid=c12773b9-3cc4-477e-9d8d-0643403610d9" ] }, { "id" : "ITEM-2", "itemData" : { "URL" : "http://www.easl.eu/_newsroom/latest-news/easl-recommendations-on-treatment-of-hepatitis-c-2014", "accessed" : { "date-parts" : [ [ "2014", "8", "21" ] ] }, "id" : "ITEM-2", "issued" : { "date-parts" : [ [ "0" ] ] }, "title" : "EASL Recommendations on Treatment of Hepatitis C 2014 .:. Latest news .:. EASL - EUROPEAN ASSOCIATION FOR THE STUDY OF THE LIVER", "type" : "webpage" }, "uris" : [ "http://www.mendeley.com/documents/?uuid=e9f64203-aa43-42f2-a304-9f47ea3a54f1" ] } ], "mendeley" : { "formattedCitation" : "&lt;sup&gt;[58,59]&lt;/sup&gt;", "plainTextFormattedCitation" : "[58,59]", "previouslyFormattedCitation" : "&lt;sup&gt;[58,59]&lt;/sup&gt;" }, "properties" : { "noteIndex" : 0 }, "schema" : "https://github.com/citation-style-language/schema/raw/master/csl-citation.json" }</w:instrText>
      </w:r>
      <w:r w:rsidRPr="00CD1426">
        <w:rPr>
          <w:rFonts w:ascii="Book Antiqua" w:hAnsi="Book Antiqua" w:cs="Arial"/>
          <w:lang w:val="en-US"/>
        </w:rPr>
        <w:fldChar w:fldCharType="separate"/>
      </w:r>
      <w:r w:rsidR="001D4A08" w:rsidRPr="00CD1426">
        <w:rPr>
          <w:rFonts w:ascii="Book Antiqua" w:hAnsi="Book Antiqua" w:cs="Arial"/>
          <w:noProof/>
          <w:vertAlign w:val="superscript"/>
          <w:lang w:val="en-US"/>
        </w:rPr>
        <w:t>[58,59]</w:t>
      </w:r>
      <w:r w:rsidRPr="00CD1426">
        <w:rPr>
          <w:rFonts w:ascii="Book Antiqua" w:hAnsi="Book Antiqua" w:cs="Arial"/>
          <w:lang w:val="en-US"/>
        </w:rPr>
        <w:fldChar w:fldCharType="end"/>
      </w:r>
      <w:r w:rsidR="006074EB" w:rsidRPr="00CD1426">
        <w:rPr>
          <w:rFonts w:ascii="Book Antiqua" w:hAnsi="Book Antiqua" w:cs="Arial"/>
          <w:lang w:val="en-US" w:eastAsia="zh-CN"/>
        </w:rPr>
        <w:t>.</w:t>
      </w:r>
    </w:p>
    <w:p w14:paraId="7CB9B043" w14:textId="4C5C5AB2" w:rsidR="002B302F" w:rsidRPr="00CD1426" w:rsidRDefault="002B302F" w:rsidP="00CD1426">
      <w:pPr>
        <w:widowControl w:val="0"/>
        <w:autoSpaceDE w:val="0"/>
        <w:autoSpaceDN w:val="0"/>
        <w:adjustRightInd w:val="0"/>
        <w:spacing w:line="360" w:lineRule="auto"/>
        <w:ind w:firstLineChars="200" w:firstLine="480"/>
        <w:jc w:val="both"/>
        <w:rPr>
          <w:rFonts w:ascii="Book Antiqua" w:hAnsi="Book Antiqua" w:cs="Arial"/>
          <w:bCs/>
          <w:lang w:val="en-US" w:eastAsia="zh-CN"/>
        </w:rPr>
      </w:pPr>
      <w:r w:rsidRPr="00CD1426">
        <w:rPr>
          <w:rFonts w:ascii="Book Antiqua" w:hAnsi="Book Antiqua" w:cs="Arial"/>
          <w:bCs/>
          <w:lang w:val="en-US"/>
        </w:rPr>
        <w:t xml:space="preserve">Cost-effectiveness exploratory analysis showed that in developed countries the strategy of treating all individuals with genotype 1 and 4 chronic hepatitis C with Peg-IFN alpha-2a, ribavirin and </w:t>
      </w:r>
      <w:proofErr w:type="spellStart"/>
      <w:r w:rsidRPr="00CD1426">
        <w:rPr>
          <w:rFonts w:ascii="Book Antiqua" w:hAnsi="Book Antiqua" w:cs="Arial"/>
          <w:bCs/>
          <w:lang w:val="en-US"/>
        </w:rPr>
        <w:t>sofosbuvir</w:t>
      </w:r>
      <w:proofErr w:type="spellEnd"/>
      <w:r w:rsidRPr="00CD1426">
        <w:rPr>
          <w:rFonts w:ascii="Book Antiqua" w:hAnsi="Book Antiqua" w:cs="Arial"/>
          <w:bCs/>
          <w:lang w:val="en-US"/>
        </w:rPr>
        <w:t xml:space="preserve"> (12 </w:t>
      </w:r>
      <w:proofErr w:type="spellStart"/>
      <w:r w:rsidRPr="00CD1426">
        <w:rPr>
          <w:rFonts w:ascii="Book Antiqua" w:hAnsi="Book Antiqua" w:cs="Arial"/>
          <w:bCs/>
          <w:lang w:val="en-US"/>
        </w:rPr>
        <w:t>w</w:t>
      </w:r>
      <w:r w:rsidR="00B33120" w:rsidRPr="00CD1426">
        <w:rPr>
          <w:rFonts w:ascii="Book Antiqua" w:hAnsi="Book Antiqua" w:cs="Arial"/>
          <w:bCs/>
          <w:lang w:val="en-US"/>
        </w:rPr>
        <w:t>k</w:t>
      </w:r>
      <w:proofErr w:type="spellEnd"/>
      <w:r w:rsidRPr="00CD1426">
        <w:rPr>
          <w:rFonts w:ascii="Book Antiqua" w:hAnsi="Book Antiqua" w:cs="Arial"/>
          <w:bCs/>
          <w:lang w:val="en-US"/>
        </w:rPr>
        <w:t xml:space="preserve">) as well as </w:t>
      </w:r>
      <w:r w:rsidR="00DC1A03" w:rsidRPr="00CD1426">
        <w:rPr>
          <w:rFonts w:ascii="Book Antiqua" w:hAnsi="Book Antiqua" w:cs="Arial"/>
          <w:bCs/>
          <w:lang w:val="en-US"/>
        </w:rPr>
        <w:t>treating HCV</w:t>
      </w:r>
      <w:r w:rsidRPr="00CD1426">
        <w:rPr>
          <w:rFonts w:ascii="Book Antiqua" w:hAnsi="Book Antiqua" w:cs="Arial"/>
          <w:bCs/>
          <w:lang w:val="en-US"/>
        </w:rPr>
        <w:t xml:space="preserve"> genotype 2 and 3 patients with </w:t>
      </w:r>
      <w:proofErr w:type="spellStart"/>
      <w:r w:rsidRPr="00CD1426">
        <w:rPr>
          <w:rFonts w:ascii="Book Antiqua" w:hAnsi="Book Antiqua" w:cs="Arial"/>
          <w:bCs/>
          <w:lang w:val="en-US"/>
        </w:rPr>
        <w:t>sofosbuvir</w:t>
      </w:r>
      <w:proofErr w:type="spellEnd"/>
      <w:r w:rsidRPr="00CD1426">
        <w:rPr>
          <w:rFonts w:ascii="Book Antiqua" w:hAnsi="Book Antiqua" w:cs="Arial"/>
          <w:bCs/>
          <w:lang w:val="en-US"/>
        </w:rPr>
        <w:t xml:space="preserve"> plus ribavirin (12 weeks) would be cost-effective when compared to no treatment or to restricting therapy according to stage of fibrosis (≥</w:t>
      </w:r>
      <w:r w:rsidR="00B33120" w:rsidRPr="00CD1426">
        <w:rPr>
          <w:rFonts w:ascii="Book Antiqua" w:hAnsi="Book Antiqua" w:cs="Arial"/>
          <w:bCs/>
          <w:lang w:val="en-US" w:eastAsia="zh-CN"/>
        </w:rPr>
        <w:t xml:space="preserve"> </w:t>
      </w:r>
      <w:r w:rsidRPr="00CD1426">
        <w:rPr>
          <w:rFonts w:ascii="Book Antiqua" w:hAnsi="Book Antiqua" w:cs="Arial"/>
          <w:bCs/>
          <w:lang w:val="en-US"/>
        </w:rPr>
        <w:t>F2, analyzed by non</w:t>
      </w:r>
      <w:r w:rsidR="00B33120" w:rsidRPr="00CD1426">
        <w:rPr>
          <w:rFonts w:ascii="Book Antiqua" w:hAnsi="Book Antiqua" w:cs="Arial"/>
          <w:bCs/>
          <w:lang w:val="en-US" w:eastAsia="zh-CN"/>
        </w:rPr>
        <w:t>-</w:t>
      </w:r>
      <w:r w:rsidRPr="00CD1426">
        <w:rPr>
          <w:rFonts w:ascii="Book Antiqua" w:hAnsi="Book Antiqua" w:cs="Arial"/>
          <w:bCs/>
          <w:lang w:val="en-US"/>
        </w:rPr>
        <w:t xml:space="preserve">invasive tests). This analysis has considered other treatment options and has showed that treating everyone would be cost-effective if the overall increase in treatment </w:t>
      </w:r>
      <w:r w:rsidR="00DC1A03" w:rsidRPr="00CD1426">
        <w:rPr>
          <w:rFonts w:ascii="Book Antiqua" w:hAnsi="Book Antiqua" w:cs="Arial"/>
          <w:bCs/>
          <w:lang w:val="en-US"/>
        </w:rPr>
        <w:t>reached up</w:t>
      </w:r>
      <w:r w:rsidR="006074EB" w:rsidRPr="00CD1426">
        <w:rPr>
          <w:rFonts w:ascii="Book Antiqua" w:hAnsi="Book Antiqua" w:cs="Arial"/>
          <w:bCs/>
          <w:lang w:val="en-US"/>
        </w:rPr>
        <w:t xml:space="preserve"> to about £ 37</w:t>
      </w:r>
      <w:r w:rsidRPr="00CD1426">
        <w:rPr>
          <w:rFonts w:ascii="Book Antiqua" w:hAnsi="Book Antiqua" w:cs="Arial"/>
          <w:bCs/>
          <w:lang w:val="en-US"/>
        </w:rPr>
        <w:t>500, but not over. If costs</w:t>
      </w:r>
      <w:r w:rsidR="006074EB" w:rsidRPr="00CD1426">
        <w:rPr>
          <w:rFonts w:ascii="Book Antiqua" w:hAnsi="Book Antiqua" w:cs="Arial"/>
          <w:bCs/>
          <w:lang w:val="en-US"/>
        </w:rPr>
        <w:t xml:space="preserve"> increased to greater than £ 37</w:t>
      </w:r>
      <w:r w:rsidRPr="00CD1426">
        <w:rPr>
          <w:rFonts w:ascii="Book Antiqua" w:hAnsi="Book Antiqua" w:cs="Arial"/>
          <w:bCs/>
          <w:lang w:val="en-US"/>
        </w:rPr>
        <w:t xml:space="preserve">500 the strategy to restrict the treatment for patients with METAVIR ≥ F2 would be the most cost effective. </w:t>
      </w:r>
      <w:r w:rsidR="006074EB" w:rsidRPr="00CD1426">
        <w:rPr>
          <w:rFonts w:ascii="Book Antiqua" w:hAnsi="Book Antiqua" w:cs="Arial"/>
          <w:bCs/>
          <w:lang w:val="en-US"/>
        </w:rPr>
        <w:t>Unfortunately these results can</w:t>
      </w:r>
      <w:r w:rsidR="006074EB" w:rsidRPr="00CD1426">
        <w:rPr>
          <w:rFonts w:ascii="Book Antiqua" w:hAnsi="Book Antiqua" w:cs="Arial"/>
          <w:bCs/>
          <w:lang w:val="en-US" w:eastAsia="zh-CN"/>
        </w:rPr>
        <w:t>’</w:t>
      </w:r>
      <w:r w:rsidRPr="00CD1426">
        <w:rPr>
          <w:rFonts w:ascii="Book Antiqua" w:hAnsi="Book Antiqua" w:cs="Arial"/>
          <w:bCs/>
          <w:lang w:val="en-US"/>
        </w:rPr>
        <w:t>t be extrapolated to developing countries, where local cost-effectiveness</w:t>
      </w:r>
      <w:r w:rsidR="006074EB" w:rsidRPr="00CD1426">
        <w:rPr>
          <w:rFonts w:ascii="Book Antiqua" w:hAnsi="Book Antiqua" w:cs="Arial"/>
          <w:bCs/>
          <w:lang w:val="en-US"/>
        </w:rPr>
        <w:t xml:space="preserve"> analyzes need to be evaluated</w:t>
      </w:r>
      <w:r w:rsidRPr="00CD1426">
        <w:rPr>
          <w:rFonts w:ascii="Book Antiqua" w:hAnsi="Book Antiqua" w:cs="Arial"/>
          <w:bCs/>
          <w:lang w:val="en-US"/>
        </w:rPr>
        <w:fldChar w:fldCharType="begin" w:fldLock="1"/>
      </w:r>
      <w:r w:rsidR="001D4A08" w:rsidRPr="00CD1426">
        <w:rPr>
          <w:rFonts w:ascii="Book Antiqua" w:hAnsi="Book Antiqua" w:cs="Arial"/>
          <w:bCs/>
          <w:lang w:val="en-US"/>
        </w:rPr>
        <w:instrText>ADDIN CSL_CITATION { "citationItems" : [ { "id" : "ITEM-1", "itemData" : { "DOI" : "10.1002/hep.27296", "ISSN" : "1527-3350", "PMID" : "25043847", "abstract" : "UNLABELLED: The cost-effectiveness of noninvasive tests (NITs) as alternatives to liver biopsy is unknown. We compared the cost-effectiveness of using NITs to inform treatment decisions in adult patients with chronic hepatitis C (CHC). We conducted a systematic review and meta-analysis to calculate the diagnostic accuracy of various NITs using a bivariate random-effects model. We constructed a probabilistic decision analytical model to estimate health care costs and outcomes (quality-adjusted life-years; QALYs) using data from the meta-analysis, literature, and national UK data. We compared the cost-effectiveness of four treatment strategies: testing with NITs and treating patients with fibrosis stage\u2265F2; testing with liver biopsy and treating patients with \u2265F2; treat none; and treat all irrespective of fibrosis. We compared all NITs and tested the cost-effectiveness using current triple therapy with boceprevir or telaprevir, but also modeled new, more-potent antivirals. Treating all patients without any previous NIT was the most effective strategy and had an incremental cost-effectiveness ratio (ICER) of \u00a39,204 per additional QALY gained. The exploratory analysis of currently licensed sofosbuvir treatment regimens found that treat all was cost-effective, compared to using an NIT to decide on treatment, with an ICER of \u00a316,028 per QALY gained. The exploratory analysis to assess the possible effect on results of new treatments, found that if SVR rates increased to &gt;90% for genotypes 1-4, the incremental treatment cost threshold for the \"treat all\" strategy to remain the most cost-effective strategy would be \u00a337,500. Above this threshold, the most cost-effective option would be noninvasive testing with magnetic resonance elastography (ICER=\u00a39,189).\n\nCONCLUSIONS: Treating all adult patients with CHC, irrespective of fibrosis stage, is the most cost-effective strategy with currently available drugs in developed countries.", "author" : [ { "dropping-particle" : "", "family" : "Tsochatzis", "given" : "Emmanuel A", "non-dropping-particle" : "", "parse-names" : false, "suffix" : "" }, { "dropping-particle" : "", "family" : "Crossan", "given" : "Catriona", "non-dropping-particle" : "", "parse-names" : false, "suffix" : "" }, { "dropping-particle" : "", "family" : "Longworth", "given" : "Louise", "non-dropping-particle" : "", "parse-names" : false, "suffix" : "" }, { "dropping-particle" : "", "family" : "Gurusamy", "given" : "Kurinchi", "non-dropping-particle" : "", "parse-names" : false, "suffix" : "" }, { "dropping-particle" : "", "family" : "Rodriguez-Peralvarez", "given" : "Manolo", "non-dropping-particle" : "", "parse-names" : false, "suffix" : "" }, { "dropping-particle" : "", "family" : "Mantzoukis", "given" : "Konstantinos", "non-dropping-particle" : "", "parse-names" : false, "suffix" : "" }, { "dropping-particle" : "", "family" : "O'Brien", "given" : "Julia", "non-dropping-particle" : "", "parse-names" : false, "suffix" : "" }, { "dropping-particle" : "", "family" : "Thalassinos", "given" : "Evangelos", "non-dropping-particle" : "", "parse-names" : false, "suffix" : "" }, { "dropping-particle" : "", "family" : "Papastergiou", "given" : "Vassilios", "non-dropping-particle" : "", "parse-names" : false, "suffix" : "" }, { "dropping-particle" : "", "family" : "Noel-Storr", "given" : "Anna", "non-dropping-particle" : "", "parse-names" : false, "suffix" : "" }, { "dropping-particle" : "", "family" : "Davidson", "given" : "Brian", "non-dropping-particle" : "", "parse-names" : false, "suffix" : "" }, { "dropping-particle" : "", "family" : "Burroughs", "given" : "Andrew K", "non-dropping-particle" : "", "parse-names" : false, "suffix" : "" } ], "container-title" : "Hepatology (Baltimore, Md.)", "id" : "ITEM-1", "issue" : "3", "issued" : { "date-parts" : [ [ "2014", "9" ] ] }, "page" : "832-43", "title" : "Cost-effectiveness of noninvasive liver fibrosis tests for treatment decisions in patients with chronic hepatitis C.", "type" : "article-journal", "volume" : "60" }, "uris" : [ "http://www.mendeley.com/documents/?uuid=999190d8-6e34-4fea-afbd-c1e753a249dc" ] } ], "mendeley" : { "formattedCitation" : "&lt;sup&gt;[60]&lt;/sup&gt;", "plainTextFormattedCitation" : "[60]", "previouslyFormattedCitation" : "&lt;sup&gt;[60]&lt;/sup&gt;" }, "properties" : { "noteIndex" : 0 }, "schema" : "https://github.com/citation-style-language/schema/raw/master/csl-citation.json" }</w:instrText>
      </w:r>
      <w:r w:rsidRPr="00CD1426">
        <w:rPr>
          <w:rFonts w:ascii="Book Antiqua" w:hAnsi="Book Antiqua" w:cs="Arial"/>
          <w:bCs/>
          <w:lang w:val="en-US"/>
        </w:rPr>
        <w:fldChar w:fldCharType="separate"/>
      </w:r>
      <w:r w:rsidR="001D4A08" w:rsidRPr="00CD1426">
        <w:rPr>
          <w:rFonts w:ascii="Book Antiqua" w:hAnsi="Book Antiqua" w:cs="Arial"/>
          <w:bCs/>
          <w:noProof/>
          <w:vertAlign w:val="superscript"/>
          <w:lang w:val="en-US"/>
        </w:rPr>
        <w:t>[60]</w:t>
      </w:r>
      <w:r w:rsidRPr="00CD1426">
        <w:rPr>
          <w:rFonts w:ascii="Book Antiqua" w:hAnsi="Book Antiqua" w:cs="Arial"/>
          <w:bCs/>
          <w:lang w:val="en-US"/>
        </w:rPr>
        <w:fldChar w:fldCharType="end"/>
      </w:r>
      <w:r w:rsidR="006074EB" w:rsidRPr="00CD1426">
        <w:rPr>
          <w:rFonts w:ascii="Book Antiqua" w:hAnsi="Book Antiqua" w:cs="Arial"/>
          <w:bCs/>
          <w:lang w:val="en-US" w:eastAsia="zh-CN"/>
        </w:rPr>
        <w:t>.</w:t>
      </w:r>
    </w:p>
    <w:p w14:paraId="0E1035F5" w14:textId="77777777" w:rsidR="006074EB" w:rsidRPr="00CD1426" w:rsidRDefault="006074EB" w:rsidP="00CD1426">
      <w:pPr>
        <w:widowControl w:val="0"/>
        <w:autoSpaceDE w:val="0"/>
        <w:autoSpaceDN w:val="0"/>
        <w:adjustRightInd w:val="0"/>
        <w:spacing w:line="360" w:lineRule="auto"/>
        <w:ind w:firstLineChars="200" w:firstLine="480"/>
        <w:jc w:val="both"/>
        <w:rPr>
          <w:rFonts w:ascii="Book Antiqua" w:hAnsi="Book Antiqua" w:cs="Arial"/>
          <w:bCs/>
          <w:lang w:val="en-US" w:eastAsia="zh-CN"/>
        </w:rPr>
      </w:pPr>
    </w:p>
    <w:p w14:paraId="7AAC03AE" w14:textId="77777777" w:rsidR="002B302F" w:rsidRPr="00CD1426" w:rsidRDefault="002B302F" w:rsidP="00CD1426">
      <w:pPr>
        <w:tabs>
          <w:tab w:val="right" w:pos="540"/>
          <w:tab w:val="left" w:pos="720"/>
        </w:tabs>
        <w:spacing w:line="360" w:lineRule="auto"/>
        <w:jc w:val="both"/>
        <w:rPr>
          <w:rFonts w:ascii="Book Antiqua" w:hAnsi="Book Antiqua" w:cs="Arial"/>
          <w:b/>
          <w:i/>
          <w:lang w:val="en-US"/>
        </w:rPr>
      </w:pPr>
      <w:proofErr w:type="spellStart"/>
      <w:r w:rsidRPr="00CD1426">
        <w:rPr>
          <w:rFonts w:ascii="Book Antiqua" w:hAnsi="Book Antiqua" w:cs="Arial"/>
          <w:b/>
          <w:i/>
          <w:lang w:val="en-US"/>
        </w:rPr>
        <w:t>Simeprevir</w:t>
      </w:r>
      <w:proofErr w:type="spellEnd"/>
    </w:p>
    <w:p w14:paraId="34162877" w14:textId="77777777" w:rsidR="002B302F" w:rsidRPr="00CD1426" w:rsidRDefault="002B302F" w:rsidP="00CD1426">
      <w:pPr>
        <w:widowControl w:val="0"/>
        <w:autoSpaceDE w:val="0"/>
        <w:autoSpaceDN w:val="0"/>
        <w:adjustRightInd w:val="0"/>
        <w:spacing w:line="360" w:lineRule="auto"/>
        <w:jc w:val="both"/>
        <w:rPr>
          <w:rFonts w:ascii="Book Antiqua" w:hAnsi="Book Antiqua" w:cs="Arial"/>
          <w:lang w:val="en-US"/>
        </w:rPr>
      </w:pPr>
      <w:proofErr w:type="spellStart"/>
      <w:r w:rsidRPr="00CD1426">
        <w:rPr>
          <w:rFonts w:ascii="Book Antiqua" w:hAnsi="Book Antiqua" w:cs="Arial"/>
          <w:lang w:val="en-US"/>
        </w:rPr>
        <w:t>Simeprevir</w:t>
      </w:r>
      <w:proofErr w:type="spellEnd"/>
      <w:r w:rsidRPr="00CD1426">
        <w:rPr>
          <w:rFonts w:ascii="Book Antiqua" w:hAnsi="Book Antiqua" w:cs="Arial"/>
          <w:lang w:val="en-US"/>
        </w:rPr>
        <w:t xml:space="preserve"> is a specific inhibitor of the HCV NS3/4A serine protease, which is used to treat HCV genotype 1 patients. The recommendations have comprised a treatment regimen of </w:t>
      </w:r>
      <w:proofErr w:type="spellStart"/>
      <w:r w:rsidRPr="00CD1426">
        <w:rPr>
          <w:rFonts w:ascii="Book Antiqua" w:hAnsi="Book Antiqua" w:cs="Arial"/>
          <w:lang w:val="en-US"/>
        </w:rPr>
        <w:t>simeprevir</w:t>
      </w:r>
      <w:proofErr w:type="spellEnd"/>
      <w:r w:rsidRPr="00CD1426">
        <w:rPr>
          <w:rFonts w:ascii="Book Antiqua" w:hAnsi="Book Antiqua" w:cs="Arial"/>
          <w:lang w:val="en-US"/>
        </w:rPr>
        <w:t xml:space="preserve"> plus PR for HCV infected patients, especially HCV genotype 1b. If the interferon-based treatment is not appropriate for patients, combination with </w:t>
      </w:r>
      <w:proofErr w:type="spellStart"/>
      <w:r w:rsidRPr="00CD1426">
        <w:rPr>
          <w:rFonts w:ascii="Book Antiqua" w:hAnsi="Book Antiqua" w:cs="Arial"/>
          <w:lang w:val="en-US"/>
        </w:rPr>
        <w:t>sofosbuvir</w:t>
      </w:r>
      <w:proofErr w:type="spellEnd"/>
      <w:r w:rsidRPr="00CD1426">
        <w:rPr>
          <w:rFonts w:ascii="Book Antiqua" w:hAnsi="Book Antiqua" w:cs="Arial"/>
          <w:lang w:val="en-US"/>
        </w:rPr>
        <w:t xml:space="preserve"> ± ribavirin should be </w:t>
      </w:r>
      <w:r w:rsidRPr="00CD1426">
        <w:rPr>
          <w:rFonts w:ascii="Book Antiqua" w:hAnsi="Book Antiqua" w:cs="Arial"/>
          <w:lang w:val="en-US"/>
        </w:rPr>
        <w:lastRenderedPageBreak/>
        <w:t>considered.</w:t>
      </w:r>
    </w:p>
    <w:p w14:paraId="511B399E" w14:textId="5E195B72" w:rsidR="002B302F" w:rsidRPr="00CD1426" w:rsidRDefault="002B302F" w:rsidP="00CD1426">
      <w:pPr>
        <w:widowControl w:val="0"/>
        <w:autoSpaceDE w:val="0"/>
        <w:autoSpaceDN w:val="0"/>
        <w:adjustRightInd w:val="0"/>
        <w:spacing w:line="360" w:lineRule="auto"/>
        <w:ind w:firstLineChars="200" w:firstLine="480"/>
        <w:jc w:val="both"/>
        <w:rPr>
          <w:rFonts w:ascii="Book Antiqua" w:hAnsi="Book Antiqua" w:cs="Arial"/>
          <w:lang w:val="en-US" w:eastAsia="zh-CN"/>
        </w:rPr>
      </w:pPr>
      <w:r w:rsidRPr="00CD1426">
        <w:rPr>
          <w:rFonts w:ascii="Book Antiqua" w:hAnsi="Book Antiqua" w:cs="Arial"/>
          <w:lang w:val="en-US"/>
        </w:rPr>
        <w:t xml:space="preserve">In the Quest-1 trial, patients with HCV genotype 1 were treated with </w:t>
      </w:r>
      <w:proofErr w:type="spellStart"/>
      <w:r w:rsidRPr="00CD1426">
        <w:rPr>
          <w:rFonts w:ascii="Book Antiqua" w:hAnsi="Book Antiqua" w:cs="Arial"/>
          <w:lang w:val="en-US"/>
        </w:rPr>
        <w:t>Simeprevir</w:t>
      </w:r>
      <w:proofErr w:type="spellEnd"/>
      <w:r w:rsidRPr="00CD1426">
        <w:rPr>
          <w:rFonts w:ascii="Book Antiqua" w:hAnsi="Book Antiqua" w:cs="Arial"/>
          <w:lang w:val="en-US"/>
        </w:rPr>
        <w:t xml:space="preserve"> once daily plus </w:t>
      </w:r>
      <w:proofErr w:type="spellStart"/>
      <w:r w:rsidRPr="00CD1426">
        <w:rPr>
          <w:rFonts w:ascii="Book Antiqua" w:hAnsi="Book Antiqua" w:cs="Arial"/>
          <w:lang w:val="en-US"/>
        </w:rPr>
        <w:t>peginterferon</w:t>
      </w:r>
      <w:proofErr w:type="spellEnd"/>
      <w:r w:rsidRPr="00CD1426">
        <w:rPr>
          <w:rFonts w:ascii="Book Antiqua" w:hAnsi="Book Antiqua" w:cs="Arial"/>
          <w:lang w:val="en-US"/>
        </w:rPr>
        <w:t xml:space="preserve"> alpha 2a and ribavirin compared t</w:t>
      </w:r>
      <w:r w:rsidR="006074EB" w:rsidRPr="00CD1426">
        <w:rPr>
          <w:rFonts w:ascii="Book Antiqua" w:hAnsi="Book Antiqua" w:cs="Arial"/>
          <w:lang w:val="en-US"/>
        </w:rPr>
        <w:t>o PR treatment</w:t>
      </w:r>
      <w:r w:rsidRPr="00CD1426">
        <w:rPr>
          <w:rFonts w:ascii="Book Antiqua" w:hAnsi="Book Antiqua" w:cs="Arial"/>
          <w:lang w:val="en-US"/>
        </w:rPr>
        <w:fldChar w:fldCharType="begin" w:fldLock="1"/>
      </w:r>
      <w:r w:rsidR="001D4A08" w:rsidRPr="00CD1426">
        <w:rPr>
          <w:rFonts w:ascii="Book Antiqua" w:hAnsi="Book Antiqua" w:cs="Arial"/>
          <w:lang w:val="en-US"/>
        </w:rPr>
        <w:instrText>ADDIN CSL_CITATION { "citationItems" : [ { "id" : "ITEM-1", "itemData" : { "DOI" : "10.1016/S0140-6736(14)60494-3", "ISSN" : "1474-547X", "PMID" : "24907225", "abstract" : "BACKGROUND: Although the addition of the HCV NS3/4A protease inhibitors boceprevir and telaprevir to pegylated interferon (peginterferon) alfa plus ribavirin has improved sustained virological response (SVR) in treatment-naive and treatment-experienced patients infected with hepatitis C virus (HCV) genotype 1, the regimens have a high pill burden and are associated with increased rates and severity of adverse events, such as anaemia and rash. The efficacy and safety of the combination of simeprevir, a one pill, once-daily, oral HCV NS3/4A protease inhibitor, plus peginterferon alfa 2a plus ribavirin were assessed in treatment-naive patients with HCV genotype 1 infection.\n\nMETHODS: In QUEST-1, a phase 3, randomised, double-blind multicentre trial undertaken in 13 countries (Australia, Europe, North America, Puerto Rico, and New Zealand), 394 patients (aged \u226518 years) with chronic HCV genotype 1 infection and no history of HCV treatment, stratified by HCV subtype and host IL28B genotype, were randomly assigned in a 2:1 ratio with a computer-generated allocation sequence to receive simeprevir (150 mg once daily, orally) plus peginterferon alfa 2a plus ribavirin for 12 weeks, followed by peginterferon alfa 2a plus ribavirin (simeprevir group), or placebo orally plus peginterferon alfa 2a plus ribavirin for 12 weeks, followed by peginterferon alfa 2a plus ribavirin (placebo group). Treatment duration was 24 weeks or 48 weeks in the simeprevir group according to criteria for response-guided therapy (ie, HCV RNA &lt;25 IU/mL [undetectable or detectable] at week 4 and &lt;25 IU/mL undetectable at week 12) and 48 weeks in the placebo group. Patients, study personnel, and the sponsor were masked to the treatment group assignment. The primary efficacy endpoint was sustained virological response 12 weeks after the planned end of treatment (SVR12) and was assessed with an intention-to-treat analysis. The results of the primary analysis (week 60) are presented for safety and SVR12. This trial is registered with ClinicalTrials.gov, number NCT01289782.\n\nFINDINGS: Treatment with simeprevir, peginterferon alfa 2a, and ribavirin was superior to placebo, peginterferon alfa 2a, and ribavirin (SVR12 in 210 [80%] patients of 264 vs 65 [50%] of 130, respectively, adjusted difference 29\u00b73% [95% CI 20\u00b71-38\u00b76; p&lt;0\u00b70001). Adverse events in the first 12 weeks of treatment led to discontinuation of simeprevir in two (&lt;1%) patients and discontinuation of placebo in one patient (&lt;1%); fatig\u2026", "author" : [ { "dropping-particle" : "", "family" : "Jacobson", "given" : "Ira M", "non-dropping-particle" : "", "parse-names" : false, "suffix" : "" }, { "dropping-particle" : "", "family" : "Dore", "given" : "Gregory J", "non-dropping-particle" : "", "parse-names" : false, "suffix" : "" }, { "dropping-particle" : "", "family" : "Foster", "given" : "Graham R", "non-dropping-particle" : "", "parse-names" : false, "suffix" : "" }, { "dropping-particle" : "", "family" : "Fried", "given" : "Michael W", "non-dropping-particle" : "", "parse-names" : false, "suffix" : "" }, { "dropping-particle" : "", "family" : "Radu", "given" : "Monica", "non-dropping-particle" : "", "parse-names" : false, "suffix" : "" }, { "dropping-particle" : "V", "family" : "Rafalsky", "given" : "Vladimir", "non-dropping-particle" : "", "parse-names" : false, "suffix" : "" }, { "dropping-particle" : "", "family" : "Moroz", "given" : "Larysa", "non-dropping-particle" : "", "parse-names" : false, "suffix" : "" }, { "dropping-particle" : "", "family" : "Craxi", "given" : "Antonio", "non-dropping-particle" : "", "parse-names" : false, "suffix" : "" }, { "dropping-particle" : "", "family" : "Peeters", "given" : "Monika", "non-dropping-particle" : "", "parse-names" : false, "suffix" : "" }, { "dropping-particle" : "", "family" : "Lenz", "given" : "Oliver", "non-dropping-particle" : "", "parse-names" : false, "suffix" : "" }, { "dropping-particle" : "", "family" : "Ouwerkerk-Mahadevan", "given" : "Sivi", "non-dropping-particle" : "", "parse-names" : false, "suffix" : "" }, { "dropping-particle" : "", "family" : "La Rosa", "given" : "Guy", "non-dropping-particle" : "De", "parse-names" : false, "suffix" : "" }, { "dropping-particle" : "", "family" : "Kalmeijer", "given" : "Ronald", "non-dropping-particle" : "", "parse-names" : false, "suffix" : "" }, { "dropping-particle" : "", "family" : "Scott", "given" : "Jane", "non-dropping-particle" : "", "parse-names" : false, "suffix" : "" }, { "dropping-particle" : "", "family" : "Sinha", "given" : "Rekha", "non-dropping-particle" : "", "parse-names" : false, "suffix" : "" }, { "dropping-particle" : "", "family" : "Beumont-Mauviel", "given" : "Maria", "non-dropping-particle" : "", "parse-names" : false, "suffix" : "" } ], "container-title" : "Lancet", "id" : "ITEM-1", "issue" : "9941", "issued" : { "date-parts" : [ [ "2014", "6", "3" ] ] }, "page" : "403-13", "title" : "Simeprevir with pegylated interferon alfa 2a plus ribavirin in treatment-naive patients with chronic hepatitis C virus genotype 1 infection (QUEST-1): a phase 3, randomised, double-blind, placebo-controlled trial.", "type" : "article-journal", "volume" : "384" }, "uris" : [ "http://www.mendeley.com/documents/?uuid=1c4c59a9-1745-416b-ba76-1d95f3951122" ] } ], "mendeley" : { "formattedCitation" : "&lt;sup&gt;[61]&lt;/sup&gt;", "plainTextFormattedCitation" : "[61]", "previouslyFormattedCitation" : "&lt;sup&gt;[61]&lt;/sup&gt;" }, "properties" : { "noteIndex" : 0 }, "schema" : "https://github.com/citation-style-language/schema/raw/master/csl-citation.json" }</w:instrText>
      </w:r>
      <w:r w:rsidRPr="00CD1426">
        <w:rPr>
          <w:rFonts w:ascii="Book Antiqua" w:hAnsi="Book Antiqua" w:cs="Arial"/>
          <w:lang w:val="en-US"/>
        </w:rPr>
        <w:fldChar w:fldCharType="separate"/>
      </w:r>
      <w:r w:rsidR="001D4A08" w:rsidRPr="00CD1426">
        <w:rPr>
          <w:rFonts w:ascii="Book Antiqua" w:hAnsi="Book Antiqua" w:cs="Arial"/>
          <w:noProof/>
          <w:vertAlign w:val="superscript"/>
          <w:lang w:val="en-US"/>
        </w:rPr>
        <w:t>[61]</w:t>
      </w:r>
      <w:r w:rsidRPr="00CD1426">
        <w:rPr>
          <w:rFonts w:ascii="Book Antiqua" w:hAnsi="Book Antiqua" w:cs="Arial"/>
          <w:lang w:val="en-US"/>
        </w:rPr>
        <w:fldChar w:fldCharType="end"/>
      </w:r>
      <w:r w:rsidR="006074EB" w:rsidRPr="00CD1426">
        <w:rPr>
          <w:rFonts w:ascii="Book Antiqua" w:hAnsi="Book Antiqua" w:cs="Arial"/>
          <w:lang w:val="en-US" w:eastAsia="zh-CN"/>
        </w:rPr>
        <w:t>.</w:t>
      </w:r>
      <w:r w:rsidR="00B33120" w:rsidRPr="00CD1426">
        <w:rPr>
          <w:rFonts w:ascii="Book Antiqua" w:hAnsi="Book Antiqua" w:cs="Arial"/>
          <w:lang w:val="en-US"/>
        </w:rPr>
        <w:t xml:space="preserve"> Therapy period was 24 </w:t>
      </w:r>
      <w:proofErr w:type="spellStart"/>
      <w:r w:rsidR="00B33120" w:rsidRPr="00CD1426">
        <w:rPr>
          <w:rFonts w:ascii="Book Antiqua" w:hAnsi="Book Antiqua" w:cs="Arial"/>
          <w:lang w:val="en-US"/>
        </w:rPr>
        <w:t>w</w:t>
      </w:r>
      <w:r w:rsidR="00B33120" w:rsidRPr="00CD1426">
        <w:rPr>
          <w:rFonts w:ascii="Book Antiqua" w:hAnsi="Book Antiqua" w:cs="Arial"/>
          <w:lang w:val="en-US" w:eastAsia="zh-CN"/>
        </w:rPr>
        <w:t>k</w:t>
      </w:r>
      <w:proofErr w:type="spellEnd"/>
      <w:r w:rsidRPr="00CD1426">
        <w:rPr>
          <w:rFonts w:ascii="Book Antiqua" w:hAnsi="Book Antiqua" w:cs="Arial"/>
          <w:lang w:val="en-US"/>
        </w:rPr>
        <w:t xml:space="preserve"> or 48 </w:t>
      </w:r>
      <w:proofErr w:type="spellStart"/>
      <w:r w:rsidRPr="00CD1426">
        <w:rPr>
          <w:rFonts w:ascii="Book Antiqua" w:hAnsi="Book Antiqua" w:cs="Arial"/>
          <w:lang w:val="en-US"/>
        </w:rPr>
        <w:t>w</w:t>
      </w:r>
      <w:r w:rsidR="00B33120" w:rsidRPr="00CD1426">
        <w:rPr>
          <w:rFonts w:ascii="Book Antiqua" w:hAnsi="Book Antiqua" w:cs="Arial"/>
          <w:lang w:val="en-US"/>
        </w:rPr>
        <w:t>k</w:t>
      </w:r>
      <w:proofErr w:type="spellEnd"/>
      <w:r w:rsidRPr="00CD1426">
        <w:rPr>
          <w:rFonts w:ascii="Book Antiqua" w:hAnsi="Book Antiqua" w:cs="Arial"/>
          <w:lang w:val="en-US"/>
        </w:rPr>
        <w:t xml:space="preserve"> in the </w:t>
      </w:r>
      <w:proofErr w:type="spellStart"/>
      <w:r w:rsidRPr="00CD1426">
        <w:rPr>
          <w:rFonts w:ascii="Book Antiqua" w:hAnsi="Book Antiqua" w:cs="Arial"/>
          <w:lang w:val="en-US"/>
        </w:rPr>
        <w:t>simeprevir</w:t>
      </w:r>
      <w:proofErr w:type="spellEnd"/>
      <w:r w:rsidRPr="00CD1426">
        <w:rPr>
          <w:rFonts w:ascii="Book Antiqua" w:hAnsi="Book Antiqua" w:cs="Arial"/>
          <w:lang w:val="en-US"/>
        </w:rPr>
        <w:t xml:space="preserve"> group agreeing with response-guided therapy. The SVR12 from the </w:t>
      </w:r>
      <w:proofErr w:type="spellStart"/>
      <w:r w:rsidRPr="00CD1426">
        <w:rPr>
          <w:rFonts w:ascii="Book Antiqua" w:hAnsi="Book Antiqua" w:cs="Arial"/>
          <w:lang w:val="en-US"/>
        </w:rPr>
        <w:t>Simeprevir</w:t>
      </w:r>
      <w:proofErr w:type="spellEnd"/>
      <w:r w:rsidRPr="00CD1426">
        <w:rPr>
          <w:rFonts w:ascii="Book Antiqua" w:hAnsi="Book Antiqua" w:cs="Arial"/>
          <w:lang w:val="en-US"/>
        </w:rPr>
        <w:t xml:space="preserve"> group was higher when compared to the PR group (80% </w:t>
      </w:r>
      <w:r w:rsidRPr="00CD1426">
        <w:rPr>
          <w:rFonts w:ascii="Book Antiqua" w:hAnsi="Book Antiqua" w:cs="Arial"/>
          <w:i/>
          <w:lang w:val="en-US"/>
        </w:rPr>
        <w:t>vs</w:t>
      </w:r>
      <w:r w:rsidRPr="00CD1426">
        <w:rPr>
          <w:rFonts w:ascii="Book Antiqua" w:hAnsi="Book Antiqua" w:cs="Arial"/>
          <w:lang w:val="en-US"/>
        </w:rPr>
        <w:t xml:space="preserve"> 50%, respectively), without worsening the adverse events associated with </w:t>
      </w:r>
      <w:proofErr w:type="spellStart"/>
      <w:r w:rsidRPr="00CD1426">
        <w:rPr>
          <w:rFonts w:ascii="Book Antiqua" w:hAnsi="Book Antiqua" w:cs="Arial"/>
          <w:lang w:val="en-US"/>
        </w:rPr>
        <w:t>peginterferon</w:t>
      </w:r>
      <w:proofErr w:type="spellEnd"/>
      <w:r w:rsidRPr="00CD1426">
        <w:rPr>
          <w:rFonts w:ascii="Book Antiqua" w:hAnsi="Book Antiqua" w:cs="Arial"/>
          <w:lang w:val="en-US"/>
        </w:rPr>
        <w:t xml:space="preserve">. Rapid </w:t>
      </w:r>
      <w:proofErr w:type="spellStart"/>
      <w:r w:rsidRPr="00CD1426">
        <w:rPr>
          <w:rFonts w:ascii="Book Antiqua" w:hAnsi="Book Antiqua" w:cs="Arial"/>
          <w:lang w:val="en-US"/>
        </w:rPr>
        <w:t>Virologic</w:t>
      </w:r>
      <w:proofErr w:type="spellEnd"/>
      <w:r w:rsidRPr="00CD1426">
        <w:rPr>
          <w:rFonts w:ascii="Book Antiqua" w:hAnsi="Book Antiqua" w:cs="Arial"/>
          <w:lang w:val="en-US"/>
        </w:rPr>
        <w:t xml:space="preserve"> Response and SVR12 was better in the </w:t>
      </w:r>
      <w:proofErr w:type="spellStart"/>
      <w:r w:rsidRPr="00CD1426">
        <w:rPr>
          <w:rFonts w:ascii="Book Antiqua" w:hAnsi="Book Antiqua" w:cs="Arial"/>
          <w:lang w:val="en-US"/>
        </w:rPr>
        <w:t>simeprevir</w:t>
      </w:r>
      <w:proofErr w:type="spellEnd"/>
      <w:r w:rsidRPr="00CD1426">
        <w:rPr>
          <w:rFonts w:ascii="Book Antiqua" w:hAnsi="Book Antiqua" w:cs="Arial"/>
          <w:lang w:val="en-US"/>
        </w:rPr>
        <w:t xml:space="preserve"> group compared to the PR group independent of baseline HCV RNA, HCV subtype (1a without Q80K or 1b), METAVIR score (F0</w:t>
      </w:r>
      <w:r w:rsidR="006074EB" w:rsidRPr="00CD1426">
        <w:rPr>
          <w:rFonts w:ascii="Book Antiqua" w:hAnsi="Book Antiqua" w:cs="Arial"/>
          <w:lang w:val="en-US" w:eastAsia="zh-CN"/>
        </w:rPr>
        <w:t>-</w:t>
      </w:r>
      <w:r w:rsidRPr="00CD1426">
        <w:rPr>
          <w:rFonts w:ascii="Book Antiqua" w:hAnsi="Book Antiqua" w:cs="Arial"/>
          <w:lang w:val="en-US"/>
        </w:rPr>
        <w:t>F2, F3, or F4), IL28B genotype (CC,</w:t>
      </w:r>
      <w:r w:rsidR="00DC1A03" w:rsidRPr="00CD1426">
        <w:rPr>
          <w:rFonts w:ascii="Book Antiqua" w:hAnsi="Book Antiqua" w:cs="Arial"/>
          <w:lang w:val="en-US"/>
        </w:rPr>
        <w:t xml:space="preserve"> </w:t>
      </w:r>
      <w:r w:rsidRPr="00CD1426">
        <w:rPr>
          <w:rFonts w:ascii="Book Antiqua" w:hAnsi="Book Antiqua" w:cs="Arial"/>
          <w:lang w:val="en-US"/>
        </w:rPr>
        <w:t xml:space="preserve">CT, or TT) and race. Cirrhotic patients achieved 58% SVR12 in the </w:t>
      </w:r>
      <w:proofErr w:type="spellStart"/>
      <w:r w:rsidRPr="00CD1426">
        <w:rPr>
          <w:rFonts w:ascii="Book Antiqua" w:hAnsi="Book Antiqua" w:cs="Arial"/>
          <w:lang w:val="en-US"/>
        </w:rPr>
        <w:t>Simeprevir</w:t>
      </w:r>
      <w:proofErr w:type="spellEnd"/>
      <w:r w:rsidRPr="00CD1426">
        <w:rPr>
          <w:rFonts w:ascii="Book Antiqua" w:hAnsi="Book Antiqua" w:cs="Arial"/>
          <w:lang w:val="en-US"/>
        </w:rPr>
        <w:t xml:space="preserve"> group compared with 29% in the PR group; F0-F2 had 83% and 60% SVR12 in </w:t>
      </w:r>
      <w:proofErr w:type="spellStart"/>
      <w:r w:rsidRPr="00CD1426">
        <w:rPr>
          <w:rFonts w:ascii="Book Antiqua" w:hAnsi="Book Antiqua" w:cs="Arial"/>
          <w:lang w:val="en-US"/>
        </w:rPr>
        <w:t>simeprevir</w:t>
      </w:r>
      <w:proofErr w:type="spellEnd"/>
      <w:r w:rsidRPr="00CD1426">
        <w:rPr>
          <w:rFonts w:ascii="Book Antiqua" w:hAnsi="Book Antiqua" w:cs="Arial"/>
          <w:lang w:val="en-US"/>
        </w:rPr>
        <w:t xml:space="preserve"> and PR regimens, respectively; F3, achieved 78% SVR12 when treated with </w:t>
      </w:r>
      <w:proofErr w:type="spellStart"/>
      <w:r w:rsidRPr="00CD1426">
        <w:rPr>
          <w:rFonts w:ascii="Book Antiqua" w:hAnsi="Book Antiqua" w:cs="Arial"/>
          <w:lang w:val="en-US"/>
        </w:rPr>
        <w:t>simeprevir</w:t>
      </w:r>
      <w:proofErr w:type="spellEnd"/>
      <w:r w:rsidRPr="00CD1426">
        <w:rPr>
          <w:rFonts w:ascii="Book Antiqua" w:hAnsi="Book Antiqua" w:cs="Arial"/>
          <w:lang w:val="en-US"/>
        </w:rPr>
        <w:t xml:space="preserve"> and 26% SVR12 with PR treatment. Black or African-American patients in the </w:t>
      </w:r>
      <w:proofErr w:type="spellStart"/>
      <w:r w:rsidRPr="00CD1426">
        <w:rPr>
          <w:rFonts w:ascii="Book Antiqua" w:hAnsi="Book Antiqua" w:cs="Arial"/>
          <w:lang w:val="en-US"/>
        </w:rPr>
        <w:t>simeprevir</w:t>
      </w:r>
      <w:proofErr w:type="spellEnd"/>
      <w:r w:rsidRPr="00CD1426">
        <w:rPr>
          <w:rFonts w:ascii="Book Antiqua" w:hAnsi="Book Antiqua" w:cs="Arial"/>
          <w:lang w:val="en-US"/>
        </w:rPr>
        <w:t xml:space="preserve"> group achieved 63% SVR12 compared with 25% in the PR group; 59% black or African-American patients treated with </w:t>
      </w:r>
      <w:proofErr w:type="spellStart"/>
      <w:r w:rsidRPr="00CD1426">
        <w:rPr>
          <w:rFonts w:ascii="Book Antiqua" w:hAnsi="Book Antiqua" w:cs="Arial"/>
          <w:lang w:val="en-US"/>
        </w:rPr>
        <w:t>simeprevir</w:t>
      </w:r>
      <w:proofErr w:type="spellEnd"/>
      <w:r w:rsidRPr="00CD1426">
        <w:rPr>
          <w:rFonts w:ascii="Book Antiqua" w:hAnsi="Book Antiqua" w:cs="Arial"/>
          <w:lang w:val="en-US"/>
        </w:rPr>
        <w:t xml:space="preserve"> had RVR and 94% of them achieved SVR12. In the Quest-2 trial, </w:t>
      </w:r>
      <w:proofErr w:type="spellStart"/>
      <w:r w:rsidRPr="00CD1426">
        <w:rPr>
          <w:rFonts w:ascii="Book Antiqua" w:eastAsia="MS Mincho" w:hAnsi="Book Antiqua" w:cs="Arial"/>
          <w:lang w:val="en-US"/>
        </w:rPr>
        <w:t>simeprevir</w:t>
      </w:r>
      <w:proofErr w:type="spellEnd"/>
      <w:r w:rsidRPr="00CD1426">
        <w:rPr>
          <w:rFonts w:ascii="Book Antiqua" w:eastAsia="MS Mincho" w:hAnsi="Book Antiqua" w:cs="Arial"/>
          <w:lang w:val="en-US"/>
        </w:rPr>
        <w:t xml:space="preserve"> was added to </w:t>
      </w:r>
      <w:proofErr w:type="spellStart"/>
      <w:r w:rsidRPr="00CD1426">
        <w:rPr>
          <w:rFonts w:ascii="Book Antiqua" w:eastAsia="MS Mincho" w:hAnsi="Book Antiqua" w:cs="Arial"/>
          <w:lang w:val="en-US"/>
        </w:rPr>
        <w:t>peginterferon</w:t>
      </w:r>
      <w:proofErr w:type="spellEnd"/>
      <w:r w:rsidRPr="00CD1426">
        <w:rPr>
          <w:rFonts w:ascii="Book Antiqua" w:eastAsia="MS Mincho" w:hAnsi="Book Antiqua" w:cs="Arial"/>
          <w:lang w:val="en-US"/>
        </w:rPr>
        <w:t xml:space="preserve"> alpha 2a or </w:t>
      </w:r>
      <w:proofErr w:type="spellStart"/>
      <w:r w:rsidRPr="00CD1426">
        <w:rPr>
          <w:rFonts w:ascii="Book Antiqua" w:eastAsia="MS Mincho" w:hAnsi="Book Antiqua" w:cs="Arial"/>
          <w:lang w:val="en-US"/>
        </w:rPr>
        <w:t>peginterferon</w:t>
      </w:r>
      <w:proofErr w:type="spellEnd"/>
      <w:r w:rsidRPr="00CD1426">
        <w:rPr>
          <w:rFonts w:ascii="Book Antiqua" w:eastAsia="MS Mincho" w:hAnsi="Book Antiqua" w:cs="Arial"/>
          <w:lang w:val="en-US"/>
        </w:rPr>
        <w:t xml:space="preserve"> alpha 2b plus ribavirin, and the combination improved SVR in treatment-naive patients</w:t>
      </w:r>
      <w:r w:rsidR="006074EB" w:rsidRPr="00CD1426">
        <w:rPr>
          <w:rFonts w:ascii="Book Antiqua" w:eastAsia="MS Mincho" w:hAnsi="Book Antiqua" w:cs="Arial"/>
          <w:lang w:val="en-US"/>
        </w:rPr>
        <w:t xml:space="preserve"> with HCV genotype 1 infection</w:t>
      </w:r>
      <w:r w:rsidRPr="00CD1426">
        <w:rPr>
          <w:rFonts w:ascii="Book Antiqua" w:eastAsia="MS Mincho" w:hAnsi="Book Antiqua" w:cs="Arial"/>
          <w:lang w:val="en-US"/>
        </w:rPr>
        <w:fldChar w:fldCharType="begin" w:fldLock="1"/>
      </w:r>
      <w:r w:rsidR="001D4A08" w:rsidRPr="00CD1426">
        <w:rPr>
          <w:rFonts w:ascii="Book Antiqua" w:eastAsia="MS Mincho" w:hAnsi="Book Antiqua" w:cs="Arial"/>
          <w:lang w:val="en-US"/>
        </w:rPr>
        <w:instrText>ADDIN CSL_CITATION { "citationItems" : [ { "id" : "ITEM-1", "itemData" : { "DOI" : "10.1016/S0140-6736(14)60538-9", "ISSN" : "1474-547X", "PMID" : "24907224", "abstract" : "BACKGROUND: Pegylated interferon (peginterferon) alfa 2a or 2b plus ribavirin regimens were the standard of care in patients with hepatitis C virus (HCV) infection, but the sustained virological response can be suboptimum in patients with HCV genotype 1 infection. The efficacy, safety, and tolerability of the combination of simeprevir, a one-pill, once-daily, oral HCV NS3/4A protease inhibitor versus placebo, plus peginterferon alfa 2a or 2b plus ribavirin was assessed in treatment-naive patients with HCV genotype 1 infection.\n\nMETHODS: In the QUEST-2, phase 3 study, done at 76 sites in 14 countries (Europe, and North and South Americas), patients with confirmed chronic HCV genotype 1 infection and no history of HCV treatment were randomly assigned with a computer-generated allocation sequence in a ratio of 2:1 and stratified by HCV genotype 1 subtype and host IL28B genotype to receive simeprevir (150 mg once daily, orally), peginterferon alfa 2a (180 \u03bcg once weekly, subcutaneous injection) or 2b (according to bodyweight; 50 \u03bcg, 80 \u03bcg, 100 \u03bcg, 120 \u03bcg, or 150 \u03bcg once weekly, subcutaneous injection), plus ribavirin (1000-1200 mg/day or 800-1400 mg/day, orally; simeprevir group) or placebo (once daily, orally), peginterferon alfa 2a or 2b, plus ribavirin (placebo group) for 12 weeks, followed by just peginterferon alfa 2a or 2b plus ribavirin. Total treatment duration was 24 weeks or 48 weeks (simeprevir group) based on criteria for response-guided therapy (ie, HCV RNA &lt;25 IU/mL undetectable or detectable at week 4 and undetectable week 12) or 48 weeks (placebo). Patients, study personnel, and the sponsor were masked to treatment assignment. The primary efficacy endpoint was sustained virological response at 12 weeks after the planned end of treatment (SVR12). Analyses were by intention to treat. The trial is registered with ClinicalTrials.gov, number NCT01290679. Results from the primary (SVR12, week 60) analysis are presented.\n\nFINDINGS: 209 (81%) of 257 patients in the simeprevir group and 67 (50%) of 134 in the placebo group had SVR12 (adjusted difference 32\u00b72%, 95% CI 23\u00b73-41\u00b72; p&lt;0\u00b70001). The incidences of adverse events were similar in the simeprevir and placebo groups at 12 weeks (246 [96%] vs 130 [97%]) and for the entire treatment (249 [97%] vs 132 [99%]), irrespective of the peginterferon alfa used. The most common adverse events were headache, fatigue, pyrexia, and influenza-like illness at 12 weeks (95 [37%) vs 45 [34%], 89 [35%] vs 52 [39%], \u2026", "author" : [ { "dropping-particle" : "", "family" : "Manns", "given" : "Michael", "non-dropping-particle" : "", "parse-names" : false, "suffix" : "" }, { "dropping-particle" : "", "family" : "Marcellin", "given" : "Patrick", "non-dropping-particle" : "", "parse-names" : false, "suffix" : "" }, { "dropping-particle" : "", "family" : "Poordad", "given" : "Fred", "non-dropping-particle" : "", "parse-names" : false, "suffix" : "" }, { "dropping-particle" : "", "family" : "Araujo", "given" : "Evaldo Stanislau Affonso", "non-dropping-particle" : "de", "parse-names" : false, "suffix" : "" }, { "dropping-particle" : "", "family" : "Buti", "given" : "Maria", "non-dropping-particle" : "", "parse-names" : false, "suffix" : "" }, { "dropping-particle" : "", "family" : "Horsmans", "given" : "Yves", "non-dropping-particle" : "", "parse-names" : false, "suffix" : "" }, { "dropping-particle" : "", "family" : "Janczewska", "given" : "Ewa", "non-dropping-particle" : "", "parse-names" : false, "suffix" : "" }, { "dropping-particle" : "", "family" : "Villamil", "given" : "Federico", "non-dropping-particle" : "", "parse-names" : false, "suffix" : "" }, { "dropping-particle" : "", "family" : "Scott", "given" : "Jane", "non-dropping-particle" : "", "parse-names" : false, "suffix" : "" }, { "dropping-particle" : "", "family" : "Peeters", "given" : "Monika", "non-dropping-particle" : "", "parse-names" : false, "suffix" : "" }, { "dropping-particle" : "", "family" : "Lenz", "given" : "Oliver", "non-dropping-particle" : "", "parse-names" : false, "suffix" : "" }, { "dropping-particle" : "", "family" : "Ouwerkerk-Mahadevan", "given" : "Sivi", "non-dropping-particle" : "", "parse-names" : false, "suffix" : "" }, { "dropping-particle" : "", "family" : "La Rosa", "given" : "Guy", "non-dropping-particle" : "De", "parse-names" : false, "suffix" : "" }, { "dropping-particle" : "", "family" : "Kalmeijer", "given" : "Ronald", "non-dropping-particle" : "", "parse-names" : false, "suffix" : "" }, { "dropping-particle" : "", "family" : "Sinha", "given" : "Rekha", "non-dropping-particle" : "", "parse-names" : false, "suffix" : "" }, { "dropping-particle" : "", "family" : "Beumont-Mauviel", "given" : "Maria", "non-dropping-particle" : "", "parse-names" : false, "suffix" : "" } ], "container-title" : "Lancet", "id" : "ITEM-1", "issue" : "9941", "issued" : { "date-parts" : [ [ "2014", "6", "3" ] ] }, "page" : "414-26", "title" : "Simeprevir with pegylated interferon alfa 2a or 2b plus ribavirin in treatment-naive patients with chronic hepatitis C virus genotype 1 infection (QUEST-2): a randomised, double-blind, placebo-controlled phase 3 trial.", "type" : "article-journal", "volume" : "384" }, "uris" : [ "http://www.mendeley.com/documents/?uuid=fc328820-bb2d-4f43-8d47-934ce61f6b99" ] } ], "mendeley" : { "formattedCitation" : "&lt;sup&gt;[62]&lt;/sup&gt;", "plainTextFormattedCitation" : "[62]", "previouslyFormattedCitation" : "&lt;sup&gt;[62]&lt;/sup&gt;" }, "properties" : { "noteIndex" : 0 }, "schema" : "https://github.com/citation-style-language/schema/raw/master/csl-citation.json" }</w:instrText>
      </w:r>
      <w:r w:rsidRPr="00CD1426">
        <w:rPr>
          <w:rFonts w:ascii="Book Antiqua" w:eastAsia="MS Mincho" w:hAnsi="Book Antiqua" w:cs="Arial"/>
          <w:lang w:val="en-US"/>
        </w:rPr>
        <w:fldChar w:fldCharType="separate"/>
      </w:r>
      <w:r w:rsidR="001D4A08" w:rsidRPr="00CD1426">
        <w:rPr>
          <w:rFonts w:ascii="Book Antiqua" w:eastAsia="MS Mincho" w:hAnsi="Book Antiqua" w:cs="Arial"/>
          <w:noProof/>
          <w:vertAlign w:val="superscript"/>
          <w:lang w:val="en-US"/>
        </w:rPr>
        <w:t>[62]</w:t>
      </w:r>
      <w:r w:rsidRPr="00CD1426">
        <w:rPr>
          <w:rFonts w:ascii="Book Antiqua" w:eastAsia="MS Mincho" w:hAnsi="Book Antiqua" w:cs="Arial"/>
          <w:lang w:val="en-US"/>
        </w:rPr>
        <w:fldChar w:fldCharType="end"/>
      </w:r>
      <w:r w:rsidR="006074EB" w:rsidRPr="00CD1426">
        <w:rPr>
          <w:rFonts w:ascii="Book Antiqua" w:hAnsi="Book Antiqua" w:cs="Arial"/>
          <w:lang w:val="en-US" w:eastAsia="zh-CN"/>
        </w:rPr>
        <w:t>.</w:t>
      </w:r>
    </w:p>
    <w:p w14:paraId="1C7E3AD1" w14:textId="17C78AE3" w:rsidR="002B302F" w:rsidRPr="00CD1426" w:rsidRDefault="002B302F" w:rsidP="00CD1426">
      <w:pPr>
        <w:widowControl w:val="0"/>
        <w:autoSpaceDE w:val="0"/>
        <w:autoSpaceDN w:val="0"/>
        <w:adjustRightInd w:val="0"/>
        <w:spacing w:line="360" w:lineRule="auto"/>
        <w:ind w:firstLineChars="200" w:firstLine="480"/>
        <w:jc w:val="both"/>
        <w:rPr>
          <w:rFonts w:ascii="Book Antiqua" w:hAnsi="Book Antiqua" w:cs="Arial"/>
          <w:lang w:val="en-US"/>
        </w:rPr>
      </w:pPr>
      <w:r w:rsidRPr="00CD1426">
        <w:rPr>
          <w:rFonts w:ascii="Book Antiqua" w:hAnsi="Book Antiqua" w:cs="Arial"/>
          <w:lang w:val="en-US"/>
        </w:rPr>
        <w:t xml:space="preserve">In the Cosmos study, combination treatment with </w:t>
      </w:r>
      <w:proofErr w:type="spellStart"/>
      <w:r w:rsidRPr="00CD1426">
        <w:rPr>
          <w:rFonts w:ascii="Book Antiqua" w:hAnsi="Book Antiqua" w:cs="Arial"/>
          <w:lang w:val="en-US"/>
        </w:rPr>
        <w:t>simeprevir</w:t>
      </w:r>
      <w:proofErr w:type="spellEnd"/>
      <w:r w:rsidRPr="00CD1426">
        <w:rPr>
          <w:rFonts w:ascii="Book Antiqua" w:hAnsi="Book Antiqua" w:cs="Arial"/>
          <w:lang w:val="en-US"/>
        </w:rPr>
        <w:t xml:space="preserve"> and </w:t>
      </w:r>
      <w:proofErr w:type="spellStart"/>
      <w:r w:rsidRPr="00CD1426">
        <w:rPr>
          <w:rFonts w:ascii="Book Antiqua" w:hAnsi="Book Antiqua" w:cs="Arial"/>
          <w:lang w:val="en-US"/>
        </w:rPr>
        <w:t>sofosbuvir</w:t>
      </w:r>
      <w:proofErr w:type="spellEnd"/>
      <w:r w:rsidRPr="00CD1426">
        <w:rPr>
          <w:rFonts w:ascii="Book Antiqua" w:hAnsi="Book Antiqua" w:cs="Arial"/>
          <w:lang w:val="en-US"/>
        </w:rPr>
        <w:t xml:space="preserve">, in an interferon-free regimen was evaluated in 167 patients with chronic HCV genotype 1 infection who had previously not response to </w:t>
      </w:r>
      <w:proofErr w:type="spellStart"/>
      <w:r w:rsidRPr="00CD1426">
        <w:rPr>
          <w:rFonts w:ascii="Book Antiqua" w:hAnsi="Book Antiqua" w:cs="Arial"/>
          <w:lang w:val="en-US"/>
        </w:rPr>
        <w:t>pegylated</w:t>
      </w:r>
      <w:proofErr w:type="spellEnd"/>
      <w:r w:rsidRPr="00CD1426">
        <w:rPr>
          <w:rFonts w:ascii="Book Antiqua" w:hAnsi="Book Antiqua" w:cs="Arial"/>
          <w:lang w:val="en-US"/>
        </w:rPr>
        <w:t xml:space="preserve"> interferon and r</w:t>
      </w:r>
      <w:r w:rsidR="006074EB" w:rsidRPr="00CD1426">
        <w:rPr>
          <w:rFonts w:ascii="Book Antiqua" w:hAnsi="Book Antiqua" w:cs="Arial"/>
          <w:lang w:val="en-US"/>
        </w:rPr>
        <w:t>ibavirin or who were untreated</w:t>
      </w:r>
      <w:r w:rsidRPr="00CD1426">
        <w:rPr>
          <w:rFonts w:ascii="Book Antiqua" w:hAnsi="Book Antiqua" w:cs="Arial"/>
          <w:lang w:val="en-US"/>
        </w:rPr>
        <w:fldChar w:fldCharType="begin" w:fldLock="1"/>
      </w:r>
      <w:r w:rsidR="001D4A08" w:rsidRPr="00CD1426">
        <w:rPr>
          <w:rFonts w:ascii="Book Antiqua" w:hAnsi="Book Antiqua" w:cs="Arial"/>
          <w:lang w:val="en-US"/>
        </w:rPr>
        <w:instrText>ADDIN CSL_CITATION { "citationItems" : [ { "id" : "ITEM-1", "itemData" : { "DOI" : "10.1016/S0140-6736(14)61036-9", "ISSN" : "01406736", "PMID" : "25078309", "abstract" : "BACKGROUND: Interferon-free regimens are needed to treat hepatitis C virus (HCV) infections. We investigated the efficacy of combined simeprevir and sofosbuvir.\n\nMETHODS: We enrolled patients with chronic HCV genotype 1 infections who had previously not responded to pegylated interferon (peginterferon) and ribavirin or were treatment naive. Patients were randomly assigned in a 2:2:1:1 ratio to receive 150 mg simeprevir and 400 mg sofosbuvir daily for 24 weeks with (group 1) or without (group 2) ribavirin or for 12 weeks with (group 3) or without (group 4) ribavirin, in two cohorts: previous non-responders with METAVIR scores F0-F2 (cohort 1) and previous non-responders and treatment-naive patients with METAVIR scores F3-F4 (cohort 2). The primary endpoint was sustained virological response 12 weeks after stopping treatment (SVR12). Analysis was done by intention to treat. Safety data from cohorts 1 and 2 were pooled for analysis. This study is registered with ClinicalTrials.gov, number NCT01466790.\n\nFINDINGS: 168 patients were enrolled and randomised, and 167 started treatment (n=80 in cohort 1 and n=87 in cohort 2). SVR12 was achieved in 154 (92%) patients (n=72 [90%, 95% CI 81-96] in cohort 1 and n=82 [94%, 87-98] in cohort 2). The most common adverse events in the pooled groups were fatigue (n=52 [31%]), headache (n=33 [20%]), and nausea (n=26 [16%]). Grade 4 adverse events were seen in one (2%) of 54 patients in each of groups 1 and 3 and in three (10%) of 31 patients in group 2, whereas grade 3-4 events were reported in less than 5% of all patients, except increased blood amylase concentration. Serious adverse events were seen in four (2%) patients, all in groups 1 and 2. Four (2%) patients discontinued all study treatment because of adverse events, three before week 12.\n\nINTERPRETATION: Combined simeprevir and sofosbuvir was efficacious and well tolerated.\n\nFUNDING: Janssen.", "author" : [ { "dropping-particle" : "", "family" : "Lawitz", "given" : "Eric", "non-dropping-particle" : "", "parse-names" : false, "suffix" : "" }, { "dropping-particle" : "", "family" : "Sulkowski", "given" : "Mark S", "non-dropping-particle" : "", "parse-names" : false, "suffix" : "" }, { "dropping-particle" : "", "family" : "Ghalib", "given" : "Reem", "non-dropping-particle" : "", "parse-names" : false, "suffix" : "" }, { "dropping-particle" : "", "family" : "Rodriguez-Torres", "given" : "Maribel", "non-dropping-particle" : "", "parse-names" : false, "suffix" : "" }, { "dropping-particle" : "", "family" : "Younossi", "given" : "Zobair M", "non-dropping-particle" : "", "parse-names" : false, "suffix" : "" }, { "dropping-particle" : "", "family" : "Corregidor", "given" : "Ana", "non-dropping-particle" : "", "parse-names" : false, "suffix" : "" }, { "dropping-particle" : "", "family" : "DeJesus", "given" : "Edwin", "non-dropping-particle" : "", "parse-names" : false, "suffix" : "" }, { "dropping-particle" : "", "family" : "Pearlman", "given" : "Brian", "non-dropping-particle" : "", "parse-names" : false, "suffix" : "" }, { "dropping-particle" : "", "family" : "Rabinovitz", "given" : "Mordechai", "non-dropping-particle" : "", "parse-names" : false, "suffix" : "" }, { "dropping-particle" : "", "family" : "Gitlin", "given" : "Norman", "non-dropping-particle" : "", "parse-names" : false, "suffix" : "" }, { "dropping-particle" : "", "family" : "Lim", "given" : "Joseph K", "non-dropping-particle" : "", "parse-names" : false, "suffix" : "" }, { "dropping-particle" : "", "family" : "Pockros", "given" : "Paul J", "non-dropping-particle" : "", "parse-names" : false, "suffix" : "" }, { "dropping-particle" : "", "family" : "Scott", "given" : "John D", "non-dropping-particle" : "", "parse-names" : false, "suffix" : "" }, { "dropping-particle" : "", "family" : "Fevery", "given" : "Bart", "non-dropping-particle" : "", "parse-names" : false, "suffix" : "" }, { "dropping-particle" : "", "family" : "Lambrecht", "given" : "Tom", "non-dropping-particle" : "", "parse-names" : false, "suffix" : "" }, { "dropping-particle" : "", "family" : "Ouwerkerk-Mahadevan", "given" : "Sivi", "non-dropping-particle" : "", "parse-names" : false, "suffix" : "" }, { "dropping-particle" : "", "family" : "Callewaert", "given" : "Katleen", "non-dropping-particle" : "", "parse-names" : false, "suffix" : "" }, { "dropping-particle" : "", "family" : "Symonds", "given" : "William T", "non-dropping-particle" : "", "parse-names" : false, "suffix" : "" }, { "dropping-particle" : "", "family" : "Picchio", "given" : "Gaston", "non-dropping-particle" : "", "parse-names" : false, "suffix" : "" }, { "dropping-particle" : "", "family" : "Lindsay", "given" : "Karen L", "non-dropping-particle" : "", "parse-names" : false, "suffix" : "" }, { "dropping-particle" : "", "family" : "Beumont", "given" : "Maria", "non-dropping-particle" : "", "parse-names" : false, "suffix" : "" }, { "dropping-particle" : "", "family" : "Jacobson", "given" : "Ira M", "non-dropping-particle" : "", "parse-names" : false, "suffix" : "" } ], "container-title" : "The Lancet", "id" : "ITEM-1", "issued" : { "date-parts" : [ [ "2014", "7", "26" ] ] }, "title" : "Simeprevir plus sofosbuvir, with or without ribavirin, to treat chronic infection with hepatitis C virus genotype 1 in non-responders to pegylated interferon and ribavirin and treatment-naive patients: the COSMOS randomised study", "type" : "article-journal" }, "uris" : [ "http://www.mendeley.com/documents/?uuid=5add4bbc-3578-4ce8-9125-b188e5a3457a" ] } ], "mendeley" : { "formattedCitation" : "&lt;sup&gt;[57]&lt;/sup&gt;", "plainTextFormattedCitation" : "[57]", "previouslyFormattedCitation" : "&lt;sup&gt;[57]&lt;/sup&gt;" }, "properties" : { "noteIndex" : 0 }, "schema" : "https://github.com/citation-style-language/schema/raw/master/csl-citation.json" }</w:instrText>
      </w:r>
      <w:r w:rsidRPr="00CD1426">
        <w:rPr>
          <w:rFonts w:ascii="Book Antiqua" w:hAnsi="Book Antiqua" w:cs="Arial"/>
          <w:lang w:val="en-US"/>
        </w:rPr>
        <w:fldChar w:fldCharType="separate"/>
      </w:r>
      <w:r w:rsidR="001D4A08" w:rsidRPr="00CD1426">
        <w:rPr>
          <w:rFonts w:ascii="Book Antiqua" w:hAnsi="Book Antiqua" w:cs="Arial"/>
          <w:noProof/>
          <w:vertAlign w:val="superscript"/>
          <w:lang w:val="en-US"/>
        </w:rPr>
        <w:t>[57]</w:t>
      </w:r>
      <w:r w:rsidRPr="00CD1426">
        <w:rPr>
          <w:rFonts w:ascii="Book Antiqua" w:hAnsi="Book Antiqua" w:cs="Arial"/>
          <w:lang w:val="en-US"/>
        </w:rPr>
        <w:fldChar w:fldCharType="end"/>
      </w:r>
      <w:r w:rsidR="006074EB" w:rsidRPr="00CD1426">
        <w:rPr>
          <w:rFonts w:ascii="Book Antiqua" w:hAnsi="Book Antiqua" w:cs="Arial"/>
          <w:lang w:val="en-US" w:eastAsia="zh-CN"/>
        </w:rPr>
        <w:t>.</w:t>
      </w:r>
      <w:r w:rsidRPr="00CD1426">
        <w:rPr>
          <w:rFonts w:ascii="Book Antiqua" w:hAnsi="Book Antiqua" w:cs="Arial"/>
          <w:lang w:val="en-US"/>
        </w:rPr>
        <w:t xml:space="preserve"> There were two groups: cohort 1 (enrolled patients with a null response to PEG-interferon/RBV with </w:t>
      </w:r>
      <w:proofErr w:type="spellStart"/>
      <w:r w:rsidRPr="00CD1426">
        <w:rPr>
          <w:rFonts w:ascii="Book Antiqua" w:hAnsi="Book Antiqua" w:cs="Arial"/>
          <w:lang w:val="en-US"/>
        </w:rPr>
        <w:t>Metavir</w:t>
      </w:r>
      <w:proofErr w:type="spellEnd"/>
      <w:r w:rsidRPr="00CD1426">
        <w:rPr>
          <w:rFonts w:ascii="Book Antiqua" w:hAnsi="Book Antiqua" w:cs="Arial"/>
          <w:lang w:val="en-US"/>
        </w:rPr>
        <w:t xml:space="preserve"> fibrosis stage 0 or 2) and Cohort 2 (including patients who were treatment-naïve or with a previous null response with </w:t>
      </w:r>
      <w:proofErr w:type="spellStart"/>
      <w:r w:rsidRPr="00CD1426">
        <w:rPr>
          <w:rFonts w:ascii="Book Antiqua" w:hAnsi="Book Antiqua" w:cs="Arial"/>
          <w:lang w:val="en-US"/>
        </w:rPr>
        <w:t>Metavir</w:t>
      </w:r>
      <w:proofErr w:type="spellEnd"/>
      <w:r w:rsidRPr="00CD1426">
        <w:rPr>
          <w:rFonts w:ascii="Book Antiqua" w:hAnsi="Book Antiqua" w:cs="Arial"/>
          <w:lang w:val="en-US"/>
        </w:rPr>
        <w:t xml:space="preserve"> fibrosis stage 3 or 4). SVR12 were reached within 154 (92%) patients, 90% in cohort 1 and 94% in-group 2.</w:t>
      </w:r>
    </w:p>
    <w:p w14:paraId="31A3244A" w14:textId="75C2039F" w:rsidR="002B302F" w:rsidRPr="00CD1426" w:rsidRDefault="002B302F" w:rsidP="00CD1426">
      <w:pPr>
        <w:widowControl w:val="0"/>
        <w:autoSpaceDE w:val="0"/>
        <w:autoSpaceDN w:val="0"/>
        <w:adjustRightInd w:val="0"/>
        <w:spacing w:line="360" w:lineRule="auto"/>
        <w:ind w:firstLineChars="200" w:firstLine="480"/>
        <w:jc w:val="both"/>
        <w:rPr>
          <w:rFonts w:ascii="Book Antiqua" w:hAnsi="Book Antiqua" w:cs="Arial"/>
          <w:lang w:val="en-US"/>
        </w:rPr>
      </w:pPr>
      <w:r w:rsidRPr="00CD1426">
        <w:rPr>
          <w:rFonts w:ascii="Book Antiqua" w:hAnsi="Book Antiqua" w:cs="Arial"/>
          <w:lang w:val="en-US"/>
        </w:rPr>
        <w:t xml:space="preserve">The ATTAIN Phase III study compared two treatments regimens, </w:t>
      </w:r>
      <w:proofErr w:type="spellStart"/>
      <w:r w:rsidRPr="00CD1426">
        <w:rPr>
          <w:rFonts w:ascii="Book Antiqua" w:hAnsi="Book Antiqua" w:cs="Arial"/>
          <w:lang w:val="en-US"/>
        </w:rPr>
        <w:t>simeprevir</w:t>
      </w:r>
      <w:proofErr w:type="spellEnd"/>
      <w:r w:rsidRPr="00CD1426">
        <w:rPr>
          <w:rFonts w:ascii="Book Antiqua" w:hAnsi="Book Antiqua" w:cs="Arial"/>
          <w:lang w:val="en-US"/>
        </w:rPr>
        <w:t xml:space="preserve"> plus PR and </w:t>
      </w:r>
      <w:proofErr w:type="spellStart"/>
      <w:r w:rsidRPr="00CD1426">
        <w:rPr>
          <w:rFonts w:ascii="Book Antiqua" w:hAnsi="Book Antiqua" w:cs="Arial"/>
          <w:lang w:val="en-US"/>
        </w:rPr>
        <w:t>telaprevir</w:t>
      </w:r>
      <w:proofErr w:type="spellEnd"/>
      <w:r w:rsidRPr="00CD1426">
        <w:rPr>
          <w:rFonts w:ascii="Book Antiqua" w:hAnsi="Book Antiqua" w:cs="Arial"/>
          <w:lang w:val="en-US"/>
        </w:rPr>
        <w:t xml:space="preserve"> plus PR in HCV genotype 1 patients who were previously treated with PR therapy. The SVR in the </w:t>
      </w:r>
      <w:proofErr w:type="spellStart"/>
      <w:r w:rsidRPr="00CD1426">
        <w:rPr>
          <w:rFonts w:ascii="Book Antiqua" w:hAnsi="Book Antiqua" w:cs="Arial"/>
          <w:lang w:val="en-US"/>
        </w:rPr>
        <w:t>simeprevir</w:t>
      </w:r>
      <w:proofErr w:type="spellEnd"/>
      <w:r w:rsidRPr="00CD1426">
        <w:rPr>
          <w:rFonts w:ascii="Book Antiqua" w:hAnsi="Book Antiqua" w:cs="Arial"/>
          <w:lang w:val="en-US"/>
        </w:rPr>
        <w:t xml:space="preserve"> group </w:t>
      </w:r>
      <w:r w:rsidRPr="00CD1426">
        <w:rPr>
          <w:rFonts w:ascii="Book Antiqua" w:hAnsi="Book Antiqua" w:cs="Arial"/>
          <w:lang w:val="en-US"/>
        </w:rPr>
        <w:lastRenderedPageBreak/>
        <w:t xml:space="preserve">was achieved in 69.7% in partial responders and in 43.6% of previous null responders to PR. In the </w:t>
      </w:r>
      <w:proofErr w:type="spellStart"/>
      <w:r w:rsidRPr="00CD1426">
        <w:rPr>
          <w:rFonts w:ascii="Book Antiqua" w:hAnsi="Book Antiqua" w:cs="Arial"/>
          <w:lang w:val="en-US"/>
        </w:rPr>
        <w:t>teleprevir</w:t>
      </w:r>
      <w:proofErr w:type="spellEnd"/>
      <w:r w:rsidRPr="00CD1426">
        <w:rPr>
          <w:rFonts w:ascii="Book Antiqua" w:hAnsi="Book Antiqua" w:cs="Arial"/>
          <w:lang w:val="en-US"/>
        </w:rPr>
        <w:t xml:space="preserve"> group, the SVR was 68.5% among partial responders and 4</w:t>
      </w:r>
      <w:r w:rsidR="006074EB" w:rsidRPr="00CD1426">
        <w:rPr>
          <w:rFonts w:ascii="Book Antiqua" w:hAnsi="Book Antiqua" w:cs="Arial"/>
          <w:lang w:val="en-US"/>
        </w:rPr>
        <w:t>6.6% among the null responders</w:t>
      </w:r>
      <w:r w:rsidRPr="00CD1426">
        <w:rPr>
          <w:rFonts w:ascii="Book Antiqua" w:hAnsi="Book Antiqua" w:cs="Arial"/>
          <w:lang w:val="en-US"/>
        </w:rPr>
        <w:fldChar w:fldCharType="begin" w:fldLock="1"/>
      </w:r>
      <w:r w:rsidR="001D4A08" w:rsidRPr="00CD1426">
        <w:rPr>
          <w:rFonts w:ascii="Book Antiqua" w:hAnsi="Book Antiqua" w:cs="Arial"/>
          <w:lang w:val="en-US"/>
        </w:rPr>
        <w:instrText>ADDIN CSL_CITATION { "citationItems" : [ { "id" : "ITEM-1", "itemData" : { "DOI" : "10.1016/j.jhep.2012.09.023", "ISSN" : "1600-0641", "PMID" : "23063419", "abstract" : "The standard therapeutic approach currently recommended for patients infected with genotype 1 hepatitis C virus (HCV) is the triple therapy combining pegylated interferon (PEG-IFN), ribavirin (RBV)and NS3/NS4 protease inhibitors, boceprevir or telaprevir [1]. Protease inhibitors (PIs) are direct acting antiviral drugs (DAA) which, when added to PEG-IFN and RBV, are able to achieve a significant gain in terms of sustained virological response (SVR), both in na\u00efve and treatment-experienced patients [2\u20135]. The use of these new molecules, despite its in contestable benefits, reveals on the other hand new challenges: the emergence of variants with reduced sensitivity to PIs, the development of new or higher rate of side effects, drug to drug interactions, and significant increase in the overall cost of antiviral therapy. Among the two DAAs commonly used in combination with PEG-IFN and RBV (PEG-IFN/RBV) for the treatment of genotype 1 HCV patients, boceprevir has been licensed with a lead-in phase, while telaprevir has been licensed without. EMA approved regimens of both drugs are reported in Figs. 1 and 2. The lead-in phase represents an initial period of 4 weeks of dual therapy with PEG-IFN/RBV, in standard doses, followed by triple therapy. The concept of lead-in phase was initiated by the Schering\u2013Plough company in order to improve efficacy of boceprevir-based triple therapy. Indeed, by lowering HCV RNA level, a short course of PEG-IFN/RBV may theoretically reduce the risk of viral breakthrough or resistance. However, there is still much controversy regarding the utility of the lead-in phase, some authors advocating its role in improving, and/or predicting triple therapy effectiveness, while others view it as a useless complication of the therapeutic regimen, its chief disadvantage being the inconvenience to the patient.", "author" : [ { "dropping-particle" : "", "family" : "Pascale", "given" : "Alina", "non-dropping-particle" : "", "parse-names" : false, "suffix" : "" }, { "dropping-particle" : "", "family" : "Serfaty", "given" : "Lawrence", "non-dropping-particle" : "", "parse-names" : false, "suffix" : "" } ], "container-title" : "Journal of hepatology", "id" : "ITEM-1", "issue" : "2", "issued" : { "date-parts" : [ [ "2013", "2" ] ] }, "page" : "391-4", "title" : "Triple therapy with first generation HCV protease inhibitors: lead-in or no lead-in phase?", "type" : "article-journal", "volume" : "58" }, "uris" : [ "http://www.mendeley.com/documents/?uuid=0f351b64-eb48-4f76-adaf-5079040b0f21" ] }, { "id" : "ITEM-2", "itemData" : { "URL" : "http://www.easl.eu/_newsroom/latest-news/easl-recommendations-on-treatment-of-hepatitis-c-2014", "accessed" : { "date-parts" : [ [ "2014", "8", "21" ] ] }, "id" : "ITEM-2", "issued" : { "date-parts" : [ [ "0" ] ] }, "title" : "EASL Recommendations on Treatment of Hepatitis C 2014 .:. Latest news .:. EASL - EUROPEAN ASSOCIATION FOR THE STUDY OF THE LIVER", "type" : "webpage" }, "uris" : [ "http://www.mendeley.com/documents/?uuid=e9f64203-aa43-42f2-a304-9f47ea3a54f1" ] } ], "mendeley" : { "formattedCitation" : "&lt;sup&gt;[47,59]&lt;/sup&gt;", "plainTextFormattedCitation" : "[47,59]", "previouslyFormattedCitation" : "&lt;sup&gt;[47,59]&lt;/sup&gt;" }, "properties" : { "noteIndex" : 0 }, "schema" : "https://github.com/citation-style-language/schema/raw/master/csl-citation.json" }</w:instrText>
      </w:r>
      <w:r w:rsidRPr="00CD1426">
        <w:rPr>
          <w:rFonts w:ascii="Book Antiqua" w:hAnsi="Book Antiqua" w:cs="Arial"/>
          <w:lang w:val="en-US"/>
        </w:rPr>
        <w:fldChar w:fldCharType="separate"/>
      </w:r>
      <w:r w:rsidR="001D4A08" w:rsidRPr="00CD1426">
        <w:rPr>
          <w:rFonts w:ascii="Book Antiqua" w:hAnsi="Book Antiqua" w:cs="Arial"/>
          <w:noProof/>
          <w:vertAlign w:val="superscript"/>
          <w:lang w:val="en-US"/>
        </w:rPr>
        <w:t>[47,59]</w:t>
      </w:r>
      <w:r w:rsidRPr="00CD1426">
        <w:rPr>
          <w:rFonts w:ascii="Book Antiqua" w:hAnsi="Book Antiqua" w:cs="Arial"/>
          <w:lang w:val="en-US"/>
        </w:rPr>
        <w:fldChar w:fldCharType="end"/>
      </w:r>
      <w:r w:rsidR="006074EB" w:rsidRPr="00CD1426">
        <w:rPr>
          <w:rFonts w:ascii="Book Antiqua" w:hAnsi="Book Antiqua" w:cs="Arial"/>
          <w:lang w:val="en-US" w:eastAsia="zh-CN"/>
        </w:rPr>
        <w:t>.</w:t>
      </w:r>
      <w:r w:rsidRPr="00CD1426">
        <w:rPr>
          <w:rFonts w:ascii="Book Antiqua" w:hAnsi="Book Antiqua" w:cs="Arial"/>
          <w:lang w:val="en-US"/>
        </w:rPr>
        <w:t xml:space="preserve">  </w:t>
      </w:r>
    </w:p>
    <w:p w14:paraId="5AB405D8" w14:textId="40CE3D00" w:rsidR="002B302F" w:rsidRPr="00CD1426" w:rsidRDefault="002B302F" w:rsidP="00CD1426">
      <w:pPr>
        <w:widowControl w:val="0"/>
        <w:autoSpaceDE w:val="0"/>
        <w:autoSpaceDN w:val="0"/>
        <w:adjustRightInd w:val="0"/>
        <w:spacing w:line="360" w:lineRule="auto"/>
        <w:ind w:firstLineChars="200" w:firstLine="480"/>
        <w:jc w:val="both"/>
        <w:rPr>
          <w:rFonts w:ascii="Book Antiqua" w:hAnsi="Book Antiqua" w:cs="Arial"/>
          <w:lang w:val="en-US" w:eastAsia="zh-CN"/>
        </w:rPr>
      </w:pPr>
      <w:r w:rsidRPr="00CD1426">
        <w:rPr>
          <w:rFonts w:ascii="Book Antiqua" w:hAnsi="Book Antiqua" w:cs="Arial"/>
          <w:lang w:val="en-US"/>
        </w:rPr>
        <w:t xml:space="preserve">For patients with HCV genotype 1a infection, the Q80K polymorphism is a negative predictive variable for achieving SVR, and baseline resistance testing may be considered because the mutation clearly modifies the probability of SVR to </w:t>
      </w:r>
      <w:proofErr w:type="spellStart"/>
      <w:r w:rsidRPr="00CD1426">
        <w:rPr>
          <w:rFonts w:ascii="Book Antiqua" w:hAnsi="Book Antiqua" w:cs="Arial"/>
          <w:lang w:val="en-US"/>
        </w:rPr>
        <w:t>simeprevir</w:t>
      </w:r>
      <w:proofErr w:type="spellEnd"/>
      <w:r w:rsidRPr="00CD1426">
        <w:rPr>
          <w:rFonts w:ascii="Book Antiqua" w:hAnsi="Book Antiqua" w:cs="Arial"/>
          <w:lang w:val="en-US"/>
        </w:rPr>
        <w:t>. The SVR12 was 90% in the HCV genotype 1 group; however, in subtype 1a with Q80K polymorphism at baseline, SVR12 was 52% whereas in the 1a gr</w:t>
      </w:r>
      <w:r w:rsidR="006074EB" w:rsidRPr="00CD1426">
        <w:rPr>
          <w:rFonts w:ascii="Book Antiqua" w:hAnsi="Book Antiqua" w:cs="Arial"/>
          <w:lang w:val="en-US"/>
        </w:rPr>
        <w:t>oup without Q80K, SVR12 was 85%</w:t>
      </w:r>
      <w:r w:rsidRPr="00CD1426">
        <w:rPr>
          <w:rFonts w:ascii="Book Antiqua" w:hAnsi="Book Antiqua" w:cs="Arial"/>
          <w:lang w:val="en-US"/>
        </w:rPr>
        <w:fldChar w:fldCharType="begin" w:fldLock="1"/>
      </w:r>
      <w:r w:rsidR="001D4A08" w:rsidRPr="00CD1426">
        <w:rPr>
          <w:rFonts w:ascii="Book Antiqua" w:hAnsi="Book Antiqua" w:cs="Arial"/>
          <w:lang w:val="en-US"/>
        </w:rPr>
        <w:instrText>ADDIN CSL_CITATION { "citationItems" : [ { "id" : "ITEM-1", "itemData" : { "DOI" : "10.1016/S0140-6736(14)60494-3", "ISSN" : "1474-547X", "PMID" : "24907225", "abstract" : "BACKGROUND: Although the addition of the HCV NS3/4A protease inhibitors boceprevir and telaprevir to pegylated interferon (peginterferon) alfa plus ribavirin has improved sustained virological response (SVR) in treatment-naive and treatment-experienced patients infected with hepatitis C virus (HCV) genotype 1, the regimens have a high pill burden and are associated with increased rates and severity of adverse events, such as anaemia and rash. The efficacy and safety of the combination of simeprevir, a one pill, once-daily, oral HCV NS3/4A protease inhibitor, plus peginterferon alfa 2a plus ribavirin were assessed in treatment-naive patients with HCV genotype 1 infection.\n\nMETHODS: In QUEST-1, a phase 3, randomised, double-blind multicentre trial undertaken in 13 countries (Australia, Europe, North America, Puerto Rico, and New Zealand), 394 patients (aged \u226518 years) with chronic HCV genotype 1 infection and no history of HCV treatment, stratified by HCV subtype and host IL28B genotype, were randomly assigned in a 2:1 ratio with a computer-generated allocation sequence to receive simeprevir (150 mg once daily, orally) plus peginterferon alfa 2a plus ribavirin for 12 weeks, followed by peginterferon alfa 2a plus ribavirin (simeprevir group), or placebo orally plus peginterferon alfa 2a plus ribavirin for 12 weeks, followed by peginterferon alfa 2a plus ribavirin (placebo group). Treatment duration was 24 weeks or 48 weeks in the simeprevir group according to criteria for response-guided therapy (ie, HCV RNA &lt;25 IU/mL [undetectable or detectable] at week 4 and &lt;25 IU/mL undetectable at week 12) and 48 weeks in the placebo group. Patients, study personnel, and the sponsor were masked to the treatment group assignment. The primary efficacy endpoint was sustained virological response 12 weeks after the planned end of treatment (SVR12) and was assessed with an intention-to-treat analysis. The results of the primary analysis (week 60) are presented for safety and SVR12. This trial is registered with ClinicalTrials.gov, number NCT01289782.\n\nFINDINGS: Treatment with simeprevir, peginterferon alfa 2a, and ribavirin was superior to placebo, peginterferon alfa 2a, and ribavirin (SVR12 in 210 [80%] patients of 264 vs 65 [50%] of 130, respectively, adjusted difference 29\u00b73% [95% CI 20\u00b71-38\u00b76; p&lt;0\u00b70001). Adverse events in the first 12 weeks of treatment led to discontinuation of simeprevir in two (&lt;1%) patients and discontinuation of placebo in one patient (&lt;1%); fatig\u2026", "author" : [ { "dropping-particle" : "", "family" : "Jacobson", "given" : "Ira M", "non-dropping-particle" : "", "parse-names" : false, "suffix" : "" }, { "dropping-particle" : "", "family" : "Dore", "given" : "Gregory J", "non-dropping-particle" : "", "parse-names" : false, "suffix" : "" }, { "dropping-particle" : "", "family" : "Foster", "given" : "Graham R", "non-dropping-particle" : "", "parse-names" : false, "suffix" : "" }, { "dropping-particle" : "", "family" : "Fried", "given" : "Michael W", "non-dropping-particle" : "", "parse-names" : false, "suffix" : "" }, { "dropping-particle" : "", "family" : "Radu", "given" : "Monica", "non-dropping-particle" : "", "parse-names" : false, "suffix" : "" }, { "dropping-particle" : "V", "family" : "Rafalsky", "given" : "Vladimir", "non-dropping-particle" : "", "parse-names" : false, "suffix" : "" }, { "dropping-particle" : "", "family" : "Moroz", "given" : "Larysa", "non-dropping-particle" : "", "parse-names" : false, "suffix" : "" }, { "dropping-particle" : "", "family" : "Craxi", "given" : "Antonio", "non-dropping-particle" : "", "parse-names" : false, "suffix" : "" }, { "dropping-particle" : "", "family" : "Peeters", "given" : "Monika", "non-dropping-particle" : "", "parse-names" : false, "suffix" : "" }, { "dropping-particle" : "", "family" : "Lenz", "given" : "Oliver", "non-dropping-particle" : "", "parse-names" : false, "suffix" : "" }, { "dropping-particle" : "", "family" : "Ouwerkerk-Mahadevan", "given" : "Sivi", "non-dropping-particle" : "", "parse-names" : false, "suffix" : "" }, { "dropping-particle" : "", "family" : "La Rosa", "given" : "Guy", "non-dropping-particle" : "De", "parse-names" : false, "suffix" : "" }, { "dropping-particle" : "", "family" : "Kalmeijer", "given" : "Ronald", "non-dropping-particle" : "", "parse-names" : false, "suffix" : "" }, { "dropping-particle" : "", "family" : "Scott", "given" : "Jane", "non-dropping-particle" : "", "parse-names" : false, "suffix" : "" }, { "dropping-particle" : "", "family" : "Sinha", "given" : "Rekha", "non-dropping-particle" : "", "parse-names" : false, "suffix" : "" }, { "dropping-particle" : "", "family" : "Beumont-Mauviel", "given" : "Maria", "non-dropping-particle" : "", "parse-names" : false, "suffix" : "" } ], "container-title" : "Lancet", "id" : "ITEM-1", "issue" : "9941", "issued" : { "date-parts" : [ [ "2014", "6", "3" ] ] }, "page" : "403-13", "title" : "Simeprevir with pegylated interferon alfa 2a plus ribavirin in treatment-naive patients with chronic hepatitis C virus genotype 1 infection (QUEST-1): a phase 3, randomised, double-blind, placebo-controlled trial.", "type" : "article-journal", "volume" : "384" }, "uris" : [ "http://www.mendeley.com/documents/?uuid=1c4c59a9-1745-416b-ba76-1d95f3951122" ] } ], "mendeley" : { "formattedCitation" : "&lt;sup&gt;[61]&lt;/sup&gt;", "plainTextFormattedCitation" : "[61]", "previouslyFormattedCitation" : "&lt;sup&gt;[61]&lt;/sup&gt;" }, "properties" : { "noteIndex" : 0 }, "schema" : "https://github.com/citation-style-language/schema/raw/master/csl-citation.json" }</w:instrText>
      </w:r>
      <w:r w:rsidRPr="00CD1426">
        <w:rPr>
          <w:rFonts w:ascii="Book Antiqua" w:hAnsi="Book Antiqua" w:cs="Arial"/>
          <w:lang w:val="en-US"/>
        </w:rPr>
        <w:fldChar w:fldCharType="separate"/>
      </w:r>
      <w:r w:rsidR="001D4A08" w:rsidRPr="00CD1426">
        <w:rPr>
          <w:rFonts w:ascii="Book Antiqua" w:hAnsi="Book Antiqua" w:cs="Arial"/>
          <w:noProof/>
          <w:vertAlign w:val="superscript"/>
          <w:lang w:val="en-US"/>
        </w:rPr>
        <w:t>[61]</w:t>
      </w:r>
      <w:r w:rsidRPr="00CD1426">
        <w:rPr>
          <w:rFonts w:ascii="Book Antiqua" w:hAnsi="Book Antiqua" w:cs="Arial"/>
          <w:lang w:val="en-US"/>
        </w:rPr>
        <w:fldChar w:fldCharType="end"/>
      </w:r>
      <w:r w:rsidR="006074EB" w:rsidRPr="00CD1426">
        <w:rPr>
          <w:rFonts w:ascii="Book Antiqua" w:hAnsi="Book Antiqua" w:cs="Arial"/>
          <w:lang w:val="en-US" w:eastAsia="zh-CN"/>
        </w:rPr>
        <w:t>.</w:t>
      </w:r>
      <w:r w:rsidRPr="00CD1426">
        <w:rPr>
          <w:rFonts w:ascii="Book Antiqua" w:hAnsi="Book Antiqua" w:cs="Arial"/>
          <w:lang w:val="en-US"/>
        </w:rPr>
        <w:t xml:space="preserve"> Most likely, the Q80K polymorphism does not prevent treatment with </w:t>
      </w:r>
      <w:proofErr w:type="spellStart"/>
      <w:r w:rsidRPr="00CD1426">
        <w:rPr>
          <w:rFonts w:ascii="Book Antiqua" w:hAnsi="Book Antiqua" w:cs="Arial"/>
          <w:lang w:val="en-US"/>
        </w:rPr>
        <w:t>simeprevir</w:t>
      </w:r>
      <w:proofErr w:type="spellEnd"/>
      <w:r w:rsidRPr="00CD1426">
        <w:rPr>
          <w:rFonts w:ascii="Book Antiqua" w:hAnsi="Book Antiqua" w:cs="Arial"/>
          <w:lang w:val="en-US"/>
        </w:rPr>
        <w:t xml:space="preserve"> plus </w:t>
      </w:r>
      <w:proofErr w:type="spellStart"/>
      <w:r w:rsidRPr="00CD1426">
        <w:rPr>
          <w:rFonts w:ascii="Book Antiqua" w:hAnsi="Book Antiqua" w:cs="Arial"/>
          <w:lang w:val="en-US"/>
        </w:rPr>
        <w:t>sofosbuvir</w:t>
      </w:r>
      <w:proofErr w:type="spellEnd"/>
      <w:r w:rsidRPr="00CD1426">
        <w:rPr>
          <w:rFonts w:ascii="Book Antiqua" w:hAnsi="Book Antiqua" w:cs="Arial"/>
          <w:lang w:val="en-US"/>
        </w:rPr>
        <w:t xml:space="preserve"> since SVR rate remains high in patients with genotype 1a/Q80K infection treated with this regime</w:t>
      </w:r>
      <w:r w:rsidR="006074EB" w:rsidRPr="00CD1426">
        <w:rPr>
          <w:rFonts w:ascii="Book Antiqua" w:hAnsi="Book Antiqua" w:cs="Arial"/>
          <w:lang w:val="en-US"/>
        </w:rPr>
        <w:t>n (SVR 12 in cohort 1 was 86%)</w:t>
      </w:r>
      <w:r w:rsidRPr="00CD1426">
        <w:rPr>
          <w:rFonts w:ascii="Book Antiqua" w:hAnsi="Book Antiqua" w:cs="Arial"/>
          <w:lang w:val="en-US"/>
        </w:rPr>
        <w:fldChar w:fldCharType="begin" w:fldLock="1"/>
      </w:r>
      <w:r w:rsidR="001D4A08" w:rsidRPr="00CD1426">
        <w:rPr>
          <w:rFonts w:ascii="Book Antiqua" w:hAnsi="Book Antiqua" w:cs="Arial"/>
          <w:lang w:val="en-US"/>
        </w:rPr>
        <w:instrText>ADDIN CSL_CITATION { "citationItems" : [ { "id" : "ITEM-1", "itemData" : { "DOI" : "10.1016/S0140-6736(14)61036-9", "ISSN" : "01406736", "PMID" : "25078309", "abstract" : "BACKGROUND: Interferon-free regimens are needed to treat hepatitis C virus (HCV) infections. We investigated the efficacy of combined simeprevir and sofosbuvir.\n\nMETHODS: We enrolled patients with chronic HCV genotype 1 infections who had previously not responded to pegylated interferon (peginterferon) and ribavirin or were treatment naive. Patients were randomly assigned in a 2:2:1:1 ratio to receive 150 mg simeprevir and 400 mg sofosbuvir daily for 24 weeks with (group 1) or without (group 2) ribavirin or for 12 weeks with (group 3) or without (group 4) ribavirin, in two cohorts: previous non-responders with METAVIR scores F0-F2 (cohort 1) and previous non-responders and treatment-naive patients with METAVIR scores F3-F4 (cohort 2). The primary endpoint was sustained virological response 12 weeks after stopping treatment (SVR12). Analysis was done by intention to treat. Safety data from cohorts 1 and 2 were pooled for analysis. This study is registered with ClinicalTrials.gov, number NCT01466790.\n\nFINDINGS: 168 patients were enrolled and randomised, and 167 started treatment (n=80 in cohort 1 and n=87 in cohort 2). SVR12 was achieved in 154 (92%) patients (n=72 [90%, 95% CI 81-96] in cohort 1 and n=82 [94%, 87-98] in cohort 2). The most common adverse events in the pooled groups were fatigue (n=52 [31%]), headache (n=33 [20%]), and nausea (n=26 [16%]). Grade 4 adverse events were seen in one (2%) of 54 patients in each of groups 1 and 3 and in three (10%) of 31 patients in group 2, whereas grade 3-4 events were reported in less than 5% of all patients, except increased blood amylase concentration. Serious adverse events were seen in four (2%) patients, all in groups 1 and 2. Four (2%) patients discontinued all study treatment because of adverse events, three before week 12.\n\nINTERPRETATION: Combined simeprevir and sofosbuvir was efficacious and well tolerated.\n\nFUNDING: Janssen.", "author" : [ { "dropping-particle" : "", "family" : "Lawitz", "given" : "Eric", "non-dropping-particle" : "", "parse-names" : false, "suffix" : "" }, { "dropping-particle" : "", "family" : "Sulkowski", "given" : "Mark S", "non-dropping-particle" : "", "parse-names" : false, "suffix" : "" }, { "dropping-particle" : "", "family" : "Ghalib", "given" : "Reem", "non-dropping-particle" : "", "parse-names" : false, "suffix" : "" }, { "dropping-particle" : "", "family" : "Rodriguez-Torres", "given" : "Maribel", "non-dropping-particle" : "", "parse-names" : false, "suffix" : "" }, { "dropping-particle" : "", "family" : "Younossi", "given" : "Zobair M", "non-dropping-particle" : "", "parse-names" : false, "suffix" : "" }, { "dropping-particle" : "", "family" : "Corregidor", "given" : "Ana", "non-dropping-particle" : "", "parse-names" : false, "suffix" : "" }, { "dropping-particle" : "", "family" : "DeJesus", "given" : "Edwin", "non-dropping-particle" : "", "parse-names" : false, "suffix" : "" }, { "dropping-particle" : "", "family" : "Pearlman", "given" : "Brian", "non-dropping-particle" : "", "parse-names" : false, "suffix" : "" }, { "dropping-particle" : "", "family" : "Rabinovitz", "given" : "Mordechai", "non-dropping-particle" : "", "parse-names" : false, "suffix" : "" }, { "dropping-particle" : "", "family" : "Gitlin", "given" : "Norman", "non-dropping-particle" : "", "parse-names" : false, "suffix" : "" }, { "dropping-particle" : "", "family" : "Lim", "given" : "Joseph K", "non-dropping-particle" : "", "parse-names" : false, "suffix" : "" }, { "dropping-particle" : "", "family" : "Pockros", "given" : "Paul J", "non-dropping-particle" : "", "parse-names" : false, "suffix" : "" }, { "dropping-particle" : "", "family" : "Scott", "given" : "John D", "non-dropping-particle" : "", "parse-names" : false, "suffix" : "" }, { "dropping-particle" : "", "family" : "Fevery", "given" : "Bart", "non-dropping-particle" : "", "parse-names" : false, "suffix" : "" }, { "dropping-particle" : "", "family" : "Lambrecht", "given" : "Tom", "non-dropping-particle" : "", "parse-names" : false, "suffix" : "" }, { "dropping-particle" : "", "family" : "Ouwerkerk-Mahadevan", "given" : "Sivi", "non-dropping-particle" : "", "parse-names" : false, "suffix" : "" }, { "dropping-particle" : "", "family" : "Callewaert", "given" : "Katleen", "non-dropping-particle" : "", "parse-names" : false, "suffix" : "" }, { "dropping-particle" : "", "family" : "Symonds", "given" : "William T", "non-dropping-particle" : "", "parse-names" : false, "suffix" : "" }, { "dropping-particle" : "", "family" : "Picchio", "given" : "Gaston", "non-dropping-particle" : "", "parse-names" : false, "suffix" : "" }, { "dropping-particle" : "", "family" : "Lindsay", "given" : "Karen L", "non-dropping-particle" : "", "parse-names" : false, "suffix" : "" }, { "dropping-particle" : "", "family" : "Beumont", "given" : "Maria", "non-dropping-particle" : "", "parse-names" : false, "suffix" : "" }, { "dropping-particle" : "", "family" : "Jacobson", "given" : "Ira M", "non-dropping-particle" : "", "parse-names" : false, "suffix" : "" } ], "container-title" : "The Lancet", "id" : "ITEM-1", "issued" : { "date-parts" : [ [ "2014", "7", "26" ] ] }, "title" : "Simeprevir plus sofosbuvir, with or without ribavirin, to treat chronic infection with hepatitis C virus genotype 1 in non-responders to pegylated interferon and ribavirin and treatment-naive patients: the COSMOS randomised study", "type" : "article-journal" }, "uris" : [ "http://www.mendeley.com/documents/?uuid=5add4bbc-3578-4ce8-9125-b188e5a3457a" ] } ], "mendeley" : { "formattedCitation" : "&lt;sup&gt;[57]&lt;/sup&gt;", "plainTextFormattedCitation" : "[57]", "previouslyFormattedCitation" : "&lt;sup&gt;[57]&lt;/sup&gt;" }, "properties" : { "noteIndex" : 0 }, "schema" : "https://github.com/citation-style-language/schema/raw/master/csl-citation.json" }</w:instrText>
      </w:r>
      <w:r w:rsidRPr="00CD1426">
        <w:rPr>
          <w:rFonts w:ascii="Book Antiqua" w:hAnsi="Book Antiqua" w:cs="Arial"/>
          <w:lang w:val="en-US"/>
        </w:rPr>
        <w:fldChar w:fldCharType="separate"/>
      </w:r>
      <w:r w:rsidR="001D4A08" w:rsidRPr="00CD1426">
        <w:rPr>
          <w:rFonts w:ascii="Book Antiqua" w:hAnsi="Book Antiqua" w:cs="Arial"/>
          <w:noProof/>
          <w:vertAlign w:val="superscript"/>
          <w:lang w:val="en-US"/>
        </w:rPr>
        <w:t>[57]</w:t>
      </w:r>
      <w:r w:rsidRPr="00CD1426">
        <w:rPr>
          <w:rFonts w:ascii="Book Antiqua" w:hAnsi="Book Antiqua" w:cs="Arial"/>
          <w:lang w:val="en-US"/>
        </w:rPr>
        <w:fldChar w:fldCharType="end"/>
      </w:r>
      <w:r w:rsidR="006074EB" w:rsidRPr="00CD1426">
        <w:rPr>
          <w:rFonts w:ascii="Book Antiqua" w:hAnsi="Book Antiqua" w:cs="Arial"/>
          <w:lang w:val="en-US" w:eastAsia="zh-CN"/>
        </w:rPr>
        <w:t>.</w:t>
      </w:r>
    </w:p>
    <w:p w14:paraId="47511CF0" w14:textId="6ABB7250" w:rsidR="002B302F" w:rsidRPr="00CD1426" w:rsidRDefault="002B302F" w:rsidP="00CD1426">
      <w:pPr>
        <w:widowControl w:val="0"/>
        <w:autoSpaceDE w:val="0"/>
        <w:autoSpaceDN w:val="0"/>
        <w:adjustRightInd w:val="0"/>
        <w:spacing w:line="360" w:lineRule="auto"/>
        <w:ind w:firstLineChars="200" w:firstLine="480"/>
        <w:jc w:val="both"/>
        <w:rPr>
          <w:rFonts w:ascii="Book Antiqua" w:hAnsi="Book Antiqua" w:cs="Arial"/>
          <w:lang w:val="en-US" w:eastAsia="zh-CN"/>
        </w:rPr>
      </w:pPr>
      <w:r w:rsidRPr="00CD1426">
        <w:rPr>
          <w:rFonts w:ascii="Book Antiqua" w:hAnsi="Book Antiqua" w:cs="Arial"/>
          <w:lang w:val="en-US"/>
        </w:rPr>
        <w:t xml:space="preserve">Patients treated with </w:t>
      </w:r>
      <w:proofErr w:type="spellStart"/>
      <w:r w:rsidRPr="00CD1426">
        <w:rPr>
          <w:rFonts w:ascii="Book Antiqua" w:hAnsi="Book Antiqua" w:cs="Arial"/>
          <w:lang w:val="en-US"/>
        </w:rPr>
        <w:t>simeprevir</w:t>
      </w:r>
      <w:proofErr w:type="spellEnd"/>
      <w:r w:rsidRPr="00CD1426">
        <w:rPr>
          <w:rFonts w:ascii="Book Antiqua" w:hAnsi="Book Antiqua" w:cs="Arial"/>
          <w:lang w:val="en-US"/>
        </w:rPr>
        <w:t xml:space="preserve"> who did not achieve SVR12 progressed with increasing number of mutations up to the time of failure in 92% (35 of 38) of patients. In HCV genotype 1a infected patients, the mutations were mainly R155K and for patients infected with HCV genotype 1b, t</w:t>
      </w:r>
      <w:r w:rsidR="006074EB" w:rsidRPr="00CD1426">
        <w:rPr>
          <w:rFonts w:ascii="Book Antiqua" w:hAnsi="Book Antiqua" w:cs="Arial"/>
          <w:lang w:val="en-US"/>
        </w:rPr>
        <w:t>he mutations were mainly D168V</w:t>
      </w:r>
      <w:r w:rsidRPr="00CD1426">
        <w:rPr>
          <w:rFonts w:ascii="Book Antiqua" w:hAnsi="Book Antiqua" w:cs="Arial"/>
          <w:lang w:val="en-US"/>
        </w:rPr>
        <w:fldChar w:fldCharType="begin" w:fldLock="1"/>
      </w:r>
      <w:r w:rsidR="001D4A08" w:rsidRPr="00CD1426">
        <w:rPr>
          <w:rFonts w:ascii="Book Antiqua" w:hAnsi="Book Antiqua" w:cs="Arial"/>
          <w:lang w:val="en-US"/>
        </w:rPr>
        <w:instrText>ADDIN CSL_CITATION { "citationItems" : [ { "id" : "ITEM-1", "itemData" : { "DOI" : "10.1016/S0140-6736(14)61036-9", "ISSN" : "01406736", "PMID" : "25078309", "abstract" : "BACKGROUND: Interferon-free regimens are needed to treat hepatitis C virus (HCV) infections. We investigated the efficacy of combined simeprevir and sofosbuvir.\n\nMETHODS: We enrolled patients with chronic HCV genotype 1 infections who had previously not responded to pegylated interferon (peginterferon) and ribavirin or were treatment naive. Patients were randomly assigned in a 2:2:1:1 ratio to receive 150 mg simeprevir and 400 mg sofosbuvir daily for 24 weeks with (group 1) or without (group 2) ribavirin or for 12 weeks with (group 3) or without (group 4) ribavirin, in two cohorts: previous non-responders with METAVIR scores F0-F2 (cohort 1) and previous non-responders and treatment-naive patients with METAVIR scores F3-F4 (cohort 2). The primary endpoint was sustained virological response 12 weeks after stopping treatment (SVR12). Analysis was done by intention to treat. Safety data from cohorts 1 and 2 were pooled for analysis. This study is registered with ClinicalTrials.gov, number NCT01466790.\n\nFINDINGS: 168 patients were enrolled and randomised, and 167 started treatment (n=80 in cohort 1 and n=87 in cohort 2). SVR12 was achieved in 154 (92%) patients (n=72 [90%, 95% CI 81-96] in cohort 1 and n=82 [94%, 87-98] in cohort 2). The most common adverse events in the pooled groups were fatigue (n=52 [31%]), headache (n=33 [20%]), and nausea (n=26 [16%]). Grade 4 adverse events were seen in one (2%) of 54 patients in each of groups 1 and 3 and in three (10%) of 31 patients in group 2, whereas grade 3-4 events were reported in less than 5% of all patients, except increased blood amylase concentration. Serious adverse events were seen in four (2%) patients, all in groups 1 and 2. Four (2%) patients discontinued all study treatment because of adverse events, three before week 12.\n\nINTERPRETATION: Combined simeprevir and sofosbuvir was efficacious and well tolerated.\n\nFUNDING: Janssen.", "author" : [ { "dropping-particle" : "", "family" : "Lawitz", "given" : "Eric", "non-dropping-particle" : "", "parse-names" : false, "suffix" : "" }, { "dropping-particle" : "", "family" : "Sulkowski", "given" : "Mark S", "non-dropping-particle" : "", "parse-names" : false, "suffix" : "" }, { "dropping-particle" : "", "family" : "Ghalib", "given" : "Reem", "non-dropping-particle" : "", "parse-names" : false, "suffix" : "" }, { "dropping-particle" : "", "family" : "Rodriguez-Torres", "given" : "Maribel", "non-dropping-particle" : "", "parse-names" : false, "suffix" : "" }, { "dropping-particle" : "", "family" : "Younossi", "given" : "Zobair M", "non-dropping-particle" : "", "parse-names" : false, "suffix" : "" }, { "dropping-particle" : "", "family" : "Corregidor", "given" : "Ana", "non-dropping-particle" : "", "parse-names" : false, "suffix" : "" }, { "dropping-particle" : "", "family" : "DeJesus", "given" : "Edwin", "non-dropping-particle" : "", "parse-names" : false, "suffix" : "" }, { "dropping-particle" : "", "family" : "Pearlman", "given" : "Brian", "non-dropping-particle" : "", "parse-names" : false, "suffix" : "" }, { "dropping-particle" : "", "family" : "Rabinovitz", "given" : "Mordechai", "non-dropping-particle" : "", "parse-names" : false, "suffix" : "" }, { "dropping-particle" : "", "family" : "Gitlin", "given" : "Norman", "non-dropping-particle" : "", "parse-names" : false, "suffix" : "" }, { "dropping-particle" : "", "family" : "Lim", "given" : "Joseph K", "non-dropping-particle" : "", "parse-names" : false, "suffix" : "" }, { "dropping-particle" : "", "family" : "Pockros", "given" : "Paul J", "non-dropping-particle" : "", "parse-names" : false, "suffix" : "" }, { "dropping-particle" : "", "family" : "Scott", "given" : "John D", "non-dropping-particle" : "", "parse-names" : false, "suffix" : "" }, { "dropping-particle" : "", "family" : "Fevery", "given" : "Bart", "non-dropping-particle" : "", "parse-names" : false, "suffix" : "" }, { "dropping-particle" : "", "family" : "Lambrecht", "given" : "Tom", "non-dropping-particle" : "", "parse-names" : false, "suffix" : "" }, { "dropping-particle" : "", "family" : "Ouwerkerk-Mahadevan", "given" : "Sivi", "non-dropping-particle" : "", "parse-names" : false, "suffix" : "" }, { "dropping-particle" : "", "family" : "Callewaert", "given" : "Katleen", "non-dropping-particle" : "", "parse-names" : false, "suffix" : "" }, { "dropping-particle" : "", "family" : "Symonds", "given" : "William T", "non-dropping-particle" : "", "parse-names" : false, "suffix" : "" }, { "dropping-particle" : "", "family" : "Picchio", "given" : "Gaston", "non-dropping-particle" : "", "parse-names" : false, "suffix" : "" }, { "dropping-particle" : "", "family" : "Lindsay", "given" : "Karen L", "non-dropping-particle" : "", "parse-names" : false, "suffix" : "" }, { "dropping-particle" : "", "family" : "Beumont", "given" : "Maria", "non-dropping-particle" : "", "parse-names" : false, "suffix" : "" }, { "dropping-particle" : "", "family" : "Jacobson", "given" : "Ira M", "non-dropping-particle" : "", "parse-names" : false, "suffix" : "" } ], "container-title" : "The Lancet", "id" : "ITEM-1", "issued" : { "date-parts" : [ [ "2014", "7", "26" ] ] }, "title" : "Simeprevir plus sofosbuvir, with or without ribavirin, to treat chronic infection with hepatitis C virus genotype 1 in non-responders to pegylated interferon and ribavirin and treatment-naive patients: the COSMOS randomised study", "type" : "article-journal" }, "uris" : [ "http://www.mendeley.com/documents/?uuid=5add4bbc-3578-4ce8-9125-b188e5a3457a" ] } ], "mendeley" : { "formattedCitation" : "&lt;sup&gt;[57]&lt;/sup&gt;", "plainTextFormattedCitation" : "[57]", "previouslyFormattedCitation" : "&lt;sup&gt;[57]&lt;/sup&gt;" }, "properties" : { "noteIndex" : 0 }, "schema" : "https://github.com/citation-style-language/schema/raw/master/csl-citation.json" }</w:instrText>
      </w:r>
      <w:r w:rsidRPr="00CD1426">
        <w:rPr>
          <w:rFonts w:ascii="Book Antiqua" w:hAnsi="Book Antiqua" w:cs="Arial"/>
          <w:lang w:val="en-US"/>
        </w:rPr>
        <w:fldChar w:fldCharType="separate"/>
      </w:r>
      <w:r w:rsidR="001D4A08" w:rsidRPr="00CD1426">
        <w:rPr>
          <w:rFonts w:ascii="Book Antiqua" w:hAnsi="Book Antiqua" w:cs="Arial"/>
          <w:noProof/>
          <w:vertAlign w:val="superscript"/>
          <w:lang w:val="en-US"/>
        </w:rPr>
        <w:t>[57]</w:t>
      </w:r>
      <w:r w:rsidRPr="00CD1426">
        <w:rPr>
          <w:rFonts w:ascii="Book Antiqua" w:hAnsi="Book Antiqua" w:cs="Arial"/>
          <w:lang w:val="en-US"/>
        </w:rPr>
        <w:fldChar w:fldCharType="end"/>
      </w:r>
      <w:r w:rsidR="006074EB" w:rsidRPr="00CD1426">
        <w:rPr>
          <w:rFonts w:ascii="Book Antiqua" w:hAnsi="Book Antiqua" w:cs="Arial"/>
          <w:lang w:val="en-US" w:eastAsia="zh-CN"/>
        </w:rPr>
        <w:t>.</w:t>
      </w:r>
    </w:p>
    <w:p w14:paraId="0DD00B7E" w14:textId="77777777" w:rsidR="002B302F" w:rsidRPr="00CD1426" w:rsidRDefault="002B302F" w:rsidP="00CD1426">
      <w:pPr>
        <w:widowControl w:val="0"/>
        <w:autoSpaceDE w:val="0"/>
        <w:autoSpaceDN w:val="0"/>
        <w:adjustRightInd w:val="0"/>
        <w:spacing w:line="360" w:lineRule="auto"/>
        <w:jc w:val="both"/>
        <w:rPr>
          <w:rFonts w:ascii="Book Antiqua" w:hAnsi="Book Antiqua" w:cs="Arial"/>
          <w:lang w:val="en-US"/>
        </w:rPr>
      </w:pPr>
    </w:p>
    <w:p w14:paraId="01558E42" w14:textId="77777777" w:rsidR="002B302F" w:rsidRPr="00CD1426" w:rsidRDefault="002B302F" w:rsidP="00CD1426">
      <w:pPr>
        <w:tabs>
          <w:tab w:val="right" w:pos="540"/>
          <w:tab w:val="left" w:pos="720"/>
        </w:tabs>
        <w:spacing w:line="360" w:lineRule="auto"/>
        <w:jc w:val="both"/>
        <w:rPr>
          <w:rFonts w:ascii="Book Antiqua" w:hAnsi="Book Antiqua" w:cs="Arial"/>
          <w:b/>
          <w:i/>
          <w:lang w:val="en-US"/>
        </w:rPr>
      </w:pPr>
      <w:proofErr w:type="spellStart"/>
      <w:r w:rsidRPr="00CD1426">
        <w:rPr>
          <w:rFonts w:ascii="Book Antiqua" w:hAnsi="Book Antiqua" w:cs="Arial"/>
          <w:b/>
          <w:i/>
          <w:lang w:val="en-US"/>
        </w:rPr>
        <w:t>Daclatasvir</w:t>
      </w:r>
      <w:proofErr w:type="spellEnd"/>
    </w:p>
    <w:p w14:paraId="4A3F3745" w14:textId="10D0467D" w:rsidR="002B302F" w:rsidRPr="00CD1426" w:rsidRDefault="002B302F" w:rsidP="00CD1426">
      <w:pPr>
        <w:spacing w:line="360" w:lineRule="auto"/>
        <w:jc w:val="both"/>
        <w:rPr>
          <w:rFonts w:ascii="Book Antiqua" w:hAnsi="Book Antiqua" w:cs="Arial"/>
          <w:shd w:val="clear" w:color="auto" w:fill="FFFFFF"/>
          <w:lang w:val="en-US"/>
        </w:rPr>
      </w:pPr>
      <w:proofErr w:type="spellStart"/>
      <w:r w:rsidRPr="00CD1426">
        <w:rPr>
          <w:rFonts w:ascii="Book Antiqua" w:hAnsi="Book Antiqua" w:cs="Arial"/>
          <w:shd w:val="clear" w:color="auto" w:fill="FFFFFF"/>
          <w:lang w:val="en-US"/>
        </w:rPr>
        <w:t>Daclatasvir</w:t>
      </w:r>
      <w:proofErr w:type="spellEnd"/>
      <w:r w:rsidRPr="00CD1426">
        <w:rPr>
          <w:rFonts w:ascii="Book Antiqua" w:hAnsi="Book Antiqua" w:cs="Arial"/>
          <w:shd w:val="clear" w:color="auto" w:fill="FFFFFF"/>
          <w:lang w:val="en-US"/>
        </w:rPr>
        <w:t xml:space="preserve"> is a HCV NS5A replication complex inhibitor that has great antiviral activity and is effective in patients infected with HCV genotypes 1, 2, 3 and 4. Treatment may be combined with </w:t>
      </w:r>
      <w:proofErr w:type="spellStart"/>
      <w:r w:rsidRPr="00CD1426">
        <w:rPr>
          <w:rFonts w:ascii="Book Antiqua" w:hAnsi="Book Antiqua" w:cs="Arial"/>
          <w:shd w:val="clear" w:color="auto" w:fill="FFFFFF"/>
          <w:lang w:val="en-US"/>
        </w:rPr>
        <w:t>peginterferon</w:t>
      </w:r>
      <w:proofErr w:type="spellEnd"/>
      <w:r w:rsidRPr="00CD1426">
        <w:rPr>
          <w:rFonts w:ascii="Book Antiqua" w:hAnsi="Book Antiqua" w:cs="Arial"/>
          <w:shd w:val="clear" w:color="auto" w:fill="FFFFFF"/>
          <w:lang w:val="en-US"/>
        </w:rPr>
        <w:t xml:space="preserve"> plus ribavirin or </w:t>
      </w:r>
      <w:proofErr w:type="spellStart"/>
      <w:r w:rsidRPr="00CD1426">
        <w:rPr>
          <w:rFonts w:ascii="Book Antiqua" w:hAnsi="Book Antiqua" w:cs="Arial"/>
          <w:shd w:val="clear" w:color="auto" w:fill="FFFFFF"/>
          <w:lang w:val="en-US"/>
        </w:rPr>
        <w:t>sofosbuvir</w:t>
      </w:r>
      <w:proofErr w:type="spellEnd"/>
      <w:r w:rsidRPr="00CD1426">
        <w:rPr>
          <w:rFonts w:ascii="Book Antiqua" w:hAnsi="Book Antiqua" w:cs="Arial"/>
          <w:shd w:val="clear" w:color="auto" w:fill="FFFFFF"/>
          <w:lang w:val="en-US"/>
        </w:rPr>
        <w:t xml:space="preserve"> plus ribavirin and therapy duration varies between 12 and 24 w</w:t>
      </w:r>
      <w:r w:rsidR="00B33120" w:rsidRPr="00CD1426">
        <w:rPr>
          <w:rFonts w:ascii="Book Antiqua" w:hAnsi="Book Antiqua" w:cs="Arial"/>
          <w:shd w:val="clear" w:color="auto" w:fill="FFFFFF"/>
          <w:lang w:val="en-US"/>
        </w:rPr>
        <w:t>k</w:t>
      </w:r>
      <w:r w:rsidRPr="00CD1426">
        <w:rPr>
          <w:rFonts w:ascii="Book Antiqua" w:hAnsi="Book Antiqua" w:cs="Arial"/>
          <w:shd w:val="clear" w:color="auto" w:fill="FFFFFF"/>
          <w:lang w:val="en-US"/>
        </w:rPr>
        <w:t>.</w:t>
      </w:r>
    </w:p>
    <w:p w14:paraId="76381BDE" w14:textId="6C15B3BF" w:rsidR="002B302F" w:rsidRPr="00CD1426" w:rsidRDefault="002B302F" w:rsidP="00CD1426">
      <w:pPr>
        <w:widowControl w:val="0"/>
        <w:autoSpaceDE w:val="0"/>
        <w:autoSpaceDN w:val="0"/>
        <w:adjustRightInd w:val="0"/>
        <w:spacing w:line="360" w:lineRule="auto"/>
        <w:ind w:firstLineChars="200" w:firstLine="480"/>
        <w:jc w:val="both"/>
        <w:rPr>
          <w:rFonts w:ascii="Book Antiqua" w:hAnsi="Book Antiqua" w:cs="Arial"/>
          <w:lang w:val="en-US" w:eastAsia="zh-CN"/>
        </w:rPr>
      </w:pPr>
      <w:r w:rsidRPr="00CD1426">
        <w:rPr>
          <w:rFonts w:ascii="Book Antiqua" w:hAnsi="Book Antiqua" w:cs="Arial"/>
          <w:shd w:val="clear" w:color="auto" w:fill="FFFFFF"/>
          <w:lang w:val="en-US"/>
        </w:rPr>
        <w:t xml:space="preserve">The Phase </w:t>
      </w:r>
      <w:proofErr w:type="spellStart"/>
      <w:r w:rsidRPr="00CD1426">
        <w:rPr>
          <w:rFonts w:ascii="Book Antiqua" w:hAnsi="Book Antiqua" w:cs="Arial"/>
          <w:shd w:val="clear" w:color="auto" w:fill="FFFFFF"/>
          <w:lang w:val="en-US"/>
        </w:rPr>
        <w:t>IIb</w:t>
      </w:r>
      <w:proofErr w:type="spellEnd"/>
      <w:r w:rsidRPr="00CD1426">
        <w:rPr>
          <w:rFonts w:ascii="Book Antiqua" w:hAnsi="Book Antiqua" w:cs="Arial"/>
          <w:shd w:val="clear" w:color="auto" w:fill="FFFFFF"/>
          <w:lang w:val="en-US"/>
        </w:rPr>
        <w:t xml:space="preserve"> COMMAND-1 study analyzed HCV genotype 1 untreated patients and showed SVR rates of 87% in subtype 1b </w:t>
      </w:r>
      <w:r w:rsidR="006074EB" w:rsidRPr="00CD1426">
        <w:rPr>
          <w:rFonts w:ascii="Book Antiqua" w:hAnsi="Book Antiqua" w:cs="Arial"/>
          <w:shd w:val="clear" w:color="auto" w:fill="FFFFFF"/>
          <w:lang w:val="en-US"/>
        </w:rPr>
        <w:t>and 58% in subtype 1a patients</w:t>
      </w:r>
      <w:r w:rsidRPr="00CD1426">
        <w:rPr>
          <w:rFonts w:ascii="Book Antiqua" w:hAnsi="Book Antiqua" w:cs="Arial"/>
          <w:shd w:val="clear" w:color="auto" w:fill="FFFFFF"/>
          <w:lang w:val="en-US"/>
        </w:rPr>
        <w:fldChar w:fldCharType="begin" w:fldLock="1"/>
      </w:r>
      <w:r w:rsidR="001D4A08" w:rsidRPr="00CD1426">
        <w:rPr>
          <w:rFonts w:ascii="Book Antiqua" w:hAnsi="Book Antiqua" w:cs="Arial"/>
          <w:shd w:val="clear" w:color="auto" w:fill="FFFFFF"/>
          <w:lang w:val="en-US"/>
        </w:rPr>
        <w:instrText>ADDIN CSL_CITATION { "citationItems" : [ { "id" : "ITEM-1", "itemData" : { "DOI" : "10.1136/gutjnl-2014-307498", "ISSN" : "1468-3288", "PMID" : "25080450", "abstract" : "OBJECTIVE: To evaluate the safety and efficacy of daclatasvir, an HCV NS5A inhibitor with pangenotypic activity, administered with peginterferon-alfa-2a/ribavirin.\n\nDESIGN: In this Phase 2b double-blind, placebo-controlled study, treatment-naive adults with HCV genotype 1 (N=365) or 4 (N=30) infection were randomly assigned (2:2:1) to daclatasvir 20\u2005mg or 60\u2005mg, or placebo once daily plus weekly peginterferon-alfa-2a and twice-daily ribavirin. Daclatasvir recipients achieving protocol-defined response (PDR; HCV-RNA&lt;lower limit of quantitation at Week 4 and undetectable at Week 10) were rerandomised at Week 12 to continue daclatasvir/peginterferon-alfa-2a/ribavirin for 24\u2005weeks total duration or to placebo/peginterferon-alfa-2a/ribavirin for another 12\u2005weeks. Patients without PDR and placebo patients continued peginterferon-alfa/ribavirin through Week 48. Primary efficacy endpoints were undetectable HCV-RNA at Weeks 4 and 12 (extended rapid virologic response, eRVR) and at 24\u2005weeks post-treatment (sustained virologic response, SVR24) among genotype 1-infected patients.\n\nRESULTS: Overall, eRVR was achieved by 54.4% (80/147) of genotype 1-infected patients receiving daclatasvir 20\u2005mg, 54.1% (79/146) receiving 60\u2005mg versus 13.9% (10/72) receiving placebo. SVR24 was achieved among 87 (59.2%), 87 (59.6%), and 27 (37.5%) patients in these groups, respectively. Higher proportions of genotype 4-infected patients receiving daclatasvir 20\u2005mg (66.7%; 8/12) or 60\u2005mg (100.0%; 12/12) achieved SVR24 versus placebo (50.0%; 3/6). A majority of daclatasvir-treated patients achieved PDR and experienced less virologic failure and higher SVR24 rates with a shortened 24-week treatment duration. Adverse events occurred with similar frequency across all treatment groups.\n\nCONCLUSIONS: The combination of daclatasvir/peginterferon-alfa/ribavirin was generally well tolerated and achieved higher SVR24 rates compared with placebo/peginterferon-alfa/ribavirin among patients infected with HCV genotype 1 or 4.\n\nTRIAL REGISTRATION NUMBER: NCT01125189.", "author" : [ { "dropping-particle" : "", "family" : "H\u00e9zode", "given" : "Christophe", "non-dropping-particle" : "", "parse-names" : false, "suffix" : "" }, { "dropping-particle" : "", "family" : "Hirschfield", "given" : "Gideon M", "non-dropping-particle" : "", "parse-names" : false, "suffix" : "" }, { "dropping-particle" : "", "family" : "Ghesquiere", "given" : "Wayne", "non-dropping-particle" : "", "parse-names" : false, "suffix" : "" }, { "dropping-particle" : "", "family" : "Sievert", "given" : "William", "non-dropping-particle" : "", "parse-names" : false, "suffix" : "" }, { "dropping-particle" : "", "family" : "Rodriguez-Torres", "given" : "Maribel", "non-dropping-particle" : "", "parse-names" : false, "suffix" : "" }, { "dropping-particle" : "", "family" : "Shafran", "given" : "Stephen D", "non-dropping-particle" : "", "parse-names" : false, "suffix" : "" }, { "dropping-particle" : "", "family" : "Thuluvath", "given" : "Paul J", "non-dropping-particle" : "", "parse-names" : false, "suffix" : "" }, { "dropping-particle" : "", "family" : "Tatum", "given" : "Harvey A", "non-dropping-particle" : "", "parse-names" : false, "suffix" : "" }, { "dropping-particle" : "", "family" : "Waked", "given" : "Imam", "non-dropping-particle" : "", "parse-names" : false, "suffix" : "" }, { "dropping-particle" : "", "family" : "Esmat", "given" : "Gamal", "non-dropping-particle" : "", "parse-names" : false, "suffix" : "" }, { "dropping-particle" : "", "family" : "Lawitz", "given" : "Eric J", "non-dropping-particle" : "", "parse-names" : false, "suffix" : "" }, { "dropping-particle" : "", "family" : "Rustgi", "given" : "Vinod K", "non-dropping-particle" : "", "parse-names" : false, "suffix" : "" }, { "dropping-particle" : "", "family" : "Pol", "given" : "Stanislas", "non-dropping-particle" : "", "parse-names" : false, "suffix" : "" }, { "dropping-particle" : "", "family" : "Weis", "given" : "Nina", "non-dropping-particle" : "", "parse-names" : false, "suffix" : "" }, { "dropping-particle" : "", "family" : "Pockros", "given" : "Paul J", "non-dropping-particle" : "", "parse-names" : false, "suffix" : "" }, { "dropping-particle" : "", "family" : "Bourli\u00e8re", "given" : "Marc", "non-dropping-particle" : "", "parse-names" : false, "suffix" : "" }, { "dropping-particle" : "", "family" : "Serfaty", "given" : "Lawrence", "non-dropping-particle" : "", "parse-names" : false, "suffix" : "" }, { "dropping-particle" : "", "family" : "Vierling", "given" : "John M", "non-dropping-particle" : "", "parse-names" : false, "suffix" : "" }, { "dropping-particle" : "", "family" : "Fried", "given" : "Michael W", "non-dropping-particle" : "", "parse-names" : false, "suffix" : "" }, { "dropping-particle" : "", "family" : "Weiland", "given" : "Ola", "non-dropping-particle" : "", "parse-names" : false, "suffix" : "" }, { "dropping-particle" : "", "family" : "Brunetto", "given" : "Maurizia R", "non-dropping-particle" : "", "parse-names" : false, "suffix" : "" }, { "dropping-particle" : "", "family" : "Everson", "given" : "Gregory T", "non-dropping-particle" : "", "parse-names" : false, "suffix" : "" }, { "dropping-particle" : "", "family" : "Zeuzem", "given" : "Stefan", "non-dropping-particle" : "", "parse-names" : false, "suffix" : "" }, { "dropping-particle" : "", "family" : "Kwo", "given" : "Paul Y", "non-dropping-particle" : "", "parse-names" : false, "suffix" : "" }, { "dropping-particle" : "", "family" : "Sulkowski", "given" : "Mark", "non-dropping-particle" : "", "parse-names" : false, "suffix" : "" }, { "dropping-particle" : "", "family" : "Br\u00e4u", "given" : "Norbert", "non-dropping-particle" : "", "parse-names" : false, "suffix" : "" }, { "dropping-particle" : "", "family" : "Hernandez", "given" : "Dennis", "non-dropping-particle" : "", "parse-names" : false, "suffix" : "" }, { "dropping-particle" : "", "family" : "McPhee", "given" : "Fiona", "non-dropping-particle" : "", "parse-names" : false, "suffix" : "" }, { "dropping-particle" : "", "family" : "Wind-Rotolo", "given" : "Megan", "non-dropping-particle" : "", "parse-names" : false, "suffix" : "" }, { "dropping-particle" : "", "family" : "Liu", "given" : "Zhaohui", "non-dropping-particle" : "", "parse-names" : false, "suffix" : "" }, { "dropping-particle" : "", "family" : "Noviello", "given" : "Stephanie", "non-dropping-particle" : "", "parse-names" : false, "suffix" : "" }, { "dropping-particle" : "", "family" : "Hughes", "given" : "Eric A", "non-dropping-particle" : "", "parse-names" : false, "suffix" : "" }, { "dropping-particle" : "", "family" : "Yin", "given" : "Philip D", "non-dropping-particle" : "", "parse-names" : false, "suffix" : "" }, { "dropping-particle" : "", "family" : "Schnittman", "given" : "Steven", "non-dropping-particle" : "", "parse-names" : false, "suffix" : "" } ], "container-title" : "Gut", "id" : "ITEM-1", "issued" : { "date-parts" : [ [ "2014", "7", "30" ] ] }, "page" : "gutjnl-2014-307498-", "title" : "Daclatasvir plus peginterferon alfa and ribavirin for treatment-naive chronic hepatitis C genotype 1 or 4 infection: a randomised study.", "type" : "article-journal" }, "uris" : [ "http://www.mendeley.com/documents/?uuid=533348be-8d8b-47dc-9057-5030204d3dbf" ] } ], "mendeley" : { "formattedCitation" : "&lt;sup&gt;[63]&lt;/sup&gt;", "plainTextFormattedCitation" : "[63]", "previouslyFormattedCitation" : "&lt;sup&gt;[63]&lt;/sup&gt;" }, "properties" : { "noteIndex" : 0 }, "schema" : "https://github.com/citation-style-language/schema/raw/master/csl-citation.json" }</w:instrText>
      </w:r>
      <w:r w:rsidRPr="00CD1426">
        <w:rPr>
          <w:rFonts w:ascii="Book Antiqua" w:hAnsi="Book Antiqua" w:cs="Arial"/>
          <w:shd w:val="clear" w:color="auto" w:fill="FFFFFF"/>
          <w:lang w:val="en-US"/>
        </w:rPr>
        <w:fldChar w:fldCharType="separate"/>
      </w:r>
      <w:r w:rsidR="001D4A08" w:rsidRPr="00CD1426">
        <w:rPr>
          <w:rFonts w:ascii="Book Antiqua" w:hAnsi="Book Antiqua" w:cs="Arial"/>
          <w:noProof/>
          <w:shd w:val="clear" w:color="auto" w:fill="FFFFFF"/>
          <w:vertAlign w:val="superscript"/>
          <w:lang w:val="en-US"/>
        </w:rPr>
        <w:t>[63]</w:t>
      </w:r>
      <w:r w:rsidRPr="00CD1426">
        <w:rPr>
          <w:rFonts w:ascii="Book Antiqua" w:hAnsi="Book Antiqua" w:cs="Arial"/>
          <w:shd w:val="clear" w:color="auto" w:fill="FFFFFF"/>
          <w:lang w:val="en-US"/>
        </w:rPr>
        <w:fldChar w:fldCharType="end"/>
      </w:r>
      <w:r w:rsidR="006074EB" w:rsidRPr="00CD1426">
        <w:rPr>
          <w:rFonts w:ascii="Book Antiqua" w:hAnsi="Book Antiqua" w:cs="Arial"/>
          <w:shd w:val="clear" w:color="auto" w:fill="FFFFFF"/>
          <w:lang w:val="en-US" w:eastAsia="zh-CN"/>
        </w:rPr>
        <w:t>.</w:t>
      </w:r>
      <w:r w:rsidRPr="00CD1426">
        <w:rPr>
          <w:rFonts w:ascii="Book Antiqua" w:hAnsi="Book Antiqua" w:cs="Arial"/>
          <w:shd w:val="clear" w:color="auto" w:fill="FFFFFF"/>
          <w:lang w:val="en-US"/>
        </w:rPr>
        <w:t xml:space="preserve"> </w:t>
      </w:r>
      <w:r w:rsidRPr="00CD1426">
        <w:rPr>
          <w:rFonts w:ascii="Book Antiqua" w:hAnsi="Book Antiqua" w:cs="Arial"/>
          <w:lang w:val="en-US"/>
        </w:rPr>
        <w:t xml:space="preserve">This trial evaluated the combination of </w:t>
      </w:r>
      <w:proofErr w:type="spellStart"/>
      <w:r w:rsidRPr="00CD1426">
        <w:rPr>
          <w:rFonts w:ascii="Book Antiqua" w:hAnsi="Book Antiqua" w:cs="Arial"/>
          <w:lang w:val="en-US"/>
        </w:rPr>
        <w:t>sofosbuvir</w:t>
      </w:r>
      <w:proofErr w:type="spellEnd"/>
      <w:r w:rsidRPr="00CD1426">
        <w:rPr>
          <w:rFonts w:ascii="Book Antiqua" w:hAnsi="Book Antiqua" w:cs="Arial"/>
          <w:lang w:val="en-US"/>
        </w:rPr>
        <w:t xml:space="preserve"> and </w:t>
      </w:r>
      <w:proofErr w:type="spellStart"/>
      <w:r w:rsidRPr="00CD1426">
        <w:rPr>
          <w:rFonts w:ascii="Book Antiqua" w:hAnsi="Book Antiqua" w:cs="Arial"/>
          <w:lang w:val="en-US"/>
        </w:rPr>
        <w:t>daclatasvir</w:t>
      </w:r>
      <w:proofErr w:type="spellEnd"/>
      <w:r w:rsidRPr="00CD1426">
        <w:rPr>
          <w:rFonts w:ascii="Book Antiqua" w:hAnsi="Book Antiqua" w:cs="Arial"/>
          <w:lang w:val="en-US"/>
        </w:rPr>
        <w:t xml:space="preserve"> in HCV genotype</w:t>
      </w:r>
      <w:r w:rsidR="006074EB" w:rsidRPr="00CD1426">
        <w:rPr>
          <w:rFonts w:ascii="Book Antiqua" w:hAnsi="Book Antiqua" w:cs="Arial"/>
          <w:lang w:val="en-US"/>
        </w:rPr>
        <w:t>s 1, 2 and 3 infected patients</w:t>
      </w:r>
      <w:r w:rsidRPr="00CD1426">
        <w:rPr>
          <w:rFonts w:ascii="Book Antiqua" w:hAnsi="Book Antiqua" w:cs="Arial"/>
          <w:lang w:val="en-US"/>
        </w:rPr>
        <w:fldChar w:fldCharType="begin" w:fldLock="1"/>
      </w:r>
      <w:r w:rsidR="001D4A08" w:rsidRPr="00CD1426">
        <w:rPr>
          <w:rFonts w:ascii="Book Antiqua" w:hAnsi="Book Antiqua" w:cs="Arial"/>
          <w:lang w:val="en-US"/>
        </w:rPr>
        <w:instrText>ADDIN CSL_CITATION { "citationItems" : [ { "id" : "ITEM-1", "itemData" : { "DOI" : "10.1056/NEJMoa1306218", "ISSN" : "1533-4406", "PMID" : "24428467", "abstract" : "BACKGROUND: All-oral combination therapy is desirable for patients with chronic hepatitis C virus (HCV) infection. We evaluated daclatasvir (an HCV NS5A replication complex inhibitor) plus sofosbuvir (a nucleotide analogue HCV NS5B polymerase inhibitor) in patients infected with HCV genotype 1, 2, or 3.\n\nMETHODS: In this open-label study, we initially randomly assigned 44 previously untreated patients with HCV genotype 1 infection and 44 patients infected with HCV genotype 2 or 3 to daclatasvir at a dose of 60 mg orally once daily plus sofosbuvir at a dose of 400 mg orally once daily, with or without ribavirin, for 24 weeks. The study was expanded to include 123 additional patients with genotype 1 infection who were randomly assigned to daclatasvir plus sofosbuvir, with or without ribavirin, for 12 weeks (82 previously untreated patients) or 24 weeks (41 patients who had previous virologic failure with telaprevir or boceprevir plus peginterferon alfa-ribavirin). The primary end point was a sustained virologic response (an HCV RNA level of &lt;25 IU per milliliter) at week 12 after the end of therapy.\n\nRESULTS: Overall, 211 patients received treatment. Among patients with genotype 1 infection, 98% of 126 previously untreated patients and 98% of 41 patients who did not have a sustained virologic response with HCV protease inhibitors had a sustained virologic response at week 12 after the end of therapy. A total of 92% of 26 patients with genotype 2 infection and 89% of 18 patients with genotype 3 infection had a sustained virologic response at week 12. High rates of sustained virologic response at week 12 were observed among patients with HCV subtypes 1a and 1b (98% and 100%, respectively) and those with CC and non-CC IL28B genotypes (93% and 98%, respectively), as well as among patients who received ribavirin and those who did not (94% and 98%, respectively). The most common adverse events were fatigue, headache, and nausea.\n\nCONCLUSIONS: Once-daily oral daclatasvir plus sofosbuvir was associated with high rates of sustained virologic response among patients infected with HCV genotype 1, 2, or 3, including patients with no response to prior therapy with telaprevir or boceprevir. (Funded by Bristol-Myers Squibb and Pharmasset (Gilead); A1444040 ClinicalTrials.gov number, NCT01359644.).", "author" : [ { "dropping-particle" : "", "family" : "Sulkowski", "given" : "Mark S", "non-dropping-particle" : "", "parse-names" : false, "suffix" : "" }, { "dropping-particle" : "", "family" : "Gardiner", "given" : "David F", "non-dropping-particle" : "", "parse-names" : false, "suffix" : "" }, { "dropping-particle" : "", "family" : "Rodriguez-Torres", "given" : "Maribel", "non-dropping-particle" : "", "parse-names" : false, "suffix" : "" }, { "dropping-particle" : "", "family" : "Reddy", "given" : "K Rajender", "non-dropping-particle" : "", "parse-names" : false, "suffix" : "" }, { "dropping-particle" : "", "family" : "Hassanein", "given" : "Tarek", "non-dropping-particle" : "", "parse-names" : false, "suffix" : "" }, { "dropping-particle" : "", "family" : "Jacobson", "given" : "Ira", "non-dropping-particle" : "", "parse-names" : false, "suffix" : "" }, { "dropping-particle" : "", "family" : "Lawitz", "given" : "Eric", "non-dropping-particle" : "", "parse-names" : false, "suffix" : "" }, { "dropping-particle" : "", "family" : "Lok", "given" : "Anna S", "non-dropping-particle" : "", "parse-names" : false, "suffix" : "" }, { "dropping-particle" : "", "family" : "Hinestrosa", "given" : "Federico", "non-dropping-particle" : "", "parse-names" : false, "suffix" : "" }, { "dropping-particle" : "", "family" : "Thuluvath", "given" : "Paul J", "non-dropping-particle" : "", "parse-names" : false, "suffix" : "" }, { "dropping-particle" : "", "family" : "Schwartz", "given" : "Howard", "non-dropping-particle" : "", "parse-names" : false, "suffix" : "" }, { "dropping-particle" : "", "family" : "Nelson", "given" : "David R", "non-dropping-particle" : "", "parse-names" : false, "suffix" : "" }, { "dropping-particle" : "", "family" : "Everson", "given" : "Gregory T", "non-dropping-particle" : "", "parse-names" : false, "suffix" : "" }, { "dropping-particle" : "", "family" : "Eley", "given" : "Timothy", "non-dropping-particle" : "", "parse-names" : false, "suffix" : "" }, { "dropping-particle" : "", "family" : "Wind-Rotolo", "given" : "Megan", "non-dropping-particle" : "", "parse-names" : false, "suffix" : "" }, { "dropping-particle" : "", "family" : "Huang", "given" : "Shu-Pang", "non-dropping-particle" : "", "parse-names" : false, "suffix" : "" }, { "dropping-particle" : "", "family" : "Gao", "given" : "Min", "non-dropping-particle" : "", "parse-names" : false, "suffix" : "" }, { "dropping-particle" : "", "family" : "Hernandez", "given" : "Dennis", "non-dropping-particle" : "", "parse-names" : false, "suffix" : "" }, { "dropping-particle" : "", "family" : "McPhee", "given" : "Fiona", "non-dropping-particle" : "", "parse-names" : false, "suffix" : "" }, { "dropping-particle" : "", "family" : "Sherman", "given" : "Diane", "non-dropping-particle" : "", "parse-names" : false, "suffix" : "" }, { "dropping-particle" : "", "family" : "Hindes", "given" : "Robert", "non-dropping-particle" : "", "parse-names" : false, "suffix" : "" }, { "dropping-particle" : "", "family" : "Symonds", "given" : "William", "non-dropping-particle" : "", "parse-names" : false, "suffix" : "" }, { "dropping-particle" : "", "family" : "Pasquinelli", "given" : "Claudio", "non-dropping-particle" : "", "parse-names" : false, "suffix" : "" }, { "dropping-particle" : "", "family" : "Grasela", "given" : "Dennis M", "non-dropping-particle" : "", "parse-names" : false, "suffix" : "" } ], "container-title" : "The New England journal of medicine", "id" : "ITEM-1", "issue" : "3", "issued" : { "date-parts" : [ [ "2014", "1", "16" ] ] }, "page" : "211-21", "title" : "Daclatasvir plus sofosbuvir for previously treated or untreated chronic HCV infection.", "type" : "article-journal", "volume" : "370" }, "uris" : [ "http://www.mendeley.com/documents/?uuid=6fc53700-bfb5-4e53-a67b-85e7f148d7a1" ] } ], "mendeley" : { "formattedCitation" : "&lt;sup&gt;[46]&lt;/sup&gt;", "plainTextFormattedCitation" : "[46]", "previouslyFormattedCitation" : "&lt;sup&gt;[46]&lt;/sup&gt;" }, "properties" : { "noteIndex" : 0 }, "schema" : "https://github.com/citation-style-language/schema/raw/master/csl-citation.json" }</w:instrText>
      </w:r>
      <w:r w:rsidRPr="00CD1426">
        <w:rPr>
          <w:rFonts w:ascii="Book Antiqua" w:hAnsi="Book Antiqua" w:cs="Arial"/>
          <w:lang w:val="en-US"/>
        </w:rPr>
        <w:fldChar w:fldCharType="separate"/>
      </w:r>
      <w:r w:rsidR="001D4A08" w:rsidRPr="00CD1426">
        <w:rPr>
          <w:rFonts w:ascii="Book Antiqua" w:hAnsi="Book Antiqua" w:cs="Arial"/>
          <w:noProof/>
          <w:vertAlign w:val="superscript"/>
          <w:lang w:val="en-US"/>
        </w:rPr>
        <w:t>[46]</w:t>
      </w:r>
      <w:r w:rsidRPr="00CD1426">
        <w:rPr>
          <w:rFonts w:ascii="Book Antiqua" w:hAnsi="Book Antiqua" w:cs="Arial"/>
          <w:lang w:val="en-US"/>
        </w:rPr>
        <w:fldChar w:fldCharType="end"/>
      </w:r>
      <w:r w:rsidR="006074EB" w:rsidRPr="00CD1426">
        <w:rPr>
          <w:rFonts w:ascii="Book Antiqua" w:hAnsi="Book Antiqua" w:cs="Arial"/>
          <w:lang w:val="en-US" w:eastAsia="zh-CN"/>
        </w:rPr>
        <w:t>.</w:t>
      </w:r>
      <w:r w:rsidRPr="00CD1426">
        <w:rPr>
          <w:rFonts w:ascii="Book Antiqua" w:hAnsi="Book Antiqua" w:cs="Arial"/>
          <w:lang w:val="en-US"/>
        </w:rPr>
        <w:t xml:space="preserve"> The results showed that once-daily oral </w:t>
      </w:r>
      <w:proofErr w:type="spellStart"/>
      <w:r w:rsidRPr="00CD1426">
        <w:rPr>
          <w:rFonts w:ascii="Book Antiqua" w:hAnsi="Book Antiqua" w:cs="Arial"/>
          <w:lang w:val="en-US"/>
        </w:rPr>
        <w:t>daclatasvir</w:t>
      </w:r>
      <w:proofErr w:type="spellEnd"/>
      <w:r w:rsidRPr="00CD1426">
        <w:rPr>
          <w:rFonts w:ascii="Book Antiqua" w:hAnsi="Book Antiqua" w:cs="Arial"/>
          <w:lang w:val="en-US"/>
        </w:rPr>
        <w:t xml:space="preserve"> plus </w:t>
      </w:r>
      <w:proofErr w:type="spellStart"/>
      <w:r w:rsidRPr="00CD1426">
        <w:rPr>
          <w:rFonts w:ascii="Book Antiqua" w:hAnsi="Book Antiqua" w:cs="Arial"/>
          <w:lang w:val="en-US"/>
        </w:rPr>
        <w:t>sofosbuvir</w:t>
      </w:r>
      <w:proofErr w:type="spellEnd"/>
      <w:r w:rsidRPr="00CD1426">
        <w:rPr>
          <w:rFonts w:ascii="Book Antiqua" w:hAnsi="Book Antiqua" w:cs="Arial"/>
          <w:lang w:val="en-US"/>
        </w:rPr>
        <w:t xml:space="preserve"> was related with increased rates of SVR among patients infected with HCV genotypes 1, 2 or 3, comprising those with no response to previous therapy with </w:t>
      </w:r>
      <w:proofErr w:type="spellStart"/>
      <w:r w:rsidRPr="00CD1426">
        <w:rPr>
          <w:rFonts w:ascii="Book Antiqua" w:hAnsi="Book Antiqua" w:cs="Arial"/>
          <w:lang w:val="en-US"/>
        </w:rPr>
        <w:t>telaprevir</w:t>
      </w:r>
      <w:proofErr w:type="spellEnd"/>
      <w:r w:rsidRPr="00CD1426">
        <w:rPr>
          <w:rFonts w:ascii="Book Antiqua" w:hAnsi="Book Antiqua" w:cs="Arial"/>
          <w:lang w:val="en-US"/>
        </w:rPr>
        <w:t xml:space="preserve"> or </w:t>
      </w:r>
      <w:proofErr w:type="spellStart"/>
      <w:r w:rsidRPr="00CD1426">
        <w:rPr>
          <w:rFonts w:ascii="Book Antiqua" w:hAnsi="Book Antiqua" w:cs="Arial"/>
          <w:lang w:val="en-US"/>
        </w:rPr>
        <w:t>boceprevir</w:t>
      </w:r>
      <w:proofErr w:type="spellEnd"/>
      <w:r w:rsidRPr="00CD1426">
        <w:rPr>
          <w:rFonts w:ascii="Book Antiqua" w:hAnsi="Book Antiqua" w:cs="Arial"/>
          <w:lang w:val="en-US"/>
        </w:rPr>
        <w:t xml:space="preserve">. Among individuals infected by genotype 1, 98% of previously naive patients and 98% who did not achieve SVR with first-generation protease inhibitors had </w:t>
      </w:r>
      <w:r w:rsidRPr="00CD1426">
        <w:rPr>
          <w:rFonts w:ascii="Book Antiqua" w:hAnsi="Book Antiqua" w:cs="Arial"/>
          <w:lang w:val="en-US"/>
        </w:rPr>
        <w:lastRenderedPageBreak/>
        <w:t xml:space="preserve">SVR12.Among HCV genotype 2 patients, 92% had SVR as well as 89% of HCV genotype 3 subjects. The SVR rates at 12 </w:t>
      </w:r>
      <w:proofErr w:type="spellStart"/>
      <w:r w:rsidRPr="00CD1426">
        <w:rPr>
          <w:rFonts w:ascii="Book Antiqua" w:hAnsi="Book Antiqua" w:cs="Arial"/>
          <w:lang w:val="en-US"/>
        </w:rPr>
        <w:t>w</w:t>
      </w:r>
      <w:r w:rsidR="00B33120" w:rsidRPr="00CD1426">
        <w:rPr>
          <w:rFonts w:ascii="Book Antiqua" w:hAnsi="Book Antiqua" w:cs="Arial"/>
          <w:lang w:val="en-US"/>
        </w:rPr>
        <w:t>k</w:t>
      </w:r>
      <w:proofErr w:type="spellEnd"/>
      <w:r w:rsidRPr="00CD1426">
        <w:rPr>
          <w:rFonts w:ascii="Book Antiqua" w:hAnsi="Book Antiqua" w:cs="Arial"/>
          <w:lang w:val="en-US"/>
        </w:rPr>
        <w:t xml:space="preserve"> after treatment were similar in subgroups in accordance with vir</w:t>
      </w:r>
      <w:r w:rsidR="00B33120" w:rsidRPr="00CD1426">
        <w:rPr>
          <w:rFonts w:ascii="Book Antiqua" w:hAnsi="Book Antiqua" w:cs="Arial"/>
          <w:lang w:val="en-US"/>
        </w:rPr>
        <w:t xml:space="preserve">al subtype (genotype 1a, 98% </w:t>
      </w:r>
      <w:r w:rsidR="00B33120" w:rsidRPr="00CD1426">
        <w:rPr>
          <w:rFonts w:ascii="Book Antiqua" w:hAnsi="Book Antiqua" w:cs="Arial"/>
          <w:i/>
          <w:lang w:val="en-US"/>
        </w:rPr>
        <w:t>vs</w:t>
      </w:r>
      <w:r w:rsidRPr="00CD1426">
        <w:rPr>
          <w:rFonts w:ascii="Book Antiqua" w:hAnsi="Book Antiqua" w:cs="Arial"/>
          <w:lang w:val="en-US"/>
        </w:rPr>
        <w:t xml:space="preserve"> genotype 1b, 10</w:t>
      </w:r>
      <w:r w:rsidR="00B33120" w:rsidRPr="00CD1426">
        <w:rPr>
          <w:rFonts w:ascii="Book Antiqua" w:hAnsi="Book Antiqua" w:cs="Arial"/>
          <w:lang w:val="en-US"/>
        </w:rPr>
        <w:t xml:space="preserve">0%), IL28B genotype (CC, 93% </w:t>
      </w:r>
      <w:r w:rsidR="00B33120" w:rsidRPr="00CD1426">
        <w:rPr>
          <w:rFonts w:ascii="Book Antiqua" w:hAnsi="Book Antiqua" w:cs="Arial"/>
          <w:i/>
          <w:lang w:val="en-US"/>
        </w:rPr>
        <w:t>vs</w:t>
      </w:r>
      <w:r w:rsidRPr="00CD1426">
        <w:rPr>
          <w:rFonts w:ascii="Book Antiqua" w:hAnsi="Book Antiqua" w:cs="Arial"/>
          <w:lang w:val="en-US"/>
        </w:rPr>
        <w:t xml:space="preserve"> C</w:t>
      </w:r>
      <w:r w:rsidR="00B33120" w:rsidRPr="00CD1426">
        <w:rPr>
          <w:rFonts w:ascii="Book Antiqua" w:hAnsi="Book Antiqua" w:cs="Arial"/>
          <w:lang w:val="en-US"/>
        </w:rPr>
        <w:t xml:space="preserve">T/TT, 98%), race (white, 97% </w:t>
      </w:r>
      <w:r w:rsidR="00B33120" w:rsidRPr="00CD1426">
        <w:rPr>
          <w:rFonts w:ascii="Book Antiqua" w:hAnsi="Book Antiqua" w:cs="Arial"/>
          <w:i/>
          <w:lang w:val="en-US"/>
        </w:rPr>
        <w:t>vs</w:t>
      </w:r>
      <w:r w:rsidRPr="00CD1426">
        <w:rPr>
          <w:rFonts w:ascii="Book Antiqua" w:hAnsi="Book Antiqua" w:cs="Arial"/>
          <w:lang w:val="en-US"/>
        </w:rPr>
        <w:t xml:space="preserve"> black, 96% and other race, 90%), ribavi</w:t>
      </w:r>
      <w:r w:rsidR="00B33120" w:rsidRPr="00CD1426">
        <w:rPr>
          <w:rFonts w:ascii="Book Antiqua" w:hAnsi="Book Antiqua" w:cs="Arial"/>
          <w:lang w:val="en-US"/>
        </w:rPr>
        <w:t xml:space="preserve">rin presence (ribavirin, 94% </w:t>
      </w:r>
      <w:r w:rsidR="00B33120" w:rsidRPr="00CD1426">
        <w:rPr>
          <w:rFonts w:ascii="Book Antiqua" w:hAnsi="Book Antiqua" w:cs="Arial"/>
          <w:i/>
          <w:lang w:val="en-US"/>
        </w:rPr>
        <w:t>vs</w:t>
      </w:r>
      <w:r w:rsidRPr="00CD1426">
        <w:rPr>
          <w:rFonts w:ascii="Book Antiqua" w:hAnsi="Book Antiqua" w:cs="Arial"/>
          <w:lang w:val="en-US"/>
        </w:rPr>
        <w:t xml:space="preserve"> without ribavirin, 98%) and, finally, previous treatment failure with </w:t>
      </w:r>
      <w:proofErr w:type="spellStart"/>
      <w:r w:rsidR="00B33120" w:rsidRPr="00CD1426">
        <w:rPr>
          <w:rFonts w:ascii="Book Antiqua" w:hAnsi="Book Antiqua" w:cs="Arial"/>
          <w:lang w:val="en-US"/>
        </w:rPr>
        <w:t>telaprevir</w:t>
      </w:r>
      <w:proofErr w:type="spellEnd"/>
      <w:r w:rsidR="00B33120" w:rsidRPr="00CD1426">
        <w:rPr>
          <w:rFonts w:ascii="Book Antiqua" w:hAnsi="Book Antiqua" w:cs="Arial"/>
          <w:lang w:val="en-US"/>
        </w:rPr>
        <w:t xml:space="preserve"> or </w:t>
      </w:r>
      <w:proofErr w:type="spellStart"/>
      <w:r w:rsidR="00B33120" w:rsidRPr="00CD1426">
        <w:rPr>
          <w:rFonts w:ascii="Book Antiqua" w:hAnsi="Book Antiqua" w:cs="Arial"/>
          <w:lang w:val="en-US"/>
        </w:rPr>
        <w:t>boceprevir</w:t>
      </w:r>
      <w:proofErr w:type="spellEnd"/>
      <w:r w:rsidR="00B33120" w:rsidRPr="00CD1426">
        <w:rPr>
          <w:rFonts w:ascii="Book Antiqua" w:hAnsi="Book Antiqua" w:cs="Arial"/>
          <w:lang w:val="en-US"/>
        </w:rPr>
        <w:t xml:space="preserve"> (98%)</w:t>
      </w:r>
      <w:r w:rsidRPr="00CD1426">
        <w:rPr>
          <w:rFonts w:ascii="Book Antiqua" w:hAnsi="Book Antiqua" w:cs="Arial"/>
          <w:lang w:val="en-US"/>
        </w:rPr>
        <w:fldChar w:fldCharType="begin" w:fldLock="1"/>
      </w:r>
      <w:r w:rsidR="001D4A08" w:rsidRPr="00CD1426">
        <w:rPr>
          <w:rFonts w:ascii="Book Antiqua" w:hAnsi="Book Antiqua" w:cs="Arial"/>
          <w:lang w:val="en-US"/>
        </w:rPr>
        <w:instrText>ADDIN CSL_CITATION { "citationItems" : [ { "id" : "ITEM-1", "itemData" : { "DOI" : "10.1056/NEJMoa1306218", "ISSN" : "1533-4406", "PMID" : "24428467", "abstract" : "BACKGROUND: All-oral combination therapy is desirable for patients with chronic hepatitis C virus (HCV) infection. We evaluated daclatasvir (an HCV NS5A replication complex inhibitor) plus sofosbuvir (a nucleotide analogue HCV NS5B polymerase inhibitor) in patients infected with HCV genotype 1, 2, or 3.\n\nMETHODS: In this open-label study, we initially randomly assigned 44 previously untreated patients with HCV genotype 1 infection and 44 patients infected with HCV genotype 2 or 3 to daclatasvir at a dose of 60 mg orally once daily plus sofosbuvir at a dose of 400 mg orally once daily, with or without ribavirin, for 24 weeks. The study was expanded to include 123 additional patients with genotype 1 infection who were randomly assigned to daclatasvir plus sofosbuvir, with or without ribavirin, for 12 weeks (82 previously untreated patients) or 24 weeks (41 patients who had previous virologic failure with telaprevir or boceprevir plus peginterferon alfa-ribavirin). The primary end point was a sustained virologic response (an HCV RNA level of &lt;25 IU per milliliter) at week 12 after the end of therapy.\n\nRESULTS: Overall, 211 patients received treatment. Among patients with genotype 1 infection, 98% of 126 previously untreated patients and 98% of 41 patients who did not have a sustained virologic response with HCV protease inhibitors had a sustained virologic response at week 12 after the end of therapy. A total of 92% of 26 patients with genotype 2 infection and 89% of 18 patients with genotype 3 infection had a sustained virologic response at week 12. High rates of sustained virologic response at week 12 were observed among patients with HCV subtypes 1a and 1b (98% and 100%, respectively) and those with CC and non-CC IL28B genotypes (93% and 98%, respectively), as well as among patients who received ribavirin and those who did not (94% and 98%, respectively). The most common adverse events were fatigue, headache, and nausea.\n\nCONCLUSIONS: Once-daily oral daclatasvir plus sofosbuvir was associated with high rates of sustained virologic response among patients infected with HCV genotype 1, 2, or 3, including patients with no response to prior therapy with telaprevir or boceprevir. (Funded by Bristol-Myers Squibb and Pharmasset (Gilead); A1444040 ClinicalTrials.gov number, NCT01359644.).", "author" : [ { "dropping-particle" : "", "family" : "Sulkowski", "given" : "Mark S", "non-dropping-particle" : "", "parse-names" : false, "suffix" : "" }, { "dropping-particle" : "", "family" : "Gardiner", "given" : "David F", "non-dropping-particle" : "", "parse-names" : false, "suffix" : "" }, { "dropping-particle" : "", "family" : "Rodriguez-Torres", "given" : "Maribel", "non-dropping-particle" : "", "parse-names" : false, "suffix" : "" }, { "dropping-particle" : "", "family" : "Reddy", "given" : "K Rajender", "non-dropping-particle" : "", "parse-names" : false, "suffix" : "" }, { "dropping-particle" : "", "family" : "Hassanein", "given" : "Tarek", "non-dropping-particle" : "", "parse-names" : false, "suffix" : "" }, { "dropping-particle" : "", "family" : "Jacobson", "given" : "Ira", "non-dropping-particle" : "", "parse-names" : false, "suffix" : "" }, { "dropping-particle" : "", "family" : "Lawitz", "given" : "Eric", "non-dropping-particle" : "", "parse-names" : false, "suffix" : "" }, { "dropping-particle" : "", "family" : "Lok", "given" : "Anna S", "non-dropping-particle" : "", "parse-names" : false, "suffix" : "" }, { "dropping-particle" : "", "family" : "Hinestrosa", "given" : "Federico", "non-dropping-particle" : "", "parse-names" : false, "suffix" : "" }, { "dropping-particle" : "", "family" : "Thuluvath", "given" : "Paul J", "non-dropping-particle" : "", "parse-names" : false, "suffix" : "" }, { "dropping-particle" : "", "family" : "Schwartz", "given" : "Howard", "non-dropping-particle" : "", "parse-names" : false, "suffix" : "" }, { "dropping-particle" : "", "family" : "Nelson", "given" : "David R", "non-dropping-particle" : "", "parse-names" : false, "suffix" : "" }, { "dropping-particle" : "", "family" : "Everson", "given" : "Gregory T", "non-dropping-particle" : "", "parse-names" : false, "suffix" : "" }, { "dropping-particle" : "", "family" : "Eley", "given" : "Timothy", "non-dropping-particle" : "", "parse-names" : false, "suffix" : "" }, { "dropping-particle" : "", "family" : "Wind-Rotolo", "given" : "Megan", "non-dropping-particle" : "", "parse-names" : false, "suffix" : "" }, { "dropping-particle" : "", "family" : "Huang", "given" : "Shu-Pang", "non-dropping-particle" : "", "parse-names" : false, "suffix" : "" }, { "dropping-particle" : "", "family" : "Gao", "given" : "Min", "non-dropping-particle" : "", "parse-names" : false, "suffix" : "" }, { "dropping-particle" : "", "family" : "Hernandez", "given" : "Dennis", "non-dropping-particle" : "", "parse-names" : false, "suffix" : "" }, { "dropping-particle" : "", "family" : "McPhee", "given" : "Fiona", "non-dropping-particle" : "", "parse-names" : false, "suffix" : "" }, { "dropping-particle" : "", "family" : "Sherman", "given" : "Diane", "non-dropping-particle" : "", "parse-names" : false, "suffix" : "" }, { "dropping-particle" : "", "family" : "Hindes", "given" : "Robert", "non-dropping-particle" : "", "parse-names" : false, "suffix" : "" }, { "dropping-particle" : "", "family" : "Symonds", "given" : "William", "non-dropping-particle" : "", "parse-names" : false, "suffix" : "" }, { "dropping-particle" : "", "family" : "Pasquinelli", "given" : "Claudio", "non-dropping-particle" : "", "parse-names" : false, "suffix" : "" }, { "dropping-particle" : "", "family" : "Grasela", "given" : "Dennis M", "non-dropping-particle" : "", "parse-names" : false, "suffix" : "" } ], "container-title" : "The New England journal of medicine", "id" : "ITEM-1", "issue" : "3", "issued" : { "date-parts" : [ [ "2014", "1", "16" ] ] }, "page" : "211-21", "title" : "Daclatasvir plus sofosbuvir for previously treated or untreated chronic HCV infection.", "type" : "article-journal", "volume" : "370" }, "uris" : [ "http://www.mendeley.com/documents/?uuid=6fc53700-bfb5-4e53-a67b-85e7f148d7a1" ] } ], "mendeley" : { "formattedCitation" : "&lt;sup&gt;[46]&lt;/sup&gt;", "plainTextFormattedCitation" : "[46]", "previouslyFormattedCitation" : "&lt;sup&gt;[46]&lt;/sup&gt;" }, "properties" : { "noteIndex" : 0 }, "schema" : "https://github.com/citation-style-language/schema/raw/master/csl-citation.json" }</w:instrText>
      </w:r>
      <w:r w:rsidRPr="00CD1426">
        <w:rPr>
          <w:rFonts w:ascii="Book Antiqua" w:hAnsi="Book Antiqua" w:cs="Arial"/>
          <w:lang w:val="en-US"/>
        </w:rPr>
        <w:fldChar w:fldCharType="separate"/>
      </w:r>
      <w:r w:rsidR="001D4A08" w:rsidRPr="00CD1426">
        <w:rPr>
          <w:rFonts w:ascii="Book Antiqua" w:hAnsi="Book Antiqua" w:cs="Arial"/>
          <w:noProof/>
          <w:vertAlign w:val="superscript"/>
          <w:lang w:val="en-US"/>
        </w:rPr>
        <w:t>[46]</w:t>
      </w:r>
      <w:r w:rsidRPr="00CD1426">
        <w:rPr>
          <w:rFonts w:ascii="Book Antiqua" w:hAnsi="Book Antiqua" w:cs="Arial"/>
          <w:lang w:val="en-US"/>
        </w:rPr>
        <w:fldChar w:fldCharType="end"/>
      </w:r>
      <w:r w:rsidR="00B33120" w:rsidRPr="00CD1426">
        <w:rPr>
          <w:rFonts w:ascii="Book Antiqua" w:hAnsi="Book Antiqua" w:cs="Arial"/>
          <w:lang w:val="en-US" w:eastAsia="zh-CN"/>
        </w:rPr>
        <w:t>.</w:t>
      </w:r>
    </w:p>
    <w:p w14:paraId="61921C17" w14:textId="4411283F" w:rsidR="002B302F" w:rsidRPr="00CD1426" w:rsidRDefault="002B302F" w:rsidP="00CD1426">
      <w:pPr>
        <w:widowControl w:val="0"/>
        <w:autoSpaceDE w:val="0"/>
        <w:autoSpaceDN w:val="0"/>
        <w:adjustRightInd w:val="0"/>
        <w:spacing w:line="360" w:lineRule="auto"/>
        <w:ind w:firstLineChars="200" w:firstLine="480"/>
        <w:jc w:val="both"/>
        <w:rPr>
          <w:rFonts w:ascii="Book Antiqua" w:hAnsi="Book Antiqua" w:cs="Arial"/>
          <w:lang w:val="en-US" w:eastAsia="zh-CN"/>
        </w:rPr>
      </w:pPr>
      <w:r w:rsidRPr="00CD1426">
        <w:rPr>
          <w:rFonts w:ascii="Book Antiqua" w:hAnsi="Book Antiqua" w:cs="Arial"/>
          <w:lang w:val="en-US"/>
        </w:rPr>
        <w:t xml:space="preserve">The </w:t>
      </w:r>
      <w:proofErr w:type="spellStart"/>
      <w:r w:rsidRPr="00CD1426">
        <w:rPr>
          <w:rFonts w:ascii="Book Antiqua" w:hAnsi="Book Antiqua" w:cs="Arial"/>
          <w:lang w:val="en-US"/>
        </w:rPr>
        <w:t>virologic</w:t>
      </w:r>
      <w:proofErr w:type="spellEnd"/>
      <w:r w:rsidRPr="00CD1426">
        <w:rPr>
          <w:rFonts w:ascii="Book Antiqua" w:hAnsi="Book Antiqua" w:cs="Arial"/>
          <w:lang w:val="en-US"/>
        </w:rPr>
        <w:t xml:space="preserve"> response was high despite the presence or absence of baseline NS3 mutations that confer resistance to </w:t>
      </w:r>
      <w:proofErr w:type="spellStart"/>
      <w:r w:rsidRPr="00CD1426">
        <w:rPr>
          <w:rFonts w:ascii="Book Antiqua" w:hAnsi="Book Antiqua" w:cs="Arial"/>
          <w:lang w:val="en-US"/>
        </w:rPr>
        <w:t>telaprevir</w:t>
      </w:r>
      <w:proofErr w:type="spellEnd"/>
      <w:r w:rsidRPr="00CD1426">
        <w:rPr>
          <w:rFonts w:ascii="Book Antiqua" w:hAnsi="Book Antiqua" w:cs="Arial"/>
          <w:lang w:val="en-US"/>
        </w:rPr>
        <w:t xml:space="preserve"> or </w:t>
      </w:r>
      <w:proofErr w:type="spellStart"/>
      <w:r w:rsidRPr="00CD1426">
        <w:rPr>
          <w:rFonts w:ascii="Book Antiqua" w:hAnsi="Book Antiqua" w:cs="Arial"/>
          <w:lang w:val="en-US"/>
        </w:rPr>
        <w:t>boceprevir</w:t>
      </w:r>
      <w:proofErr w:type="spellEnd"/>
      <w:r w:rsidRPr="00CD1426">
        <w:rPr>
          <w:rFonts w:ascii="Book Antiqua" w:hAnsi="Book Antiqua" w:cs="Arial"/>
          <w:lang w:val="en-US"/>
        </w:rPr>
        <w:t xml:space="preserve">. At baseline, resistance analysis detected </w:t>
      </w:r>
      <w:r w:rsidR="00FB5028" w:rsidRPr="00CD1426">
        <w:rPr>
          <w:rFonts w:ascii="Book Antiqua" w:hAnsi="Book Antiqua" w:cs="Arial"/>
          <w:lang w:val="en-US"/>
        </w:rPr>
        <w:t>an</w:t>
      </w:r>
      <w:r w:rsidRPr="00CD1426">
        <w:rPr>
          <w:rFonts w:ascii="Book Antiqua" w:hAnsi="Book Antiqua" w:cs="Arial"/>
          <w:lang w:val="en-US"/>
        </w:rPr>
        <w:t xml:space="preserve"> NS5A-A30K existing polymorphism related with </w:t>
      </w:r>
      <w:proofErr w:type="spellStart"/>
      <w:r w:rsidRPr="00CD1426">
        <w:rPr>
          <w:rFonts w:ascii="Book Antiqua" w:hAnsi="Book Antiqua" w:cs="Arial"/>
          <w:lang w:val="en-US"/>
        </w:rPr>
        <w:t>daclatasvir</w:t>
      </w:r>
      <w:proofErr w:type="spellEnd"/>
      <w:r w:rsidRPr="00CD1426">
        <w:rPr>
          <w:rFonts w:ascii="Book Antiqua" w:hAnsi="Book Antiqua" w:cs="Arial"/>
          <w:lang w:val="en-US"/>
        </w:rPr>
        <w:t xml:space="preserve"> resistance at baseline; nevertheless, all of the patients with preexisting </w:t>
      </w:r>
      <w:proofErr w:type="spellStart"/>
      <w:r w:rsidRPr="00CD1426">
        <w:rPr>
          <w:rFonts w:ascii="Book Antiqua" w:hAnsi="Book Antiqua" w:cs="Arial"/>
          <w:lang w:val="en-US"/>
        </w:rPr>
        <w:t>daclatasvir</w:t>
      </w:r>
      <w:proofErr w:type="spellEnd"/>
      <w:r w:rsidRPr="00CD1426">
        <w:rPr>
          <w:rFonts w:ascii="Book Antiqua" w:hAnsi="Book Antiqua" w:cs="Arial"/>
          <w:lang w:val="en-US"/>
        </w:rPr>
        <w:t xml:space="preserve"> resistance variants achieve</w:t>
      </w:r>
      <w:r w:rsidR="006074EB" w:rsidRPr="00CD1426">
        <w:rPr>
          <w:rFonts w:ascii="Book Antiqua" w:hAnsi="Book Antiqua" w:cs="Arial"/>
          <w:lang w:val="en-US"/>
        </w:rPr>
        <w:t xml:space="preserve">d sustained </w:t>
      </w:r>
      <w:proofErr w:type="spellStart"/>
      <w:r w:rsidR="006074EB" w:rsidRPr="00CD1426">
        <w:rPr>
          <w:rFonts w:ascii="Book Antiqua" w:hAnsi="Book Antiqua" w:cs="Arial"/>
          <w:lang w:val="en-US"/>
        </w:rPr>
        <w:t>virologic</w:t>
      </w:r>
      <w:proofErr w:type="spellEnd"/>
      <w:r w:rsidR="006074EB" w:rsidRPr="00CD1426">
        <w:rPr>
          <w:rFonts w:ascii="Book Antiqua" w:hAnsi="Book Antiqua" w:cs="Arial"/>
          <w:lang w:val="en-US"/>
        </w:rPr>
        <w:t xml:space="preserve"> response</w:t>
      </w:r>
      <w:r w:rsidRPr="00CD1426">
        <w:rPr>
          <w:rFonts w:ascii="Book Antiqua" w:hAnsi="Book Antiqua" w:cs="Arial"/>
          <w:lang w:val="en-US"/>
        </w:rPr>
        <w:fldChar w:fldCharType="begin" w:fldLock="1"/>
      </w:r>
      <w:r w:rsidR="001D4A08" w:rsidRPr="00CD1426">
        <w:rPr>
          <w:rFonts w:ascii="Book Antiqua" w:hAnsi="Book Antiqua" w:cs="Arial"/>
          <w:lang w:val="en-US"/>
        </w:rPr>
        <w:instrText>ADDIN CSL_CITATION { "citationItems" : [ { "id" : "ITEM-1", "itemData" : { "DOI" : "10.1136/gutjnl-2014-307498", "ISSN" : "1468-3288", "PMID" : "25080450", "abstract" : "OBJECTIVE: To evaluate the safety and efficacy of daclatasvir, an HCV NS5A inhibitor with pangenotypic activity, administered with peginterferon-alfa-2a/ribavirin.\n\nDESIGN: In this Phase 2b double-blind, placebo-controlled study, treatment-naive adults with HCV genotype 1 (N=365) or 4 (N=30) infection were randomly assigned (2:2:1) to daclatasvir 20\u2005mg or 60\u2005mg, or placebo once daily plus weekly peginterferon-alfa-2a and twice-daily ribavirin. Daclatasvir recipients achieving protocol-defined response (PDR; HCV-RNA&lt;lower limit of quantitation at Week 4 and undetectable at Week 10) were rerandomised at Week 12 to continue daclatasvir/peginterferon-alfa-2a/ribavirin for 24\u2005weeks total duration or to placebo/peginterferon-alfa-2a/ribavirin for another 12\u2005weeks. Patients without PDR and placebo patients continued peginterferon-alfa/ribavirin through Week 48. Primary efficacy endpoints were undetectable HCV-RNA at Weeks 4 and 12 (extended rapid virologic response, eRVR) and at 24\u2005weeks post-treatment (sustained virologic response, SVR24) among genotype 1-infected patients.\n\nRESULTS: Overall, eRVR was achieved by 54.4% (80/147) of genotype 1-infected patients receiving daclatasvir 20\u2005mg, 54.1% (79/146) receiving 60\u2005mg versus 13.9% (10/72) receiving placebo. SVR24 was achieved among 87 (59.2%), 87 (59.6%), and 27 (37.5%) patients in these groups, respectively. Higher proportions of genotype 4-infected patients receiving daclatasvir 20\u2005mg (66.7%; 8/12) or 60\u2005mg (100.0%; 12/12) achieved SVR24 versus placebo (50.0%; 3/6). A majority of daclatasvir-treated patients achieved PDR and experienced less virologic failure and higher SVR24 rates with a shortened 24-week treatment duration. Adverse events occurred with similar frequency across all treatment groups.\n\nCONCLUSIONS: The combination of daclatasvir/peginterferon-alfa/ribavirin was generally well tolerated and achieved higher SVR24 rates compared with placebo/peginterferon-alfa/ribavirin among patients infected with HCV genotype 1 or 4.\n\nTRIAL REGISTRATION NUMBER: NCT01125189.", "author" : [ { "dropping-particle" : "", "family" : "H\u00e9zode", "given" : "Christophe", "non-dropping-particle" : "", "parse-names" : false, "suffix" : "" }, { "dropping-particle" : "", "family" : "Hirschfield", "given" : "Gideon M", "non-dropping-particle" : "", "parse-names" : false, "suffix" : "" }, { "dropping-particle" : "", "family" : "Ghesquiere", "given" : "Wayne", "non-dropping-particle" : "", "parse-names" : false, "suffix" : "" }, { "dropping-particle" : "", "family" : "Sievert", "given" : "William", "non-dropping-particle" : "", "parse-names" : false, "suffix" : "" }, { "dropping-particle" : "", "family" : "Rodriguez-Torres", "given" : "Maribel", "non-dropping-particle" : "", "parse-names" : false, "suffix" : "" }, { "dropping-particle" : "", "family" : "Shafran", "given" : "Stephen D", "non-dropping-particle" : "", "parse-names" : false, "suffix" : "" }, { "dropping-particle" : "", "family" : "Thuluvath", "given" : "Paul J", "non-dropping-particle" : "", "parse-names" : false, "suffix" : "" }, { "dropping-particle" : "", "family" : "Tatum", "given" : "Harvey A", "non-dropping-particle" : "", "parse-names" : false, "suffix" : "" }, { "dropping-particle" : "", "family" : "Waked", "given" : "Imam", "non-dropping-particle" : "", "parse-names" : false, "suffix" : "" }, { "dropping-particle" : "", "family" : "Esmat", "given" : "Gamal", "non-dropping-particle" : "", "parse-names" : false, "suffix" : "" }, { "dropping-particle" : "", "family" : "Lawitz", "given" : "Eric J", "non-dropping-particle" : "", "parse-names" : false, "suffix" : "" }, { "dropping-particle" : "", "family" : "Rustgi", "given" : "Vinod K", "non-dropping-particle" : "", "parse-names" : false, "suffix" : "" }, { "dropping-particle" : "", "family" : "Pol", "given" : "Stanislas", "non-dropping-particle" : "", "parse-names" : false, "suffix" : "" }, { "dropping-particle" : "", "family" : "Weis", "given" : "Nina", "non-dropping-particle" : "", "parse-names" : false, "suffix" : "" }, { "dropping-particle" : "", "family" : "Pockros", "given" : "Paul J", "non-dropping-particle" : "", "parse-names" : false, "suffix" : "" }, { "dropping-particle" : "", "family" : "Bourli\u00e8re", "given" : "Marc", "non-dropping-particle" : "", "parse-names" : false, "suffix" : "" }, { "dropping-particle" : "", "family" : "Serfaty", "given" : "Lawrence", "non-dropping-particle" : "", "parse-names" : false, "suffix" : "" }, { "dropping-particle" : "", "family" : "Vierling", "given" : "John M", "non-dropping-particle" : "", "parse-names" : false, "suffix" : "" }, { "dropping-particle" : "", "family" : "Fried", "given" : "Michael W", "non-dropping-particle" : "", "parse-names" : false, "suffix" : "" }, { "dropping-particle" : "", "family" : "Weiland", "given" : "Ola", "non-dropping-particle" : "", "parse-names" : false, "suffix" : "" }, { "dropping-particle" : "", "family" : "Brunetto", "given" : "Maurizia R", "non-dropping-particle" : "", "parse-names" : false, "suffix" : "" }, { "dropping-particle" : "", "family" : "Everson", "given" : "Gregory T", "non-dropping-particle" : "", "parse-names" : false, "suffix" : "" }, { "dropping-particle" : "", "family" : "Zeuzem", "given" : "Stefan", "non-dropping-particle" : "", "parse-names" : false, "suffix" : "" }, { "dropping-particle" : "", "family" : "Kwo", "given" : "Paul Y", "non-dropping-particle" : "", "parse-names" : false, "suffix" : "" }, { "dropping-particle" : "", "family" : "Sulkowski", "given" : "Mark", "non-dropping-particle" : "", "parse-names" : false, "suffix" : "" }, { "dropping-particle" : "", "family" : "Br\u00e4u", "given" : "Norbert", "non-dropping-particle" : "", "parse-names" : false, "suffix" : "" }, { "dropping-particle" : "", "family" : "Hernandez", "given" : "Dennis", "non-dropping-particle" : "", "parse-names" : false, "suffix" : "" }, { "dropping-particle" : "", "family" : "McPhee", "given" : "Fiona", "non-dropping-particle" : "", "parse-names" : false, "suffix" : "" }, { "dropping-particle" : "", "family" : "Wind-Rotolo", "given" : "Megan", "non-dropping-particle" : "", "parse-names" : false, "suffix" : "" }, { "dropping-particle" : "", "family" : "Liu", "given" : "Zhaohui", "non-dropping-particle" : "", "parse-names" : false, "suffix" : "" }, { "dropping-particle" : "", "family" : "Noviello", "given" : "Stephanie", "non-dropping-particle" : "", "parse-names" : false, "suffix" : "" }, { "dropping-particle" : "", "family" : "Hughes", "given" : "Eric A", "non-dropping-particle" : "", "parse-names" : false, "suffix" : "" }, { "dropping-particle" : "", "family" : "Yin", "given" : "Philip D", "non-dropping-particle" : "", "parse-names" : false, "suffix" : "" }, { "dropping-particle" : "", "family" : "Schnittman", "given" : "Steven", "non-dropping-particle" : "", "parse-names" : false, "suffix" : "" } ], "container-title" : "Gut", "id" : "ITEM-1", "issued" : { "date-parts" : [ [ "2014", "7", "30" ] ] }, "page" : "gutjnl-2014-307498-", "title" : "Daclatasvir plus peginterferon alfa and ribavirin for treatment-naive chronic hepatitis C genotype 1 or 4 infection: a randomised study.", "type" : "article-journal" }, "uris" : [ "http://www.mendeley.com/documents/?uuid=533348be-8d8b-47dc-9057-5030204d3dbf" ] }, { "id" : "ITEM-2", "itemData" : { "DOI" : "10.1016/S1473-3099(12)70138-X", "ISSN" : "1474-4457", "PMID" : "22714001", "abstract" : "BACKGROUND: Several direct-acting antivirals for chronic hepatitis C virus (HCV) infection are available, but they are limited by tolerability and dosing schedules. Once-daily daclatasvir, a potent NS5A replication complex inhibitor, was generally well tolerated in phase 1 studies. We assessed daclatasvir in combination with pegylated interferon (peginterferon) and ribavirin for chronic HCV.\n\nMETHODS: In this double-blind, parallel-group, dose-finding, phase 2a study, treatment-naive patients with HCV genotype-1 infection (without cirrhosis) from 14 centres in the USA and France were randomly assigned (1:1:1:1) to receive peginterferon alfa-2a (180 \u03bcg per week) and ribavirin (1000-1200 mg daily) plus placebo or 3 mg, 10 mg, or 60 mg of daclatasvir taken once daily, for 48 weeks. The primary efficacy endpoint was undetectable HCV RNA at 4 weeks and 12 weeks after start of treatment (extended rapid virological response, eRVR). Analysis was of all participants who received one dose of study drug. We used descriptive analyses to compare results. This study is registered with ClinicalTrials.gov, number NCT00874770.\n\nFINDINGS: 48 patients were randomly assigned (12 per group); all received at least one dose of study drug. 15 patients discontinued treatment before week 48. Five of 12 patients (42%, 80% CI 22-64%) who received 3 mg daclatasvir achieved eRVR, compared with ten of 12 (83%, 61-96%) who received 10 mg daclatasvir, nine of 12 (75%, 53-90%) who received 60 mg daclatasvir, and one of 12 (8%, 1-29%) who received placebo. Adverse events and discontinuations as a result of adverse events occurred with similar frequency across groups.\n\nINTERPRETATION: Daclatasvir seems to be a potent NS5A replication complex inhibitor that increases the antiviral potency of peginterferon and ribavirin. Our findings support the further development of regimens containing 60 mg daclatasvir for the treatment of chronic genotype-1 HCV infection.\n\nFUNDING: Bristol-Myers Squibb.", "author" : [ { "dropping-particle" : "", "family" : "Pol", "given" : "Stanislas", "non-dropping-particle" : "", "parse-names" : false, "suffix" : "" }, { "dropping-particle" : "", "family" : "Ghalib", "given" : "Reem H", "non-dropping-particle" : "", "parse-names" : false, "suffix" : "" }, { "dropping-particle" : "", "family" : "Rustgi", "given" : "Vinod K", "non-dropping-particle" : "", "parse-names" : false, "suffix" : "" }, { "dropping-particle" : "", "family" : "Martorell", "given" : "Claudia", "non-dropping-particle" : "", "parse-names" : false, "suffix" : "" }, { "dropping-particle" : "", "family" : "Everson", "given" : "Greg T", "non-dropping-particle" : "", "parse-names" : false, "suffix" : "" }, { "dropping-particle" : "", "family" : "Tatum", "given" : "Harvey A", "non-dropping-particle" : "", "parse-names" : false, "suffix" : "" }, { "dropping-particle" : "", "family" : "H\u00e9zode", "given" : "Christophe", "non-dropping-particle" : "", "parse-names" : false, "suffix" : "" }, { "dropping-particle" : "", "family" : "Lim", "given" : "Joseph K", "non-dropping-particle" : "", "parse-names" : false, "suffix" : "" }, { "dropping-particle" : "", "family" : "Bronowicki", "given" : "Jean-Pierre", "non-dropping-particle" : "", "parse-names" : false, "suffix" : "" }, { "dropping-particle" : "", "family" : "Abrams", "given" : "Gary A", "non-dropping-particle" : "", "parse-names" : false, "suffix" : "" }, { "dropping-particle" : "", "family" : "Br\u00e4u", "given" : "Norbert", "non-dropping-particle" : "", "parse-names" : false, "suffix" : "" }, { "dropping-particle" : "", "family" : "Morris", "given" : "David W", "non-dropping-particle" : "", "parse-names" : false, "suffix" : "" }, { "dropping-particle" : "", "family" : "Thuluvath", "given" : "Paul J", "non-dropping-particle" : "", "parse-names" : false, "suffix" : "" }, { "dropping-particle" : "", "family" : "Reindollar", "given" : "Robert W", "non-dropping-particle" : "", "parse-names" : false, "suffix" : "" }, { "dropping-particle" : "", "family" : "Yin", "given" : "Philip D", "non-dropping-particle" : "", "parse-names" : false, "suffix" : "" }, { "dropping-particle" : "", "family" : "Diva", "given" : "Ulysses", "non-dropping-particle" : "", "parse-names" : false, "suffix" : "" }, { "dropping-particle" : "", "family" : "Hindes", "given" : "Robert", "non-dropping-particle" : "", "parse-names" : false, "suffix" : "" }, { "dropping-particle" : "", "family" : "McPhee", "given" : "Fiona", "non-dropping-particle" : "", "parse-names" : false, "suffix" : "" }, { "dropping-particle" : "", "family" : "Hernandez", "given" : "Dennis", "non-dropping-particle" : "", "parse-names" : false, "suffix" : "" }, { "dropping-particle" : "", "family" : "Wind-Rotolo", "given" : "Megan", "non-dropping-particle" : "", "parse-names" : false, "suffix" : "" }, { "dropping-particle" : "", "family" : "Hughes", "given" : "Eric A", "non-dropping-particle" : "", "parse-names" : false, "suffix" : "" }, { "dropping-particle" : "", "family" : "Schnittman", "given" : "Steven", "non-dropping-particle" : "", "parse-names" : false, "suffix" : "" } ], "container-title" : "The Lancet. Infectious diseases", "id" : "ITEM-2", "issue" : "9", "issued" : { "date-parts" : [ [ "2012", "9" ] ] }, "page" : "671-7", "title" : "Daclatasvir for previously untreated chronic hepatitis C genotype-1 infection: a randomised, parallel-group, double-blind, placebo-controlled, dose-finding, phase 2a trial.", "type" : "article-journal", "volume" : "12" }, "uris" : [ "http://www.mendeley.com/documents/?uuid=e788f819-f46b-495b-a170-a51831de290b" ] }, { "id" : "ITEM-3", "itemData" : { "DOI" : "10.1056/NEJMoa1306218", "ISSN" : "1533-4406", "PMID" : "24428467", "abstract" : "BACKGROUND: All-oral combination therapy is desirable for patients with chronic hepatitis C virus (HCV) infection. We evaluated daclatasvir (an HCV NS5A replication complex inhibitor) plus sofosbuvir (a nucleotide analogue HCV NS5B polymerase inhibitor) in patients infected with HCV genotype 1, 2, or 3.\n\nMETHODS: In this open-label study, we initially randomly assigned 44 previously untreated patients with HCV genotype 1 infection and 44 patients infected with HCV genotype 2 or 3 to daclatasvir at a dose of 60 mg orally once daily plus sofosbuvir at a dose of 400 mg orally once daily, with or without ribavirin, for 24 weeks. The study was expanded to include 123 additional patients with genotype 1 infection who were randomly assigned to daclatasvir plus sofosbuvir, with or without ribavirin, for 12 weeks (82 previously untreated patients) or 24 weeks (41 patients who had previous virologic failure with telaprevir or boceprevir plus peginterferon alfa-ribavirin). The primary end point was a sustained virologic response (an HCV RNA level of &lt;25 IU per milliliter) at week 12 after the end of therapy.\n\nRESULTS: Overall, 211 patients received treatment. Among patients with genotype 1 infection, 98% of 126 previously untreated patients and 98% of 41 patients who did not have a sustained virologic response with HCV protease inhibitors had a sustained virologic response at week 12 after the end of therapy. A total of 92% of 26 patients with genotype 2 infection and 89% of 18 patients with genotype 3 infection had a sustained virologic response at week 12. High rates of sustained virologic response at week 12 were observed among patients with HCV subtypes 1a and 1b (98% and 100%, respectively) and those with CC and non-CC IL28B genotypes (93% and 98%, respectively), as well as among patients who received ribavirin and those who did not (94% and 98%, respectively). The most common adverse events were fatigue, headache, and nausea.\n\nCONCLUSIONS: Once-daily oral daclatasvir plus sofosbuvir was associated with high rates of sustained virologic response among patients infected with HCV genotype 1, 2, or 3, including patients with no response to prior therapy with telaprevir or boceprevir. (Funded by Bristol-Myers Squibb and Pharmasset (Gilead); A1444040 ClinicalTrials.gov number, NCT01359644.).", "author" : [ { "dropping-particle" : "", "family" : "Sulkowski", "given" : "Mark S", "non-dropping-particle" : "", "parse-names" : false, "suffix" : "" }, { "dropping-particle" : "", "family" : "Gardiner", "given" : "David F", "non-dropping-particle" : "", "parse-names" : false, "suffix" : "" }, { "dropping-particle" : "", "family" : "Rodriguez-Torres", "given" : "Maribel", "non-dropping-particle" : "", "parse-names" : false, "suffix" : "" }, { "dropping-particle" : "", "family" : "Reddy", "given" : "K Rajender", "non-dropping-particle" : "", "parse-names" : false, "suffix" : "" }, { "dropping-particle" : "", "family" : "Hassanein", "given" : "Tarek", "non-dropping-particle" : "", "parse-names" : false, "suffix" : "" }, { "dropping-particle" : "", "family" : "Jacobson", "given" : "Ira", "non-dropping-particle" : "", "parse-names" : false, "suffix" : "" }, { "dropping-particle" : "", "family" : "Lawitz", "given" : "Eric", "non-dropping-particle" : "", "parse-names" : false, "suffix" : "" }, { "dropping-particle" : "", "family" : "Lok", "given" : "Anna S", "non-dropping-particle" : "", "parse-names" : false, "suffix" : "" }, { "dropping-particle" : "", "family" : "Hinestrosa", "given" : "Federico", "non-dropping-particle" : "", "parse-names" : false, "suffix" : "" }, { "dropping-particle" : "", "family" : "Thuluvath", "given" : "Paul J", "non-dropping-particle" : "", "parse-names" : false, "suffix" : "" }, { "dropping-particle" : "", "family" : "Schwartz", "given" : "Howard", "non-dropping-particle" : "", "parse-names" : false, "suffix" : "" }, { "dropping-particle" : "", "family" : "Nelson", "given" : "David R", "non-dropping-particle" : "", "parse-names" : false, "suffix" : "" }, { "dropping-particle" : "", "family" : "Everson", "given" : "Gregory T", "non-dropping-particle" : "", "parse-names" : false, "suffix" : "" }, { "dropping-particle" : "", "family" : "Eley", "given" : "Timothy", "non-dropping-particle" : "", "parse-names" : false, "suffix" : "" }, { "dropping-particle" : "", "family" : "Wind-Rotolo", "given" : "Megan", "non-dropping-particle" : "", "parse-names" : false, "suffix" : "" }, { "dropping-particle" : "", "family" : "Huang", "given" : "Shu-Pang", "non-dropping-particle" : "", "parse-names" : false, "suffix" : "" }, { "dropping-particle" : "", "family" : "Gao", "given" : "Min", "non-dropping-particle" : "", "parse-names" : false, "suffix" : "" }, { "dropping-particle" : "", "family" : "Hernandez", "given" : "Dennis", "non-dropping-particle" : "", "parse-names" : false, "suffix" : "" }, { "dropping-particle" : "", "family" : "McPhee", "given" : "Fiona", "non-dropping-particle" : "", "parse-names" : false, "suffix" : "" }, { "dropping-particle" : "", "family" : "Sherman", "given" : "Diane", "non-dropping-particle" : "", "parse-names" : false, "suffix" : "" }, { "dropping-particle" : "", "family" : "Hindes", "given" : "Robert", "non-dropping-particle" : "", "parse-names" : false, "suffix" : "" }, { "dropping-particle" : "", "family" : "Symonds", "given" : "William", "non-dropping-particle" : "", "parse-names" : false, "suffix" : "" }, { "dropping-particle" : "", "family" : "Pasquinelli", "given" : "Claudio", "non-dropping-particle" : "", "parse-names" : false, "suffix" : "" }, { "dropping-particle" : "", "family" : "Grasela", "given" : "Dennis M", "non-dropping-particle" : "", "parse-names" : false, "suffix" : "" } ], "container-title" : "The New England journal of medicine", "id" : "ITEM-3", "issue" : "3", "issued" : { "date-parts" : [ [ "2014", "1", "16" ] ] }, "page" : "211-21", "title" : "Daclatasvir plus sofosbuvir for previously treated or untreated chronic HCV infection.", "type" : "article-journal", "volume" : "370" }, "uris" : [ "http://www.mendeley.com/documents/?uuid=6fc53700-bfb5-4e53-a67b-85e7f148d7a1" ] } ], "mendeley" : { "formattedCitation" : "&lt;sup&gt;[46,63,64]&lt;/sup&gt;", "plainTextFormattedCitation" : "[46,63,64]", "previouslyFormattedCitation" : "&lt;sup&gt;[46,63,64]&lt;/sup&gt;" }, "properties" : { "noteIndex" : 0 }, "schema" : "https://github.com/citation-style-language/schema/raw/master/csl-citation.json" }</w:instrText>
      </w:r>
      <w:r w:rsidRPr="00CD1426">
        <w:rPr>
          <w:rFonts w:ascii="Book Antiqua" w:hAnsi="Book Antiqua" w:cs="Arial"/>
          <w:lang w:val="en-US"/>
        </w:rPr>
        <w:fldChar w:fldCharType="separate"/>
      </w:r>
      <w:r w:rsidR="001D4A08" w:rsidRPr="00CD1426">
        <w:rPr>
          <w:rFonts w:ascii="Book Antiqua" w:hAnsi="Book Antiqua" w:cs="Arial"/>
          <w:noProof/>
          <w:vertAlign w:val="superscript"/>
          <w:lang w:val="en-US"/>
        </w:rPr>
        <w:t>[46,63,64]</w:t>
      </w:r>
      <w:r w:rsidRPr="00CD1426">
        <w:rPr>
          <w:rFonts w:ascii="Book Antiqua" w:hAnsi="Book Antiqua" w:cs="Arial"/>
          <w:lang w:val="en-US"/>
        </w:rPr>
        <w:fldChar w:fldCharType="end"/>
      </w:r>
      <w:r w:rsidR="006074EB" w:rsidRPr="00CD1426">
        <w:rPr>
          <w:rFonts w:ascii="Book Antiqua" w:hAnsi="Book Antiqua" w:cs="Arial"/>
          <w:lang w:val="en-US" w:eastAsia="zh-CN"/>
        </w:rPr>
        <w:t>.</w:t>
      </w:r>
    </w:p>
    <w:p w14:paraId="3D4C95B7" w14:textId="77777777" w:rsidR="002B302F" w:rsidRPr="00CD1426" w:rsidRDefault="002B302F" w:rsidP="00CD1426">
      <w:pPr>
        <w:tabs>
          <w:tab w:val="right" w:pos="540"/>
          <w:tab w:val="left" w:pos="720"/>
        </w:tabs>
        <w:spacing w:line="360" w:lineRule="auto"/>
        <w:jc w:val="both"/>
        <w:rPr>
          <w:rFonts w:ascii="Book Antiqua" w:hAnsi="Book Antiqua" w:cs="Arial"/>
          <w:b/>
          <w:lang w:val="en-US"/>
        </w:rPr>
      </w:pPr>
    </w:p>
    <w:p w14:paraId="3E1874E2" w14:textId="77777777" w:rsidR="002B302F" w:rsidRPr="00CD1426" w:rsidRDefault="002B302F" w:rsidP="00CD1426">
      <w:pPr>
        <w:tabs>
          <w:tab w:val="right" w:pos="540"/>
          <w:tab w:val="left" w:pos="720"/>
        </w:tabs>
        <w:spacing w:line="360" w:lineRule="auto"/>
        <w:jc w:val="both"/>
        <w:rPr>
          <w:rFonts w:ascii="Book Antiqua" w:hAnsi="Book Antiqua" w:cs="Arial"/>
          <w:b/>
          <w:i/>
          <w:lang w:val="en-US"/>
        </w:rPr>
      </w:pPr>
      <w:proofErr w:type="spellStart"/>
      <w:r w:rsidRPr="00CD1426">
        <w:rPr>
          <w:rFonts w:ascii="Book Antiqua" w:hAnsi="Book Antiqua" w:cs="Arial"/>
          <w:b/>
          <w:i/>
          <w:lang w:val="en-US"/>
        </w:rPr>
        <w:t>Ledipasvir</w:t>
      </w:r>
      <w:proofErr w:type="spellEnd"/>
    </w:p>
    <w:p w14:paraId="4B48CF0D" w14:textId="679F6AA1" w:rsidR="002B302F" w:rsidRPr="00CD1426" w:rsidRDefault="002B302F" w:rsidP="00CD1426">
      <w:pPr>
        <w:widowControl w:val="0"/>
        <w:autoSpaceDE w:val="0"/>
        <w:autoSpaceDN w:val="0"/>
        <w:adjustRightInd w:val="0"/>
        <w:spacing w:line="360" w:lineRule="auto"/>
        <w:jc w:val="both"/>
        <w:rPr>
          <w:rFonts w:ascii="Book Antiqua" w:hAnsi="Book Antiqua" w:cs="Arial"/>
          <w:lang w:val="en-US" w:eastAsia="zh-CN"/>
        </w:rPr>
      </w:pPr>
      <w:proofErr w:type="spellStart"/>
      <w:r w:rsidRPr="00CD1426">
        <w:rPr>
          <w:rFonts w:ascii="Book Antiqua" w:hAnsi="Book Antiqua" w:cs="Arial"/>
          <w:lang w:val="en-US"/>
        </w:rPr>
        <w:t>Ledispavir</w:t>
      </w:r>
      <w:proofErr w:type="spellEnd"/>
      <w:r w:rsidRPr="00CD1426">
        <w:rPr>
          <w:rFonts w:ascii="Book Antiqua" w:hAnsi="Book Antiqua" w:cs="Arial"/>
          <w:lang w:val="en-US"/>
        </w:rPr>
        <w:t xml:space="preserve"> is a NS5A inhibitor that has been associated with high rates of sustained </w:t>
      </w:r>
      <w:proofErr w:type="spellStart"/>
      <w:r w:rsidRPr="00CD1426">
        <w:rPr>
          <w:rFonts w:ascii="Book Antiqua" w:hAnsi="Book Antiqua" w:cs="Arial"/>
          <w:lang w:val="en-US"/>
        </w:rPr>
        <w:t>virologic</w:t>
      </w:r>
      <w:proofErr w:type="spellEnd"/>
      <w:r w:rsidRPr="00CD1426">
        <w:rPr>
          <w:rFonts w:ascii="Book Antiqua" w:hAnsi="Book Antiqua" w:cs="Arial"/>
          <w:lang w:val="en-US"/>
        </w:rPr>
        <w:t xml:space="preserve"> response among patients with HCV genotype 1. </w:t>
      </w:r>
      <w:proofErr w:type="spellStart"/>
      <w:r w:rsidRPr="00CD1426">
        <w:rPr>
          <w:rFonts w:ascii="Book Antiqua" w:hAnsi="Book Antiqua" w:cs="Arial"/>
          <w:lang w:val="en-US"/>
        </w:rPr>
        <w:t>Multicentric</w:t>
      </w:r>
      <w:proofErr w:type="spellEnd"/>
      <w:r w:rsidRPr="00CD1426">
        <w:rPr>
          <w:rFonts w:ascii="Book Antiqua" w:hAnsi="Book Antiqua" w:cs="Arial"/>
          <w:lang w:val="en-US"/>
        </w:rPr>
        <w:t xml:space="preserve"> trials have showed that combination treatment with </w:t>
      </w:r>
      <w:proofErr w:type="spellStart"/>
      <w:r w:rsidRPr="00CD1426">
        <w:rPr>
          <w:rFonts w:ascii="Book Antiqua" w:hAnsi="Book Antiqua" w:cs="Arial"/>
          <w:lang w:val="en-US"/>
        </w:rPr>
        <w:t>Sofosbuvir</w:t>
      </w:r>
      <w:proofErr w:type="spellEnd"/>
      <w:r w:rsidRPr="00CD1426">
        <w:rPr>
          <w:rFonts w:ascii="Book Antiqua" w:hAnsi="Book Antiqua" w:cs="Arial"/>
          <w:lang w:val="en-US"/>
        </w:rPr>
        <w:t xml:space="preserve"> and </w:t>
      </w:r>
      <w:proofErr w:type="spellStart"/>
      <w:r w:rsidRPr="00CD1426">
        <w:rPr>
          <w:rFonts w:ascii="Book Antiqua" w:hAnsi="Book Antiqua" w:cs="Arial"/>
          <w:lang w:val="en-US"/>
        </w:rPr>
        <w:t>Ledipasvir</w:t>
      </w:r>
      <w:proofErr w:type="spellEnd"/>
      <w:r w:rsidRPr="00CD1426">
        <w:rPr>
          <w:rFonts w:ascii="Book Antiqua" w:hAnsi="Book Antiqua" w:cs="Arial"/>
          <w:lang w:val="en-US"/>
        </w:rPr>
        <w:t xml:space="preserve"> for 12 </w:t>
      </w:r>
      <w:proofErr w:type="spellStart"/>
      <w:r w:rsidRPr="00CD1426">
        <w:rPr>
          <w:rFonts w:ascii="Book Antiqua" w:hAnsi="Book Antiqua" w:cs="Arial"/>
          <w:lang w:val="en-US"/>
        </w:rPr>
        <w:t>w</w:t>
      </w:r>
      <w:r w:rsidR="00B33120" w:rsidRPr="00CD1426">
        <w:rPr>
          <w:rFonts w:ascii="Book Antiqua" w:hAnsi="Book Antiqua" w:cs="Arial"/>
          <w:lang w:val="en-US"/>
        </w:rPr>
        <w:t>k</w:t>
      </w:r>
      <w:proofErr w:type="spellEnd"/>
      <w:r w:rsidRPr="00CD1426">
        <w:rPr>
          <w:rFonts w:ascii="Book Antiqua" w:hAnsi="Book Antiqua" w:cs="Arial"/>
          <w:lang w:val="en-US"/>
        </w:rPr>
        <w:t xml:space="preserve"> was effective in patients</w:t>
      </w:r>
      <w:r w:rsidR="006074EB" w:rsidRPr="00CD1426">
        <w:rPr>
          <w:rFonts w:ascii="Book Antiqua" w:hAnsi="Book Antiqua" w:cs="Arial"/>
          <w:lang w:val="en-US"/>
        </w:rPr>
        <w:t xml:space="preserve"> with HCV genotype 1 infection</w:t>
      </w:r>
      <w:r w:rsidRPr="00CD1426">
        <w:rPr>
          <w:rFonts w:ascii="Book Antiqua" w:hAnsi="Book Antiqua" w:cs="Arial"/>
          <w:lang w:val="en-US"/>
        </w:rPr>
        <w:fldChar w:fldCharType="begin" w:fldLock="1"/>
      </w:r>
      <w:r w:rsidR="001D4A08" w:rsidRPr="00CD1426">
        <w:rPr>
          <w:rFonts w:ascii="Book Antiqua" w:hAnsi="Book Antiqua" w:cs="Arial"/>
          <w:lang w:val="en-US"/>
        </w:rPr>
        <w:instrText>ADDIN CSL_CITATION { "citationItems" : [ { "id" : "ITEM-1", "itemData" : { "DOI" : "10.1056/NEJMoa1402454", "ISSN" : "1533-4406", "PMID" : "24725239", "URL" : "http://www.nejm.org/doi/full/10.1056/NEJMoa1402454", "abstract" : "BACKGROUND: In phase 2 studies, treatment with the all-oral combination of the nucleotide polymerase inhibitor sofosbuvir and the NS5A inhibitor ledipasvir resulted in high rates of sustained virologic response among previously untreated patients with hepatitis C virus (HCV) genotype 1 infection.\n\nMETHODS: We conducted a phase 3, open-label study involving previously untreated patients with chronic HCV genotype 1 infection. Patients were randomly assigned in a 1:1:1:1 ratio to receive ledipasvir and sofosbuvir in a fixed-dose combination tablet once daily for 12 weeks, ledipasvir-sofosbuvir plus ribavirin for 12 weeks, ledipasvir-sofosbuvir for 24 weeks, or ledipasvir-sofosbuvir plus ribavirin for 24 weeks. The primary end point was a sustained virologic response at 12 weeks after the end of therapy.\n\nRESULTS: Of the 865 patients who underwent randomization and were treated, 16% had cirrhosis, 12% were black, and 67% had HCV genotype 1a infection. The rates of sustained virologic response were 99% (95% confidence interval [CI], 96 to 100) in the group that received 12 weeks of ledipasvir-sofosbuvir; 97% (95% CI, 94 to 99) in the group that received 12 weeks of ledipasvir-sofosbuvir plus ribavirin; 98% (95% CI, 95 to 99) in the group that received 24 weeks of ledipasvir-sofosbuvir; and 99% (95% CI, 97 to 100) in the group that received 24 weeks of ledipasvir-sofosbuvir plus ribavirin. No patient in either 12-week group discontinued ledipasvir-sofosbuvir owing to an adverse event. The most common adverse events were fatigue, headache, insomnia, and nausea.\n\nCONCLUSIONS: Once-daily ledipasvir-sofosbuvir with or without ribavirin for 12 or 24 weeks was highly effective in previously untreated patients with HCV genotype 1 infection. (Funded by Gilead Sciences; ION-1 ClinicalTrials.gov number NCT01701401.).", "accessed" : { "date-parts" : [ [ "2014", "7", "14" ] ] }, "author" : [ { "dropping-particle" : "", "family" : "Afdhal", "given" : "Nezam", "non-dropping-particle" : "", "parse-names" : false, "suffix" : "" }, { "dropping-particle" : "", "family" : "Zeuzem", "given" : "Stefan", "non-dropping-particle" : "", "parse-names" : false, "suffix" : "" }, { "dropping-particle" : "", "family" : "Kwo", "given" : "Paul", "non-dropping-particle" : "", "parse-names" : false, "suffix" : "" }, { "dropping-particle" : "", "family" : "Chojkier", "given" : "Mario", "non-dropping-particle" : "", "parse-names" : false, "suffix" : "" }, { "dropping-particle" : "", "family" : "Gitlin", "given" : "Norman", "non-dropping-particle" : "", "parse-names" : false, "suffix" : "" }, { "dropping-particle" : "", "family" : "Puoti", "given" : "Massimo", "non-dropping-particle" : "", "parse-names" : false, "suffix" : "" }, { "dropping-particle" : "", "family" : "Romero-Gomez", "given" : "Manuel", "non-dropping-particle" : "", "parse-names" : false, "suffix" : "" }, { "dropping-particle" : "", "family" : "Zarski", "given" : "Jean-Pierre", "non-dropping-particle" : "", "parse-names" : false, "suffix" : "" }, { "dropping-particle" : "", "family" : "Agarwal", "given" : "Kosh", "non-dropping-particle" : "", "parse-names" : false, "suffix" : "" }, { "dropping-particle" : "", "family" : "Buggisch", "given" : "Peter", "non-dropping-particle" : "", "parse-names" : false, "suffix" : "" }, { "dropping-particle" : "", "family" : "Foster", "given" : "Graham R", "non-dropping-particle" : "", "parse-names" : false, "suffix" : "" }, { "dropping-particle" : "", "family" : "Br\u00e4u", "given" : "Norbert", "non-dropping-particle" : "", "parse-names" : false, "suffix" : "" }, { "dropping-particle" : "", "family" : "Buti", "given" : "Maria", "non-dropping-particle" : "", "parse-names" : false, "suffix" : "" }, { "dropping-particle" : "", "family" : "Jacobson", "given" : "Ira M", "non-dropping-particle" : "", "parse-names" : false, "suffix" : "" }, { "dropping-particle" : "", "family" : "Subramanian", "given" : "G Mani", "non-dropping-particle" : "", "parse-names" : false, "suffix" : "" }, { "dropping-particle" : "", "family" : "Ding", "given" : "Xiao", "non-dropping-particle" : "", "parse-names" : false, "suffix" : "" }, { "dropping-particle" : "", "family" : "Mo", "given" : "Hongmei", "non-dropping-particle" : "", "parse-names" : false, "suffix" : "" }, { "dropping-particle" : "", "family" : "Yang", "given" : "Jenny C", "non-dropping-particle" : "", "parse-names" : false, "suffix" : "" }, { "dropping-particle" : "", "family" : "Pang", "given" : "Phillip S", "non-dropping-particle" : "", "parse-names" : false, "suffix" : "" }, { "dropping-particle" : "", "family" : "Symonds", "given" : "William T", "non-dropping-particle" : "", "parse-names" : false, "suffix" : "" }, { "dropping-particle" : "", "family" : "McHutchison", "given" : "John G", "non-dropping-particle" : "", "parse-names" : false, "suffix" : "" }, { "dropping-particle" : "", "family" : "Muir", "given" : "Andrew J", "non-dropping-particle" : "", "parse-names" : false, "suffix" : "" }, { "dropping-particle" : "", "family" : "Mangia", "given" : "Alessandra", "non-dropping-particle" : "", "parse-names" : false, "suffix" : "" }, { "dropping-particle" : "", "family" : "Marcellin", "given" : "Patrick", "non-dropping-particle" : "", "parse-names" : false, "suffix" : "" } ], "container-title" : "The New England journal of medicine", "id" : "ITEM-1", "issue" : "20", "issued" : { "date-parts" : [ [ "2014", "5", "15" ] ] }, "page" : "1889-98", "title" : "Ledipasvir and Sofosbuvir for Untreated HCV Genotype 1 Infection \u2014 NEJM", "type" : "webpage", "volume" : "370" }, "uris" : [ "http://www.mendeley.com/documents/?uuid=f3ff8384-c222-4745-9f74-6280e74b6b1f" ] }, { "id" : "ITEM-2", "itemData" : { "DOI" : "10.1056/NEJMoa1402355", "ISSN" : "1533-4406", "PMID" : "24720702", "abstract" : "BACKGROUND: High rates of sustained virologic response were observed among patients with hepatitis C virus (HCV) infection who received 12 weeks of treatment with the nucleotide polymerase inhibitor sofosbuvir combined with the NS5A inhibitor ledipasvir. This study examined 8 weeks of treatment with this regimen.\n\nMETHODS: In this phase 3, open-label study, we randomly assigned 647 previously untreated patients with HCV genotype 1 infection without cirrhosis to receive ledipasvir and sofosbuvir (ledipasvir-sofosbuvir) for 8 weeks, ledipasvir-sofosbuvir plus ribavirin for 8 weeks, or ledipasvir-sofosbuvir for 12 weeks. The primary end point was sustained virologic response at 12 weeks after the end of therapy.\n\nRESULTS: The rate of sustained virologic response was 94% (95% confidence interval [CI], 90 to 97) with 8 weeks of ledipasvir-sofosbuvir, 93% (95% CI, 89 to 96) with 8 weeks of ledipasvir-sofosbuvir plus ribavirin, and 95% (95% CI, 92 to 98) with 12 weeks of ledipasvir-sofosbuvir. As compared with the rate of sustained virologic response in the group that received 8 weeks of ledipasvir-sofosbuvir, the rate in the 12-week group was 1 percentage point higher (97.5% CI, -4 to 6) and the rate in the group that received 8 weeks of ledipasvir-sofosbuvir with ribavirin was 1 percentage point lower (95% CI, -6 to 4); these results indicated noninferiority of the 8-week ledipasvir-sofosbuvir regimen, on the basis of a noninferiority margin of 12 percentage points. Adverse events were more common in the group that received ribavirin than in the other two groups. No patient who received 8 weeks of only ledipasvir-sofosbuvir discontinued treatment owing to adverse events.\n\nCONCLUSIONS: Ledipasvir-sofosbuvir for 8 weeks was associated with a high rate of sustained virologic response among previously untreated patients with HCV genotype 1 infection without cirrhosis. No additional benefit was associated with the inclusion of ribavirin in the regimen or with extension of the duration of treatment to 12 weeks. (Funded by Gilead Sciences; ION-3 ClinicalTrials.gov number, NCT01851330.).", "author" : [ { "dropping-particle" : "V", "family" : "Kowdley", "given" : "Kris", "non-dropping-particle" : "", "parse-names" : false, "suffix" : "" }, { "dropping-particle" : "", "family" : "Gordon", "given" : "Stuart C", "non-dropping-particle" : "", "parse-names" : false, "suffix" : "" }, { "dropping-particle" : "", "family" : "Reddy", "given" : "K Rajender", "non-dropping-particle" : "", "parse-names" : false, "suffix" : "" }, { "dropping-particle" : "", "family" : "Rossaro", "given" : "Lorenzo", "non-dropping-particle" : "", "parse-names" : false, "suffix" : "" }, { "dropping-particle" : "", "family" : "Bernstein", "given" : "David E", "non-dropping-particle" : "", "parse-names" : false, "suffix" : "" }, { "dropping-particle" : "", "family" : "Lawitz", "given" : "Eric", "non-dropping-particle" : "", "parse-names" : false, "suffix" : "" }, { "dropping-particle" : "", "family" : "Shiffman", "given" : "Mitchell L", "non-dropping-particle" : "", "parse-names" : false, "suffix" : "" }, { "dropping-particle" : "", "family" : "Schiff", "given" : "Eugene", "non-dropping-particle" : "", "parse-names" : false, "suffix" : "" }, { "dropping-particle" : "", "family" : "Ghalib", "given" : "Reem", "non-dropping-particle" : "", "parse-names" : false, "suffix" : "" }, { "dropping-particle" : "", "family" : "Ryan", "given" : "Michael", "non-dropping-particle" : "", "parse-names" : false, "suffix" : "" }, { "dropping-particle" : "", "family" : "Rustgi", "given" : "Vinod", "non-dropping-particle" : "", "parse-names" : false, "suffix" : "" }, { "dropping-particle" : "", "family" : "Chojkier", "given" : "Mario", "non-dropping-particle" : "", "parse-names" : false, "suffix" : "" }, { "dropping-particle" : "", "family" : "Herring", "given" : "Robert", "non-dropping-particle" : "", "parse-names" : false, "suffix" : "" }, { "dropping-particle" : "", "family" : "Bisceglie", "given" : "Adrian M", "non-dropping-particle" : "Di", "parse-names" : false, "suffix" : "" }, { "dropping-particle" : "", "family" : "Pockros", "given" : "Paul J", "non-dropping-particle" : "", "parse-names" : false, "suffix" : "" }, { "dropping-particle" : "", "family" : "Subramanian", "given" : "G Mani", "non-dropping-particle" : "", "parse-names" : false, "suffix" : "" }, { "dropping-particle" : "", "family" : "An", "given" : "Di", "non-dropping-particle" : "", "parse-names" : false, "suffix" : "" }, { "dropping-particle" : "", "family" : "Svarovskaia", "given" : "Evguenia", "non-dropping-particle" : "", "parse-names" : false, "suffix" : "" }, { "dropping-particle" : "", "family" : "Hyland", "given" : "Robert H", "non-dropping-particle" : "", "parse-names" : false, "suffix" : "" }, { "dropping-particle" : "", "family" : "Pang", "given" : "Phillip S", "non-dropping-particle" : "", "parse-names" : false, "suffix" : "" }, { "dropping-particle" : "", "family" : "Symonds", "given" : "William T", "non-dropping-particle" : "", "parse-names" : false, "suffix" : "" }, { "dropping-particle" : "", "family" : "McHutchison", "given" : "John G", "non-dropping-particle" : "", "parse-names" : false, "suffix" : "" }, { "dropping-particle" : "", "family" : "Muir", "given" : "Andrew J", "non-dropping-particle" : "", "parse-names" : false, "suffix" : "" }, { "dropping-particle" : "", "family" : "Pound", "given" : "David", "non-dropping-particle" : "", "parse-names" : false, "suffix" : "" }, { "dropping-particle" : "", "family" : "Fried", "given" : "Michael W", "non-dropping-particle" : "", "parse-names" : false, "suffix" : "" } ], "container-title" : "The New England journal of medicine", "id" : "ITEM-2", "issue" : "20", "issued" : { "date-parts" : [ [ "2014", "5", "15" ] ] }, "page" : "1879-88", "title" : "Ledipasvir and Sofosbuvir for 8 or 12 Weeks for Chronic HCV without Cirrhosis \u2014 NEJM", "type" : "article-journal", "volume" : "370" }, "uris" : [ "http://www.mendeley.com/documents/?uuid=7963427c-8a3d-45fb-b51c-c5b133fd2f5a" ] }, { "id" : "ITEM-3", "itemData" : { "DOI" : "10.1056/NEJMoa1316366", "ISSN" : "1533-4406", "PMID" : "24725238", "abstract" : "BACKGROUND: Effective treatment for hepatitis C virus (HCV) genotype 1 infection in patients who have not had a sustained virologic response to prior interferon-based therapy represents an unmet medical need.\n\nMETHODS: We conducted a phase 3, randomized, open-label study involving patients infected with HCV genotype 1 who had not had a sustained virologic response after treatment with peginterferon and ribavirin, with or without a protease inhibitor. Patients were randomly assigned to receive the NS5A inhibitor ledipasvir and the nucleotide polymerase inhibitor sofosbuvir in a once-daily, fixed-dose combination tablet for 12 weeks, ledipasvir-sofosbuvir plus ribavirin for 12 weeks, ledipasvir-sofosbuvir for 24 weeks, or ledipasvir-sofosbuvir plus ribavirin for 24 weeks. The primary end point was a sustained virologic response at 12 weeks after the end of therapy.\n\nRESULTS: Among the 440 patients who underwent randomization and were treated, 20% had cirrhosis and 79% had HCV genotype 1a infection. The rates of sustained virologic response were high in all treatment groups: 94% (95% confidence interval [CI], 87 to 97) in the group that received 12 weeks of ledipasvir-sofosbuvir; 96% (95% CI, 91 to 99) in the group that received 12 weeks of ledipasvir-sofosbuvir and ribavirin; 99% (95% CI, 95 to 100) in the group that received 24 weeks of ledipasvir-sofosbuvir; and 99% (95% CI, 95 to 100) in the group that received 24 weeks of ledipasvir-sofosbuvir and ribavirin. No patient discontinued treatment owing to an adverse event. The most common adverse events were fatigue, headache, and nausea.\n\nCONCLUSIONS: Treatment with a once-daily, single-tablet regimen of ledipasvir and sofosbuvir resulted in high rates of sustained virologic response among patients with HCV genotype 1 infection who had not had a sustained virologic response to prior interferon-based treatment. (Funded by Gilead Sciences; ION-2 ClinicalTrials.gov number, NCT01768286.).", "author" : [ { "dropping-particle" : "", "family" : "Afdhal", "given" : "Nezam", "non-dropping-particle" : "", "parse-names" : false, "suffix" : "" }, { "dropping-particle" : "", "family" : "Reddy", "given" : "K Rajender", "non-dropping-particle" : "", "parse-names" : false, "suffix" : "" }, { "dropping-particle" : "", "family" : "Nelson", "given" : "David R", "non-dropping-particle" : "", "parse-names" : false, "suffix" : "" }, { "dropping-particle" : "", "family" : "Lawitz", "given" : "Eric", "non-dropping-particle" : "", "parse-names" : false, "suffix" : "" }, { "dropping-particle" : "", "family" : "Gordon", "given" : "Stuart C", "non-dropping-particle" : "", "parse-names" : false, "suffix" : "" }, { "dropping-particle" : "", "family" : "Schiff", "given" : "Eugene", "non-dropping-particle" : "", "parse-names" : false, "suffix" : "" }, { "dropping-particle" : "", "family" : "Nahass", "given" : "Ronald", "non-dropping-particle" : "", "parse-names" : false, "suffix" : "" }, { "dropping-particle" : "", "family" : "Ghalib", "given" : "Reem", "non-dropping-particle" : "", "parse-names" : false, "suffix" : "" }, { "dropping-particle" : "", "family" : "Gitlin", "given" : "Norman", "non-dropping-particle" : "", "parse-names" : false, "suffix" : "" }, { "dropping-particle" : "", "family" : "Herring", "given" : "Robert", "non-dropping-particle" : "", "parse-names" : false, "suffix" : "" }, { "dropping-particle" : "", "family" : "Lalezari", "given" : "Jacob", "non-dropping-particle" : "", "parse-names" : false, "suffix" : "" }, { "dropping-particle" : "", "family" : "Younes", "given" : "Ziad H", "non-dropping-particle" : "", "parse-names" : false, "suffix" : "" }, { "dropping-particle" : "", "family" : "Pockros", "given" : "Paul J", "non-dropping-particle" : "", "parse-names" : false, "suffix" : "" }, { "dropping-particle" : "", "family" : "Bisceglie", "given" : "Adrian M", "non-dropping-particle" : "Di", "parse-names" : false, "suffix" : "" }, { "dropping-particle" : "", "family" : "Arora", "given" : "Sanjeev", "non-dropping-particle" : "", "parse-names" : false, "suffix" : "" }, { "dropping-particle" : "", "family" : "Subramanian", "given" : "G Mani", "non-dropping-particle" : "", "parse-names" : false, "suffix" : "" }, { "dropping-particle" : "", "family" : "Zhu", "given" : "Yanni", "non-dropping-particle" : "", "parse-names" : false, "suffix" : "" }, { "dropping-particle" : "", "family" : "Dvory-Sobol", "given" : "Hadas", "non-dropping-particle" : "", "parse-names" : false, "suffix" : "" }, { "dropping-particle" : "", "family" : "Yang", "given" : "Jenny C", "non-dropping-particle" : "", "parse-names" : false, "suffix" : "" }, { "dropping-particle" : "", "family" : "Pang", "given" : "Phillip S", "non-dropping-particle" : "", "parse-names" : false, "suffix" : "" }, { "dropping-particle" : "", "family" : "Symonds", "given" : "William T", "non-dropping-particle" : "", "parse-names" : false, "suffix" : "" }, { "dropping-particle" : "", "family" : "McHutchison", "given" : "John G", "non-dropping-particle" : "", "parse-names" : false, "suffix" : "" }, { "dropping-particle" : "", "family" : "Muir", "given" : "Andrew J", "non-dropping-particle" : "", "parse-names" : false, "suffix" : "" }, { "dropping-particle" : "", "family" : "Sulkowski", "given" : "Mark", "non-dropping-particle" : "", "parse-names" : false, "suffix" : "" }, { "dropping-particle" : "", "family" : "Kwo", "given" : "Paul", "non-dropping-particle" : "", "parse-names" : false, "suffix" : "" } ], "container-title" : "The New England journal of medicine", "id" : "ITEM-3", "issue" : "16", "issued" : { "date-parts" : [ [ "2014", "4", "17" ] ] }, "page" : "1483-93", "title" : "Ledipasvir and Sofosbuvir for Previously Treated HCV Genotype 1 Infection \u2014 NEJM", "type" : "article-journal", "volume" : "370" }, "uris" : [ "http://www.mendeley.com/documents/?uuid=eb674b6f-c495-4dbd-b803-c6bf0d8e650e" ] } ], "mendeley" : { "formattedCitation" : "&lt;sup&gt;[65\u201367]&lt;/sup&gt;", "plainTextFormattedCitation" : "[65\u201367]", "previouslyFormattedCitation" : "&lt;sup&gt;[65\u201367]&lt;/sup&gt;" }, "properties" : { "noteIndex" : 0 }, "schema" : "https://github.com/citation-style-language/schema/raw/master/csl-citation.json" }</w:instrText>
      </w:r>
      <w:r w:rsidRPr="00CD1426">
        <w:rPr>
          <w:rFonts w:ascii="Book Antiqua" w:hAnsi="Book Antiqua" w:cs="Arial"/>
          <w:lang w:val="en-US"/>
        </w:rPr>
        <w:fldChar w:fldCharType="separate"/>
      </w:r>
      <w:r w:rsidR="001D4A08" w:rsidRPr="00CD1426">
        <w:rPr>
          <w:rFonts w:ascii="Book Antiqua" w:hAnsi="Book Antiqua" w:cs="Arial"/>
          <w:noProof/>
          <w:vertAlign w:val="superscript"/>
          <w:lang w:val="en-US"/>
        </w:rPr>
        <w:t>[65–67]</w:t>
      </w:r>
      <w:r w:rsidRPr="00CD1426">
        <w:rPr>
          <w:rFonts w:ascii="Book Antiqua" w:hAnsi="Book Antiqua" w:cs="Arial"/>
          <w:lang w:val="en-US"/>
        </w:rPr>
        <w:fldChar w:fldCharType="end"/>
      </w:r>
      <w:r w:rsidR="006074EB" w:rsidRPr="00CD1426">
        <w:rPr>
          <w:rFonts w:ascii="Book Antiqua" w:hAnsi="Book Antiqua" w:cs="Arial"/>
          <w:lang w:val="en-US" w:eastAsia="zh-CN"/>
        </w:rPr>
        <w:t>.</w:t>
      </w:r>
    </w:p>
    <w:p w14:paraId="433C1478" w14:textId="486896C5" w:rsidR="002B302F" w:rsidRPr="00CD1426" w:rsidRDefault="002B302F" w:rsidP="00CD1426">
      <w:pPr>
        <w:widowControl w:val="0"/>
        <w:autoSpaceDE w:val="0"/>
        <w:autoSpaceDN w:val="0"/>
        <w:adjustRightInd w:val="0"/>
        <w:spacing w:line="360" w:lineRule="auto"/>
        <w:ind w:firstLineChars="200" w:firstLine="480"/>
        <w:jc w:val="both"/>
        <w:rPr>
          <w:rFonts w:ascii="Book Antiqua" w:hAnsi="Book Antiqua" w:cs="Arial"/>
          <w:lang w:val="en-US" w:eastAsia="zh-CN"/>
        </w:rPr>
      </w:pPr>
      <w:r w:rsidRPr="00CD1426">
        <w:rPr>
          <w:rFonts w:ascii="Book Antiqua" w:hAnsi="Book Antiqua" w:cs="Arial"/>
          <w:lang w:val="en-US"/>
        </w:rPr>
        <w:t xml:space="preserve">In naïve patients, the SVR12 rate among those who were treated with 12 </w:t>
      </w:r>
      <w:proofErr w:type="spellStart"/>
      <w:r w:rsidRPr="00CD1426">
        <w:rPr>
          <w:rFonts w:ascii="Book Antiqua" w:hAnsi="Book Antiqua" w:cs="Arial"/>
          <w:lang w:val="en-US"/>
        </w:rPr>
        <w:t>w</w:t>
      </w:r>
      <w:r w:rsidR="00B33120" w:rsidRPr="00CD1426">
        <w:rPr>
          <w:rFonts w:ascii="Book Antiqua" w:hAnsi="Book Antiqua" w:cs="Arial"/>
          <w:lang w:val="en-US"/>
        </w:rPr>
        <w:t>k</w:t>
      </w:r>
      <w:proofErr w:type="spellEnd"/>
      <w:r w:rsidR="00B33120" w:rsidRPr="00CD1426">
        <w:rPr>
          <w:rFonts w:ascii="Book Antiqua" w:hAnsi="Book Antiqua" w:cs="Arial"/>
          <w:lang w:val="en-US" w:eastAsia="zh-CN"/>
        </w:rPr>
        <w:t xml:space="preserve"> </w:t>
      </w:r>
      <w:r w:rsidRPr="00CD1426">
        <w:rPr>
          <w:rFonts w:ascii="Book Antiqua" w:hAnsi="Book Antiqua" w:cs="Arial"/>
          <w:lang w:val="en-US"/>
        </w:rPr>
        <w:t xml:space="preserve">of </w:t>
      </w:r>
      <w:proofErr w:type="spellStart"/>
      <w:r w:rsidRPr="00CD1426">
        <w:rPr>
          <w:rFonts w:ascii="Book Antiqua" w:hAnsi="Book Antiqua" w:cs="Arial"/>
          <w:lang w:val="en-US"/>
        </w:rPr>
        <w:t>ledipasvir</w:t>
      </w:r>
      <w:proofErr w:type="spellEnd"/>
      <w:r w:rsidRPr="00CD1426">
        <w:rPr>
          <w:rFonts w:ascii="Book Antiqua" w:hAnsi="Book Antiqua" w:cs="Arial"/>
          <w:lang w:val="en-US"/>
        </w:rPr>
        <w:t xml:space="preserve"> plus </w:t>
      </w:r>
      <w:proofErr w:type="spellStart"/>
      <w:r w:rsidRPr="00CD1426">
        <w:rPr>
          <w:rFonts w:ascii="Book Antiqua" w:hAnsi="Book Antiqua" w:cs="Arial"/>
          <w:lang w:val="en-US"/>
        </w:rPr>
        <w:t>sofosbuvir</w:t>
      </w:r>
      <w:proofErr w:type="spellEnd"/>
      <w:r w:rsidRPr="00CD1426">
        <w:rPr>
          <w:rFonts w:ascii="Book Antiqua" w:hAnsi="Book Antiqua" w:cs="Arial"/>
          <w:lang w:val="en-US"/>
        </w:rPr>
        <w:t xml:space="preserve"> was 99%; among patients treated with 12 weeks of </w:t>
      </w:r>
      <w:proofErr w:type="spellStart"/>
      <w:r w:rsidRPr="00CD1426">
        <w:rPr>
          <w:rFonts w:ascii="Book Antiqua" w:hAnsi="Book Antiqua" w:cs="Arial"/>
          <w:lang w:val="en-US"/>
        </w:rPr>
        <w:t>ledipasvir</w:t>
      </w:r>
      <w:proofErr w:type="spellEnd"/>
      <w:r w:rsidRPr="00CD1426">
        <w:rPr>
          <w:rFonts w:ascii="Book Antiqua" w:hAnsi="Book Antiqua" w:cs="Arial"/>
          <w:lang w:val="en-US"/>
        </w:rPr>
        <w:t xml:space="preserve"> plus </w:t>
      </w:r>
      <w:proofErr w:type="spellStart"/>
      <w:r w:rsidRPr="00CD1426">
        <w:rPr>
          <w:rFonts w:ascii="Book Antiqua" w:hAnsi="Book Antiqua" w:cs="Arial"/>
          <w:lang w:val="en-US"/>
        </w:rPr>
        <w:t>sofosbuvir</w:t>
      </w:r>
      <w:proofErr w:type="spellEnd"/>
      <w:r w:rsidRPr="00CD1426">
        <w:rPr>
          <w:rFonts w:ascii="Book Antiqua" w:hAnsi="Book Antiqua" w:cs="Arial"/>
          <w:lang w:val="en-US"/>
        </w:rPr>
        <w:t xml:space="preserve"> plus ribavirin, the SVR rate was 97%. Among individuals who received 24 </w:t>
      </w:r>
      <w:proofErr w:type="spellStart"/>
      <w:r w:rsidRPr="00CD1426">
        <w:rPr>
          <w:rFonts w:ascii="Book Antiqua" w:hAnsi="Book Antiqua" w:cs="Arial"/>
          <w:lang w:val="en-US"/>
        </w:rPr>
        <w:t>w</w:t>
      </w:r>
      <w:r w:rsidR="00B33120" w:rsidRPr="00CD1426">
        <w:rPr>
          <w:rFonts w:ascii="Book Antiqua" w:hAnsi="Book Antiqua" w:cs="Arial"/>
          <w:lang w:val="en-US"/>
        </w:rPr>
        <w:t>k</w:t>
      </w:r>
      <w:proofErr w:type="spellEnd"/>
      <w:r w:rsidR="00B33120" w:rsidRPr="00CD1426">
        <w:rPr>
          <w:rFonts w:ascii="Book Antiqua" w:hAnsi="Book Antiqua" w:cs="Arial"/>
          <w:lang w:val="en-US" w:eastAsia="zh-CN"/>
        </w:rPr>
        <w:t xml:space="preserve"> </w:t>
      </w:r>
      <w:r w:rsidRPr="00CD1426">
        <w:rPr>
          <w:rFonts w:ascii="Book Antiqua" w:hAnsi="Book Antiqua" w:cs="Arial"/>
          <w:lang w:val="en-US"/>
        </w:rPr>
        <w:t xml:space="preserve">of </w:t>
      </w:r>
      <w:proofErr w:type="spellStart"/>
      <w:r w:rsidRPr="00CD1426">
        <w:rPr>
          <w:rFonts w:ascii="Book Antiqua" w:hAnsi="Book Antiqua" w:cs="Arial"/>
          <w:lang w:val="en-US"/>
        </w:rPr>
        <w:t>ledipasvir</w:t>
      </w:r>
      <w:proofErr w:type="spellEnd"/>
      <w:r w:rsidRPr="00CD1426">
        <w:rPr>
          <w:rFonts w:ascii="Book Antiqua" w:hAnsi="Book Antiqua" w:cs="Arial"/>
          <w:lang w:val="en-US"/>
        </w:rPr>
        <w:t xml:space="preserve"> plus </w:t>
      </w:r>
      <w:proofErr w:type="spellStart"/>
      <w:r w:rsidRPr="00CD1426">
        <w:rPr>
          <w:rFonts w:ascii="Book Antiqua" w:hAnsi="Book Antiqua" w:cs="Arial"/>
          <w:lang w:val="en-US"/>
        </w:rPr>
        <w:t>sofosbuvir</w:t>
      </w:r>
      <w:proofErr w:type="spellEnd"/>
      <w:r w:rsidRPr="00CD1426">
        <w:rPr>
          <w:rFonts w:ascii="Book Antiqua" w:hAnsi="Book Antiqua" w:cs="Arial"/>
          <w:lang w:val="en-US"/>
        </w:rPr>
        <w:t xml:space="preserve"> the SVR12 was 98%, while subjects treated with 24 </w:t>
      </w:r>
      <w:proofErr w:type="spellStart"/>
      <w:r w:rsidRPr="00CD1426">
        <w:rPr>
          <w:rFonts w:ascii="Book Antiqua" w:hAnsi="Book Antiqua" w:cs="Arial"/>
          <w:lang w:val="en-US"/>
        </w:rPr>
        <w:t>wk</w:t>
      </w:r>
      <w:proofErr w:type="spellEnd"/>
      <w:r w:rsidRPr="00CD1426">
        <w:rPr>
          <w:rFonts w:ascii="Book Antiqua" w:hAnsi="Book Antiqua" w:cs="Arial"/>
          <w:lang w:val="en-US"/>
        </w:rPr>
        <w:t xml:space="preserve"> of </w:t>
      </w:r>
      <w:proofErr w:type="spellStart"/>
      <w:r w:rsidRPr="00CD1426">
        <w:rPr>
          <w:rFonts w:ascii="Book Antiqua" w:hAnsi="Book Antiqua" w:cs="Arial"/>
          <w:lang w:val="en-US"/>
        </w:rPr>
        <w:t>ledipasvir</w:t>
      </w:r>
      <w:proofErr w:type="spellEnd"/>
      <w:r w:rsidRPr="00CD1426">
        <w:rPr>
          <w:rFonts w:ascii="Book Antiqua" w:hAnsi="Book Antiqua" w:cs="Arial"/>
          <w:lang w:val="en-US"/>
        </w:rPr>
        <w:t xml:space="preserve"> plus </w:t>
      </w:r>
      <w:proofErr w:type="spellStart"/>
      <w:r w:rsidRPr="00CD1426">
        <w:rPr>
          <w:rFonts w:ascii="Book Antiqua" w:hAnsi="Book Antiqua" w:cs="Arial"/>
          <w:lang w:val="en-US"/>
        </w:rPr>
        <w:t>sofosbuvir</w:t>
      </w:r>
      <w:proofErr w:type="spellEnd"/>
      <w:r w:rsidRPr="00CD1426">
        <w:rPr>
          <w:rFonts w:ascii="Book Antiqua" w:hAnsi="Book Antiqua" w:cs="Arial"/>
          <w:lang w:val="en-US"/>
        </w:rPr>
        <w:t xml:space="preserve"> pl</w:t>
      </w:r>
      <w:r w:rsidR="006074EB" w:rsidRPr="00CD1426">
        <w:rPr>
          <w:rFonts w:ascii="Book Antiqua" w:hAnsi="Book Antiqua" w:cs="Arial"/>
          <w:lang w:val="en-US"/>
        </w:rPr>
        <w:t>us ribavirin had an SVR of 99%</w:t>
      </w:r>
      <w:r w:rsidRPr="00CD1426">
        <w:rPr>
          <w:rFonts w:ascii="Book Antiqua" w:hAnsi="Book Antiqua" w:cs="Arial"/>
          <w:lang w:val="en-US"/>
        </w:rPr>
        <w:fldChar w:fldCharType="begin" w:fldLock="1"/>
      </w:r>
      <w:r w:rsidR="001D4A08" w:rsidRPr="00CD1426">
        <w:rPr>
          <w:rFonts w:ascii="Book Antiqua" w:hAnsi="Book Antiqua" w:cs="Arial"/>
          <w:lang w:val="en-US"/>
        </w:rPr>
        <w:instrText>ADDIN CSL_CITATION { "citationItems" : [ { "id" : "ITEM-1", "itemData" : { "DOI" : "10.1056/NEJMoa1402454", "ISSN" : "1533-4406", "PMID" : "24725239", "URL" : "http://www.nejm.org/doi/full/10.1056/NEJMoa1402454", "abstract" : "BACKGROUND: In phase 2 studies, treatment with the all-oral combination of the nucleotide polymerase inhibitor sofosbuvir and the NS5A inhibitor ledipasvir resulted in high rates of sustained virologic response among previously untreated patients with hepatitis C virus (HCV) genotype 1 infection.\n\nMETHODS: We conducted a phase 3, open-label study involving previously untreated patients with chronic HCV genotype 1 infection. Patients were randomly assigned in a 1:1:1:1 ratio to receive ledipasvir and sofosbuvir in a fixed-dose combination tablet once daily for 12 weeks, ledipasvir-sofosbuvir plus ribavirin for 12 weeks, ledipasvir-sofosbuvir for 24 weeks, or ledipasvir-sofosbuvir plus ribavirin for 24 weeks. The primary end point was a sustained virologic response at 12 weeks after the end of therapy.\n\nRESULTS: Of the 865 patients who underwent randomization and were treated, 16% had cirrhosis, 12% were black, and 67% had HCV genotype 1a infection. The rates of sustained virologic response were 99% (95% confidence interval [CI], 96 to 100) in the group that received 12 weeks of ledipasvir-sofosbuvir; 97% (95% CI, 94 to 99) in the group that received 12 weeks of ledipasvir-sofosbuvir plus ribavirin; 98% (95% CI, 95 to 99) in the group that received 24 weeks of ledipasvir-sofosbuvir; and 99% (95% CI, 97 to 100) in the group that received 24 weeks of ledipasvir-sofosbuvir plus ribavirin. No patient in either 12-week group discontinued ledipasvir-sofosbuvir owing to an adverse event. The most common adverse events were fatigue, headache, insomnia, and nausea.\n\nCONCLUSIONS: Once-daily ledipasvir-sofosbuvir with or without ribavirin for 12 or 24 weeks was highly effective in previously untreated patients with HCV genotype 1 infection. (Funded by Gilead Sciences; ION-1 ClinicalTrials.gov number NCT01701401.).", "accessed" : { "date-parts" : [ [ "2014", "7", "14" ] ] }, "author" : [ { "dropping-particle" : "", "family" : "Afdhal", "given" : "Nezam", "non-dropping-particle" : "", "parse-names" : false, "suffix" : "" }, { "dropping-particle" : "", "family" : "Zeuzem", "given" : "Stefan", "non-dropping-particle" : "", "parse-names" : false, "suffix" : "" }, { "dropping-particle" : "", "family" : "Kwo", "given" : "Paul", "non-dropping-particle" : "", "parse-names" : false, "suffix" : "" }, { "dropping-particle" : "", "family" : "Chojkier", "given" : "Mario", "non-dropping-particle" : "", "parse-names" : false, "suffix" : "" }, { "dropping-particle" : "", "family" : "Gitlin", "given" : "Norman", "non-dropping-particle" : "", "parse-names" : false, "suffix" : "" }, { "dropping-particle" : "", "family" : "Puoti", "given" : "Massimo", "non-dropping-particle" : "", "parse-names" : false, "suffix" : "" }, { "dropping-particle" : "", "family" : "Romero-Gomez", "given" : "Manuel", "non-dropping-particle" : "", "parse-names" : false, "suffix" : "" }, { "dropping-particle" : "", "family" : "Zarski", "given" : "Jean-Pierre", "non-dropping-particle" : "", "parse-names" : false, "suffix" : "" }, { "dropping-particle" : "", "family" : "Agarwal", "given" : "Kosh", "non-dropping-particle" : "", "parse-names" : false, "suffix" : "" }, { "dropping-particle" : "", "family" : "Buggisch", "given" : "Peter", "non-dropping-particle" : "", "parse-names" : false, "suffix" : "" }, { "dropping-particle" : "", "family" : "Foster", "given" : "Graham R", "non-dropping-particle" : "", "parse-names" : false, "suffix" : "" }, { "dropping-particle" : "", "family" : "Br\u00e4u", "given" : "Norbert", "non-dropping-particle" : "", "parse-names" : false, "suffix" : "" }, { "dropping-particle" : "", "family" : "Buti", "given" : "Maria", "non-dropping-particle" : "", "parse-names" : false, "suffix" : "" }, { "dropping-particle" : "", "family" : "Jacobson", "given" : "Ira M", "non-dropping-particle" : "", "parse-names" : false, "suffix" : "" }, { "dropping-particle" : "", "family" : "Subramanian", "given" : "G Mani", "non-dropping-particle" : "", "parse-names" : false, "suffix" : "" }, { "dropping-particle" : "", "family" : "Ding", "given" : "Xiao", "non-dropping-particle" : "", "parse-names" : false, "suffix" : "" }, { "dropping-particle" : "", "family" : "Mo", "given" : "Hongmei", "non-dropping-particle" : "", "parse-names" : false, "suffix" : "" }, { "dropping-particle" : "", "family" : "Yang", "given" : "Jenny C", "non-dropping-particle" : "", "parse-names" : false, "suffix" : "" }, { "dropping-particle" : "", "family" : "Pang", "given" : "Phillip S", "non-dropping-particle" : "", "parse-names" : false, "suffix" : "" }, { "dropping-particle" : "", "family" : "Symonds", "given" : "William T", "non-dropping-particle" : "", "parse-names" : false, "suffix" : "" }, { "dropping-particle" : "", "family" : "McHutchison", "given" : "John G", "non-dropping-particle" : "", "parse-names" : false, "suffix" : "" }, { "dropping-particle" : "", "family" : "Muir", "given" : "Andrew J", "non-dropping-particle" : "", "parse-names" : false, "suffix" : "" }, { "dropping-particle" : "", "family" : "Mangia", "given" : "Alessandra", "non-dropping-particle" : "", "parse-names" : false, "suffix" : "" }, { "dropping-particle" : "", "family" : "Marcellin", "given" : "Patrick", "non-dropping-particle" : "", "parse-names" : false, "suffix" : "" } ], "container-title" : "The New England journal of medicine", "id" : "ITEM-1", "issue" : "20", "issued" : { "date-parts" : [ [ "2014", "5", "15" ] ] }, "page" : "1889-98", "title" : "Ledipasvir and Sofosbuvir for Untreated HCV Genotype 1 Infection \u2014 NEJM", "type" : "webpage", "volume" : "370" }, "uris" : [ "http://www.mendeley.com/documents/?uuid=f3ff8384-c222-4745-9f74-6280e74b6b1f" ] } ], "mendeley" : { "formattedCitation" : "&lt;sup&gt;[65]&lt;/sup&gt;", "plainTextFormattedCitation" : "[65]", "previouslyFormattedCitation" : "&lt;sup&gt;[65]&lt;/sup&gt;" }, "properties" : { "noteIndex" : 0 }, "schema" : "https://github.com/citation-style-language/schema/raw/master/csl-citation.json" }</w:instrText>
      </w:r>
      <w:r w:rsidRPr="00CD1426">
        <w:rPr>
          <w:rFonts w:ascii="Book Antiqua" w:hAnsi="Book Antiqua" w:cs="Arial"/>
          <w:lang w:val="en-US"/>
        </w:rPr>
        <w:fldChar w:fldCharType="separate"/>
      </w:r>
      <w:r w:rsidR="001D4A08" w:rsidRPr="00CD1426">
        <w:rPr>
          <w:rFonts w:ascii="Book Antiqua" w:hAnsi="Book Antiqua" w:cs="Arial"/>
          <w:noProof/>
          <w:vertAlign w:val="superscript"/>
          <w:lang w:val="en-US"/>
        </w:rPr>
        <w:t>[65]</w:t>
      </w:r>
      <w:r w:rsidRPr="00CD1426">
        <w:rPr>
          <w:rFonts w:ascii="Book Antiqua" w:hAnsi="Book Antiqua" w:cs="Arial"/>
          <w:lang w:val="en-US"/>
        </w:rPr>
        <w:fldChar w:fldCharType="end"/>
      </w:r>
      <w:r w:rsidR="006074EB" w:rsidRPr="00CD1426">
        <w:rPr>
          <w:rFonts w:ascii="Book Antiqua" w:hAnsi="Book Antiqua" w:cs="Arial"/>
          <w:lang w:val="en-US" w:eastAsia="zh-CN"/>
        </w:rPr>
        <w:t>.</w:t>
      </w:r>
      <w:r w:rsidRPr="00CD1426">
        <w:rPr>
          <w:rFonts w:ascii="Book Antiqua" w:hAnsi="Book Antiqua" w:cs="Arial"/>
          <w:lang w:val="en-US"/>
        </w:rPr>
        <w:t xml:space="preserve"> In this trial, the SVR rates were similar among known subgroups traditionally associated with low chances of SVR such as cirrhotic patients in who</w:t>
      </w:r>
      <w:r w:rsidR="00B33120" w:rsidRPr="00CD1426">
        <w:rPr>
          <w:rFonts w:ascii="Book Antiqua" w:hAnsi="Book Antiqua" w:cs="Arial"/>
          <w:lang w:val="en-US"/>
        </w:rPr>
        <w:t>m SVR12 ranged from 94 to 100%</w:t>
      </w:r>
      <w:r w:rsidRPr="00CD1426">
        <w:rPr>
          <w:rFonts w:ascii="Book Antiqua" w:hAnsi="Book Antiqua" w:cs="Arial"/>
          <w:lang w:val="en-US"/>
        </w:rPr>
        <w:fldChar w:fldCharType="begin" w:fldLock="1"/>
      </w:r>
      <w:r w:rsidR="001D4A08" w:rsidRPr="00CD1426">
        <w:rPr>
          <w:rFonts w:ascii="Book Antiqua" w:hAnsi="Book Antiqua" w:cs="Arial"/>
          <w:lang w:val="en-US"/>
        </w:rPr>
        <w:instrText>ADDIN CSL_CITATION { "citationItems" : [ { "id" : "ITEM-1", "itemData" : { "DOI" : "10.1056/NEJMoa1402454", "ISSN" : "1533-4406", "PMID" : "24725239", "URL" : "http://www.nejm.org/doi/full/10.1056/NEJMoa1402454", "abstract" : "BACKGROUND: In phase 2 studies, treatment with the all-oral combination of the nucleotide polymerase inhibitor sofosbuvir and the NS5A inhibitor ledipasvir resulted in high rates of sustained virologic response among previously untreated patients with hepatitis C virus (HCV) genotype 1 infection.\n\nMETHODS: We conducted a phase 3, open-label study involving previously untreated patients with chronic HCV genotype 1 infection. Patients were randomly assigned in a 1:1:1:1 ratio to receive ledipasvir and sofosbuvir in a fixed-dose combination tablet once daily for 12 weeks, ledipasvir-sofosbuvir plus ribavirin for 12 weeks, ledipasvir-sofosbuvir for 24 weeks, or ledipasvir-sofosbuvir plus ribavirin for 24 weeks. The primary end point was a sustained virologic response at 12 weeks after the end of therapy.\n\nRESULTS: Of the 865 patients who underwent randomization and were treated, 16% had cirrhosis, 12% were black, and 67% had HCV genotype 1a infection. The rates of sustained virologic response were 99% (95% confidence interval [CI], 96 to 100) in the group that received 12 weeks of ledipasvir-sofosbuvir; 97% (95% CI, 94 to 99) in the group that received 12 weeks of ledipasvir-sofosbuvir plus ribavirin; 98% (95% CI, 95 to 99) in the group that received 24 weeks of ledipasvir-sofosbuvir; and 99% (95% CI, 97 to 100) in the group that received 24 weeks of ledipasvir-sofosbuvir plus ribavirin. No patient in either 12-week group discontinued ledipasvir-sofosbuvir owing to an adverse event. The most common adverse events were fatigue, headache, insomnia, and nausea.\n\nCONCLUSIONS: Once-daily ledipasvir-sofosbuvir with or without ribavirin for 12 or 24 weeks was highly effective in previously untreated patients with HCV genotype 1 infection. (Funded by Gilead Sciences; ION-1 ClinicalTrials.gov number NCT01701401.).", "accessed" : { "date-parts" : [ [ "2014", "7", "14" ] ] }, "author" : [ { "dropping-particle" : "", "family" : "Afdhal", "given" : "Nezam", "non-dropping-particle" : "", "parse-names" : false, "suffix" : "" }, { "dropping-particle" : "", "family" : "Zeuzem", "given" : "Stefan", "non-dropping-particle" : "", "parse-names" : false, "suffix" : "" }, { "dropping-particle" : "", "family" : "Kwo", "given" : "Paul", "non-dropping-particle" : "", "parse-names" : false, "suffix" : "" }, { "dropping-particle" : "", "family" : "Chojkier", "given" : "Mario", "non-dropping-particle" : "", "parse-names" : false, "suffix" : "" }, { "dropping-particle" : "", "family" : "Gitlin", "given" : "Norman", "non-dropping-particle" : "", "parse-names" : false, "suffix" : "" }, { "dropping-particle" : "", "family" : "Puoti", "given" : "Massimo", "non-dropping-particle" : "", "parse-names" : false, "suffix" : "" }, { "dropping-particle" : "", "family" : "Romero-Gomez", "given" : "Manuel", "non-dropping-particle" : "", "parse-names" : false, "suffix" : "" }, { "dropping-particle" : "", "family" : "Zarski", "given" : "Jean-Pierre", "non-dropping-particle" : "", "parse-names" : false, "suffix" : "" }, { "dropping-particle" : "", "family" : "Agarwal", "given" : "Kosh", "non-dropping-particle" : "", "parse-names" : false, "suffix" : "" }, { "dropping-particle" : "", "family" : "Buggisch", "given" : "Peter", "non-dropping-particle" : "", "parse-names" : false, "suffix" : "" }, { "dropping-particle" : "", "family" : "Foster", "given" : "Graham R", "non-dropping-particle" : "", "parse-names" : false, "suffix" : "" }, { "dropping-particle" : "", "family" : "Br\u00e4u", "given" : "Norbert", "non-dropping-particle" : "", "parse-names" : false, "suffix" : "" }, { "dropping-particle" : "", "family" : "Buti", "given" : "Maria", "non-dropping-particle" : "", "parse-names" : false, "suffix" : "" }, { "dropping-particle" : "", "family" : "Jacobson", "given" : "Ira M", "non-dropping-particle" : "", "parse-names" : false, "suffix" : "" }, { "dropping-particle" : "", "family" : "Subramanian", "given" : "G Mani", "non-dropping-particle" : "", "parse-names" : false, "suffix" : "" }, { "dropping-particle" : "", "family" : "Ding", "given" : "Xiao", "non-dropping-particle" : "", "parse-names" : false, "suffix" : "" }, { "dropping-particle" : "", "family" : "Mo", "given" : "Hongmei", "non-dropping-particle" : "", "parse-names" : false, "suffix" : "" }, { "dropping-particle" : "", "family" : "Yang", "given" : "Jenny C", "non-dropping-particle" : "", "parse-names" : false, "suffix" : "" }, { "dropping-particle" : "", "family" : "Pang", "given" : "Phillip S", "non-dropping-particle" : "", "parse-names" : false, "suffix" : "" }, { "dropping-particle" : "", "family" : "Symonds", "given" : "William T", "non-dropping-particle" : "", "parse-names" : false, "suffix" : "" }, { "dropping-particle" : "", "family" : "McHutchison", "given" : "John G", "non-dropping-particle" : "", "parse-names" : false, "suffix" : "" }, { "dropping-particle" : "", "family" : "Muir", "given" : "Andrew J", "non-dropping-particle" : "", "parse-names" : false, "suffix" : "" }, { "dropping-particle" : "", "family" : "Mangia", "given" : "Alessandra", "non-dropping-particle" : "", "parse-names" : false, "suffix" : "" }, { "dropping-particle" : "", "family" : "Marcellin", "given" : "Patrick", "non-dropping-particle" : "", "parse-names" : false, "suffix" : "" } ], "container-title" : "The New England journal of medicine", "id" : "ITEM-1", "issue" : "20", "issued" : { "date-parts" : [ [ "2014", "5", "15" ] ] }, "page" : "1889-98", "title" : "Ledipasvir and Sofosbuvir for Untreated HCV Genotype 1 Infection \u2014 NEJM", "type" : "webpage", "volume" : "370" }, "uris" : [ "http://www.mendeley.com/documents/?uuid=f3ff8384-c222-4745-9f74-6280e74b6b1f" ] } ], "mendeley" : { "formattedCitation" : "&lt;sup&gt;[65]&lt;/sup&gt;", "plainTextFormattedCitation" : "[65]", "previouslyFormattedCitation" : "&lt;sup&gt;[65]&lt;/sup&gt;" }, "properties" : { "noteIndex" : 0 }, "schema" : "https://github.com/citation-style-language/schema/raw/master/csl-citation.json" }</w:instrText>
      </w:r>
      <w:r w:rsidRPr="00CD1426">
        <w:rPr>
          <w:rFonts w:ascii="Book Antiqua" w:hAnsi="Book Antiqua" w:cs="Arial"/>
          <w:lang w:val="en-US"/>
        </w:rPr>
        <w:fldChar w:fldCharType="separate"/>
      </w:r>
      <w:r w:rsidR="001D4A08" w:rsidRPr="00CD1426">
        <w:rPr>
          <w:rFonts w:ascii="Book Antiqua" w:hAnsi="Book Antiqua" w:cs="Arial"/>
          <w:noProof/>
          <w:vertAlign w:val="superscript"/>
          <w:lang w:val="en-US"/>
        </w:rPr>
        <w:t>[65]</w:t>
      </w:r>
      <w:r w:rsidRPr="00CD1426">
        <w:rPr>
          <w:rFonts w:ascii="Book Antiqua" w:hAnsi="Book Antiqua" w:cs="Arial"/>
          <w:lang w:val="en-US"/>
        </w:rPr>
        <w:fldChar w:fldCharType="end"/>
      </w:r>
      <w:r w:rsidR="00B33120" w:rsidRPr="00CD1426">
        <w:rPr>
          <w:rFonts w:ascii="Book Antiqua" w:hAnsi="Book Antiqua" w:cs="Arial"/>
          <w:lang w:val="en-US" w:eastAsia="zh-CN"/>
        </w:rPr>
        <w:t>.</w:t>
      </w:r>
      <w:r w:rsidRPr="00CD1426">
        <w:rPr>
          <w:rFonts w:ascii="Book Antiqua" w:hAnsi="Book Antiqua" w:cs="Arial"/>
          <w:lang w:val="en-US"/>
        </w:rPr>
        <w:t xml:space="preserve"> Patients with HCV genotype 1a had 97%-99% rates of SVR; among those with a non-CC IL28B allele, the SVR12 rate also ranged between 97%-99%, and among black patients, t</w:t>
      </w:r>
      <w:r w:rsidR="006074EB" w:rsidRPr="00CD1426">
        <w:rPr>
          <w:rFonts w:ascii="Book Antiqua" w:hAnsi="Book Antiqua" w:cs="Arial"/>
          <w:lang w:val="en-US"/>
        </w:rPr>
        <w:t>he SVR12 ranged from 91 to 100%</w:t>
      </w:r>
      <w:r w:rsidRPr="00CD1426">
        <w:rPr>
          <w:rFonts w:ascii="Book Antiqua" w:hAnsi="Book Antiqua" w:cs="Arial"/>
          <w:lang w:val="en-US"/>
        </w:rPr>
        <w:fldChar w:fldCharType="begin" w:fldLock="1"/>
      </w:r>
      <w:r w:rsidR="001D4A08" w:rsidRPr="00CD1426">
        <w:rPr>
          <w:rFonts w:ascii="Book Antiqua" w:hAnsi="Book Antiqua" w:cs="Arial"/>
          <w:lang w:val="en-US"/>
        </w:rPr>
        <w:instrText>ADDIN CSL_CITATION { "citationItems" : [ { "id" : "ITEM-1", "itemData" : { "DOI" : "10.1056/NEJMoa1402454", "ISSN" : "1533-4406", "PMID" : "24725239", "URL" : "http://www.nejm.org/doi/full/10.1056/NEJMoa1402454", "abstract" : "BACKGROUND: In phase 2 studies, treatment with the all-oral combination of the nucleotide polymerase inhibitor sofosbuvir and the NS5A inhibitor ledipasvir resulted in high rates of sustained virologic response among previously untreated patients with hepatitis C virus (HCV) genotype 1 infection.\n\nMETHODS: We conducted a phase 3, open-label study involving previously untreated patients with chronic HCV genotype 1 infection. Patients were randomly assigned in a 1:1:1:1 ratio to receive ledipasvir and sofosbuvir in a fixed-dose combination tablet once daily for 12 weeks, ledipasvir-sofosbuvir plus ribavirin for 12 weeks, ledipasvir-sofosbuvir for 24 weeks, or ledipasvir-sofosbuvir plus ribavirin for 24 weeks. The primary end point was a sustained virologic response at 12 weeks after the end of therapy.\n\nRESULTS: Of the 865 patients who underwent randomization and were treated, 16% had cirrhosis, 12% were black, and 67% had HCV genotype 1a infection. The rates of sustained virologic response were 99% (95% confidence interval [CI], 96 to 100) in the group that received 12 weeks of ledipasvir-sofosbuvir; 97% (95% CI, 94 to 99) in the group that received 12 weeks of ledipasvir-sofosbuvir plus ribavirin; 98% (95% CI, 95 to 99) in the group that received 24 weeks of ledipasvir-sofosbuvir; and 99% (95% CI, 97 to 100) in the group that received 24 weeks of ledipasvir-sofosbuvir plus ribavirin. No patient in either 12-week group discontinued ledipasvir-sofosbuvir owing to an adverse event. The most common adverse events were fatigue, headache, insomnia, and nausea.\n\nCONCLUSIONS: Once-daily ledipasvir-sofosbuvir with or without ribavirin for 12 or 24 weeks was highly effective in previously untreated patients with HCV genotype 1 infection. (Funded by Gilead Sciences; ION-1 ClinicalTrials.gov number NCT01701401.).", "accessed" : { "date-parts" : [ [ "2014", "7", "14" ] ] }, "author" : [ { "dropping-particle" : "", "family" : "Afdhal", "given" : "Nezam", "non-dropping-particle" : "", "parse-names" : false, "suffix" : "" }, { "dropping-particle" : "", "family" : "Zeuzem", "given" : "Stefan", "non-dropping-particle" : "", "parse-names" : false, "suffix" : "" }, { "dropping-particle" : "", "family" : "Kwo", "given" : "Paul", "non-dropping-particle" : "", "parse-names" : false, "suffix" : "" }, { "dropping-particle" : "", "family" : "Chojkier", "given" : "Mario", "non-dropping-particle" : "", "parse-names" : false, "suffix" : "" }, { "dropping-particle" : "", "family" : "Gitlin", "given" : "Norman", "non-dropping-particle" : "", "parse-names" : false, "suffix" : "" }, { "dropping-particle" : "", "family" : "Puoti", "given" : "Massimo", "non-dropping-particle" : "", "parse-names" : false, "suffix" : "" }, { "dropping-particle" : "", "family" : "Romero-Gomez", "given" : "Manuel", "non-dropping-particle" : "", "parse-names" : false, "suffix" : "" }, { "dropping-particle" : "", "family" : "Zarski", "given" : "Jean-Pierre", "non-dropping-particle" : "", "parse-names" : false, "suffix" : "" }, { "dropping-particle" : "", "family" : "Agarwal", "given" : "Kosh", "non-dropping-particle" : "", "parse-names" : false, "suffix" : "" }, { "dropping-particle" : "", "family" : "Buggisch", "given" : "Peter", "non-dropping-particle" : "", "parse-names" : false, "suffix" : "" }, { "dropping-particle" : "", "family" : "Foster", "given" : "Graham R", "non-dropping-particle" : "", "parse-names" : false, "suffix" : "" }, { "dropping-particle" : "", "family" : "Br\u00e4u", "given" : "Norbert", "non-dropping-particle" : "", "parse-names" : false, "suffix" : "" }, { "dropping-particle" : "", "family" : "Buti", "given" : "Maria", "non-dropping-particle" : "", "parse-names" : false, "suffix" : "" }, { "dropping-particle" : "", "family" : "Jacobson", "given" : "Ira M", "non-dropping-particle" : "", "parse-names" : false, "suffix" : "" }, { "dropping-particle" : "", "family" : "Subramanian", "given" : "G Mani", "non-dropping-particle" : "", "parse-names" : false, "suffix" : "" }, { "dropping-particle" : "", "family" : "Ding", "given" : "Xiao", "non-dropping-particle" : "", "parse-names" : false, "suffix" : "" }, { "dropping-particle" : "", "family" : "Mo", "given" : "Hongmei", "non-dropping-particle" : "", "parse-names" : false, "suffix" : "" }, { "dropping-particle" : "", "family" : "Yang", "given" : "Jenny C", "non-dropping-particle" : "", "parse-names" : false, "suffix" : "" }, { "dropping-particle" : "", "family" : "Pang", "given" : "Phillip S", "non-dropping-particle" : "", "parse-names" : false, "suffix" : "" }, { "dropping-particle" : "", "family" : "Symonds", "given" : "William T", "non-dropping-particle" : "", "parse-names" : false, "suffix" : "" }, { "dropping-particle" : "", "family" : "McHutchison", "given" : "John G", "non-dropping-particle" : "", "parse-names" : false, "suffix" : "" }, { "dropping-particle" : "", "family" : "Muir", "given" : "Andrew J", "non-dropping-particle" : "", "parse-names" : false, "suffix" : "" }, { "dropping-particle" : "", "family" : "Mangia", "given" : "Alessandra", "non-dropping-particle" : "", "parse-names" : false, "suffix" : "" }, { "dropping-particle" : "", "family" : "Marcellin", "given" : "Patrick", "non-dropping-particle" : "", "parse-names" : false, "suffix" : "" } ], "container-title" : "The New England journal of medicine", "id" : "ITEM-1", "issue" : "20", "issued" : { "date-parts" : [ [ "2014", "5", "15" ] ] }, "page" : "1889-98", "title" : "Ledipasvir and Sofosbuvir for Untreated HCV Genotype 1 Infection \u2014 NEJM", "type" : "webpage", "volume" : "370" }, "uris" : [ "http://www.mendeley.com/documents/?uuid=f3ff8384-c222-4745-9f74-6280e74b6b1f" ] } ], "mendeley" : { "formattedCitation" : "&lt;sup&gt;[65]&lt;/sup&gt;", "plainTextFormattedCitation" : "[65]", "previouslyFormattedCitation" : "&lt;sup&gt;[65]&lt;/sup&gt;" }, "properties" : { "noteIndex" : 0 }, "schema" : "https://github.com/citation-style-language/schema/raw/master/csl-citation.json" }</w:instrText>
      </w:r>
      <w:r w:rsidRPr="00CD1426">
        <w:rPr>
          <w:rFonts w:ascii="Book Antiqua" w:hAnsi="Book Antiqua" w:cs="Arial"/>
          <w:lang w:val="en-US"/>
        </w:rPr>
        <w:fldChar w:fldCharType="separate"/>
      </w:r>
      <w:r w:rsidR="001D4A08" w:rsidRPr="00CD1426">
        <w:rPr>
          <w:rFonts w:ascii="Book Antiqua" w:hAnsi="Book Antiqua" w:cs="Arial"/>
          <w:noProof/>
          <w:vertAlign w:val="superscript"/>
          <w:lang w:val="en-US"/>
        </w:rPr>
        <w:t>[65]</w:t>
      </w:r>
      <w:r w:rsidRPr="00CD1426">
        <w:rPr>
          <w:rFonts w:ascii="Book Antiqua" w:hAnsi="Book Antiqua" w:cs="Arial"/>
          <w:lang w:val="en-US"/>
        </w:rPr>
        <w:fldChar w:fldCharType="end"/>
      </w:r>
      <w:r w:rsidR="006074EB" w:rsidRPr="00CD1426">
        <w:rPr>
          <w:rFonts w:ascii="Book Antiqua" w:hAnsi="Book Antiqua" w:cs="Arial"/>
          <w:lang w:val="en-US" w:eastAsia="zh-CN"/>
        </w:rPr>
        <w:t>.</w:t>
      </w:r>
    </w:p>
    <w:p w14:paraId="72EA04E6" w14:textId="7542B47D" w:rsidR="002B302F" w:rsidRPr="00CD1426" w:rsidRDefault="002B302F" w:rsidP="00CD1426">
      <w:pPr>
        <w:widowControl w:val="0"/>
        <w:autoSpaceDE w:val="0"/>
        <w:autoSpaceDN w:val="0"/>
        <w:adjustRightInd w:val="0"/>
        <w:spacing w:line="360" w:lineRule="auto"/>
        <w:ind w:firstLineChars="200" w:firstLine="480"/>
        <w:jc w:val="both"/>
        <w:rPr>
          <w:rFonts w:ascii="Book Antiqua" w:hAnsi="Book Antiqua" w:cs="Arial"/>
          <w:shd w:val="clear" w:color="auto" w:fill="FFFFFF"/>
          <w:lang w:val="en-US"/>
        </w:rPr>
      </w:pPr>
      <w:r w:rsidRPr="00CD1426">
        <w:rPr>
          <w:rFonts w:ascii="Book Antiqua" w:hAnsi="Book Antiqua" w:cs="Arial"/>
          <w:lang w:val="en-US"/>
        </w:rPr>
        <w:t xml:space="preserve">Good SVR rates were also detected when previous non-responders to </w:t>
      </w:r>
      <w:r w:rsidRPr="00CD1426">
        <w:rPr>
          <w:rFonts w:ascii="Book Antiqua" w:hAnsi="Book Antiqua" w:cs="Arial"/>
          <w:lang w:val="en-US"/>
        </w:rPr>
        <w:lastRenderedPageBreak/>
        <w:t xml:space="preserve">interferon-based therapies (including protease inhibitors previous non-responders) were treated with </w:t>
      </w:r>
      <w:proofErr w:type="spellStart"/>
      <w:r w:rsidRPr="00CD1426">
        <w:rPr>
          <w:rFonts w:ascii="Book Antiqua" w:hAnsi="Book Antiqua" w:cs="Arial"/>
          <w:lang w:val="en-US"/>
        </w:rPr>
        <w:t>sofosbuvir</w:t>
      </w:r>
      <w:proofErr w:type="spellEnd"/>
      <w:r w:rsidRPr="00CD1426">
        <w:rPr>
          <w:rFonts w:ascii="Book Antiqua" w:hAnsi="Book Antiqua" w:cs="Arial"/>
          <w:lang w:val="en-US"/>
        </w:rPr>
        <w:t xml:space="preserve"> plus </w:t>
      </w:r>
      <w:proofErr w:type="spellStart"/>
      <w:r w:rsidRPr="00CD1426">
        <w:rPr>
          <w:rFonts w:ascii="Book Antiqua" w:hAnsi="Book Antiqua" w:cs="Arial"/>
          <w:lang w:val="en-US"/>
        </w:rPr>
        <w:t>ledipasvir</w:t>
      </w:r>
      <w:proofErr w:type="spellEnd"/>
      <w:r w:rsidRPr="00CD1426">
        <w:rPr>
          <w:rFonts w:ascii="Book Antiqua" w:hAnsi="Book Antiqua" w:cs="Arial"/>
          <w:lang w:val="en-US"/>
        </w:rPr>
        <w:t xml:space="preserve"> regimens. </w:t>
      </w:r>
      <w:r w:rsidRPr="00CD1426">
        <w:rPr>
          <w:rFonts w:ascii="Book Antiqua" w:hAnsi="Book Antiqua" w:cs="Arial"/>
          <w:shd w:val="clear" w:color="auto" w:fill="FFFFFF"/>
          <w:lang w:val="en-US"/>
        </w:rPr>
        <w:t xml:space="preserve">A trial with 440 patients previously non responders to interferon associated treatment, including 20% cirrhosis patients and 79% HCV genotype 1a infected individuals, the SVR12 rates in treatment groups were as follows: 94% response in patients receiving 12-week-ledipasvir </w:t>
      </w:r>
      <w:proofErr w:type="spellStart"/>
      <w:r w:rsidRPr="00CD1426">
        <w:rPr>
          <w:rFonts w:ascii="Book Antiqua" w:hAnsi="Book Antiqua" w:cs="Arial"/>
          <w:shd w:val="clear" w:color="auto" w:fill="FFFFFF"/>
          <w:lang w:val="en-US"/>
        </w:rPr>
        <w:t>sofosbuvir</w:t>
      </w:r>
      <w:proofErr w:type="spellEnd"/>
      <w:r w:rsidRPr="00CD1426">
        <w:rPr>
          <w:rFonts w:ascii="Book Antiqua" w:hAnsi="Book Antiqua" w:cs="Arial"/>
          <w:shd w:val="clear" w:color="auto" w:fill="FFFFFF"/>
          <w:lang w:val="en-US"/>
        </w:rPr>
        <w:t xml:space="preserve">; 96% among those who received 12 </w:t>
      </w:r>
      <w:proofErr w:type="spellStart"/>
      <w:r w:rsidRPr="00CD1426">
        <w:rPr>
          <w:rFonts w:ascii="Book Antiqua" w:hAnsi="Book Antiqua" w:cs="Arial"/>
          <w:shd w:val="clear" w:color="auto" w:fill="FFFFFF"/>
          <w:lang w:val="en-US"/>
        </w:rPr>
        <w:t>w</w:t>
      </w:r>
      <w:r w:rsidR="00B33120" w:rsidRPr="00CD1426">
        <w:rPr>
          <w:rFonts w:ascii="Book Antiqua" w:hAnsi="Book Antiqua" w:cs="Arial"/>
          <w:shd w:val="clear" w:color="auto" w:fill="FFFFFF"/>
          <w:lang w:val="en-US"/>
        </w:rPr>
        <w:t>k</w:t>
      </w:r>
      <w:proofErr w:type="spellEnd"/>
      <w:r w:rsidRPr="00CD1426">
        <w:rPr>
          <w:rFonts w:ascii="Book Antiqua" w:hAnsi="Book Antiqua" w:cs="Arial"/>
          <w:shd w:val="clear" w:color="auto" w:fill="FFFFFF"/>
          <w:lang w:val="en-US"/>
        </w:rPr>
        <w:t xml:space="preserve"> of </w:t>
      </w:r>
      <w:proofErr w:type="spellStart"/>
      <w:r w:rsidRPr="00CD1426">
        <w:rPr>
          <w:rFonts w:ascii="Book Antiqua" w:hAnsi="Book Antiqua" w:cs="Arial"/>
          <w:shd w:val="clear" w:color="auto" w:fill="FFFFFF"/>
          <w:lang w:val="en-US"/>
        </w:rPr>
        <w:t>ledipasvir-sofosbuvir</w:t>
      </w:r>
      <w:proofErr w:type="spellEnd"/>
      <w:r w:rsidRPr="00CD1426">
        <w:rPr>
          <w:rFonts w:ascii="Book Antiqua" w:hAnsi="Book Antiqua" w:cs="Arial"/>
          <w:shd w:val="clear" w:color="auto" w:fill="FFFFFF"/>
          <w:lang w:val="en-US"/>
        </w:rPr>
        <w:t xml:space="preserve"> and ribavirin; 99% among patients who received 24 </w:t>
      </w:r>
      <w:proofErr w:type="spellStart"/>
      <w:r w:rsidRPr="00CD1426">
        <w:rPr>
          <w:rFonts w:ascii="Book Antiqua" w:hAnsi="Book Antiqua" w:cs="Arial"/>
          <w:shd w:val="clear" w:color="auto" w:fill="FFFFFF"/>
          <w:lang w:val="en-US"/>
        </w:rPr>
        <w:t>w</w:t>
      </w:r>
      <w:r w:rsidR="00B33120" w:rsidRPr="00CD1426">
        <w:rPr>
          <w:rFonts w:ascii="Book Antiqua" w:hAnsi="Book Antiqua" w:cs="Arial"/>
          <w:shd w:val="clear" w:color="auto" w:fill="FFFFFF"/>
          <w:lang w:val="en-US"/>
        </w:rPr>
        <w:t>k</w:t>
      </w:r>
      <w:proofErr w:type="spellEnd"/>
      <w:r w:rsidRPr="00CD1426">
        <w:rPr>
          <w:rFonts w:ascii="Book Antiqua" w:hAnsi="Book Antiqua" w:cs="Arial"/>
          <w:shd w:val="clear" w:color="auto" w:fill="FFFFFF"/>
          <w:lang w:val="en-US"/>
        </w:rPr>
        <w:t xml:space="preserve"> of </w:t>
      </w:r>
      <w:proofErr w:type="spellStart"/>
      <w:r w:rsidRPr="00CD1426">
        <w:rPr>
          <w:rFonts w:ascii="Book Antiqua" w:hAnsi="Book Antiqua" w:cs="Arial"/>
          <w:shd w:val="clear" w:color="auto" w:fill="FFFFFF"/>
          <w:lang w:val="en-US"/>
        </w:rPr>
        <w:t>ledipasvir-sofosbuvir</w:t>
      </w:r>
      <w:proofErr w:type="spellEnd"/>
      <w:r w:rsidRPr="00CD1426">
        <w:rPr>
          <w:rFonts w:ascii="Book Antiqua" w:hAnsi="Book Antiqua" w:cs="Arial"/>
          <w:shd w:val="clear" w:color="auto" w:fill="FFFFFF"/>
          <w:lang w:val="en-US"/>
        </w:rPr>
        <w:t xml:space="preserve">; and 99% </w:t>
      </w:r>
      <w:r w:rsidR="00B33120" w:rsidRPr="00CD1426">
        <w:rPr>
          <w:rFonts w:ascii="Book Antiqua" w:hAnsi="Book Antiqua" w:cs="Arial"/>
          <w:shd w:val="clear" w:color="auto" w:fill="FFFFFF"/>
          <w:lang w:val="en-US"/>
        </w:rPr>
        <w:t xml:space="preserve">in the group that received 24 </w:t>
      </w:r>
      <w:proofErr w:type="spellStart"/>
      <w:r w:rsidR="00B33120" w:rsidRPr="00CD1426">
        <w:rPr>
          <w:rFonts w:ascii="Book Antiqua" w:hAnsi="Book Antiqua" w:cs="Arial"/>
          <w:shd w:val="clear" w:color="auto" w:fill="FFFFFF"/>
          <w:lang w:val="en-US"/>
        </w:rPr>
        <w:t>wk</w:t>
      </w:r>
      <w:proofErr w:type="spellEnd"/>
      <w:r w:rsidRPr="00CD1426">
        <w:rPr>
          <w:rFonts w:ascii="Book Antiqua" w:hAnsi="Book Antiqua" w:cs="Arial"/>
          <w:shd w:val="clear" w:color="auto" w:fill="FFFFFF"/>
          <w:lang w:val="en-US"/>
        </w:rPr>
        <w:t xml:space="preserve"> of ribav</w:t>
      </w:r>
      <w:r w:rsidR="006074EB" w:rsidRPr="00CD1426">
        <w:rPr>
          <w:rFonts w:ascii="Book Antiqua" w:hAnsi="Book Antiqua" w:cs="Arial"/>
          <w:shd w:val="clear" w:color="auto" w:fill="FFFFFF"/>
          <w:lang w:val="en-US"/>
        </w:rPr>
        <w:t xml:space="preserve">irin and </w:t>
      </w:r>
      <w:proofErr w:type="spellStart"/>
      <w:r w:rsidR="006074EB" w:rsidRPr="00CD1426">
        <w:rPr>
          <w:rFonts w:ascii="Book Antiqua" w:hAnsi="Book Antiqua" w:cs="Arial"/>
          <w:shd w:val="clear" w:color="auto" w:fill="FFFFFF"/>
          <w:lang w:val="en-US"/>
        </w:rPr>
        <w:t>ledipasvir-sofosbuvir</w:t>
      </w:r>
      <w:proofErr w:type="spellEnd"/>
      <w:r w:rsidRPr="00CD1426">
        <w:rPr>
          <w:rFonts w:ascii="Book Antiqua" w:hAnsi="Book Antiqua" w:cs="Arial"/>
          <w:shd w:val="clear" w:color="auto" w:fill="FFFFFF"/>
          <w:lang w:val="en-US"/>
        </w:rPr>
        <w:fldChar w:fldCharType="begin" w:fldLock="1"/>
      </w:r>
      <w:r w:rsidR="001D4A08" w:rsidRPr="00CD1426">
        <w:rPr>
          <w:rFonts w:ascii="Book Antiqua" w:hAnsi="Book Antiqua" w:cs="Arial"/>
          <w:shd w:val="clear" w:color="auto" w:fill="FFFFFF"/>
          <w:lang w:val="en-US"/>
        </w:rPr>
        <w:instrText>ADDIN CSL_CITATION { "citationItems" : [ { "id" : "ITEM-1", "itemData" : { "DOI" : "10.1056/NEJMoa1316366", "ISSN" : "1533-4406", "PMID" : "24725238", "abstract" : "BACKGROUND: Effective treatment for hepatitis C virus (HCV) genotype 1 infection in patients who have not had a sustained virologic response to prior interferon-based therapy represents an unmet medical need.\n\nMETHODS: We conducted a phase 3, randomized, open-label study involving patients infected with HCV genotype 1 who had not had a sustained virologic response after treatment with peginterferon and ribavirin, with or without a protease inhibitor. Patients were randomly assigned to receive the NS5A inhibitor ledipasvir and the nucleotide polymerase inhibitor sofosbuvir in a once-daily, fixed-dose combination tablet for 12 weeks, ledipasvir-sofosbuvir plus ribavirin for 12 weeks, ledipasvir-sofosbuvir for 24 weeks, or ledipasvir-sofosbuvir plus ribavirin for 24 weeks. The primary end point was a sustained virologic response at 12 weeks after the end of therapy.\n\nRESULTS: Among the 440 patients who underwent randomization and were treated, 20% had cirrhosis and 79% had HCV genotype 1a infection. The rates of sustained virologic response were high in all treatment groups: 94% (95% confidence interval [CI], 87 to 97) in the group that received 12 weeks of ledipasvir-sofosbuvir; 96% (95% CI, 91 to 99) in the group that received 12 weeks of ledipasvir-sofosbuvir and ribavirin; 99% (95% CI, 95 to 100) in the group that received 24 weeks of ledipasvir-sofosbuvir; and 99% (95% CI, 95 to 100) in the group that received 24 weeks of ledipasvir-sofosbuvir and ribavirin. No patient discontinued treatment owing to an adverse event. The most common adverse events were fatigue, headache, and nausea.\n\nCONCLUSIONS: Treatment with a once-daily, single-tablet regimen of ledipasvir and sofosbuvir resulted in high rates of sustained virologic response among patients with HCV genotype 1 infection who had not had a sustained virologic response to prior interferon-based treatment. (Funded by Gilead Sciences; ION-2 ClinicalTrials.gov number, NCT01768286.).", "author" : [ { "dropping-particle" : "", "family" : "Afdhal", "given" : "Nezam", "non-dropping-particle" : "", "parse-names" : false, "suffix" : "" }, { "dropping-particle" : "", "family" : "Reddy", "given" : "K Rajender", "non-dropping-particle" : "", "parse-names" : false, "suffix" : "" }, { "dropping-particle" : "", "family" : "Nelson", "given" : "David R", "non-dropping-particle" : "", "parse-names" : false, "suffix" : "" }, { "dropping-particle" : "", "family" : "Lawitz", "given" : "Eric", "non-dropping-particle" : "", "parse-names" : false, "suffix" : "" }, { "dropping-particle" : "", "family" : "Gordon", "given" : "Stuart C", "non-dropping-particle" : "", "parse-names" : false, "suffix" : "" }, { "dropping-particle" : "", "family" : "Schiff", "given" : "Eugene", "non-dropping-particle" : "", "parse-names" : false, "suffix" : "" }, { "dropping-particle" : "", "family" : "Nahass", "given" : "Ronald", "non-dropping-particle" : "", "parse-names" : false, "suffix" : "" }, { "dropping-particle" : "", "family" : "Ghalib", "given" : "Reem", "non-dropping-particle" : "", "parse-names" : false, "suffix" : "" }, { "dropping-particle" : "", "family" : "Gitlin", "given" : "Norman", "non-dropping-particle" : "", "parse-names" : false, "suffix" : "" }, { "dropping-particle" : "", "family" : "Herring", "given" : "Robert", "non-dropping-particle" : "", "parse-names" : false, "suffix" : "" }, { "dropping-particle" : "", "family" : "Lalezari", "given" : "Jacob", "non-dropping-particle" : "", "parse-names" : false, "suffix" : "" }, { "dropping-particle" : "", "family" : "Younes", "given" : "Ziad H", "non-dropping-particle" : "", "parse-names" : false, "suffix" : "" }, { "dropping-particle" : "", "family" : "Pockros", "given" : "Paul J", "non-dropping-particle" : "", "parse-names" : false, "suffix" : "" }, { "dropping-particle" : "", "family" : "Bisceglie", "given" : "Adrian M", "non-dropping-particle" : "Di", "parse-names" : false, "suffix" : "" }, { "dropping-particle" : "", "family" : "Arora", "given" : "Sanjeev", "non-dropping-particle" : "", "parse-names" : false, "suffix" : "" }, { "dropping-particle" : "", "family" : "Subramanian", "given" : "G Mani", "non-dropping-particle" : "", "parse-names" : false, "suffix" : "" }, { "dropping-particle" : "", "family" : "Zhu", "given" : "Yanni", "non-dropping-particle" : "", "parse-names" : false, "suffix" : "" }, { "dropping-particle" : "", "family" : "Dvory-Sobol", "given" : "Hadas", "non-dropping-particle" : "", "parse-names" : false, "suffix" : "" }, { "dropping-particle" : "", "family" : "Yang", "given" : "Jenny C", "non-dropping-particle" : "", "parse-names" : false, "suffix" : "" }, { "dropping-particle" : "", "family" : "Pang", "given" : "Phillip S", "non-dropping-particle" : "", "parse-names" : false, "suffix" : "" }, { "dropping-particle" : "", "family" : "Symonds", "given" : "William T", "non-dropping-particle" : "", "parse-names" : false, "suffix" : "" }, { "dropping-particle" : "", "family" : "McHutchison", "given" : "John G", "non-dropping-particle" : "", "parse-names" : false, "suffix" : "" }, { "dropping-particle" : "", "family" : "Muir", "given" : "Andrew J", "non-dropping-particle" : "", "parse-names" : false, "suffix" : "" }, { "dropping-particle" : "", "family" : "Sulkowski", "given" : "Mark", "non-dropping-particle" : "", "parse-names" : false, "suffix" : "" }, { "dropping-particle" : "", "family" : "Kwo", "given" : "Paul", "non-dropping-particle" : "", "parse-names" : false, "suffix" : "" } ], "container-title" : "The New England journal of medicine", "id" : "ITEM-1", "issue" : "16", "issued" : { "date-parts" : [ [ "2014", "4", "17" ] ] }, "page" : "1483-93", "title" : "Ledipasvir and Sofosbuvir for Previously Treated HCV Genotype 1 Infection \u2014 NEJM", "type" : "article-journal", "volume" : "370" }, "uris" : [ "http://www.mendeley.com/documents/?uuid=eb674b6f-c495-4dbd-b803-c6bf0d8e650e" ] } ], "mendeley" : { "formattedCitation" : "&lt;sup&gt;[67]&lt;/sup&gt;", "plainTextFormattedCitation" : "[67]", "previouslyFormattedCitation" : "&lt;sup&gt;[67]&lt;/sup&gt;" }, "properties" : { "noteIndex" : 0 }, "schema" : "https://github.com/citation-style-language/schema/raw/master/csl-citation.json" }</w:instrText>
      </w:r>
      <w:r w:rsidRPr="00CD1426">
        <w:rPr>
          <w:rFonts w:ascii="Book Antiqua" w:hAnsi="Book Antiqua" w:cs="Arial"/>
          <w:shd w:val="clear" w:color="auto" w:fill="FFFFFF"/>
          <w:lang w:val="en-US"/>
        </w:rPr>
        <w:fldChar w:fldCharType="separate"/>
      </w:r>
      <w:r w:rsidR="001D4A08" w:rsidRPr="00CD1426">
        <w:rPr>
          <w:rFonts w:ascii="Book Antiqua" w:hAnsi="Book Antiqua" w:cs="Arial"/>
          <w:noProof/>
          <w:shd w:val="clear" w:color="auto" w:fill="FFFFFF"/>
          <w:vertAlign w:val="superscript"/>
          <w:lang w:val="en-US"/>
        </w:rPr>
        <w:t>[67]</w:t>
      </w:r>
      <w:r w:rsidRPr="00CD1426">
        <w:rPr>
          <w:rFonts w:ascii="Book Antiqua" w:hAnsi="Book Antiqua" w:cs="Arial"/>
          <w:shd w:val="clear" w:color="auto" w:fill="FFFFFF"/>
          <w:lang w:val="en-US"/>
        </w:rPr>
        <w:fldChar w:fldCharType="end"/>
      </w:r>
      <w:r w:rsidR="006074EB" w:rsidRPr="00CD1426">
        <w:rPr>
          <w:rFonts w:ascii="Book Antiqua" w:hAnsi="Book Antiqua" w:cs="Arial"/>
          <w:shd w:val="clear" w:color="auto" w:fill="FFFFFF"/>
          <w:lang w:val="en-US" w:eastAsia="zh-CN"/>
        </w:rPr>
        <w:t>.</w:t>
      </w:r>
      <w:r w:rsidRPr="00CD1426">
        <w:rPr>
          <w:rFonts w:ascii="Book Antiqua" w:hAnsi="Book Antiqua" w:cs="Arial"/>
          <w:shd w:val="clear" w:color="auto" w:fill="FFFFFF"/>
          <w:lang w:val="en-US"/>
        </w:rPr>
        <w:t xml:space="preserve"> Treatment was </w:t>
      </w:r>
      <w:r w:rsidR="00FB5028" w:rsidRPr="00CD1426">
        <w:rPr>
          <w:rFonts w:ascii="Book Antiqua" w:hAnsi="Book Antiqua" w:cs="Arial"/>
          <w:shd w:val="clear" w:color="auto" w:fill="FFFFFF"/>
          <w:lang w:val="en-US"/>
        </w:rPr>
        <w:t>well tolerated</w:t>
      </w:r>
      <w:r w:rsidRPr="00CD1426">
        <w:rPr>
          <w:rFonts w:ascii="Book Antiqua" w:hAnsi="Book Antiqua" w:cs="Arial"/>
          <w:shd w:val="clear" w:color="auto" w:fill="FFFFFF"/>
          <w:lang w:val="en-US"/>
        </w:rPr>
        <w:t xml:space="preserve"> with rare cases of breakthrough or relapse.</w:t>
      </w:r>
    </w:p>
    <w:p w14:paraId="16CAEC6F" w14:textId="77777777" w:rsidR="002B302F" w:rsidRPr="00CD1426" w:rsidRDefault="002B302F" w:rsidP="00CD1426">
      <w:pPr>
        <w:tabs>
          <w:tab w:val="right" w:pos="540"/>
          <w:tab w:val="left" w:pos="720"/>
        </w:tabs>
        <w:spacing w:line="360" w:lineRule="auto"/>
        <w:jc w:val="both"/>
        <w:rPr>
          <w:rFonts w:ascii="Book Antiqua" w:hAnsi="Book Antiqua" w:cs="Arial"/>
          <w:lang w:val="en-US"/>
        </w:rPr>
      </w:pPr>
    </w:p>
    <w:p w14:paraId="01DD21FD" w14:textId="3D345F5C" w:rsidR="002B302F" w:rsidRPr="00CD1426" w:rsidRDefault="002B302F" w:rsidP="00CD1426">
      <w:pPr>
        <w:widowControl w:val="0"/>
        <w:autoSpaceDE w:val="0"/>
        <w:autoSpaceDN w:val="0"/>
        <w:adjustRightInd w:val="0"/>
        <w:spacing w:line="360" w:lineRule="auto"/>
        <w:jc w:val="both"/>
        <w:rPr>
          <w:rFonts w:ascii="Book Antiqua" w:hAnsi="Book Antiqua" w:cs="Arial"/>
          <w:b/>
          <w:i/>
          <w:lang w:val="en-US"/>
        </w:rPr>
      </w:pPr>
      <w:r w:rsidRPr="00CD1426">
        <w:rPr>
          <w:rFonts w:ascii="Book Antiqua" w:hAnsi="Book Antiqua" w:cs="Arial"/>
          <w:b/>
          <w:i/>
          <w:lang w:val="en-US"/>
        </w:rPr>
        <w:t>ABT-450/r</w:t>
      </w:r>
      <w:r w:rsidR="006074EB" w:rsidRPr="00CD1426">
        <w:rPr>
          <w:rFonts w:ascii="Book Antiqua" w:hAnsi="Book Antiqua" w:cs="Arial"/>
          <w:b/>
          <w:i/>
          <w:lang w:val="en-US" w:eastAsia="zh-CN"/>
        </w:rPr>
        <w:t>-</w:t>
      </w:r>
      <w:proofErr w:type="spellStart"/>
      <w:r w:rsidR="006074EB" w:rsidRPr="00CD1426">
        <w:rPr>
          <w:rFonts w:ascii="Book Antiqua" w:hAnsi="Book Antiqua" w:cs="Arial"/>
          <w:b/>
          <w:i/>
          <w:lang w:val="en-US"/>
        </w:rPr>
        <w:t>ombitasvir</w:t>
      </w:r>
      <w:proofErr w:type="spellEnd"/>
      <w:r w:rsidR="006074EB" w:rsidRPr="00CD1426">
        <w:rPr>
          <w:rFonts w:ascii="Book Antiqua" w:hAnsi="Book Antiqua" w:cs="Arial"/>
          <w:b/>
          <w:i/>
          <w:lang w:val="en-US"/>
        </w:rPr>
        <w:t xml:space="preserve"> and </w:t>
      </w:r>
      <w:proofErr w:type="spellStart"/>
      <w:r w:rsidR="006074EB" w:rsidRPr="00CD1426">
        <w:rPr>
          <w:rFonts w:ascii="Book Antiqua" w:hAnsi="Book Antiqua" w:cs="Arial"/>
          <w:b/>
          <w:i/>
          <w:lang w:val="en-US"/>
        </w:rPr>
        <w:t>dasabuvir</w:t>
      </w:r>
      <w:proofErr w:type="spellEnd"/>
      <w:r w:rsidR="006074EB" w:rsidRPr="00CD1426">
        <w:rPr>
          <w:rFonts w:ascii="Book Antiqua" w:hAnsi="Book Antiqua" w:cs="Arial"/>
          <w:b/>
          <w:i/>
          <w:lang w:val="en-US"/>
        </w:rPr>
        <w:t> </w:t>
      </w:r>
    </w:p>
    <w:p w14:paraId="1B6D9B36" w14:textId="527A50F3" w:rsidR="002B302F" w:rsidRPr="00CD1426" w:rsidRDefault="002B302F" w:rsidP="00CD1426">
      <w:pPr>
        <w:widowControl w:val="0"/>
        <w:autoSpaceDE w:val="0"/>
        <w:autoSpaceDN w:val="0"/>
        <w:adjustRightInd w:val="0"/>
        <w:spacing w:line="360" w:lineRule="auto"/>
        <w:jc w:val="both"/>
        <w:rPr>
          <w:rFonts w:ascii="Book Antiqua" w:hAnsi="Book Antiqua" w:cs="Arial"/>
          <w:lang w:val="en-US" w:eastAsia="zh-CN"/>
        </w:rPr>
      </w:pPr>
      <w:r w:rsidRPr="00CD1426">
        <w:rPr>
          <w:rFonts w:ascii="Book Antiqua" w:hAnsi="Book Antiqua" w:cs="Arial"/>
          <w:lang w:val="en-US"/>
        </w:rPr>
        <w:t>A 12-wk treatment with the combination of ABT-450/r–</w:t>
      </w:r>
      <w:proofErr w:type="spellStart"/>
      <w:r w:rsidRPr="00CD1426">
        <w:rPr>
          <w:rFonts w:ascii="Book Antiqua" w:hAnsi="Book Antiqua" w:cs="Arial"/>
          <w:lang w:val="en-US"/>
        </w:rPr>
        <w:t>ombitasvir</w:t>
      </w:r>
      <w:proofErr w:type="spellEnd"/>
      <w:r w:rsidRPr="00CD1426">
        <w:rPr>
          <w:rFonts w:ascii="Book Antiqua" w:hAnsi="Book Antiqua" w:cs="Arial"/>
          <w:lang w:val="en-US"/>
        </w:rPr>
        <w:t xml:space="preserve">, an NS5a inhibitor (a once-daily dose of 150 mg of ABT-450, 100 mg of ritonavir, and 25 mg of </w:t>
      </w:r>
      <w:proofErr w:type="spellStart"/>
      <w:r w:rsidRPr="00CD1426">
        <w:rPr>
          <w:rFonts w:ascii="Book Antiqua" w:hAnsi="Book Antiqua" w:cs="Arial"/>
          <w:lang w:val="en-US"/>
        </w:rPr>
        <w:t>ombitasvir</w:t>
      </w:r>
      <w:proofErr w:type="spellEnd"/>
      <w:r w:rsidRPr="00CD1426">
        <w:rPr>
          <w:rFonts w:ascii="Book Antiqua" w:hAnsi="Book Antiqua" w:cs="Arial"/>
          <w:lang w:val="en-US"/>
        </w:rPr>
        <w:t xml:space="preserve">), </w:t>
      </w:r>
      <w:proofErr w:type="spellStart"/>
      <w:r w:rsidRPr="00CD1426">
        <w:rPr>
          <w:rFonts w:ascii="Book Antiqua" w:hAnsi="Book Antiqua" w:cs="Arial"/>
          <w:lang w:val="en-US"/>
        </w:rPr>
        <w:t>dasabuvir</w:t>
      </w:r>
      <w:proofErr w:type="spellEnd"/>
      <w:r w:rsidRPr="00CD1426">
        <w:rPr>
          <w:rFonts w:ascii="Book Antiqua" w:hAnsi="Book Antiqua" w:cs="Arial"/>
          <w:lang w:val="en-US"/>
        </w:rPr>
        <w:t xml:space="preserve">, NS5B RNA non-nucleoside polymerase inhibitor (250 mg twice daily) and ribavirin </w:t>
      </w:r>
      <w:r w:rsidRPr="00CD1426">
        <w:rPr>
          <w:rFonts w:ascii="Book Antiqua" w:hAnsi="Book Antiqua" w:cs="Arial"/>
          <w:bCs/>
          <w:lang w:val="en-US"/>
        </w:rPr>
        <w:t>according to body weight was tested in the HCV genotype 1 infected non-cirrhotic patients who achieved S</w:t>
      </w:r>
      <w:r w:rsidR="006074EB" w:rsidRPr="00CD1426">
        <w:rPr>
          <w:rFonts w:ascii="Book Antiqua" w:hAnsi="Book Antiqua" w:cs="Arial"/>
          <w:bCs/>
          <w:lang w:val="en-US"/>
        </w:rPr>
        <w:t>VR12 rates of approximately 96%</w:t>
      </w:r>
      <w:r w:rsidRPr="00CD1426">
        <w:rPr>
          <w:rFonts w:ascii="Book Antiqua" w:hAnsi="Book Antiqua" w:cs="Arial"/>
          <w:bCs/>
          <w:lang w:val="en-US"/>
        </w:rPr>
        <w:fldChar w:fldCharType="begin" w:fldLock="1"/>
      </w:r>
      <w:r w:rsidR="001D4A08" w:rsidRPr="00CD1426">
        <w:rPr>
          <w:rFonts w:ascii="Book Antiqua" w:hAnsi="Book Antiqua" w:cs="Arial"/>
          <w:bCs/>
          <w:lang w:val="en-US"/>
        </w:rPr>
        <w:instrText>ADDIN CSL_CITATION { "citationItems" : [ { "id" : "ITEM-1", "itemData" : { "DOI" : "10.1053/j.gastro.2014.04.045", "ISSN" : "1528-0012", "PMID" : "24818763", "abstract" : "BACKGROUND &amp; AIMS: The interferon-free regimen of ABT-450 (a protease inhibitor), ritonavir, ombitasvir (an NS5A inhibitor), dasabuvir (a non-nucleoside polymerase inhibitor), and ribavirin has shown efficacy in patients with hepatitis C virus (HCV) genotype 1b infection-the most prevalent subgenotype worldwide. We evaluated whether ribavirin is necessary for ABT-450, ritonavir, ombitasvir, and dasabuvir to produce high rates of sustained virologic response (SVR) in these patients. METHODS: We performed a multicenter, open-label, phase 3 trial of 179 patients with HCV genotype 1b infection, without cirrhosis, previously treated with peginterferon and ribavirin. Patients were assigned randomly (1:1) to groups given ABT-450, ritonavir, ombitasvir, and dasabuvir, with ribavirin (group 1) or without (group 2) for 12 weeks. The primary end point was SVR 12 weeks after treatment (SVR12). We assessed the noninferiority of this regimen to the rate of response reported (64%) for a similar population treated with telaprevir, peginterferon, and ribavirin. RESULTS: Groups 1 and 2 each had high rates of SVR12, which were noninferior to the reported rate of response to the combination of telaprevir, peginterferon, and ribavirin (group 1: 96.6%; 95% confidence interval, 92.8%-100%; and group 2: 100%; 95% confidence interval, 95.9%-100%). The rate of response in group 2 was noninferior to that of group 1. No virologic failure occurred during the study. Two patients (1.1%) discontinued the study owing to adverse events, both in group 1. The most common adverse events in groups 1 and 2 were fatigue (31.9% vs 15.8%) and headache (24.2% vs 23.2%), respectively. Decreases in hemoglobin level to less than the lower limit of normal were more frequent in group 1 (42.0% vs 5.5% in group 2; P &lt; .001), although only 2 patients had hemoglobin levels less than 10 g/dL. CONCLUSIONS: The interferon-free regimen of ABT-450, ritonavir, ombitasvir, and dasabuvir, with or without ribavirin, produces a high rate of SVR12 in treatment-experienced patients with HCV genotype 1b infection. Both regimens are well tolerated, as shown by the low rate of discontinuations and generally mild adverse events. ClinicalTrials.gov number: NCT01674725.", "author" : [ { "dropping-particle" : "", "family" : "Andreone", "given" : "Pietro", "non-dropping-particle" : "", "parse-names" : false, "suffix" : "" }, { "dropping-particle" : "", "family" : "Colombo", "given" : "Massimo G", "non-dropping-particle" : "", "parse-names" : false, "suffix" : "" }, { "dropping-particle" : "V", "family" : "Enejosa", "given" : "Jeffrey", "non-dropping-particle" : "", "parse-names" : false, "suffix" : "" }, { "dropping-particle" : "", "family" : "Koksal", "given" : "Iftihar", "non-dropping-particle" : "", "parse-names" : false, "suffix" : "" }, { "dropping-particle" : "", "family" : "Ferenci", "given" : "Peter", "non-dropping-particle" : "", "parse-names" : false, "suffix" : "" }, { "dropping-particle" : "", "family" : "Maieron", "given" : "Andreas", "non-dropping-particle" : "", "parse-names" : false, "suffix" : "" }, { "dropping-particle" : "", "family" : "M\u00fcllhaupt", "given" : "Beat", "non-dropping-particle" : "", "parse-names" : false, "suffix" : "" }, { "dropping-particle" : "", "family" : "Horsmans", "given" : "Yves", "non-dropping-particle" : "", "parse-names" : false, "suffix" : "" }, { "dropping-particle" : "", "family" : "Weiland", "given" : "Ola", "non-dropping-particle" : "", "parse-names" : false, "suffix" : "" }, { "dropping-particle" : "", "family" : "Reesink", "given" : "Henk W", "non-dropping-particle" : "", "parse-names" : false, "suffix" : "" }, { "dropping-particle" : "", "family" : "Rodrigues", "given" : "Lino", "non-dropping-particle" : "", "parse-names" : false, "suffix" : "" }, { "dropping-particle" : "", "family" : "Hu", "given" : "Yiran B", "non-dropping-particle" : "", "parse-names" : false, "suffix" : "" }, { "dropping-particle" : "", "family" : "Podsadecki", "given" : "Thomas", "non-dropping-particle" : "", "parse-names" : false, "suffix" : "" }, { "dropping-particle" : "", "family" : "Bernstein", "given" : "Barry", "non-dropping-particle" : "", "parse-names" : false, "suffix" : "" } ], "container-title" : "Gastroenterology", "id" : "ITEM-1", "issue" : "2", "issued" : { "date-parts" : [ [ "2014", "8", "8" ] ] }, "page" : "359-365.e1", "publisher" : "Elsevier", "title" : "ABT-450, Ritonavir, Ombitasvir, and Dasabuvir Achieves 97% and 100% Sustained Virologic Response With or Without Ribavirin in Treatment-Experienced Patients With HCV Genotype 1b Infection.", "type" : "article-journal", "volume" : "147" }, "uris" : [ "http://www.mendeley.com/documents/?uuid=3f0dfdcc-6361-4c44-86f0-5c55612e92d3" ] }, { "id" : "ITEM-2", "itemData" : { "DOI" : "10.1056/NEJMoa1402338", "ISSN" : "1533-4406", "PMID" : "24795200", "abstract" : "BACKGROUND: The interferon-free regimen of ABT-450 with ritonavir (ABT-450/r), ombitasvir, and dasabuvir with or without ribavirin has shown efficacy in inducing a sustained virologic response in a phase 2 study involving patients with hepatitis C virus (HCV) genotype 1 infection. We conducted two phase 3 trials to examine the efficacy and safety of this regimen in previously untreated patients with HCV genotype 1 infection and no cirrhosis. METHODS: We randomly assigned 419 patients with HCV genotype 1b infection (PEARL-III study) and 305 patients with genotype 1a infection (PEARL-IV study) to 12 weeks of ABT-450/r-ombitasvir (at a once-daily dose of 150 mg of ABT-450, 100 mg of ritonavir, and 25 mg of ombitasvir), dasabuvir (250 mg twice daily), and ribavirin administered according to body weight or to matching placebo for ribavirin. The primary efficacy end point was a sustained virologic response (an HCV RNA level of &lt;25 IU per milliliter) 12 weeks after the end of treatment. RESULTS: The study regimen resulted in high rates of sustained virologic response among patients with HCV genotype 1b infection (99.5% with ribavirin and 99.0% without ribavirin) and among those with genotype 1a infection (97.0% and 90.2%, respectively). Of patients with genotype 1b infection, 1 had virologic failure, and 2 did not have data available at post-treatment week 12. Among patients with genotype 1a infection, the rate of virologic failure was higher in the ribavirin-free group than in the ribavirin group (7.8% vs. 2.0%). In both studies, decreases in the hemoglobin level were significantly more common in patients receiving ribavirin. Two patients (0.3%) discontinued the study drugs owing to adverse events. The most common adverse events were fatigue, headache, and nausea. CONCLUSIONS: Twelve weeks of treatment with ABT-450/r-ombitasvir and dasabuvir without ribavirin was associated with high rates of sustained virologic response among previously untreated patients with HCV genotype 1 infection. Rates of virologic failure were higher without ribavirin than with ribavirin among patients with genotype 1a infection but not among those with genotype 1b infection. (Funded by AbbVie; PEARL-III and PEARL-IV ClinicalTrials.gov numbers, NCT01767116 and NCT01833533.).", "author" : [ { "dropping-particle" : "", "family" : "Ferenci", "given" : "Peter", "non-dropping-particle" : "", "parse-names" : false, "suffix" : "" }, { "dropping-particle" : "", "family" : "Bernstein", "given" : "David", "non-dropping-particle" : "", "parse-names" : false, "suffix" : "" }, { "dropping-particle" : "", "family" : "Lalezari", "given" : "Jacob", "non-dropping-particle" : "", "parse-names" : false, "suffix" : "" }, { "dropping-particle" : "", "family" : "Cohen", "given" : "Daniel", "non-dropping-particle" : "", "parse-names" : false, "suffix" : "" }, { "dropping-particle" : "", "family" : "Luo", "given" : "Yan", "non-dropping-particle" : "", "parse-names" : false, "suffix" : "" }, { "dropping-particle" : "", "family" : "Cooper", "given" : "Curtis", "non-dropping-particle" : "", "parse-names" : false, "suffix" : "" }, { "dropping-particle" : "", "family" : "Tam", "given" : "Edward", "non-dropping-particle" : "", "parse-names" : false, "suffix" : "" }, { "dropping-particle" : "", "family" : "Marinho", "given" : "Rui T", "non-dropping-particle" : "", "parse-names" : false, "suffix" : "" }, { "dropping-particle" : "", "family" : "Tsai", "given" : "Naoky", "non-dropping-particle" : "", "parse-names" : false, "suffix" : "" }, { "dropping-particle" : "", "family" : "Nyberg", "given" : "Anders", "non-dropping-particle" : "", "parse-names" : false, "suffix" : "" }, { "dropping-particle" : "", "family" : "Box", "given" : "Terry D", "non-dropping-particle" : "", "parse-names" : false, "suffix" : "" }, { "dropping-particle" : "", "family" : "Younes", "given" : "Ziad", "non-dropping-particle" : "", "parse-names" : false, "suffix" : "" }, { "dropping-particle" : "", "family" : "Enayati", "given" : "Pedram", "non-dropping-particle" : "", "parse-names" : false, "suffix" : "" }, { "dropping-particle" : "", "family" : "Green", "given" : "Sinikka", "non-dropping-particle" : "", "parse-names" : false, "suffix" : "" }, { "dropping-particle" : "", "family" : "Baruch", "given" : "Yaacov", "non-dropping-particle" : "", "parse-names" : false, "suffix" : "" }, { "dropping-particle" : "", "family" : "Bhandari", "given" : "Bal Raj", "non-dropping-particle" : "", "parse-names" : false, "suffix" : "" }, { "dropping-particle" : "", "family" : "Caruntu", "given" : "Florin Alexandru", "non-dropping-particle" : "", "parse-names" : false, "suffix" : "" }, { "dropping-particle" : "", "family" : "Sepe", "given" : "Thomas", "non-dropping-particle" : "", "parse-names" : false, "suffix" : "" }, { "dropping-particle" : "", "family" : "Chulanov", "given" : "Vladimir", "non-dropping-particle" : "", "parse-names" : false, "suffix" : "" }, { "dropping-particle" : "", "family" : "Janczewska", "given" : "Ewa", "non-dropping-particle" : "", "parse-names" : false, "suffix" : "" }, { "dropping-particle" : "", "family" : "Rizzardini", "given" : "Giuliano", "non-dropping-particle" : "", "parse-names" : false, "suffix" : "" }, { "dropping-particle" : "", "family" : "Gervain", "given" : "Judit", "non-dropping-particle" : "", "parse-names" : false, "suffix" : "" }, { "dropping-particle" : "", "family" : "Planas", "given" : "Ramon", "non-dropping-particle" : "", "parse-names" : false, "suffix" : "" }, { "dropping-particle" : "", "family" : "Moreno", "given" : "Christophe", "non-dropping-particle" : "", "parse-names" : false, "suffix" : "" }, { "dropping-particle" : "", "family" : "Hassanein", "given" : "Tarek", "non-dropping-particle" : "", "parse-names" : false, "suffix" : "" }, { "dropping-particle" : "", "family" : "Xie", "given" : "Wangang", "non-dropping-particle" : "", "parse-names" : false, "suffix" : "" }, { "dropping-particle" : "", "family" : "King", "given" : "Martin", "non-dropping-particle" : "", "parse-names" : false, "suffix" : "" }, { "dropping-particle" : "", "family" : "Podsadecki", "given" : "Thomas", "non-dropping-particle" : "", "parse-names" : false, "suffix" : "" }, { "dropping-particle" : "", "family" : "Reddy", "given" : "K Rajender", "non-dropping-particle" : "", "parse-names" : false, "suffix" : "" } ], "container-title" : "The New England journal of medicine", "id" : "ITEM-2", "issue" : "21", "issued" : { "date-parts" : [ [ "2014", "5", "22" ] ] }, "page" : "1983-92", "title" : "ABT-450/r-ombitasvir and dasabuvir with or without ribavirin for HCV.", "type" : "article-journal", "volume" : "370" }, "uris" : [ "http://www.mendeley.com/documents/?uuid=504e08a5-9603-4676-8c0f-e3b1c9f9afeb" ] }, { "id" : "ITEM-3", "itemData" : { "DOI" : "10.1056/NEJMoa1315722", "ISSN" : "1533-4406", "PMID" : "24720703", "abstract" : "BACKGROUND: The interferon-free combination of the protease inhibitor ABT-450 with ritonavir (ABT-450/r) and the NS5A inhibitor ombitasvir (also known as ABT-267) plus the nonnucleoside polymerase inhibitor dasabuvir (also known as ABT-333) and ribavirin has shown efficacy against the hepatitis C virus (HCV) in patients with HCV genotype 1 infection. In this phase 3 trial, we evaluated this regimen in previously untreated patients with HCV genotype 1 infection and no cirrhosis.\n\nMETHODS: In this multicenter, randomized, double-blind, placebo-controlled trial, we assigned previously untreated patients with HCV genotype 1 infection, in a 3:1 ratio, to an active regimen consisting of a single-tablet coformulation of ABT-450/r-ombitasvir (at a once-daily dose of 150 mg of ABT-450, 100 mg of ritonavir, and 25 mg of ombitasvir), and dasabuvir (250 mg twice daily) with ribavirin (in doses determined according to body weight) (group A) or matching placebos (group B). The patients received the study treatment during a 12-week double-blind period. The primary end point was sustained virologic response at 12 weeks after the end of treatment. The primary analysis compared the response rate in group A with the response rate (78%) in a historical control group of previously untreated patients without cirrhosis who received telaprevir with peginterferon and ribavirin. Adverse events occurring during the double-blind period were compared between group A and group B.\n\nRESULTS: A total of 631 patients received at least one dose of the study drugs. The rate of sustained virologic response in group A was 96.2% (95% confidence interval, 94.5 to 97.9), which was superior to the historical control rate. Virologic failure during treatment and relapse after treatment occurred in 0.2% and 1.5%, respectively, of the patients in group A. The response rates in group A were 95.3% among patients with HCV genotype 1a infection and 98.0% among those with HCV genotype 1b infection. The rate of discontinuation due to adverse events was 0.6% in each study group. Nausea, pruritus, insomnia, diarrhea, and asthenia occurred in significantly more patients in group A than in group B (P&lt;0.05 for all comparisons). Reductions in the hemoglobin level were all of grade 1 or 2; reductions of grade 1 and 2 occurred in 47.5% and 5.8%, respectively, of the patients in group A, whereas grade 1 reductions occurred in 2.5% of the patients in group B.\n\nCONCLUSIONS: In previously untreated patients with HCV\u2026", "author" : [ { "dropping-particle" : "", "family" : "Feld", "given" : "Jordan J", "non-dropping-particle" : "", "parse-names" : false, "suffix" : "" }, { "dropping-particle" : "V", "family" : "Kowdley", "given" : "Kris", "non-dropping-particle" : "", "parse-names" : false, "suffix" : "" }, { "dropping-particle" : "", "family" : "Coakley", "given" : "Eoin", "non-dropping-particle" : "", "parse-names" : false, "suffix" : "" }, { "dropping-particle" : "", "family" : "Sigal", "given" : "Samuel", "non-dropping-particle" : "", "parse-names" : false, "suffix" : "" }, { "dropping-particle" : "", "family" : "Nelson", "given" : "David R", "non-dropping-particle" : "", "parse-names" : false, "suffix" : "" }, { "dropping-particle" : "", "family" : "Crawford", "given" : "Darrell", "non-dropping-particle" : "", "parse-names" : false, "suffix" : "" }, { "dropping-particle" : "", "family" : "Weiland", "given" : "Ola", "non-dropping-particle" : "", "parse-names" : false, "suffix" : "" }, { "dropping-particle" : "", "family" : "Aguilar", "given" : "Humberto", "non-dropping-particle" : "", "parse-names" : false, "suffix" : "" }, { "dropping-particle" : "", "family" : "Xiong", "given" : "Junyuan", "non-dropping-particle" : "", "parse-names" : false, "suffix" : "" }, { "dropping-particle" : "", "family" : "Pilot-Matias", "given" : "Tami", "non-dropping-particle" : "", "parse-names" : false, "suffix" : "" }, { "dropping-particle" : "", "family" : "DaSilva-Tillmann", "given" : "Barbara", "non-dropping-particle" : "", "parse-names" : false, "suffix" : "" }, { "dropping-particle" : "", "family" : "Larsen", "given" : "Lois", "non-dropping-particle" : "", "parse-names" : false, "suffix" : "" }, { "dropping-particle" : "", "family" : "Podsadecki", "given" : "Thomas", "non-dropping-particle" : "", "parse-names" : false, "suffix" : "" }, { "dropping-particle" : "", "family" : "Bernstein", "given" : "Barry", "non-dropping-particle" : "", "parse-names" : false, "suffix" : "" } ], "container-title" : "The New England journal of medicine", "id" : "ITEM-3", "issue" : "17", "issued" : { "date-parts" : [ [ "2014", "4", "24" ] ] }, "page" : "1594-603", "title" : "Treatment of HCV with ABT-450/r-ombitasvir and dasabuvir with ribavirin.", "type" : "article-journal", "volume" : "370" }, "uris" : [ "http://www.mendeley.com/documents/?uuid=f31c68bc-5390-44a5-898e-3b8f21e5a2d5" ] }, { "id" : "ITEM-4", "itemData" : { "DOI" : "10.1056/NEJMoa1401561", "ISSN" : "1533-4406", "PMID" : "24720679", "abstract" : "BACKGROUND: In this phase 3 trial we evaluated the efficacy and safety of the interferon-free combination of ABT-450 with ritonavir (ABT-450/r), ombitasvir (also known as ABT-267), dasabuvir (also known as ABT-333), and ribavirin for the retreatment of HCV in patients who were previously treated with peginterferon-ribavirin.\n\nMETHODS: We enrolled patients with HCV genotype 1 infection and no cirrhosis who had previously been treated with peginterferon-ribavirin and had a relapse, a partial response, or a null response. Patients were randomly assigned in a 3:1 ratio to receive coformulated ABT-450/r-ombitasvir (at a once-daily dose of 150 mg of ABT-450, 100 mg of ritonavir, and 25 mg of ombitasvir) and dasabuvir (250 mg twice daily) with ribavirin (1000 or 1200 mg daily) or matching placebos during the 12-week double-blind period. The primary end point was the rate of sustained virologic response 12 weeks after the end of study treatment. The primary efficacy analysis compared this rate among patients assigned to the active regimen with a historical response rate (65%) among previously treated patients with HCV genotype 1 infection and no cirrhosis who had received retreatment with telaprevir and peginterferon-ribavirin.\n\nRESULTS: A total of 394 patients received at least one study-drug dose. In the active-regimen group, 286 of 297 patients had a sustained virologic response at post-treatment week 12, for an overall rate of 96.3% (95% confidence interval, 94.2 to 98.4). This rate was noninferior and superior to the historical control rate. Rates were 95.3% among patients with a prior relapse (82 of 86 patients), 100% among patients with a prior partial response (65 of 65 patients), and 95.2% among patients with a prior null response (139 of 146 patients). Pruritus occurred more frequently with the active regimen (in 13.8% of patients) than with placebo (5.2%, P=0.03). Three patients in the active-regimen group (1.0%) discontinued the study drugs owing to adverse events. Hemoglobin values of grade 2 (8.0 to &lt;10.0 g per deciliter) and grade 3 (6.5 to &lt;8.0 g per deciliter) occurred in 4.7% and 0.3% of patients in the active-regimen group, respectively.\n\nCONCLUSIONS: Rates of response to a 12-week interferon-free combination regimen were more than 95% among previously treated patients with HCV genotype 1 infection, including patients with a prior null response. (Funded by AbbVie; SAPPHIRE-II ClinicalTrials.gov number, NCT01715415.).", "author" : [ { "dropping-particle" : "", "family" : "Zeuzem", "given" : "Stefan", "non-dropping-particle" : "", "parse-names" : false, "suffix" : "" }, { "dropping-particle" : "", "family" : "Jacobson", "given" : "Ira M", "non-dropping-particle" : "", "parse-names" : false, "suffix" : "" }, { "dropping-particle" : "", "family" : "Baykal", "given" : "Tolga", "non-dropping-particle" : "", "parse-names" : false, "suffix" : "" }, { "dropping-particle" : "", "family" : "Marinho", "given" : "Rui T", "non-dropping-particle" : "", "parse-names" : false, "suffix" : "" }, { "dropping-particle" : "", "family" : "Poordad", "given" : "Fred", "non-dropping-particle" : "", "parse-names" : false, "suffix" : "" }, { "dropping-particle" : "", "family" : "Bourli\u00e8re", "given" : "Marc", "non-dropping-particle" : "", "parse-names" : false, "suffix" : "" }, { "dropping-particle" : "", "family" : "Sulkowski", "given" : "Mark S", "non-dropping-particle" : "", "parse-names" : false, "suffix" : "" }, { "dropping-particle" : "", "family" : "Wedemeyer", "given" : "Heiner", "non-dropping-particle" : "", "parse-names" : false, "suffix" : "" }, { "dropping-particle" : "", "family" : "Tam", "given" : "Edward", "non-dropping-particle" : "", "parse-names" : false, "suffix" : "" }, { "dropping-particle" : "", "family" : "Desmond", "given" : "Paul", "non-dropping-particle" : "", "parse-names" : false, "suffix" : "" }, { "dropping-particle" : "", "family" : "Jensen", "given" : "Donald M", "non-dropping-particle" : "", "parse-names" : false, "suffix" : "" }, { "dropping-particle" : "", "family" : "Bisceglie", "given" : "Adrian M", "non-dropping-particle" : "Di", "parse-names" : false, "suffix" : "" }, { "dropping-particle" : "", "family" : "Varunok", "given" : "Peter", "non-dropping-particle" : "", "parse-names" : false, "suffix" : "" }, { "dropping-particle" : "", "family" : "Hassanein", "given" : "Tarek", "non-dropping-particle" : "", "parse-names" : false, "suffix" : "" }, { "dropping-particle" : "", "family" : "Xiong", "given" : "Junyuan", "non-dropping-particle" : "", "parse-names" : false, "suffix" : "" }, { "dropping-particle" : "", "family" : "Pilot-Matias", "given" : "Tami", "non-dropping-particle" : "", "parse-names" : false, "suffix" : "" }, { "dropping-particle" : "", "family" : "DaSilva-Tillmann", "given" : "Barbara", "non-dropping-particle" : "", "parse-names" : false, "suffix" : "" }, { "dropping-particle" : "", "family" : "Larsen", "given" : "Lois", "non-dropping-particle" : "", "parse-names" : false, "suffix" : "" }, { "dropping-particle" : "", "family" : "Podsadecki", "given" : "Thomas", "non-dropping-particle" : "", "parse-names" : false, "suffix" : "" }, { "dropping-particle" : "", "family" : "Bernstein", "given" : "Barry", "non-dropping-particle" : "", "parse-names" : false, "suffix" : "" } ], "container-title" : "The New England journal of medicine", "id" : "ITEM-4", "issue" : "17", "issued" : { "date-parts" : [ [ "2014", "4", "24" ] ] }, "page" : "1604-14", "title" : "Retreatment of HCV with ABT-450/r-ombitasvir and dasabuvir with ribavirin.", "type" : "article-journal", "volume" : "370" }, "uris" : [ "http://www.mendeley.com/documents/?uuid=2e33fdcd-f274-43d8-8bdc-3a455f0a3326" ] } ], "mendeley" : { "formattedCitation" : "&lt;sup&gt;[68\u201371]&lt;/sup&gt;", "plainTextFormattedCitation" : "[68\u201371]", "previouslyFormattedCitation" : "&lt;sup&gt;[68\u201371]&lt;/sup&gt;" }, "properties" : { "noteIndex" : 0 }, "schema" : "https://github.com/citation-style-language/schema/raw/master/csl-citation.json" }</w:instrText>
      </w:r>
      <w:r w:rsidRPr="00CD1426">
        <w:rPr>
          <w:rFonts w:ascii="Book Antiqua" w:hAnsi="Book Antiqua" w:cs="Arial"/>
          <w:bCs/>
          <w:lang w:val="en-US"/>
        </w:rPr>
        <w:fldChar w:fldCharType="separate"/>
      </w:r>
      <w:r w:rsidR="001D4A08" w:rsidRPr="00CD1426">
        <w:rPr>
          <w:rFonts w:ascii="Book Antiqua" w:hAnsi="Book Antiqua" w:cs="Arial"/>
          <w:bCs/>
          <w:noProof/>
          <w:vertAlign w:val="superscript"/>
          <w:lang w:val="en-US"/>
        </w:rPr>
        <w:t>[68</w:t>
      </w:r>
      <w:r w:rsidR="006074EB" w:rsidRPr="00CD1426">
        <w:rPr>
          <w:rFonts w:ascii="Book Antiqua" w:hAnsi="Book Antiqua" w:cs="Arial"/>
          <w:bCs/>
          <w:noProof/>
          <w:vertAlign w:val="superscript"/>
          <w:lang w:val="en-US" w:eastAsia="zh-CN"/>
        </w:rPr>
        <w:t>-</w:t>
      </w:r>
      <w:r w:rsidR="001D4A08" w:rsidRPr="00CD1426">
        <w:rPr>
          <w:rFonts w:ascii="Book Antiqua" w:hAnsi="Book Antiqua" w:cs="Arial"/>
          <w:bCs/>
          <w:noProof/>
          <w:vertAlign w:val="superscript"/>
          <w:lang w:val="en-US"/>
        </w:rPr>
        <w:t>71]</w:t>
      </w:r>
      <w:r w:rsidRPr="00CD1426">
        <w:rPr>
          <w:rFonts w:ascii="Book Antiqua" w:hAnsi="Book Antiqua" w:cs="Arial"/>
          <w:bCs/>
          <w:lang w:val="en-US"/>
        </w:rPr>
        <w:fldChar w:fldCharType="end"/>
      </w:r>
      <w:r w:rsidR="006074EB" w:rsidRPr="00CD1426">
        <w:rPr>
          <w:rFonts w:ascii="Book Antiqua" w:hAnsi="Book Antiqua" w:cs="Arial"/>
          <w:bCs/>
          <w:lang w:val="en-US" w:eastAsia="zh-CN"/>
        </w:rPr>
        <w:t>.</w:t>
      </w:r>
      <w:r w:rsidRPr="00CD1426">
        <w:rPr>
          <w:rFonts w:ascii="Book Antiqua" w:hAnsi="Book Antiqua" w:cs="Arial"/>
          <w:bCs/>
          <w:lang w:val="en-US"/>
        </w:rPr>
        <w:t xml:space="preserve"> </w:t>
      </w:r>
      <w:r w:rsidRPr="00CD1426">
        <w:rPr>
          <w:rFonts w:ascii="Book Antiqua" w:hAnsi="Book Antiqua" w:cs="Arial"/>
          <w:lang w:val="en-US"/>
        </w:rPr>
        <w:t>There was no difference in SVR12 among HCV genotype 1b or 1a. Among patients with HCV genotype 1b, the SVR rates were 99.5% including ribavirin in the regimen and 99.0% without ribavirin; on the other hand, among those with HCV genotype 1a, the addition of ribavirin appeared to increase the SVR rates (97.0% and 90.2%, SVR12 with and wi</w:t>
      </w:r>
      <w:r w:rsidR="006074EB" w:rsidRPr="00CD1426">
        <w:rPr>
          <w:rFonts w:ascii="Book Antiqua" w:hAnsi="Book Antiqua" w:cs="Arial"/>
          <w:lang w:val="en-US"/>
        </w:rPr>
        <w:t>thout ribavirin, respectively)</w:t>
      </w:r>
      <w:r w:rsidRPr="00CD1426">
        <w:rPr>
          <w:rFonts w:ascii="Book Antiqua" w:hAnsi="Book Antiqua" w:cs="Arial"/>
          <w:lang w:val="en-US"/>
        </w:rPr>
        <w:fldChar w:fldCharType="begin" w:fldLock="1"/>
      </w:r>
      <w:r w:rsidR="001D4A08" w:rsidRPr="00CD1426">
        <w:rPr>
          <w:rFonts w:ascii="Book Antiqua" w:hAnsi="Book Antiqua" w:cs="Arial"/>
          <w:lang w:val="en-US"/>
        </w:rPr>
        <w:instrText>ADDIN CSL_CITATION { "citationItems" : [ { "id" : "ITEM-1", "itemData" : { "DOI" : "10.1056/NEJMoa1402338", "ISSN" : "1533-4406", "PMID" : "24795200", "abstract" : "BACKGROUND: The interferon-free regimen of ABT-450 with ritonavir (ABT-450/r), ombitasvir, and dasabuvir with or without ribavirin has shown efficacy in inducing a sustained virologic response in a phase 2 study involving patients with hepatitis C virus (HCV) genotype 1 infection. We conducted two phase 3 trials to examine the efficacy and safety of this regimen in previously untreated patients with HCV genotype 1 infection and no cirrhosis. METHODS: We randomly assigned 419 patients with HCV genotype 1b infection (PEARL-III study) and 305 patients with genotype 1a infection (PEARL-IV study) to 12 weeks of ABT-450/r-ombitasvir (at a once-daily dose of 150 mg of ABT-450, 100 mg of ritonavir, and 25 mg of ombitasvir), dasabuvir (250 mg twice daily), and ribavirin administered according to body weight or to matching placebo for ribavirin. The primary efficacy end point was a sustained virologic response (an HCV RNA level of &lt;25 IU per milliliter) 12 weeks after the end of treatment. RESULTS: The study regimen resulted in high rates of sustained virologic response among patients with HCV genotype 1b infection (99.5% with ribavirin and 99.0% without ribavirin) and among those with genotype 1a infection (97.0% and 90.2%, respectively). Of patients with genotype 1b infection, 1 had virologic failure, and 2 did not have data available at post-treatment week 12. Among patients with genotype 1a infection, the rate of virologic failure was higher in the ribavirin-free group than in the ribavirin group (7.8% vs. 2.0%). In both studies, decreases in the hemoglobin level were significantly more common in patients receiving ribavirin. Two patients (0.3%) discontinued the study drugs owing to adverse events. The most common adverse events were fatigue, headache, and nausea. CONCLUSIONS: Twelve weeks of treatment with ABT-450/r-ombitasvir and dasabuvir without ribavirin was associated with high rates of sustained virologic response among previously untreated patients with HCV genotype 1 infection. Rates of virologic failure were higher without ribavirin than with ribavirin among patients with genotype 1a infection but not among those with genotype 1b infection. (Funded by AbbVie; PEARL-III and PEARL-IV ClinicalTrials.gov numbers, NCT01767116 and NCT01833533.).", "author" : [ { "dropping-particle" : "", "family" : "Ferenci", "given" : "Peter", "non-dropping-particle" : "", "parse-names" : false, "suffix" : "" }, { "dropping-particle" : "", "family" : "Bernstein", "given" : "David", "non-dropping-particle" : "", "parse-names" : false, "suffix" : "" }, { "dropping-particle" : "", "family" : "Lalezari", "given" : "Jacob", "non-dropping-particle" : "", "parse-names" : false, "suffix" : "" }, { "dropping-particle" : "", "family" : "Cohen", "given" : "Daniel", "non-dropping-particle" : "", "parse-names" : false, "suffix" : "" }, { "dropping-particle" : "", "family" : "Luo", "given" : "Yan", "non-dropping-particle" : "", "parse-names" : false, "suffix" : "" }, { "dropping-particle" : "", "family" : "Cooper", "given" : "Curtis", "non-dropping-particle" : "", "parse-names" : false, "suffix" : "" }, { "dropping-particle" : "", "family" : "Tam", "given" : "Edward", "non-dropping-particle" : "", "parse-names" : false, "suffix" : "" }, { "dropping-particle" : "", "family" : "Marinho", "given" : "Rui T", "non-dropping-particle" : "", "parse-names" : false, "suffix" : "" }, { "dropping-particle" : "", "family" : "Tsai", "given" : "Naoky", "non-dropping-particle" : "", "parse-names" : false, "suffix" : "" }, { "dropping-particle" : "", "family" : "Nyberg", "given" : "Anders", "non-dropping-particle" : "", "parse-names" : false, "suffix" : "" }, { "dropping-particle" : "", "family" : "Box", "given" : "Terry D", "non-dropping-particle" : "", "parse-names" : false, "suffix" : "" }, { "dropping-particle" : "", "family" : "Younes", "given" : "Ziad", "non-dropping-particle" : "", "parse-names" : false, "suffix" : "" }, { "dropping-particle" : "", "family" : "Enayati", "given" : "Pedram", "non-dropping-particle" : "", "parse-names" : false, "suffix" : "" }, { "dropping-particle" : "", "family" : "Green", "given" : "Sinikka", "non-dropping-particle" : "", "parse-names" : false, "suffix" : "" }, { "dropping-particle" : "", "family" : "Baruch", "given" : "Yaacov", "non-dropping-particle" : "", "parse-names" : false, "suffix" : "" }, { "dropping-particle" : "", "family" : "Bhandari", "given" : "Bal Raj", "non-dropping-particle" : "", "parse-names" : false, "suffix" : "" }, { "dropping-particle" : "", "family" : "Caruntu", "given" : "Florin Alexandru", "non-dropping-particle" : "", "parse-names" : false, "suffix" : "" }, { "dropping-particle" : "", "family" : "Sepe", "given" : "Thomas", "non-dropping-particle" : "", "parse-names" : false, "suffix" : "" }, { "dropping-particle" : "", "family" : "Chulanov", "given" : "Vladimir", "non-dropping-particle" : "", "parse-names" : false, "suffix" : "" }, { "dropping-particle" : "", "family" : "Janczewska", "given" : "Ewa", "non-dropping-particle" : "", "parse-names" : false, "suffix" : "" }, { "dropping-particle" : "", "family" : "Rizzardini", "given" : "Giuliano", "non-dropping-particle" : "", "parse-names" : false, "suffix" : "" }, { "dropping-particle" : "", "family" : "Gervain", "given" : "Judit", "non-dropping-particle" : "", "parse-names" : false, "suffix" : "" }, { "dropping-particle" : "", "family" : "Planas", "given" : "Ramon", "non-dropping-particle" : "", "parse-names" : false, "suffix" : "" }, { "dropping-particle" : "", "family" : "Moreno", "given" : "Christophe", "non-dropping-particle" : "", "parse-names" : false, "suffix" : "" }, { "dropping-particle" : "", "family" : "Hassanein", "given" : "Tarek", "non-dropping-particle" : "", "parse-names" : false, "suffix" : "" }, { "dropping-particle" : "", "family" : "Xie", "given" : "Wangang", "non-dropping-particle" : "", "parse-names" : false, "suffix" : "" }, { "dropping-particle" : "", "family" : "King", "given" : "Martin", "non-dropping-particle" : "", "parse-names" : false, "suffix" : "" }, { "dropping-particle" : "", "family" : "Podsadecki", "given" : "Thomas", "non-dropping-particle" : "", "parse-names" : false, "suffix" : "" }, { "dropping-particle" : "", "family" : "Reddy", "given" : "K Rajender", "non-dropping-particle" : "", "parse-names" : false, "suffix" : "" } ], "container-title" : "The New England journal of medicine", "id" : "ITEM-1", "issue" : "21", "issued" : { "date-parts" : [ [ "2014", "5", "22" ] ] }, "page" : "1983-92", "title" : "ABT-450/r-ombitasvir and dasabuvir with or without ribavirin for HCV.", "type" : "article-journal", "volume" : "370" }, "uris" : [ "http://www.mendeley.com/documents/?uuid=504e08a5-9603-4676-8c0f-e3b1c9f9afeb" ] } ], "mendeley" : { "formattedCitation" : "&lt;sup&gt;[69]&lt;/sup&gt;", "plainTextFormattedCitation" : "[69]", "previouslyFormattedCitation" : "&lt;sup&gt;[69]&lt;/sup&gt;" }, "properties" : { "noteIndex" : 0 }, "schema" : "https://github.com/citation-style-language/schema/raw/master/csl-citation.json" }</w:instrText>
      </w:r>
      <w:r w:rsidRPr="00CD1426">
        <w:rPr>
          <w:rFonts w:ascii="Book Antiqua" w:hAnsi="Book Antiqua" w:cs="Arial"/>
          <w:lang w:val="en-US"/>
        </w:rPr>
        <w:fldChar w:fldCharType="separate"/>
      </w:r>
      <w:r w:rsidR="001D4A08" w:rsidRPr="00CD1426">
        <w:rPr>
          <w:rFonts w:ascii="Book Antiqua" w:hAnsi="Book Antiqua" w:cs="Arial"/>
          <w:noProof/>
          <w:vertAlign w:val="superscript"/>
          <w:lang w:val="en-US"/>
        </w:rPr>
        <w:t>[69]</w:t>
      </w:r>
      <w:r w:rsidRPr="00CD1426">
        <w:rPr>
          <w:rFonts w:ascii="Book Antiqua" w:hAnsi="Book Antiqua" w:cs="Arial"/>
          <w:lang w:val="en-US"/>
        </w:rPr>
        <w:fldChar w:fldCharType="end"/>
      </w:r>
      <w:r w:rsidR="006074EB" w:rsidRPr="00CD1426">
        <w:rPr>
          <w:rFonts w:ascii="Book Antiqua" w:hAnsi="Book Antiqua" w:cs="Arial"/>
          <w:lang w:val="en-US" w:eastAsia="zh-CN"/>
        </w:rPr>
        <w:t>.</w:t>
      </w:r>
      <w:r w:rsidRPr="00CD1426">
        <w:rPr>
          <w:rFonts w:ascii="Book Antiqua" w:hAnsi="Book Antiqua" w:cs="Arial"/>
          <w:lang w:val="en-US"/>
        </w:rPr>
        <w:t xml:space="preserve"> Another trial </w:t>
      </w:r>
      <w:proofErr w:type="spellStart"/>
      <w:r w:rsidRPr="00CD1426">
        <w:rPr>
          <w:rFonts w:ascii="Book Antiqua" w:hAnsi="Book Antiqua" w:cs="Arial"/>
          <w:lang w:val="en-US"/>
        </w:rPr>
        <w:t>analysed</w:t>
      </w:r>
      <w:proofErr w:type="spellEnd"/>
      <w:r w:rsidRPr="00CD1426">
        <w:rPr>
          <w:rFonts w:ascii="Book Antiqua" w:hAnsi="Book Antiqua" w:cs="Arial"/>
          <w:lang w:val="en-US"/>
        </w:rPr>
        <w:t xml:space="preserve"> the efficacy of ABT-450/r–</w:t>
      </w:r>
      <w:proofErr w:type="spellStart"/>
      <w:r w:rsidRPr="00CD1426">
        <w:rPr>
          <w:rFonts w:ascii="Book Antiqua" w:hAnsi="Book Antiqua" w:cs="Arial"/>
          <w:lang w:val="en-US"/>
        </w:rPr>
        <w:t>ombitasvir</w:t>
      </w:r>
      <w:proofErr w:type="spellEnd"/>
      <w:r w:rsidRPr="00CD1426">
        <w:rPr>
          <w:rFonts w:ascii="Book Antiqua" w:hAnsi="Book Antiqua" w:cs="Arial"/>
          <w:lang w:val="en-US"/>
        </w:rPr>
        <w:t xml:space="preserve"> and </w:t>
      </w:r>
      <w:proofErr w:type="spellStart"/>
      <w:r w:rsidRPr="00CD1426">
        <w:rPr>
          <w:rFonts w:ascii="Book Antiqua" w:hAnsi="Book Antiqua" w:cs="Arial"/>
          <w:lang w:val="en-US"/>
        </w:rPr>
        <w:t>dasabuvir</w:t>
      </w:r>
      <w:proofErr w:type="spellEnd"/>
      <w:r w:rsidRPr="00CD1426">
        <w:rPr>
          <w:rFonts w:ascii="Book Antiqua" w:hAnsi="Book Antiqua" w:cs="Arial"/>
          <w:lang w:val="en-US"/>
        </w:rPr>
        <w:t xml:space="preserve"> ± ribavirin among HCV genotype 1b infected patients without cirrhosis and previously treated with </w:t>
      </w:r>
      <w:proofErr w:type="spellStart"/>
      <w:r w:rsidRPr="00CD1426">
        <w:rPr>
          <w:rFonts w:ascii="Book Antiqua" w:hAnsi="Book Antiqua" w:cs="Arial"/>
          <w:lang w:val="en-US"/>
        </w:rPr>
        <w:t>peginterferon</w:t>
      </w:r>
      <w:proofErr w:type="spellEnd"/>
      <w:r w:rsidRPr="00CD1426">
        <w:rPr>
          <w:rFonts w:ascii="Book Antiqua" w:hAnsi="Book Antiqua" w:cs="Arial"/>
          <w:lang w:val="en-US"/>
        </w:rPr>
        <w:t xml:space="preserve"> and ribavirin. The SVR12 rate including ribavirin was 96.6% a</w:t>
      </w:r>
      <w:r w:rsidR="006074EB" w:rsidRPr="00CD1426">
        <w:rPr>
          <w:rFonts w:ascii="Book Antiqua" w:hAnsi="Book Antiqua" w:cs="Arial"/>
          <w:lang w:val="en-US"/>
        </w:rPr>
        <w:t>nd without ribavirin, was 100%</w:t>
      </w:r>
      <w:r w:rsidRPr="00CD1426">
        <w:rPr>
          <w:rFonts w:ascii="Book Antiqua" w:hAnsi="Book Antiqua" w:cs="Arial"/>
          <w:lang w:val="en-US"/>
        </w:rPr>
        <w:fldChar w:fldCharType="begin" w:fldLock="1"/>
      </w:r>
      <w:r w:rsidR="001D4A08" w:rsidRPr="00CD1426">
        <w:rPr>
          <w:rFonts w:ascii="Book Antiqua" w:hAnsi="Book Antiqua" w:cs="Arial"/>
          <w:lang w:val="en-US"/>
        </w:rPr>
        <w:instrText>ADDIN CSL_CITATION { "citationItems" : [ { "id" : "ITEM-1", "itemData" : { "DOI" : "10.1056/NEJMoa1401561", "ISSN" : "1533-4406", "PMID" : "24720679", "abstract" : "BACKGROUND: In this phase 3 trial we evaluated the efficacy and safety of the interferon-free combination of ABT-450 with ritonavir (ABT-450/r), ombitasvir (also known as ABT-267), dasabuvir (also known as ABT-333), and ribavirin for the retreatment of HCV in patients who were previously treated with peginterferon-ribavirin.\n\nMETHODS: We enrolled patients with HCV genotype 1 infection and no cirrhosis who had previously been treated with peginterferon-ribavirin and had a relapse, a partial response, or a null response. Patients were randomly assigned in a 3:1 ratio to receive coformulated ABT-450/r-ombitasvir (at a once-daily dose of 150 mg of ABT-450, 100 mg of ritonavir, and 25 mg of ombitasvir) and dasabuvir (250 mg twice daily) with ribavirin (1000 or 1200 mg daily) or matching placebos during the 12-week double-blind period. The primary end point was the rate of sustained virologic response 12 weeks after the end of study treatment. The primary efficacy analysis compared this rate among patients assigned to the active regimen with a historical response rate (65%) among previously treated patients with HCV genotype 1 infection and no cirrhosis who had received retreatment with telaprevir and peginterferon-ribavirin.\n\nRESULTS: A total of 394 patients received at least one study-drug dose. In the active-regimen group, 286 of 297 patients had a sustained virologic response at post-treatment week 12, for an overall rate of 96.3% (95% confidence interval, 94.2 to 98.4). This rate was noninferior and superior to the historical control rate. Rates were 95.3% among patients with a prior relapse (82 of 86 patients), 100% among patients with a prior partial response (65 of 65 patients), and 95.2% among patients with a prior null response (139 of 146 patients). Pruritus occurred more frequently with the active regimen (in 13.8% of patients) than with placebo (5.2%, P=0.03). Three patients in the active-regimen group (1.0%) discontinued the study drugs owing to adverse events. Hemoglobin values of grade 2 (8.0 to &lt;10.0 g per deciliter) and grade 3 (6.5 to &lt;8.0 g per deciliter) occurred in 4.7% and 0.3% of patients in the active-regimen group, respectively.\n\nCONCLUSIONS: Rates of response to a 12-week interferon-free combination regimen were more than 95% among previously treated patients with HCV genotype 1 infection, including patients with a prior null response. (Funded by AbbVie; SAPPHIRE-II ClinicalTrials.gov number, NCT01715415.).", "author" : [ { "dropping-particle" : "", "family" : "Zeuzem", "given" : "Stefan", "non-dropping-particle" : "", "parse-names" : false, "suffix" : "" }, { "dropping-particle" : "", "family" : "Jacobson", "given" : "Ira M", "non-dropping-particle" : "", "parse-names" : false, "suffix" : "" }, { "dropping-particle" : "", "family" : "Baykal", "given" : "Tolga", "non-dropping-particle" : "", "parse-names" : false, "suffix" : "" }, { "dropping-particle" : "", "family" : "Marinho", "given" : "Rui T", "non-dropping-particle" : "", "parse-names" : false, "suffix" : "" }, { "dropping-particle" : "", "family" : "Poordad", "given" : "Fred", "non-dropping-particle" : "", "parse-names" : false, "suffix" : "" }, { "dropping-particle" : "", "family" : "Bourli\u00e8re", "given" : "Marc", "non-dropping-particle" : "", "parse-names" : false, "suffix" : "" }, { "dropping-particle" : "", "family" : "Sulkowski", "given" : "Mark S", "non-dropping-particle" : "", "parse-names" : false, "suffix" : "" }, { "dropping-particle" : "", "family" : "Wedemeyer", "given" : "Heiner", "non-dropping-particle" : "", "parse-names" : false, "suffix" : "" }, { "dropping-particle" : "", "family" : "Tam", "given" : "Edward", "non-dropping-particle" : "", "parse-names" : false, "suffix" : "" }, { "dropping-particle" : "", "family" : "Desmond", "given" : "Paul", "non-dropping-particle" : "", "parse-names" : false, "suffix" : "" }, { "dropping-particle" : "", "family" : "Jensen", "given" : "Donald M", "non-dropping-particle" : "", "parse-names" : false, "suffix" : "" }, { "dropping-particle" : "", "family" : "Bisceglie", "given" : "Adrian M", "non-dropping-particle" : "Di", "parse-names" : false, "suffix" : "" }, { "dropping-particle" : "", "family" : "Varunok", "given" : "Peter", "non-dropping-particle" : "", "parse-names" : false, "suffix" : "" }, { "dropping-particle" : "", "family" : "Hassanein", "given" : "Tarek", "non-dropping-particle" : "", "parse-names" : false, "suffix" : "" }, { "dropping-particle" : "", "family" : "Xiong", "given" : "Junyuan", "non-dropping-particle" : "", "parse-names" : false, "suffix" : "" }, { "dropping-particle" : "", "family" : "Pilot-Matias", "given" : "Tami", "non-dropping-particle" : "", "parse-names" : false, "suffix" : "" }, { "dropping-particle" : "", "family" : "DaSilva-Tillmann", "given" : "Barbara", "non-dropping-particle" : "", "parse-names" : false, "suffix" : "" }, { "dropping-particle" : "", "family" : "Larsen", "given" : "Lois", "non-dropping-particle" : "", "parse-names" : false, "suffix" : "" }, { "dropping-particle" : "", "family" : "Podsadecki", "given" : "Thomas", "non-dropping-particle" : "", "parse-names" : false, "suffix" : "" }, { "dropping-particle" : "", "family" : "Bernstein", "given" : "Barry", "non-dropping-particle" : "", "parse-names" : false, "suffix" : "" } ], "container-title" : "The New England journal of medicine", "id" : "ITEM-1", "issue" : "17", "issued" : { "date-parts" : [ [ "2014", "4", "24" ] ] }, "page" : "1604-14", "title" : "Retreatment of HCV with ABT-450/r-ombitasvir and dasabuvir with ribavirin.", "type" : "article-journal", "volume" : "370" }, "uris" : [ "http://www.mendeley.com/documents/?uuid=2e33fdcd-f274-43d8-8bdc-3a455f0a3326" ] } ], "mendeley" : { "formattedCitation" : "&lt;sup&gt;[71]&lt;/sup&gt;", "plainTextFormattedCitation" : "[71]", "previouslyFormattedCitation" : "&lt;sup&gt;[71]&lt;/sup&gt;" }, "properties" : { "noteIndex" : 0 }, "schema" : "https://github.com/citation-style-language/schema/raw/master/csl-citation.json" }</w:instrText>
      </w:r>
      <w:r w:rsidRPr="00CD1426">
        <w:rPr>
          <w:rFonts w:ascii="Book Antiqua" w:hAnsi="Book Antiqua" w:cs="Arial"/>
          <w:lang w:val="en-US"/>
        </w:rPr>
        <w:fldChar w:fldCharType="separate"/>
      </w:r>
      <w:r w:rsidR="001D4A08" w:rsidRPr="00CD1426">
        <w:rPr>
          <w:rFonts w:ascii="Book Antiqua" w:hAnsi="Book Antiqua" w:cs="Arial"/>
          <w:noProof/>
          <w:vertAlign w:val="superscript"/>
          <w:lang w:val="en-US"/>
        </w:rPr>
        <w:t>[71]</w:t>
      </w:r>
      <w:r w:rsidRPr="00CD1426">
        <w:rPr>
          <w:rFonts w:ascii="Book Antiqua" w:hAnsi="Book Antiqua" w:cs="Arial"/>
          <w:lang w:val="en-US"/>
        </w:rPr>
        <w:fldChar w:fldCharType="end"/>
      </w:r>
      <w:r w:rsidR="006074EB" w:rsidRPr="00CD1426">
        <w:rPr>
          <w:rFonts w:ascii="Book Antiqua" w:hAnsi="Book Antiqua" w:cs="Arial"/>
          <w:lang w:val="en-US" w:eastAsia="zh-CN"/>
        </w:rPr>
        <w:t>.</w:t>
      </w:r>
      <w:r w:rsidRPr="00CD1426">
        <w:rPr>
          <w:rFonts w:ascii="Book Antiqua" w:hAnsi="Book Antiqua" w:cs="Arial"/>
          <w:lang w:val="en-US"/>
        </w:rPr>
        <w:t xml:space="preserve"> The SVR rates were 95.3% for previously relapsed patients, 100% among patients with previous partial response and 95.2% among those with a null response</w:t>
      </w:r>
      <w:r w:rsidRPr="00CD1426">
        <w:rPr>
          <w:rFonts w:ascii="Book Antiqua" w:hAnsi="Book Antiqua" w:cs="Arial"/>
          <w:shd w:val="clear" w:color="auto" w:fill="FFFFFF"/>
          <w:lang w:val="en-US" w:eastAsia="en-US"/>
        </w:rPr>
        <w:fldChar w:fldCharType="begin" w:fldLock="1"/>
      </w:r>
      <w:r w:rsidR="001D4A08" w:rsidRPr="00CD1426">
        <w:rPr>
          <w:rFonts w:ascii="Book Antiqua" w:hAnsi="Book Antiqua" w:cs="Arial"/>
          <w:shd w:val="clear" w:color="auto" w:fill="FFFFFF"/>
          <w:lang w:val="en-US" w:eastAsia="en-US"/>
        </w:rPr>
        <w:instrText>ADDIN CSL_CITATION { "citationItems" : [ { "id" : "ITEM-1", "itemData" : { "DOI" : "10.1056/NEJMoa1401561", "ISSN" : "1533-4406", "PMID" : "24720679", "abstract" : "BACKGROUND: In this phase 3 trial we evaluated the efficacy and safety of the interferon-free combination of ABT-450 with ritonavir (ABT-450/r), ombitasvir (also known as ABT-267), dasabuvir (also known as ABT-333), and ribavirin for the retreatment of HCV in patients who were previously treated with peginterferon-ribavirin.\n\nMETHODS: We enrolled patients with HCV genotype 1 infection and no cirrhosis who had previously been treated with peginterferon-ribavirin and had a relapse, a partial response, or a null response. Patients were randomly assigned in a 3:1 ratio to receive coformulated ABT-450/r-ombitasvir (at a once-daily dose of 150 mg of ABT-450, 100 mg of ritonavir, and 25 mg of ombitasvir) and dasabuvir (250 mg twice daily) with ribavirin (1000 or 1200 mg daily) or matching placebos during the 12-week double-blind period. The primary end point was the rate of sustained virologic response 12 weeks after the end of study treatment. The primary efficacy analysis compared this rate among patients assigned to the active regimen with a historical response rate (65%) among previously treated patients with HCV genotype 1 infection and no cirrhosis who had received retreatment with telaprevir and peginterferon-ribavirin.\n\nRESULTS: A total of 394 patients received at least one study-drug dose. In the active-regimen group, 286 of 297 patients had a sustained virologic response at post-treatment week 12, for an overall rate of 96.3% (95% confidence interval, 94.2 to 98.4). This rate was noninferior and superior to the historical control rate. Rates were 95.3% among patients with a prior relapse (82 of 86 patients), 100% among patients with a prior partial response (65 of 65 patients), and 95.2% among patients with a prior null response (139 of 146 patients). Pruritus occurred more frequently with the active regimen (in 13.8% of patients) than with placebo (5.2%, P=0.03). Three patients in the active-regimen group (1.0%) discontinued the study drugs owing to adverse events. Hemoglobin values of grade 2 (8.0 to &lt;10.0 g per deciliter) and grade 3 (6.5 to &lt;8.0 g per deciliter) occurred in 4.7% and 0.3% of patients in the active-regimen group, respectively.\n\nCONCLUSIONS: Rates of response to a 12-week interferon-free combination regimen were more than 95% among previously treated patients with HCV genotype 1 infection, including patients with a prior null response. (Funded by AbbVie; SAPPHIRE-II ClinicalTrials.gov number, NCT01715415.).", "author" : [ { "dropping-particle" : "", "family" : "Zeuzem", "given" : "Stefan", "non-dropping-particle" : "", "parse-names" : false, "suffix" : "" }, { "dropping-particle" : "", "family" : "Jacobson", "given" : "Ira M", "non-dropping-particle" : "", "parse-names" : false, "suffix" : "" }, { "dropping-particle" : "", "family" : "Baykal", "given" : "Tolga", "non-dropping-particle" : "", "parse-names" : false, "suffix" : "" }, { "dropping-particle" : "", "family" : "Marinho", "given" : "Rui T", "non-dropping-particle" : "", "parse-names" : false, "suffix" : "" }, { "dropping-particle" : "", "family" : "Poordad", "given" : "Fred", "non-dropping-particle" : "", "parse-names" : false, "suffix" : "" }, { "dropping-particle" : "", "family" : "Bourli\u00e8re", "given" : "Marc", "non-dropping-particle" : "", "parse-names" : false, "suffix" : "" }, { "dropping-particle" : "", "family" : "Sulkowski", "given" : "Mark S", "non-dropping-particle" : "", "parse-names" : false, "suffix" : "" }, { "dropping-particle" : "", "family" : "Wedemeyer", "given" : "Heiner", "non-dropping-particle" : "", "parse-names" : false, "suffix" : "" }, { "dropping-particle" : "", "family" : "Tam", "given" : "Edward", "non-dropping-particle" : "", "parse-names" : false, "suffix" : "" }, { "dropping-particle" : "", "family" : "Desmond", "given" : "Paul", "non-dropping-particle" : "", "parse-names" : false, "suffix" : "" }, { "dropping-particle" : "", "family" : "Jensen", "given" : "Donald M", "non-dropping-particle" : "", "parse-names" : false, "suffix" : "" }, { "dropping-particle" : "", "family" : "Bisceglie", "given" : "Adrian M", "non-dropping-particle" : "Di", "parse-names" : false, "suffix" : "" }, { "dropping-particle" : "", "family" : "Varunok", "given" : "Peter", "non-dropping-particle" : "", "parse-names" : false, "suffix" : "" }, { "dropping-particle" : "", "family" : "Hassanein", "given" : "Tarek", "non-dropping-particle" : "", "parse-names" : false, "suffix" : "" }, { "dropping-particle" : "", "family" : "Xiong", "given" : "Junyuan", "non-dropping-particle" : "", "parse-names" : false, "suffix" : "" }, { "dropping-particle" : "", "family" : "Pilot-Matias", "given" : "Tami", "non-dropping-particle" : "", "parse-names" : false, "suffix" : "" }, { "dropping-particle" : "", "family" : "DaSilva-Tillmann", "given" : "Barbara", "non-dropping-particle" : "", "parse-names" : false, "suffix" : "" }, { "dropping-particle" : "", "family" : "Larsen", "given" : "Lois", "non-dropping-particle" : "", "parse-names" : false, "suffix" : "" }, { "dropping-particle" : "", "family" : "Podsadecki", "given" : "Thomas", "non-dropping-particle" : "", "parse-names" : false, "suffix" : "" }, { "dropping-particle" : "", "family" : "Bernstein", "given" : "Barry", "non-dropping-particle" : "", "parse-names" : false, "suffix" : "" } ], "container-title" : "The New England journal of medicine", "id" : "ITEM-1", "issue" : "17", "issued" : { "date-parts" : [ [ "2014", "4", "24" ] ] }, "page" : "1604-14", "title" : "Retreatment of HCV with ABT-450/r-ombitasvir and dasabuvir with ribavirin.", "type" : "article-journal", "volume" : "370" }, "uris" : [ "http://www.mendeley.com/documents/?uuid=2e33fdcd-f274-43d8-8bdc-3a455f0a3326" ] } ], "mendeley" : { "formattedCitation" : "&lt;sup&gt;[71]&lt;/sup&gt;", "plainTextFormattedCitation" : "[71]", "previouslyFormattedCitation" : "&lt;sup&gt;[71]&lt;/sup&gt;" }, "properties" : { "noteIndex" : 0 }, "schema" : "https://github.com/citation-style-language/schema/raw/master/csl-citation.json" }</w:instrText>
      </w:r>
      <w:r w:rsidRPr="00CD1426">
        <w:rPr>
          <w:rFonts w:ascii="Book Antiqua" w:hAnsi="Book Antiqua" w:cs="Arial"/>
          <w:shd w:val="clear" w:color="auto" w:fill="FFFFFF"/>
          <w:lang w:val="en-US" w:eastAsia="en-US"/>
        </w:rPr>
        <w:fldChar w:fldCharType="separate"/>
      </w:r>
      <w:r w:rsidR="001D4A08" w:rsidRPr="00CD1426">
        <w:rPr>
          <w:rFonts w:ascii="Book Antiqua" w:hAnsi="Book Antiqua" w:cs="Arial"/>
          <w:noProof/>
          <w:shd w:val="clear" w:color="auto" w:fill="FFFFFF"/>
          <w:vertAlign w:val="superscript"/>
          <w:lang w:val="en-US" w:eastAsia="en-US"/>
        </w:rPr>
        <w:t>[71]</w:t>
      </w:r>
      <w:r w:rsidRPr="00CD1426">
        <w:rPr>
          <w:rFonts w:ascii="Book Antiqua" w:hAnsi="Book Antiqua" w:cs="Arial"/>
          <w:shd w:val="clear" w:color="auto" w:fill="FFFFFF"/>
          <w:lang w:val="en-US" w:eastAsia="en-US"/>
        </w:rPr>
        <w:fldChar w:fldCharType="end"/>
      </w:r>
      <w:r w:rsidR="006074EB" w:rsidRPr="00CD1426">
        <w:rPr>
          <w:rFonts w:ascii="Book Antiqua" w:hAnsi="Book Antiqua" w:cs="Arial"/>
          <w:shd w:val="clear" w:color="auto" w:fill="FFFFFF"/>
          <w:lang w:val="en-US" w:eastAsia="zh-CN"/>
        </w:rPr>
        <w:t>.</w:t>
      </w:r>
    </w:p>
    <w:p w14:paraId="56E83837" w14:textId="77777777" w:rsidR="002B302F" w:rsidRPr="00CD1426" w:rsidRDefault="002B302F" w:rsidP="00CD1426">
      <w:pPr>
        <w:spacing w:line="360" w:lineRule="auto"/>
        <w:jc w:val="both"/>
        <w:rPr>
          <w:rFonts w:ascii="Book Antiqua" w:hAnsi="Book Antiqua" w:cs="Arial"/>
          <w:bCs/>
          <w:i/>
          <w:lang w:val="en-US"/>
        </w:rPr>
      </w:pPr>
    </w:p>
    <w:p w14:paraId="25C17F68" w14:textId="37F73BF7" w:rsidR="002B302F" w:rsidRPr="00CD1426" w:rsidRDefault="002B302F" w:rsidP="00CD1426">
      <w:pPr>
        <w:spacing w:line="360" w:lineRule="auto"/>
        <w:jc w:val="both"/>
        <w:rPr>
          <w:rFonts w:ascii="Book Antiqua" w:hAnsi="Book Antiqua" w:cs="Arial"/>
          <w:b/>
          <w:bCs/>
          <w:lang w:val="en-US"/>
        </w:rPr>
      </w:pPr>
      <w:r w:rsidRPr="00CD1426">
        <w:rPr>
          <w:rFonts w:ascii="Book Antiqua" w:hAnsi="Book Antiqua" w:cs="Arial"/>
          <w:b/>
          <w:bCs/>
          <w:i/>
          <w:lang w:val="en-US"/>
        </w:rPr>
        <w:t xml:space="preserve">MK-5172 + MK-8742 ± RBV in HCV </w:t>
      </w:r>
      <w:r w:rsidR="006074EB" w:rsidRPr="00CD1426">
        <w:rPr>
          <w:rFonts w:ascii="Book Antiqua" w:hAnsi="Book Antiqua" w:cs="Arial"/>
          <w:b/>
          <w:bCs/>
          <w:i/>
          <w:lang w:val="en-US"/>
        </w:rPr>
        <w:t xml:space="preserve">genotype </w:t>
      </w:r>
      <w:r w:rsidRPr="00CD1426">
        <w:rPr>
          <w:rFonts w:ascii="Book Antiqua" w:hAnsi="Book Antiqua" w:cs="Arial"/>
          <w:b/>
          <w:bCs/>
          <w:i/>
          <w:lang w:val="en-US"/>
        </w:rPr>
        <w:t xml:space="preserve">1 </w:t>
      </w:r>
    </w:p>
    <w:p w14:paraId="0B418211" w14:textId="0623A476" w:rsidR="002B302F" w:rsidRPr="00CD1426" w:rsidRDefault="002B302F" w:rsidP="00CD1426">
      <w:pPr>
        <w:widowControl w:val="0"/>
        <w:autoSpaceDE w:val="0"/>
        <w:autoSpaceDN w:val="0"/>
        <w:adjustRightInd w:val="0"/>
        <w:spacing w:line="360" w:lineRule="auto"/>
        <w:jc w:val="both"/>
        <w:rPr>
          <w:rFonts w:ascii="Book Antiqua" w:hAnsi="Book Antiqua" w:cs="Arial"/>
          <w:bCs/>
          <w:lang w:val="en-US" w:eastAsia="zh-CN"/>
        </w:rPr>
      </w:pPr>
      <w:r w:rsidRPr="00CD1426">
        <w:rPr>
          <w:rFonts w:ascii="Book Antiqua" w:hAnsi="Book Antiqua" w:cs="Arial"/>
          <w:lang w:val="en-US"/>
        </w:rPr>
        <w:t>MK-5172 100 mg once daily plus MK-8742 50 mg once daily and RBV 1000-</w:t>
      </w:r>
      <w:r w:rsidRPr="00CD1426">
        <w:rPr>
          <w:rFonts w:ascii="Book Antiqua" w:hAnsi="Book Antiqua" w:cs="Arial"/>
          <w:lang w:val="en-US"/>
        </w:rPr>
        <w:lastRenderedPageBreak/>
        <w:t xml:space="preserve">1200 mg divided twice daily is another treatment regimen, which is under evaluation for HCV genotype 1 patients. </w:t>
      </w:r>
      <w:r w:rsidRPr="00CD1426">
        <w:rPr>
          <w:rFonts w:ascii="Book Antiqua" w:hAnsi="Book Antiqua" w:cs="Arial"/>
          <w:bCs/>
          <w:lang w:val="en-US"/>
        </w:rPr>
        <w:t xml:space="preserve">Therapy-naïve patients with HCV genotype 1 and cirrhosis were treated for 12 </w:t>
      </w:r>
      <w:proofErr w:type="spellStart"/>
      <w:r w:rsidRPr="00CD1426">
        <w:rPr>
          <w:rFonts w:ascii="Book Antiqua" w:hAnsi="Book Antiqua" w:cs="Arial"/>
          <w:bCs/>
          <w:lang w:val="en-US"/>
        </w:rPr>
        <w:t>w</w:t>
      </w:r>
      <w:r w:rsidR="00B33120" w:rsidRPr="00CD1426">
        <w:rPr>
          <w:rFonts w:ascii="Book Antiqua" w:hAnsi="Book Antiqua" w:cs="Arial"/>
          <w:bCs/>
          <w:lang w:val="en-US"/>
        </w:rPr>
        <w:t>k</w:t>
      </w:r>
      <w:proofErr w:type="spellEnd"/>
      <w:r w:rsidRPr="00CD1426">
        <w:rPr>
          <w:rFonts w:ascii="Book Antiqua" w:hAnsi="Book Antiqua" w:cs="Arial"/>
          <w:bCs/>
          <w:lang w:val="en-US"/>
        </w:rPr>
        <w:t xml:space="preserve"> with MK-5172 + MK-8742 ± ribavirin and obtained SVR 4/8 rates of 90% with ribavirin containing regimen and 97% when ribavirin was not included. Groups in which patients were treated for 18 </w:t>
      </w:r>
      <w:proofErr w:type="spellStart"/>
      <w:r w:rsidRPr="00CD1426">
        <w:rPr>
          <w:rFonts w:ascii="Book Antiqua" w:hAnsi="Book Antiqua" w:cs="Arial"/>
          <w:bCs/>
          <w:lang w:val="en-US"/>
        </w:rPr>
        <w:t>w</w:t>
      </w:r>
      <w:r w:rsidR="00B33120" w:rsidRPr="00CD1426">
        <w:rPr>
          <w:rFonts w:ascii="Book Antiqua" w:hAnsi="Book Antiqua" w:cs="Arial"/>
          <w:bCs/>
          <w:lang w:val="en-US"/>
        </w:rPr>
        <w:t>k</w:t>
      </w:r>
      <w:proofErr w:type="spellEnd"/>
      <w:r w:rsidRPr="00CD1426">
        <w:rPr>
          <w:rFonts w:ascii="Book Antiqua" w:hAnsi="Book Antiqua" w:cs="Arial"/>
          <w:bCs/>
          <w:lang w:val="en-US"/>
        </w:rPr>
        <w:t xml:space="preserve"> presented SVR rates of 97% with or without ribavirin. Previous HCV genotype 1 patients null responders to PR therapy when treated for 12 </w:t>
      </w:r>
      <w:proofErr w:type="spellStart"/>
      <w:r w:rsidRPr="00CD1426">
        <w:rPr>
          <w:rFonts w:ascii="Book Antiqua" w:hAnsi="Book Antiqua" w:cs="Arial"/>
          <w:bCs/>
          <w:lang w:val="en-US"/>
        </w:rPr>
        <w:t>w</w:t>
      </w:r>
      <w:r w:rsidR="00B33120" w:rsidRPr="00CD1426">
        <w:rPr>
          <w:rFonts w:ascii="Book Antiqua" w:hAnsi="Book Antiqua" w:cs="Arial"/>
          <w:bCs/>
          <w:lang w:val="en-US"/>
        </w:rPr>
        <w:t>k</w:t>
      </w:r>
      <w:proofErr w:type="spellEnd"/>
      <w:r w:rsidRPr="00CD1426">
        <w:rPr>
          <w:rFonts w:ascii="Book Antiqua" w:hAnsi="Book Antiqua" w:cs="Arial"/>
          <w:bCs/>
          <w:lang w:val="en-US"/>
        </w:rPr>
        <w:t xml:space="preserve"> had a 94% SVR 4/8 rate in the regimen with ribavirin, and a 91% SVR 4/8 rate in the regimen without ribavirin. When treated for 18 </w:t>
      </w:r>
      <w:proofErr w:type="spellStart"/>
      <w:r w:rsidRPr="00CD1426">
        <w:rPr>
          <w:rFonts w:ascii="Book Antiqua" w:hAnsi="Book Antiqua" w:cs="Arial"/>
          <w:bCs/>
          <w:lang w:val="en-US"/>
        </w:rPr>
        <w:t>w</w:t>
      </w:r>
      <w:r w:rsidR="00B33120" w:rsidRPr="00CD1426">
        <w:rPr>
          <w:rFonts w:ascii="Book Antiqua" w:hAnsi="Book Antiqua" w:cs="Arial"/>
          <w:bCs/>
          <w:lang w:val="en-US"/>
        </w:rPr>
        <w:t>k</w:t>
      </w:r>
      <w:proofErr w:type="spellEnd"/>
      <w:r w:rsidRPr="00CD1426">
        <w:rPr>
          <w:rFonts w:ascii="Book Antiqua" w:hAnsi="Book Antiqua" w:cs="Arial"/>
          <w:bCs/>
          <w:lang w:val="en-US"/>
        </w:rPr>
        <w:t>, the SVR4/8 was 100% in the ribavirin-containing regimen group and 97% if riba</w:t>
      </w:r>
      <w:r w:rsidR="006074EB" w:rsidRPr="00CD1426">
        <w:rPr>
          <w:rFonts w:ascii="Book Antiqua" w:hAnsi="Book Antiqua" w:cs="Arial"/>
          <w:bCs/>
          <w:lang w:val="en-US"/>
        </w:rPr>
        <w:t>virin was not added to therapy</w:t>
      </w:r>
      <w:r w:rsidRPr="00CD1426">
        <w:rPr>
          <w:rFonts w:ascii="Book Antiqua" w:hAnsi="Book Antiqua" w:cs="Arial"/>
          <w:bCs/>
          <w:lang w:val="en-US"/>
        </w:rPr>
        <w:fldChar w:fldCharType="begin" w:fldLock="1"/>
      </w:r>
      <w:r w:rsidR="001D4A08" w:rsidRPr="00CD1426">
        <w:rPr>
          <w:rFonts w:ascii="Book Antiqua" w:hAnsi="Book Antiqua" w:cs="Arial"/>
          <w:bCs/>
          <w:lang w:val="en-US"/>
        </w:rPr>
        <w:instrText>ADDIN CSL_CITATION { "citationItems" : [ { "id" : "ITEM-1", "itemData" : { "author" : [ { "dropping-particle" : "al", "family" : "Lawitz", "given" : "Eric et", "non-dropping-particle" : "", "parse-names" : false, "suffix" : "" } ], "container-title" : "EASL", "id" : "ITEM-1", "issued" : { "date-parts" : [ [ "2014" ] ] }, "page" : "Abstract 061", "title" : "C-WORTHY: MK-5172 + MK-8742 \u00b1 RBV in GT1 Cirrhotics and Null Responders", "type" : "article-journal" }, "uris" : [ "http://www.mendeley.com/documents/?uuid=d3229ef2-61a0-4b98-947c-e732cad67918" ] } ], "mendeley" : { "formattedCitation" : "&lt;sup&gt;[72]&lt;/sup&gt;", "plainTextFormattedCitation" : "[72]", "previouslyFormattedCitation" : "&lt;sup&gt;[72]&lt;/sup&gt;" }, "properties" : { "noteIndex" : 0 }, "schema" : "https://github.com/citation-style-language/schema/raw/master/csl-citation.json" }</w:instrText>
      </w:r>
      <w:r w:rsidRPr="00CD1426">
        <w:rPr>
          <w:rFonts w:ascii="Book Antiqua" w:hAnsi="Book Antiqua" w:cs="Arial"/>
          <w:bCs/>
          <w:lang w:val="en-US"/>
        </w:rPr>
        <w:fldChar w:fldCharType="separate"/>
      </w:r>
      <w:r w:rsidR="001D4A08" w:rsidRPr="00CD1426">
        <w:rPr>
          <w:rFonts w:ascii="Book Antiqua" w:hAnsi="Book Antiqua" w:cs="Arial"/>
          <w:bCs/>
          <w:noProof/>
          <w:vertAlign w:val="superscript"/>
          <w:lang w:val="en-US"/>
        </w:rPr>
        <w:t>[72]</w:t>
      </w:r>
      <w:r w:rsidRPr="00CD1426">
        <w:rPr>
          <w:rFonts w:ascii="Book Antiqua" w:hAnsi="Book Antiqua" w:cs="Arial"/>
          <w:bCs/>
          <w:lang w:val="en-US"/>
        </w:rPr>
        <w:fldChar w:fldCharType="end"/>
      </w:r>
      <w:r w:rsidR="006074EB" w:rsidRPr="00CD1426">
        <w:rPr>
          <w:rFonts w:ascii="Book Antiqua" w:hAnsi="Book Antiqua" w:cs="Arial"/>
          <w:bCs/>
          <w:lang w:val="en-US" w:eastAsia="zh-CN"/>
        </w:rPr>
        <w:t>.</w:t>
      </w:r>
    </w:p>
    <w:p w14:paraId="6B276C03" w14:textId="77777777" w:rsidR="002B302F" w:rsidRPr="00CD1426" w:rsidRDefault="002B302F" w:rsidP="00CD1426">
      <w:pPr>
        <w:widowControl w:val="0"/>
        <w:autoSpaceDE w:val="0"/>
        <w:autoSpaceDN w:val="0"/>
        <w:adjustRightInd w:val="0"/>
        <w:spacing w:line="360" w:lineRule="auto"/>
        <w:jc w:val="both"/>
        <w:rPr>
          <w:rFonts w:ascii="Book Antiqua" w:hAnsi="Book Antiqua" w:cs="Arial"/>
          <w:b/>
          <w:lang w:val="en-US"/>
        </w:rPr>
      </w:pPr>
    </w:p>
    <w:p w14:paraId="6267A4E0" w14:textId="77777777" w:rsidR="002B302F" w:rsidRPr="00CD1426" w:rsidRDefault="002B302F" w:rsidP="00CD1426">
      <w:pPr>
        <w:widowControl w:val="0"/>
        <w:autoSpaceDE w:val="0"/>
        <w:autoSpaceDN w:val="0"/>
        <w:adjustRightInd w:val="0"/>
        <w:spacing w:line="360" w:lineRule="auto"/>
        <w:jc w:val="both"/>
        <w:rPr>
          <w:rFonts w:ascii="Book Antiqua" w:hAnsi="Book Antiqua" w:cs="Arial"/>
          <w:b/>
          <w:lang w:val="en-US"/>
        </w:rPr>
      </w:pPr>
      <w:r w:rsidRPr="00CD1426">
        <w:rPr>
          <w:rFonts w:ascii="Book Antiqua" w:hAnsi="Book Antiqua" w:cs="Arial"/>
          <w:b/>
          <w:lang w:val="en-US"/>
        </w:rPr>
        <w:t>LIVER TRANSPLANTATION</w:t>
      </w:r>
    </w:p>
    <w:p w14:paraId="3D2D13E5" w14:textId="77777777" w:rsidR="002B302F" w:rsidRPr="00CD1426" w:rsidRDefault="002B302F" w:rsidP="00CD1426">
      <w:pPr>
        <w:spacing w:line="360" w:lineRule="auto"/>
        <w:jc w:val="both"/>
        <w:rPr>
          <w:rFonts w:ascii="Book Antiqua" w:hAnsi="Book Antiqua"/>
          <w:lang w:val="en-US"/>
        </w:rPr>
      </w:pPr>
      <w:r w:rsidRPr="00CD1426">
        <w:rPr>
          <w:rFonts w:ascii="Book Antiqua" w:hAnsi="Book Antiqua"/>
          <w:lang w:val="en-US"/>
        </w:rPr>
        <w:t>Treatment of HCV infection in the transplant scenario is indicated in two different situations: patients awaiting liver transplantation (LT) to prevent HCV infection of the graft; and patients with hepatitis C recurrence after LT in order to reduce the damage to the already infected graft.</w:t>
      </w:r>
    </w:p>
    <w:p w14:paraId="05610EF6" w14:textId="77777777" w:rsidR="002B302F" w:rsidRPr="00CD1426" w:rsidRDefault="002B302F" w:rsidP="00CD1426">
      <w:pPr>
        <w:spacing w:line="360" w:lineRule="auto"/>
        <w:jc w:val="both"/>
        <w:rPr>
          <w:rFonts w:ascii="Book Antiqua" w:hAnsi="Book Antiqua"/>
          <w:lang w:val="en-US"/>
        </w:rPr>
      </w:pPr>
    </w:p>
    <w:p w14:paraId="2C0CA7A4" w14:textId="290D330C" w:rsidR="002B302F" w:rsidRPr="00C04C74" w:rsidRDefault="002B302F" w:rsidP="00CD1426">
      <w:pPr>
        <w:spacing w:line="360" w:lineRule="auto"/>
        <w:jc w:val="both"/>
        <w:rPr>
          <w:rFonts w:ascii="Book Antiqua" w:hAnsi="Book Antiqua"/>
          <w:b/>
          <w:i/>
          <w:lang w:val="en-US" w:eastAsia="zh-CN"/>
        </w:rPr>
      </w:pPr>
      <w:r w:rsidRPr="00CD1426">
        <w:rPr>
          <w:rFonts w:ascii="Book Antiqua" w:hAnsi="Book Antiqua"/>
          <w:b/>
          <w:i/>
          <w:lang w:val="en-US"/>
        </w:rPr>
        <w:t>Patients awaiting liver transplantation</w:t>
      </w:r>
    </w:p>
    <w:p w14:paraId="7C87FD71" w14:textId="70AF11BA" w:rsidR="002B302F" w:rsidRPr="00CD1426" w:rsidRDefault="002B302F" w:rsidP="00CD1426">
      <w:pPr>
        <w:spacing w:line="360" w:lineRule="auto"/>
        <w:jc w:val="both"/>
        <w:rPr>
          <w:rFonts w:ascii="Book Antiqua" w:hAnsi="Book Antiqua"/>
          <w:lang w:val="en-US" w:eastAsia="zh-CN"/>
        </w:rPr>
      </w:pPr>
      <w:r w:rsidRPr="00CD1426">
        <w:rPr>
          <w:rFonts w:ascii="Book Antiqua" w:eastAsia="Times New Roman" w:hAnsi="Book Antiqua"/>
          <w:lang w:val="en-US"/>
        </w:rPr>
        <w:t xml:space="preserve">Post-transplant recurrence of </w:t>
      </w:r>
      <w:r w:rsidRPr="00CD1426">
        <w:rPr>
          <w:rStyle w:val="highlight"/>
          <w:rFonts w:ascii="Book Antiqua" w:eastAsia="Times New Roman" w:hAnsi="Book Antiqua"/>
          <w:lang w:val="en-US"/>
        </w:rPr>
        <w:t>HCV</w:t>
      </w:r>
      <w:r w:rsidRPr="00CD1426">
        <w:rPr>
          <w:rFonts w:ascii="Book Antiqua" w:eastAsia="Times New Roman" w:hAnsi="Book Antiqua"/>
          <w:lang w:val="en-US"/>
        </w:rPr>
        <w:t xml:space="preserve"> is common in patients who have detectable </w:t>
      </w:r>
      <w:r w:rsidRPr="00CD1426">
        <w:rPr>
          <w:rStyle w:val="highlight"/>
          <w:rFonts w:ascii="Book Antiqua" w:eastAsia="Times New Roman" w:hAnsi="Book Antiqua"/>
          <w:lang w:val="en-US"/>
        </w:rPr>
        <w:t>HCV</w:t>
      </w:r>
      <w:r w:rsidRPr="00CD1426">
        <w:rPr>
          <w:rFonts w:ascii="Book Antiqua" w:eastAsia="Times New Roman" w:hAnsi="Book Antiqua"/>
          <w:lang w:val="en-US"/>
        </w:rPr>
        <w:t xml:space="preserve"> RNA at the time of </w:t>
      </w:r>
      <w:r w:rsidRPr="00CD1426">
        <w:rPr>
          <w:rStyle w:val="highlight"/>
          <w:rFonts w:ascii="Book Antiqua" w:eastAsia="Times New Roman" w:hAnsi="Book Antiqua"/>
          <w:lang w:val="en-US"/>
        </w:rPr>
        <w:t>transplantation</w:t>
      </w:r>
      <w:r w:rsidRPr="00CD1426">
        <w:rPr>
          <w:rFonts w:ascii="Book Antiqua" w:eastAsia="Times New Roman" w:hAnsi="Book Antiqua"/>
          <w:lang w:val="en-US"/>
        </w:rPr>
        <w:t xml:space="preserve">. </w:t>
      </w:r>
      <w:r w:rsidRPr="00CD1426">
        <w:rPr>
          <w:rFonts w:ascii="Book Antiqua" w:hAnsi="Book Antiqua"/>
          <w:lang w:val="en-US"/>
        </w:rPr>
        <w:t>In patients waiting for liver transplantation, antiviral therapy may be indicated because it prevents graf</w:t>
      </w:r>
      <w:r w:rsidR="002118C1" w:rsidRPr="00CD1426">
        <w:rPr>
          <w:rFonts w:ascii="Book Antiqua" w:hAnsi="Book Antiqua"/>
          <w:lang w:val="en-US"/>
        </w:rPr>
        <w:t xml:space="preserve">t infection if HCV RNA becomes </w:t>
      </w:r>
      <w:r w:rsidRPr="00CD1426">
        <w:rPr>
          <w:rFonts w:ascii="Book Antiqua" w:hAnsi="Book Antiqua"/>
          <w:lang w:val="en-US"/>
        </w:rPr>
        <w:t>undetectable at least 30</w:t>
      </w:r>
      <w:r w:rsidR="006074EB" w:rsidRPr="00CD1426">
        <w:rPr>
          <w:rFonts w:ascii="Book Antiqua" w:hAnsi="Book Antiqua"/>
          <w:lang w:val="en-US"/>
        </w:rPr>
        <w:t xml:space="preserve"> d prior to transplantation</w:t>
      </w:r>
      <w:r w:rsidRPr="00CD1426">
        <w:rPr>
          <w:rFonts w:ascii="Book Antiqua" w:hAnsi="Book Antiqua"/>
          <w:lang w:val="en-US"/>
        </w:rPr>
        <w:fldChar w:fldCharType="begin" w:fldLock="1"/>
      </w:r>
      <w:r w:rsidR="001D4A08" w:rsidRPr="00CD1426">
        <w:rPr>
          <w:rFonts w:ascii="Book Antiqua" w:hAnsi="Book Antiqua"/>
          <w:lang w:val="en-US"/>
        </w:rPr>
        <w:instrText>ADDIN CSL_CITATION { "citationItems" : [ { "id" : "ITEM-1", "itemData" : { "URL" : "http://www.easl.eu/_newsroom/latest-news/easl-recommendations-on-treatment-of-hepatitis-c-2014", "accessed" : { "date-parts" : [ [ "2014", "8", "21" ] ] }, "id" : "ITEM-1", "issued" : { "date-parts" : [ [ "0" ] ] }, "title" : "EASL Recommendations on Treatment of Hepatitis C 2014 .:. Latest news .:. EASL - EUROPEAN ASSOCIATION FOR THE STUDY OF THE LIVER", "type" : "webpage" }, "uris" : [ "http://www.mendeley.com/documents/?uuid=e9f64203-aa43-42f2-a304-9f47ea3a54f1" ] } ], "mendeley" : { "formattedCitation" : "&lt;sup&gt;[59]&lt;/sup&gt;", "plainTextFormattedCitation" : "[59]", "previouslyFormattedCitation" : "&lt;sup&gt;[59]&lt;/sup&gt;" }, "properties" : { "noteIndex" : 0 }, "schema" : "https://github.com/citation-style-language/schema/raw/master/csl-citation.json" }</w:instrText>
      </w:r>
      <w:r w:rsidRPr="00CD1426">
        <w:rPr>
          <w:rFonts w:ascii="Book Antiqua" w:hAnsi="Book Antiqua"/>
          <w:lang w:val="en-US"/>
        </w:rPr>
        <w:fldChar w:fldCharType="separate"/>
      </w:r>
      <w:r w:rsidR="001D4A08" w:rsidRPr="00CD1426">
        <w:rPr>
          <w:rFonts w:ascii="Book Antiqua" w:hAnsi="Book Antiqua"/>
          <w:noProof/>
          <w:vertAlign w:val="superscript"/>
          <w:lang w:val="en-US"/>
        </w:rPr>
        <w:t>[59]</w:t>
      </w:r>
      <w:r w:rsidRPr="00CD1426">
        <w:rPr>
          <w:rFonts w:ascii="Book Antiqua" w:hAnsi="Book Antiqua"/>
          <w:lang w:val="en-US"/>
        </w:rPr>
        <w:fldChar w:fldCharType="end"/>
      </w:r>
      <w:r w:rsidR="006074EB" w:rsidRPr="00CD1426">
        <w:rPr>
          <w:rFonts w:ascii="Book Antiqua" w:hAnsi="Book Antiqua"/>
          <w:lang w:val="en-US" w:eastAsia="zh-CN"/>
        </w:rPr>
        <w:t>.</w:t>
      </w:r>
      <w:r w:rsidRPr="00CD1426">
        <w:rPr>
          <w:rFonts w:ascii="Book Antiqua" w:hAnsi="Book Antiqua"/>
          <w:lang w:val="en-US"/>
        </w:rPr>
        <w:t xml:space="preserve"> Current interferon-based treatments are not effective and safe in p</w:t>
      </w:r>
      <w:r w:rsidR="006074EB" w:rsidRPr="00CD1426">
        <w:rPr>
          <w:rFonts w:ascii="Book Antiqua" w:hAnsi="Book Antiqua"/>
          <w:lang w:val="en-US"/>
        </w:rPr>
        <w:t>atients with advanced cirrhosis</w:t>
      </w:r>
      <w:r w:rsidRPr="00CD1426">
        <w:rPr>
          <w:rFonts w:ascii="Book Antiqua" w:hAnsi="Book Antiqua"/>
          <w:lang w:val="en-US"/>
        </w:rPr>
        <w:fldChar w:fldCharType="begin" w:fldLock="1"/>
      </w:r>
      <w:r w:rsidR="001D4A08" w:rsidRPr="00CD1426">
        <w:rPr>
          <w:rFonts w:ascii="Book Antiqua" w:hAnsi="Book Antiqua"/>
          <w:lang w:val="en-US"/>
        </w:rPr>
        <w:instrText>ADDIN CSL_CITATION { "citationItems" : [ { "id" : "ITEM-1", "itemData" : { "DOI" : "10.1002/hep.25976", "ISSN" : "1527-3350", "PMID" : "22821361", "abstract" : "UNLABELLED: Hepatitis C virus (HCV) infection recurs in liver recipients who are viremic at transplantation. We conducted a randomized, controlled trial to test the efficacy and safety of pretransplant pegylated interferon alpha-2b plus ribavirin (Peg-IFN-\u03b12b/RBV) for prevention of post-transplant HCV recurrence. Enrollees had HCV and were listed for liver transplantation, with either potential living donors or Model for End-Stage Liver Disease upgrade for hepatocellular carcinoma. Patients with HCV genotypes (G) 1/4/6 (n = 44/2/1) were randomized 2:1 to treatment (n = 31) or untreated control (n = 16); HCV G2/3 (n=32) were assigned to treatment. Overall, 59 were treated and 20 were not. Peg-IFN-\u03b12b, starting at 0.75 \u03bcg/kg/week, and RBV, starting at 600 mg/day, were escalated as tolerated. Patients assigned to treatment versus control had similar baseline characteristics. Combined virologic response (CVR) included pretransplant sustained virologic response and post-transplant virologic response (pTVR), defined as undetectable HCV RNA 12 weeks after end of treatment or transplant, respectively. In intent-to-treat analyses, 12 (19%) assigned to treatment and 1 (6%) assigned to control achieved CVR (P = 0.29); per-protocol values were 13 (22%) and 0 (0%) (P = 0.03). Among treated G1/4/6 patients, 23 of 30 received transplant, of whom 22% had pTVR; among treated G2/3 patients 21 of 29 received transplant, of whom 29% had pTVR. pTVR was 0%, 18%, and 50% in patients treated for &lt;8, 8-16, and &gt;16 weeks, respectively (P = 0.01). Serious adverse events (SAEs) occurred with similar frequency in treated versus untreated patients (68% versus 55%; P = 0.30), but the number of SAEs per patient was higher in the treated group (2.7 versus 1.3; P = 0.003).\n\nCONCLUSION: Pretransplant treatment with Peg-IFN-\u03b12b/RBV prevents post-transplant recurrence of HCV in selected patients. Efficacy is higher with &gt;16 weeks of treatment, but treatment is associated with increased risk of potentially serious complications.", "author" : [ { "dropping-particle" : "", "family" : "Everson", "given" : "Gregory T", "non-dropping-particle" : "", "parse-names" : false, "suffix" : "" }, { "dropping-particle" : "", "family" : "Terrault", "given" : "Norah A", "non-dropping-particle" : "", "parse-names" : false, "suffix" : "" }, { "dropping-particle" : "", "family" : "Lok", "given" : "Anna S", "non-dropping-particle" : "", "parse-names" : false, "suffix" : "" }, { "dropping-particle" : "", "family" : "Rodrigo", "given" : "Del R", "non-dropping-particle" : "", "parse-names" : false, "suffix" : "" }, { "dropping-particle" : "", "family" : "Brown", "given" : "Robert S", "non-dropping-particle" : "", "parse-names" : false, "suffix" : "" }, { "dropping-particle" : "", "family" : "Saab", "given" : "Sammy", "non-dropping-particle" : "", "parse-names" : false, "suffix" : "" }, { "dropping-particle" : "", "family" : "Shiffman", "given" : "Mitchell L", "non-dropping-particle" : "", "parse-names" : false, "suffix" : "" }, { "dropping-particle" : "", "family" : "Al-Osaimi", "given" : "Abdullah M S", "non-dropping-particle" : "", "parse-names" : false, "suffix" : "" }, { "dropping-particle" : "", "family" : "Kulik", "given" : "Laura M", "non-dropping-particle" : "", "parse-names" : false, "suffix" : "" }, { "dropping-particle" : "", "family" : "Gillespie", "given" : "Brenda W", "non-dropping-particle" : "", "parse-names" : false, "suffix" : "" }, { "dropping-particle" : "", "family" : "Everhart", "given" : "James E", "non-dropping-particle" : "", "parse-names" : false, "suffix" : "" } ], "container-title" : "Hepatology (Baltimore, Md.)", "id" : "ITEM-1", "issue" : "5", "issued" : { "date-parts" : [ [ "2013", "5" ] ] }, "page" : "1752-62", "title" : "A randomized controlled trial of pretransplant antiviral therapy to prevent recurrence of hepatitis C after liver transplantation.", "type" : "article-journal", "volume" : "57" }, "uris" : [ "http://www.mendeley.com/documents/?uuid=400b91d6-d950-40e5-9eb1-cbe09ca03d3b" ] } ], "mendeley" : { "formattedCitation" : "&lt;sup&gt;[73]&lt;/sup&gt;", "plainTextFormattedCitation" : "[73]", "previouslyFormattedCitation" : "&lt;sup&gt;[73]&lt;/sup&gt;" }, "properties" : { "noteIndex" : 0 }, "schema" : "https://github.com/citation-style-language/schema/raw/master/csl-citation.json" }</w:instrText>
      </w:r>
      <w:r w:rsidRPr="00CD1426">
        <w:rPr>
          <w:rFonts w:ascii="Book Antiqua" w:hAnsi="Book Antiqua"/>
          <w:lang w:val="en-US"/>
        </w:rPr>
        <w:fldChar w:fldCharType="separate"/>
      </w:r>
      <w:r w:rsidR="001D4A08" w:rsidRPr="00CD1426">
        <w:rPr>
          <w:rFonts w:ascii="Book Antiqua" w:hAnsi="Book Antiqua"/>
          <w:noProof/>
          <w:vertAlign w:val="superscript"/>
          <w:lang w:val="en-US"/>
        </w:rPr>
        <w:t>[73]</w:t>
      </w:r>
      <w:r w:rsidRPr="00CD1426">
        <w:rPr>
          <w:rFonts w:ascii="Book Antiqua" w:hAnsi="Book Antiqua"/>
          <w:lang w:val="en-US"/>
        </w:rPr>
        <w:fldChar w:fldCharType="end"/>
      </w:r>
      <w:r w:rsidR="006074EB" w:rsidRPr="00CD1426">
        <w:rPr>
          <w:rFonts w:ascii="Book Antiqua" w:hAnsi="Book Antiqua"/>
          <w:lang w:val="en-US" w:eastAsia="zh-CN"/>
        </w:rPr>
        <w:t>.</w:t>
      </w:r>
      <w:r w:rsidRPr="00CD1426">
        <w:rPr>
          <w:rFonts w:ascii="Book Antiqua" w:hAnsi="Book Antiqua"/>
          <w:lang w:val="en-US"/>
        </w:rPr>
        <w:t xml:space="preserve"> With the recent approval of </w:t>
      </w:r>
      <w:proofErr w:type="spellStart"/>
      <w:r w:rsidRPr="00CD1426">
        <w:rPr>
          <w:rFonts w:ascii="Book Antiqua" w:hAnsi="Book Antiqua"/>
          <w:lang w:val="en-US"/>
        </w:rPr>
        <w:t>sofosbuvir</w:t>
      </w:r>
      <w:proofErr w:type="spellEnd"/>
      <w:r w:rsidRPr="00CD1426">
        <w:rPr>
          <w:rFonts w:ascii="Book Antiqua" w:hAnsi="Book Antiqua"/>
          <w:lang w:val="en-US"/>
        </w:rPr>
        <w:t xml:space="preserve">, </w:t>
      </w:r>
      <w:proofErr w:type="spellStart"/>
      <w:r w:rsidRPr="00CD1426">
        <w:rPr>
          <w:rFonts w:ascii="Book Antiqua" w:hAnsi="Book Antiqua"/>
          <w:lang w:val="en-US"/>
        </w:rPr>
        <w:t>simeprevir</w:t>
      </w:r>
      <w:proofErr w:type="spellEnd"/>
      <w:r w:rsidRPr="00CD1426">
        <w:rPr>
          <w:rFonts w:ascii="Book Antiqua" w:hAnsi="Book Antiqua"/>
          <w:lang w:val="en-US"/>
        </w:rPr>
        <w:t xml:space="preserve"> and </w:t>
      </w:r>
      <w:proofErr w:type="spellStart"/>
      <w:r w:rsidRPr="00CD1426">
        <w:rPr>
          <w:rFonts w:ascii="Book Antiqua" w:hAnsi="Book Antiqua"/>
          <w:lang w:val="en-US"/>
        </w:rPr>
        <w:t>daclatasvir</w:t>
      </w:r>
      <w:proofErr w:type="spellEnd"/>
      <w:r w:rsidRPr="00CD1426">
        <w:rPr>
          <w:rFonts w:ascii="Book Antiqua" w:hAnsi="Book Antiqua"/>
          <w:lang w:val="en-US"/>
        </w:rPr>
        <w:t xml:space="preserve"> in the U</w:t>
      </w:r>
      <w:r w:rsidR="006074EB" w:rsidRPr="00CD1426">
        <w:rPr>
          <w:rFonts w:ascii="Book Antiqua" w:hAnsi="Book Antiqua"/>
          <w:lang w:val="en-US" w:eastAsia="zh-CN"/>
        </w:rPr>
        <w:t>nited States</w:t>
      </w:r>
      <w:r w:rsidRPr="00CD1426">
        <w:rPr>
          <w:rFonts w:ascii="Book Antiqua" w:hAnsi="Book Antiqua"/>
          <w:lang w:val="en-US"/>
        </w:rPr>
        <w:t xml:space="preserve"> and Europe, interferon-free regimens are being used in those cirrhotic patients with compensated liver disease awaiting LT.  Guidelines have recommended antiviral therapy to Child-Pugh A patients in whom the indica</w:t>
      </w:r>
      <w:r w:rsidR="001D4A08" w:rsidRPr="00CD1426">
        <w:rPr>
          <w:rFonts w:ascii="Book Antiqua" w:hAnsi="Book Antiqua"/>
          <w:lang w:val="en-US"/>
        </w:rPr>
        <w:t>tion for transplantation is HCC</w:t>
      </w:r>
      <w:r w:rsidRPr="00CD1426">
        <w:rPr>
          <w:rFonts w:ascii="Book Antiqua" w:hAnsi="Book Antiqua"/>
          <w:lang w:val="en-US"/>
        </w:rPr>
        <w:fldChar w:fldCharType="begin" w:fldLock="1"/>
      </w:r>
      <w:r w:rsidR="001D4A08" w:rsidRPr="00CD1426">
        <w:rPr>
          <w:rFonts w:ascii="Book Antiqua" w:hAnsi="Book Antiqua"/>
          <w:lang w:val="en-US"/>
        </w:rPr>
        <w:instrText>ADDIN CSL_CITATION { "citationItems" : [ { "id" : "ITEM-1", "itemData" : { "URL" : "http://www.easl.eu/_newsroom/latest-news/easl-recommendations-on-treatment-of-hepatitis-c-2014", "accessed" : { "date-parts" : [ [ "2014", "8", "21" ] ] }, "id" : "ITEM-1", "issued" : { "date-parts" : [ [ "0" ] ] }, "title" : "EASL Recommendations on Treatment of Hepatitis C 2014 .:. Latest news .:. EASL - EUROPEAN ASSOCIATION FOR THE STUDY OF THE LIVER", "type" : "webpage" }, "uris" : [ "http://www.mendeley.com/documents/?uuid=e9f64203-aa43-42f2-a304-9f47ea3a54f1" ] } ], "mendeley" : { "formattedCitation" : "&lt;sup&gt;[59]&lt;/sup&gt;", "plainTextFormattedCitation" : "[59]", "previouslyFormattedCitation" : "&lt;sup&gt;[59]&lt;/sup&gt;" }, "properties" : { "noteIndex" : 0 }, "schema" : "https://github.com/citation-style-language/schema/raw/master/csl-citation.json" }</w:instrText>
      </w:r>
      <w:r w:rsidRPr="00CD1426">
        <w:rPr>
          <w:rFonts w:ascii="Book Antiqua" w:hAnsi="Book Antiqua"/>
          <w:lang w:val="en-US"/>
        </w:rPr>
        <w:fldChar w:fldCharType="separate"/>
      </w:r>
      <w:r w:rsidR="001D4A08" w:rsidRPr="00CD1426">
        <w:rPr>
          <w:rFonts w:ascii="Book Antiqua" w:hAnsi="Book Antiqua"/>
          <w:noProof/>
          <w:vertAlign w:val="superscript"/>
          <w:lang w:val="en-US"/>
        </w:rPr>
        <w:t>[59]</w:t>
      </w:r>
      <w:r w:rsidRPr="00CD1426">
        <w:rPr>
          <w:rFonts w:ascii="Book Antiqua" w:hAnsi="Book Antiqua"/>
          <w:lang w:val="en-US"/>
        </w:rPr>
        <w:fldChar w:fldCharType="end"/>
      </w:r>
      <w:r w:rsidR="006074EB" w:rsidRPr="00CD1426">
        <w:rPr>
          <w:rFonts w:ascii="Book Antiqua" w:hAnsi="Book Antiqua"/>
          <w:lang w:val="en-US" w:eastAsia="zh-CN"/>
        </w:rPr>
        <w:t>.</w:t>
      </w:r>
    </w:p>
    <w:p w14:paraId="0812C11B" w14:textId="7A6C0BD1" w:rsidR="002B302F" w:rsidRPr="00CD1426" w:rsidRDefault="002B302F" w:rsidP="00CD1426">
      <w:pPr>
        <w:spacing w:line="360" w:lineRule="auto"/>
        <w:ind w:firstLineChars="200" w:firstLine="480"/>
        <w:jc w:val="both"/>
        <w:rPr>
          <w:rFonts w:ascii="Book Antiqua" w:hAnsi="Book Antiqua"/>
          <w:lang w:val="en-US" w:eastAsia="zh-CN"/>
        </w:rPr>
      </w:pPr>
      <w:r w:rsidRPr="00CD1426">
        <w:rPr>
          <w:rFonts w:ascii="Book Antiqua" w:hAnsi="Book Antiqua"/>
          <w:lang w:val="en-US"/>
        </w:rPr>
        <w:t>Sixty-one patients with hepatocellular carcinoma, HCV- any genotype, Child-Pugh score ≤</w:t>
      </w:r>
      <w:r w:rsidR="00C04C74">
        <w:rPr>
          <w:rFonts w:ascii="Book Antiqua" w:hAnsi="Book Antiqua" w:hint="eastAsia"/>
          <w:lang w:val="en-US" w:eastAsia="zh-CN"/>
        </w:rPr>
        <w:t xml:space="preserve"> </w:t>
      </w:r>
      <w:r w:rsidRPr="00CD1426">
        <w:rPr>
          <w:rFonts w:ascii="Book Antiqua" w:hAnsi="Book Antiqua"/>
          <w:lang w:val="en-US"/>
        </w:rPr>
        <w:t xml:space="preserve">7, on liver transplantation wait lists, were evaluated in an </w:t>
      </w:r>
      <w:r w:rsidRPr="00CD1426">
        <w:rPr>
          <w:rFonts w:ascii="Book Antiqua" w:hAnsi="Book Antiqua"/>
          <w:lang w:val="en-US"/>
        </w:rPr>
        <w:lastRenderedPageBreak/>
        <w:t xml:space="preserve">open-label phase 2 study, that aimed to avoid HCV recurrence after liver transplantation.  Subjects received up to 48 </w:t>
      </w:r>
      <w:proofErr w:type="spellStart"/>
      <w:r w:rsidRPr="00CD1426">
        <w:rPr>
          <w:rFonts w:ascii="Book Antiqua" w:hAnsi="Book Antiqua"/>
          <w:lang w:val="en-US"/>
        </w:rPr>
        <w:t>wk</w:t>
      </w:r>
      <w:proofErr w:type="spellEnd"/>
      <w:r w:rsidRPr="00CD1426">
        <w:rPr>
          <w:rFonts w:ascii="Book Antiqua" w:hAnsi="Book Antiqua"/>
          <w:lang w:val="en-US"/>
        </w:rPr>
        <w:t xml:space="preserve"> </w:t>
      </w:r>
      <w:proofErr w:type="spellStart"/>
      <w:r w:rsidRPr="00CD1426">
        <w:rPr>
          <w:rFonts w:ascii="Book Antiqua" w:hAnsi="Book Antiqua"/>
          <w:lang w:val="en-US"/>
        </w:rPr>
        <w:t>sofosbuvir</w:t>
      </w:r>
      <w:proofErr w:type="spellEnd"/>
      <w:r w:rsidRPr="00CD1426">
        <w:rPr>
          <w:rFonts w:ascii="Book Antiqua" w:hAnsi="Book Antiqua"/>
          <w:lang w:val="en-US"/>
        </w:rPr>
        <w:t xml:space="preserve"> and ribavirin before liver transplantation. Among them, 46 received transplanted livers, 43 (93.5%) patients had HCV-RNA level less than 25 IU/mL at the time of transplantation; 30 of 43 subjects (70%) achieved a post-transplantation SVR at week 12.  In this analysis, 10 (23%) had recurrent </w:t>
      </w:r>
      <w:r w:rsidR="001D4A08" w:rsidRPr="00CD1426">
        <w:rPr>
          <w:rFonts w:ascii="Book Antiqua" w:hAnsi="Book Antiqua"/>
          <w:lang w:val="en-US"/>
        </w:rPr>
        <w:t>infection that</w:t>
      </w:r>
      <w:r w:rsidRPr="00CD1426">
        <w:rPr>
          <w:rFonts w:ascii="Book Antiqua" w:hAnsi="Book Antiqua"/>
          <w:lang w:val="en-US"/>
        </w:rPr>
        <w:t xml:space="preserve"> was related inversely to the number of consecutive days of undetectable HCV RNA before transplantation.  The authors concluded that </w:t>
      </w:r>
      <w:proofErr w:type="spellStart"/>
      <w:r w:rsidRPr="00CD1426">
        <w:rPr>
          <w:rFonts w:ascii="Book Antiqua" w:hAnsi="Book Antiqua"/>
          <w:lang w:val="en-US"/>
        </w:rPr>
        <w:t>sofosbuvir</w:t>
      </w:r>
      <w:proofErr w:type="spellEnd"/>
      <w:r w:rsidRPr="00CD1426">
        <w:rPr>
          <w:rFonts w:ascii="Book Antiqua" w:hAnsi="Book Antiqua"/>
          <w:lang w:val="en-US"/>
        </w:rPr>
        <w:t xml:space="preserve"> and ribavirin before liver transplantation can prevent </w:t>
      </w:r>
      <w:r w:rsidR="006074EB" w:rsidRPr="00CD1426">
        <w:rPr>
          <w:rFonts w:ascii="Book Antiqua" w:hAnsi="Book Antiqua"/>
          <w:lang w:val="en-US"/>
        </w:rPr>
        <w:t>post-transplant HCV recurrence</w:t>
      </w:r>
      <w:r w:rsidRPr="00CD1426">
        <w:rPr>
          <w:rFonts w:ascii="Book Antiqua" w:hAnsi="Book Antiqua"/>
          <w:lang w:val="en-US"/>
        </w:rPr>
        <w:fldChar w:fldCharType="begin" w:fldLock="1"/>
      </w:r>
      <w:r w:rsidR="001D4A08" w:rsidRPr="00CD1426">
        <w:rPr>
          <w:rFonts w:ascii="Book Antiqua" w:hAnsi="Book Antiqua"/>
          <w:lang w:val="en-US"/>
        </w:rPr>
        <w:instrText>ADDIN CSL_CITATION { "citationItems" : [ { "id" : "ITEM-1", "itemData" : { "DOI" : "10.1053/j.gastro.2014.09.023", "ISSN" : "1528-0012", "PMID" : "25261839", "abstract" : "BACKGROUND &amp; AIMS: Patients with detectable hepatitis C virus (HCV) RNA at the time of liver transplantation universally experience recurrent HCV infection. Antiviral treatment before transplantation can prevent HCV recurrence, but existing interferon-based regimens are poorly tolerated and are either ineffective or contraindicated in most patients. We performed a trial to determine whether sofosbuvir and ribavirin treatment before liver transplantation could prevent HCV recurrence afterward.\n\nMETHODS: In a phase 2, open-label study, 61 patients with HCV of any genotype and cirrhosis (Child-Turcotte-Pugh score, \u22647) who were on waitlists for liver transplantation for hepatocellular carcinoma, received up to 48 weeks of sofosbuvir (400 mg) and ribavirin before liver transplantation. The primary end point was the proportion of patients with HCV-RNA levels less than 25 IU/mL at 12 weeks after transplantation among patients with this HCV-RNA level at their last measurement before transplantation.\n\nRESULTS: Sixty-one patients received sofosbuvir and ribavirin, and 46 received transplanted livers. The per-protocol efficacy population consisted of 43 patients who had HCV-RNA level less than 25 IU/mL at the time of transplantation. Of these 43 patients, 30 (70%) had a post-transplantation virologic response 12, 10 (23%) had recurrent infection, and 3 (7%) died (2 from nonfunction of the primary graft and 1 from complications of hepatic artery thrombosis). Of all 61 patients given sofosbuvir and ribavirin, 49% had a post-transplantation virologic response. Recurrence was related inversely to the number of consecutive days of undetectable HCV RNA before transplantation. The most frequently reported adverse events were fatigue (in 38% of patients), headache (23%), and anemia (21%).\n\nCONCLUSIONS: Administration of sofosbuvir and ribavirin before liver transplantation can prevent post-transplant HCV recurrence. ClinicalTrials.gov: NCT01559844.", "author" : [ { "dropping-particle" : "", "family" : "Curry", "given" : "Michael P", "non-dropping-particle" : "", "parse-names" : false, "suffix" : "" }, { "dropping-particle" : "", "family" : "Forns", "given" : "Xavier", "non-dropping-particle" : "", "parse-names" : false, "suffix" : "" }, { "dropping-particle" : "", "family" : "Chung", "given" : "Raymond T", "non-dropping-particle" : "", "parse-names" : false, "suffix" : "" }, { "dropping-particle" : "", "family" : "Terrault", "given" : "Norah A", "non-dropping-particle" : "", "parse-names" : false, "suffix" : "" }, { "dropping-particle" : "", "family" : "Brown", "given" : "Robert", "non-dropping-particle" : "", "parse-names" : false, "suffix" : "" }, { "dropping-particle" : "", "family" : "Fenkel", "given" : "Jonathan M", "non-dropping-particle" : "", "parse-names" : false, "suffix" : "" }, { "dropping-particle" : "", "family" : "Gordon", "given" : "Fredric", "non-dropping-particle" : "", "parse-names" : false, "suffix" : "" }, { "dropping-particle" : "", "family" : "O'Leary", "given" : "Jacqueline", "non-dropping-particle" : "", "parse-names" : false, "suffix" : "" }, { "dropping-particle" : "", "family" : "Kuo", "given" : "Alexander", "non-dropping-particle" : "", "parse-names" : false, "suffix" : "" }, { "dropping-particle" : "", "family" : "Schiano", "given" : "Thomas", "non-dropping-particle" : "", "parse-names" : false, "suffix" : "" }, { "dropping-particle" : "", "family" : "Everson", "given" : "Gregory", "non-dropping-particle" : "", "parse-names" : false, "suffix" : "" }, { "dropping-particle" : "", "family" : "Schiff", "given" : "Eugene", "non-dropping-particle" : "", "parse-names" : false, "suffix" : "" }, { "dropping-particle" : "", "family" : "Befeler", "given" : "Alex", "non-dropping-particle" : "", "parse-names" : false, "suffix" : "" }, { "dropping-particle" : "", "family" : "Gane", "given" : "Edward", "non-dropping-particle" : "", "parse-names" : false, "suffix" : "" }, { "dropping-particle" : "", "family" : "Saab", "given" : "Sammy", "non-dropping-particle" : "", "parse-names" : false, "suffix" : "" }, { "dropping-particle" : "", "family" : "McHutchison", "given" : "John G", "non-dropping-particle" : "", "parse-names" : false, "suffix" : "" }, { "dropping-particle" : "", "family" : "Subramanian", "given" : "G Mani", "non-dropping-particle" : "", "parse-names" : false, "suffix" : "" }, { "dropping-particle" : "", "family" : "Symonds", "given" : "William T", "non-dropping-particle" : "", "parse-names" : false, "suffix" : "" }, { "dropping-particle" : "", "family" : "Denning", "given" : "Jill", "non-dropping-particle" : "", "parse-names" : false, "suffix" : "" }, { "dropping-particle" : "", "family" : "McNair", "given" : "Lindsay", "non-dropping-particle" : "", "parse-names" : false, "suffix" : "" }, { "dropping-particle" : "", "family" : "Arterburn", "given" : "Sarah", "non-dropping-particle" : "", "parse-names" : false, "suffix" : "" }, { "dropping-particle" : "", "family" : "Svarovskaia", "given" : "Evguenia", "non-dropping-particle" : "", "parse-names" : false, "suffix" : "" }, { "dropping-particle" : "", "family" : "Moonka", "given" : "Dilip", "non-dropping-particle" : "", "parse-names" : false, "suffix" : "" }, { "dropping-particle" : "", "family" : "Afdhal", "given" : "Nezam", "non-dropping-particle" : "", "parse-names" : false, "suffix" : "" } ], "container-title" : "Gastroenterology", "id" : "ITEM-1", "issued" : { "date-parts" : [ [ "2014", "9", "28" ] ] }, "title" : "Sofosbuvir and Ribavirin Prevent Recurrence of HCV Infection After Liver Transplantation: An Open-Label Study.", "type" : "article-journal" }, "uris" : [ "http://www.mendeley.com/documents/?uuid=15a4b2a9-2771-4cc0-bac4-fd06078c75b1" ] } ], "mendeley" : { "formattedCitation" : "&lt;sup&gt;[74]&lt;/sup&gt;", "plainTextFormattedCitation" : "[74]", "previouslyFormattedCitation" : "&lt;sup&gt;[74]&lt;/sup&gt;" }, "properties" : { "noteIndex" : 0 }, "schema" : "https://github.com/citation-style-language/schema/raw/master/csl-citation.json" }</w:instrText>
      </w:r>
      <w:r w:rsidRPr="00CD1426">
        <w:rPr>
          <w:rFonts w:ascii="Book Antiqua" w:hAnsi="Book Antiqua"/>
          <w:lang w:val="en-US"/>
        </w:rPr>
        <w:fldChar w:fldCharType="separate"/>
      </w:r>
      <w:r w:rsidR="001D4A08" w:rsidRPr="00CD1426">
        <w:rPr>
          <w:rFonts w:ascii="Book Antiqua" w:hAnsi="Book Antiqua"/>
          <w:noProof/>
          <w:vertAlign w:val="superscript"/>
          <w:lang w:val="en-US"/>
        </w:rPr>
        <w:t>[74]</w:t>
      </w:r>
      <w:r w:rsidRPr="00CD1426">
        <w:rPr>
          <w:rFonts w:ascii="Book Antiqua" w:hAnsi="Book Antiqua"/>
          <w:lang w:val="en-US"/>
        </w:rPr>
        <w:fldChar w:fldCharType="end"/>
      </w:r>
      <w:r w:rsidR="006074EB" w:rsidRPr="00CD1426">
        <w:rPr>
          <w:rFonts w:ascii="Book Antiqua" w:hAnsi="Book Antiqua"/>
          <w:lang w:val="en-US" w:eastAsia="zh-CN"/>
        </w:rPr>
        <w:t>.</w:t>
      </w:r>
    </w:p>
    <w:p w14:paraId="5286CF65" w14:textId="77777777" w:rsidR="002B302F" w:rsidRPr="00CD1426" w:rsidRDefault="002B302F" w:rsidP="00CD1426">
      <w:pPr>
        <w:spacing w:line="360" w:lineRule="auto"/>
        <w:ind w:firstLineChars="200" w:firstLine="480"/>
        <w:jc w:val="both"/>
        <w:rPr>
          <w:rFonts w:ascii="Book Antiqua" w:hAnsi="Book Antiqua"/>
          <w:lang w:val="en-US"/>
        </w:rPr>
      </w:pPr>
      <w:r w:rsidRPr="00CD1426">
        <w:rPr>
          <w:rFonts w:ascii="Book Antiqua" w:hAnsi="Book Antiqua"/>
          <w:lang w:val="en-US"/>
        </w:rPr>
        <w:t xml:space="preserve">In decompensated cirrhotic patients (Child-Pugh B or C) waiting for transplantation, antiviral therapy may be offered on an individual decision in experienced centers.  Data about safety and efficacy data are still scarce and therefore there are no clear recommendations as well as there are insufficient data about time of treatment, post-LT relapse rate and safety.  Of note, a few patients without HCC may be delisted they improve liver function and / or portal hypertension after achieving SVR. </w:t>
      </w:r>
    </w:p>
    <w:p w14:paraId="18CF4470" w14:textId="77777777" w:rsidR="002B302F" w:rsidRPr="00CD1426" w:rsidRDefault="002B302F" w:rsidP="00CD1426">
      <w:pPr>
        <w:spacing w:line="360" w:lineRule="auto"/>
        <w:jc w:val="both"/>
        <w:rPr>
          <w:rFonts w:ascii="Book Antiqua" w:hAnsi="Book Antiqua"/>
          <w:lang w:val="en-US"/>
        </w:rPr>
      </w:pPr>
    </w:p>
    <w:p w14:paraId="549ED1D4" w14:textId="22A66A97" w:rsidR="002B302F" w:rsidRPr="00CD1426" w:rsidRDefault="002B302F" w:rsidP="00CD1426">
      <w:pPr>
        <w:spacing w:line="360" w:lineRule="auto"/>
        <w:jc w:val="both"/>
        <w:rPr>
          <w:rFonts w:ascii="Book Antiqua" w:hAnsi="Book Antiqua"/>
          <w:b/>
          <w:i/>
          <w:lang w:val="en-US" w:eastAsia="zh-CN"/>
        </w:rPr>
      </w:pPr>
      <w:r w:rsidRPr="00CD1426">
        <w:rPr>
          <w:rFonts w:ascii="Book Antiqua" w:hAnsi="Book Antiqua"/>
          <w:b/>
          <w:i/>
          <w:lang w:val="en-US"/>
        </w:rPr>
        <w:t xml:space="preserve">Post-liver </w:t>
      </w:r>
      <w:r w:rsidR="00C04C74">
        <w:rPr>
          <w:rFonts w:ascii="Book Antiqua" w:hAnsi="Book Antiqua"/>
          <w:b/>
          <w:i/>
          <w:lang w:val="en-US"/>
        </w:rPr>
        <w:t xml:space="preserve">transplantation hepatitis C </w:t>
      </w:r>
      <w:r w:rsidRPr="00CD1426">
        <w:rPr>
          <w:rFonts w:ascii="Book Antiqua" w:hAnsi="Book Antiqua"/>
          <w:b/>
          <w:i/>
          <w:lang w:val="en-US"/>
        </w:rPr>
        <w:t xml:space="preserve">recurrence </w:t>
      </w:r>
    </w:p>
    <w:p w14:paraId="6BE48CAD" w14:textId="6553F354" w:rsidR="002B302F" w:rsidRPr="00CD1426" w:rsidRDefault="002B302F" w:rsidP="00CD1426">
      <w:pPr>
        <w:spacing w:line="360" w:lineRule="auto"/>
        <w:jc w:val="both"/>
        <w:rPr>
          <w:rFonts w:ascii="Book Antiqua" w:hAnsi="Book Antiqua"/>
          <w:lang w:val="en-US" w:eastAsia="zh-CN"/>
        </w:rPr>
      </w:pPr>
      <w:r w:rsidRPr="00CD1426">
        <w:rPr>
          <w:rFonts w:ascii="Book Antiqua" w:hAnsi="Book Antiqua"/>
          <w:lang w:val="en-US"/>
        </w:rPr>
        <w:t xml:space="preserve">Hepatitis C recurrence after transplantation is responsible for reduced post-transplant survival. Approximately 30% of patients with HCV develop severe recurrent acute hepatitis C after transplant which rapidly progress to liver cirrhosis; 5% to 7% have </w:t>
      </w:r>
      <w:proofErr w:type="spellStart"/>
      <w:r w:rsidRPr="00CD1426">
        <w:rPr>
          <w:rFonts w:ascii="Book Antiqua" w:hAnsi="Book Antiqua"/>
          <w:lang w:val="en-US"/>
        </w:rPr>
        <w:t>fibrosing</w:t>
      </w:r>
      <w:proofErr w:type="spellEnd"/>
      <w:r w:rsidRPr="00CD1426">
        <w:rPr>
          <w:rFonts w:ascii="Book Antiqua" w:hAnsi="Book Antiqua"/>
          <w:lang w:val="en-US"/>
        </w:rPr>
        <w:t xml:space="preserve"> </w:t>
      </w:r>
      <w:proofErr w:type="spellStart"/>
      <w:r w:rsidRPr="00CD1426">
        <w:rPr>
          <w:rFonts w:ascii="Book Antiqua" w:hAnsi="Book Antiqua"/>
          <w:lang w:val="en-US"/>
        </w:rPr>
        <w:t>cholestatic</w:t>
      </w:r>
      <w:proofErr w:type="spellEnd"/>
      <w:r w:rsidRPr="00CD1426">
        <w:rPr>
          <w:rFonts w:ascii="Book Antiqua" w:hAnsi="Book Antiqua"/>
          <w:lang w:val="en-US"/>
        </w:rPr>
        <w:t xml:space="preserve"> hepatitis an</w:t>
      </w:r>
      <w:r w:rsidR="006074EB" w:rsidRPr="00CD1426">
        <w:rPr>
          <w:rFonts w:ascii="Book Antiqua" w:hAnsi="Book Antiqua"/>
          <w:lang w:val="en-US"/>
        </w:rPr>
        <w:t>d may rapidly progress to death</w:t>
      </w:r>
      <w:r w:rsidRPr="00CD1426">
        <w:rPr>
          <w:rFonts w:ascii="Book Antiqua" w:hAnsi="Book Antiqua"/>
          <w:lang w:val="en-US"/>
        </w:rPr>
        <w:fldChar w:fldCharType="begin" w:fldLock="1"/>
      </w:r>
      <w:r w:rsidR="001D4A08" w:rsidRPr="00CD1426">
        <w:rPr>
          <w:rFonts w:ascii="Book Antiqua" w:hAnsi="Book Antiqua"/>
          <w:lang w:val="en-US"/>
        </w:rPr>
        <w:instrText>ADDIN CSL_CITATION { "citationItems" : [ { "id" : "ITEM-1", "itemData" : { "DOI" : "10.1002/lt.21646", "ISSN" : "1527-6473", "PMID" : "18825724", "abstract" : "1. Liver failure and liver cancer from chronic hepatitis C are the most common indications for liver transplantation and numbers of both are projected to double over the next 20 years. 2. Recurrent hepatitis C infection of the allograft is universal and immediate following liver transplantation and associated with accelerated progression to cirrhosis, graft loss and death. 3. Graft and patient survival is reduced in liver transplant recipients with recurrent HCV infection compared to HCV-negative recipients. 4. The natural history of chronic hepatitis C is accelerated following liver transplantation compared C, with 20% progressing to cirrhosis by 5 years. However, the rate of fibrosis progression is not uniform and may increase over time. 5. The rates of progression from cirrhosis to decompensation and from decompensation to death are also accelerated following liver transplantation. 6. Multiple host, donor and viral factors are associated with rapid fibrosis progression and HCV-related graft failure. 7. Over the last decade, graft and patient survival rates have improved following liver transplantation for non-HCV disease but not for HCV-cirrhosis. This may reflect worsening donor quality and changes in immunosuppression strategies over recent years. 8. Viral eradication by antiviral therapy prevents disease progression and improves survival. 9. The severity of recurrent hepatitis C at one year post-transplant predicts subsequent progression to cirrhosis. Annual protocol biopsies are recommended to help determine need for antiviral therapy. 10. The projected impact of recurrent hepatitis C on graft and patient survival can only be avoided by the development of safe and effective antiviral strategies which can both prevent initial graft infection and eradicate established hepatitis C recurrence.", "author" : [ { "dropping-particle" : "", "family" : "Gane", "given" : "Edward J", "non-dropping-particle" : "", "parse-names" : false, "suffix" : "" } ], "container-title" : "Liver transplantation : official publication of the American Association for the Study of Liver Diseases and the International Liver Transplantation Society", "id" : "ITEM-1", "issued" : { "date-parts" : [ [ "2008", "10" ] ] }, "page" : "S36-44", "title" : "The natural history of recurrent hepatitis C and what influences this.", "type" : "article-journal", "volume" : "14 Suppl 2" }, "uris" : [ "http://www.mendeley.com/documents/?uuid=4a17e09e-d766-45f8-863a-606031eb63d7" ] }, { "id" : "ITEM-2", "itemData" : { "DOI" : "10.1002/lt.22175", "ISSN" : "1527-6473", "PMID" : "21031537", "abstract" : "Liver transplantation is currently the only definitive modality for the treatment of end-stage liver disease due to chronic hepatitis C. However, recurrent hepatitis C after liver transplantation is nearly universal. Cirrhosis may develop in 20% of recipients within 5 years, and recurrent hepatitis C may lead to graft failure, retransplantation, and even death. A subset of recipients may develop post-liver transplant cholestatic hepatitis C (PLTCHC), which is characterized by cholestasis, hepatocyte ballooning, and rapid progression to graft failure. We present a systematic review of PLTCHC that is focused on hepatitis C-infected liver transplant recipients. We compare the pathological definitions of PLTCHC, clinical factors, management strategies, and outcomes reported in studies. We found differences among studies in the types of histological criteria used to diagnose PLTCHC during liver biopsy and in the types of clinical information provided. Three of the 12 studies published after 2003 used the definition of PLTCHC published by the first International Liver Transplantation Society expert panel consensus conference on liver transplantation and hepatitis C. We propose that studies on PLTCHC use the consensus criteria for diagnosis and suggest clinical information that should be provided in future studies with the goal of improving our understanding and management of this deadly disease.", "author" : [ { "dropping-particle" : "", "family" : "Narang", "given" : "Tarun K", "non-dropping-particle" : "", "parse-names" : false, "suffix" : "" }, { "dropping-particle" : "", "family" : "Ahrens", "given" : "Will", "non-dropping-particle" : "", "parse-names" : false, "suffix" : "" }, { "dropping-particle" : "", "family" : "Russo", "given" : "Mark W", "non-dropping-particle" : "", "parse-names" : false, "suffix" : "" } ], "container-title" : "Liver transplantation : official publication of the American Association for the Study of Liver Diseases and the International Liver Transplantation Society", "id" : "ITEM-2", "issue" : "11", "issued" : { "date-parts" : [ [ "2010", "11" ] ] }, "page" : "1228-35", "title" : "Post-liver transplant cholestatic hepatitis C: a systematic review of clinical and pathological findings and application of consensus criteria.", "type" : "article-journal", "volume" : "16" }, "uris" : [ "http://www.mendeley.com/documents/?uuid=3c1cc2b9-1aba-4c85-8a02-a3738442f8de" ] } ], "mendeley" : { "formattedCitation" : "&lt;sup&gt;[75,76]&lt;/sup&gt;", "plainTextFormattedCitation" : "[75,76]", "previouslyFormattedCitation" : "&lt;sup&gt;[75,76]&lt;/sup&gt;" }, "properties" : { "noteIndex" : 0 }, "schema" : "https://github.com/citation-style-language/schema/raw/master/csl-citation.json" }</w:instrText>
      </w:r>
      <w:r w:rsidRPr="00CD1426">
        <w:rPr>
          <w:rFonts w:ascii="Book Antiqua" w:hAnsi="Book Antiqua"/>
          <w:lang w:val="en-US"/>
        </w:rPr>
        <w:fldChar w:fldCharType="separate"/>
      </w:r>
      <w:r w:rsidR="001D4A08" w:rsidRPr="00CD1426">
        <w:rPr>
          <w:rFonts w:ascii="Book Antiqua" w:hAnsi="Book Antiqua"/>
          <w:noProof/>
          <w:vertAlign w:val="superscript"/>
          <w:lang w:val="en-US"/>
        </w:rPr>
        <w:t>[75,76]</w:t>
      </w:r>
      <w:r w:rsidRPr="00CD1426">
        <w:rPr>
          <w:rFonts w:ascii="Book Antiqua" w:hAnsi="Book Antiqua"/>
          <w:lang w:val="en-US"/>
        </w:rPr>
        <w:fldChar w:fldCharType="end"/>
      </w:r>
      <w:r w:rsidR="006074EB" w:rsidRPr="00CD1426">
        <w:rPr>
          <w:rFonts w:ascii="Book Antiqua" w:hAnsi="Book Antiqua"/>
          <w:lang w:val="en-US" w:eastAsia="zh-CN"/>
        </w:rPr>
        <w:t>.</w:t>
      </w:r>
      <w:r w:rsidRPr="00CD1426">
        <w:rPr>
          <w:rFonts w:ascii="Book Antiqua" w:hAnsi="Book Antiqua"/>
          <w:lang w:val="en-US"/>
        </w:rPr>
        <w:t xml:space="preserve"> Patients with HCV post-transplant recurrence should be considered for therapy. The treatment of recurrent HCV infection with combination of </w:t>
      </w:r>
      <w:proofErr w:type="spellStart"/>
      <w:r w:rsidRPr="00CD1426">
        <w:rPr>
          <w:rFonts w:ascii="Book Antiqua" w:hAnsi="Book Antiqua"/>
          <w:lang w:val="en-US"/>
        </w:rPr>
        <w:t>pegylated</w:t>
      </w:r>
      <w:proofErr w:type="spellEnd"/>
      <w:r w:rsidRPr="00CD1426">
        <w:rPr>
          <w:rFonts w:ascii="Book Antiqua" w:hAnsi="Book Antiqua"/>
          <w:lang w:val="en-US"/>
        </w:rPr>
        <w:t xml:space="preserve"> interferon plus ribavirin after LT is associated with low rates of sustained </w:t>
      </w:r>
      <w:proofErr w:type="spellStart"/>
      <w:r w:rsidRPr="00CD1426">
        <w:rPr>
          <w:rFonts w:ascii="Book Antiqua" w:hAnsi="Book Antiqua"/>
          <w:lang w:val="en-US"/>
        </w:rPr>
        <w:t>virologic</w:t>
      </w:r>
      <w:proofErr w:type="spellEnd"/>
      <w:r w:rsidRPr="00CD1426">
        <w:rPr>
          <w:rFonts w:ascii="Book Antiqua" w:hAnsi="Book Antiqua"/>
          <w:lang w:val="en-US"/>
        </w:rPr>
        <w:t xml:space="preserve"> response, ranging between 15</w:t>
      </w:r>
      <w:r w:rsidR="00C04C74">
        <w:rPr>
          <w:rFonts w:ascii="Book Antiqua" w:hAnsi="Book Antiqua" w:hint="eastAsia"/>
          <w:lang w:val="en-US" w:eastAsia="zh-CN"/>
        </w:rPr>
        <w:t>%</w:t>
      </w:r>
      <w:r w:rsidRPr="00CD1426">
        <w:rPr>
          <w:rFonts w:ascii="Book Antiqua" w:hAnsi="Book Antiqua"/>
          <w:lang w:val="en-US"/>
        </w:rPr>
        <w:t>-35%, and wi</w:t>
      </w:r>
      <w:r w:rsidR="006074EB" w:rsidRPr="00CD1426">
        <w:rPr>
          <w:rFonts w:ascii="Book Antiqua" w:hAnsi="Book Antiqua"/>
          <w:lang w:val="en-US"/>
        </w:rPr>
        <w:t>th significant adverse effects</w:t>
      </w:r>
      <w:r w:rsidRPr="00CD1426">
        <w:rPr>
          <w:rFonts w:ascii="Book Antiqua" w:hAnsi="Book Antiqua"/>
          <w:lang w:val="en-US"/>
        </w:rPr>
        <w:fldChar w:fldCharType="begin" w:fldLock="1"/>
      </w:r>
      <w:r w:rsidR="001D4A08" w:rsidRPr="00CD1426">
        <w:rPr>
          <w:rFonts w:ascii="Book Antiqua" w:hAnsi="Book Antiqua"/>
          <w:lang w:val="en-US"/>
        </w:rPr>
        <w:instrText>ADDIN CSL_CITATION { "citationItems" : [ { "id" : "ITEM-1", "itemData" : { "DOI" : "10.1002/lt.21121", "ISSN" : "1527-6465", "PMID" : "17377914", "abstract" : "Sustained virologic response (SVR) after antiviral therapy for recurrent hepatitis C virus (HCV) infection in liver transplant (LT) recipients is consistently lower than that achieved in non-LT patients. We evaluated efficacy and safety of pegylated interferon (IFN) and ribavirin (RBV) therapy in LT recipients with recurrent HCV and factors associated with SVR. All subjects with histologic evidence of recurrent HCV were intended to be treated for 48 weeks with full-dose pegylated IFN; target dose of RBV was 800 mg/day. Thirty-five LT recipients with recurrent HCV, median age 48.5 years, 77% genotype 1, and median pretreatment HCV RNA 6.4 log10 IU/mL were treated between January 2000 and February 2006. Antiviral therapy was discontinued prematurely in 15 subjects as a result of adverse events. Median overall treatment duration was 46 weeks. Early virologic response at week 12 was seen in 17 (49%) and an end-of-treatment virological response in 19 (54%) patients. SVR was achieved in 13 patients (37%), and all 9 patients followed for &gt;1 year after treatment had durable response. Patients with SVR had significantly lower pretreatment HCV RNA (5.7 vs. 6.5 log10 IU/mL, P=0.003), more likely to have a week 12 virological response (85% vs. 27%, P=0.0009) and received higher cumulative doses of pegylated IFN (75% vs. 33%, P=0.029) and RBV (90% vs. 26%, P=0.016) compared with patients whose disease did not respond to therapy. In conclusion, SVR was achieved in 37% of patients with recurrent hepatitis C after LT. Similar to non-LT patients, those with lower pretreatment HCV RNA, a week 12 virological response, and pegylated IFN and RBV dose adherence were more likely to achieve SVR.", "author" : [ { "dropping-particle" : "", "family" : "Sharma", "given" : "Pratima", "non-dropping-particle" : "", "parse-names" : false, "suffix" : "" }, { "dropping-particle" : "", "family" : "Marrero", "given" : "Jorge A", "non-dropping-particle" : "", "parse-names" : false, "suffix" : "" }, { "dropping-particle" : "", "family" : "Fontana", "given" : "Robert J", "non-dropping-particle" : "", "parse-names" : false, "suffix" : "" }, { "dropping-particle" : "", "family" : "Greenson", "given" : "Joel K", "non-dropping-particle" : "", "parse-names" : false, "suffix" : "" }, { "dropping-particle" : "", "family" : "Conjeevaram", "given" : "Hari", "non-dropping-particle" : "", "parse-names" : false, "suffix" : "" }, { "dropping-particle" : "", "family" : "Su", "given" : "Grace L", "non-dropping-particle" : "", "parse-names" : false, "suffix" : "" }, { "dropping-particle" : "", "family" : "Askari", "given" : "Frederick", "non-dropping-particle" : "", "parse-names" : false, "suffix" : "" }, { "dropping-particle" : "", "family" : "Sullivan", "given" : "Patricia", "non-dropping-particle" : "", "parse-names" : false, "suffix" : "" }, { "dropping-particle" : "", "family" : "Lok", "given" : "Anna S", "non-dropping-particle" : "", "parse-names" : false, "suffix" : "" } ], "container-title" : "Liver transplantation : official publication of the American Association for the Study of Liver Diseases and the International Liver Transplantation Society", "id" : "ITEM-1", "issue" : "8", "issued" : { "date-parts" : [ [ "2007", "8" ] ] }, "page" : "1100-8", "title" : "Sustained virologic response to therapy of recurrent hepatitis C after liver transplantation is related to early virologic response and dose adherence.", "type" : "article-journal", "volume" : "13" }, "uris" : [ "http://www.mendeley.com/documents/?uuid=f54839ae-18ea-4427-a4ae-2dfa10a0fad9" ] } ], "mendeley" : { "formattedCitation" : "&lt;sup&gt;[77]&lt;/sup&gt;", "plainTextFormattedCitation" : "[77]", "previouslyFormattedCitation" : "&lt;sup&gt;[77]&lt;/sup&gt;" }, "properties" : { "noteIndex" : 0 }, "schema" : "https://github.com/citation-style-language/schema/raw/master/csl-citation.json" }</w:instrText>
      </w:r>
      <w:r w:rsidRPr="00CD1426">
        <w:rPr>
          <w:rFonts w:ascii="Book Antiqua" w:hAnsi="Book Antiqua"/>
          <w:lang w:val="en-US"/>
        </w:rPr>
        <w:fldChar w:fldCharType="separate"/>
      </w:r>
      <w:r w:rsidR="001D4A08" w:rsidRPr="00CD1426">
        <w:rPr>
          <w:rFonts w:ascii="Book Antiqua" w:hAnsi="Book Antiqua"/>
          <w:noProof/>
          <w:vertAlign w:val="superscript"/>
          <w:lang w:val="en-US"/>
        </w:rPr>
        <w:t>[77]</w:t>
      </w:r>
      <w:r w:rsidRPr="00CD1426">
        <w:rPr>
          <w:rFonts w:ascii="Book Antiqua" w:hAnsi="Book Antiqua"/>
          <w:lang w:val="en-US"/>
        </w:rPr>
        <w:fldChar w:fldCharType="end"/>
      </w:r>
      <w:r w:rsidR="006074EB" w:rsidRPr="00CD1426">
        <w:rPr>
          <w:rFonts w:ascii="Book Antiqua" w:hAnsi="Book Antiqua"/>
          <w:lang w:val="en-US" w:eastAsia="zh-CN"/>
        </w:rPr>
        <w:t>.</w:t>
      </w:r>
      <w:r w:rsidRPr="00CD1426">
        <w:rPr>
          <w:rFonts w:ascii="Book Antiqua" w:hAnsi="Book Antiqua"/>
          <w:lang w:val="en-US"/>
        </w:rPr>
        <w:t xml:space="preserve"> The triple therapy adding </w:t>
      </w:r>
      <w:proofErr w:type="spellStart"/>
      <w:r w:rsidRPr="00CD1426">
        <w:rPr>
          <w:rFonts w:ascii="Book Antiqua" w:hAnsi="Book Antiqua"/>
          <w:lang w:val="en-US"/>
        </w:rPr>
        <w:t>boceprevir</w:t>
      </w:r>
      <w:proofErr w:type="spellEnd"/>
      <w:r w:rsidRPr="00CD1426">
        <w:rPr>
          <w:rFonts w:ascii="Book Antiqua" w:hAnsi="Book Antiqua"/>
          <w:lang w:val="en-US"/>
        </w:rPr>
        <w:t xml:space="preserve"> and </w:t>
      </w:r>
      <w:proofErr w:type="spellStart"/>
      <w:r w:rsidRPr="00CD1426">
        <w:rPr>
          <w:rFonts w:ascii="Book Antiqua" w:hAnsi="Book Antiqua"/>
          <w:lang w:val="en-US"/>
        </w:rPr>
        <w:t>telaprevir</w:t>
      </w:r>
      <w:proofErr w:type="spellEnd"/>
      <w:r w:rsidRPr="00CD1426">
        <w:rPr>
          <w:rFonts w:ascii="Book Antiqua" w:hAnsi="Book Antiqua"/>
          <w:lang w:val="en-US"/>
        </w:rPr>
        <w:t xml:space="preserve"> to PEG-IFN and ribavirin have improved the therapeutic efficacy in comparison with dual therapy, increasing in 30% the SVR rate, however, this is accompanied by an additional cost and high toxicity with often serious adverse events and important drug interactions, especia</w:t>
      </w:r>
      <w:r w:rsidR="006074EB" w:rsidRPr="00CD1426">
        <w:rPr>
          <w:rFonts w:ascii="Book Antiqua" w:hAnsi="Book Antiqua"/>
          <w:lang w:val="en-US"/>
        </w:rPr>
        <w:t xml:space="preserve">lly with </w:t>
      </w:r>
      <w:proofErr w:type="spellStart"/>
      <w:r w:rsidR="006074EB" w:rsidRPr="00CD1426">
        <w:rPr>
          <w:rFonts w:ascii="Book Antiqua" w:hAnsi="Book Antiqua"/>
          <w:lang w:val="en-US"/>
        </w:rPr>
        <w:t>calcineurin</w:t>
      </w:r>
      <w:proofErr w:type="spellEnd"/>
      <w:r w:rsidR="006074EB" w:rsidRPr="00CD1426">
        <w:rPr>
          <w:rFonts w:ascii="Book Antiqua" w:hAnsi="Book Antiqua"/>
          <w:lang w:val="en-US"/>
        </w:rPr>
        <w:t xml:space="preserve"> inhibitors</w:t>
      </w:r>
      <w:r w:rsidRPr="00CD1426">
        <w:rPr>
          <w:rFonts w:ascii="Book Antiqua" w:hAnsi="Book Antiqua"/>
          <w:lang w:val="en-US"/>
        </w:rPr>
        <w:fldChar w:fldCharType="begin" w:fldLock="1"/>
      </w:r>
      <w:r w:rsidR="001D4A08" w:rsidRPr="00CD1426">
        <w:rPr>
          <w:rFonts w:ascii="Book Antiqua" w:hAnsi="Book Antiqua"/>
          <w:lang w:val="en-US"/>
        </w:rPr>
        <w:instrText>ADDIN CSL_CITATION { "citationItems" : [ { "id" : "ITEM-1", "itemData" : { "DOI" : "10.1111/liv.12406", "ISSN" : "1478-3231", "PMID" : "24373078", "abstract" : "Hepatitis C virus (HCV) infection is one of the leading causes of end-stage liver disease and the main indication for liver transplantation (LT) in most countries. All patients who undergo LT with detectable serum HCV RNA experience graft reinfection. Between 20 and 30% of patients have developed cirrhosis at 5\u00a0years post-LT. The outcome of transplant patients with cirrhosis on the graft is severe, with a rate of decompensation at 1\u00a0year of approximately 40%. To date, retransplantation is the only option in patients with decompensated liver disease. Until 2011, standard antiviral therapy with pegylated interferon (PEG-IFN) and ribavirin (RBV), was the only effective therapy. Obtaining a sustained virological response (SVR) in patients with LT greatly improves overall and graft survival but this only occurs in 30% of transplanted patients. Direct acting antivirals (DAAs) such as protease inhibitors (PI), polymerase or other non-structural proteins inhibitors represent a new era in HCV associated liver disease. Although their use in the field of LT will certainly be essential there are some limitations because of safety and tolerance. One limitation is the potential interaction with calcineurin inhibitors. We describe the results of triple therapy with boceprevir (BOC) or telaprevir (TVR) for efficacy and safety and comment on future therapeutic strategies in liver transplant recipients.", "author" : [ { "dropping-particle" : "", "family" : "Coilly", "given" : "Audrey", "non-dropping-particle" : "", "parse-names" : false, "suffix" : "" }, { "dropping-particle" : "", "family" : "Roche", "given" : "Bruno", "non-dropping-particle" : "", "parse-names" : false, "suffix" : "" }, { "dropping-particle" : "", "family" : "Duclos-Vall\u00e9e", "given" : "Jean-Charles", "non-dropping-particle" : "", "parse-names" : false, "suffix" : "" }, { "dropping-particle" : "", "family" : "Samuel", "given" : "Didier", "non-dropping-particle" : "", "parse-names" : false, "suffix" : "" } ], "container-title" : "Liver international : official journal of the International Association for the Study of the Liver", "id" : "ITEM-1", "issued" : { "date-parts" : [ [ "2014", "2" ] ] }, "page" : "46-52", "title" : "Management of HCV transplant patients with triple therapy.", "type" : "article-journal", "volume" : "34 Suppl 1" }, "uris" : [ "http://www.mendeley.com/documents/?uuid=1224d60a-3c5e-4614-97a8-65ef436374a1" ] } ], "mendeley" : { "formattedCitation" : "&lt;sup&gt;[78]&lt;/sup&gt;", "plainTextFormattedCitation" : "[78]", "previouslyFormattedCitation" : "&lt;sup&gt;[78]&lt;/sup&gt;" }, "properties" : { "noteIndex" : 0 }, "schema" : "https://github.com/citation-style-language/schema/raw/master/csl-citation.json" }</w:instrText>
      </w:r>
      <w:r w:rsidRPr="00CD1426">
        <w:rPr>
          <w:rFonts w:ascii="Book Antiqua" w:hAnsi="Book Antiqua"/>
          <w:lang w:val="en-US"/>
        </w:rPr>
        <w:fldChar w:fldCharType="separate"/>
      </w:r>
      <w:r w:rsidR="001D4A08" w:rsidRPr="00CD1426">
        <w:rPr>
          <w:rFonts w:ascii="Book Antiqua" w:hAnsi="Book Antiqua"/>
          <w:noProof/>
          <w:vertAlign w:val="superscript"/>
          <w:lang w:val="en-US"/>
        </w:rPr>
        <w:t>[78]</w:t>
      </w:r>
      <w:r w:rsidRPr="00CD1426">
        <w:rPr>
          <w:rFonts w:ascii="Book Antiqua" w:hAnsi="Book Antiqua"/>
          <w:lang w:val="en-US"/>
        </w:rPr>
        <w:fldChar w:fldCharType="end"/>
      </w:r>
      <w:r w:rsidR="006074EB" w:rsidRPr="00CD1426">
        <w:rPr>
          <w:rFonts w:ascii="Book Antiqua" w:hAnsi="Book Antiqua"/>
          <w:lang w:val="en-US" w:eastAsia="zh-CN"/>
        </w:rPr>
        <w:t>.</w:t>
      </w:r>
      <w:r w:rsidRPr="00CD1426">
        <w:rPr>
          <w:rFonts w:ascii="Book Antiqua" w:hAnsi="Book Antiqua"/>
          <w:lang w:val="en-US"/>
        </w:rPr>
        <w:t xml:space="preserve"> The new wave of DAA with fully oral schemes of </w:t>
      </w:r>
      <w:proofErr w:type="spellStart"/>
      <w:r w:rsidRPr="00CD1426">
        <w:rPr>
          <w:rFonts w:ascii="Book Antiqua" w:hAnsi="Book Antiqua"/>
          <w:lang w:val="en-US"/>
        </w:rPr>
        <w:t>Simeprevir</w:t>
      </w:r>
      <w:proofErr w:type="spellEnd"/>
      <w:r w:rsidRPr="00CD1426">
        <w:rPr>
          <w:rFonts w:ascii="Book Antiqua" w:hAnsi="Book Antiqua"/>
          <w:lang w:val="en-US"/>
        </w:rPr>
        <w:t xml:space="preserve">, </w:t>
      </w:r>
      <w:proofErr w:type="spellStart"/>
      <w:r w:rsidRPr="00CD1426">
        <w:rPr>
          <w:rFonts w:ascii="Book Antiqua" w:hAnsi="Book Antiqua"/>
          <w:lang w:val="en-US"/>
        </w:rPr>
        <w:lastRenderedPageBreak/>
        <w:t>Sofosbuvir</w:t>
      </w:r>
      <w:proofErr w:type="spellEnd"/>
      <w:r w:rsidRPr="00CD1426">
        <w:rPr>
          <w:rFonts w:ascii="Book Antiqua" w:hAnsi="Book Antiqua"/>
          <w:lang w:val="en-US"/>
        </w:rPr>
        <w:t xml:space="preserve"> and/or </w:t>
      </w:r>
      <w:proofErr w:type="spellStart"/>
      <w:r w:rsidRPr="00CD1426">
        <w:rPr>
          <w:rFonts w:ascii="Book Antiqua" w:hAnsi="Book Antiqua"/>
          <w:lang w:val="en-US"/>
        </w:rPr>
        <w:t>Daclatasvir</w:t>
      </w:r>
      <w:proofErr w:type="spellEnd"/>
      <w:r w:rsidRPr="00CD1426">
        <w:rPr>
          <w:rFonts w:ascii="Book Antiqua" w:hAnsi="Book Antiqua"/>
          <w:lang w:val="en-US"/>
        </w:rPr>
        <w:t xml:space="preserve"> has achieved significant SVR rates and better tolerability.  Combination of </w:t>
      </w:r>
      <w:proofErr w:type="spellStart"/>
      <w:r w:rsidRPr="00CD1426">
        <w:rPr>
          <w:rFonts w:ascii="Book Antiqua" w:hAnsi="Book Antiqua"/>
          <w:lang w:val="en-US"/>
        </w:rPr>
        <w:t>sofosbuvir</w:t>
      </w:r>
      <w:proofErr w:type="spellEnd"/>
      <w:r w:rsidRPr="00CD1426">
        <w:rPr>
          <w:rFonts w:ascii="Book Antiqua" w:hAnsi="Book Antiqua"/>
          <w:lang w:val="en-US"/>
        </w:rPr>
        <w:t xml:space="preserve"> plus ribavirin has been associated to better SVR rates as </w:t>
      </w:r>
      <w:r w:rsidR="006074EB" w:rsidRPr="00CD1426">
        <w:rPr>
          <w:rFonts w:ascii="Book Antiqua" w:hAnsi="Book Antiqua"/>
          <w:lang w:val="en-US"/>
        </w:rPr>
        <w:t>high as 70% and good tolerance</w:t>
      </w:r>
      <w:r w:rsidRPr="00CD1426">
        <w:rPr>
          <w:rFonts w:ascii="Book Antiqua" w:hAnsi="Book Antiqua"/>
          <w:lang w:val="en-US"/>
        </w:rPr>
        <w:fldChar w:fldCharType="begin" w:fldLock="1"/>
      </w:r>
      <w:r w:rsidR="001D4A08" w:rsidRPr="00CD1426">
        <w:rPr>
          <w:rFonts w:ascii="Book Antiqua" w:hAnsi="Book Antiqua"/>
          <w:lang w:val="en-US"/>
        </w:rPr>
        <w:instrText>ADDIN CSL_CITATION { "citationItems" : [ { "id" : "ITEM-1", "itemData" : { "DOI" : "10.1053/j.gastro.2014.10.001", "ISSN" : "1528-0012", "PMID" : "25304641", "abstract" : "BACKGROUND &amp; AIMS: Interferon alfa-based regimens used to treat recurrent hepatitis C virus (HCV) infection after liver transplantation are poorly tolerated, associated with generally modest efficacy, and can interact with immunosuppressive agents. We evaluated the efficacy and safety of an interferon-free regimen of the nucleotide polymerase inhibitor sofosbuvir combined with ribavirin for 24 weeks in treating post-transplantation HCV infection.\n\nMETHODS: In a prospective, multicenter, open-label pilot study, we enrolled patients with compensated recurrent HCV infection of any genotype after a primary or secondary liver transplantation. All patients received 24 weeks of sofosbuvir 400 mg daily and ribavirin starting at 400 mg daily, which was adjusted according to creatinine clearance and hemoglobin values. The primary end point was sustained virologic response 12 weeks after treatment.\n\nRESULTS: Of the 40 patients enrolled and treated, 78% were male, 85% were white, 83% had HCV genotype 1, 40% had cirrhosis (based on biopsy), and 88% had been previously treated with interferon. Sustained virologic response 12 weeks\u00a0after treatment was achieved by 28 of 40 patients (70%;\u00a090% confidence interval: 56%-82%). Relapse accounted for all\u00a0cases of virologic failure. No patients had detectable\u00a0viral\u00a0resistance during or after treatment. The most common\u00a0adverse events were fatigue (30%), diarrhea (28%),\u00a0and\u00a0headache (25%). In addition, 20% of the subjects experienced anemia. Two patients discontinued study treatment\u00a0because of\u00a0adverse events, which were considered unrelated to study\u00a0treatment. No deaths, graft losses, or episodes of rejection occurred. No interactions with any concomitant immunosuppressive agents were reported.\n\nCONCLUSIONS: Sofosbuvir and\u00a0ribavirin combination therapy for 24 weeks is\u00a0an effective and\u00a0well-tolerated interferon-free treatment for\u00a0post-transplantation HCV infection. EudraCT, Number: 2012-002417-19; ClinicalTrials.gov, Number: NCT01687270.", "author" : [ { "dropping-particle" : "", "family" : "Charlton", "given" : "Michael", "non-dropping-particle" : "", "parse-names" : false, "suffix" : "" }, { "dropping-particle" : "", "family" : "Gane", "given" : "Edward", "non-dropping-particle" : "", "parse-names" : false, "suffix" : "" }, { "dropping-particle" : "", "family" : "Manns", "given" : "Michael P", "non-dropping-particle" : "", "parse-names" : false, "suffix" : "" }, { "dropping-particle" : "", "family" : "Brown", "given" : "Robert S", "non-dropping-particle" : "", "parse-names" : false, "suffix" : "" }, { "dropping-particle" : "", "family" : "Curry", "given" : "Michael P", "non-dropping-particle" : "", "parse-names" : false, "suffix" : "" }, { "dropping-particle" : "", "family" : "Kwo", "given" : "Paul Y", "non-dropping-particle" : "", "parse-names" : false, "suffix" : "" }, { "dropping-particle" : "", "family" : "Fontana", "given" : "Robert J", "non-dropping-particle" : "", "parse-names" : false, "suffix" : "" }, { "dropping-particle" : "", "family" : "Gilroy", "given" : "Richard", "non-dropping-particle" : "", "parse-names" : false, "suffix" : "" }, { "dropping-particle" : "", "family" : "Teperman", "given" : "Lewis", "non-dropping-particle" : "", "parse-names" : false, "suffix" : "" }, { "dropping-particle" : "", "family" : "Muir", "given" : "Andrew J", "non-dropping-particle" : "", "parse-names" : false, "suffix" : "" }, { "dropping-particle" : "", "family" : "McHutchison", "given" : "John G", "non-dropping-particle" : "", "parse-names" : false, "suffix" : "" }, { "dropping-particle" : "", "family" : "Symonds", "given" : "William T", "non-dropping-particle" : "", "parse-names" : false, "suffix" : "" }, { "dropping-particle" : "", "family" : "Brainard", "given" : "Diana", "non-dropping-particle" : "", "parse-names" : false, "suffix" : "" }, { "dropping-particle" : "", "family" : "Kirby", "given" : "Brian", "non-dropping-particle" : "", "parse-names" : false, "suffix" : "" }, { "dropping-particle" : "", "family" : "Dvory-Sobol", "given" : "Hadas", "non-dropping-particle" : "", "parse-names" : false, "suffix" : "" }, { "dropping-particle" : "", "family" : "Denning", "given" : "Jill", "non-dropping-particle" : "", "parse-names" : false, "suffix" : "" }, { "dropping-particle" : "", "family" : "Arterburn", "given" : "Sarah", "non-dropping-particle" : "", "parse-names" : false, "suffix" : "" }, { "dropping-particle" : "", "family" : "Samuel", "given" : "Didier", "non-dropping-particle" : "", "parse-names" : false, "suffix" : "" }, { "dropping-particle" : "", "family" : "Forns", "given" : "Xavier", "non-dropping-particle" : "", "parse-names" : false, "suffix" : "" }, { "dropping-particle" : "", "family" : "Terrault", "given" : "Norah A", "non-dropping-particle" : "", "parse-names" : false, "suffix" : "" } ], "container-title" : "Gastroenterology", "id" : "ITEM-1", "issued" : { "date-parts" : [ [ "2014", "10", "7" ] ] }, "title" : "Sofosbuvir and Ribavirin for Treatment of Compensated Recurrent Hepatitis C Virus Infection After Liver Transplantation.", "type" : "article-journal" }, "uris" : [ "http://www.mendeley.com/documents/?uuid=e1ae6ba6-260b-4ffe-b305-bf7a880f7007" ] } ], "mendeley" : { "formattedCitation" : "&lt;sup&gt;[79]&lt;/sup&gt;", "plainTextFormattedCitation" : "[79]", "previouslyFormattedCitation" : "&lt;sup&gt;[79]&lt;/sup&gt;" }, "properties" : { "noteIndex" : 0 }, "schema" : "https://github.com/citation-style-language/schema/raw/master/csl-citation.json" }</w:instrText>
      </w:r>
      <w:r w:rsidRPr="00CD1426">
        <w:rPr>
          <w:rFonts w:ascii="Book Antiqua" w:hAnsi="Book Antiqua"/>
          <w:lang w:val="en-US"/>
        </w:rPr>
        <w:fldChar w:fldCharType="separate"/>
      </w:r>
      <w:r w:rsidR="001D4A08" w:rsidRPr="00CD1426">
        <w:rPr>
          <w:rFonts w:ascii="Book Antiqua" w:hAnsi="Book Antiqua"/>
          <w:noProof/>
          <w:vertAlign w:val="superscript"/>
          <w:lang w:val="en-US"/>
        </w:rPr>
        <w:t>[79]</w:t>
      </w:r>
      <w:r w:rsidRPr="00CD1426">
        <w:rPr>
          <w:rFonts w:ascii="Book Antiqua" w:hAnsi="Book Antiqua"/>
          <w:lang w:val="en-US"/>
        </w:rPr>
        <w:fldChar w:fldCharType="end"/>
      </w:r>
      <w:r w:rsidR="006074EB" w:rsidRPr="00CD1426">
        <w:rPr>
          <w:rFonts w:ascii="Book Antiqua" w:hAnsi="Book Antiqua"/>
          <w:lang w:val="en-US" w:eastAsia="zh-CN"/>
        </w:rPr>
        <w:t>.</w:t>
      </w:r>
    </w:p>
    <w:p w14:paraId="39F5C0CF" w14:textId="6DFCAAC4" w:rsidR="002B302F" w:rsidRPr="00CD1426" w:rsidRDefault="002B302F" w:rsidP="00CD1426">
      <w:pPr>
        <w:spacing w:line="360" w:lineRule="auto"/>
        <w:ind w:firstLineChars="200" w:firstLine="480"/>
        <w:jc w:val="both"/>
        <w:rPr>
          <w:rFonts w:ascii="Book Antiqua" w:hAnsi="Book Antiqua"/>
          <w:lang w:val="en-US"/>
        </w:rPr>
      </w:pPr>
      <w:r w:rsidRPr="00CD1426">
        <w:rPr>
          <w:rFonts w:ascii="Book Antiqua" w:hAnsi="Book Antiqua"/>
          <w:lang w:val="en-US"/>
        </w:rPr>
        <w:t xml:space="preserve">All-oral </w:t>
      </w:r>
      <w:proofErr w:type="spellStart"/>
      <w:r w:rsidRPr="00CD1426">
        <w:rPr>
          <w:rFonts w:ascii="Book Antiqua" w:hAnsi="Book Antiqua"/>
          <w:lang w:val="en-US"/>
        </w:rPr>
        <w:t>sofosbuvir</w:t>
      </w:r>
      <w:proofErr w:type="spellEnd"/>
      <w:r w:rsidRPr="00CD1426">
        <w:rPr>
          <w:rFonts w:ascii="Book Antiqua" w:hAnsi="Book Antiqua"/>
          <w:lang w:val="en-US"/>
        </w:rPr>
        <w:t xml:space="preserve"> plus </w:t>
      </w:r>
      <w:proofErr w:type="spellStart"/>
      <w:r w:rsidRPr="00CD1426">
        <w:rPr>
          <w:rFonts w:ascii="Book Antiqua" w:hAnsi="Book Antiqua"/>
          <w:lang w:val="en-US"/>
        </w:rPr>
        <w:t>daclatasvir</w:t>
      </w:r>
      <w:proofErr w:type="spellEnd"/>
      <w:r w:rsidRPr="00CD1426">
        <w:rPr>
          <w:rFonts w:ascii="Book Antiqua" w:hAnsi="Book Antiqua"/>
          <w:lang w:val="en-US"/>
        </w:rPr>
        <w:t xml:space="preserve"> combination shows high </w:t>
      </w:r>
      <w:proofErr w:type="spellStart"/>
      <w:r w:rsidRPr="00CD1426">
        <w:rPr>
          <w:rFonts w:ascii="Book Antiqua" w:hAnsi="Book Antiqua"/>
          <w:lang w:val="en-US"/>
        </w:rPr>
        <w:t>virological</w:t>
      </w:r>
      <w:proofErr w:type="spellEnd"/>
      <w:r w:rsidRPr="00CD1426">
        <w:rPr>
          <w:rFonts w:ascii="Book Antiqua" w:hAnsi="Book Antiqua"/>
          <w:lang w:val="en-US"/>
        </w:rPr>
        <w:t xml:space="preserve"> efficacy in liver transplant recipients and </w:t>
      </w:r>
      <w:r w:rsidR="001D4A08" w:rsidRPr="00CD1426">
        <w:rPr>
          <w:rFonts w:ascii="Book Antiqua" w:hAnsi="Book Antiqua"/>
          <w:lang w:val="en-US"/>
        </w:rPr>
        <w:t>appears not</w:t>
      </w:r>
      <w:r w:rsidRPr="00CD1426">
        <w:rPr>
          <w:rFonts w:ascii="Book Antiqua" w:hAnsi="Book Antiqua"/>
          <w:lang w:val="en-US"/>
        </w:rPr>
        <w:t xml:space="preserve"> to i</w:t>
      </w:r>
      <w:r w:rsidR="006074EB" w:rsidRPr="00CD1426">
        <w:rPr>
          <w:rFonts w:ascii="Book Antiqua" w:hAnsi="Book Antiqua"/>
          <w:lang w:val="en-US"/>
        </w:rPr>
        <w:t xml:space="preserve">nteract with </w:t>
      </w:r>
      <w:proofErr w:type="spellStart"/>
      <w:r w:rsidR="006074EB" w:rsidRPr="00CD1426">
        <w:rPr>
          <w:rFonts w:ascii="Book Antiqua" w:hAnsi="Book Antiqua"/>
          <w:lang w:val="en-US"/>
        </w:rPr>
        <w:t>immunosuppressants</w:t>
      </w:r>
      <w:proofErr w:type="spellEnd"/>
      <w:r w:rsidRPr="00CD1426">
        <w:rPr>
          <w:rFonts w:ascii="Book Antiqua" w:hAnsi="Book Antiqua"/>
          <w:lang w:val="en-US"/>
        </w:rPr>
        <w:fldChar w:fldCharType="begin" w:fldLock="1"/>
      </w:r>
      <w:r w:rsidR="001D4A08" w:rsidRPr="00CD1426">
        <w:rPr>
          <w:rFonts w:ascii="Book Antiqua" w:hAnsi="Book Antiqua"/>
          <w:lang w:val="en-US"/>
        </w:rPr>
        <w:instrText>ADDIN CSL_CITATION { "citationItems" : [ { "id" : "ITEM-1", "itemData" : { "DOI" : "10.1016/j.dld.2014.06.004", "ISSN" : "1878-3562", "PMID" : "24997638", "abstract" : "BACKGROUND: We evaluated efficacy and safety of sofosbuvir and daclatasvir\u00b1ribavirin in liver transplant recipients with severe recurrent hepatitis C.\n\nMETHODS: Patients included in an international compassionate use programme for treatment with sofosbuvir and daclatasvir\u00b1ribavirin for 24 weeks were prospectively studied. Serum hepatitis C virus RNA was measured at treatment weeks 4, 12, and 24 and during follow-up at weeks 4, 8, and 12.\n\nRESULTS: Twelve patients (3 with fibrosing cholestatic hepatitis and 9 with cirrhosis; median model for end-stage liver disease score 20) received sofosbuvir 400mg/day+daclatasvir 60mg/day, and 6 patients (50%) also received ribavirin 200-800mg/day. Nine patients completed 24 weeks of treatment (75%), and all had undetectable hepatitis C virus RNA at week 24; 3 patients died (25%, liver failure, gastrointestinal bleeding and sepsis); 4 patients experienced severe liver disease-related adverse events. Post-treatment hepatitis C virus RNA was available for 5 patients (week 8, n=2; week 4, n=3) and was undetectable in all cases. Mean Child-Pugh score and albumin level improved significantly at week 24. No changes in immunosuppressant doses were needed.\n\nCONCLUSION: All-oral sofosbuvir plus daclatasvir combination shows high virological efficacy in liver transplant recipients and does not interact with immunosuppressants. All adverse events were unrelated to study drugs. These data strongly suggest that this combination must be initiated before decompensation.", "author" : [ { "dropping-particle" : "", "family" : "Pellicelli", "given" : "Adriano M", "non-dropping-particle" : "", "parse-names" : false, "suffix" : "" }, { "dropping-particle" : "", "family" : "Montalbano", "given" : "Marzia", "non-dropping-particle" : "", "parse-names" : false, "suffix" : "" }, { "dropping-particle" : "", "family" : "Lionetti", "given" : "Raffaella", "non-dropping-particle" : "", "parse-names" : false, "suffix" : "" }, { "dropping-particle" : "", "family" : "Durand", "given" : "Christine", "non-dropping-particle" : "", "parse-names" : false, "suffix" : "" }, { "dropping-particle" : "", "family" : "Ferenci", "given" : "Peter", "non-dropping-particle" : "", "parse-names" : false, "suffix" : "" }, { "dropping-particle" : "", "family" : "D'Offizi", "given" : "Gianpiero", "non-dropping-particle" : "", "parse-names" : false, "suffix" : "" }, { "dropping-particle" : "", "family" : "Knop", "given" : "Viola", "non-dropping-particle" : "", "parse-names" : false, "suffix" : "" }, { "dropping-particle" : "", "family" : "Telese", "given" : "Andrea", "non-dropping-particle" : "", "parse-names" : false, "suffix" : "" }, { "dropping-particle" : "", "family" : "Lenci", "given" : "Ilaria", "non-dropping-particle" : "", "parse-names" : false, "suffix" : "" }, { "dropping-particle" : "", "family" : "Andreoli", "given" : "Arnaldo", "non-dropping-particle" : "", "parse-names" : false, "suffix" : "" }, { "dropping-particle" : "", "family" : "Zeuzem", "given" : "Stefan", "non-dropping-particle" : "", "parse-names" : false, "suffix" : "" }, { "dropping-particle" : "", "family" : "Angelico", "given" : "Mario", "non-dropping-particle" : "", "parse-names" : false, "suffix" : "" } ], "container-title" : "Digestive and liver disease : official journal of the Italian Society of Gastroenterology and the Italian Association for the Study of the Liver", "id" : "ITEM-1", "issue" : "10", "issued" : { "date-parts" : [ [ "2014", "10" ] ] }, "page" : "923-7", "title" : "Sofosbuvir plus daclatasvir for post-transplant recurrent hepatitis C: potent antiviral activity but no clinical benefit if treatment is given late.", "type" : "article-journal", "volume" : "46" }, "uris" : [ "http://www.mendeley.com/documents/?uuid=d144b00f-a6d3-45bc-9c5b-90ed348217a2" ] } ], "mendeley" : { "formattedCitation" : "&lt;sup&gt;[80]&lt;/sup&gt;", "plainTextFormattedCitation" : "[80]", "previouslyFormattedCitation" : "&lt;sup&gt;[80]&lt;/sup&gt;" }, "properties" : { "noteIndex" : 0 }, "schema" : "https://github.com/citation-style-language/schema/raw/master/csl-citation.json" }</w:instrText>
      </w:r>
      <w:r w:rsidRPr="00CD1426">
        <w:rPr>
          <w:rFonts w:ascii="Book Antiqua" w:hAnsi="Book Antiqua"/>
          <w:lang w:val="en-US"/>
        </w:rPr>
        <w:fldChar w:fldCharType="separate"/>
      </w:r>
      <w:r w:rsidR="001D4A08" w:rsidRPr="00CD1426">
        <w:rPr>
          <w:rFonts w:ascii="Book Antiqua" w:hAnsi="Book Antiqua"/>
          <w:noProof/>
          <w:vertAlign w:val="superscript"/>
          <w:lang w:val="en-US"/>
        </w:rPr>
        <w:t>[80]</w:t>
      </w:r>
      <w:r w:rsidRPr="00CD1426">
        <w:rPr>
          <w:rFonts w:ascii="Book Antiqua" w:hAnsi="Book Antiqua"/>
          <w:lang w:val="en-US"/>
        </w:rPr>
        <w:fldChar w:fldCharType="end"/>
      </w:r>
      <w:r w:rsidR="006074EB" w:rsidRPr="00CD1426">
        <w:rPr>
          <w:rFonts w:ascii="Book Antiqua" w:hAnsi="Book Antiqua"/>
          <w:lang w:val="en-US" w:eastAsia="zh-CN"/>
        </w:rPr>
        <w:t>.</w:t>
      </w:r>
      <w:r w:rsidRPr="00CD1426">
        <w:rPr>
          <w:rFonts w:ascii="Book Antiqua" w:hAnsi="Book Antiqua"/>
          <w:lang w:val="en-US"/>
        </w:rPr>
        <w:t xml:space="preserve"> Drug-drug interactions may be important in the post-transplant setting; until this moment, no clinically significant drug-drug interactions have been found between </w:t>
      </w:r>
      <w:proofErr w:type="spellStart"/>
      <w:r w:rsidRPr="00CD1426">
        <w:rPr>
          <w:rFonts w:ascii="Book Antiqua" w:hAnsi="Book Antiqua"/>
          <w:lang w:val="en-US"/>
        </w:rPr>
        <w:t>sofosbuvir</w:t>
      </w:r>
      <w:proofErr w:type="spellEnd"/>
      <w:r w:rsidRPr="00CD1426">
        <w:rPr>
          <w:rFonts w:ascii="Book Antiqua" w:hAnsi="Book Antiqua"/>
          <w:lang w:val="en-US"/>
        </w:rPr>
        <w:t xml:space="preserve">, </w:t>
      </w:r>
      <w:proofErr w:type="spellStart"/>
      <w:r w:rsidRPr="00CD1426">
        <w:rPr>
          <w:rFonts w:ascii="Book Antiqua" w:hAnsi="Book Antiqua"/>
          <w:lang w:val="en-US"/>
        </w:rPr>
        <w:t>simeprevir</w:t>
      </w:r>
      <w:proofErr w:type="spellEnd"/>
      <w:r w:rsidRPr="00CD1426">
        <w:rPr>
          <w:rFonts w:ascii="Book Antiqua" w:hAnsi="Book Antiqua"/>
          <w:lang w:val="en-US"/>
        </w:rPr>
        <w:t xml:space="preserve"> or </w:t>
      </w:r>
      <w:proofErr w:type="spellStart"/>
      <w:proofErr w:type="gramStart"/>
      <w:r w:rsidRPr="00CD1426">
        <w:rPr>
          <w:rFonts w:ascii="Book Antiqua" w:hAnsi="Book Antiqua"/>
          <w:lang w:val="en-US"/>
        </w:rPr>
        <w:t>daclatasvir</w:t>
      </w:r>
      <w:proofErr w:type="spellEnd"/>
      <w:r w:rsidRPr="00CD1426">
        <w:rPr>
          <w:rFonts w:ascii="Book Antiqua" w:hAnsi="Book Antiqua"/>
          <w:lang w:val="en-US"/>
        </w:rPr>
        <w:t xml:space="preserve">  and</w:t>
      </w:r>
      <w:proofErr w:type="gramEnd"/>
      <w:r w:rsidRPr="00CD1426">
        <w:rPr>
          <w:rFonts w:ascii="Book Antiqua" w:hAnsi="Book Antiqua"/>
          <w:lang w:val="en-US"/>
        </w:rPr>
        <w:t xml:space="preserve"> cyclosporine and </w:t>
      </w:r>
      <w:proofErr w:type="spellStart"/>
      <w:r w:rsidRPr="00CD1426">
        <w:rPr>
          <w:rFonts w:ascii="Book Antiqua" w:hAnsi="Book Antiqua"/>
          <w:lang w:val="en-US"/>
        </w:rPr>
        <w:t>tacrolimus</w:t>
      </w:r>
      <w:proofErr w:type="spellEnd"/>
      <w:r w:rsidRPr="00CD1426">
        <w:rPr>
          <w:rFonts w:ascii="Book Antiqua" w:hAnsi="Book Antiqua"/>
          <w:lang w:val="en-US"/>
        </w:rPr>
        <w:t xml:space="preserve"> </w:t>
      </w:r>
      <w:proofErr w:type="spellStart"/>
      <w:r w:rsidRPr="00CD1426">
        <w:rPr>
          <w:rFonts w:ascii="Book Antiqua" w:hAnsi="Book Antiqua"/>
          <w:lang w:val="en-US"/>
        </w:rPr>
        <w:t>imunossupressants</w:t>
      </w:r>
      <w:proofErr w:type="spellEnd"/>
      <w:r w:rsidRPr="00CD1426">
        <w:rPr>
          <w:rFonts w:ascii="Book Antiqua" w:hAnsi="Book Antiqua"/>
          <w:lang w:val="en-US"/>
        </w:rPr>
        <w:t>.</w:t>
      </w:r>
    </w:p>
    <w:p w14:paraId="23F297B3" w14:textId="77777777" w:rsidR="002B302F" w:rsidRPr="00CD1426" w:rsidRDefault="002B302F" w:rsidP="00CD1426">
      <w:pPr>
        <w:widowControl w:val="0"/>
        <w:autoSpaceDE w:val="0"/>
        <w:autoSpaceDN w:val="0"/>
        <w:adjustRightInd w:val="0"/>
        <w:spacing w:line="360" w:lineRule="auto"/>
        <w:jc w:val="both"/>
        <w:rPr>
          <w:rFonts w:ascii="Book Antiqua" w:hAnsi="Book Antiqua" w:cs="Arial"/>
          <w:b/>
          <w:lang w:val="en-US"/>
        </w:rPr>
      </w:pPr>
    </w:p>
    <w:p w14:paraId="2CB260FB" w14:textId="77777777" w:rsidR="002B302F" w:rsidRPr="00CD1426" w:rsidRDefault="002B302F" w:rsidP="00CD1426">
      <w:pPr>
        <w:widowControl w:val="0"/>
        <w:autoSpaceDE w:val="0"/>
        <w:autoSpaceDN w:val="0"/>
        <w:adjustRightInd w:val="0"/>
        <w:spacing w:line="360" w:lineRule="auto"/>
        <w:jc w:val="both"/>
        <w:rPr>
          <w:rFonts w:ascii="Book Antiqua" w:hAnsi="Book Antiqua" w:cs="Arial"/>
          <w:bCs/>
          <w:lang w:val="en-US"/>
        </w:rPr>
      </w:pPr>
      <w:r w:rsidRPr="00CD1426">
        <w:rPr>
          <w:rFonts w:ascii="Book Antiqua" w:hAnsi="Book Antiqua" w:cs="Arial"/>
          <w:b/>
          <w:lang w:val="en-US"/>
        </w:rPr>
        <w:t>FINAL REMARKS</w:t>
      </w:r>
    </w:p>
    <w:p w14:paraId="523F4471" w14:textId="77777777" w:rsidR="002B302F" w:rsidRPr="00CD1426" w:rsidRDefault="002B302F" w:rsidP="00CD1426">
      <w:pPr>
        <w:widowControl w:val="0"/>
        <w:autoSpaceDE w:val="0"/>
        <w:autoSpaceDN w:val="0"/>
        <w:adjustRightInd w:val="0"/>
        <w:spacing w:line="360" w:lineRule="auto"/>
        <w:jc w:val="both"/>
        <w:rPr>
          <w:rFonts w:ascii="Book Antiqua" w:hAnsi="Book Antiqua" w:cs="Arial"/>
          <w:bCs/>
          <w:lang w:val="en-US"/>
        </w:rPr>
      </w:pPr>
      <w:r w:rsidRPr="00CD1426">
        <w:rPr>
          <w:rFonts w:ascii="Book Antiqua" w:hAnsi="Book Antiqua" w:cs="Arial"/>
          <w:bCs/>
          <w:lang w:val="en-US"/>
        </w:rPr>
        <w:t xml:space="preserve">As the efficacy of new drug regimens used to treat chronic hepatitis C is improved, the influence of host and viral factors that may interfere with the chances of obtaining a SVR decreases. </w:t>
      </w:r>
    </w:p>
    <w:p w14:paraId="603172EC" w14:textId="11302634" w:rsidR="002B302F" w:rsidRPr="00CD1426" w:rsidRDefault="002B302F" w:rsidP="00CD1426">
      <w:pPr>
        <w:widowControl w:val="0"/>
        <w:autoSpaceDE w:val="0"/>
        <w:autoSpaceDN w:val="0"/>
        <w:adjustRightInd w:val="0"/>
        <w:spacing w:line="360" w:lineRule="auto"/>
        <w:ind w:firstLineChars="200" w:firstLine="480"/>
        <w:jc w:val="both"/>
        <w:rPr>
          <w:rFonts w:ascii="Book Antiqua" w:hAnsi="Book Antiqua" w:cs="Arial"/>
          <w:bCs/>
          <w:lang w:val="en-US"/>
        </w:rPr>
      </w:pPr>
      <w:r w:rsidRPr="00CD1426">
        <w:rPr>
          <w:rFonts w:ascii="Book Antiqua" w:hAnsi="Book Antiqua" w:cs="Arial"/>
          <w:bCs/>
          <w:lang w:val="en-US"/>
        </w:rPr>
        <w:t>Because interferon-based antiviral therapies were the main option, several studies searched for variables that are predictive of SVR in patients with chronic hepatitis C. Various viral factors, the host and the genetic variables, metabolic and immunological characteristics have influenced the response to interferon-based therapy. The most important viral factors that influence the response to interferon-based antiviral treatment appear to be HCV genotype and HCV RNA kinetics. Conversely, the strongest identified host baseline risk factor associated with SVR was IL28B polymorphisms, especially rs12979860 and rs8099917. Other important SVR risk factors at baseline were high viral load (&gt;</w:t>
      </w:r>
      <w:r w:rsidR="006074EB" w:rsidRPr="00CD1426">
        <w:rPr>
          <w:rFonts w:ascii="Book Antiqua" w:hAnsi="Book Antiqua" w:cs="Arial"/>
          <w:bCs/>
          <w:lang w:val="en-US" w:eastAsia="zh-CN"/>
        </w:rPr>
        <w:t xml:space="preserve"> </w:t>
      </w:r>
      <w:r w:rsidRPr="00CD1426">
        <w:rPr>
          <w:rFonts w:ascii="Book Antiqua" w:hAnsi="Book Antiqua" w:cs="Arial"/>
          <w:bCs/>
          <w:lang w:val="en-US"/>
        </w:rPr>
        <w:t xml:space="preserve">600.000 UI/mL), older age, African ancestry, body weight, insulin resistance, </w:t>
      </w:r>
      <w:proofErr w:type="spellStart"/>
      <w:r w:rsidRPr="00CD1426">
        <w:rPr>
          <w:rFonts w:ascii="Book Antiqua" w:hAnsi="Book Antiqua" w:cs="Arial"/>
          <w:bCs/>
          <w:lang w:val="en-US"/>
        </w:rPr>
        <w:t>steatosis</w:t>
      </w:r>
      <w:proofErr w:type="spellEnd"/>
      <w:r w:rsidRPr="00CD1426">
        <w:rPr>
          <w:rFonts w:ascii="Book Antiqua" w:hAnsi="Book Antiqua" w:cs="Arial"/>
          <w:bCs/>
          <w:lang w:val="en-US"/>
        </w:rPr>
        <w:t>, and advanced fibrosis stage. Viral kinetics is a strong predictor of SVR, particularly when the viral load is not detectable at week 4 (RVR).</w:t>
      </w:r>
    </w:p>
    <w:p w14:paraId="6412B9B3" w14:textId="77777777" w:rsidR="002B302F" w:rsidRPr="00CD1426" w:rsidRDefault="002B302F" w:rsidP="00CD1426">
      <w:pPr>
        <w:widowControl w:val="0"/>
        <w:autoSpaceDE w:val="0"/>
        <w:autoSpaceDN w:val="0"/>
        <w:adjustRightInd w:val="0"/>
        <w:spacing w:line="360" w:lineRule="auto"/>
        <w:ind w:firstLineChars="200" w:firstLine="480"/>
        <w:jc w:val="both"/>
        <w:rPr>
          <w:rFonts w:ascii="Book Antiqua" w:hAnsi="Book Antiqua" w:cs="Arial"/>
          <w:bCs/>
          <w:lang w:val="en-US"/>
        </w:rPr>
      </w:pPr>
      <w:r w:rsidRPr="00CD1426">
        <w:rPr>
          <w:rFonts w:ascii="Book Antiqua" w:hAnsi="Book Antiqua" w:cs="Arial"/>
          <w:bCs/>
          <w:lang w:val="en-US"/>
        </w:rPr>
        <w:t xml:space="preserve">With the arrival of first generation DAAs, some variables previously associated with SVR lost their value. Considering </w:t>
      </w:r>
      <w:proofErr w:type="spellStart"/>
      <w:r w:rsidRPr="00CD1426">
        <w:rPr>
          <w:rFonts w:ascii="Book Antiqua" w:hAnsi="Book Antiqua" w:cs="Arial"/>
          <w:bCs/>
          <w:lang w:val="en-US"/>
        </w:rPr>
        <w:t>telaprevir</w:t>
      </w:r>
      <w:proofErr w:type="spellEnd"/>
      <w:r w:rsidRPr="00CD1426">
        <w:rPr>
          <w:rFonts w:ascii="Book Antiqua" w:hAnsi="Book Antiqua" w:cs="Arial"/>
          <w:bCs/>
          <w:lang w:val="en-US"/>
        </w:rPr>
        <w:t xml:space="preserve"> and </w:t>
      </w:r>
      <w:proofErr w:type="spellStart"/>
      <w:r w:rsidRPr="00CD1426">
        <w:rPr>
          <w:rFonts w:ascii="Book Antiqua" w:hAnsi="Book Antiqua" w:cs="Arial"/>
          <w:bCs/>
          <w:lang w:val="en-US"/>
        </w:rPr>
        <w:t>boceprevir</w:t>
      </w:r>
      <w:proofErr w:type="spellEnd"/>
      <w:r w:rsidRPr="00CD1426">
        <w:rPr>
          <w:rFonts w:ascii="Book Antiqua" w:hAnsi="Book Antiqua" w:cs="Arial"/>
          <w:bCs/>
          <w:lang w:val="en-US"/>
        </w:rPr>
        <w:t>, viral kinetics is the most important predictive factor of SVR. The IL28B was associated with greater chances to shorten therapy but not to achieve SVR.</w:t>
      </w:r>
    </w:p>
    <w:p w14:paraId="3D6AEC6F" w14:textId="77777777" w:rsidR="002B302F" w:rsidRPr="00CD1426" w:rsidRDefault="002B302F" w:rsidP="00CD1426">
      <w:pPr>
        <w:widowControl w:val="0"/>
        <w:autoSpaceDE w:val="0"/>
        <w:autoSpaceDN w:val="0"/>
        <w:adjustRightInd w:val="0"/>
        <w:spacing w:line="360" w:lineRule="auto"/>
        <w:ind w:firstLineChars="200" w:firstLine="480"/>
        <w:jc w:val="both"/>
        <w:rPr>
          <w:rFonts w:ascii="Book Antiqua" w:hAnsi="Book Antiqua" w:cs="Arial"/>
          <w:bCs/>
          <w:lang w:val="en-US"/>
        </w:rPr>
      </w:pPr>
      <w:r w:rsidRPr="00CD1426">
        <w:rPr>
          <w:rFonts w:ascii="Book Antiqua" w:hAnsi="Book Antiqua" w:cs="Arial"/>
          <w:bCs/>
          <w:lang w:val="en-US"/>
        </w:rPr>
        <w:t xml:space="preserve">With the new generation DAAs, it has been possible to identify treatment </w:t>
      </w:r>
      <w:r w:rsidRPr="00CD1426">
        <w:rPr>
          <w:rFonts w:ascii="Book Antiqua" w:hAnsi="Book Antiqua" w:cs="Arial"/>
          <w:bCs/>
          <w:lang w:val="en-US"/>
        </w:rPr>
        <w:lastRenderedPageBreak/>
        <w:t>regimens that substantially improve SVR rates, including difficult to treat subgroups of patients such as patients with cirrhosis. Nonetheless, HCV subtype 1a, cirrhosis, some cases of HCV genotype 3 and “failure” of viral load decrease on-treatment</w:t>
      </w:r>
      <w:r w:rsidRPr="00CD1426" w:rsidDel="00FA46C0">
        <w:rPr>
          <w:rFonts w:ascii="Book Antiqua" w:hAnsi="Book Antiqua" w:cs="Arial"/>
          <w:bCs/>
          <w:lang w:val="en-US"/>
        </w:rPr>
        <w:t xml:space="preserve"> </w:t>
      </w:r>
      <w:r w:rsidRPr="00CD1426">
        <w:rPr>
          <w:rFonts w:ascii="Book Antiqua" w:hAnsi="Book Antiqua" w:cs="Arial"/>
          <w:bCs/>
          <w:lang w:val="en-US"/>
        </w:rPr>
        <w:t xml:space="preserve">may still indicate low rates of non-response with regimens that include </w:t>
      </w:r>
      <w:proofErr w:type="spellStart"/>
      <w:r w:rsidRPr="00CD1426">
        <w:rPr>
          <w:rFonts w:ascii="Book Antiqua" w:hAnsi="Book Antiqua" w:cs="Arial"/>
          <w:bCs/>
          <w:lang w:val="en-US"/>
        </w:rPr>
        <w:t>Sofosbubir</w:t>
      </w:r>
      <w:proofErr w:type="spellEnd"/>
      <w:r w:rsidRPr="00CD1426">
        <w:rPr>
          <w:rFonts w:ascii="Book Antiqua" w:hAnsi="Book Antiqua" w:cs="Arial"/>
          <w:bCs/>
          <w:lang w:val="en-US"/>
        </w:rPr>
        <w:t xml:space="preserve">, </w:t>
      </w:r>
      <w:proofErr w:type="spellStart"/>
      <w:r w:rsidRPr="00CD1426">
        <w:rPr>
          <w:rFonts w:ascii="Book Antiqua" w:hAnsi="Book Antiqua" w:cs="Arial"/>
          <w:bCs/>
          <w:lang w:val="en-US"/>
        </w:rPr>
        <w:t>Daclatasvir</w:t>
      </w:r>
      <w:proofErr w:type="spellEnd"/>
      <w:r w:rsidRPr="00CD1426">
        <w:rPr>
          <w:rFonts w:ascii="Book Antiqua" w:hAnsi="Book Antiqua" w:cs="Arial"/>
          <w:bCs/>
          <w:lang w:val="en-US"/>
        </w:rPr>
        <w:t xml:space="preserve"> and </w:t>
      </w:r>
      <w:proofErr w:type="spellStart"/>
      <w:r w:rsidRPr="00CD1426">
        <w:rPr>
          <w:rFonts w:ascii="Book Antiqua" w:hAnsi="Book Antiqua" w:cs="Arial"/>
          <w:bCs/>
          <w:lang w:val="en-US"/>
        </w:rPr>
        <w:t>Ledipasvir</w:t>
      </w:r>
      <w:proofErr w:type="spellEnd"/>
      <w:r w:rsidRPr="00CD1426">
        <w:rPr>
          <w:rFonts w:ascii="Book Antiqua" w:hAnsi="Book Antiqua" w:cs="Arial"/>
          <w:bCs/>
          <w:lang w:val="en-US"/>
        </w:rPr>
        <w:t>.</w:t>
      </w:r>
    </w:p>
    <w:p w14:paraId="49FD2116" w14:textId="77777777" w:rsidR="002B302F" w:rsidRPr="00CD1426" w:rsidRDefault="002B302F" w:rsidP="00CD1426">
      <w:pPr>
        <w:widowControl w:val="0"/>
        <w:autoSpaceDE w:val="0"/>
        <w:autoSpaceDN w:val="0"/>
        <w:adjustRightInd w:val="0"/>
        <w:spacing w:line="360" w:lineRule="auto"/>
        <w:ind w:firstLineChars="200" w:firstLine="480"/>
        <w:jc w:val="both"/>
        <w:rPr>
          <w:rFonts w:ascii="Book Antiqua" w:hAnsi="Book Antiqua" w:cs="Arial"/>
          <w:bCs/>
          <w:lang w:val="en-US"/>
        </w:rPr>
      </w:pPr>
      <w:r w:rsidRPr="00CD1426">
        <w:rPr>
          <w:rFonts w:ascii="Book Antiqua" w:hAnsi="Book Antiqua" w:cs="Arial"/>
          <w:bCs/>
          <w:lang w:val="en-US"/>
        </w:rPr>
        <w:t xml:space="preserve">It is expected that newer high genetic barrier drug treatment regimens will produce very high SVR rates with short therapy durations independent of the presence of the current known unfavorable host, viral and </w:t>
      </w:r>
      <w:proofErr w:type="spellStart"/>
      <w:r w:rsidRPr="00CD1426">
        <w:rPr>
          <w:rFonts w:ascii="Book Antiqua" w:hAnsi="Book Antiqua" w:cs="Arial"/>
          <w:bCs/>
          <w:lang w:val="en-US"/>
        </w:rPr>
        <w:t>immunogenetic</w:t>
      </w:r>
      <w:proofErr w:type="spellEnd"/>
      <w:r w:rsidRPr="00CD1426">
        <w:rPr>
          <w:rFonts w:ascii="Book Antiqua" w:hAnsi="Book Antiqua" w:cs="Arial"/>
          <w:bCs/>
          <w:lang w:val="en-US"/>
        </w:rPr>
        <w:t xml:space="preserve"> variables associated with response.</w:t>
      </w:r>
    </w:p>
    <w:p w14:paraId="7964E32A" w14:textId="77777777" w:rsidR="00E2415B" w:rsidRPr="00CD1426" w:rsidRDefault="00E2415B" w:rsidP="00CD1426">
      <w:pPr>
        <w:widowControl w:val="0"/>
        <w:autoSpaceDE w:val="0"/>
        <w:autoSpaceDN w:val="0"/>
        <w:adjustRightInd w:val="0"/>
        <w:spacing w:line="360" w:lineRule="auto"/>
        <w:jc w:val="both"/>
        <w:rPr>
          <w:rFonts w:ascii="Book Antiqua" w:hAnsi="Book Antiqua" w:cs="Arial"/>
          <w:b/>
          <w:bCs/>
          <w:lang w:val="en-US"/>
        </w:rPr>
      </w:pPr>
    </w:p>
    <w:p w14:paraId="2F8AB34D" w14:textId="77777777" w:rsidR="00E2415B" w:rsidRPr="00CD1426" w:rsidRDefault="00E2415B" w:rsidP="00CD1426">
      <w:pPr>
        <w:pStyle w:val="NormalWeb"/>
        <w:spacing w:before="0" w:beforeAutospacing="0" w:after="0" w:afterAutospacing="0" w:line="360" w:lineRule="auto"/>
        <w:ind w:left="640" w:hanging="640"/>
        <w:jc w:val="both"/>
        <w:divId w:val="1153527752"/>
        <w:rPr>
          <w:rFonts w:ascii="Book Antiqua" w:hAnsi="Book Antiqua" w:cs="Arial"/>
          <w:b/>
          <w:bCs/>
          <w:sz w:val="24"/>
          <w:szCs w:val="24"/>
          <w:lang w:val="en-US"/>
        </w:rPr>
      </w:pPr>
      <w:r w:rsidRPr="00CD1426">
        <w:rPr>
          <w:rFonts w:ascii="Book Antiqua" w:hAnsi="Book Antiqua" w:cs="Arial"/>
          <w:b/>
          <w:bCs/>
          <w:sz w:val="24"/>
          <w:szCs w:val="24"/>
          <w:lang w:val="en-US"/>
        </w:rPr>
        <w:t xml:space="preserve">REFERENCES </w:t>
      </w:r>
    </w:p>
    <w:p w14:paraId="566C1506" w14:textId="77777777" w:rsidR="00CD1426" w:rsidRPr="004C2C62" w:rsidRDefault="00CD1426" w:rsidP="00CD1426">
      <w:pPr>
        <w:spacing w:line="360" w:lineRule="auto"/>
        <w:jc w:val="both"/>
        <w:divId w:val="1336884897"/>
        <w:rPr>
          <w:rFonts w:ascii="Book Antiqua" w:hAnsi="Book Antiqua" w:cs="宋体"/>
        </w:rPr>
      </w:pPr>
      <w:r w:rsidRPr="004C2C62">
        <w:rPr>
          <w:rFonts w:ascii="Book Antiqua" w:hAnsi="Book Antiqua" w:cs="宋体"/>
        </w:rPr>
        <w:t xml:space="preserve">1 </w:t>
      </w:r>
      <w:r w:rsidRPr="004C2C62">
        <w:rPr>
          <w:rFonts w:ascii="Book Antiqua" w:hAnsi="Book Antiqua" w:cs="宋体"/>
          <w:b/>
          <w:bCs/>
        </w:rPr>
        <w:t>Ghany MG</w:t>
      </w:r>
      <w:r w:rsidRPr="004C2C62">
        <w:rPr>
          <w:rFonts w:ascii="Book Antiqua" w:hAnsi="Book Antiqua" w:cs="宋体"/>
        </w:rPr>
        <w:t xml:space="preserve">, Strader DB, Thomas DL, Seeff LB. Diagnosis, management, and treatment of hepatitis C: an update. </w:t>
      </w:r>
      <w:r w:rsidRPr="004C2C62">
        <w:rPr>
          <w:rFonts w:ascii="Book Antiqua" w:hAnsi="Book Antiqua" w:cs="宋体"/>
          <w:i/>
          <w:iCs/>
        </w:rPr>
        <w:t>Hepatology</w:t>
      </w:r>
      <w:r w:rsidRPr="004C2C62">
        <w:rPr>
          <w:rFonts w:ascii="Book Antiqua" w:hAnsi="Book Antiqua" w:cs="宋体"/>
        </w:rPr>
        <w:t xml:space="preserve"> 2009; </w:t>
      </w:r>
      <w:r w:rsidRPr="004C2C62">
        <w:rPr>
          <w:rFonts w:ascii="Book Antiqua" w:hAnsi="Book Antiqua" w:cs="宋体"/>
          <w:b/>
          <w:bCs/>
        </w:rPr>
        <w:t>49</w:t>
      </w:r>
      <w:r w:rsidRPr="004C2C62">
        <w:rPr>
          <w:rFonts w:ascii="Book Antiqua" w:hAnsi="Book Antiqua" w:cs="宋体"/>
        </w:rPr>
        <w:t>: 1335-1374 [PMID: 19330875 DOI: 10.1002/hep.22759]</w:t>
      </w:r>
    </w:p>
    <w:p w14:paraId="0B6F75A1" w14:textId="77777777" w:rsidR="00CD1426" w:rsidRPr="004C2C62" w:rsidRDefault="00CD1426" w:rsidP="00CD1426">
      <w:pPr>
        <w:spacing w:line="360" w:lineRule="auto"/>
        <w:jc w:val="both"/>
        <w:divId w:val="1336884897"/>
        <w:rPr>
          <w:rFonts w:ascii="Book Antiqua" w:hAnsi="Book Antiqua" w:cs="宋体"/>
        </w:rPr>
      </w:pPr>
      <w:r w:rsidRPr="004C2C62">
        <w:rPr>
          <w:rFonts w:ascii="Book Antiqua" w:hAnsi="Book Antiqua" w:cs="宋体"/>
        </w:rPr>
        <w:t xml:space="preserve">2 </w:t>
      </w:r>
      <w:r w:rsidRPr="004C2C62">
        <w:rPr>
          <w:rFonts w:ascii="Book Antiqua" w:hAnsi="Book Antiqua" w:cs="宋体"/>
          <w:b/>
          <w:bCs/>
        </w:rPr>
        <w:t>Ly KN</w:t>
      </w:r>
      <w:r w:rsidRPr="004C2C62">
        <w:rPr>
          <w:rFonts w:ascii="Book Antiqua" w:hAnsi="Book Antiqua" w:cs="宋体"/>
        </w:rPr>
        <w:t xml:space="preserve">, Xing J, Klevens RM, Jiles RB, Ward JW, Holmberg SD. The increasing burden of mortality from viral hepatitis in the United States between 1999 and 2007. </w:t>
      </w:r>
      <w:r w:rsidRPr="004C2C62">
        <w:rPr>
          <w:rFonts w:ascii="Book Antiqua" w:hAnsi="Book Antiqua" w:cs="宋体"/>
          <w:i/>
          <w:iCs/>
        </w:rPr>
        <w:t>Ann Intern Med</w:t>
      </w:r>
      <w:r w:rsidRPr="004C2C62">
        <w:rPr>
          <w:rFonts w:ascii="Book Antiqua" w:hAnsi="Book Antiqua" w:cs="宋体"/>
        </w:rPr>
        <w:t xml:space="preserve"> 2012; </w:t>
      </w:r>
      <w:r w:rsidRPr="004C2C62">
        <w:rPr>
          <w:rFonts w:ascii="Book Antiqua" w:hAnsi="Book Antiqua" w:cs="宋体"/>
          <w:b/>
          <w:bCs/>
        </w:rPr>
        <w:t>156</w:t>
      </w:r>
      <w:r w:rsidRPr="004C2C62">
        <w:rPr>
          <w:rFonts w:ascii="Book Antiqua" w:hAnsi="Book Antiqua" w:cs="宋体"/>
        </w:rPr>
        <w:t>: 271-278 [PMID: 22351712 DOI: 10.7326/0003-4819-156-4-201202210-00004]</w:t>
      </w:r>
    </w:p>
    <w:p w14:paraId="4E004AEC" w14:textId="77777777" w:rsidR="00CD1426" w:rsidRPr="004C2C62" w:rsidRDefault="00CD1426" w:rsidP="00CD1426">
      <w:pPr>
        <w:spacing w:line="360" w:lineRule="auto"/>
        <w:jc w:val="both"/>
        <w:divId w:val="1336884897"/>
        <w:rPr>
          <w:rFonts w:ascii="Book Antiqua" w:hAnsi="Book Antiqua" w:cs="宋体"/>
        </w:rPr>
      </w:pPr>
      <w:r w:rsidRPr="004C2C62">
        <w:rPr>
          <w:rFonts w:ascii="Book Antiqua" w:hAnsi="Book Antiqua" w:cs="宋体"/>
        </w:rPr>
        <w:t xml:space="preserve">3 </w:t>
      </w:r>
      <w:r w:rsidRPr="004C2C62">
        <w:rPr>
          <w:rFonts w:ascii="Book Antiqua" w:hAnsi="Book Antiqua" w:cs="宋体"/>
          <w:b/>
          <w:bCs/>
        </w:rPr>
        <w:t>Promrat K</w:t>
      </w:r>
      <w:r w:rsidRPr="004C2C62">
        <w:rPr>
          <w:rFonts w:ascii="Book Antiqua" w:hAnsi="Book Antiqua" w:cs="宋体"/>
        </w:rPr>
        <w:t xml:space="preserve">, McDermott DH, Gonzalez CM, Kleiner DE, Koziol DE, Lessie M, Merrell M, Soza A, Heller T, Ghany M, Park Y, Alter HJ, Hoofnagle JH, Murphy PM, Liang TJ. Associations of chemokine system polymorphisms with clinical outcomes and treatment responses of chronic hepatitis C. </w:t>
      </w:r>
      <w:r w:rsidRPr="004C2C62">
        <w:rPr>
          <w:rFonts w:ascii="Book Antiqua" w:hAnsi="Book Antiqua" w:cs="宋体"/>
          <w:i/>
          <w:iCs/>
        </w:rPr>
        <w:t>Gastroenterology</w:t>
      </w:r>
      <w:r w:rsidRPr="004C2C62">
        <w:rPr>
          <w:rFonts w:ascii="Book Antiqua" w:hAnsi="Book Antiqua" w:cs="宋体"/>
        </w:rPr>
        <w:t xml:space="preserve"> 2003; </w:t>
      </w:r>
      <w:r w:rsidRPr="004C2C62">
        <w:rPr>
          <w:rFonts w:ascii="Book Antiqua" w:hAnsi="Book Antiqua" w:cs="宋体"/>
          <w:b/>
          <w:bCs/>
        </w:rPr>
        <w:t>124</w:t>
      </w:r>
      <w:r w:rsidRPr="004C2C62">
        <w:rPr>
          <w:rFonts w:ascii="Book Antiqua" w:hAnsi="Book Antiqua" w:cs="宋体"/>
        </w:rPr>
        <w:t>: 352-360 [PMID: 12557141 DOI: 10.1053/gast.2003.50061]</w:t>
      </w:r>
    </w:p>
    <w:p w14:paraId="7C472ABB" w14:textId="77777777" w:rsidR="00CD1426" w:rsidRPr="004C2C62" w:rsidRDefault="00CD1426" w:rsidP="00CD1426">
      <w:pPr>
        <w:spacing w:line="360" w:lineRule="auto"/>
        <w:jc w:val="both"/>
        <w:divId w:val="1336884897"/>
        <w:rPr>
          <w:rFonts w:ascii="Book Antiqua" w:hAnsi="Book Antiqua" w:cs="宋体"/>
        </w:rPr>
      </w:pPr>
      <w:r w:rsidRPr="004C2C62">
        <w:rPr>
          <w:rFonts w:ascii="Book Antiqua" w:hAnsi="Book Antiqua" w:cs="宋体"/>
        </w:rPr>
        <w:t xml:space="preserve">4 </w:t>
      </w:r>
      <w:r w:rsidRPr="004C2C62">
        <w:rPr>
          <w:rFonts w:ascii="Book Antiqua" w:hAnsi="Book Antiqua" w:cs="宋体"/>
          <w:b/>
          <w:bCs/>
        </w:rPr>
        <w:t>Tapper EB</w:t>
      </w:r>
      <w:r w:rsidRPr="004C2C62">
        <w:rPr>
          <w:rFonts w:ascii="Book Antiqua" w:hAnsi="Book Antiqua" w:cs="宋体"/>
        </w:rPr>
        <w:t xml:space="preserve">, Afdhal NH. Is 3 the new 1: perspectives on virology, natural history and treatment for hepatitis C genotype 3. </w:t>
      </w:r>
      <w:r w:rsidRPr="004C2C62">
        <w:rPr>
          <w:rFonts w:ascii="Book Antiqua" w:hAnsi="Book Antiqua" w:cs="宋体"/>
          <w:i/>
          <w:iCs/>
        </w:rPr>
        <w:t>J Viral Hepat</w:t>
      </w:r>
      <w:r w:rsidRPr="004C2C62">
        <w:rPr>
          <w:rFonts w:ascii="Book Antiqua" w:hAnsi="Book Antiqua" w:cs="宋体"/>
        </w:rPr>
        <w:t xml:space="preserve"> 2013; </w:t>
      </w:r>
      <w:r w:rsidRPr="004C2C62">
        <w:rPr>
          <w:rFonts w:ascii="Book Antiqua" w:hAnsi="Book Antiqua" w:cs="宋体"/>
          <w:b/>
          <w:bCs/>
        </w:rPr>
        <w:t>20</w:t>
      </w:r>
      <w:r w:rsidRPr="004C2C62">
        <w:rPr>
          <w:rFonts w:ascii="Book Antiqua" w:hAnsi="Book Antiqua" w:cs="宋体"/>
        </w:rPr>
        <w:t>: 669-677 [PMID: 24010641 DOI: 10.1111/jvh.12168]</w:t>
      </w:r>
    </w:p>
    <w:p w14:paraId="513F3075" w14:textId="77777777" w:rsidR="00CD1426" w:rsidRPr="004C2C62" w:rsidRDefault="00CD1426" w:rsidP="00CD1426">
      <w:pPr>
        <w:spacing w:line="360" w:lineRule="auto"/>
        <w:jc w:val="both"/>
        <w:divId w:val="1336884897"/>
        <w:rPr>
          <w:rFonts w:ascii="Book Antiqua" w:hAnsi="Book Antiqua" w:cs="宋体"/>
        </w:rPr>
      </w:pPr>
      <w:r w:rsidRPr="004C2C62">
        <w:rPr>
          <w:rFonts w:ascii="Book Antiqua" w:hAnsi="Book Antiqua" w:cs="宋体"/>
        </w:rPr>
        <w:t xml:space="preserve">5 </w:t>
      </w:r>
      <w:r w:rsidRPr="004C2C62">
        <w:rPr>
          <w:rFonts w:ascii="Book Antiqua" w:hAnsi="Book Antiqua" w:cs="宋体"/>
          <w:b/>
          <w:bCs/>
        </w:rPr>
        <w:t>Seeff LB</w:t>
      </w:r>
      <w:r w:rsidRPr="004C2C62">
        <w:rPr>
          <w:rFonts w:ascii="Book Antiqua" w:hAnsi="Book Antiqua" w:cs="宋体"/>
        </w:rPr>
        <w:t xml:space="preserve">, Hoofnagle JH. Appendix: The National Institutes of Health Consensus Development Conference Management of Hepatitis C 2002. </w:t>
      </w:r>
      <w:r w:rsidRPr="004C2C62">
        <w:rPr>
          <w:rFonts w:ascii="Book Antiqua" w:hAnsi="Book Antiqua" w:cs="宋体"/>
          <w:i/>
          <w:iCs/>
        </w:rPr>
        <w:t>Clin Liver Dis</w:t>
      </w:r>
      <w:r w:rsidRPr="004C2C62">
        <w:rPr>
          <w:rFonts w:ascii="Book Antiqua" w:hAnsi="Book Antiqua" w:cs="宋体"/>
        </w:rPr>
        <w:t xml:space="preserve"> 2003; </w:t>
      </w:r>
      <w:r w:rsidRPr="004C2C62">
        <w:rPr>
          <w:rFonts w:ascii="Book Antiqua" w:hAnsi="Book Antiqua" w:cs="宋体"/>
          <w:b/>
          <w:bCs/>
        </w:rPr>
        <w:t>7</w:t>
      </w:r>
      <w:r w:rsidRPr="004C2C62">
        <w:rPr>
          <w:rFonts w:ascii="Book Antiqua" w:hAnsi="Book Antiqua" w:cs="宋体"/>
        </w:rPr>
        <w:t>: 261-287 [PMID: 12691470 DOI: 10.1016/S1089-3261(02)00078-8]</w:t>
      </w:r>
    </w:p>
    <w:p w14:paraId="0032E155" w14:textId="77777777" w:rsidR="00CD1426" w:rsidRPr="004C2C62" w:rsidRDefault="00CD1426" w:rsidP="00CD1426">
      <w:pPr>
        <w:spacing w:line="360" w:lineRule="auto"/>
        <w:jc w:val="both"/>
        <w:divId w:val="1336884897"/>
        <w:rPr>
          <w:rFonts w:ascii="Book Antiqua" w:hAnsi="Book Antiqua" w:cs="宋体"/>
        </w:rPr>
      </w:pPr>
      <w:r w:rsidRPr="004C2C62">
        <w:rPr>
          <w:rFonts w:ascii="Book Antiqua" w:hAnsi="Book Antiqua" w:cs="宋体"/>
        </w:rPr>
        <w:lastRenderedPageBreak/>
        <w:t xml:space="preserve">6 </w:t>
      </w:r>
      <w:r w:rsidRPr="004C2C62">
        <w:rPr>
          <w:rFonts w:ascii="Book Antiqua" w:hAnsi="Book Antiqua" w:cs="宋体"/>
          <w:b/>
          <w:bCs/>
        </w:rPr>
        <w:t>Ge D</w:t>
      </w:r>
      <w:r w:rsidRPr="004C2C62">
        <w:rPr>
          <w:rFonts w:ascii="Book Antiqua" w:hAnsi="Book Antiqua" w:cs="宋体"/>
        </w:rPr>
        <w:t xml:space="preserve">, Fellay J, Thompson AJ, Simon JS, Shianna KV, Urban TJ, Heinzen EL, Qiu P, Bertelsen AH, Muir AJ, Sulkowski M, McHutchison JG, Goldstein DB. Genetic variation in IL28B predicts hepatitis C treatment-induced viral clearance. </w:t>
      </w:r>
      <w:r w:rsidRPr="004C2C62">
        <w:rPr>
          <w:rFonts w:ascii="Book Antiqua" w:hAnsi="Book Antiqua" w:cs="宋体"/>
          <w:i/>
          <w:iCs/>
        </w:rPr>
        <w:t>Nature</w:t>
      </w:r>
      <w:r w:rsidRPr="004C2C62">
        <w:rPr>
          <w:rFonts w:ascii="Book Antiqua" w:hAnsi="Book Antiqua" w:cs="宋体"/>
        </w:rPr>
        <w:t xml:space="preserve"> 2009; </w:t>
      </w:r>
      <w:r w:rsidRPr="004C2C62">
        <w:rPr>
          <w:rFonts w:ascii="Book Antiqua" w:hAnsi="Book Antiqua" w:cs="宋体"/>
          <w:b/>
          <w:bCs/>
        </w:rPr>
        <w:t>461</w:t>
      </w:r>
      <w:r w:rsidRPr="004C2C62">
        <w:rPr>
          <w:rFonts w:ascii="Book Antiqua" w:hAnsi="Book Antiqua" w:cs="宋体"/>
        </w:rPr>
        <w:t>: 399-401 [PMID: 19684573 DOI: 10.1038/nature08309]</w:t>
      </w:r>
    </w:p>
    <w:p w14:paraId="3AFB31C7" w14:textId="77777777" w:rsidR="00CD1426" w:rsidRPr="004C2C62" w:rsidRDefault="00CD1426" w:rsidP="00CD1426">
      <w:pPr>
        <w:spacing w:line="360" w:lineRule="auto"/>
        <w:jc w:val="both"/>
        <w:divId w:val="1336884897"/>
        <w:rPr>
          <w:rFonts w:ascii="Book Antiqua" w:hAnsi="Book Antiqua" w:cs="宋体"/>
        </w:rPr>
      </w:pPr>
      <w:r w:rsidRPr="004C2C62">
        <w:rPr>
          <w:rFonts w:ascii="Book Antiqua" w:hAnsi="Book Antiqua" w:cs="宋体"/>
        </w:rPr>
        <w:t xml:space="preserve">7 </w:t>
      </w:r>
      <w:r w:rsidRPr="004C2C62">
        <w:rPr>
          <w:rFonts w:ascii="Book Antiqua" w:hAnsi="Book Antiqua" w:cs="宋体"/>
          <w:b/>
          <w:bCs/>
        </w:rPr>
        <w:t>Tanaka Y</w:t>
      </w:r>
      <w:r w:rsidRPr="004C2C62">
        <w:rPr>
          <w:rFonts w:ascii="Book Antiqua" w:hAnsi="Book Antiqua" w:cs="宋体"/>
        </w:rPr>
        <w:t xml:space="preserve">, Nishida N, Sugiyama M, Kurosaki M, Matsuura K, Sakamoto N, Nakagawa M, Korenaga M, Hino K, Hige S, Ito Y, Mita E, Tanaka E, Mochida S, Murawaki Y, Honda M, Sakai A, Hiasa Y, Nishiguchi S, Koike A, Sakaida I, Imamura M, Ito K, Yano K, Masaki N, Sugauchi F, Izumi N, Tokunaga K, Mizokami M. Genome-wide association of IL28B with response to pegylated interferon-alpha and ribavirin therapy for chronic hepatitis C. </w:t>
      </w:r>
      <w:r w:rsidRPr="004C2C62">
        <w:rPr>
          <w:rFonts w:ascii="Book Antiqua" w:hAnsi="Book Antiqua" w:cs="宋体"/>
          <w:i/>
          <w:iCs/>
        </w:rPr>
        <w:t>Nat Genet</w:t>
      </w:r>
      <w:r w:rsidRPr="004C2C62">
        <w:rPr>
          <w:rFonts w:ascii="Book Antiqua" w:hAnsi="Book Antiqua" w:cs="宋体"/>
        </w:rPr>
        <w:t xml:space="preserve"> 2009; </w:t>
      </w:r>
      <w:r w:rsidRPr="004C2C62">
        <w:rPr>
          <w:rFonts w:ascii="Book Antiqua" w:hAnsi="Book Antiqua" w:cs="宋体"/>
          <w:b/>
          <w:bCs/>
        </w:rPr>
        <w:t>41</w:t>
      </w:r>
      <w:r w:rsidRPr="004C2C62">
        <w:rPr>
          <w:rFonts w:ascii="Book Antiqua" w:hAnsi="Book Antiqua" w:cs="宋体"/>
        </w:rPr>
        <w:t>: 1105-1109 [PMID: 19749757 DOI: 10.1038/ng.449]</w:t>
      </w:r>
    </w:p>
    <w:p w14:paraId="51B1661A" w14:textId="77777777" w:rsidR="00CD1426" w:rsidRPr="004C2C62" w:rsidRDefault="00CD1426" w:rsidP="00CD1426">
      <w:pPr>
        <w:spacing w:line="360" w:lineRule="auto"/>
        <w:jc w:val="both"/>
        <w:divId w:val="1336884897"/>
        <w:rPr>
          <w:rFonts w:ascii="Book Antiqua" w:hAnsi="Book Antiqua" w:cs="宋体"/>
        </w:rPr>
      </w:pPr>
      <w:r w:rsidRPr="004C2C62">
        <w:rPr>
          <w:rFonts w:ascii="Book Antiqua" w:hAnsi="Book Antiqua" w:cs="宋体"/>
        </w:rPr>
        <w:t xml:space="preserve">8 </w:t>
      </w:r>
      <w:r w:rsidRPr="004C2C62">
        <w:rPr>
          <w:rFonts w:ascii="Book Antiqua" w:hAnsi="Book Antiqua" w:cs="宋体"/>
          <w:b/>
          <w:bCs/>
        </w:rPr>
        <w:t>Poordad F</w:t>
      </w:r>
      <w:r w:rsidRPr="004C2C62">
        <w:rPr>
          <w:rFonts w:ascii="Book Antiqua" w:hAnsi="Book Antiqua" w:cs="宋体"/>
        </w:rPr>
        <w:t xml:space="preserve">, McCone J, Bacon BR, Bruno S, Manns MP, Sulkowski MS, Jacobson IM, Reddy KR, Goodman ZD, Boparai N, DiNubile MJ, Sniukiene V, Brass CA, Albrecht JK, Bronowicki JP. Boceprevir for untreated chronic HCV genotype 1 infection. </w:t>
      </w:r>
      <w:r w:rsidRPr="004C2C62">
        <w:rPr>
          <w:rFonts w:ascii="Book Antiqua" w:hAnsi="Book Antiqua" w:cs="宋体"/>
          <w:i/>
          <w:iCs/>
        </w:rPr>
        <w:t>N Engl J Med</w:t>
      </w:r>
      <w:r w:rsidRPr="004C2C62">
        <w:rPr>
          <w:rFonts w:ascii="Book Antiqua" w:hAnsi="Book Antiqua" w:cs="宋体"/>
        </w:rPr>
        <w:t xml:space="preserve"> 2011; </w:t>
      </w:r>
      <w:r w:rsidRPr="004C2C62">
        <w:rPr>
          <w:rFonts w:ascii="Book Antiqua" w:hAnsi="Book Antiqua" w:cs="宋体"/>
          <w:b/>
          <w:bCs/>
        </w:rPr>
        <w:t>364</w:t>
      </w:r>
      <w:r w:rsidRPr="004C2C62">
        <w:rPr>
          <w:rFonts w:ascii="Book Antiqua" w:hAnsi="Book Antiqua" w:cs="宋体"/>
        </w:rPr>
        <w:t>: 1195-1206 [PMID: 21449783 DOI: 10.1056/NEJMoa1010494]</w:t>
      </w:r>
    </w:p>
    <w:p w14:paraId="1DA6CE43" w14:textId="77777777" w:rsidR="00CD1426" w:rsidRPr="004C2C62" w:rsidRDefault="00CD1426" w:rsidP="00CD1426">
      <w:pPr>
        <w:spacing w:line="360" w:lineRule="auto"/>
        <w:jc w:val="both"/>
        <w:divId w:val="1336884897"/>
        <w:rPr>
          <w:rFonts w:ascii="Book Antiqua" w:hAnsi="Book Antiqua" w:cs="宋体"/>
        </w:rPr>
      </w:pPr>
      <w:r w:rsidRPr="004C2C62">
        <w:rPr>
          <w:rFonts w:ascii="Book Antiqua" w:hAnsi="Book Antiqua" w:cs="宋体"/>
        </w:rPr>
        <w:t xml:space="preserve">9 </w:t>
      </w:r>
      <w:r w:rsidRPr="004C2C62">
        <w:rPr>
          <w:rFonts w:ascii="Book Antiqua" w:hAnsi="Book Antiqua" w:cs="宋体"/>
          <w:b/>
          <w:bCs/>
        </w:rPr>
        <w:t>Jacobson IM</w:t>
      </w:r>
      <w:r w:rsidRPr="004C2C62">
        <w:rPr>
          <w:rFonts w:ascii="Book Antiqua" w:hAnsi="Book Antiqua" w:cs="宋体"/>
        </w:rPr>
        <w:t xml:space="preserve">, McHutchison JG, Dusheiko G, Di Bisceglie AM, Reddy KR, Bzowej NH, Marcellin P, Muir AJ, Ferenci P, Flisiak R, George J, Rizzetto M, Shouval D, Sola R, Terg RA, Yoshida EM, Adda N, Bengtsson L, Sankoh AJ, Kieffer TL, George S, Kauffman RS, Zeuzem S. Telaprevir for previously untreated chronic hepatitis C virus infection. </w:t>
      </w:r>
      <w:r w:rsidRPr="004C2C62">
        <w:rPr>
          <w:rFonts w:ascii="Book Antiqua" w:hAnsi="Book Antiqua" w:cs="宋体"/>
          <w:i/>
          <w:iCs/>
        </w:rPr>
        <w:t>N Engl J Med</w:t>
      </w:r>
      <w:r w:rsidRPr="004C2C62">
        <w:rPr>
          <w:rFonts w:ascii="Book Antiqua" w:hAnsi="Book Antiqua" w:cs="宋体"/>
        </w:rPr>
        <w:t xml:space="preserve"> 2011; </w:t>
      </w:r>
      <w:r w:rsidRPr="004C2C62">
        <w:rPr>
          <w:rFonts w:ascii="Book Antiqua" w:hAnsi="Book Antiqua" w:cs="宋体"/>
          <w:b/>
          <w:bCs/>
        </w:rPr>
        <w:t>364</w:t>
      </w:r>
      <w:r w:rsidRPr="004C2C62">
        <w:rPr>
          <w:rFonts w:ascii="Book Antiqua" w:hAnsi="Book Antiqua" w:cs="宋体"/>
        </w:rPr>
        <w:t>: 2405-2416 [PMID: 21696307 DOI: 10.1056/NEJMoa1012912]</w:t>
      </w:r>
    </w:p>
    <w:p w14:paraId="23439983" w14:textId="77777777" w:rsidR="00CD1426" w:rsidRPr="004C2C62" w:rsidRDefault="00CD1426" w:rsidP="00CD1426">
      <w:pPr>
        <w:spacing w:line="360" w:lineRule="auto"/>
        <w:jc w:val="both"/>
        <w:divId w:val="1336884897"/>
        <w:rPr>
          <w:rFonts w:ascii="Book Antiqua" w:hAnsi="Book Antiqua" w:cs="宋体"/>
        </w:rPr>
      </w:pPr>
      <w:r w:rsidRPr="004C2C62">
        <w:rPr>
          <w:rFonts w:ascii="Book Antiqua" w:hAnsi="Book Antiqua" w:cs="宋体"/>
        </w:rPr>
        <w:t xml:space="preserve">10 </w:t>
      </w:r>
      <w:r w:rsidRPr="004C2C62">
        <w:rPr>
          <w:rFonts w:ascii="Book Antiqua" w:hAnsi="Book Antiqua" w:cs="宋体"/>
          <w:b/>
          <w:bCs/>
        </w:rPr>
        <w:t>Shepherd J</w:t>
      </w:r>
      <w:r w:rsidRPr="004C2C62">
        <w:rPr>
          <w:rFonts w:ascii="Book Antiqua" w:hAnsi="Book Antiqua" w:cs="宋体"/>
        </w:rPr>
        <w:t xml:space="preserve">, Brodin H, Cave C, Waugh N, Price A, Gabbay J. Pegylated interferon alpha-2a and -2b in combination with ribavirin in the treatment of chronic hepatitis C: a systematic review and economic evaluation. </w:t>
      </w:r>
      <w:r w:rsidRPr="004C2C62">
        <w:rPr>
          <w:rFonts w:ascii="Book Antiqua" w:hAnsi="Book Antiqua" w:cs="宋体"/>
          <w:i/>
          <w:iCs/>
        </w:rPr>
        <w:t>Health Technol Assess</w:t>
      </w:r>
      <w:r w:rsidRPr="004C2C62">
        <w:rPr>
          <w:rFonts w:ascii="Book Antiqua" w:hAnsi="Book Antiqua" w:cs="宋体"/>
        </w:rPr>
        <w:t xml:space="preserve"> 2004; </w:t>
      </w:r>
      <w:r w:rsidRPr="004C2C62">
        <w:rPr>
          <w:rFonts w:ascii="Book Antiqua" w:hAnsi="Book Antiqua" w:cs="宋体"/>
          <w:b/>
          <w:bCs/>
        </w:rPr>
        <w:t>8</w:t>
      </w:r>
      <w:r w:rsidRPr="004C2C62">
        <w:rPr>
          <w:rFonts w:ascii="Book Antiqua" w:hAnsi="Book Antiqua" w:cs="宋体"/>
        </w:rPr>
        <w:t>: iii-iv, 1-125 [PMID: 15461877 DOI: 10.3310/hta8390]</w:t>
      </w:r>
    </w:p>
    <w:p w14:paraId="736500C4" w14:textId="77777777" w:rsidR="00CD1426" w:rsidRPr="004C2C62" w:rsidRDefault="00CD1426" w:rsidP="00CD1426">
      <w:pPr>
        <w:spacing w:line="360" w:lineRule="auto"/>
        <w:jc w:val="both"/>
        <w:divId w:val="1336884897"/>
        <w:rPr>
          <w:rFonts w:ascii="Book Antiqua" w:hAnsi="Book Antiqua" w:cs="宋体"/>
        </w:rPr>
      </w:pPr>
      <w:r w:rsidRPr="004C2C62">
        <w:rPr>
          <w:rFonts w:ascii="Book Antiqua" w:hAnsi="Book Antiqua" w:cs="宋体"/>
        </w:rPr>
        <w:t xml:space="preserve">11 </w:t>
      </w:r>
      <w:r w:rsidRPr="004C2C62">
        <w:rPr>
          <w:rFonts w:ascii="Book Antiqua" w:hAnsi="Book Antiqua" w:cs="宋体"/>
          <w:b/>
          <w:bCs/>
        </w:rPr>
        <w:t>Afdhal NH</w:t>
      </w:r>
      <w:r w:rsidRPr="004C2C62">
        <w:rPr>
          <w:rFonts w:ascii="Book Antiqua" w:hAnsi="Book Antiqua" w:cs="宋体"/>
        </w:rPr>
        <w:t xml:space="preserve">, McHutchison JG, Zeuzem S, Mangia A, Pawlotsky JM, Murray JS, Shianna KV, Tanaka Y, Thomas DL, Booth DR, Goldstein DB. Hepatitis C pharmacogenetics: state of the art in 2010. </w:t>
      </w:r>
      <w:r w:rsidRPr="004C2C62">
        <w:rPr>
          <w:rFonts w:ascii="Book Antiqua" w:hAnsi="Book Antiqua" w:cs="宋体"/>
          <w:i/>
          <w:iCs/>
        </w:rPr>
        <w:t>Hepatology</w:t>
      </w:r>
      <w:r w:rsidRPr="004C2C62">
        <w:rPr>
          <w:rFonts w:ascii="Book Antiqua" w:hAnsi="Book Antiqua" w:cs="宋体"/>
        </w:rPr>
        <w:t xml:space="preserve"> 2011; </w:t>
      </w:r>
      <w:r w:rsidRPr="004C2C62">
        <w:rPr>
          <w:rFonts w:ascii="Book Antiqua" w:hAnsi="Book Antiqua" w:cs="宋体"/>
          <w:b/>
          <w:bCs/>
        </w:rPr>
        <w:t>53</w:t>
      </w:r>
      <w:r w:rsidRPr="004C2C62">
        <w:rPr>
          <w:rFonts w:ascii="Book Antiqua" w:hAnsi="Book Antiqua" w:cs="宋体"/>
        </w:rPr>
        <w:t>: 336-345 [PMID: 21254181 DOI: 10.1002/hep.24052]</w:t>
      </w:r>
    </w:p>
    <w:p w14:paraId="04DB58AA" w14:textId="77777777" w:rsidR="00CD1426" w:rsidRPr="004C2C62" w:rsidRDefault="00CD1426" w:rsidP="00CD1426">
      <w:pPr>
        <w:spacing w:line="360" w:lineRule="auto"/>
        <w:jc w:val="both"/>
        <w:divId w:val="1336884897"/>
        <w:rPr>
          <w:rFonts w:ascii="Book Antiqua" w:hAnsi="Book Antiqua" w:cs="宋体"/>
        </w:rPr>
      </w:pPr>
      <w:r w:rsidRPr="004C2C62">
        <w:rPr>
          <w:rFonts w:ascii="Book Antiqua" w:hAnsi="Book Antiqua" w:cs="宋体"/>
        </w:rPr>
        <w:lastRenderedPageBreak/>
        <w:t xml:space="preserve">12 </w:t>
      </w:r>
      <w:r w:rsidRPr="004C2C62">
        <w:rPr>
          <w:rFonts w:ascii="Book Antiqua" w:hAnsi="Book Antiqua" w:cs="宋体"/>
          <w:b/>
          <w:bCs/>
        </w:rPr>
        <w:t>Fried MW</w:t>
      </w:r>
      <w:r w:rsidRPr="004C2C62">
        <w:rPr>
          <w:rFonts w:ascii="Book Antiqua" w:hAnsi="Book Antiqua" w:cs="宋体"/>
        </w:rPr>
        <w:t xml:space="preserve">, Shiffman ML, Reddy KR, Smith C, Marinos G, Gonçales FL, Häussinger D, Diago M, Carosi G, Dhumeaux D, Craxi A, Lin A, Hoffman J, Yu J. Peginterferon alfa-2a plus ribavirin for chronic hepatitis C virus infection. </w:t>
      </w:r>
      <w:r w:rsidRPr="004C2C62">
        <w:rPr>
          <w:rFonts w:ascii="Book Antiqua" w:hAnsi="Book Antiqua" w:cs="宋体"/>
          <w:i/>
          <w:iCs/>
        </w:rPr>
        <w:t>N Engl J Med</w:t>
      </w:r>
      <w:r w:rsidRPr="004C2C62">
        <w:rPr>
          <w:rFonts w:ascii="Book Antiqua" w:hAnsi="Book Antiqua" w:cs="宋体"/>
        </w:rPr>
        <w:t xml:space="preserve"> 2002; </w:t>
      </w:r>
      <w:r w:rsidRPr="004C2C62">
        <w:rPr>
          <w:rFonts w:ascii="Book Antiqua" w:hAnsi="Book Antiqua" w:cs="宋体"/>
          <w:b/>
          <w:bCs/>
        </w:rPr>
        <w:t>347</w:t>
      </w:r>
      <w:r w:rsidRPr="004C2C62">
        <w:rPr>
          <w:rFonts w:ascii="Book Antiqua" w:hAnsi="Book Antiqua" w:cs="宋体"/>
        </w:rPr>
        <w:t>: 975-982 [PMID: 12324553 DOI: 10.1056/NEJMoa020047]</w:t>
      </w:r>
    </w:p>
    <w:p w14:paraId="6DE5362A" w14:textId="77777777" w:rsidR="00CD1426" w:rsidRPr="00CD1426" w:rsidRDefault="00CD1426" w:rsidP="00CD1426">
      <w:pPr>
        <w:spacing w:line="360" w:lineRule="auto"/>
        <w:jc w:val="both"/>
        <w:divId w:val="1336884897"/>
        <w:rPr>
          <w:rFonts w:ascii="Book Antiqua" w:hAnsi="Book Antiqua" w:cs="宋体"/>
          <w:color w:val="000000" w:themeColor="text1"/>
        </w:rPr>
      </w:pPr>
      <w:r w:rsidRPr="00CD1426">
        <w:rPr>
          <w:rFonts w:ascii="Book Antiqua" w:hAnsi="Book Antiqua" w:cs="宋体"/>
          <w:color w:val="000000" w:themeColor="text1"/>
        </w:rPr>
        <w:t xml:space="preserve">13 </w:t>
      </w:r>
      <w:r w:rsidRPr="004C2C62">
        <w:rPr>
          <w:rFonts w:ascii="Book Antiqua" w:hAnsi="Book Antiqua" w:cs="宋体"/>
          <w:b/>
          <w:color w:val="000000" w:themeColor="text1"/>
        </w:rPr>
        <w:t>Hadziyannis SJ</w:t>
      </w:r>
      <w:r w:rsidRPr="00CD1426">
        <w:rPr>
          <w:rFonts w:ascii="Book Antiqua" w:hAnsi="Book Antiqua" w:cs="宋体"/>
          <w:b/>
          <w:color w:val="000000" w:themeColor="text1"/>
        </w:rPr>
        <w:t xml:space="preserve">, </w:t>
      </w:r>
      <w:r w:rsidRPr="00CD1426">
        <w:rPr>
          <w:rFonts w:ascii="Book Antiqua" w:hAnsi="Book Antiqua" w:cs="宋体"/>
          <w:color w:val="000000" w:themeColor="text1"/>
        </w:rPr>
        <w:t>Sette H, Morgan TR, Balan V, Diago M, Marcellin P, Ramadori G, Bodenheimer H Jr, Bernstein D, Rizzetto M, Zeuzem S, Pockros PJ, Lin A, Ackrill AM; PEGASYS International Study Group</w:t>
      </w:r>
      <w:r w:rsidRPr="004C2C62">
        <w:rPr>
          <w:rFonts w:ascii="Book Antiqua" w:hAnsi="Book Antiqua" w:cs="宋体"/>
          <w:color w:val="000000" w:themeColor="text1"/>
        </w:rPr>
        <w:t>. Peginterferon-α2a and Ribavirin Combination Therapy in Chro</w:t>
      </w:r>
      <w:r w:rsidRPr="00CD1426">
        <w:rPr>
          <w:rFonts w:ascii="Book Antiqua" w:hAnsi="Book Antiqua" w:cs="宋体"/>
          <w:color w:val="000000" w:themeColor="text1"/>
        </w:rPr>
        <w:t xml:space="preserve">nic Hepatitis C: a randomized study of treatment duration and ribavirin dose.. </w:t>
      </w:r>
      <w:r w:rsidRPr="00CD1426">
        <w:rPr>
          <w:rFonts w:ascii="Book Antiqua" w:hAnsi="Book Antiqua" w:cs="宋体"/>
          <w:i/>
          <w:color w:val="000000" w:themeColor="text1"/>
        </w:rPr>
        <w:t>Ann Intern Med</w:t>
      </w:r>
      <w:r w:rsidRPr="004C2C62">
        <w:rPr>
          <w:rFonts w:ascii="Book Antiqua" w:hAnsi="Book Antiqua" w:cs="宋体"/>
          <w:color w:val="000000" w:themeColor="text1"/>
        </w:rPr>
        <w:t xml:space="preserve"> 2004; </w:t>
      </w:r>
      <w:r w:rsidRPr="004C2C62">
        <w:rPr>
          <w:rFonts w:ascii="Book Antiqua" w:hAnsi="Book Antiqua" w:cs="宋体"/>
          <w:b/>
          <w:color w:val="000000" w:themeColor="text1"/>
        </w:rPr>
        <w:t>140</w:t>
      </w:r>
      <w:r w:rsidRPr="004C2C62">
        <w:rPr>
          <w:rFonts w:ascii="Book Antiqua" w:hAnsi="Book Antiqua" w:cs="宋体"/>
          <w:color w:val="000000" w:themeColor="text1"/>
        </w:rPr>
        <w:t xml:space="preserve">: </w:t>
      </w:r>
      <w:r w:rsidRPr="00CD1426">
        <w:rPr>
          <w:rFonts w:ascii="Book Antiqua" w:hAnsi="Book Antiqua" w:cs="宋体"/>
          <w:color w:val="000000" w:themeColor="text1"/>
        </w:rPr>
        <w:t xml:space="preserve">346-355 </w:t>
      </w:r>
      <w:r w:rsidRPr="004C2C62">
        <w:rPr>
          <w:rFonts w:ascii="Book Antiqua" w:hAnsi="Book Antiqua" w:cs="宋体"/>
          <w:color w:val="000000" w:themeColor="text1"/>
        </w:rPr>
        <w:t>[</w:t>
      </w:r>
      <w:r w:rsidRPr="00CD1426">
        <w:rPr>
          <w:rFonts w:ascii="Book Antiqua" w:hAnsi="Book Antiqua" w:cs="宋体"/>
          <w:color w:val="000000" w:themeColor="text1"/>
        </w:rPr>
        <w:t xml:space="preserve">PMID: 14996676 </w:t>
      </w:r>
      <w:r w:rsidRPr="004C2C62">
        <w:rPr>
          <w:rFonts w:ascii="Book Antiqua" w:hAnsi="Book Antiqua" w:cs="宋体"/>
          <w:color w:val="000000" w:themeColor="text1"/>
        </w:rPr>
        <w:t>DOI: 10.7326/0</w:t>
      </w:r>
      <w:r w:rsidRPr="00CD1426">
        <w:rPr>
          <w:rFonts w:ascii="Book Antiqua" w:hAnsi="Book Antiqua" w:cs="宋体"/>
          <w:color w:val="000000" w:themeColor="text1"/>
        </w:rPr>
        <w:t>003-4819-140-5-200403020-00010]</w:t>
      </w:r>
    </w:p>
    <w:p w14:paraId="0D5BE33F" w14:textId="77777777" w:rsidR="00CD1426" w:rsidRPr="004C2C62" w:rsidRDefault="00CD1426" w:rsidP="00CD1426">
      <w:pPr>
        <w:spacing w:line="360" w:lineRule="auto"/>
        <w:jc w:val="both"/>
        <w:divId w:val="1336884897"/>
        <w:rPr>
          <w:rFonts w:ascii="Book Antiqua" w:hAnsi="Book Antiqua" w:cs="宋体"/>
        </w:rPr>
      </w:pPr>
      <w:r w:rsidRPr="004C2C62">
        <w:rPr>
          <w:rFonts w:ascii="Book Antiqua" w:hAnsi="Book Antiqua" w:cs="宋体"/>
        </w:rPr>
        <w:t xml:space="preserve">14 </w:t>
      </w:r>
      <w:r w:rsidRPr="004C2C62">
        <w:rPr>
          <w:rFonts w:ascii="Book Antiqua" w:hAnsi="Book Antiqua" w:cs="宋体"/>
          <w:b/>
          <w:bCs/>
        </w:rPr>
        <w:t>Manns MP</w:t>
      </w:r>
      <w:r w:rsidRPr="004C2C62">
        <w:rPr>
          <w:rFonts w:ascii="Book Antiqua" w:hAnsi="Book Antiqua" w:cs="宋体"/>
        </w:rPr>
        <w:t xml:space="preserve">, Wedemeyer H, Cornberg M. Treating viral hepatitis C: efficacy, side effects, and complications. </w:t>
      </w:r>
      <w:r w:rsidRPr="004C2C62">
        <w:rPr>
          <w:rFonts w:ascii="Book Antiqua" w:hAnsi="Book Antiqua" w:cs="宋体"/>
          <w:i/>
          <w:iCs/>
        </w:rPr>
        <w:t>Gut</w:t>
      </w:r>
      <w:r w:rsidRPr="004C2C62">
        <w:rPr>
          <w:rFonts w:ascii="Book Antiqua" w:hAnsi="Book Antiqua" w:cs="宋体"/>
        </w:rPr>
        <w:t xml:space="preserve"> 2006; </w:t>
      </w:r>
      <w:r w:rsidRPr="004C2C62">
        <w:rPr>
          <w:rFonts w:ascii="Book Antiqua" w:hAnsi="Book Antiqua" w:cs="宋体"/>
          <w:b/>
          <w:bCs/>
        </w:rPr>
        <w:t>55</w:t>
      </w:r>
      <w:r w:rsidRPr="004C2C62">
        <w:rPr>
          <w:rFonts w:ascii="Book Antiqua" w:hAnsi="Book Antiqua" w:cs="宋体"/>
        </w:rPr>
        <w:t>: 1350-1359 [PMID: 16905701 DOI: 10.1136/gut.2005.076646]</w:t>
      </w:r>
    </w:p>
    <w:p w14:paraId="19299047" w14:textId="77777777" w:rsidR="00CD1426" w:rsidRPr="004C2C62" w:rsidRDefault="00CD1426" w:rsidP="00CD1426">
      <w:pPr>
        <w:spacing w:line="360" w:lineRule="auto"/>
        <w:jc w:val="both"/>
        <w:divId w:val="1336884897"/>
        <w:rPr>
          <w:rFonts w:ascii="Book Antiqua" w:hAnsi="Book Antiqua" w:cs="宋体"/>
        </w:rPr>
      </w:pPr>
      <w:r w:rsidRPr="004C2C62">
        <w:rPr>
          <w:rFonts w:ascii="Book Antiqua" w:hAnsi="Book Antiqua" w:cs="宋体"/>
        </w:rPr>
        <w:t xml:space="preserve">15 </w:t>
      </w:r>
      <w:r w:rsidRPr="004C2C62">
        <w:rPr>
          <w:rFonts w:ascii="Book Antiqua" w:hAnsi="Book Antiqua" w:cs="宋体"/>
          <w:b/>
          <w:bCs/>
        </w:rPr>
        <w:t>McHutchison JG</w:t>
      </w:r>
      <w:r w:rsidRPr="004C2C62">
        <w:rPr>
          <w:rFonts w:ascii="Book Antiqua" w:hAnsi="Book Antiqua" w:cs="宋体"/>
        </w:rPr>
        <w:t xml:space="preserve">, Lawitz EJ, Shiffman ML, Muir AJ, Galler GW, McCone J, Nyberg LM, Lee WM, Ghalib RH, Schiff ER, Galati JS, Bacon BR, Davis MN, Mukhopadhyay P, Koury K, Noviello S, Pedicone LD, Brass CA, Albrecht JK, Sulkowski MS. Peginterferon alfa-2b or alfa-2a with ribavirin for treatment of hepatitis C infection. </w:t>
      </w:r>
      <w:r w:rsidRPr="004C2C62">
        <w:rPr>
          <w:rFonts w:ascii="Book Antiqua" w:hAnsi="Book Antiqua" w:cs="宋体"/>
          <w:i/>
          <w:iCs/>
        </w:rPr>
        <w:t>N Engl J Med</w:t>
      </w:r>
      <w:r w:rsidRPr="004C2C62">
        <w:rPr>
          <w:rFonts w:ascii="Book Antiqua" w:hAnsi="Book Antiqua" w:cs="宋体"/>
        </w:rPr>
        <w:t xml:space="preserve"> 2009; </w:t>
      </w:r>
      <w:r w:rsidRPr="004C2C62">
        <w:rPr>
          <w:rFonts w:ascii="Book Antiqua" w:hAnsi="Book Antiqua" w:cs="宋体"/>
          <w:b/>
          <w:bCs/>
        </w:rPr>
        <w:t>361</w:t>
      </w:r>
      <w:r w:rsidRPr="004C2C62">
        <w:rPr>
          <w:rFonts w:ascii="Book Antiqua" w:hAnsi="Book Antiqua" w:cs="宋体"/>
        </w:rPr>
        <w:t>: 580-593 [PMID: 19625712 DOI: 10.1056/NEJMoa0808010]</w:t>
      </w:r>
    </w:p>
    <w:p w14:paraId="6A90A398" w14:textId="77777777" w:rsidR="00CD1426" w:rsidRPr="004C2C62" w:rsidRDefault="00CD1426" w:rsidP="00CD1426">
      <w:pPr>
        <w:spacing w:line="360" w:lineRule="auto"/>
        <w:jc w:val="both"/>
        <w:divId w:val="1336884897"/>
        <w:rPr>
          <w:rFonts w:ascii="Book Antiqua" w:hAnsi="Book Antiqua" w:cs="宋体"/>
        </w:rPr>
      </w:pPr>
      <w:r w:rsidRPr="004C2C62">
        <w:rPr>
          <w:rFonts w:ascii="Book Antiqua" w:hAnsi="Book Antiqua" w:cs="宋体"/>
        </w:rPr>
        <w:t xml:space="preserve">16 </w:t>
      </w:r>
      <w:r w:rsidRPr="004C2C62">
        <w:rPr>
          <w:rFonts w:ascii="Book Antiqua" w:hAnsi="Book Antiqua" w:cs="宋体"/>
          <w:b/>
          <w:bCs/>
        </w:rPr>
        <w:t>Jacobson IM</w:t>
      </w:r>
      <w:r w:rsidRPr="004C2C62">
        <w:rPr>
          <w:rFonts w:ascii="Book Antiqua" w:hAnsi="Book Antiqua" w:cs="宋体"/>
        </w:rPr>
        <w:t xml:space="preserve">, Brown RS, Freilich B, Afdhal N, Kwo PY, Santoro J, Becker S, Wakil AE, Pound D, Godofsky E, Strauss R, Bernstein D, Flamm S, Pauly MP, Mukhopadhyay P, Griffel LH, Brass CA. Peginterferon alfa-2b and weight-based or flat-dose ribavirin in chronic hepatitis C patients: a randomized trial. </w:t>
      </w:r>
      <w:r w:rsidRPr="004C2C62">
        <w:rPr>
          <w:rFonts w:ascii="Book Antiqua" w:hAnsi="Book Antiqua" w:cs="宋体"/>
          <w:i/>
          <w:iCs/>
        </w:rPr>
        <w:t>Hepatology</w:t>
      </w:r>
      <w:r w:rsidRPr="004C2C62">
        <w:rPr>
          <w:rFonts w:ascii="Book Antiqua" w:hAnsi="Book Antiqua" w:cs="宋体"/>
        </w:rPr>
        <w:t xml:space="preserve"> 2007; </w:t>
      </w:r>
      <w:r w:rsidRPr="004C2C62">
        <w:rPr>
          <w:rFonts w:ascii="Book Antiqua" w:hAnsi="Book Antiqua" w:cs="宋体"/>
          <w:b/>
          <w:bCs/>
        </w:rPr>
        <w:t>46</w:t>
      </w:r>
      <w:r w:rsidRPr="004C2C62">
        <w:rPr>
          <w:rFonts w:ascii="Book Antiqua" w:hAnsi="Book Antiqua" w:cs="宋体"/>
        </w:rPr>
        <w:t>: 971-981 [PMID: 17894303 DOI: 10.1002/hep.21932]</w:t>
      </w:r>
    </w:p>
    <w:p w14:paraId="49E0FA13" w14:textId="10C1AA4D" w:rsidR="00CD1426" w:rsidRPr="004C2C62" w:rsidRDefault="00CD1426" w:rsidP="00CD1426">
      <w:pPr>
        <w:spacing w:line="360" w:lineRule="auto"/>
        <w:jc w:val="both"/>
        <w:divId w:val="1336884897"/>
        <w:rPr>
          <w:rFonts w:ascii="Book Antiqua" w:hAnsi="Book Antiqua" w:cs="宋体"/>
        </w:rPr>
      </w:pPr>
      <w:r w:rsidRPr="004C2C62">
        <w:rPr>
          <w:rFonts w:ascii="Book Antiqua" w:hAnsi="Book Antiqua" w:cs="宋体"/>
        </w:rPr>
        <w:t xml:space="preserve">17 </w:t>
      </w:r>
      <w:r w:rsidRPr="004C2C62">
        <w:rPr>
          <w:rFonts w:ascii="Book Antiqua" w:hAnsi="Book Antiqua" w:cs="宋体"/>
          <w:b/>
          <w:bCs/>
        </w:rPr>
        <w:t>Flori N</w:t>
      </w:r>
      <w:r w:rsidRPr="004C2C62">
        <w:rPr>
          <w:rFonts w:ascii="Book Antiqua" w:hAnsi="Book Antiqua" w:cs="宋体"/>
        </w:rPr>
        <w:t>, Funakoshi N, Duny Y, Valats JC, Bismuth M, Christophorou D, Daurès JP, Blanc P. Pegylated interferon-α2a and ribavirin versus pegylated interferon-α2b and r</w:t>
      </w:r>
      <w:r w:rsidR="00C04C74">
        <w:rPr>
          <w:rFonts w:ascii="Book Antiqua" w:hAnsi="Book Antiqua" w:cs="宋体"/>
        </w:rPr>
        <w:t>ibavirin in chronic hepatitis C</w:t>
      </w:r>
      <w:r w:rsidRPr="004C2C62">
        <w:rPr>
          <w:rFonts w:ascii="Book Antiqua" w:hAnsi="Book Antiqua" w:cs="宋体"/>
        </w:rPr>
        <w:t xml:space="preserve">: a meta-analysis. </w:t>
      </w:r>
      <w:r w:rsidRPr="004C2C62">
        <w:rPr>
          <w:rFonts w:ascii="Book Antiqua" w:hAnsi="Book Antiqua" w:cs="宋体"/>
          <w:i/>
          <w:iCs/>
        </w:rPr>
        <w:t>Drugs</w:t>
      </w:r>
      <w:r w:rsidRPr="004C2C62">
        <w:rPr>
          <w:rFonts w:ascii="Book Antiqua" w:hAnsi="Book Antiqua" w:cs="宋体"/>
        </w:rPr>
        <w:t xml:space="preserve"> 2013; </w:t>
      </w:r>
      <w:r w:rsidRPr="004C2C62">
        <w:rPr>
          <w:rFonts w:ascii="Book Antiqua" w:hAnsi="Book Antiqua" w:cs="宋体"/>
          <w:b/>
          <w:bCs/>
        </w:rPr>
        <w:t>73</w:t>
      </w:r>
      <w:r w:rsidRPr="004C2C62">
        <w:rPr>
          <w:rFonts w:ascii="Book Antiqua" w:hAnsi="Book Antiqua" w:cs="宋体"/>
        </w:rPr>
        <w:t>: 263-277 [PMID: 23436591 DOI: 10.1007/s40265-013-0027-1]</w:t>
      </w:r>
    </w:p>
    <w:p w14:paraId="56E68E68" w14:textId="77777777" w:rsidR="00CD1426" w:rsidRPr="00CD1426" w:rsidRDefault="00CD1426" w:rsidP="00CD1426">
      <w:pPr>
        <w:spacing w:line="360" w:lineRule="auto"/>
        <w:jc w:val="both"/>
        <w:divId w:val="1336884897"/>
        <w:rPr>
          <w:rFonts w:ascii="Book Antiqua" w:hAnsi="Book Antiqua" w:cs="宋体"/>
          <w:color w:val="000000" w:themeColor="text1"/>
        </w:rPr>
      </w:pPr>
      <w:r w:rsidRPr="00CD1426">
        <w:rPr>
          <w:rFonts w:ascii="Book Antiqua" w:hAnsi="Book Antiqua" w:cs="宋体"/>
          <w:color w:val="000000" w:themeColor="text1"/>
        </w:rPr>
        <w:t xml:space="preserve">18 </w:t>
      </w:r>
      <w:r w:rsidRPr="004C2C62">
        <w:rPr>
          <w:rFonts w:ascii="Book Antiqua" w:hAnsi="Book Antiqua" w:cs="宋体"/>
          <w:b/>
          <w:color w:val="000000" w:themeColor="text1"/>
        </w:rPr>
        <w:t>Cavalcante LN,</w:t>
      </w:r>
      <w:r w:rsidRPr="004C2C62">
        <w:rPr>
          <w:rFonts w:ascii="Book Antiqua" w:hAnsi="Book Antiqua" w:cs="宋体"/>
          <w:color w:val="000000" w:themeColor="text1"/>
        </w:rPr>
        <w:t xml:space="preserve"> Abe-Sandes K, Angelo ALD, Machado TMB, Lemaire DC, Mendes CMC, Pinho JR, Malta F, Lyra LGC, Lyra AC. IL28B polymorphisms </w:t>
      </w:r>
      <w:r w:rsidRPr="004C2C62">
        <w:rPr>
          <w:rFonts w:ascii="Book Antiqua" w:hAnsi="Book Antiqua" w:cs="宋体"/>
          <w:color w:val="000000" w:themeColor="text1"/>
        </w:rPr>
        <w:lastRenderedPageBreak/>
        <w:t xml:space="preserve">are markers of therapy response and are influenced by genetic ancestry in chronic hepatitis C patients from an admixed population. </w:t>
      </w:r>
      <w:r w:rsidRPr="004C2C62">
        <w:rPr>
          <w:rFonts w:ascii="Book Antiqua" w:hAnsi="Book Antiqua" w:cs="宋体"/>
          <w:i/>
          <w:color w:val="000000" w:themeColor="text1"/>
        </w:rPr>
        <w:t>Liver Int</w:t>
      </w:r>
      <w:r w:rsidRPr="004C2C62">
        <w:rPr>
          <w:rFonts w:ascii="Book Antiqua" w:hAnsi="Book Antiqua" w:cs="宋体"/>
          <w:color w:val="000000" w:themeColor="text1"/>
        </w:rPr>
        <w:t xml:space="preserve"> 2012; </w:t>
      </w:r>
      <w:r w:rsidRPr="004C2C62">
        <w:rPr>
          <w:rFonts w:ascii="Book Antiqua" w:hAnsi="Book Antiqua" w:cs="宋体"/>
          <w:b/>
          <w:color w:val="000000" w:themeColor="text1"/>
        </w:rPr>
        <w:t>32</w:t>
      </w:r>
      <w:r w:rsidRPr="004C2C62">
        <w:rPr>
          <w:rFonts w:ascii="Book Antiqua" w:hAnsi="Book Antiqua" w:cs="宋体"/>
          <w:color w:val="000000" w:themeColor="text1"/>
        </w:rPr>
        <w:t>: 476</w:t>
      </w:r>
      <w:r w:rsidRPr="00CD1426">
        <w:rPr>
          <w:rFonts w:ascii="Book Antiqua" w:hAnsi="Book Antiqua" w:cs="宋体"/>
          <w:color w:val="000000" w:themeColor="text1"/>
        </w:rPr>
        <w:t>-4</w:t>
      </w:r>
      <w:r w:rsidRPr="004C2C62">
        <w:rPr>
          <w:rFonts w:ascii="Book Antiqua" w:hAnsi="Book Antiqua" w:cs="宋体"/>
          <w:color w:val="000000" w:themeColor="text1"/>
        </w:rPr>
        <w:t xml:space="preserve">86 </w:t>
      </w:r>
      <w:r w:rsidRPr="00CD1426">
        <w:rPr>
          <w:rFonts w:ascii="Book Antiqua" w:hAnsi="Book Antiqua" w:cs="宋体"/>
          <w:color w:val="000000" w:themeColor="text1"/>
        </w:rPr>
        <w:t xml:space="preserve">[PMID: </w:t>
      </w:r>
      <w:r w:rsidRPr="004C2C62">
        <w:rPr>
          <w:rFonts w:ascii="Book Antiqua" w:hAnsi="Book Antiqua" w:cs="宋体"/>
          <w:color w:val="000000" w:themeColor="text1"/>
        </w:rPr>
        <w:t>22098416</w:t>
      </w:r>
      <w:r w:rsidRPr="00CD1426">
        <w:rPr>
          <w:rFonts w:ascii="Book Antiqua" w:hAnsi="Book Antiqua" w:cs="宋体"/>
          <w:color w:val="000000" w:themeColor="text1"/>
        </w:rPr>
        <w:t xml:space="preserve"> DOI: 10.1111/j.1478-3231.2011.02653.x]</w:t>
      </w:r>
    </w:p>
    <w:p w14:paraId="65F20E03" w14:textId="77777777" w:rsidR="00CD1426" w:rsidRPr="004C2C62" w:rsidRDefault="00CD1426" w:rsidP="00CD1426">
      <w:pPr>
        <w:spacing w:line="360" w:lineRule="auto"/>
        <w:jc w:val="both"/>
        <w:divId w:val="1336884897"/>
        <w:rPr>
          <w:rFonts w:ascii="Book Antiqua" w:hAnsi="Book Antiqua" w:cs="宋体"/>
        </w:rPr>
      </w:pPr>
      <w:r w:rsidRPr="004C2C62">
        <w:rPr>
          <w:rFonts w:ascii="Book Antiqua" w:hAnsi="Book Antiqua" w:cs="宋体"/>
        </w:rPr>
        <w:t xml:space="preserve">19 </w:t>
      </w:r>
      <w:r w:rsidRPr="004C2C62">
        <w:rPr>
          <w:rFonts w:ascii="Book Antiqua" w:hAnsi="Book Antiqua" w:cs="宋体"/>
          <w:b/>
          <w:bCs/>
        </w:rPr>
        <w:t>Conjeevaram HS</w:t>
      </w:r>
      <w:r w:rsidRPr="004C2C62">
        <w:rPr>
          <w:rFonts w:ascii="Book Antiqua" w:hAnsi="Book Antiqua" w:cs="宋体"/>
        </w:rPr>
        <w:t xml:space="preserve">, Fried MW, Jeffers LJ, Terrault NA, Wiley-Lucas TE, Afdhal N, Brown RS, Belle SH, Hoofnagle JH, Kleiner DE, Howell CD. Peginterferon and ribavirin treatment in African American and Caucasian American patients with hepatitis C genotype 1. </w:t>
      </w:r>
      <w:r w:rsidRPr="004C2C62">
        <w:rPr>
          <w:rFonts w:ascii="Book Antiqua" w:hAnsi="Book Antiqua" w:cs="宋体"/>
          <w:i/>
          <w:iCs/>
        </w:rPr>
        <w:t>Gastroenterology</w:t>
      </w:r>
      <w:r w:rsidRPr="004C2C62">
        <w:rPr>
          <w:rFonts w:ascii="Book Antiqua" w:hAnsi="Book Antiqua" w:cs="宋体"/>
        </w:rPr>
        <w:t xml:space="preserve"> 2006; </w:t>
      </w:r>
      <w:r w:rsidRPr="004C2C62">
        <w:rPr>
          <w:rFonts w:ascii="Book Antiqua" w:hAnsi="Book Antiqua" w:cs="宋体"/>
          <w:b/>
          <w:bCs/>
        </w:rPr>
        <w:t>131</w:t>
      </w:r>
      <w:r w:rsidRPr="004C2C62">
        <w:rPr>
          <w:rFonts w:ascii="Book Antiqua" w:hAnsi="Book Antiqua" w:cs="宋体"/>
        </w:rPr>
        <w:t>: 470-477 [PMID: 16890601 DOI: 10.1053/j.gastro.2006.06.008]</w:t>
      </w:r>
    </w:p>
    <w:p w14:paraId="121067F4" w14:textId="77777777" w:rsidR="00CD1426" w:rsidRPr="004C2C62" w:rsidRDefault="00CD1426" w:rsidP="00CD1426">
      <w:pPr>
        <w:spacing w:line="360" w:lineRule="auto"/>
        <w:jc w:val="both"/>
        <w:divId w:val="1336884897"/>
        <w:rPr>
          <w:rFonts w:ascii="Book Antiqua" w:hAnsi="Book Antiqua" w:cs="宋体"/>
        </w:rPr>
      </w:pPr>
      <w:r w:rsidRPr="004C2C62">
        <w:rPr>
          <w:rFonts w:ascii="Book Antiqua" w:hAnsi="Book Antiqua" w:cs="宋体"/>
        </w:rPr>
        <w:t xml:space="preserve">20 </w:t>
      </w:r>
      <w:r w:rsidRPr="004C2C62">
        <w:rPr>
          <w:rFonts w:ascii="Book Antiqua" w:hAnsi="Book Antiqua" w:cs="宋体"/>
          <w:b/>
          <w:bCs/>
        </w:rPr>
        <w:t>Nguyen GC</w:t>
      </w:r>
      <w:r w:rsidRPr="004C2C62">
        <w:rPr>
          <w:rFonts w:ascii="Book Antiqua" w:hAnsi="Book Antiqua" w:cs="宋体"/>
        </w:rPr>
        <w:t xml:space="preserve">, Thuluvath PJ. Racial disparity in liver disease: Biological, cultural, or socioeconomic factors. </w:t>
      </w:r>
      <w:r w:rsidRPr="004C2C62">
        <w:rPr>
          <w:rFonts w:ascii="Book Antiqua" w:hAnsi="Book Antiqua" w:cs="宋体"/>
          <w:i/>
          <w:iCs/>
        </w:rPr>
        <w:t>Hepatology</w:t>
      </w:r>
      <w:r w:rsidRPr="004C2C62">
        <w:rPr>
          <w:rFonts w:ascii="Book Antiqua" w:hAnsi="Book Antiqua" w:cs="宋体"/>
        </w:rPr>
        <w:t xml:space="preserve"> 2008; </w:t>
      </w:r>
      <w:r w:rsidRPr="004C2C62">
        <w:rPr>
          <w:rFonts w:ascii="Book Antiqua" w:hAnsi="Book Antiqua" w:cs="宋体"/>
          <w:b/>
          <w:bCs/>
        </w:rPr>
        <w:t>47</w:t>
      </w:r>
      <w:r w:rsidRPr="004C2C62">
        <w:rPr>
          <w:rFonts w:ascii="Book Antiqua" w:hAnsi="Book Antiqua" w:cs="宋体"/>
        </w:rPr>
        <w:t>: 1058-1066 [PMID: 18302296 DOI: 10.1002/hep.22223]</w:t>
      </w:r>
    </w:p>
    <w:p w14:paraId="1A70AD78" w14:textId="77777777" w:rsidR="00CD1426" w:rsidRPr="004C2C62" w:rsidRDefault="00CD1426" w:rsidP="00CD1426">
      <w:pPr>
        <w:spacing w:line="360" w:lineRule="auto"/>
        <w:jc w:val="both"/>
        <w:divId w:val="1336884897"/>
        <w:rPr>
          <w:rFonts w:ascii="Book Antiqua" w:hAnsi="Book Antiqua" w:cs="宋体"/>
        </w:rPr>
      </w:pPr>
      <w:r w:rsidRPr="004C2C62">
        <w:rPr>
          <w:rFonts w:ascii="Book Antiqua" w:hAnsi="Book Antiqua" w:cs="宋体"/>
        </w:rPr>
        <w:t xml:space="preserve">21 </w:t>
      </w:r>
      <w:r w:rsidRPr="004C2C62">
        <w:rPr>
          <w:rFonts w:ascii="Book Antiqua" w:hAnsi="Book Antiqua" w:cs="宋体"/>
          <w:b/>
          <w:bCs/>
        </w:rPr>
        <w:t>Urban TJ</w:t>
      </w:r>
      <w:r w:rsidRPr="004C2C62">
        <w:rPr>
          <w:rFonts w:ascii="Book Antiqua" w:hAnsi="Book Antiqua" w:cs="宋体"/>
        </w:rPr>
        <w:t xml:space="preserve">, Thompson AJ, Bradrick SS, Fellay J, Schuppan D, Cronin KD, Hong L, McKenzie A, Patel K, Shianna KV, McHutchison JG, Goldstein DB, Afdhal N. IL28B genotype is associated with differential expression of intrahepatic interferon-stimulated genes in patients with chronic hepatitis C. </w:t>
      </w:r>
      <w:r w:rsidRPr="004C2C62">
        <w:rPr>
          <w:rFonts w:ascii="Book Antiqua" w:hAnsi="Book Antiqua" w:cs="宋体"/>
          <w:i/>
          <w:iCs/>
        </w:rPr>
        <w:t>Hepatology</w:t>
      </w:r>
      <w:r w:rsidRPr="004C2C62">
        <w:rPr>
          <w:rFonts w:ascii="Book Antiqua" w:hAnsi="Book Antiqua" w:cs="宋体"/>
        </w:rPr>
        <w:t xml:space="preserve"> 2010; </w:t>
      </w:r>
      <w:r w:rsidRPr="004C2C62">
        <w:rPr>
          <w:rFonts w:ascii="Book Antiqua" w:hAnsi="Book Antiqua" w:cs="宋体"/>
          <w:b/>
          <w:bCs/>
        </w:rPr>
        <w:t>52</w:t>
      </w:r>
      <w:r w:rsidRPr="004C2C62">
        <w:rPr>
          <w:rFonts w:ascii="Book Antiqua" w:hAnsi="Book Antiqua" w:cs="宋体"/>
        </w:rPr>
        <w:t>: 1888-1896 [PMID: 20931559 DOI: 10.1002/hep.23912]</w:t>
      </w:r>
    </w:p>
    <w:p w14:paraId="6FBBA66A" w14:textId="77777777" w:rsidR="00CD1426" w:rsidRPr="004C2C62" w:rsidRDefault="00CD1426" w:rsidP="00CD1426">
      <w:pPr>
        <w:spacing w:line="360" w:lineRule="auto"/>
        <w:jc w:val="both"/>
        <w:divId w:val="1336884897"/>
        <w:rPr>
          <w:rFonts w:ascii="Book Antiqua" w:hAnsi="Book Antiqua" w:cs="宋体"/>
        </w:rPr>
      </w:pPr>
      <w:r w:rsidRPr="004C2C62">
        <w:rPr>
          <w:rFonts w:ascii="Book Antiqua" w:hAnsi="Book Antiqua" w:cs="宋体"/>
        </w:rPr>
        <w:t xml:space="preserve">22 </w:t>
      </w:r>
      <w:r w:rsidRPr="004C2C62">
        <w:rPr>
          <w:rFonts w:ascii="Book Antiqua" w:hAnsi="Book Antiqua" w:cs="宋体"/>
          <w:b/>
          <w:bCs/>
        </w:rPr>
        <w:t>Suppiah V</w:t>
      </w:r>
      <w:r w:rsidRPr="004C2C62">
        <w:rPr>
          <w:rFonts w:ascii="Book Antiqua" w:hAnsi="Book Antiqua" w:cs="宋体"/>
        </w:rPr>
        <w:t xml:space="preserve">, Moldovan M, Ahlenstiel G, Berg T, Weltman M, Abate ML, Bassendine M, Spengler U, Dore GJ, Powell E, Riordan S, Sheridan D, Smedile A, Fragomeli V, Müller T, Bahlo M, Stewart GJ, Booth DR, George J. IL28B is associated with response to chronic hepatitis C interferon-alpha and ribavirin therapy. </w:t>
      </w:r>
      <w:r w:rsidRPr="004C2C62">
        <w:rPr>
          <w:rFonts w:ascii="Book Antiqua" w:hAnsi="Book Antiqua" w:cs="宋体"/>
          <w:i/>
          <w:iCs/>
        </w:rPr>
        <w:t>Nat Genet</w:t>
      </w:r>
      <w:r w:rsidRPr="004C2C62">
        <w:rPr>
          <w:rFonts w:ascii="Book Antiqua" w:hAnsi="Book Antiqua" w:cs="宋体"/>
        </w:rPr>
        <w:t xml:space="preserve"> 2009; </w:t>
      </w:r>
      <w:r w:rsidRPr="004C2C62">
        <w:rPr>
          <w:rFonts w:ascii="Book Antiqua" w:hAnsi="Book Antiqua" w:cs="宋体"/>
          <w:b/>
          <w:bCs/>
        </w:rPr>
        <w:t>41</w:t>
      </w:r>
      <w:r w:rsidRPr="004C2C62">
        <w:rPr>
          <w:rFonts w:ascii="Book Antiqua" w:hAnsi="Book Antiqua" w:cs="宋体"/>
        </w:rPr>
        <w:t>: 1100-1104 [PMID: 19749758 DOI: 10.1038/ng.447]</w:t>
      </w:r>
    </w:p>
    <w:p w14:paraId="0CEC17D6" w14:textId="77777777" w:rsidR="00CD1426" w:rsidRPr="004C2C62" w:rsidRDefault="00CD1426" w:rsidP="00CD1426">
      <w:pPr>
        <w:spacing w:line="360" w:lineRule="auto"/>
        <w:jc w:val="both"/>
        <w:divId w:val="1336884897"/>
        <w:rPr>
          <w:rFonts w:ascii="Book Antiqua" w:hAnsi="Book Antiqua" w:cs="宋体"/>
        </w:rPr>
      </w:pPr>
      <w:r w:rsidRPr="004C2C62">
        <w:rPr>
          <w:rFonts w:ascii="Book Antiqua" w:hAnsi="Book Antiqua" w:cs="宋体"/>
        </w:rPr>
        <w:t xml:space="preserve">23 </w:t>
      </w:r>
      <w:r w:rsidRPr="004C2C62">
        <w:rPr>
          <w:rFonts w:ascii="Book Antiqua" w:hAnsi="Book Antiqua" w:cs="宋体"/>
          <w:b/>
          <w:bCs/>
        </w:rPr>
        <w:t>Thomas DL</w:t>
      </w:r>
      <w:r w:rsidRPr="004C2C62">
        <w:rPr>
          <w:rFonts w:ascii="Book Antiqua" w:hAnsi="Book Antiqua" w:cs="宋体"/>
        </w:rPr>
        <w:t xml:space="preserve">, Thio CL, Martin MP, Qi Y, Ge D, O'Huigin C, Kidd J, Kidd K, Khakoo SI, Alexander G, Goedert JJ, Kirk GD, Donfield SM, Rosen HR, Tobler LH, Busch MP, McHutchison JG, Goldstein DB, Carrington M. Genetic variation in IL28B and spontaneous clearance of hepatitis C virus. </w:t>
      </w:r>
      <w:r w:rsidRPr="004C2C62">
        <w:rPr>
          <w:rFonts w:ascii="Book Antiqua" w:hAnsi="Book Antiqua" w:cs="宋体"/>
          <w:i/>
          <w:iCs/>
        </w:rPr>
        <w:t>Nature</w:t>
      </w:r>
      <w:r w:rsidRPr="004C2C62">
        <w:rPr>
          <w:rFonts w:ascii="Book Antiqua" w:hAnsi="Book Antiqua" w:cs="宋体"/>
        </w:rPr>
        <w:t xml:space="preserve"> 2009; </w:t>
      </w:r>
      <w:r w:rsidRPr="004C2C62">
        <w:rPr>
          <w:rFonts w:ascii="Book Antiqua" w:hAnsi="Book Antiqua" w:cs="宋体"/>
          <w:b/>
          <w:bCs/>
        </w:rPr>
        <w:t>461</w:t>
      </w:r>
      <w:r w:rsidRPr="004C2C62">
        <w:rPr>
          <w:rFonts w:ascii="Book Antiqua" w:hAnsi="Book Antiqua" w:cs="宋体"/>
        </w:rPr>
        <w:t>: 798-801 [PMID: 19759533 DOI: 10.1038/nature08463]</w:t>
      </w:r>
    </w:p>
    <w:p w14:paraId="585B32CD" w14:textId="77777777" w:rsidR="00CD1426" w:rsidRPr="004C2C62" w:rsidRDefault="00CD1426" w:rsidP="00CD1426">
      <w:pPr>
        <w:spacing w:line="360" w:lineRule="auto"/>
        <w:jc w:val="both"/>
        <w:divId w:val="1336884897"/>
        <w:rPr>
          <w:rFonts w:ascii="Book Antiqua" w:hAnsi="Book Antiqua" w:cs="宋体"/>
        </w:rPr>
      </w:pPr>
      <w:r w:rsidRPr="004C2C62">
        <w:rPr>
          <w:rFonts w:ascii="Book Antiqua" w:hAnsi="Book Antiqua" w:cs="宋体"/>
        </w:rPr>
        <w:t xml:space="preserve">24 </w:t>
      </w:r>
      <w:r w:rsidRPr="004C2C62">
        <w:rPr>
          <w:rFonts w:ascii="Book Antiqua" w:hAnsi="Book Antiqua" w:cs="宋体"/>
          <w:b/>
          <w:bCs/>
        </w:rPr>
        <w:t>Mangia A</w:t>
      </w:r>
      <w:r w:rsidRPr="004C2C62">
        <w:rPr>
          <w:rFonts w:ascii="Book Antiqua" w:hAnsi="Book Antiqua" w:cs="宋体"/>
        </w:rPr>
        <w:t xml:space="preserve">, Thompson AJ, Santoro R, Piazzolla V, Tillmann HL, Patel K, Shianna KV, Mottola L, Petruzzellis D, Bacca D, Carretta V, Minerva N, Goldstein DB, McHutchison JG. An IL28B polymorphism determines treatment response of hepatitis C virus genotype 2 or 3 patients who do not achieve a rapid virologic response. </w:t>
      </w:r>
      <w:r w:rsidRPr="004C2C62">
        <w:rPr>
          <w:rFonts w:ascii="Book Antiqua" w:hAnsi="Book Antiqua" w:cs="宋体"/>
          <w:i/>
          <w:iCs/>
        </w:rPr>
        <w:t>Gastroenterology</w:t>
      </w:r>
      <w:r w:rsidRPr="004C2C62">
        <w:rPr>
          <w:rFonts w:ascii="Book Antiqua" w:hAnsi="Book Antiqua" w:cs="宋体"/>
        </w:rPr>
        <w:t xml:space="preserve"> 2010; </w:t>
      </w:r>
      <w:r w:rsidRPr="004C2C62">
        <w:rPr>
          <w:rFonts w:ascii="Book Antiqua" w:hAnsi="Book Antiqua" w:cs="宋体"/>
          <w:b/>
          <w:bCs/>
        </w:rPr>
        <w:t>139</w:t>
      </w:r>
      <w:r w:rsidRPr="004C2C62">
        <w:rPr>
          <w:rFonts w:ascii="Book Antiqua" w:hAnsi="Book Antiqua" w:cs="宋体"/>
        </w:rPr>
        <w:t>: 821-8</w:t>
      </w:r>
      <w:r w:rsidRPr="00CD1426">
        <w:rPr>
          <w:rFonts w:ascii="Book Antiqua" w:hAnsi="Book Antiqua" w:cs="宋体"/>
        </w:rPr>
        <w:t>2</w:t>
      </w:r>
      <w:r w:rsidRPr="004C2C62">
        <w:rPr>
          <w:rFonts w:ascii="Book Antiqua" w:hAnsi="Book Antiqua" w:cs="宋体"/>
        </w:rPr>
        <w:t>7, 827.e1 [PMID: 20621700 DOI: 10.1053/j.gastro.2010.05.079]</w:t>
      </w:r>
    </w:p>
    <w:p w14:paraId="3DB8B5F1" w14:textId="77777777" w:rsidR="00CD1426" w:rsidRPr="004C2C62" w:rsidRDefault="00CD1426" w:rsidP="00CD1426">
      <w:pPr>
        <w:spacing w:line="360" w:lineRule="auto"/>
        <w:jc w:val="both"/>
        <w:divId w:val="1336884897"/>
        <w:rPr>
          <w:rFonts w:ascii="Book Antiqua" w:hAnsi="Book Antiqua" w:cs="宋体"/>
          <w:color w:val="000000" w:themeColor="text1"/>
        </w:rPr>
      </w:pPr>
      <w:r w:rsidRPr="00CD1426">
        <w:rPr>
          <w:rFonts w:ascii="Book Antiqua" w:hAnsi="Book Antiqua" w:cs="宋体"/>
          <w:color w:val="000000" w:themeColor="text1"/>
        </w:rPr>
        <w:lastRenderedPageBreak/>
        <w:t xml:space="preserve">25 </w:t>
      </w:r>
      <w:r w:rsidRPr="004C2C62">
        <w:rPr>
          <w:rFonts w:ascii="Book Antiqua" w:hAnsi="Book Antiqua" w:cs="宋体"/>
          <w:b/>
          <w:color w:val="000000" w:themeColor="text1"/>
        </w:rPr>
        <w:t>Poynard T,</w:t>
      </w:r>
      <w:r w:rsidRPr="004C2C62">
        <w:rPr>
          <w:rFonts w:ascii="Book Antiqua" w:hAnsi="Book Antiqua" w:cs="宋体"/>
          <w:color w:val="000000" w:themeColor="text1"/>
        </w:rPr>
        <w:t xml:space="preserve"> McHutchison J, Manns M, Trepo C, Lindsay K, Goodman Z, Ling M-H, Albrecht J. Impact of pegylated interferon alfa-2b and ribavirin on liver fibrosis in patients with chronic hepatitis C. </w:t>
      </w:r>
      <w:r w:rsidRPr="004C2C62">
        <w:rPr>
          <w:rFonts w:ascii="Book Antiqua" w:hAnsi="Book Antiqua" w:cs="宋体"/>
          <w:i/>
          <w:color w:val="000000" w:themeColor="text1"/>
        </w:rPr>
        <w:t>Gastroenterology</w:t>
      </w:r>
      <w:r w:rsidRPr="004C2C62">
        <w:rPr>
          <w:rFonts w:ascii="Book Antiqua" w:hAnsi="Book Antiqua" w:cs="宋体"/>
          <w:color w:val="000000" w:themeColor="text1"/>
        </w:rPr>
        <w:t xml:space="preserve"> 2002; </w:t>
      </w:r>
      <w:r w:rsidRPr="004C2C62">
        <w:rPr>
          <w:rFonts w:ascii="Book Antiqua" w:hAnsi="Book Antiqua" w:cs="宋体"/>
          <w:b/>
          <w:color w:val="000000" w:themeColor="text1"/>
        </w:rPr>
        <w:t>122</w:t>
      </w:r>
      <w:r w:rsidRPr="004C2C62">
        <w:rPr>
          <w:rFonts w:ascii="Book Antiqua" w:hAnsi="Book Antiqua" w:cs="宋体"/>
          <w:color w:val="000000" w:themeColor="text1"/>
        </w:rPr>
        <w:t>: 1303</w:t>
      </w:r>
      <w:r w:rsidRPr="00CD1426">
        <w:rPr>
          <w:rFonts w:ascii="Book Antiqua" w:hAnsi="Book Antiqua" w:cs="宋体"/>
          <w:color w:val="000000" w:themeColor="text1"/>
        </w:rPr>
        <w:t>-13</w:t>
      </w:r>
      <w:r w:rsidRPr="004C2C62">
        <w:rPr>
          <w:rFonts w:ascii="Book Antiqua" w:hAnsi="Book Antiqua" w:cs="宋体"/>
          <w:color w:val="000000" w:themeColor="text1"/>
        </w:rPr>
        <w:t xml:space="preserve">13 </w:t>
      </w:r>
      <w:r w:rsidRPr="00CD1426">
        <w:rPr>
          <w:rFonts w:ascii="Book Antiqua" w:hAnsi="Book Antiqua" w:cs="宋体"/>
          <w:color w:val="000000" w:themeColor="text1"/>
        </w:rPr>
        <w:t xml:space="preserve">[PMID: </w:t>
      </w:r>
      <w:r w:rsidRPr="004C2C62">
        <w:rPr>
          <w:rFonts w:ascii="Book Antiqua" w:hAnsi="Book Antiqua" w:cs="宋体"/>
          <w:color w:val="000000" w:themeColor="text1"/>
        </w:rPr>
        <w:t>11984517</w:t>
      </w:r>
      <w:r w:rsidRPr="00CD1426">
        <w:rPr>
          <w:rFonts w:ascii="Book Antiqua" w:hAnsi="Book Antiqua" w:cs="宋体"/>
          <w:color w:val="000000" w:themeColor="text1"/>
        </w:rPr>
        <w:t>]</w:t>
      </w:r>
    </w:p>
    <w:p w14:paraId="7228C5B9" w14:textId="77777777" w:rsidR="00CD1426" w:rsidRPr="004C2C62" w:rsidRDefault="00CD1426" w:rsidP="00CD1426">
      <w:pPr>
        <w:spacing w:line="360" w:lineRule="auto"/>
        <w:jc w:val="both"/>
        <w:divId w:val="1336884897"/>
        <w:rPr>
          <w:rFonts w:ascii="Book Antiqua" w:hAnsi="Book Antiqua" w:cs="宋体"/>
        </w:rPr>
      </w:pPr>
      <w:r w:rsidRPr="004C2C62">
        <w:rPr>
          <w:rFonts w:ascii="Book Antiqua" w:hAnsi="Book Antiqua" w:cs="宋体"/>
        </w:rPr>
        <w:t xml:space="preserve">26 </w:t>
      </w:r>
      <w:r w:rsidRPr="004C2C62">
        <w:rPr>
          <w:rFonts w:ascii="Book Antiqua" w:hAnsi="Book Antiqua" w:cs="宋体"/>
          <w:b/>
          <w:bCs/>
        </w:rPr>
        <w:t>Diago M</w:t>
      </w:r>
      <w:r w:rsidRPr="004C2C62">
        <w:rPr>
          <w:rFonts w:ascii="Book Antiqua" w:hAnsi="Book Antiqua" w:cs="宋体"/>
        </w:rPr>
        <w:t xml:space="preserve">, Castellano G, García-Samaniego J, Pérez C, Fernández I, Romero M, Iacono OL, García-Monzón C. Association of pretreatment serum interferon gamma inducible protein 10 levels with sustained virological response to peginterferon plus ribavirin therapy in genotype 1 infected patients with chronic hepatitis C. </w:t>
      </w:r>
      <w:r w:rsidRPr="004C2C62">
        <w:rPr>
          <w:rFonts w:ascii="Book Antiqua" w:hAnsi="Book Antiqua" w:cs="宋体"/>
          <w:i/>
          <w:iCs/>
        </w:rPr>
        <w:t>Gut</w:t>
      </w:r>
      <w:r w:rsidRPr="004C2C62">
        <w:rPr>
          <w:rFonts w:ascii="Book Antiqua" w:hAnsi="Book Antiqua" w:cs="宋体"/>
        </w:rPr>
        <w:t xml:space="preserve"> 2006; </w:t>
      </w:r>
      <w:r w:rsidRPr="004C2C62">
        <w:rPr>
          <w:rFonts w:ascii="Book Antiqua" w:hAnsi="Book Antiqua" w:cs="宋体"/>
          <w:b/>
          <w:bCs/>
        </w:rPr>
        <w:t>55</w:t>
      </w:r>
      <w:r w:rsidRPr="004C2C62">
        <w:rPr>
          <w:rFonts w:ascii="Book Antiqua" w:hAnsi="Book Antiqua" w:cs="宋体"/>
        </w:rPr>
        <w:t>: 374-379 [PMID: 16150856 DOI: 10.1136/gut.2005.074062]</w:t>
      </w:r>
    </w:p>
    <w:p w14:paraId="21364EFB" w14:textId="77777777" w:rsidR="00CD1426" w:rsidRPr="004C2C62" w:rsidRDefault="00CD1426" w:rsidP="00CD1426">
      <w:pPr>
        <w:spacing w:line="360" w:lineRule="auto"/>
        <w:jc w:val="both"/>
        <w:divId w:val="1336884897"/>
        <w:rPr>
          <w:rFonts w:ascii="Book Antiqua" w:hAnsi="Book Antiqua" w:cs="宋体"/>
        </w:rPr>
      </w:pPr>
      <w:r w:rsidRPr="004C2C62">
        <w:rPr>
          <w:rFonts w:ascii="Book Antiqua" w:hAnsi="Book Antiqua" w:cs="宋体"/>
        </w:rPr>
        <w:t xml:space="preserve">27 </w:t>
      </w:r>
      <w:r w:rsidRPr="004C2C62">
        <w:rPr>
          <w:rFonts w:ascii="Book Antiqua" w:hAnsi="Book Antiqua" w:cs="宋体"/>
          <w:b/>
          <w:bCs/>
        </w:rPr>
        <w:t>Romero AI</w:t>
      </w:r>
      <w:r w:rsidRPr="004C2C62">
        <w:rPr>
          <w:rFonts w:ascii="Book Antiqua" w:hAnsi="Book Antiqua" w:cs="宋体"/>
        </w:rPr>
        <w:t xml:space="preserve">, Lagging M, Westin J, Dhillon AP, Dustin LB, Pawlotsky JM, Neumann AU, Ferrari C, Missale G, Haagmans BL, Schalm SW, Zeuzem S, Negro F, Verheij-Hart E, Hellstrand K. Interferon (IFN)-gamma-inducible protein-10: association with histological results, viral kinetics, and outcome during treatment with pegylated IFN-alpha 2a and ribavirin for chronic hepatitis C virus infection. </w:t>
      </w:r>
      <w:r w:rsidRPr="004C2C62">
        <w:rPr>
          <w:rFonts w:ascii="Book Antiqua" w:hAnsi="Book Antiqua" w:cs="宋体"/>
          <w:i/>
          <w:iCs/>
        </w:rPr>
        <w:t>J Infect Dis</w:t>
      </w:r>
      <w:r w:rsidRPr="004C2C62">
        <w:rPr>
          <w:rFonts w:ascii="Book Antiqua" w:hAnsi="Book Antiqua" w:cs="宋体"/>
        </w:rPr>
        <w:t xml:space="preserve"> 2006; </w:t>
      </w:r>
      <w:r w:rsidRPr="004C2C62">
        <w:rPr>
          <w:rFonts w:ascii="Book Antiqua" w:hAnsi="Book Antiqua" w:cs="宋体"/>
          <w:b/>
          <w:bCs/>
        </w:rPr>
        <w:t>194</w:t>
      </w:r>
      <w:r w:rsidRPr="004C2C62">
        <w:rPr>
          <w:rFonts w:ascii="Book Antiqua" w:hAnsi="Book Antiqua" w:cs="宋体"/>
        </w:rPr>
        <w:t>: 895-903 [PMID: 16960776 DOI: 10.1086/507307]</w:t>
      </w:r>
    </w:p>
    <w:p w14:paraId="3B80C7EE" w14:textId="77777777" w:rsidR="00CD1426" w:rsidRPr="004C2C62" w:rsidRDefault="00CD1426" w:rsidP="00CD1426">
      <w:pPr>
        <w:spacing w:line="360" w:lineRule="auto"/>
        <w:jc w:val="both"/>
        <w:divId w:val="1336884897"/>
        <w:rPr>
          <w:rFonts w:ascii="Book Antiqua" w:hAnsi="Book Antiqua" w:cs="宋体"/>
          <w:color w:val="000000" w:themeColor="text1"/>
        </w:rPr>
      </w:pPr>
      <w:r w:rsidRPr="004C2C62">
        <w:rPr>
          <w:rFonts w:ascii="Book Antiqua" w:hAnsi="Book Antiqua" w:cs="宋体"/>
        </w:rPr>
        <w:t xml:space="preserve">28 </w:t>
      </w:r>
      <w:r w:rsidRPr="004C2C62">
        <w:rPr>
          <w:rFonts w:ascii="Book Antiqua" w:hAnsi="Book Antiqua" w:cs="宋体"/>
          <w:b/>
          <w:bCs/>
        </w:rPr>
        <w:t>García-Álvarez M</w:t>
      </w:r>
      <w:r w:rsidRPr="004C2C62">
        <w:rPr>
          <w:rFonts w:ascii="Book Antiqua" w:hAnsi="Book Antiqua" w:cs="宋体"/>
        </w:rPr>
        <w:t xml:space="preserve">, Pineda-Tenor D, Jiménez-Sousa MA, Fernández-Rodríguez A, Guzmán-Fulgencio M, Resino S. Relationship of vitamin D status with advanced liver fibrosis and response to hepatitis C virus therapy: a meta-analysis. </w:t>
      </w:r>
      <w:r w:rsidRPr="004C2C62">
        <w:rPr>
          <w:rFonts w:ascii="Book Antiqua" w:hAnsi="Book Antiqua" w:cs="宋体"/>
          <w:i/>
          <w:iCs/>
        </w:rPr>
        <w:t>Hepatology</w:t>
      </w:r>
      <w:r w:rsidRPr="004C2C62">
        <w:rPr>
          <w:rFonts w:ascii="Book Antiqua" w:hAnsi="Book Antiqua" w:cs="宋体"/>
        </w:rPr>
        <w:t xml:space="preserve"> 2014; </w:t>
      </w:r>
      <w:r w:rsidRPr="004C2C62">
        <w:rPr>
          <w:rFonts w:ascii="Book Antiqua" w:hAnsi="Book Antiqua" w:cs="宋体"/>
          <w:b/>
          <w:bCs/>
        </w:rPr>
        <w:t>60</w:t>
      </w:r>
      <w:r w:rsidRPr="004C2C62">
        <w:rPr>
          <w:rFonts w:ascii="Book Antiqua" w:hAnsi="Book Antiqua" w:cs="宋体"/>
        </w:rPr>
        <w:t xml:space="preserve">: 1541-1550 [PMID: </w:t>
      </w:r>
      <w:r w:rsidRPr="004C2C62">
        <w:rPr>
          <w:rFonts w:ascii="Book Antiqua" w:hAnsi="Book Antiqua" w:cs="宋体"/>
          <w:color w:val="000000" w:themeColor="text1"/>
        </w:rPr>
        <w:t>24975775 DOI: 10.1002/hep.27281]</w:t>
      </w:r>
    </w:p>
    <w:p w14:paraId="5682B9A5" w14:textId="77777777" w:rsidR="00CD1426" w:rsidRPr="004C2C62" w:rsidRDefault="00CD1426" w:rsidP="00CD1426">
      <w:pPr>
        <w:spacing w:line="360" w:lineRule="auto"/>
        <w:jc w:val="both"/>
        <w:divId w:val="1336884897"/>
        <w:rPr>
          <w:rFonts w:ascii="Book Antiqua" w:hAnsi="Book Antiqua" w:cs="宋体"/>
          <w:color w:val="000000" w:themeColor="text1"/>
        </w:rPr>
      </w:pPr>
      <w:r w:rsidRPr="00CD1426">
        <w:rPr>
          <w:rFonts w:ascii="Book Antiqua" w:hAnsi="Book Antiqua" w:cs="宋体"/>
          <w:color w:val="000000" w:themeColor="text1"/>
        </w:rPr>
        <w:t xml:space="preserve">29 </w:t>
      </w:r>
      <w:r w:rsidRPr="004C2C62">
        <w:rPr>
          <w:rFonts w:ascii="Book Antiqua" w:hAnsi="Book Antiqua" w:cs="宋体"/>
          <w:b/>
          <w:color w:val="000000" w:themeColor="text1"/>
        </w:rPr>
        <w:t xml:space="preserve">Gal-Tanamy M, </w:t>
      </w:r>
      <w:r w:rsidRPr="004C2C62">
        <w:rPr>
          <w:rFonts w:ascii="Book Antiqua" w:hAnsi="Book Antiqua" w:cs="宋体"/>
          <w:color w:val="000000" w:themeColor="text1"/>
        </w:rPr>
        <w:t xml:space="preserve">Bachmetov L, Ravid A, Koren R, Erman A, Tur-Kaspa R, Zemel R. Vitamin D: an innate antiviral agent suppressing hepatitis C virus in human hepatocytes. </w:t>
      </w:r>
      <w:r w:rsidRPr="004C2C62">
        <w:rPr>
          <w:rFonts w:ascii="Book Antiqua" w:hAnsi="Book Antiqua" w:cs="宋体"/>
          <w:i/>
          <w:color w:val="000000" w:themeColor="text1"/>
        </w:rPr>
        <w:t>Hepatology</w:t>
      </w:r>
      <w:r w:rsidRPr="004C2C62">
        <w:rPr>
          <w:rFonts w:ascii="Book Antiqua" w:hAnsi="Book Antiqua" w:cs="宋体"/>
          <w:color w:val="000000" w:themeColor="text1"/>
        </w:rPr>
        <w:t xml:space="preserve"> 2011; </w:t>
      </w:r>
      <w:r w:rsidRPr="004C2C62">
        <w:rPr>
          <w:rFonts w:ascii="Book Antiqua" w:hAnsi="Book Antiqua" w:cs="宋体"/>
          <w:b/>
          <w:color w:val="000000" w:themeColor="text1"/>
        </w:rPr>
        <w:t>54</w:t>
      </w:r>
      <w:r w:rsidRPr="004C2C62">
        <w:rPr>
          <w:rFonts w:ascii="Book Antiqua" w:hAnsi="Book Antiqua" w:cs="宋体"/>
          <w:color w:val="000000" w:themeColor="text1"/>
        </w:rPr>
        <w:t>: 1570</w:t>
      </w:r>
      <w:r w:rsidRPr="00CD1426">
        <w:rPr>
          <w:rFonts w:ascii="Book Antiqua" w:hAnsi="Book Antiqua" w:cs="宋体"/>
          <w:color w:val="000000" w:themeColor="text1"/>
        </w:rPr>
        <w:t>-157</w:t>
      </w:r>
      <w:r w:rsidRPr="004C2C62">
        <w:rPr>
          <w:rFonts w:ascii="Book Antiqua" w:hAnsi="Book Antiqua" w:cs="宋体"/>
          <w:color w:val="000000" w:themeColor="text1"/>
        </w:rPr>
        <w:t xml:space="preserve">9 </w:t>
      </w:r>
      <w:r w:rsidRPr="00CD1426">
        <w:rPr>
          <w:rFonts w:ascii="Book Antiqua" w:hAnsi="Book Antiqua" w:cs="宋体"/>
          <w:color w:val="000000" w:themeColor="text1"/>
        </w:rPr>
        <w:t xml:space="preserve">[PMID: </w:t>
      </w:r>
      <w:r w:rsidRPr="004C2C62">
        <w:rPr>
          <w:rFonts w:ascii="Book Antiqua" w:hAnsi="Book Antiqua" w:cs="宋体"/>
          <w:color w:val="000000" w:themeColor="text1"/>
        </w:rPr>
        <w:t>21793032</w:t>
      </w:r>
      <w:r w:rsidRPr="00CD1426">
        <w:rPr>
          <w:rFonts w:ascii="Book Antiqua" w:hAnsi="Book Antiqua" w:cs="宋体"/>
          <w:color w:val="000000" w:themeColor="text1"/>
        </w:rPr>
        <w:t xml:space="preserve"> DOI: 10.1002/hep.24575]</w:t>
      </w:r>
    </w:p>
    <w:p w14:paraId="7018D404" w14:textId="77777777" w:rsidR="00CD1426" w:rsidRPr="004C2C62" w:rsidRDefault="00CD1426" w:rsidP="00CD1426">
      <w:pPr>
        <w:spacing w:line="360" w:lineRule="auto"/>
        <w:jc w:val="both"/>
        <w:divId w:val="1336884897"/>
        <w:rPr>
          <w:rFonts w:ascii="Book Antiqua" w:hAnsi="Book Antiqua" w:cs="宋体"/>
        </w:rPr>
      </w:pPr>
      <w:r w:rsidRPr="004C2C62">
        <w:rPr>
          <w:rFonts w:ascii="Book Antiqua" w:hAnsi="Book Antiqua" w:cs="宋体"/>
        </w:rPr>
        <w:t xml:space="preserve">30 </w:t>
      </w:r>
      <w:r w:rsidRPr="004C2C62">
        <w:rPr>
          <w:rFonts w:ascii="Book Antiqua" w:hAnsi="Book Antiqua" w:cs="宋体"/>
          <w:b/>
          <w:bCs/>
        </w:rPr>
        <w:t>Petta S</w:t>
      </w:r>
      <w:r w:rsidRPr="004C2C62">
        <w:rPr>
          <w:rFonts w:ascii="Book Antiqua" w:hAnsi="Book Antiqua" w:cs="宋体"/>
        </w:rPr>
        <w:t xml:space="preserve">, Craxì A. Optimal therapy in hepatitis C virus genotypes 2 and 3 patients. </w:t>
      </w:r>
      <w:r w:rsidRPr="004C2C62">
        <w:rPr>
          <w:rFonts w:ascii="Book Antiqua" w:hAnsi="Book Antiqua" w:cs="宋体"/>
          <w:i/>
          <w:iCs/>
        </w:rPr>
        <w:t>Liver Int</w:t>
      </w:r>
      <w:r w:rsidRPr="004C2C62">
        <w:rPr>
          <w:rFonts w:ascii="Book Antiqua" w:hAnsi="Book Antiqua" w:cs="宋体"/>
        </w:rPr>
        <w:t xml:space="preserve"> 2011; </w:t>
      </w:r>
      <w:r w:rsidRPr="004C2C62">
        <w:rPr>
          <w:rFonts w:ascii="Book Antiqua" w:hAnsi="Book Antiqua" w:cs="宋体"/>
          <w:b/>
          <w:bCs/>
        </w:rPr>
        <w:t xml:space="preserve">31 </w:t>
      </w:r>
      <w:r w:rsidRPr="004C2C62">
        <w:rPr>
          <w:rFonts w:ascii="Book Antiqua" w:hAnsi="Book Antiqua" w:cs="宋体"/>
          <w:bCs/>
        </w:rPr>
        <w:t>Suppl 1</w:t>
      </w:r>
      <w:r w:rsidRPr="004C2C62">
        <w:rPr>
          <w:rFonts w:ascii="Book Antiqua" w:hAnsi="Book Antiqua" w:cs="宋体"/>
        </w:rPr>
        <w:t>: 36-44 [PMID: 21205136 DOI: 10.1111/j.1478-3231.2010.02382.x]</w:t>
      </w:r>
    </w:p>
    <w:p w14:paraId="038A9EEF" w14:textId="77777777" w:rsidR="00CD1426" w:rsidRPr="004C2C62" w:rsidRDefault="00CD1426" w:rsidP="00CD1426">
      <w:pPr>
        <w:spacing w:line="360" w:lineRule="auto"/>
        <w:jc w:val="both"/>
        <w:divId w:val="1336884897"/>
        <w:rPr>
          <w:rFonts w:ascii="Book Antiqua" w:hAnsi="Book Antiqua" w:cs="宋体"/>
        </w:rPr>
      </w:pPr>
      <w:r w:rsidRPr="004C2C62">
        <w:rPr>
          <w:rFonts w:ascii="Book Antiqua" w:hAnsi="Book Antiqua" w:cs="宋体"/>
        </w:rPr>
        <w:t xml:space="preserve">31 </w:t>
      </w:r>
      <w:r w:rsidRPr="004C2C62">
        <w:rPr>
          <w:rFonts w:ascii="Book Antiqua" w:hAnsi="Book Antiqua" w:cs="宋体"/>
          <w:b/>
          <w:bCs/>
        </w:rPr>
        <w:t>Zhu Q</w:t>
      </w:r>
      <w:r w:rsidRPr="004C2C62">
        <w:rPr>
          <w:rFonts w:ascii="Book Antiqua" w:hAnsi="Book Antiqua" w:cs="宋体"/>
        </w:rPr>
        <w:t xml:space="preserve">, Li N, Han Q, Zhang P, Yang C, Zeng X, Chen Y, Lv Y, Liu X, Liu Z. Statin therapy improves response to interferon alfa and ribavirin in chronic </w:t>
      </w:r>
      <w:r w:rsidRPr="004C2C62">
        <w:rPr>
          <w:rFonts w:ascii="Book Antiqua" w:hAnsi="Book Antiqua" w:cs="宋体"/>
        </w:rPr>
        <w:lastRenderedPageBreak/>
        <w:t xml:space="preserve">hepatitis C: a systematic review and meta-analysis. </w:t>
      </w:r>
      <w:r w:rsidRPr="004C2C62">
        <w:rPr>
          <w:rFonts w:ascii="Book Antiqua" w:hAnsi="Book Antiqua" w:cs="宋体"/>
          <w:i/>
          <w:iCs/>
        </w:rPr>
        <w:t>Antiviral Res</w:t>
      </w:r>
      <w:r w:rsidRPr="004C2C62">
        <w:rPr>
          <w:rFonts w:ascii="Book Antiqua" w:hAnsi="Book Antiqua" w:cs="宋体"/>
        </w:rPr>
        <w:t xml:space="preserve"> 2013; </w:t>
      </w:r>
      <w:r w:rsidRPr="004C2C62">
        <w:rPr>
          <w:rFonts w:ascii="Book Antiqua" w:hAnsi="Book Antiqua" w:cs="宋体"/>
          <w:b/>
          <w:bCs/>
        </w:rPr>
        <w:t>98</w:t>
      </w:r>
      <w:r w:rsidRPr="004C2C62">
        <w:rPr>
          <w:rFonts w:ascii="Book Antiqua" w:hAnsi="Book Antiqua" w:cs="宋体"/>
        </w:rPr>
        <w:t>: 373-379 [PMID: 23603497 DOI: 10.1016/j.antiviral.2013.04.009]</w:t>
      </w:r>
    </w:p>
    <w:p w14:paraId="77FFE580" w14:textId="77777777" w:rsidR="00CD1426" w:rsidRPr="004C2C62" w:rsidRDefault="00CD1426" w:rsidP="00CD1426">
      <w:pPr>
        <w:spacing w:line="360" w:lineRule="auto"/>
        <w:jc w:val="both"/>
        <w:divId w:val="1336884897"/>
        <w:rPr>
          <w:rFonts w:ascii="Book Antiqua" w:hAnsi="Book Antiqua" w:cs="宋体"/>
        </w:rPr>
      </w:pPr>
      <w:r w:rsidRPr="004C2C62">
        <w:rPr>
          <w:rFonts w:ascii="Book Antiqua" w:hAnsi="Book Antiqua" w:cs="宋体"/>
        </w:rPr>
        <w:t xml:space="preserve">32 </w:t>
      </w:r>
      <w:r w:rsidRPr="004C2C62">
        <w:rPr>
          <w:rFonts w:ascii="Book Antiqua" w:hAnsi="Book Antiqua" w:cs="宋体"/>
          <w:b/>
          <w:bCs/>
        </w:rPr>
        <w:t>Abd-Eldaem AA</w:t>
      </w:r>
      <w:r w:rsidRPr="004C2C62">
        <w:rPr>
          <w:rFonts w:ascii="Book Antiqua" w:hAnsi="Book Antiqua" w:cs="宋体"/>
        </w:rPr>
        <w:t xml:space="preserve">, Azmy MK, Ahmad YK, Badr GA, Houssein MA, El-Dahshan T. Role of statins in the treatment of chronic hepatitis C virus infection. </w:t>
      </w:r>
      <w:r w:rsidRPr="004C2C62">
        <w:rPr>
          <w:rFonts w:ascii="Book Antiqua" w:hAnsi="Book Antiqua" w:cs="宋体"/>
          <w:i/>
          <w:iCs/>
        </w:rPr>
        <w:t>J Egypt Soc Parasitol</w:t>
      </w:r>
      <w:r w:rsidRPr="004C2C62">
        <w:rPr>
          <w:rFonts w:ascii="Book Antiqua" w:hAnsi="Book Antiqua" w:cs="宋体"/>
        </w:rPr>
        <w:t xml:space="preserve"> 2012; </w:t>
      </w:r>
      <w:r w:rsidRPr="004C2C62">
        <w:rPr>
          <w:rFonts w:ascii="Book Antiqua" w:hAnsi="Book Antiqua" w:cs="宋体"/>
          <w:b/>
          <w:bCs/>
        </w:rPr>
        <w:t>42</w:t>
      </w:r>
      <w:r w:rsidRPr="004C2C62">
        <w:rPr>
          <w:rFonts w:ascii="Book Antiqua" w:hAnsi="Book Antiqua" w:cs="宋体"/>
        </w:rPr>
        <w:t>: 535-540 [PMID: 23469629 DOI: 10.12816/0006339]</w:t>
      </w:r>
    </w:p>
    <w:p w14:paraId="2F1465EC" w14:textId="77777777" w:rsidR="00CD1426" w:rsidRPr="004C2C62" w:rsidRDefault="00CD1426" w:rsidP="00CD1426">
      <w:pPr>
        <w:spacing w:line="360" w:lineRule="auto"/>
        <w:jc w:val="both"/>
        <w:divId w:val="1336884897"/>
        <w:rPr>
          <w:rFonts w:ascii="Book Antiqua" w:hAnsi="Book Antiqua" w:cs="宋体"/>
        </w:rPr>
      </w:pPr>
      <w:r w:rsidRPr="004C2C62">
        <w:rPr>
          <w:rFonts w:ascii="Book Antiqua" w:hAnsi="Book Antiqua" w:cs="宋体"/>
        </w:rPr>
        <w:t xml:space="preserve">33 </w:t>
      </w:r>
      <w:r w:rsidRPr="004C2C62">
        <w:rPr>
          <w:rFonts w:ascii="Book Antiqua" w:hAnsi="Book Antiqua" w:cs="宋体"/>
          <w:b/>
          <w:bCs/>
        </w:rPr>
        <w:t>Di Marco V</w:t>
      </w:r>
      <w:r w:rsidRPr="004C2C62">
        <w:rPr>
          <w:rFonts w:ascii="Book Antiqua" w:hAnsi="Book Antiqua" w:cs="宋体"/>
        </w:rPr>
        <w:t xml:space="preserve">, Covolo L, Calvaruso V, Levrero M, Puoti M, Suter F, Gaeta GB, Ferrari C, Raimondo G, Fattovich G, Santantonio T, Alberti A, Bruno R, Mussini C, Mondelli M, Donato F, Craxì A. Who is more likely to respond to dual treatment with pegylated-interferon and ribavirin for chronic hepatitis C? A gender-oriented analysis. </w:t>
      </w:r>
      <w:r w:rsidRPr="004C2C62">
        <w:rPr>
          <w:rFonts w:ascii="Book Antiqua" w:hAnsi="Book Antiqua" w:cs="宋体"/>
          <w:i/>
          <w:iCs/>
        </w:rPr>
        <w:t>J Viral Hepat</w:t>
      </w:r>
      <w:r w:rsidRPr="004C2C62">
        <w:rPr>
          <w:rFonts w:ascii="Book Antiqua" w:hAnsi="Book Antiqua" w:cs="宋体"/>
        </w:rPr>
        <w:t xml:space="preserve"> 2013; </w:t>
      </w:r>
      <w:r w:rsidRPr="004C2C62">
        <w:rPr>
          <w:rFonts w:ascii="Book Antiqua" w:hAnsi="Book Antiqua" w:cs="宋体"/>
          <w:b/>
          <w:bCs/>
        </w:rPr>
        <w:t>20</w:t>
      </w:r>
      <w:r w:rsidRPr="004C2C62">
        <w:rPr>
          <w:rFonts w:ascii="Book Antiqua" w:hAnsi="Book Antiqua" w:cs="宋体"/>
        </w:rPr>
        <w:t>: 790-800 [PMID: 24168258 DOI: 10.1111/jvh.12106]</w:t>
      </w:r>
    </w:p>
    <w:p w14:paraId="3C96E354" w14:textId="77777777" w:rsidR="00CD1426" w:rsidRPr="004C2C62" w:rsidRDefault="00CD1426" w:rsidP="00CD1426">
      <w:pPr>
        <w:spacing w:line="360" w:lineRule="auto"/>
        <w:jc w:val="both"/>
        <w:divId w:val="1336884897"/>
        <w:rPr>
          <w:rFonts w:ascii="Book Antiqua" w:hAnsi="Book Antiqua" w:cs="宋体"/>
        </w:rPr>
      </w:pPr>
      <w:r w:rsidRPr="004C2C62">
        <w:rPr>
          <w:rFonts w:ascii="Book Antiqua" w:hAnsi="Book Antiqua" w:cs="宋体"/>
        </w:rPr>
        <w:t xml:space="preserve">34 </w:t>
      </w:r>
      <w:r w:rsidRPr="004C2C62">
        <w:rPr>
          <w:rFonts w:ascii="Book Antiqua" w:hAnsi="Book Antiqua" w:cs="宋体"/>
          <w:b/>
          <w:bCs/>
        </w:rPr>
        <w:t>Salgado AL</w:t>
      </w:r>
      <w:r w:rsidRPr="004C2C62">
        <w:rPr>
          <w:rFonts w:ascii="Book Antiqua" w:hAnsi="Book Antiqua" w:cs="宋体"/>
        </w:rPr>
        <w:t xml:space="preserve">, Carvalho Ld, Oliveira AC, Santos VN, Vieira JG, Parise ER. Insulin resistance index (HOMA-IR) in the differentiation of patients with non-alcoholic fatty liver disease and healthy individuals. </w:t>
      </w:r>
      <w:r w:rsidRPr="004C2C62">
        <w:rPr>
          <w:rFonts w:ascii="Book Antiqua" w:hAnsi="Book Antiqua" w:cs="宋体"/>
          <w:i/>
          <w:iCs/>
        </w:rPr>
        <w:t>Arq Gastroenterol</w:t>
      </w:r>
      <w:r w:rsidRPr="004C2C62">
        <w:rPr>
          <w:rFonts w:ascii="Book Antiqua" w:hAnsi="Book Antiqua" w:cs="宋体"/>
        </w:rPr>
        <w:t xml:space="preserve"> </w:t>
      </w:r>
      <w:r w:rsidRPr="00CD1426">
        <w:rPr>
          <w:rFonts w:ascii="Book Antiqua" w:hAnsi="Book Antiqua" w:cs="宋体"/>
        </w:rPr>
        <w:t>2010</w:t>
      </w:r>
      <w:r w:rsidRPr="004C2C62">
        <w:rPr>
          <w:rFonts w:ascii="Book Antiqua" w:hAnsi="Book Antiqua" w:cs="宋体"/>
        </w:rPr>
        <w:t xml:space="preserve">; </w:t>
      </w:r>
      <w:r w:rsidRPr="004C2C62">
        <w:rPr>
          <w:rFonts w:ascii="Book Antiqua" w:hAnsi="Book Antiqua" w:cs="宋体"/>
          <w:b/>
          <w:bCs/>
        </w:rPr>
        <w:t>47</w:t>
      </w:r>
      <w:r w:rsidRPr="004C2C62">
        <w:rPr>
          <w:rFonts w:ascii="Book Antiqua" w:hAnsi="Book Antiqua" w:cs="宋体"/>
        </w:rPr>
        <w:t>: 165-169 [PMID: 20721461 DOI: 10.1590/S0004-28032010000200009]</w:t>
      </w:r>
    </w:p>
    <w:p w14:paraId="039BEA22" w14:textId="77777777" w:rsidR="00CD1426" w:rsidRPr="004C2C62" w:rsidRDefault="00CD1426" w:rsidP="00CD1426">
      <w:pPr>
        <w:spacing w:line="360" w:lineRule="auto"/>
        <w:jc w:val="both"/>
        <w:divId w:val="1336884897"/>
        <w:rPr>
          <w:rFonts w:ascii="Book Antiqua" w:hAnsi="Book Antiqua" w:cs="宋体"/>
        </w:rPr>
      </w:pPr>
      <w:r w:rsidRPr="004C2C62">
        <w:rPr>
          <w:rFonts w:ascii="Book Antiqua" w:hAnsi="Book Antiqua" w:cs="宋体"/>
        </w:rPr>
        <w:t xml:space="preserve">35 </w:t>
      </w:r>
      <w:r w:rsidRPr="004C2C62">
        <w:rPr>
          <w:rFonts w:ascii="Book Antiqua" w:hAnsi="Book Antiqua" w:cs="宋体"/>
          <w:b/>
          <w:bCs/>
        </w:rPr>
        <w:t>Codes L</w:t>
      </w:r>
      <w:r w:rsidRPr="004C2C62">
        <w:rPr>
          <w:rFonts w:ascii="Book Antiqua" w:hAnsi="Book Antiqua" w:cs="宋体"/>
        </w:rPr>
        <w:t xml:space="preserve">, Asselah T, Cazals-Hatem D, Tubach F, Vidaud D, Paraná R, Bedossa P, Valla D, Marcellin P. Liver fibrosis in women with chronic hepatitis C: evidence for the negative role of the menopause and steatosis and the potential benefit of hormone replacement therapy. </w:t>
      </w:r>
      <w:r w:rsidRPr="004C2C62">
        <w:rPr>
          <w:rFonts w:ascii="Book Antiqua" w:hAnsi="Book Antiqua" w:cs="宋体"/>
          <w:i/>
          <w:iCs/>
        </w:rPr>
        <w:t>Gut</w:t>
      </w:r>
      <w:r w:rsidRPr="004C2C62">
        <w:rPr>
          <w:rFonts w:ascii="Book Antiqua" w:hAnsi="Book Antiqua" w:cs="宋体"/>
        </w:rPr>
        <w:t xml:space="preserve"> 2007; </w:t>
      </w:r>
      <w:r w:rsidRPr="004C2C62">
        <w:rPr>
          <w:rFonts w:ascii="Book Antiqua" w:hAnsi="Book Antiqua" w:cs="宋体"/>
          <w:b/>
          <w:bCs/>
        </w:rPr>
        <w:t>56</w:t>
      </w:r>
      <w:r w:rsidRPr="004C2C62">
        <w:rPr>
          <w:rFonts w:ascii="Book Antiqua" w:hAnsi="Book Antiqua" w:cs="宋体"/>
        </w:rPr>
        <w:t>: 390-395 [PMID: 17005762 DOI: 10.1136/gut.2006.101931]</w:t>
      </w:r>
    </w:p>
    <w:p w14:paraId="0F71BAF3" w14:textId="77777777" w:rsidR="00CD1426" w:rsidRPr="004C2C62" w:rsidRDefault="00CD1426" w:rsidP="00CD1426">
      <w:pPr>
        <w:spacing w:line="360" w:lineRule="auto"/>
        <w:jc w:val="both"/>
        <w:divId w:val="1336884897"/>
        <w:rPr>
          <w:rFonts w:ascii="Book Antiqua" w:hAnsi="Book Antiqua" w:cs="宋体"/>
        </w:rPr>
      </w:pPr>
      <w:r w:rsidRPr="004C2C62">
        <w:rPr>
          <w:rFonts w:ascii="Book Antiqua" w:hAnsi="Book Antiqua" w:cs="宋体"/>
        </w:rPr>
        <w:t xml:space="preserve">36 </w:t>
      </w:r>
      <w:r w:rsidRPr="004C2C62">
        <w:rPr>
          <w:rFonts w:ascii="Book Antiqua" w:hAnsi="Book Antiqua" w:cs="宋体"/>
          <w:b/>
          <w:bCs/>
        </w:rPr>
        <w:t>Villa E</w:t>
      </w:r>
      <w:r w:rsidRPr="004C2C62">
        <w:rPr>
          <w:rFonts w:ascii="Book Antiqua" w:hAnsi="Book Antiqua" w:cs="宋体"/>
        </w:rPr>
        <w:t xml:space="preserve">, Karampatou A, Cammà C, Di Leo A, Luongo M, Ferrari A, Petta S, Losi L, Taliani G, Trande P, Lei B, Graziosi A, Bernabucci V, Critelli R, Pazienza P, Rendina M, Antonelli A, Francavilla A. Early menopause is associated with lack of response to antiviral therapy in women with chronic hepatitis C. </w:t>
      </w:r>
      <w:r w:rsidRPr="004C2C62">
        <w:rPr>
          <w:rFonts w:ascii="Book Antiqua" w:hAnsi="Book Antiqua" w:cs="宋体"/>
          <w:i/>
          <w:iCs/>
        </w:rPr>
        <w:t>Gastroenterology</w:t>
      </w:r>
      <w:r w:rsidRPr="004C2C62">
        <w:rPr>
          <w:rFonts w:ascii="Book Antiqua" w:hAnsi="Book Antiqua" w:cs="宋体"/>
        </w:rPr>
        <w:t xml:space="preserve"> 2011; </w:t>
      </w:r>
      <w:r w:rsidRPr="004C2C62">
        <w:rPr>
          <w:rFonts w:ascii="Book Antiqua" w:hAnsi="Book Antiqua" w:cs="宋体"/>
          <w:b/>
          <w:bCs/>
        </w:rPr>
        <w:t>140</w:t>
      </w:r>
      <w:r w:rsidRPr="004C2C62">
        <w:rPr>
          <w:rFonts w:ascii="Book Antiqua" w:hAnsi="Book Antiqua" w:cs="宋体"/>
        </w:rPr>
        <w:t>: 818-829 [PMID: 21167831 DOI: 10.1053/j.gastro.2010.12.027]</w:t>
      </w:r>
    </w:p>
    <w:p w14:paraId="191DB048" w14:textId="77777777" w:rsidR="00CD1426" w:rsidRPr="004C2C62" w:rsidRDefault="00CD1426" w:rsidP="00CD1426">
      <w:pPr>
        <w:spacing w:line="360" w:lineRule="auto"/>
        <w:jc w:val="both"/>
        <w:divId w:val="1336884897"/>
        <w:rPr>
          <w:rFonts w:ascii="Book Antiqua" w:hAnsi="Book Antiqua" w:cs="宋体"/>
        </w:rPr>
      </w:pPr>
      <w:r w:rsidRPr="004C2C62">
        <w:rPr>
          <w:rFonts w:ascii="Book Antiqua" w:hAnsi="Book Antiqua" w:cs="宋体"/>
        </w:rPr>
        <w:t xml:space="preserve">37 </w:t>
      </w:r>
      <w:r w:rsidRPr="004C2C62">
        <w:rPr>
          <w:rFonts w:ascii="Book Antiqua" w:hAnsi="Book Antiqua" w:cs="宋体"/>
          <w:b/>
          <w:bCs/>
        </w:rPr>
        <w:t>Fried MW</w:t>
      </w:r>
      <w:r w:rsidRPr="004C2C62">
        <w:rPr>
          <w:rFonts w:ascii="Book Antiqua" w:hAnsi="Book Antiqua" w:cs="宋体"/>
        </w:rPr>
        <w:t xml:space="preserve">, Hadziyannis SJ, Shiffman ML, Messinger D, Zeuzem S. Rapid virological response is the most important predictor of sustained virological response across genotypes in patients with chronic hepatitis C virus infection. </w:t>
      </w:r>
      <w:r w:rsidRPr="004C2C62">
        <w:rPr>
          <w:rFonts w:ascii="Book Antiqua" w:hAnsi="Book Antiqua" w:cs="宋体"/>
          <w:i/>
          <w:iCs/>
        </w:rPr>
        <w:t>J Hepatol</w:t>
      </w:r>
      <w:r w:rsidRPr="004C2C62">
        <w:rPr>
          <w:rFonts w:ascii="Book Antiqua" w:hAnsi="Book Antiqua" w:cs="宋体"/>
        </w:rPr>
        <w:t xml:space="preserve"> 2011; </w:t>
      </w:r>
      <w:r w:rsidRPr="004C2C62">
        <w:rPr>
          <w:rFonts w:ascii="Book Antiqua" w:hAnsi="Book Antiqua" w:cs="宋体"/>
          <w:b/>
          <w:bCs/>
        </w:rPr>
        <w:t>55</w:t>
      </w:r>
      <w:r w:rsidRPr="004C2C62">
        <w:rPr>
          <w:rFonts w:ascii="Book Antiqua" w:hAnsi="Book Antiqua" w:cs="宋体"/>
        </w:rPr>
        <w:t>: 69-75 [PMID: 21145856 DOI: 10.1016/j.jhep.2010.10.032]</w:t>
      </w:r>
    </w:p>
    <w:p w14:paraId="23006FE2" w14:textId="77777777" w:rsidR="00CD1426" w:rsidRPr="004C2C62" w:rsidRDefault="00CD1426" w:rsidP="00CD1426">
      <w:pPr>
        <w:spacing w:line="360" w:lineRule="auto"/>
        <w:jc w:val="both"/>
        <w:divId w:val="1336884897"/>
        <w:rPr>
          <w:rFonts w:ascii="Book Antiqua" w:hAnsi="Book Antiqua" w:cs="宋体"/>
        </w:rPr>
      </w:pPr>
      <w:r w:rsidRPr="004C2C62">
        <w:rPr>
          <w:rFonts w:ascii="Book Antiqua" w:hAnsi="Book Antiqua" w:cs="宋体"/>
        </w:rPr>
        <w:lastRenderedPageBreak/>
        <w:t xml:space="preserve">38 </w:t>
      </w:r>
      <w:r w:rsidRPr="004C2C62">
        <w:rPr>
          <w:rFonts w:ascii="Book Antiqua" w:hAnsi="Book Antiqua" w:cs="宋体"/>
          <w:b/>
          <w:bCs/>
        </w:rPr>
        <w:t>Mangia A</w:t>
      </w:r>
      <w:r w:rsidRPr="004C2C62">
        <w:rPr>
          <w:rFonts w:ascii="Book Antiqua" w:hAnsi="Book Antiqua" w:cs="宋体"/>
        </w:rPr>
        <w:t xml:space="preserve">, Bandiera F, Montalto G, Mottola L, Piazzolla V, Minerva N, Pellicelli A, Ricci GL, Cela M, Carretta V, Scotto G, Bacca D, Annicchiarico B, Romano M, Russello M, Barbarini G, Agostinacchio E, Andriulli A. Individualized treatment with combination of Peg-interferon alpha 2b and ribavirin in patients infected with HCV genotype 3. </w:t>
      </w:r>
      <w:r w:rsidRPr="004C2C62">
        <w:rPr>
          <w:rFonts w:ascii="Book Antiqua" w:hAnsi="Book Antiqua" w:cs="宋体"/>
          <w:i/>
          <w:iCs/>
        </w:rPr>
        <w:t>J Hepatol</w:t>
      </w:r>
      <w:r w:rsidRPr="004C2C62">
        <w:rPr>
          <w:rFonts w:ascii="Book Antiqua" w:hAnsi="Book Antiqua" w:cs="宋体"/>
        </w:rPr>
        <w:t xml:space="preserve"> 2010; </w:t>
      </w:r>
      <w:r w:rsidRPr="004C2C62">
        <w:rPr>
          <w:rFonts w:ascii="Book Antiqua" w:hAnsi="Book Antiqua" w:cs="宋体"/>
          <w:b/>
          <w:bCs/>
        </w:rPr>
        <w:t>53</w:t>
      </w:r>
      <w:r w:rsidRPr="004C2C62">
        <w:rPr>
          <w:rFonts w:ascii="Book Antiqua" w:hAnsi="Book Antiqua" w:cs="宋体"/>
        </w:rPr>
        <w:t>: 1000-1005 [PMID: 20843575 DOI: 10.1016/j.jhep.2010.04.042]</w:t>
      </w:r>
    </w:p>
    <w:p w14:paraId="62D0EDA4" w14:textId="77777777" w:rsidR="00CD1426" w:rsidRPr="004C2C62" w:rsidRDefault="00CD1426" w:rsidP="00CD1426">
      <w:pPr>
        <w:spacing w:line="360" w:lineRule="auto"/>
        <w:jc w:val="both"/>
        <w:divId w:val="1336884897"/>
        <w:rPr>
          <w:rFonts w:ascii="Book Antiqua" w:hAnsi="Book Antiqua" w:cs="宋体"/>
        </w:rPr>
      </w:pPr>
      <w:r w:rsidRPr="00CD1426">
        <w:rPr>
          <w:rFonts w:ascii="Book Antiqua" w:hAnsi="Book Antiqua" w:cs="宋体"/>
        </w:rPr>
        <w:t xml:space="preserve">39 </w:t>
      </w:r>
      <w:r w:rsidRPr="004C2C62">
        <w:rPr>
          <w:rFonts w:ascii="Book Antiqua" w:hAnsi="Book Antiqua" w:cs="宋体"/>
          <w:b/>
        </w:rPr>
        <w:t>Manns MP,</w:t>
      </w:r>
      <w:r w:rsidRPr="004C2C62">
        <w:rPr>
          <w:rFonts w:ascii="Book Antiqua" w:hAnsi="Book Antiqua" w:cs="宋体"/>
        </w:rPr>
        <w:t xml:space="preserve"> Markova AA, Serrano BC, Cornberg M. Phase III results of Boceprevir in treatment </w:t>
      </w:r>
      <w:r w:rsidRPr="00CD1426">
        <w:rPr>
          <w:rFonts w:ascii="Book Antiqua" w:hAnsi="Book Antiqua" w:cs="宋体"/>
        </w:rPr>
        <w:t xml:space="preserve">naïve </w:t>
      </w:r>
      <w:r w:rsidRPr="004C2C62">
        <w:rPr>
          <w:rFonts w:ascii="Book Antiqua" w:hAnsi="Book Antiqua" w:cs="宋体"/>
        </w:rPr>
        <w:t xml:space="preserve">patients with chronic hepatitis C genotype 1. </w:t>
      </w:r>
      <w:r w:rsidRPr="004C2C62">
        <w:rPr>
          <w:rFonts w:ascii="Book Antiqua" w:hAnsi="Book Antiqua" w:cs="宋体"/>
          <w:i/>
        </w:rPr>
        <w:t>Liv</w:t>
      </w:r>
      <w:r w:rsidRPr="00CD1426">
        <w:rPr>
          <w:rFonts w:ascii="Book Antiqua" w:hAnsi="Book Antiqua" w:cs="宋体"/>
          <w:i/>
        </w:rPr>
        <w:t>er Int</w:t>
      </w:r>
      <w:r w:rsidRPr="004C2C62">
        <w:rPr>
          <w:rFonts w:ascii="Book Antiqua" w:hAnsi="Book Antiqua" w:cs="宋体"/>
          <w:i/>
        </w:rPr>
        <w:t xml:space="preserve"> </w:t>
      </w:r>
      <w:r w:rsidRPr="004C2C62">
        <w:rPr>
          <w:rFonts w:ascii="Book Antiqua" w:hAnsi="Book Antiqua" w:cs="宋体"/>
        </w:rPr>
        <w:t xml:space="preserve">2012; </w:t>
      </w:r>
      <w:r w:rsidRPr="004C2C62">
        <w:rPr>
          <w:rFonts w:ascii="Book Antiqua" w:hAnsi="Book Antiqua" w:cs="宋体"/>
          <w:b/>
        </w:rPr>
        <w:t>32</w:t>
      </w:r>
      <w:r w:rsidRPr="004C2C62">
        <w:rPr>
          <w:rFonts w:ascii="Book Antiqua" w:hAnsi="Book Antiqua" w:cs="宋体"/>
        </w:rPr>
        <w:t xml:space="preserve"> Suppl 1: 27</w:t>
      </w:r>
      <w:r w:rsidRPr="00CD1426">
        <w:rPr>
          <w:rFonts w:ascii="Book Antiqua" w:hAnsi="Book Antiqua" w:cs="宋体"/>
        </w:rPr>
        <w:t>-</w:t>
      </w:r>
      <w:r w:rsidRPr="004C2C62">
        <w:rPr>
          <w:rFonts w:ascii="Book Antiqua" w:hAnsi="Book Antiqua" w:cs="宋体"/>
        </w:rPr>
        <w:t xml:space="preserve">31 </w:t>
      </w:r>
      <w:r w:rsidRPr="00CD1426">
        <w:rPr>
          <w:rFonts w:ascii="Book Antiqua" w:hAnsi="Book Antiqua" w:cs="宋体"/>
        </w:rPr>
        <w:t xml:space="preserve">[PMID: </w:t>
      </w:r>
      <w:r w:rsidRPr="004C2C62">
        <w:rPr>
          <w:rFonts w:ascii="Book Antiqua" w:hAnsi="Book Antiqua" w:cs="宋体"/>
        </w:rPr>
        <w:t>22212568</w:t>
      </w:r>
      <w:r w:rsidRPr="00CD1426">
        <w:rPr>
          <w:rFonts w:ascii="Book Antiqua" w:hAnsi="Book Antiqua" w:cs="宋体"/>
        </w:rPr>
        <w:t>]</w:t>
      </w:r>
    </w:p>
    <w:p w14:paraId="0439A3CB" w14:textId="77777777" w:rsidR="00CD1426" w:rsidRPr="004C2C62" w:rsidRDefault="00CD1426" w:rsidP="00CD1426">
      <w:pPr>
        <w:spacing w:line="360" w:lineRule="auto"/>
        <w:jc w:val="both"/>
        <w:divId w:val="1336884897"/>
        <w:rPr>
          <w:rFonts w:ascii="Book Antiqua" w:hAnsi="Book Antiqua" w:cs="宋体"/>
        </w:rPr>
      </w:pPr>
      <w:r w:rsidRPr="004C2C62">
        <w:rPr>
          <w:rFonts w:ascii="Book Antiqua" w:hAnsi="Book Antiqua" w:cs="宋体"/>
        </w:rPr>
        <w:t xml:space="preserve">40 </w:t>
      </w:r>
      <w:r w:rsidRPr="004C2C62">
        <w:rPr>
          <w:rFonts w:ascii="Book Antiqua" w:hAnsi="Book Antiqua" w:cs="宋体"/>
          <w:b/>
          <w:bCs/>
        </w:rPr>
        <w:t>McHutchison JG</w:t>
      </w:r>
      <w:r w:rsidRPr="004C2C62">
        <w:rPr>
          <w:rFonts w:ascii="Book Antiqua" w:hAnsi="Book Antiqua" w:cs="宋体"/>
        </w:rPr>
        <w:t xml:space="preserve">, Manns MP, Muir AJ, Terrault NA, Jacobson IM, Afdhal NH, Heathcote EJ, Zeuzem S, Reesink HW, Garg J, Bsharat M, George S, Kauffman RS, Adda N, Di Bisceglie AM. Telaprevir for previously treated chronic HCV infection. </w:t>
      </w:r>
      <w:r w:rsidRPr="004C2C62">
        <w:rPr>
          <w:rFonts w:ascii="Book Antiqua" w:hAnsi="Book Antiqua" w:cs="宋体"/>
          <w:i/>
          <w:iCs/>
        </w:rPr>
        <w:t>N Engl J Med</w:t>
      </w:r>
      <w:r w:rsidRPr="004C2C62">
        <w:rPr>
          <w:rFonts w:ascii="Book Antiqua" w:hAnsi="Book Antiqua" w:cs="宋体"/>
        </w:rPr>
        <w:t xml:space="preserve"> 2010; </w:t>
      </w:r>
      <w:r w:rsidRPr="004C2C62">
        <w:rPr>
          <w:rFonts w:ascii="Book Antiqua" w:hAnsi="Book Antiqua" w:cs="宋体"/>
          <w:b/>
          <w:bCs/>
        </w:rPr>
        <w:t>362</w:t>
      </w:r>
      <w:r w:rsidRPr="004C2C62">
        <w:rPr>
          <w:rFonts w:ascii="Book Antiqua" w:hAnsi="Book Antiqua" w:cs="宋体"/>
        </w:rPr>
        <w:t>: 1292-1303 [PMID: 20375406 DOI: 10.1056/NEJMoa0908014]</w:t>
      </w:r>
    </w:p>
    <w:p w14:paraId="324D55D9" w14:textId="77777777" w:rsidR="00CD1426" w:rsidRPr="004C2C62" w:rsidRDefault="00CD1426" w:rsidP="00CD1426">
      <w:pPr>
        <w:spacing w:line="360" w:lineRule="auto"/>
        <w:jc w:val="both"/>
        <w:divId w:val="1336884897"/>
        <w:rPr>
          <w:rFonts w:ascii="Book Antiqua" w:hAnsi="Book Antiqua" w:cs="宋体"/>
        </w:rPr>
      </w:pPr>
      <w:r w:rsidRPr="004C2C62">
        <w:rPr>
          <w:rFonts w:ascii="Book Antiqua" w:hAnsi="Book Antiqua" w:cs="宋体"/>
        </w:rPr>
        <w:t xml:space="preserve">41 </w:t>
      </w:r>
      <w:r w:rsidRPr="004C2C62">
        <w:rPr>
          <w:rFonts w:ascii="Book Antiqua" w:hAnsi="Book Antiqua" w:cs="宋体"/>
          <w:b/>
          <w:bCs/>
        </w:rPr>
        <w:t>Zeuzem S</w:t>
      </w:r>
      <w:r w:rsidRPr="004C2C62">
        <w:rPr>
          <w:rFonts w:ascii="Book Antiqua" w:hAnsi="Book Antiqua" w:cs="宋体"/>
        </w:rPr>
        <w:t xml:space="preserve">, Andreone P, Pol S, Lawitz E, Diago M, Roberts S, Focaccia R, Younossi Z, Foster GR, Horban A, Ferenci P, Nevens F, Müllhaupt B, Pockros P, Terg R, Shouval D, van Hoek B, Weiland O, Van Heeswijk R, De Meyer S, Luo D, Boogaerts G, Polo R, Picchio G, Beumont M. Telaprevir for retreatment of HCV infection. </w:t>
      </w:r>
      <w:r w:rsidRPr="004C2C62">
        <w:rPr>
          <w:rFonts w:ascii="Book Antiqua" w:hAnsi="Book Antiqua" w:cs="宋体"/>
          <w:i/>
          <w:iCs/>
        </w:rPr>
        <w:t>N Engl J Med</w:t>
      </w:r>
      <w:r w:rsidRPr="004C2C62">
        <w:rPr>
          <w:rFonts w:ascii="Book Antiqua" w:hAnsi="Book Antiqua" w:cs="宋体"/>
        </w:rPr>
        <w:t xml:space="preserve"> 2011; </w:t>
      </w:r>
      <w:r w:rsidRPr="004C2C62">
        <w:rPr>
          <w:rFonts w:ascii="Book Antiqua" w:hAnsi="Book Antiqua" w:cs="宋体"/>
          <w:b/>
          <w:bCs/>
        </w:rPr>
        <w:t>364</w:t>
      </w:r>
      <w:r w:rsidRPr="004C2C62">
        <w:rPr>
          <w:rFonts w:ascii="Book Antiqua" w:hAnsi="Book Antiqua" w:cs="宋体"/>
        </w:rPr>
        <w:t>: 2417-2428 [PMID: 21696308 DOI: 10.1056/NEJMoa1013086]</w:t>
      </w:r>
    </w:p>
    <w:p w14:paraId="5BE33B06" w14:textId="77777777" w:rsidR="00CD1426" w:rsidRPr="004C2C62" w:rsidRDefault="00CD1426" w:rsidP="00CD1426">
      <w:pPr>
        <w:spacing w:line="360" w:lineRule="auto"/>
        <w:jc w:val="both"/>
        <w:divId w:val="1336884897"/>
        <w:rPr>
          <w:rFonts w:ascii="Book Antiqua" w:hAnsi="Book Antiqua" w:cs="宋体"/>
        </w:rPr>
      </w:pPr>
      <w:r w:rsidRPr="004C2C62">
        <w:rPr>
          <w:rFonts w:ascii="Book Antiqua" w:hAnsi="Book Antiqua" w:cs="宋体"/>
        </w:rPr>
        <w:t xml:space="preserve">42 </w:t>
      </w:r>
      <w:r w:rsidRPr="004C2C62">
        <w:rPr>
          <w:rFonts w:ascii="Book Antiqua" w:hAnsi="Book Antiqua" w:cs="宋体"/>
          <w:b/>
          <w:bCs/>
        </w:rPr>
        <w:t>Pol S</w:t>
      </w:r>
      <w:r w:rsidRPr="004C2C62">
        <w:rPr>
          <w:rFonts w:ascii="Book Antiqua" w:hAnsi="Book Antiqua" w:cs="宋体"/>
        </w:rPr>
        <w:t xml:space="preserve">, Aerssens J, Zeuzem S, Andreone P, Lawitz EJ, Roberts S, Younossi Z, Foster GR, Focaccia R, Horban A, Pockros PJ, Van Heeswijk RP, De Meyer S, Luo D, Botfield M, Beumont M, Picchio G. Limited impact of IL28B genotype on response rates in telaprevir-treated patients with prior treatment failure. </w:t>
      </w:r>
      <w:r w:rsidRPr="004C2C62">
        <w:rPr>
          <w:rFonts w:ascii="Book Antiqua" w:hAnsi="Book Antiqua" w:cs="宋体"/>
          <w:i/>
          <w:iCs/>
        </w:rPr>
        <w:t>J Hepatol</w:t>
      </w:r>
      <w:r w:rsidRPr="004C2C62">
        <w:rPr>
          <w:rFonts w:ascii="Book Antiqua" w:hAnsi="Book Antiqua" w:cs="宋体"/>
        </w:rPr>
        <w:t xml:space="preserve"> 2013; </w:t>
      </w:r>
      <w:r w:rsidRPr="004C2C62">
        <w:rPr>
          <w:rFonts w:ascii="Book Antiqua" w:hAnsi="Book Antiqua" w:cs="宋体"/>
          <w:b/>
          <w:bCs/>
        </w:rPr>
        <w:t>58</w:t>
      </w:r>
      <w:r w:rsidRPr="004C2C62">
        <w:rPr>
          <w:rFonts w:ascii="Book Antiqua" w:hAnsi="Book Antiqua" w:cs="宋体"/>
        </w:rPr>
        <w:t>: 883-889 [PMID: 23321318 DOI: 10.1016/j.jhep.2012.12.023]</w:t>
      </w:r>
    </w:p>
    <w:p w14:paraId="375C432D" w14:textId="77777777" w:rsidR="00CD1426" w:rsidRPr="004C2C62" w:rsidRDefault="00CD1426" w:rsidP="00CD1426">
      <w:pPr>
        <w:spacing w:line="360" w:lineRule="auto"/>
        <w:jc w:val="both"/>
        <w:divId w:val="1336884897"/>
        <w:rPr>
          <w:rFonts w:ascii="Book Antiqua" w:hAnsi="Book Antiqua" w:cs="宋体"/>
        </w:rPr>
      </w:pPr>
      <w:r w:rsidRPr="004C2C62">
        <w:rPr>
          <w:rFonts w:ascii="Book Antiqua" w:hAnsi="Book Antiqua" w:cs="宋体"/>
        </w:rPr>
        <w:t xml:space="preserve">43 </w:t>
      </w:r>
      <w:r w:rsidRPr="004C2C62">
        <w:rPr>
          <w:rFonts w:ascii="Book Antiqua" w:hAnsi="Book Antiqua" w:cs="宋体"/>
          <w:b/>
          <w:bCs/>
        </w:rPr>
        <w:t>Choi IJ</w:t>
      </w:r>
      <w:r w:rsidRPr="004C2C62">
        <w:rPr>
          <w:rFonts w:ascii="Book Antiqua" w:hAnsi="Book Antiqua" w:cs="宋体"/>
        </w:rPr>
        <w:t xml:space="preserve">. Upper endoscopy in international digestive endoscopy network 2012: towards upper end of quality. </w:t>
      </w:r>
      <w:r w:rsidRPr="004C2C62">
        <w:rPr>
          <w:rFonts w:ascii="Book Antiqua" w:hAnsi="Book Antiqua" w:cs="宋体"/>
          <w:i/>
          <w:iCs/>
        </w:rPr>
        <w:t>Clin Endosc</w:t>
      </w:r>
      <w:r w:rsidRPr="004C2C62">
        <w:rPr>
          <w:rFonts w:ascii="Book Antiqua" w:hAnsi="Book Antiqua" w:cs="宋体"/>
        </w:rPr>
        <w:t xml:space="preserve"> 2012; </w:t>
      </w:r>
      <w:r w:rsidRPr="004C2C62">
        <w:rPr>
          <w:rFonts w:ascii="Book Antiqua" w:hAnsi="Book Antiqua" w:cs="宋体"/>
          <w:b/>
          <w:bCs/>
        </w:rPr>
        <w:t>45</w:t>
      </w:r>
      <w:r w:rsidRPr="004C2C62">
        <w:rPr>
          <w:rFonts w:ascii="Book Antiqua" w:hAnsi="Book Antiqua" w:cs="宋体"/>
        </w:rPr>
        <w:t>: 217-219 [PMID: 22977805 DOI: 10.5946/ce.2012.45.3.217]</w:t>
      </w:r>
    </w:p>
    <w:p w14:paraId="6989E1B3" w14:textId="77777777" w:rsidR="00CD1426" w:rsidRPr="004C2C62" w:rsidRDefault="00CD1426" w:rsidP="00CD1426">
      <w:pPr>
        <w:spacing w:line="360" w:lineRule="auto"/>
        <w:jc w:val="both"/>
        <w:divId w:val="1336884897"/>
        <w:rPr>
          <w:rFonts w:ascii="Book Antiqua" w:hAnsi="Book Antiqua" w:cs="宋体"/>
        </w:rPr>
      </w:pPr>
      <w:r w:rsidRPr="004C2C62">
        <w:rPr>
          <w:rFonts w:ascii="Book Antiqua" w:hAnsi="Book Antiqua" w:cs="宋体"/>
        </w:rPr>
        <w:t xml:space="preserve">44 </w:t>
      </w:r>
      <w:r w:rsidRPr="004C2C62">
        <w:rPr>
          <w:rFonts w:ascii="Book Antiqua" w:hAnsi="Book Antiqua" w:cs="宋体"/>
          <w:b/>
          <w:bCs/>
        </w:rPr>
        <w:t>Poordad F</w:t>
      </w:r>
      <w:r w:rsidRPr="004C2C62">
        <w:rPr>
          <w:rFonts w:ascii="Book Antiqua" w:hAnsi="Book Antiqua" w:cs="宋体"/>
        </w:rPr>
        <w:t xml:space="preserve">, Bronowicki JP, Gordon SC, Zeuzem S, Jacobson IM, Sulkowski MS, Poynard T, Morgan TR, Molony C, Pedicone LD, Sings HL, Burroughs MH, Sniukiene V, Boparai N, Goteti VS, Brass CA, Albrecht JK, Bacon BR. Factors that predict response of patients with hepatitis C virus infection to </w:t>
      </w:r>
      <w:r w:rsidRPr="004C2C62">
        <w:rPr>
          <w:rFonts w:ascii="Book Antiqua" w:hAnsi="Book Antiqua" w:cs="宋体"/>
        </w:rPr>
        <w:lastRenderedPageBreak/>
        <w:t xml:space="preserve">boceprevir. </w:t>
      </w:r>
      <w:r w:rsidRPr="004C2C62">
        <w:rPr>
          <w:rFonts w:ascii="Book Antiqua" w:hAnsi="Book Antiqua" w:cs="宋体"/>
          <w:i/>
          <w:iCs/>
        </w:rPr>
        <w:t>Gastroenterology</w:t>
      </w:r>
      <w:r w:rsidRPr="004C2C62">
        <w:rPr>
          <w:rFonts w:ascii="Book Antiqua" w:hAnsi="Book Antiqua" w:cs="宋体"/>
        </w:rPr>
        <w:t xml:space="preserve"> 2012; </w:t>
      </w:r>
      <w:r w:rsidRPr="004C2C62">
        <w:rPr>
          <w:rFonts w:ascii="Book Antiqua" w:hAnsi="Book Antiqua" w:cs="宋体"/>
          <w:b/>
          <w:bCs/>
        </w:rPr>
        <w:t>143</w:t>
      </w:r>
      <w:r w:rsidRPr="004C2C62">
        <w:rPr>
          <w:rFonts w:ascii="Book Antiqua" w:hAnsi="Book Antiqua" w:cs="宋体"/>
        </w:rPr>
        <w:t>: 608-</w:t>
      </w:r>
      <w:r w:rsidRPr="00CD1426">
        <w:rPr>
          <w:rFonts w:ascii="Book Antiqua" w:hAnsi="Book Antiqua" w:cs="宋体"/>
        </w:rPr>
        <w:t>6</w:t>
      </w:r>
      <w:r w:rsidRPr="004C2C62">
        <w:rPr>
          <w:rFonts w:ascii="Book Antiqua" w:hAnsi="Book Antiqua" w:cs="宋体"/>
        </w:rPr>
        <w:t>18.e1-5 [PMID: 22626609 DOI: 10.1053/j.gastro.2012.05.011]</w:t>
      </w:r>
    </w:p>
    <w:p w14:paraId="69A46D63" w14:textId="77777777" w:rsidR="00CD1426" w:rsidRPr="00CD1426" w:rsidRDefault="00CD1426" w:rsidP="00CD1426">
      <w:pPr>
        <w:spacing w:line="360" w:lineRule="auto"/>
        <w:jc w:val="both"/>
        <w:divId w:val="1336884897"/>
        <w:rPr>
          <w:rFonts w:ascii="Book Antiqua" w:hAnsi="Book Antiqua" w:cs="宋体"/>
        </w:rPr>
      </w:pPr>
      <w:r w:rsidRPr="00CD1426">
        <w:rPr>
          <w:rFonts w:ascii="Book Antiqua" w:hAnsi="Book Antiqua" w:cs="宋体"/>
        </w:rPr>
        <w:t xml:space="preserve">45 </w:t>
      </w:r>
      <w:r w:rsidRPr="004C2C62">
        <w:rPr>
          <w:rFonts w:ascii="Book Antiqua" w:hAnsi="Book Antiqua" w:cs="宋体"/>
          <w:b/>
        </w:rPr>
        <w:t>Bacon BR,</w:t>
      </w:r>
      <w:r w:rsidRPr="004C2C62">
        <w:rPr>
          <w:rFonts w:ascii="Book Antiqua" w:hAnsi="Book Antiqua" w:cs="宋体"/>
        </w:rPr>
        <w:t xml:space="preserve"> Gordon SC, Lawitz E, Marcellin P, Vierling JM, Zeuzem S, Poordad F, Goodman ZD, Sings HL, Boparai N, Burroughs M, Brass CA, Albrecht JK, Esteban R. Boceprevir for previously treated chronic HCV genotype 1 infection. </w:t>
      </w:r>
      <w:r w:rsidRPr="004C2C62">
        <w:rPr>
          <w:rFonts w:ascii="Book Antiqua" w:hAnsi="Book Antiqua" w:cs="宋体"/>
          <w:i/>
        </w:rPr>
        <w:t>N Engl J Med</w:t>
      </w:r>
      <w:r w:rsidRPr="004C2C62">
        <w:rPr>
          <w:rFonts w:ascii="Book Antiqua" w:hAnsi="Book Antiqua" w:cs="宋体"/>
        </w:rPr>
        <w:t xml:space="preserve"> 2011; </w:t>
      </w:r>
      <w:r w:rsidRPr="004C2C62">
        <w:rPr>
          <w:rFonts w:ascii="Book Antiqua" w:hAnsi="Book Antiqua" w:cs="宋体"/>
          <w:b/>
        </w:rPr>
        <w:t>364</w:t>
      </w:r>
      <w:r w:rsidRPr="004C2C62">
        <w:rPr>
          <w:rFonts w:ascii="Book Antiqua" w:hAnsi="Book Antiqua" w:cs="宋体"/>
        </w:rPr>
        <w:t>: 1207</w:t>
      </w:r>
      <w:r w:rsidRPr="00CD1426">
        <w:rPr>
          <w:rFonts w:ascii="Book Antiqua" w:hAnsi="Book Antiqua" w:cs="宋体"/>
        </w:rPr>
        <w:t>-12</w:t>
      </w:r>
      <w:r w:rsidRPr="004C2C62">
        <w:rPr>
          <w:rFonts w:ascii="Book Antiqua" w:hAnsi="Book Antiqua" w:cs="宋体"/>
        </w:rPr>
        <w:t xml:space="preserve">17 </w:t>
      </w:r>
      <w:r w:rsidRPr="00CD1426">
        <w:rPr>
          <w:rFonts w:ascii="Book Antiqua" w:hAnsi="Book Antiqua" w:cs="宋体"/>
        </w:rPr>
        <w:t>[PMID: 21449784 DOI: 10.1056/NEJMoa1009482]</w:t>
      </w:r>
    </w:p>
    <w:p w14:paraId="6405553D" w14:textId="77777777" w:rsidR="00CD1426" w:rsidRPr="004C2C62" w:rsidRDefault="00CD1426" w:rsidP="00CD1426">
      <w:pPr>
        <w:spacing w:line="360" w:lineRule="auto"/>
        <w:jc w:val="both"/>
        <w:divId w:val="1336884897"/>
        <w:rPr>
          <w:rFonts w:ascii="Book Antiqua" w:hAnsi="Book Antiqua" w:cs="宋体"/>
        </w:rPr>
      </w:pPr>
      <w:r w:rsidRPr="004C2C62">
        <w:rPr>
          <w:rFonts w:ascii="Book Antiqua" w:hAnsi="Book Antiqua" w:cs="宋体"/>
        </w:rPr>
        <w:t xml:space="preserve">46 </w:t>
      </w:r>
      <w:r w:rsidRPr="004C2C62">
        <w:rPr>
          <w:rFonts w:ascii="Book Antiqua" w:hAnsi="Book Antiqua" w:cs="宋体"/>
          <w:b/>
          <w:bCs/>
        </w:rPr>
        <w:t>Sulkowski MS</w:t>
      </w:r>
      <w:r w:rsidRPr="004C2C62">
        <w:rPr>
          <w:rFonts w:ascii="Book Antiqua" w:hAnsi="Book Antiqua" w:cs="宋体"/>
        </w:rPr>
        <w:t xml:space="preserve">, Gardiner DF, Rodriguez-Torres M, Reddy KR, Hassanein T, Jacobson I, Lawitz E, Lok AS, Hinestrosa F, Thuluvath PJ, Schwartz H, Nelson DR, Everson GT, Eley T, Wind-Rotolo M, Huang SP, Gao M, Hernandez D, McPhee F, Sherman D, Hindes R, Symonds W, Pasquinelli C, Grasela DM. Daclatasvir plus sofosbuvir for previously treated or untreated chronic HCV infection. </w:t>
      </w:r>
      <w:r w:rsidRPr="004C2C62">
        <w:rPr>
          <w:rFonts w:ascii="Book Antiqua" w:hAnsi="Book Antiqua" w:cs="宋体"/>
          <w:i/>
          <w:iCs/>
        </w:rPr>
        <w:t>N Engl J Med</w:t>
      </w:r>
      <w:r w:rsidRPr="004C2C62">
        <w:rPr>
          <w:rFonts w:ascii="Book Antiqua" w:hAnsi="Book Antiqua" w:cs="宋体"/>
        </w:rPr>
        <w:t xml:space="preserve"> 2014; </w:t>
      </w:r>
      <w:r w:rsidRPr="004C2C62">
        <w:rPr>
          <w:rFonts w:ascii="Book Antiqua" w:hAnsi="Book Antiqua" w:cs="宋体"/>
          <w:b/>
          <w:bCs/>
        </w:rPr>
        <w:t>370</w:t>
      </w:r>
      <w:r w:rsidRPr="004C2C62">
        <w:rPr>
          <w:rFonts w:ascii="Book Antiqua" w:hAnsi="Book Antiqua" w:cs="宋体"/>
        </w:rPr>
        <w:t>: 211-221 [PMID: 24428467 DOI: 10.1056/NEJMoa1306218]</w:t>
      </w:r>
    </w:p>
    <w:p w14:paraId="3BA4030A" w14:textId="77777777" w:rsidR="00CD1426" w:rsidRPr="004C2C62" w:rsidRDefault="00CD1426" w:rsidP="00CD1426">
      <w:pPr>
        <w:spacing w:line="360" w:lineRule="auto"/>
        <w:jc w:val="both"/>
        <w:divId w:val="1336884897"/>
        <w:rPr>
          <w:rFonts w:ascii="Book Antiqua" w:hAnsi="Book Antiqua" w:cs="宋体"/>
        </w:rPr>
      </w:pPr>
      <w:r w:rsidRPr="004C2C62">
        <w:rPr>
          <w:rFonts w:ascii="Book Antiqua" w:hAnsi="Book Antiqua" w:cs="宋体"/>
        </w:rPr>
        <w:t xml:space="preserve">47 </w:t>
      </w:r>
      <w:r w:rsidRPr="004C2C62">
        <w:rPr>
          <w:rFonts w:ascii="Book Antiqua" w:hAnsi="Book Antiqua" w:cs="宋体"/>
          <w:b/>
          <w:bCs/>
        </w:rPr>
        <w:t>Pascale A</w:t>
      </w:r>
      <w:r w:rsidRPr="004C2C62">
        <w:rPr>
          <w:rFonts w:ascii="Book Antiqua" w:hAnsi="Book Antiqua" w:cs="宋体"/>
        </w:rPr>
        <w:t xml:space="preserve">, Serfaty L. Triple therapy with first generation HCV protease inhibitors: lead-in or no lead-in phase? </w:t>
      </w:r>
      <w:r w:rsidRPr="004C2C62">
        <w:rPr>
          <w:rFonts w:ascii="Book Antiqua" w:hAnsi="Book Antiqua" w:cs="宋体"/>
          <w:i/>
          <w:iCs/>
        </w:rPr>
        <w:t>J Hepatol</w:t>
      </w:r>
      <w:r w:rsidRPr="004C2C62">
        <w:rPr>
          <w:rFonts w:ascii="Book Antiqua" w:hAnsi="Book Antiqua" w:cs="宋体"/>
        </w:rPr>
        <w:t xml:space="preserve"> 2013; </w:t>
      </w:r>
      <w:r w:rsidRPr="004C2C62">
        <w:rPr>
          <w:rFonts w:ascii="Book Antiqua" w:hAnsi="Book Antiqua" w:cs="宋体"/>
          <w:b/>
          <w:bCs/>
        </w:rPr>
        <w:t>58</w:t>
      </w:r>
      <w:r w:rsidRPr="004C2C62">
        <w:rPr>
          <w:rFonts w:ascii="Book Antiqua" w:hAnsi="Book Antiqua" w:cs="宋体"/>
        </w:rPr>
        <w:t>: 391-394 [PMID: 23063419 DOI: 10.1016/j.jhep.2012.09.023]</w:t>
      </w:r>
    </w:p>
    <w:p w14:paraId="1E157678" w14:textId="77777777" w:rsidR="00CD1426" w:rsidRPr="004C2C62" w:rsidRDefault="00CD1426" w:rsidP="00CD1426">
      <w:pPr>
        <w:spacing w:line="360" w:lineRule="auto"/>
        <w:jc w:val="both"/>
        <w:divId w:val="1336884897"/>
        <w:rPr>
          <w:rFonts w:ascii="Book Antiqua" w:hAnsi="Book Antiqua" w:cs="宋体"/>
        </w:rPr>
      </w:pPr>
      <w:r w:rsidRPr="004C2C62">
        <w:rPr>
          <w:rFonts w:ascii="Book Antiqua" w:hAnsi="Book Antiqua" w:cs="宋体"/>
        </w:rPr>
        <w:t xml:space="preserve">48 </w:t>
      </w:r>
      <w:r w:rsidRPr="004C2C62">
        <w:rPr>
          <w:rFonts w:ascii="Book Antiqua" w:hAnsi="Book Antiqua" w:cs="宋体"/>
          <w:b/>
          <w:bCs/>
        </w:rPr>
        <w:t>Zhu Y</w:t>
      </w:r>
      <w:r w:rsidRPr="004C2C62">
        <w:rPr>
          <w:rFonts w:ascii="Book Antiqua" w:hAnsi="Book Antiqua" w:cs="宋体"/>
        </w:rPr>
        <w:t xml:space="preserve">, Chen S. Antiviral treatment of hepatitis C virus infection and factors affecting efficacy. </w:t>
      </w:r>
      <w:r w:rsidRPr="004C2C62">
        <w:rPr>
          <w:rFonts w:ascii="Book Antiqua" w:hAnsi="Book Antiqua" w:cs="宋体"/>
          <w:i/>
          <w:iCs/>
        </w:rPr>
        <w:t>World J Gastroenterol</w:t>
      </w:r>
      <w:r w:rsidRPr="004C2C62">
        <w:rPr>
          <w:rFonts w:ascii="Book Antiqua" w:hAnsi="Book Antiqua" w:cs="宋体"/>
        </w:rPr>
        <w:t xml:space="preserve"> 2013; </w:t>
      </w:r>
      <w:r w:rsidRPr="004C2C62">
        <w:rPr>
          <w:rFonts w:ascii="Book Antiqua" w:hAnsi="Book Antiqua" w:cs="宋体"/>
          <w:b/>
          <w:bCs/>
        </w:rPr>
        <w:t>19</w:t>
      </w:r>
      <w:r w:rsidRPr="004C2C62">
        <w:rPr>
          <w:rFonts w:ascii="Book Antiqua" w:hAnsi="Book Antiqua" w:cs="宋体"/>
        </w:rPr>
        <w:t>: 8963-8973 [PMID: 24379621 DOI: 10.3748/wjg.v19.i47.8963]</w:t>
      </w:r>
    </w:p>
    <w:p w14:paraId="386E9949" w14:textId="77777777" w:rsidR="00CD1426" w:rsidRPr="004C2C62" w:rsidRDefault="00CD1426" w:rsidP="00CD1426">
      <w:pPr>
        <w:spacing w:line="360" w:lineRule="auto"/>
        <w:jc w:val="both"/>
        <w:divId w:val="1336884897"/>
        <w:rPr>
          <w:rFonts w:ascii="Book Antiqua" w:hAnsi="Book Antiqua" w:cs="宋体"/>
        </w:rPr>
      </w:pPr>
      <w:r w:rsidRPr="004C2C62">
        <w:rPr>
          <w:rFonts w:ascii="Book Antiqua" w:hAnsi="Book Antiqua" w:cs="宋体"/>
        </w:rPr>
        <w:t xml:space="preserve">49 </w:t>
      </w:r>
      <w:r w:rsidRPr="004C2C62">
        <w:rPr>
          <w:rFonts w:ascii="Book Antiqua" w:hAnsi="Book Antiqua" w:cs="宋体"/>
          <w:b/>
          <w:bCs/>
        </w:rPr>
        <w:t>Shiffman ML</w:t>
      </w:r>
      <w:r w:rsidRPr="004C2C62">
        <w:rPr>
          <w:rFonts w:ascii="Book Antiqua" w:hAnsi="Book Antiqua" w:cs="宋体"/>
        </w:rPr>
        <w:t xml:space="preserve">, Esteban R. Triple therapy for HCV genotype 1 infection: telaprevir or boceprevir? </w:t>
      </w:r>
      <w:r w:rsidRPr="004C2C62">
        <w:rPr>
          <w:rFonts w:ascii="Book Antiqua" w:hAnsi="Book Antiqua" w:cs="宋体"/>
          <w:i/>
          <w:iCs/>
        </w:rPr>
        <w:t>Liver Int</w:t>
      </w:r>
      <w:r w:rsidRPr="004C2C62">
        <w:rPr>
          <w:rFonts w:ascii="Book Antiqua" w:hAnsi="Book Antiqua" w:cs="宋体"/>
        </w:rPr>
        <w:t xml:space="preserve"> 2012; </w:t>
      </w:r>
      <w:r w:rsidRPr="004C2C62">
        <w:rPr>
          <w:rFonts w:ascii="Book Antiqua" w:hAnsi="Book Antiqua" w:cs="宋体"/>
          <w:b/>
          <w:bCs/>
        </w:rPr>
        <w:t xml:space="preserve">32 </w:t>
      </w:r>
      <w:r w:rsidRPr="004C2C62">
        <w:rPr>
          <w:rFonts w:ascii="Book Antiqua" w:hAnsi="Book Antiqua" w:cs="宋体"/>
          <w:bCs/>
        </w:rPr>
        <w:t>Suppl 1</w:t>
      </w:r>
      <w:r w:rsidRPr="004C2C62">
        <w:rPr>
          <w:rFonts w:ascii="Book Antiqua" w:hAnsi="Book Antiqua" w:cs="宋体"/>
        </w:rPr>
        <w:t>: 54-60 [PMID: 22212573 DOI: 10.1111/j.1478-3231.2011.02718.x]</w:t>
      </w:r>
    </w:p>
    <w:p w14:paraId="05FB4822" w14:textId="77777777" w:rsidR="00CD1426" w:rsidRPr="004C2C62" w:rsidRDefault="00CD1426" w:rsidP="00CD1426">
      <w:pPr>
        <w:spacing w:line="360" w:lineRule="auto"/>
        <w:jc w:val="both"/>
        <w:divId w:val="1336884897"/>
        <w:rPr>
          <w:rFonts w:ascii="Book Antiqua" w:hAnsi="Book Antiqua" w:cs="宋体"/>
        </w:rPr>
      </w:pPr>
      <w:r w:rsidRPr="004C2C62">
        <w:rPr>
          <w:rFonts w:ascii="Book Antiqua" w:hAnsi="Book Antiqua" w:cs="宋体"/>
        </w:rPr>
        <w:t xml:space="preserve">50 </w:t>
      </w:r>
      <w:r w:rsidRPr="004C2C62">
        <w:rPr>
          <w:rFonts w:ascii="Book Antiqua" w:hAnsi="Book Antiqua" w:cs="宋体"/>
          <w:b/>
          <w:bCs/>
        </w:rPr>
        <w:t>Hézode C</w:t>
      </w:r>
      <w:r w:rsidRPr="004C2C62">
        <w:rPr>
          <w:rFonts w:ascii="Book Antiqua" w:hAnsi="Book Antiqua" w:cs="宋体"/>
        </w:rPr>
        <w:t xml:space="preserve">, Fontaine H, Dorival C, Zoulim F, Larrey D, Canva V, De Ledinghen V, Poynard T, Samuel D, Bourliere M, Alric L, Raabe JJ, Zarski JP, Marcellin P, Riachi G, Bernard PH, Loustaud-Ratti V, Chazouilleres O, Abergel A, Guyader D, Metivier S, Tran A, Di Martino V, Causse X, Dao T, Lucidarme D, Portal I, Cacoub P, Gournay J, Grando-Lemaire V, Hillon P, Attali P, Fontanges T, Rosa I, Petrov-Sanchez V, Barthe Y, Pawlotsky JM, Pol S, Carrat F, Bronowicki JP. Effectiveness of telaprevir or boceprevir in treatment-experienced patients with HCV genotype 1 infection and cirrhosis. </w:t>
      </w:r>
      <w:r w:rsidRPr="004C2C62">
        <w:rPr>
          <w:rFonts w:ascii="Book Antiqua" w:hAnsi="Book Antiqua" w:cs="宋体"/>
          <w:i/>
          <w:iCs/>
        </w:rPr>
        <w:lastRenderedPageBreak/>
        <w:t>Gastroenterology</w:t>
      </w:r>
      <w:r w:rsidRPr="004C2C62">
        <w:rPr>
          <w:rFonts w:ascii="Book Antiqua" w:hAnsi="Book Antiqua" w:cs="宋体"/>
        </w:rPr>
        <w:t xml:space="preserve"> 2014; </w:t>
      </w:r>
      <w:r w:rsidRPr="004C2C62">
        <w:rPr>
          <w:rFonts w:ascii="Book Antiqua" w:hAnsi="Book Antiqua" w:cs="宋体"/>
          <w:b/>
          <w:bCs/>
        </w:rPr>
        <w:t>147</w:t>
      </w:r>
      <w:r w:rsidRPr="004C2C62">
        <w:rPr>
          <w:rFonts w:ascii="Book Antiqua" w:hAnsi="Book Antiqua" w:cs="宋体"/>
        </w:rPr>
        <w:t>: 132-142.e4 [PMID: 24704719 DOI: 10.1053/j.gastro.2014.03.051]</w:t>
      </w:r>
    </w:p>
    <w:p w14:paraId="140B0630" w14:textId="77777777" w:rsidR="00CD1426" w:rsidRPr="004C2C62" w:rsidRDefault="00CD1426" w:rsidP="00CD1426">
      <w:pPr>
        <w:spacing w:line="360" w:lineRule="auto"/>
        <w:jc w:val="both"/>
        <w:divId w:val="1336884897"/>
        <w:rPr>
          <w:rFonts w:ascii="Book Antiqua" w:hAnsi="Book Antiqua" w:cs="宋体"/>
        </w:rPr>
      </w:pPr>
      <w:r w:rsidRPr="004C2C62">
        <w:rPr>
          <w:rFonts w:ascii="Book Antiqua" w:hAnsi="Book Antiqua" w:cs="宋体"/>
        </w:rPr>
        <w:t xml:space="preserve">51 </w:t>
      </w:r>
      <w:r w:rsidRPr="004C2C62">
        <w:rPr>
          <w:rFonts w:ascii="Book Antiqua" w:hAnsi="Book Antiqua" w:cs="宋体"/>
          <w:b/>
          <w:bCs/>
        </w:rPr>
        <w:t>Neumann AU</w:t>
      </w:r>
      <w:r w:rsidRPr="004C2C62">
        <w:rPr>
          <w:rFonts w:ascii="Book Antiqua" w:hAnsi="Book Antiqua" w:cs="宋体"/>
        </w:rPr>
        <w:t xml:space="preserve">, Lam NP, Dahari H, Gretch DR, Wiley TE, Layden TJ, Perelson AS. Hepatitis C viral dynamics in vivo and the antiviral efficacy of interferon-alpha therapy. </w:t>
      </w:r>
      <w:r w:rsidRPr="004C2C62">
        <w:rPr>
          <w:rFonts w:ascii="Book Antiqua" w:hAnsi="Book Antiqua" w:cs="宋体"/>
          <w:i/>
          <w:iCs/>
        </w:rPr>
        <w:t>Science</w:t>
      </w:r>
      <w:r w:rsidRPr="004C2C62">
        <w:rPr>
          <w:rFonts w:ascii="Book Antiqua" w:hAnsi="Book Antiqua" w:cs="宋体"/>
        </w:rPr>
        <w:t xml:space="preserve"> 1998; </w:t>
      </w:r>
      <w:r w:rsidRPr="004C2C62">
        <w:rPr>
          <w:rFonts w:ascii="Book Antiqua" w:hAnsi="Book Antiqua" w:cs="宋体"/>
          <w:b/>
          <w:bCs/>
        </w:rPr>
        <w:t>282</w:t>
      </w:r>
      <w:r w:rsidRPr="004C2C62">
        <w:rPr>
          <w:rFonts w:ascii="Book Antiqua" w:hAnsi="Book Antiqua" w:cs="宋体"/>
        </w:rPr>
        <w:t>: 103-107 [PMID: 9756471]</w:t>
      </w:r>
    </w:p>
    <w:p w14:paraId="05F91E02" w14:textId="26AF12E2" w:rsidR="00CD1426" w:rsidRPr="004C2C62" w:rsidRDefault="00CD1426" w:rsidP="00CD1426">
      <w:pPr>
        <w:spacing w:line="360" w:lineRule="auto"/>
        <w:jc w:val="both"/>
        <w:divId w:val="1336884897"/>
        <w:rPr>
          <w:rFonts w:ascii="Book Antiqua" w:hAnsi="Book Antiqua" w:cs="宋体"/>
          <w:color w:val="000000" w:themeColor="text1"/>
        </w:rPr>
      </w:pPr>
      <w:r w:rsidRPr="00CD1426">
        <w:rPr>
          <w:rFonts w:ascii="Book Antiqua" w:hAnsi="Book Antiqua" w:cs="宋体"/>
          <w:color w:val="000000" w:themeColor="text1"/>
        </w:rPr>
        <w:t xml:space="preserve">52 </w:t>
      </w:r>
      <w:r w:rsidRPr="004C2C62">
        <w:rPr>
          <w:rFonts w:ascii="Book Antiqua" w:hAnsi="Book Antiqua" w:cs="宋体"/>
          <w:color w:val="000000" w:themeColor="text1"/>
        </w:rPr>
        <w:t>Boce</w:t>
      </w:r>
      <w:r w:rsidR="00D51071">
        <w:rPr>
          <w:rFonts w:ascii="Book Antiqua" w:hAnsi="Book Antiqua" w:cs="宋体"/>
          <w:color w:val="000000" w:themeColor="text1"/>
        </w:rPr>
        <w:t xml:space="preserve">previr. AIDSinfo Drug </w:t>
      </w:r>
      <w:proofErr w:type="spellStart"/>
      <w:r w:rsidR="00D51071">
        <w:rPr>
          <w:rFonts w:ascii="Book Antiqua" w:hAnsi="Book Antiqua" w:cs="宋体"/>
          <w:color w:val="000000" w:themeColor="text1"/>
        </w:rPr>
        <w:t>Database</w:t>
      </w:r>
      <w:proofErr w:type="spellEnd"/>
      <w:r w:rsidR="00D51071">
        <w:rPr>
          <w:rFonts w:ascii="Book Antiqua" w:hAnsi="Book Antiqua" w:cs="宋体"/>
          <w:color w:val="000000" w:themeColor="text1"/>
        </w:rPr>
        <w:t>.</w:t>
      </w:r>
      <w:r w:rsidR="00D51071" w:rsidRPr="00CD1426">
        <w:rPr>
          <w:rFonts w:ascii="Book Antiqua" w:hAnsi="Book Antiqua" w:cs="宋体"/>
          <w:color w:val="000000" w:themeColor="text1"/>
        </w:rPr>
        <w:t xml:space="preserve"> </w:t>
      </w:r>
      <w:r w:rsidR="00D51071">
        <w:rPr>
          <w:rFonts w:ascii="Book Antiqua" w:hAnsi="Book Antiqua" w:cs="宋体"/>
          <w:color w:val="000000" w:themeColor="text1"/>
        </w:rPr>
        <w:t>[</w:t>
      </w:r>
      <w:proofErr w:type="spellStart"/>
      <w:r w:rsidR="00D51071">
        <w:rPr>
          <w:rFonts w:ascii="Book Antiqua" w:hAnsi="Book Antiqua" w:cs="宋体"/>
          <w:color w:val="000000" w:themeColor="text1"/>
        </w:rPr>
        <w:t>accessed</w:t>
      </w:r>
      <w:proofErr w:type="spellEnd"/>
      <w:r w:rsidR="00D51071" w:rsidRPr="00CD1426">
        <w:rPr>
          <w:rFonts w:ascii="Book Antiqua" w:hAnsi="Book Antiqua" w:cs="宋体"/>
          <w:color w:val="000000" w:themeColor="text1"/>
        </w:rPr>
        <w:t xml:space="preserve"> 2015</w:t>
      </w:r>
      <w:r w:rsidR="00D51071" w:rsidRPr="00D51071">
        <w:rPr>
          <w:rFonts w:ascii="Book Antiqua" w:hAnsi="Book Antiqua" w:cs="宋体"/>
          <w:color w:val="000000" w:themeColor="text1"/>
        </w:rPr>
        <w:t xml:space="preserve"> </w:t>
      </w:r>
      <w:r w:rsidR="00D51071">
        <w:rPr>
          <w:rFonts w:ascii="Book Antiqua" w:hAnsi="Book Antiqua" w:cs="宋体"/>
          <w:color w:val="000000" w:themeColor="text1"/>
        </w:rPr>
        <w:t>Jan</w:t>
      </w:r>
      <w:r w:rsidR="00D51071" w:rsidRPr="00CD1426">
        <w:rPr>
          <w:rFonts w:ascii="Book Antiqua" w:hAnsi="Book Antiqua" w:cs="宋体"/>
          <w:color w:val="000000" w:themeColor="text1"/>
        </w:rPr>
        <w:t xml:space="preserve"> 31</w:t>
      </w:r>
      <w:r w:rsidR="00D51071">
        <w:rPr>
          <w:rFonts w:ascii="Book Antiqua" w:hAnsi="Book Antiqua" w:cs="宋体"/>
          <w:color w:val="000000" w:themeColor="text1"/>
        </w:rPr>
        <w:t>]</w:t>
      </w:r>
      <w:r w:rsidR="00D51071" w:rsidRPr="004C2C62">
        <w:rPr>
          <w:rFonts w:ascii="Book Antiqua" w:hAnsi="Book Antiqua" w:cs="宋体"/>
          <w:color w:val="000000" w:themeColor="text1"/>
        </w:rPr>
        <w:t>.</w:t>
      </w:r>
      <w:r w:rsidR="00D51071" w:rsidRPr="00CD1426">
        <w:rPr>
          <w:rFonts w:ascii="Book Antiqua" w:hAnsi="Book Antiqua" w:cs="宋体"/>
          <w:color w:val="000000" w:themeColor="text1"/>
        </w:rPr>
        <w:t xml:space="preserve"> </w:t>
      </w:r>
      <w:r w:rsidRPr="00CD1426">
        <w:rPr>
          <w:rFonts w:ascii="Book Antiqua" w:hAnsi="Book Antiqua" w:cs="宋体"/>
          <w:color w:val="000000" w:themeColor="text1"/>
        </w:rPr>
        <w:t xml:space="preserve"> Available from: URL: http://aidsinfo.nih.gov/drugs/488/boceprevir/0/patient</w:t>
      </w:r>
    </w:p>
    <w:p w14:paraId="4100D98A" w14:textId="77777777" w:rsidR="00CD1426" w:rsidRPr="004C2C62" w:rsidRDefault="00CD1426" w:rsidP="00CD1426">
      <w:pPr>
        <w:spacing w:line="360" w:lineRule="auto"/>
        <w:jc w:val="both"/>
        <w:divId w:val="1336884897"/>
        <w:rPr>
          <w:rFonts w:ascii="Book Antiqua" w:hAnsi="Book Antiqua" w:cs="宋体"/>
        </w:rPr>
      </w:pPr>
      <w:r w:rsidRPr="004C2C62">
        <w:rPr>
          <w:rFonts w:ascii="Book Antiqua" w:hAnsi="Book Antiqua" w:cs="宋体"/>
        </w:rPr>
        <w:t xml:space="preserve">53 </w:t>
      </w:r>
      <w:r w:rsidRPr="004C2C62">
        <w:rPr>
          <w:rFonts w:ascii="Book Antiqua" w:hAnsi="Book Antiqua" w:cs="宋体"/>
          <w:b/>
          <w:bCs/>
        </w:rPr>
        <w:t>Wyles DL</w:t>
      </w:r>
      <w:r w:rsidRPr="004C2C62">
        <w:rPr>
          <w:rFonts w:ascii="Book Antiqua" w:hAnsi="Book Antiqua" w:cs="宋体"/>
        </w:rPr>
        <w:t xml:space="preserve">, Gutierrez JA. Importance of HCV genotype 1 subtypes for drug resistance and response to therapy. </w:t>
      </w:r>
      <w:r w:rsidRPr="004C2C62">
        <w:rPr>
          <w:rFonts w:ascii="Book Antiqua" w:hAnsi="Book Antiqua" w:cs="宋体"/>
          <w:i/>
          <w:iCs/>
        </w:rPr>
        <w:t>J Viral Hepat</w:t>
      </w:r>
      <w:r w:rsidRPr="004C2C62">
        <w:rPr>
          <w:rFonts w:ascii="Book Antiqua" w:hAnsi="Book Antiqua" w:cs="宋体"/>
        </w:rPr>
        <w:t xml:space="preserve"> 2014; </w:t>
      </w:r>
      <w:r w:rsidRPr="004C2C62">
        <w:rPr>
          <w:rFonts w:ascii="Book Antiqua" w:hAnsi="Book Antiqua" w:cs="宋体"/>
          <w:b/>
          <w:bCs/>
        </w:rPr>
        <w:t>21</w:t>
      </w:r>
      <w:r w:rsidRPr="004C2C62">
        <w:rPr>
          <w:rFonts w:ascii="Book Antiqua" w:hAnsi="Book Antiqua" w:cs="宋体"/>
        </w:rPr>
        <w:t>: 229-240 [PMID: 24597691 DOI: 10.1111/jvh.12230]</w:t>
      </w:r>
    </w:p>
    <w:p w14:paraId="58A6606B" w14:textId="77777777" w:rsidR="00CD1426" w:rsidRPr="004C2C62" w:rsidRDefault="00CD1426" w:rsidP="00CD1426">
      <w:pPr>
        <w:spacing w:line="360" w:lineRule="auto"/>
        <w:jc w:val="both"/>
        <w:divId w:val="1336884897"/>
        <w:rPr>
          <w:rFonts w:ascii="Book Antiqua" w:hAnsi="Book Antiqua" w:cs="宋体"/>
        </w:rPr>
      </w:pPr>
      <w:r w:rsidRPr="004C2C62">
        <w:rPr>
          <w:rFonts w:ascii="Book Antiqua" w:hAnsi="Book Antiqua" w:cs="宋体"/>
        </w:rPr>
        <w:t xml:space="preserve">54 </w:t>
      </w:r>
      <w:r w:rsidRPr="004C2C62">
        <w:rPr>
          <w:rFonts w:ascii="Book Antiqua" w:hAnsi="Book Antiqua" w:cs="宋体"/>
          <w:b/>
          <w:bCs/>
        </w:rPr>
        <w:t>Sullivan JC</w:t>
      </w:r>
      <w:r w:rsidRPr="004C2C62">
        <w:rPr>
          <w:rFonts w:ascii="Book Antiqua" w:hAnsi="Book Antiqua" w:cs="宋体"/>
        </w:rPr>
        <w:t xml:space="preserve">, De Meyer S, Bartels DJ, Dierynck I, Zhang EZ, Spanks J, Tigges AM, Ghys A, Dorrian J, Adda N, Martin EC, Beumont M, Jacobson IM, Sherman KE, Zeuzem S, Picchio G, Kieffer TL. Evolution of treatment-emergent resistant variants in telaprevir phase 3 clinical trials. </w:t>
      </w:r>
      <w:r w:rsidRPr="004C2C62">
        <w:rPr>
          <w:rFonts w:ascii="Book Antiqua" w:hAnsi="Book Antiqua" w:cs="宋体"/>
          <w:i/>
          <w:iCs/>
        </w:rPr>
        <w:t>Clin Infect Dis</w:t>
      </w:r>
      <w:r w:rsidRPr="004C2C62">
        <w:rPr>
          <w:rFonts w:ascii="Book Antiqua" w:hAnsi="Book Antiqua" w:cs="宋体"/>
        </w:rPr>
        <w:t xml:space="preserve"> 2013; </w:t>
      </w:r>
      <w:r w:rsidRPr="004C2C62">
        <w:rPr>
          <w:rFonts w:ascii="Book Antiqua" w:hAnsi="Book Antiqua" w:cs="宋体"/>
          <w:b/>
          <w:bCs/>
        </w:rPr>
        <w:t>57</w:t>
      </w:r>
      <w:r w:rsidRPr="004C2C62">
        <w:rPr>
          <w:rFonts w:ascii="Book Antiqua" w:hAnsi="Book Antiqua" w:cs="宋体"/>
        </w:rPr>
        <w:t>: 221-229 [PMID: 23575197 DOI: 10.1093/cid/cit226]</w:t>
      </w:r>
    </w:p>
    <w:p w14:paraId="01CDC82F" w14:textId="77777777" w:rsidR="00CD1426" w:rsidRPr="004C2C62" w:rsidRDefault="00CD1426" w:rsidP="00CD1426">
      <w:pPr>
        <w:spacing w:line="360" w:lineRule="auto"/>
        <w:jc w:val="both"/>
        <w:divId w:val="1336884897"/>
        <w:rPr>
          <w:rFonts w:ascii="Book Antiqua" w:hAnsi="Book Antiqua" w:cs="宋体"/>
        </w:rPr>
      </w:pPr>
      <w:r w:rsidRPr="004C2C62">
        <w:rPr>
          <w:rFonts w:ascii="Book Antiqua" w:hAnsi="Book Antiqua" w:cs="宋体"/>
        </w:rPr>
        <w:t xml:space="preserve">55 </w:t>
      </w:r>
      <w:r w:rsidRPr="004C2C62">
        <w:rPr>
          <w:rFonts w:ascii="Book Antiqua" w:hAnsi="Book Antiqua" w:cs="宋体"/>
          <w:b/>
          <w:bCs/>
        </w:rPr>
        <w:t>Dierynck I</w:t>
      </w:r>
      <w:r w:rsidRPr="004C2C62">
        <w:rPr>
          <w:rFonts w:ascii="Book Antiqua" w:hAnsi="Book Antiqua" w:cs="宋体"/>
        </w:rPr>
        <w:t xml:space="preserve">, Thys K, Ghys A, Sullivan JC, Kieffer TL, Aerssens J, Picchio G, De Meyer S. Deep-sequencing analysis of the gene encoding the hepatitis C virus nonstructural 3-4A protease confirms a low prevalence of telaprevir-resistant variants at baseline and the end of the REALIZE study. </w:t>
      </w:r>
      <w:r w:rsidRPr="004C2C62">
        <w:rPr>
          <w:rFonts w:ascii="Book Antiqua" w:hAnsi="Book Antiqua" w:cs="宋体"/>
          <w:i/>
          <w:iCs/>
        </w:rPr>
        <w:t>J Infect Dis</w:t>
      </w:r>
      <w:r w:rsidRPr="004C2C62">
        <w:rPr>
          <w:rFonts w:ascii="Book Antiqua" w:hAnsi="Book Antiqua" w:cs="宋体"/>
        </w:rPr>
        <w:t xml:space="preserve"> 2014; </w:t>
      </w:r>
      <w:r w:rsidRPr="004C2C62">
        <w:rPr>
          <w:rFonts w:ascii="Book Antiqua" w:hAnsi="Book Antiqua" w:cs="宋体"/>
          <w:b/>
          <w:bCs/>
        </w:rPr>
        <w:t>210</w:t>
      </w:r>
      <w:r w:rsidRPr="004C2C62">
        <w:rPr>
          <w:rFonts w:ascii="Book Antiqua" w:hAnsi="Book Antiqua" w:cs="宋体"/>
        </w:rPr>
        <w:t>: 1871-1880 [PMID: 24943725 DOI: 10.1093/infdis/jiu340]</w:t>
      </w:r>
    </w:p>
    <w:p w14:paraId="4E856859" w14:textId="77777777" w:rsidR="00CD1426" w:rsidRPr="004C2C62" w:rsidRDefault="00CD1426" w:rsidP="00CD1426">
      <w:pPr>
        <w:spacing w:line="360" w:lineRule="auto"/>
        <w:jc w:val="both"/>
        <w:divId w:val="1336884897"/>
        <w:rPr>
          <w:rFonts w:ascii="Book Antiqua" w:hAnsi="Book Antiqua" w:cs="宋体"/>
        </w:rPr>
      </w:pPr>
      <w:r w:rsidRPr="004C2C62">
        <w:rPr>
          <w:rFonts w:ascii="Book Antiqua" w:hAnsi="Book Antiqua" w:cs="宋体"/>
        </w:rPr>
        <w:t xml:space="preserve">56 </w:t>
      </w:r>
      <w:r w:rsidRPr="004C2C62">
        <w:rPr>
          <w:rFonts w:ascii="Book Antiqua" w:hAnsi="Book Antiqua" w:cs="宋体"/>
          <w:b/>
          <w:bCs/>
        </w:rPr>
        <w:t>Vermehren J</w:t>
      </w:r>
      <w:r w:rsidRPr="004C2C62">
        <w:rPr>
          <w:rFonts w:ascii="Book Antiqua" w:hAnsi="Book Antiqua" w:cs="宋体"/>
        </w:rPr>
        <w:t xml:space="preserve">, Sarrazin C. New HCV therapies on the horizon. </w:t>
      </w:r>
      <w:r w:rsidRPr="004C2C62">
        <w:rPr>
          <w:rFonts w:ascii="Book Antiqua" w:hAnsi="Book Antiqua" w:cs="宋体"/>
          <w:i/>
          <w:iCs/>
        </w:rPr>
        <w:t>Clin Microbiol Infect</w:t>
      </w:r>
      <w:r w:rsidRPr="004C2C62">
        <w:rPr>
          <w:rFonts w:ascii="Book Antiqua" w:hAnsi="Book Antiqua" w:cs="宋体"/>
        </w:rPr>
        <w:t xml:space="preserve"> 2011; </w:t>
      </w:r>
      <w:r w:rsidRPr="004C2C62">
        <w:rPr>
          <w:rFonts w:ascii="Book Antiqua" w:hAnsi="Book Antiqua" w:cs="宋体"/>
          <w:b/>
          <w:bCs/>
        </w:rPr>
        <w:t>17</w:t>
      </w:r>
      <w:r w:rsidRPr="004C2C62">
        <w:rPr>
          <w:rFonts w:ascii="Book Antiqua" w:hAnsi="Book Antiqua" w:cs="宋体"/>
        </w:rPr>
        <w:t>: 122-134 [PMID: 21087349 DOI: 10.1111/j.1469-0691.2010.03430.x]</w:t>
      </w:r>
    </w:p>
    <w:p w14:paraId="6F00FDCA" w14:textId="77777777" w:rsidR="00CD1426" w:rsidRPr="004C2C62" w:rsidRDefault="00CD1426" w:rsidP="00CD1426">
      <w:pPr>
        <w:spacing w:line="360" w:lineRule="auto"/>
        <w:jc w:val="both"/>
        <w:divId w:val="1336884897"/>
        <w:rPr>
          <w:rFonts w:ascii="Book Antiqua" w:hAnsi="Book Antiqua" w:cs="宋体"/>
        </w:rPr>
      </w:pPr>
      <w:r w:rsidRPr="004C2C62">
        <w:rPr>
          <w:rFonts w:ascii="Book Antiqua" w:hAnsi="Book Antiqua" w:cs="宋体"/>
        </w:rPr>
        <w:t xml:space="preserve">57 </w:t>
      </w:r>
      <w:r w:rsidRPr="004C2C62">
        <w:rPr>
          <w:rFonts w:ascii="Book Antiqua" w:hAnsi="Book Antiqua" w:cs="宋体"/>
          <w:b/>
          <w:bCs/>
        </w:rPr>
        <w:t>Lawitz E</w:t>
      </w:r>
      <w:r w:rsidRPr="004C2C62">
        <w:rPr>
          <w:rFonts w:ascii="Book Antiqua" w:hAnsi="Book Antiqua" w:cs="宋体"/>
        </w:rPr>
        <w:t xml:space="preserve">, Sulkowski MS, Ghalib R, Rodriguez-Torres M, Younossi ZM, Corregidor A, DeJesus E, Pearlman B, Rabinovitz M, Gitlin N, Lim JK, Pockros PJ, Scott JD, Fevery B, Lambrecht T, Ouwerkerk-Mahadevan S, Callewaert K, Symonds WT, Picchio G, Lindsay KL, Beumont M, Jacobson IM. Simeprevir plus sofosbuvir, with or without ribavirin, to treat chronic infection with hepatitis C virus genotype 1 in non-responders to pegylated interferon and ribavirin and treatment-naive patients: the COSMOS randomised study. </w:t>
      </w:r>
      <w:r w:rsidRPr="004C2C62">
        <w:rPr>
          <w:rFonts w:ascii="Book Antiqua" w:hAnsi="Book Antiqua" w:cs="宋体"/>
          <w:i/>
          <w:iCs/>
        </w:rPr>
        <w:t>Lancet</w:t>
      </w:r>
      <w:r w:rsidRPr="004C2C62">
        <w:rPr>
          <w:rFonts w:ascii="Book Antiqua" w:hAnsi="Book Antiqua" w:cs="宋体"/>
        </w:rPr>
        <w:t xml:space="preserve"> 2014; </w:t>
      </w:r>
      <w:r w:rsidRPr="004C2C62">
        <w:rPr>
          <w:rFonts w:ascii="Book Antiqua" w:hAnsi="Book Antiqua" w:cs="宋体"/>
          <w:b/>
          <w:bCs/>
        </w:rPr>
        <w:t>384</w:t>
      </w:r>
      <w:r w:rsidRPr="004C2C62">
        <w:rPr>
          <w:rFonts w:ascii="Book Antiqua" w:hAnsi="Book Antiqua" w:cs="宋体"/>
        </w:rPr>
        <w:t>: 1756-1765 [PMID: 25078309 DOI: 10.1016/S0140-6736(14)61036-9]</w:t>
      </w:r>
    </w:p>
    <w:p w14:paraId="14152EF6" w14:textId="1CE4F6C7" w:rsidR="00CD1426" w:rsidRPr="00CD1426" w:rsidRDefault="00CD1426" w:rsidP="00CD1426">
      <w:pPr>
        <w:spacing w:line="360" w:lineRule="auto"/>
        <w:jc w:val="both"/>
        <w:divId w:val="1336884897"/>
        <w:rPr>
          <w:rFonts w:ascii="Book Antiqua" w:hAnsi="Book Antiqua" w:cs="宋体"/>
          <w:color w:val="000000" w:themeColor="text1"/>
        </w:rPr>
      </w:pPr>
      <w:r w:rsidRPr="00CD1426">
        <w:rPr>
          <w:rFonts w:ascii="Book Antiqua" w:hAnsi="Book Antiqua" w:cs="宋体"/>
          <w:color w:val="000000" w:themeColor="text1"/>
        </w:rPr>
        <w:lastRenderedPageBreak/>
        <w:t xml:space="preserve">58 </w:t>
      </w:r>
      <w:r w:rsidRPr="00CD1426">
        <w:rPr>
          <w:rFonts w:ascii="Book Antiqua" w:hAnsi="Book Antiqua" w:cs="宋体"/>
          <w:b/>
          <w:color w:val="000000" w:themeColor="text1"/>
        </w:rPr>
        <w:t xml:space="preserve">Infectious Diseases Society of America. </w:t>
      </w:r>
      <w:r w:rsidRPr="004C2C62">
        <w:rPr>
          <w:rFonts w:ascii="Book Antiqua" w:hAnsi="Book Antiqua" w:cs="宋体"/>
          <w:color w:val="000000" w:themeColor="text1"/>
        </w:rPr>
        <w:t xml:space="preserve">Recommendations for testing, managing, and treating hepatitis C. </w:t>
      </w:r>
      <w:r w:rsidR="00D51071">
        <w:rPr>
          <w:rFonts w:ascii="Book Antiqua" w:hAnsi="Book Antiqua" w:cs="宋体"/>
          <w:color w:val="000000" w:themeColor="text1"/>
        </w:rPr>
        <w:t>[</w:t>
      </w:r>
      <w:bookmarkStart w:id="4" w:name="_GoBack"/>
      <w:proofErr w:type="spellStart"/>
      <w:r w:rsidR="00D51071">
        <w:rPr>
          <w:rFonts w:ascii="Book Antiqua" w:hAnsi="Book Antiqua" w:cs="宋体"/>
          <w:color w:val="000000" w:themeColor="text1"/>
        </w:rPr>
        <w:t>a</w:t>
      </w:r>
      <w:r w:rsidRPr="004C2C62">
        <w:rPr>
          <w:rFonts w:ascii="Book Antiqua" w:hAnsi="Book Antiqua" w:cs="宋体"/>
          <w:color w:val="000000" w:themeColor="text1"/>
        </w:rPr>
        <w:t>ccessed</w:t>
      </w:r>
      <w:proofErr w:type="spellEnd"/>
      <w:r w:rsidRPr="004C2C62">
        <w:rPr>
          <w:rFonts w:ascii="Book Antiqua" w:hAnsi="Book Antiqua" w:cs="宋体"/>
          <w:color w:val="000000" w:themeColor="text1"/>
        </w:rPr>
        <w:t xml:space="preserve"> </w:t>
      </w:r>
      <w:bookmarkEnd w:id="4"/>
      <w:r w:rsidRPr="004C2C62">
        <w:rPr>
          <w:rFonts w:ascii="Book Antiqua" w:hAnsi="Book Antiqua" w:cs="宋体"/>
          <w:color w:val="000000" w:themeColor="text1"/>
        </w:rPr>
        <w:t>2015</w:t>
      </w:r>
      <w:r w:rsidR="00D51071" w:rsidRPr="00D51071">
        <w:rPr>
          <w:rFonts w:ascii="Book Antiqua" w:hAnsi="Book Antiqua" w:cs="宋体"/>
          <w:color w:val="000000" w:themeColor="text1"/>
        </w:rPr>
        <w:t xml:space="preserve"> </w:t>
      </w:r>
      <w:r w:rsidR="00D51071">
        <w:rPr>
          <w:rFonts w:ascii="Book Antiqua" w:hAnsi="Book Antiqua" w:cs="宋体"/>
          <w:color w:val="000000" w:themeColor="text1"/>
        </w:rPr>
        <w:t>Jan</w:t>
      </w:r>
      <w:r w:rsidR="00D51071" w:rsidRPr="004C2C62">
        <w:rPr>
          <w:rFonts w:ascii="Book Antiqua" w:hAnsi="Book Antiqua" w:cs="宋体"/>
          <w:color w:val="000000" w:themeColor="text1"/>
        </w:rPr>
        <w:t xml:space="preserve"> 31</w:t>
      </w:r>
      <w:r w:rsidR="00D51071">
        <w:rPr>
          <w:rFonts w:ascii="Book Antiqua" w:hAnsi="Book Antiqua" w:cs="宋体"/>
          <w:color w:val="000000" w:themeColor="text1"/>
        </w:rPr>
        <w:t>]</w:t>
      </w:r>
      <w:r w:rsidRPr="004C2C62">
        <w:rPr>
          <w:rFonts w:ascii="Book Antiqua" w:hAnsi="Book Antiqua" w:cs="宋体"/>
          <w:color w:val="000000" w:themeColor="text1"/>
        </w:rPr>
        <w:t>.</w:t>
      </w:r>
      <w:r w:rsidRPr="00CD1426">
        <w:rPr>
          <w:rFonts w:ascii="Book Antiqua" w:hAnsi="Book Antiqua" w:cs="宋体"/>
          <w:color w:val="000000" w:themeColor="text1"/>
        </w:rPr>
        <w:t xml:space="preserve"> Available from: URL: http://www.hcvguidelines.org/</w:t>
      </w:r>
    </w:p>
    <w:p w14:paraId="0BB76185" w14:textId="4BF62D7D" w:rsidR="00CD1426" w:rsidRPr="00CD1426" w:rsidRDefault="00CD1426" w:rsidP="00CD1426">
      <w:pPr>
        <w:spacing w:line="360" w:lineRule="auto"/>
        <w:jc w:val="both"/>
        <w:divId w:val="1336884897"/>
        <w:rPr>
          <w:rFonts w:ascii="Book Antiqua" w:hAnsi="Book Antiqua" w:cs="宋体"/>
          <w:color w:val="000000" w:themeColor="text1"/>
        </w:rPr>
      </w:pPr>
      <w:r w:rsidRPr="00CD1426">
        <w:rPr>
          <w:rFonts w:ascii="Book Antiqua" w:hAnsi="Book Antiqua" w:cs="宋体"/>
          <w:color w:val="000000" w:themeColor="text1"/>
        </w:rPr>
        <w:t xml:space="preserve">59 </w:t>
      </w:r>
      <w:r w:rsidRPr="00CD1426">
        <w:rPr>
          <w:rFonts w:ascii="Book Antiqua" w:hAnsi="Book Antiqua" w:cs="宋体"/>
          <w:b/>
          <w:color w:val="000000" w:themeColor="text1"/>
        </w:rPr>
        <w:t xml:space="preserve">European Association for the Study of the Liver. </w:t>
      </w:r>
      <w:r w:rsidRPr="004C2C62">
        <w:rPr>
          <w:rFonts w:ascii="Book Antiqua" w:hAnsi="Book Antiqua" w:cs="宋体"/>
          <w:color w:val="000000" w:themeColor="text1"/>
        </w:rPr>
        <w:t>EASL Recommendations o</w:t>
      </w:r>
      <w:r w:rsidRPr="00CD1426">
        <w:rPr>
          <w:rFonts w:ascii="Book Antiqua" w:hAnsi="Book Antiqua" w:cs="宋体"/>
          <w:color w:val="000000" w:themeColor="text1"/>
        </w:rPr>
        <w:t>n Treatment of Hepatitis C 2014</w:t>
      </w:r>
      <w:r w:rsidRPr="004C2C62">
        <w:rPr>
          <w:rFonts w:ascii="Book Antiqua" w:hAnsi="Book Antiqua" w:cs="宋体"/>
          <w:color w:val="000000" w:themeColor="text1"/>
        </w:rPr>
        <w:t>.</w:t>
      </w:r>
      <w:r w:rsidRPr="00CD1426">
        <w:rPr>
          <w:rFonts w:ascii="Book Antiqua" w:hAnsi="Book Antiqua" w:cs="宋体"/>
          <w:color w:val="000000" w:themeColor="text1"/>
        </w:rPr>
        <w:t xml:space="preserve"> </w:t>
      </w:r>
      <w:r w:rsidR="00D51071">
        <w:rPr>
          <w:rFonts w:ascii="Book Antiqua" w:hAnsi="Book Antiqua" w:cs="宋体"/>
          <w:color w:val="000000" w:themeColor="text1"/>
        </w:rPr>
        <w:t>[</w:t>
      </w:r>
      <w:proofErr w:type="spellStart"/>
      <w:r w:rsidR="00D51071">
        <w:rPr>
          <w:rFonts w:ascii="Book Antiqua" w:hAnsi="Book Antiqua" w:cs="宋体"/>
          <w:color w:val="000000" w:themeColor="text1"/>
        </w:rPr>
        <w:t>accessed</w:t>
      </w:r>
      <w:proofErr w:type="spellEnd"/>
      <w:r w:rsidRPr="00CD1426">
        <w:rPr>
          <w:rFonts w:ascii="Book Antiqua" w:hAnsi="Book Antiqua" w:cs="宋体"/>
          <w:color w:val="000000" w:themeColor="text1"/>
        </w:rPr>
        <w:t xml:space="preserve"> 2015</w:t>
      </w:r>
      <w:r w:rsidR="00D51071" w:rsidRPr="00D51071">
        <w:rPr>
          <w:rFonts w:ascii="Book Antiqua" w:hAnsi="Book Antiqua" w:cs="宋体"/>
          <w:color w:val="000000" w:themeColor="text1"/>
        </w:rPr>
        <w:t xml:space="preserve"> </w:t>
      </w:r>
      <w:r w:rsidR="00D51071">
        <w:rPr>
          <w:rFonts w:ascii="Book Antiqua" w:hAnsi="Book Antiqua" w:cs="宋体"/>
          <w:color w:val="000000" w:themeColor="text1"/>
        </w:rPr>
        <w:t>Jan</w:t>
      </w:r>
      <w:r w:rsidR="00D51071" w:rsidRPr="00CD1426">
        <w:rPr>
          <w:rFonts w:ascii="Book Antiqua" w:hAnsi="Book Antiqua" w:cs="宋体"/>
          <w:color w:val="000000" w:themeColor="text1"/>
        </w:rPr>
        <w:t xml:space="preserve"> 31</w:t>
      </w:r>
      <w:r w:rsidR="00D51071">
        <w:rPr>
          <w:rFonts w:ascii="Book Antiqua" w:hAnsi="Book Antiqua" w:cs="宋体"/>
          <w:color w:val="000000" w:themeColor="text1"/>
        </w:rPr>
        <w:t>]</w:t>
      </w:r>
      <w:r w:rsidRPr="004C2C62">
        <w:rPr>
          <w:rFonts w:ascii="Book Antiqua" w:hAnsi="Book Antiqua" w:cs="宋体"/>
          <w:color w:val="000000" w:themeColor="text1"/>
        </w:rPr>
        <w:t>.</w:t>
      </w:r>
      <w:r w:rsidRPr="00CD1426">
        <w:rPr>
          <w:rFonts w:ascii="Book Antiqua" w:hAnsi="Book Antiqua" w:cs="宋体"/>
          <w:color w:val="000000" w:themeColor="text1"/>
        </w:rPr>
        <w:t xml:space="preserve"> Available from: URL: </w:t>
      </w:r>
      <w:hyperlink r:id="rId9" w:history="1">
        <w:r w:rsidRPr="00CD1426">
          <w:rPr>
            <w:rStyle w:val="Hyperlink"/>
            <w:rFonts w:ascii="Book Antiqua" w:hAnsi="Book Antiqua" w:cs="宋体"/>
            <w:color w:val="000000" w:themeColor="text1"/>
          </w:rPr>
          <w:t>http://www.easl.eu/_newsroom/latest-news/easl-recommendations-on-treatment-of-hepatitis-c-2014</w:t>
        </w:r>
      </w:hyperlink>
    </w:p>
    <w:p w14:paraId="1524F01B" w14:textId="77777777" w:rsidR="00CD1426" w:rsidRPr="004C2C62" w:rsidRDefault="00CD1426" w:rsidP="00CD1426">
      <w:pPr>
        <w:spacing w:line="360" w:lineRule="auto"/>
        <w:jc w:val="both"/>
        <w:divId w:val="1336884897"/>
        <w:rPr>
          <w:rFonts w:ascii="Book Antiqua" w:hAnsi="Book Antiqua" w:cs="宋体"/>
          <w:color w:val="FF0000"/>
        </w:rPr>
      </w:pPr>
      <w:r w:rsidRPr="004C2C62">
        <w:rPr>
          <w:rFonts w:ascii="Book Antiqua" w:hAnsi="Book Antiqua" w:cs="宋体"/>
        </w:rPr>
        <w:t xml:space="preserve">60 </w:t>
      </w:r>
      <w:r w:rsidRPr="004C2C62">
        <w:rPr>
          <w:rFonts w:ascii="Book Antiqua" w:hAnsi="Book Antiqua" w:cs="宋体"/>
          <w:b/>
          <w:bCs/>
        </w:rPr>
        <w:t>Tsochatzis EA</w:t>
      </w:r>
      <w:r w:rsidRPr="004C2C62">
        <w:rPr>
          <w:rFonts w:ascii="Book Antiqua" w:hAnsi="Book Antiqua" w:cs="宋体"/>
        </w:rPr>
        <w:t xml:space="preserve">, Crossan C, Longworth L, Gurusamy K, Rodriguez-Peralvarez M, Mantzoukis K, O'Brien J, Thalassinos E, Papastergiou V, Noel-Storr A, Davidson B, Burroughs AK. Cost-effectiveness of noninvasive liver fibrosis tests for treatment decisions in patients with chronic hepatitis C. </w:t>
      </w:r>
      <w:r w:rsidRPr="004C2C62">
        <w:rPr>
          <w:rFonts w:ascii="Book Antiqua" w:hAnsi="Book Antiqua" w:cs="宋体"/>
          <w:i/>
          <w:iCs/>
        </w:rPr>
        <w:t>Hepatology</w:t>
      </w:r>
      <w:r w:rsidRPr="004C2C62">
        <w:rPr>
          <w:rFonts w:ascii="Book Antiqua" w:hAnsi="Book Antiqua" w:cs="宋体"/>
        </w:rPr>
        <w:t xml:space="preserve"> 2014; </w:t>
      </w:r>
      <w:r w:rsidRPr="004C2C62">
        <w:rPr>
          <w:rFonts w:ascii="Book Antiqua" w:hAnsi="Book Antiqua" w:cs="宋体"/>
          <w:b/>
          <w:bCs/>
        </w:rPr>
        <w:t>60</w:t>
      </w:r>
      <w:r w:rsidRPr="004C2C62">
        <w:rPr>
          <w:rFonts w:ascii="Book Antiqua" w:hAnsi="Book Antiqua" w:cs="宋体"/>
        </w:rPr>
        <w:t>: 832-843 [PMID: 25043847 DOI: 10.1002/hep.27296]</w:t>
      </w:r>
    </w:p>
    <w:p w14:paraId="451BE58B" w14:textId="77777777" w:rsidR="00CD1426" w:rsidRPr="004C2C62" w:rsidRDefault="00CD1426" w:rsidP="00CD1426">
      <w:pPr>
        <w:spacing w:line="360" w:lineRule="auto"/>
        <w:jc w:val="both"/>
        <w:divId w:val="1336884897"/>
        <w:rPr>
          <w:rFonts w:ascii="Book Antiqua" w:hAnsi="Book Antiqua" w:cs="宋体"/>
        </w:rPr>
      </w:pPr>
      <w:r w:rsidRPr="004C2C62">
        <w:rPr>
          <w:rFonts w:ascii="Book Antiqua" w:hAnsi="Book Antiqua" w:cs="宋体"/>
        </w:rPr>
        <w:t xml:space="preserve">61 </w:t>
      </w:r>
      <w:r w:rsidRPr="004C2C62">
        <w:rPr>
          <w:rFonts w:ascii="Book Antiqua" w:hAnsi="Book Antiqua" w:cs="宋体"/>
          <w:b/>
          <w:bCs/>
        </w:rPr>
        <w:t>Jacobson IM</w:t>
      </w:r>
      <w:r w:rsidRPr="004C2C62">
        <w:rPr>
          <w:rFonts w:ascii="Book Antiqua" w:hAnsi="Book Antiqua" w:cs="宋体"/>
        </w:rPr>
        <w:t xml:space="preserve">, Dore GJ, Foster GR, Fried MW, Radu M, Rafalsky VV, Moroz L, Craxi A, Peeters M, Lenz O, Ouwerkerk-Mahadevan S, De La Rosa G, Kalmeijer R, Scott J, Sinha R, Beumont-Mauviel M. Simeprevir with pegylated interferon alfa 2a plus ribavirin in treatment-naive patients with chronic hepatitis C virus genotype 1 infection (QUEST-1): a phase 3, randomised, double-blind, placebo-controlled trial. </w:t>
      </w:r>
      <w:r w:rsidRPr="004C2C62">
        <w:rPr>
          <w:rFonts w:ascii="Book Antiqua" w:hAnsi="Book Antiqua" w:cs="宋体"/>
          <w:i/>
          <w:iCs/>
        </w:rPr>
        <w:t>Lancet</w:t>
      </w:r>
      <w:r w:rsidRPr="004C2C62">
        <w:rPr>
          <w:rFonts w:ascii="Book Antiqua" w:hAnsi="Book Antiqua" w:cs="宋体"/>
        </w:rPr>
        <w:t xml:space="preserve"> 2014; </w:t>
      </w:r>
      <w:r w:rsidRPr="004C2C62">
        <w:rPr>
          <w:rFonts w:ascii="Book Antiqua" w:hAnsi="Book Antiqua" w:cs="宋体"/>
          <w:b/>
          <w:bCs/>
        </w:rPr>
        <w:t>384</w:t>
      </w:r>
      <w:r w:rsidRPr="004C2C62">
        <w:rPr>
          <w:rFonts w:ascii="Book Antiqua" w:hAnsi="Book Antiqua" w:cs="宋体"/>
        </w:rPr>
        <w:t>: 403-413 [PMID: 24907225 DOI: 10.1016/S0140-6736(14)60494-3]</w:t>
      </w:r>
    </w:p>
    <w:p w14:paraId="5A41E601" w14:textId="77777777" w:rsidR="00CD1426" w:rsidRPr="004C2C62" w:rsidRDefault="00CD1426" w:rsidP="00CD1426">
      <w:pPr>
        <w:spacing w:line="360" w:lineRule="auto"/>
        <w:jc w:val="both"/>
        <w:divId w:val="1336884897"/>
        <w:rPr>
          <w:rFonts w:ascii="Book Antiqua" w:hAnsi="Book Antiqua" w:cs="宋体"/>
        </w:rPr>
      </w:pPr>
      <w:r w:rsidRPr="004C2C62">
        <w:rPr>
          <w:rFonts w:ascii="Book Antiqua" w:hAnsi="Book Antiqua" w:cs="宋体"/>
        </w:rPr>
        <w:t xml:space="preserve">62 </w:t>
      </w:r>
      <w:r w:rsidRPr="004C2C62">
        <w:rPr>
          <w:rFonts w:ascii="Book Antiqua" w:hAnsi="Book Antiqua" w:cs="宋体"/>
          <w:b/>
          <w:bCs/>
        </w:rPr>
        <w:t>Manns M</w:t>
      </w:r>
      <w:r w:rsidRPr="004C2C62">
        <w:rPr>
          <w:rFonts w:ascii="Book Antiqua" w:hAnsi="Book Antiqua" w:cs="宋体"/>
        </w:rPr>
        <w:t xml:space="preserve">, Marcellin P, Poordad F, de Araujo ES, Buti M, Horsmans Y, Janczewska E, Villamil F, Scott J, Peeters M, Lenz O, Ouwerkerk-Mahadevan S, De La Rosa G, Kalmeijer R, Sinha R, Beumont-Mauviel M. Simeprevir with pegylated interferon alfa 2a or 2b plus ribavirin in treatment-naive patients with chronic hepatitis C virus genotype 1 infection (QUEST-2): a randomised, double-blind, placebo-controlled phase 3 trial. </w:t>
      </w:r>
      <w:r w:rsidRPr="004C2C62">
        <w:rPr>
          <w:rFonts w:ascii="Book Antiqua" w:hAnsi="Book Antiqua" w:cs="宋体"/>
          <w:i/>
          <w:iCs/>
        </w:rPr>
        <w:t>Lancet</w:t>
      </w:r>
      <w:r w:rsidRPr="004C2C62">
        <w:rPr>
          <w:rFonts w:ascii="Book Antiqua" w:hAnsi="Book Antiqua" w:cs="宋体"/>
        </w:rPr>
        <w:t xml:space="preserve"> 2014; </w:t>
      </w:r>
      <w:r w:rsidRPr="004C2C62">
        <w:rPr>
          <w:rFonts w:ascii="Book Antiqua" w:hAnsi="Book Antiqua" w:cs="宋体"/>
          <w:b/>
          <w:bCs/>
        </w:rPr>
        <w:t>384</w:t>
      </w:r>
      <w:r w:rsidRPr="004C2C62">
        <w:rPr>
          <w:rFonts w:ascii="Book Antiqua" w:hAnsi="Book Antiqua" w:cs="宋体"/>
        </w:rPr>
        <w:t>: 414-426 [PMID: 24907224 DOI: 10.1016/S0140-6736(14)60538-9]</w:t>
      </w:r>
    </w:p>
    <w:p w14:paraId="2D218C68" w14:textId="77777777" w:rsidR="00CD1426" w:rsidRPr="004C2C62" w:rsidRDefault="00CD1426" w:rsidP="00CD1426">
      <w:pPr>
        <w:spacing w:line="360" w:lineRule="auto"/>
        <w:jc w:val="both"/>
        <w:divId w:val="1336884897"/>
        <w:rPr>
          <w:rFonts w:ascii="Book Antiqua" w:hAnsi="Book Antiqua" w:cs="宋体"/>
        </w:rPr>
      </w:pPr>
      <w:r w:rsidRPr="004C2C62">
        <w:rPr>
          <w:rFonts w:ascii="Book Antiqua" w:hAnsi="Book Antiqua" w:cs="宋体"/>
        </w:rPr>
        <w:t xml:space="preserve">63 </w:t>
      </w:r>
      <w:r w:rsidRPr="00CD1426">
        <w:rPr>
          <w:rFonts w:ascii="Book Antiqua" w:hAnsi="Book Antiqua" w:cs="宋体"/>
          <w:b/>
        </w:rPr>
        <w:t>Hézode C,</w:t>
      </w:r>
      <w:r w:rsidRPr="00CD1426">
        <w:rPr>
          <w:rFonts w:ascii="Book Antiqua" w:hAnsi="Book Antiqua" w:cs="宋体"/>
        </w:rPr>
        <w:t xml:space="preserve"> Hirschfield GM, Ghesquiere W, Sievert W, Rodriguez-Torres M, Shafran SD, Thuluvath PJ, Tatum HA, Waked I, Esmat G, Lawitz EJ, Rustgi VK, Pol S, Weis N, Pockros PJ, Bourlière M, Serfaty L, Vierling JM, Fried MW, Weiland O, Brunetto MR, Everson GT, Zeuzem S, Kwo PY, Sulkowski M, Bräu N, Hernandez D, McPhee F, Wind-Rotolo M, Liu Z, Noviello S, Hughes EA, Yin PD, Schnittman S</w:t>
      </w:r>
      <w:r w:rsidRPr="004C2C62">
        <w:rPr>
          <w:rFonts w:ascii="Book Antiqua" w:hAnsi="Book Antiqua" w:cs="宋体"/>
        </w:rPr>
        <w:t xml:space="preserve">. Daclatasvir plus peginterferon alfa and ribavirin for </w:t>
      </w:r>
      <w:r w:rsidRPr="004C2C62">
        <w:rPr>
          <w:rFonts w:ascii="Book Antiqua" w:hAnsi="Book Antiqua" w:cs="宋体"/>
        </w:rPr>
        <w:lastRenderedPageBreak/>
        <w:t xml:space="preserve">treatment-naive chronic hepatitis C genotype 1 or 4 infection: a randomised study. </w:t>
      </w:r>
      <w:r w:rsidRPr="004C2C62">
        <w:rPr>
          <w:rFonts w:ascii="Book Antiqua" w:hAnsi="Book Antiqua" w:cs="宋体"/>
          <w:i/>
          <w:iCs/>
        </w:rPr>
        <w:t>Gut</w:t>
      </w:r>
      <w:r w:rsidRPr="004C2C62">
        <w:rPr>
          <w:rFonts w:ascii="Book Antiqua" w:hAnsi="Book Antiqua" w:cs="宋体"/>
        </w:rPr>
        <w:t xml:space="preserve"> </w:t>
      </w:r>
      <w:r w:rsidRPr="00CD1426">
        <w:rPr>
          <w:rFonts w:ascii="Book Antiqua" w:hAnsi="Book Antiqua" w:cs="宋体"/>
        </w:rPr>
        <w:t>2014 Jul 30</w:t>
      </w:r>
      <w:r w:rsidRPr="004C2C62">
        <w:rPr>
          <w:rFonts w:ascii="Book Antiqua" w:hAnsi="Book Antiqua" w:cs="宋体"/>
        </w:rPr>
        <w:t>;</w:t>
      </w:r>
      <w:r w:rsidRPr="00CD1426">
        <w:rPr>
          <w:rFonts w:ascii="Book Antiqua" w:hAnsi="Book Antiqua" w:cs="宋体"/>
        </w:rPr>
        <w:t xml:space="preserve"> pii: gutjnl-2014-307498</w:t>
      </w:r>
      <w:r w:rsidRPr="004C2C62">
        <w:rPr>
          <w:rFonts w:ascii="Book Antiqua" w:hAnsi="Book Antiqua" w:cs="宋体"/>
        </w:rPr>
        <w:t xml:space="preserve"> [PMID: 25080450 DOI: 10.1136/gutjnl-2014-307498]</w:t>
      </w:r>
    </w:p>
    <w:p w14:paraId="7B1435AA" w14:textId="77777777" w:rsidR="00CD1426" w:rsidRPr="004C2C62" w:rsidRDefault="00CD1426" w:rsidP="00CD1426">
      <w:pPr>
        <w:spacing w:line="360" w:lineRule="auto"/>
        <w:jc w:val="both"/>
        <w:divId w:val="1336884897"/>
        <w:rPr>
          <w:rFonts w:ascii="Book Antiqua" w:hAnsi="Book Antiqua" w:cs="宋体"/>
        </w:rPr>
      </w:pPr>
      <w:r w:rsidRPr="004C2C62">
        <w:rPr>
          <w:rFonts w:ascii="Book Antiqua" w:hAnsi="Book Antiqua" w:cs="宋体"/>
        </w:rPr>
        <w:t xml:space="preserve">64 </w:t>
      </w:r>
      <w:r w:rsidRPr="004C2C62">
        <w:rPr>
          <w:rFonts w:ascii="Book Antiqua" w:hAnsi="Book Antiqua" w:cs="宋体"/>
          <w:b/>
          <w:bCs/>
        </w:rPr>
        <w:t>Pol S</w:t>
      </w:r>
      <w:r w:rsidRPr="004C2C62">
        <w:rPr>
          <w:rFonts w:ascii="Book Antiqua" w:hAnsi="Book Antiqua" w:cs="宋体"/>
        </w:rPr>
        <w:t xml:space="preserve">, Ghalib RH, Rustgi VK, Martorell C, Everson GT, Tatum HA, Hézode C, Lim JK, Bronowicki JP, Abrams GA, Bräu N, Morris DW, Thuluvath PJ, Reindollar RW, Yin PD, Diva U, Hindes R, McPhee F, Hernandez D, Wind-Rotolo M, Hughes EA, Schnittman S. Daclatasvir for previously untreated chronic hepatitis C genotype-1 infection: a randomised, parallel-group, double-blind, placebo-controlled, dose-finding, phase 2a trial. </w:t>
      </w:r>
      <w:r w:rsidRPr="004C2C62">
        <w:rPr>
          <w:rFonts w:ascii="Book Antiqua" w:hAnsi="Book Antiqua" w:cs="宋体"/>
          <w:i/>
          <w:iCs/>
        </w:rPr>
        <w:t>Lancet Infect Dis</w:t>
      </w:r>
      <w:r w:rsidRPr="004C2C62">
        <w:rPr>
          <w:rFonts w:ascii="Book Antiqua" w:hAnsi="Book Antiqua" w:cs="宋体"/>
        </w:rPr>
        <w:t xml:space="preserve"> 2012; </w:t>
      </w:r>
      <w:r w:rsidRPr="004C2C62">
        <w:rPr>
          <w:rFonts w:ascii="Book Antiqua" w:hAnsi="Book Antiqua" w:cs="宋体"/>
          <w:b/>
          <w:bCs/>
        </w:rPr>
        <w:t>12</w:t>
      </w:r>
      <w:r w:rsidRPr="004C2C62">
        <w:rPr>
          <w:rFonts w:ascii="Book Antiqua" w:hAnsi="Book Antiqua" w:cs="宋体"/>
        </w:rPr>
        <w:t>: 671-677 [PMID: 22714001 DOI: 10.1016/S1473-3099(12)70138-X]</w:t>
      </w:r>
    </w:p>
    <w:p w14:paraId="515BAA53" w14:textId="77777777" w:rsidR="00CD1426" w:rsidRPr="004C2C62" w:rsidRDefault="00CD1426" w:rsidP="00CD1426">
      <w:pPr>
        <w:spacing w:line="360" w:lineRule="auto"/>
        <w:jc w:val="both"/>
        <w:divId w:val="1336884897"/>
        <w:rPr>
          <w:rFonts w:ascii="Book Antiqua" w:hAnsi="Book Antiqua" w:cs="宋体"/>
        </w:rPr>
      </w:pPr>
      <w:r w:rsidRPr="004C2C62">
        <w:rPr>
          <w:rFonts w:ascii="Book Antiqua" w:hAnsi="Book Antiqua" w:cs="宋体"/>
        </w:rPr>
        <w:t xml:space="preserve">65 </w:t>
      </w:r>
      <w:r w:rsidRPr="004C2C62">
        <w:rPr>
          <w:rFonts w:ascii="Book Antiqua" w:hAnsi="Book Antiqua" w:cs="宋体"/>
          <w:b/>
          <w:bCs/>
        </w:rPr>
        <w:t>Afdhal N</w:t>
      </w:r>
      <w:r w:rsidRPr="004C2C62">
        <w:rPr>
          <w:rFonts w:ascii="Book Antiqua" w:hAnsi="Book Antiqua" w:cs="宋体"/>
        </w:rPr>
        <w:t xml:space="preserve">, Zeuzem S, Kwo P, Chojkier M, Gitlin N, Puoti M, Romero-Gomez M, Zarski JP, Agarwal K, Buggisch P, Foster GR, Bräu N, Buti M, Jacobson IM, Subramanian GM, Ding X, Mo H, Yang JC, Pang PS, Symonds WT, McHutchison JG, Muir AJ, Mangia A, Marcellin P. Ledipasvir and sofosbuvir for untreated HCV genotype 1 infection. </w:t>
      </w:r>
      <w:r w:rsidRPr="004C2C62">
        <w:rPr>
          <w:rFonts w:ascii="Book Antiqua" w:hAnsi="Book Antiqua" w:cs="宋体"/>
          <w:i/>
          <w:iCs/>
        </w:rPr>
        <w:t>N Engl J Med</w:t>
      </w:r>
      <w:r w:rsidRPr="004C2C62">
        <w:rPr>
          <w:rFonts w:ascii="Book Antiqua" w:hAnsi="Book Antiqua" w:cs="宋体"/>
        </w:rPr>
        <w:t xml:space="preserve"> 2014; </w:t>
      </w:r>
      <w:r w:rsidRPr="004C2C62">
        <w:rPr>
          <w:rFonts w:ascii="Book Antiqua" w:hAnsi="Book Antiqua" w:cs="宋体"/>
          <w:b/>
          <w:bCs/>
        </w:rPr>
        <w:t>370</w:t>
      </w:r>
      <w:r w:rsidRPr="004C2C62">
        <w:rPr>
          <w:rFonts w:ascii="Book Antiqua" w:hAnsi="Book Antiqua" w:cs="宋体"/>
        </w:rPr>
        <w:t>: 1889-1898 [PMID: 24725239 DOI: 10.1056/NEJMoa1402454]</w:t>
      </w:r>
    </w:p>
    <w:p w14:paraId="44A21DD3" w14:textId="77777777" w:rsidR="00CD1426" w:rsidRPr="004C2C62" w:rsidRDefault="00CD1426" w:rsidP="00CD1426">
      <w:pPr>
        <w:spacing w:line="360" w:lineRule="auto"/>
        <w:jc w:val="both"/>
        <w:divId w:val="1336884897"/>
        <w:rPr>
          <w:rFonts w:ascii="Book Antiqua" w:hAnsi="Book Antiqua" w:cs="宋体"/>
        </w:rPr>
      </w:pPr>
      <w:r w:rsidRPr="004C2C62">
        <w:rPr>
          <w:rFonts w:ascii="Book Antiqua" w:hAnsi="Book Antiqua" w:cs="宋体"/>
        </w:rPr>
        <w:t xml:space="preserve">66 </w:t>
      </w:r>
      <w:r w:rsidRPr="004C2C62">
        <w:rPr>
          <w:rFonts w:ascii="Book Antiqua" w:hAnsi="Book Antiqua" w:cs="宋体"/>
          <w:b/>
          <w:bCs/>
        </w:rPr>
        <w:t>Kowdley KV</w:t>
      </w:r>
      <w:r w:rsidRPr="004C2C62">
        <w:rPr>
          <w:rFonts w:ascii="Book Antiqua" w:hAnsi="Book Antiqua" w:cs="宋体"/>
        </w:rPr>
        <w:t xml:space="preserve">, Gordon SC, Reddy KR, Rossaro L, Bernstein DE, Lawitz E, Shiffman ML, Schiff E, Ghalib R, Ryan M, Rustgi V, Chojkier M, Herring R, Di Bisceglie AM, Pockros PJ, Subramanian GM, An D, Svarovskaia E, Hyland RH, Pang PS, Symonds WT, McHutchison JG, Muir AJ, Pound D, Fried MW. Ledipasvir and sofosbuvir for 8 or 12 weeks for chronic HCV without cirrhosis. </w:t>
      </w:r>
      <w:r w:rsidRPr="004C2C62">
        <w:rPr>
          <w:rFonts w:ascii="Book Antiqua" w:hAnsi="Book Antiqua" w:cs="宋体"/>
          <w:i/>
          <w:iCs/>
        </w:rPr>
        <w:t>N Engl J Med</w:t>
      </w:r>
      <w:r w:rsidRPr="004C2C62">
        <w:rPr>
          <w:rFonts w:ascii="Book Antiqua" w:hAnsi="Book Antiqua" w:cs="宋体"/>
        </w:rPr>
        <w:t xml:space="preserve"> 2014; </w:t>
      </w:r>
      <w:r w:rsidRPr="004C2C62">
        <w:rPr>
          <w:rFonts w:ascii="Book Antiqua" w:hAnsi="Book Antiqua" w:cs="宋体"/>
          <w:b/>
          <w:bCs/>
        </w:rPr>
        <w:t>370</w:t>
      </w:r>
      <w:r w:rsidRPr="004C2C62">
        <w:rPr>
          <w:rFonts w:ascii="Book Antiqua" w:hAnsi="Book Antiqua" w:cs="宋体"/>
        </w:rPr>
        <w:t>: 1879-1888 [PMID: 24720702 DOI: 10.1056/NEJMoa1402355]</w:t>
      </w:r>
    </w:p>
    <w:p w14:paraId="1A5F022B" w14:textId="77777777" w:rsidR="00CD1426" w:rsidRPr="004C2C62" w:rsidRDefault="00CD1426" w:rsidP="00CD1426">
      <w:pPr>
        <w:spacing w:line="360" w:lineRule="auto"/>
        <w:jc w:val="both"/>
        <w:divId w:val="1336884897"/>
        <w:rPr>
          <w:rFonts w:ascii="Book Antiqua" w:hAnsi="Book Antiqua" w:cs="宋体"/>
        </w:rPr>
      </w:pPr>
      <w:r w:rsidRPr="004C2C62">
        <w:rPr>
          <w:rFonts w:ascii="Book Antiqua" w:hAnsi="Book Antiqua" w:cs="宋体"/>
        </w:rPr>
        <w:t xml:space="preserve">67 </w:t>
      </w:r>
      <w:r w:rsidRPr="004C2C62">
        <w:rPr>
          <w:rFonts w:ascii="Book Antiqua" w:hAnsi="Book Antiqua" w:cs="宋体"/>
          <w:b/>
          <w:bCs/>
        </w:rPr>
        <w:t>Afdhal N</w:t>
      </w:r>
      <w:r w:rsidRPr="004C2C62">
        <w:rPr>
          <w:rFonts w:ascii="Book Antiqua" w:hAnsi="Book Antiqua" w:cs="宋体"/>
        </w:rPr>
        <w:t xml:space="preserve">, Reddy KR, Nelson DR, Lawitz E, Gordon SC, Schiff E, Nahass R, Ghalib R, Gitlin N, Herring R, Lalezari J, Younes ZH, Pockros PJ, Di Bisceglie AM, Arora S, Subramanian GM, Zhu Y, Dvory-Sobol H, Yang JC, Pang PS, Symonds WT, McHutchison JG, Muir AJ, Sulkowski M, Kwo P. Ledipasvir and sofosbuvir for previously treated HCV genotype 1 infection. </w:t>
      </w:r>
      <w:r w:rsidRPr="004C2C62">
        <w:rPr>
          <w:rFonts w:ascii="Book Antiqua" w:hAnsi="Book Antiqua" w:cs="宋体"/>
          <w:i/>
          <w:iCs/>
        </w:rPr>
        <w:t>N Engl J Med</w:t>
      </w:r>
      <w:r w:rsidRPr="004C2C62">
        <w:rPr>
          <w:rFonts w:ascii="Book Antiqua" w:hAnsi="Book Antiqua" w:cs="宋体"/>
        </w:rPr>
        <w:t xml:space="preserve"> 2014; </w:t>
      </w:r>
      <w:r w:rsidRPr="004C2C62">
        <w:rPr>
          <w:rFonts w:ascii="Book Antiqua" w:hAnsi="Book Antiqua" w:cs="宋体"/>
          <w:b/>
          <w:bCs/>
        </w:rPr>
        <w:t>370</w:t>
      </w:r>
      <w:r w:rsidRPr="004C2C62">
        <w:rPr>
          <w:rFonts w:ascii="Book Antiqua" w:hAnsi="Book Antiqua" w:cs="宋体"/>
        </w:rPr>
        <w:t>: 1483-1493 [PMID: 24725238 DOI: 10.1056/NEJMoa1316366]</w:t>
      </w:r>
    </w:p>
    <w:p w14:paraId="49E2EF48" w14:textId="77777777" w:rsidR="00CD1426" w:rsidRPr="004C2C62" w:rsidRDefault="00CD1426" w:rsidP="00CD1426">
      <w:pPr>
        <w:spacing w:line="360" w:lineRule="auto"/>
        <w:jc w:val="both"/>
        <w:divId w:val="1336884897"/>
        <w:rPr>
          <w:rFonts w:ascii="Book Antiqua" w:hAnsi="Book Antiqua" w:cs="宋体"/>
        </w:rPr>
      </w:pPr>
      <w:r w:rsidRPr="004C2C62">
        <w:rPr>
          <w:rFonts w:ascii="Book Antiqua" w:hAnsi="Book Antiqua" w:cs="宋体"/>
        </w:rPr>
        <w:t xml:space="preserve">68 </w:t>
      </w:r>
      <w:r w:rsidRPr="004C2C62">
        <w:rPr>
          <w:rFonts w:ascii="Book Antiqua" w:hAnsi="Book Antiqua" w:cs="宋体"/>
          <w:b/>
          <w:bCs/>
        </w:rPr>
        <w:t>Andreone P</w:t>
      </w:r>
      <w:r w:rsidRPr="004C2C62">
        <w:rPr>
          <w:rFonts w:ascii="Book Antiqua" w:hAnsi="Book Antiqua" w:cs="宋体"/>
        </w:rPr>
        <w:t xml:space="preserve">, Colombo MG, Enejosa JV, Koksal I, Ferenci P, Maieron A, Müllhaupt B, Horsmans Y, Weiland O, Reesink HW, Rodrigues L, Hu YB, Podsadecki T, Bernstein B. ABT-450, ritonavir, ombitasvir, and dasabuvir </w:t>
      </w:r>
      <w:r w:rsidRPr="004C2C62">
        <w:rPr>
          <w:rFonts w:ascii="Book Antiqua" w:hAnsi="Book Antiqua" w:cs="宋体"/>
        </w:rPr>
        <w:lastRenderedPageBreak/>
        <w:t xml:space="preserve">achieves 97% and 100% sustained virologic response with or without ribavirin in treatment-experienced patients with HCV genotype 1b infection. </w:t>
      </w:r>
      <w:r w:rsidRPr="004C2C62">
        <w:rPr>
          <w:rFonts w:ascii="Book Antiqua" w:hAnsi="Book Antiqua" w:cs="宋体"/>
          <w:i/>
          <w:iCs/>
        </w:rPr>
        <w:t>Gastroenterology</w:t>
      </w:r>
      <w:r w:rsidRPr="004C2C62">
        <w:rPr>
          <w:rFonts w:ascii="Book Antiqua" w:hAnsi="Book Antiqua" w:cs="宋体"/>
        </w:rPr>
        <w:t xml:space="preserve"> 2014; </w:t>
      </w:r>
      <w:r w:rsidRPr="004C2C62">
        <w:rPr>
          <w:rFonts w:ascii="Book Antiqua" w:hAnsi="Book Antiqua" w:cs="宋体"/>
          <w:b/>
          <w:bCs/>
        </w:rPr>
        <w:t>147</w:t>
      </w:r>
      <w:r w:rsidRPr="004C2C62">
        <w:rPr>
          <w:rFonts w:ascii="Book Antiqua" w:hAnsi="Book Antiqua" w:cs="宋体"/>
        </w:rPr>
        <w:t>: 359-365.e1 [PMID: 24818763 DOI: 10.1053/j.gastro.2014.04.045]</w:t>
      </w:r>
    </w:p>
    <w:p w14:paraId="220277D2" w14:textId="77777777" w:rsidR="00CD1426" w:rsidRPr="004C2C62" w:rsidRDefault="00CD1426" w:rsidP="00CD1426">
      <w:pPr>
        <w:spacing w:line="360" w:lineRule="auto"/>
        <w:jc w:val="both"/>
        <w:divId w:val="1336884897"/>
        <w:rPr>
          <w:rFonts w:ascii="Book Antiqua" w:hAnsi="Book Antiqua" w:cs="宋体"/>
        </w:rPr>
      </w:pPr>
      <w:r w:rsidRPr="004C2C62">
        <w:rPr>
          <w:rFonts w:ascii="Book Antiqua" w:hAnsi="Book Antiqua" w:cs="宋体"/>
        </w:rPr>
        <w:t xml:space="preserve">69 </w:t>
      </w:r>
      <w:r w:rsidRPr="004C2C62">
        <w:rPr>
          <w:rFonts w:ascii="Book Antiqua" w:hAnsi="Book Antiqua" w:cs="宋体"/>
          <w:b/>
          <w:bCs/>
        </w:rPr>
        <w:t>Ferenci P</w:t>
      </w:r>
      <w:r w:rsidRPr="004C2C62">
        <w:rPr>
          <w:rFonts w:ascii="Book Antiqua" w:hAnsi="Book Antiqua" w:cs="宋体"/>
        </w:rPr>
        <w:t xml:space="preserve">, Bernstein D, Lalezari J, Cohen D, Luo Y, Cooper C, Tam E, Marinho RT, Tsai N, Nyberg A, Box TD, Younes Z, Enayati P, Green S, Baruch Y, Bhandari BR, Caruntu FA, Sepe T, Chulanov V, Janczewska E, Rizzardini G, Gervain J, Planas R, Moreno C, Hassanein T, Xie W, King M, Podsadecki T, Reddy KR. ABT-450/r-ombitasvir and dasabuvir with or without ribavirin for HCV. </w:t>
      </w:r>
      <w:r w:rsidRPr="004C2C62">
        <w:rPr>
          <w:rFonts w:ascii="Book Antiqua" w:hAnsi="Book Antiqua" w:cs="宋体"/>
          <w:i/>
          <w:iCs/>
        </w:rPr>
        <w:t>N Engl J Med</w:t>
      </w:r>
      <w:r w:rsidRPr="004C2C62">
        <w:rPr>
          <w:rFonts w:ascii="Book Antiqua" w:hAnsi="Book Antiqua" w:cs="宋体"/>
        </w:rPr>
        <w:t xml:space="preserve"> 2014; </w:t>
      </w:r>
      <w:r w:rsidRPr="004C2C62">
        <w:rPr>
          <w:rFonts w:ascii="Book Antiqua" w:hAnsi="Book Antiqua" w:cs="宋体"/>
          <w:b/>
          <w:bCs/>
        </w:rPr>
        <w:t>370</w:t>
      </w:r>
      <w:r w:rsidRPr="004C2C62">
        <w:rPr>
          <w:rFonts w:ascii="Book Antiqua" w:hAnsi="Book Antiqua" w:cs="宋体"/>
        </w:rPr>
        <w:t>: 1983-1992 [PMID: 24795200 DOI: 10.1056/NEJMoa1402338]</w:t>
      </w:r>
    </w:p>
    <w:p w14:paraId="53BB84E3" w14:textId="77777777" w:rsidR="00CD1426" w:rsidRPr="004C2C62" w:rsidRDefault="00CD1426" w:rsidP="00CD1426">
      <w:pPr>
        <w:spacing w:line="360" w:lineRule="auto"/>
        <w:jc w:val="both"/>
        <w:divId w:val="1336884897"/>
        <w:rPr>
          <w:rFonts w:ascii="Book Antiqua" w:hAnsi="Book Antiqua" w:cs="宋体"/>
        </w:rPr>
      </w:pPr>
      <w:r w:rsidRPr="004C2C62">
        <w:rPr>
          <w:rFonts w:ascii="Book Antiqua" w:hAnsi="Book Antiqua" w:cs="宋体"/>
        </w:rPr>
        <w:t xml:space="preserve">70 </w:t>
      </w:r>
      <w:r w:rsidRPr="004C2C62">
        <w:rPr>
          <w:rFonts w:ascii="Book Antiqua" w:hAnsi="Book Antiqua" w:cs="宋体"/>
          <w:b/>
          <w:bCs/>
        </w:rPr>
        <w:t>Feld JJ</w:t>
      </w:r>
      <w:r w:rsidRPr="004C2C62">
        <w:rPr>
          <w:rFonts w:ascii="Book Antiqua" w:hAnsi="Book Antiqua" w:cs="宋体"/>
        </w:rPr>
        <w:t xml:space="preserve">, Kowdley KV, Coakley E, Sigal S, Nelson DR, Crawford D, Weiland O, Aguilar H, Xiong J, Pilot-Matias T, DaSilva-Tillmann B, Larsen L, Podsadecki T, Bernstein B. Treatment of HCV with ABT-450/r-ombitasvir and dasabuvir with ribavirin. </w:t>
      </w:r>
      <w:r w:rsidRPr="004C2C62">
        <w:rPr>
          <w:rFonts w:ascii="Book Antiqua" w:hAnsi="Book Antiqua" w:cs="宋体"/>
          <w:i/>
          <w:iCs/>
        </w:rPr>
        <w:t>N Engl J Med</w:t>
      </w:r>
      <w:r w:rsidRPr="004C2C62">
        <w:rPr>
          <w:rFonts w:ascii="Book Antiqua" w:hAnsi="Book Antiqua" w:cs="宋体"/>
        </w:rPr>
        <w:t xml:space="preserve"> 2014; </w:t>
      </w:r>
      <w:r w:rsidRPr="004C2C62">
        <w:rPr>
          <w:rFonts w:ascii="Book Antiqua" w:hAnsi="Book Antiqua" w:cs="宋体"/>
          <w:b/>
          <w:bCs/>
        </w:rPr>
        <w:t>370</w:t>
      </w:r>
      <w:r w:rsidRPr="004C2C62">
        <w:rPr>
          <w:rFonts w:ascii="Book Antiqua" w:hAnsi="Book Antiqua" w:cs="宋体"/>
        </w:rPr>
        <w:t>: 1594-1603 [PMID: 24720703 DOI: 10.1056/NEJMoa1315722]</w:t>
      </w:r>
    </w:p>
    <w:p w14:paraId="5BE5CAE2" w14:textId="77777777" w:rsidR="00CD1426" w:rsidRPr="004C2C62" w:rsidRDefault="00CD1426" w:rsidP="00CD1426">
      <w:pPr>
        <w:spacing w:line="360" w:lineRule="auto"/>
        <w:jc w:val="both"/>
        <w:divId w:val="1336884897"/>
        <w:rPr>
          <w:rFonts w:ascii="Book Antiqua" w:hAnsi="Book Antiqua" w:cs="宋体"/>
        </w:rPr>
      </w:pPr>
      <w:r w:rsidRPr="004C2C62">
        <w:rPr>
          <w:rFonts w:ascii="Book Antiqua" w:hAnsi="Book Antiqua" w:cs="宋体"/>
        </w:rPr>
        <w:t xml:space="preserve">71 </w:t>
      </w:r>
      <w:r w:rsidRPr="004C2C62">
        <w:rPr>
          <w:rFonts w:ascii="Book Antiqua" w:hAnsi="Book Antiqua" w:cs="宋体"/>
          <w:b/>
          <w:bCs/>
        </w:rPr>
        <w:t>Zeuzem S</w:t>
      </w:r>
      <w:r w:rsidRPr="004C2C62">
        <w:rPr>
          <w:rFonts w:ascii="Book Antiqua" w:hAnsi="Book Antiqua" w:cs="宋体"/>
        </w:rPr>
        <w:t xml:space="preserve">, Jacobson IM, Baykal T, Marinho RT, Poordad F, Bourlière M, Sulkowski MS, Wedemeyer H, Tam E, Desmond P, Jensen DM, Di Bisceglie AM, Varunok P, Hassanein T, Xiong J, Pilot-Matias T, DaSilva-Tillmann B, Larsen L, Podsadecki T, Bernstein B. Retreatment of HCV with ABT-450/r-ombitasvir and dasabuvir with ribavirin. </w:t>
      </w:r>
      <w:r w:rsidRPr="004C2C62">
        <w:rPr>
          <w:rFonts w:ascii="Book Antiqua" w:hAnsi="Book Antiqua" w:cs="宋体"/>
          <w:i/>
          <w:iCs/>
        </w:rPr>
        <w:t>N Engl J Med</w:t>
      </w:r>
      <w:r w:rsidRPr="004C2C62">
        <w:rPr>
          <w:rFonts w:ascii="Book Antiqua" w:hAnsi="Book Antiqua" w:cs="宋体"/>
        </w:rPr>
        <w:t xml:space="preserve"> 2014; </w:t>
      </w:r>
      <w:r w:rsidRPr="004C2C62">
        <w:rPr>
          <w:rFonts w:ascii="Book Antiqua" w:hAnsi="Book Antiqua" w:cs="宋体"/>
          <w:b/>
          <w:bCs/>
        </w:rPr>
        <w:t>370</w:t>
      </w:r>
      <w:r w:rsidRPr="004C2C62">
        <w:rPr>
          <w:rFonts w:ascii="Book Antiqua" w:hAnsi="Book Antiqua" w:cs="宋体"/>
        </w:rPr>
        <w:t>: 1604-1614 [PMID: 24720679 DOI: 10.1056/NEJMoa1401561]</w:t>
      </w:r>
    </w:p>
    <w:p w14:paraId="19A538D0" w14:textId="77777777" w:rsidR="00CD1426" w:rsidRPr="00CD1426" w:rsidRDefault="00CD1426" w:rsidP="00CD1426">
      <w:pPr>
        <w:spacing w:line="360" w:lineRule="auto"/>
        <w:jc w:val="both"/>
        <w:divId w:val="1336884897"/>
        <w:rPr>
          <w:rFonts w:ascii="Book Antiqua" w:hAnsi="Book Antiqua" w:cs="宋体"/>
        </w:rPr>
      </w:pPr>
      <w:r w:rsidRPr="004C2C62">
        <w:rPr>
          <w:rFonts w:ascii="Book Antiqua" w:hAnsi="Book Antiqua" w:cs="宋体"/>
        </w:rPr>
        <w:t xml:space="preserve">72 </w:t>
      </w:r>
      <w:r w:rsidRPr="00CD1426">
        <w:rPr>
          <w:rFonts w:ascii="Book Antiqua" w:hAnsi="Book Antiqua" w:cs="宋体"/>
        </w:rPr>
        <w:t xml:space="preserve"> Lawitz E, Hezode C, Gane E, Tam E, Lagging M, Balart L, Rossaro L, Ghalib R, Shaughnessy M, Hwang P, Wahl J, Robertson M, Haber B. Efficacy and safety of MK-5172 and MK-8742 ± ribavirin in hepatitis C genotype 1 infected patients with cirrhosis or previous null-response: the C-WORTHY study. Program and abstracts of the 49th Annual Meeting of the European Association for the Study of the Liver; April 9-13, 2014; London, England, 2014: Abstract O61</w:t>
      </w:r>
    </w:p>
    <w:p w14:paraId="72814EF0" w14:textId="77777777" w:rsidR="00CD1426" w:rsidRPr="004C2C62" w:rsidRDefault="00CD1426" w:rsidP="00CD1426">
      <w:pPr>
        <w:spacing w:line="360" w:lineRule="auto"/>
        <w:jc w:val="both"/>
        <w:divId w:val="1336884897"/>
        <w:rPr>
          <w:rFonts w:ascii="Book Antiqua" w:hAnsi="Book Antiqua" w:cs="宋体"/>
        </w:rPr>
      </w:pPr>
      <w:r w:rsidRPr="004C2C62">
        <w:rPr>
          <w:rFonts w:ascii="Book Antiqua" w:hAnsi="Book Antiqua" w:cs="宋体"/>
        </w:rPr>
        <w:t xml:space="preserve">73 </w:t>
      </w:r>
      <w:r w:rsidRPr="004C2C62">
        <w:rPr>
          <w:rFonts w:ascii="Book Antiqua" w:hAnsi="Book Antiqua" w:cs="宋体"/>
          <w:b/>
          <w:bCs/>
        </w:rPr>
        <w:t>Everson GT</w:t>
      </w:r>
      <w:r w:rsidRPr="004C2C62">
        <w:rPr>
          <w:rFonts w:ascii="Book Antiqua" w:hAnsi="Book Antiqua" w:cs="宋体"/>
        </w:rPr>
        <w:t xml:space="preserve">, Terrault NA, Lok AS, Rodrigo del R, Brown RS, Saab S, Shiffman ML, Al-Osaimi AM, Kulik LM, Gillespie BW, Everhart JE. A randomized controlled trial of pretransplant antiviral therapy to prevent </w:t>
      </w:r>
      <w:r w:rsidRPr="004C2C62">
        <w:rPr>
          <w:rFonts w:ascii="Book Antiqua" w:hAnsi="Book Antiqua" w:cs="宋体"/>
        </w:rPr>
        <w:lastRenderedPageBreak/>
        <w:t xml:space="preserve">recurrence of hepatitis C after liver transplantation. </w:t>
      </w:r>
      <w:r w:rsidRPr="004C2C62">
        <w:rPr>
          <w:rFonts w:ascii="Book Antiqua" w:hAnsi="Book Antiqua" w:cs="宋体"/>
          <w:i/>
          <w:iCs/>
        </w:rPr>
        <w:t>Hepatology</w:t>
      </w:r>
      <w:r w:rsidRPr="004C2C62">
        <w:rPr>
          <w:rFonts w:ascii="Book Antiqua" w:hAnsi="Book Antiqua" w:cs="宋体"/>
        </w:rPr>
        <w:t xml:space="preserve"> 2013; </w:t>
      </w:r>
      <w:r w:rsidRPr="004C2C62">
        <w:rPr>
          <w:rFonts w:ascii="Book Antiqua" w:hAnsi="Book Antiqua" w:cs="宋体"/>
          <w:b/>
          <w:bCs/>
        </w:rPr>
        <w:t>57</w:t>
      </w:r>
      <w:r w:rsidRPr="004C2C62">
        <w:rPr>
          <w:rFonts w:ascii="Book Antiqua" w:hAnsi="Book Antiqua" w:cs="宋体"/>
        </w:rPr>
        <w:t>: 1752-1762 [PMID: 22821361 DOI: 10.1002/hep.25976]</w:t>
      </w:r>
    </w:p>
    <w:p w14:paraId="65BE430C" w14:textId="77777777" w:rsidR="00CD1426" w:rsidRPr="004C2C62" w:rsidRDefault="00CD1426" w:rsidP="00CD1426">
      <w:pPr>
        <w:spacing w:line="360" w:lineRule="auto"/>
        <w:jc w:val="both"/>
        <w:divId w:val="1336884897"/>
        <w:rPr>
          <w:rFonts w:ascii="Book Antiqua" w:hAnsi="Book Antiqua" w:cs="宋体"/>
        </w:rPr>
      </w:pPr>
      <w:r w:rsidRPr="004C2C62">
        <w:rPr>
          <w:rFonts w:ascii="Book Antiqua" w:hAnsi="Book Antiqua" w:cs="宋体"/>
        </w:rPr>
        <w:t xml:space="preserve">74 </w:t>
      </w:r>
      <w:r w:rsidRPr="004C2C62">
        <w:rPr>
          <w:rFonts w:ascii="Book Antiqua" w:hAnsi="Book Antiqua" w:cs="宋体"/>
          <w:b/>
          <w:bCs/>
        </w:rPr>
        <w:t>Curry MP</w:t>
      </w:r>
      <w:r w:rsidRPr="004C2C62">
        <w:rPr>
          <w:rFonts w:ascii="Book Antiqua" w:hAnsi="Book Antiqua" w:cs="宋体"/>
        </w:rPr>
        <w:t xml:space="preserve">, Forns X, Chung RT, Terrault NA, Brown R, Fenkel JM, Gordon F, O'Leary J, Kuo A, Schiano T, Everson G, Schiff E, Befeler A, Gane E, Saab S, McHutchison JG, Subramanian GM, Symonds WT, Denning J, McNair L, Arterburn S, Svarovskaia E, Moonka D, Afdhal N. Sofosbuvir and ribavirin prevent recurrence of HCV infection after liver transplantation: an open-label study. </w:t>
      </w:r>
      <w:r w:rsidRPr="004C2C62">
        <w:rPr>
          <w:rFonts w:ascii="Book Antiqua" w:hAnsi="Book Antiqua" w:cs="宋体"/>
          <w:i/>
          <w:iCs/>
        </w:rPr>
        <w:t>Gastroenterology</w:t>
      </w:r>
      <w:r w:rsidRPr="004C2C62">
        <w:rPr>
          <w:rFonts w:ascii="Book Antiqua" w:hAnsi="Book Antiqua" w:cs="宋体"/>
        </w:rPr>
        <w:t xml:space="preserve"> 2015; </w:t>
      </w:r>
      <w:r w:rsidRPr="004C2C62">
        <w:rPr>
          <w:rFonts w:ascii="Book Antiqua" w:hAnsi="Book Antiqua" w:cs="宋体"/>
          <w:b/>
          <w:bCs/>
        </w:rPr>
        <w:t>148</w:t>
      </w:r>
      <w:r w:rsidRPr="004C2C62">
        <w:rPr>
          <w:rFonts w:ascii="Book Antiqua" w:hAnsi="Book Antiqua" w:cs="宋体"/>
        </w:rPr>
        <w:t>: 100-107.e1 [PMID: 25261839 DOI: 10.1053/j.gastro.2014.09.023]</w:t>
      </w:r>
    </w:p>
    <w:p w14:paraId="4F1F18EC" w14:textId="77777777" w:rsidR="00CD1426" w:rsidRPr="004C2C62" w:rsidRDefault="00CD1426" w:rsidP="00CD1426">
      <w:pPr>
        <w:spacing w:line="360" w:lineRule="auto"/>
        <w:jc w:val="both"/>
        <w:divId w:val="1336884897"/>
        <w:rPr>
          <w:rFonts w:ascii="Book Antiqua" w:hAnsi="Book Antiqua" w:cs="宋体"/>
        </w:rPr>
      </w:pPr>
      <w:r w:rsidRPr="004C2C62">
        <w:rPr>
          <w:rFonts w:ascii="Book Antiqua" w:hAnsi="Book Antiqua" w:cs="宋体"/>
        </w:rPr>
        <w:t xml:space="preserve">75 </w:t>
      </w:r>
      <w:r w:rsidRPr="004C2C62">
        <w:rPr>
          <w:rFonts w:ascii="Book Antiqua" w:hAnsi="Book Antiqua" w:cs="宋体"/>
          <w:b/>
          <w:bCs/>
        </w:rPr>
        <w:t>Gane EJ</w:t>
      </w:r>
      <w:r w:rsidRPr="004C2C62">
        <w:rPr>
          <w:rFonts w:ascii="Book Antiqua" w:hAnsi="Book Antiqua" w:cs="宋体"/>
        </w:rPr>
        <w:t xml:space="preserve">. The natural history of recurrent hepatitis C and what influences this. </w:t>
      </w:r>
      <w:r w:rsidRPr="004C2C62">
        <w:rPr>
          <w:rFonts w:ascii="Book Antiqua" w:hAnsi="Book Antiqua" w:cs="宋体"/>
          <w:i/>
          <w:iCs/>
        </w:rPr>
        <w:t>Liver Transpl</w:t>
      </w:r>
      <w:r w:rsidRPr="004C2C62">
        <w:rPr>
          <w:rFonts w:ascii="Book Antiqua" w:hAnsi="Book Antiqua" w:cs="宋体"/>
        </w:rPr>
        <w:t xml:space="preserve"> 2008; </w:t>
      </w:r>
      <w:r w:rsidRPr="004C2C62">
        <w:rPr>
          <w:rFonts w:ascii="Book Antiqua" w:hAnsi="Book Antiqua" w:cs="宋体"/>
          <w:b/>
          <w:bCs/>
        </w:rPr>
        <w:t xml:space="preserve">14 </w:t>
      </w:r>
      <w:r w:rsidRPr="004C2C62">
        <w:rPr>
          <w:rFonts w:ascii="Book Antiqua" w:hAnsi="Book Antiqua" w:cs="宋体"/>
          <w:bCs/>
        </w:rPr>
        <w:t>Suppl 2</w:t>
      </w:r>
      <w:r w:rsidRPr="004C2C62">
        <w:rPr>
          <w:rFonts w:ascii="Book Antiqua" w:hAnsi="Book Antiqua" w:cs="宋体"/>
        </w:rPr>
        <w:t>: S36-S44 [PMID: 18825724 DOI: 10.1002/lt.21646]</w:t>
      </w:r>
    </w:p>
    <w:p w14:paraId="770BEF58" w14:textId="77777777" w:rsidR="00CD1426" w:rsidRPr="004C2C62" w:rsidRDefault="00CD1426" w:rsidP="00CD1426">
      <w:pPr>
        <w:spacing w:line="360" w:lineRule="auto"/>
        <w:jc w:val="both"/>
        <w:divId w:val="1336884897"/>
        <w:rPr>
          <w:rFonts w:ascii="Book Antiqua" w:hAnsi="Book Antiqua" w:cs="宋体"/>
        </w:rPr>
      </w:pPr>
      <w:r w:rsidRPr="004C2C62">
        <w:rPr>
          <w:rFonts w:ascii="Book Antiqua" w:hAnsi="Book Antiqua" w:cs="宋体"/>
        </w:rPr>
        <w:t xml:space="preserve">76 </w:t>
      </w:r>
      <w:r w:rsidRPr="004C2C62">
        <w:rPr>
          <w:rFonts w:ascii="Book Antiqua" w:hAnsi="Book Antiqua" w:cs="宋体"/>
          <w:b/>
          <w:bCs/>
        </w:rPr>
        <w:t>Narang TK</w:t>
      </w:r>
      <w:r w:rsidRPr="004C2C62">
        <w:rPr>
          <w:rFonts w:ascii="Book Antiqua" w:hAnsi="Book Antiqua" w:cs="宋体"/>
        </w:rPr>
        <w:t xml:space="preserve">, Ahrens W, Russo MW. Post-liver transplant cholestatic hepatitis C: a systematic review of clinical and pathological findings and application of consensus criteria. </w:t>
      </w:r>
      <w:r w:rsidRPr="004C2C62">
        <w:rPr>
          <w:rFonts w:ascii="Book Antiqua" w:hAnsi="Book Antiqua" w:cs="宋体"/>
          <w:i/>
          <w:iCs/>
        </w:rPr>
        <w:t>Liver Transpl</w:t>
      </w:r>
      <w:r w:rsidRPr="004C2C62">
        <w:rPr>
          <w:rFonts w:ascii="Book Antiqua" w:hAnsi="Book Antiqua" w:cs="宋体"/>
        </w:rPr>
        <w:t xml:space="preserve"> 2010; </w:t>
      </w:r>
      <w:r w:rsidRPr="004C2C62">
        <w:rPr>
          <w:rFonts w:ascii="Book Antiqua" w:hAnsi="Book Antiqua" w:cs="宋体"/>
          <w:b/>
          <w:bCs/>
        </w:rPr>
        <w:t>16</w:t>
      </w:r>
      <w:r w:rsidRPr="004C2C62">
        <w:rPr>
          <w:rFonts w:ascii="Book Antiqua" w:hAnsi="Book Antiqua" w:cs="宋体"/>
        </w:rPr>
        <w:t>: 1228-1235 [PMID: 21031537 DOI: 10.1002/lt.22175]</w:t>
      </w:r>
    </w:p>
    <w:p w14:paraId="1FEA0C77" w14:textId="77777777" w:rsidR="00CD1426" w:rsidRPr="004C2C62" w:rsidRDefault="00CD1426" w:rsidP="00CD1426">
      <w:pPr>
        <w:spacing w:line="360" w:lineRule="auto"/>
        <w:jc w:val="both"/>
        <w:divId w:val="1336884897"/>
        <w:rPr>
          <w:rFonts w:ascii="Book Antiqua" w:hAnsi="Book Antiqua" w:cs="宋体"/>
        </w:rPr>
      </w:pPr>
      <w:r w:rsidRPr="004C2C62">
        <w:rPr>
          <w:rFonts w:ascii="Book Antiqua" w:hAnsi="Book Antiqua" w:cs="宋体"/>
        </w:rPr>
        <w:t xml:space="preserve">77 </w:t>
      </w:r>
      <w:r w:rsidRPr="004C2C62">
        <w:rPr>
          <w:rFonts w:ascii="Book Antiqua" w:hAnsi="Book Antiqua" w:cs="宋体"/>
          <w:b/>
          <w:bCs/>
        </w:rPr>
        <w:t>Sharma P</w:t>
      </w:r>
      <w:r w:rsidRPr="004C2C62">
        <w:rPr>
          <w:rFonts w:ascii="Book Antiqua" w:hAnsi="Book Antiqua" w:cs="宋体"/>
        </w:rPr>
        <w:t xml:space="preserve">, Marrero JA, Fontana RJ, Greenson JK, Conjeevaram H, Su GL, Askari F, Sullivan P, Lok AS. Sustained virologic response to therapy of recurrent hepatitis C after liver transplantation is related to early virologic response and dose adherence. </w:t>
      </w:r>
      <w:r w:rsidRPr="004C2C62">
        <w:rPr>
          <w:rFonts w:ascii="Book Antiqua" w:hAnsi="Book Antiqua" w:cs="宋体"/>
          <w:i/>
          <w:iCs/>
        </w:rPr>
        <w:t>Liver Transpl</w:t>
      </w:r>
      <w:r w:rsidRPr="004C2C62">
        <w:rPr>
          <w:rFonts w:ascii="Book Antiqua" w:hAnsi="Book Antiqua" w:cs="宋体"/>
        </w:rPr>
        <w:t xml:space="preserve"> 2007; </w:t>
      </w:r>
      <w:r w:rsidRPr="004C2C62">
        <w:rPr>
          <w:rFonts w:ascii="Book Antiqua" w:hAnsi="Book Antiqua" w:cs="宋体"/>
          <w:b/>
          <w:bCs/>
        </w:rPr>
        <w:t>13</w:t>
      </w:r>
      <w:r w:rsidRPr="004C2C62">
        <w:rPr>
          <w:rFonts w:ascii="Book Antiqua" w:hAnsi="Book Antiqua" w:cs="宋体"/>
        </w:rPr>
        <w:t>: 1100-1108 [PMID: 17377914 DOI: 10.1002/lt.21121]</w:t>
      </w:r>
    </w:p>
    <w:p w14:paraId="70ECF0B1" w14:textId="77777777" w:rsidR="00CD1426" w:rsidRPr="004C2C62" w:rsidRDefault="00CD1426" w:rsidP="00CD1426">
      <w:pPr>
        <w:spacing w:line="360" w:lineRule="auto"/>
        <w:jc w:val="both"/>
        <w:divId w:val="1336884897"/>
        <w:rPr>
          <w:rFonts w:ascii="Book Antiqua" w:hAnsi="Book Antiqua" w:cs="宋体"/>
        </w:rPr>
      </w:pPr>
      <w:r w:rsidRPr="004C2C62">
        <w:rPr>
          <w:rFonts w:ascii="Book Antiqua" w:hAnsi="Book Antiqua" w:cs="宋体"/>
        </w:rPr>
        <w:t xml:space="preserve">78 </w:t>
      </w:r>
      <w:r w:rsidRPr="004C2C62">
        <w:rPr>
          <w:rFonts w:ascii="Book Antiqua" w:hAnsi="Book Antiqua" w:cs="宋体"/>
          <w:b/>
          <w:bCs/>
        </w:rPr>
        <w:t>Coilly A</w:t>
      </w:r>
      <w:r w:rsidRPr="004C2C62">
        <w:rPr>
          <w:rFonts w:ascii="Book Antiqua" w:hAnsi="Book Antiqua" w:cs="宋体"/>
        </w:rPr>
        <w:t xml:space="preserve">, Roche B, Duclos-Vallée JC, Samuel D. Management of HCV transplant patients with triple therapy. </w:t>
      </w:r>
      <w:r w:rsidRPr="004C2C62">
        <w:rPr>
          <w:rFonts w:ascii="Book Antiqua" w:hAnsi="Book Antiqua" w:cs="宋体"/>
          <w:i/>
          <w:iCs/>
        </w:rPr>
        <w:t>Liver Int</w:t>
      </w:r>
      <w:r w:rsidRPr="004C2C62">
        <w:rPr>
          <w:rFonts w:ascii="Book Antiqua" w:hAnsi="Book Antiqua" w:cs="宋体"/>
        </w:rPr>
        <w:t xml:space="preserve"> 2014; </w:t>
      </w:r>
      <w:r w:rsidRPr="004C2C62">
        <w:rPr>
          <w:rFonts w:ascii="Book Antiqua" w:hAnsi="Book Antiqua" w:cs="宋体"/>
          <w:b/>
          <w:bCs/>
        </w:rPr>
        <w:t xml:space="preserve">34 </w:t>
      </w:r>
      <w:r w:rsidRPr="004C2C62">
        <w:rPr>
          <w:rFonts w:ascii="Book Antiqua" w:hAnsi="Book Antiqua" w:cs="宋体"/>
          <w:bCs/>
        </w:rPr>
        <w:t>Suppl 1</w:t>
      </w:r>
      <w:r w:rsidRPr="004C2C62">
        <w:rPr>
          <w:rFonts w:ascii="Book Antiqua" w:hAnsi="Book Antiqua" w:cs="宋体"/>
        </w:rPr>
        <w:t>: 46-52 [PMID: 24373078 DOI: 10.1111/liv.12406]</w:t>
      </w:r>
    </w:p>
    <w:p w14:paraId="4CDAB0BC" w14:textId="77777777" w:rsidR="00CD1426" w:rsidRPr="004C2C62" w:rsidRDefault="00CD1426" w:rsidP="00CD1426">
      <w:pPr>
        <w:spacing w:line="360" w:lineRule="auto"/>
        <w:jc w:val="both"/>
        <w:divId w:val="1336884897"/>
        <w:rPr>
          <w:rFonts w:ascii="Book Antiqua" w:hAnsi="Book Antiqua" w:cs="宋体"/>
        </w:rPr>
      </w:pPr>
      <w:r w:rsidRPr="004C2C62">
        <w:rPr>
          <w:rFonts w:ascii="Book Antiqua" w:hAnsi="Book Antiqua" w:cs="宋体"/>
        </w:rPr>
        <w:t xml:space="preserve">79 </w:t>
      </w:r>
      <w:r w:rsidRPr="004C2C62">
        <w:rPr>
          <w:rFonts w:ascii="Book Antiqua" w:hAnsi="Book Antiqua" w:cs="宋体"/>
          <w:b/>
          <w:bCs/>
        </w:rPr>
        <w:t>Charlton M</w:t>
      </w:r>
      <w:r w:rsidRPr="004C2C62">
        <w:rPr>
          <w:rFonts w:ascii="Book Antiqua" w:hAnsi="Book Antiqua" w:cs="宋体"/>
        </w:rPr>
        <w:t xml:space="preserve">, Gane E, Manns MP, Brown RS, Curry MP, Kwo PY, Fontana RJ, Gilroy R, Teperman L, Muir AJ, McHutchison JG, Symonds WT, Brainard D, Kirby B, Dvory-Sobol H, Denning J, Arterburn S, Samuel D, Forns X, Terrault NA. Sofosbuvir and ribavirin for treatment of compensated recurrent hepatitis C virus infection after liver transplantation. </w:t>
      </w:r>
      <w:r w:rsidRPr="004C2C62">
        <w:rPr>
          <w:rFonts w:ascii="Book Antiqua" w:hAnsi="Book Antiqua" w:cs="宋体"/>
          <w:i/>
          <w:iCs/>
        </w:rPr>
        <w:t>Gastroenterology</w:t>
      </w:r>
      <w:r w:rsidRPr="004C2C62">
        <w:rPr>
          <w:rFonts w:ascii="Book Antiqua" w:hAnsi="Book Antiqua" w:cs="宋体"/>
        </w:rPr>
        <w:t xml:space="preserve"> 2015; </w:t>
      </w:r>
      <w:r w:rsidRPr="004C2C62">
        <w:rPr>
          <w:rFonts w:ascii="Book Antiqua" w:hAnsi="Book Antiqua" w:cs="宋体"/>
          <w:b/>
          <w:bCs/>
        </w:rPr>
        <w:t>148</w:t>
      </w:r>
      <w:r w:rsidRPr="004C2C62">
        <w:rPr>
          <w:rFonts w:ascii="Book Antiqua" w:hAnsi="Book Antiqua" w:cs="宋体"/>
        </w:rPr>
        <w:t>: 108-117 [PMID: 25304641 DOI: 10.1053/j.gastro.2014.10.001]</w:t>
      </w:r>
    </w:p>
    <w:p w14:paraId="0B7C4533" w14:textId="77777777" w:rsidR="00CD1426" w:rsidRPr="00CD1426" w:rsidRDefault="00CD1426" w:rsidP="00CD1426">
      <w:pPr>
        <w:pStyle w:val="NormalWeb"/>
        <w:spacing w:before="0" w:beforeAutospacing="0" w:after="0" w:afterAutospacing="0" w:line="360" w:lineRule="auto"/>
        <w:jc w:val="both"/>
        <w:divId w:val="1336884897"/>
        <w:rPr>
          <w:rFonts w:ascii="Book Antiqua" w:eastAsia="宋体" w:hAnsi="Book Antiqua" w:cs="宋体"/>
          <w:sz w:val="24"/>
          <w:szCs w:val="24"/>
          <w:lang w:eastAsia="zh-CN"/>
        </w:rPr>
      </w:pPr>
      <w:r w:rsidRPr="004C2C62">
        <w:rPr>
          <w:rFonts w:ascii="Book Antiqua" w:eastAsia="宋体" w:hAnsi="Book Antiqua" w:cs="宋体"/>
          <w:sz w:val="24"/>
          <w:szCs w:val="24"/>
        </w:rPr>
        <w:t xml:space="preserve">80 </w:t>
      </w:r>
      <w:r w:rsidRPr="004C2C62">
        <w:rPr>
          <w:rFonts w:ascii="Book Antiqua" w:eastAsia="宋体" w:hAnsi="Book Antiqua" w:cs="宋体"/>
          <w:b/>
          <w:bCs/>
          <w:sz w:val="24"/>
          <w:szCs w:val="24"/>
        </w:rPr>
        <w:t>Pellicelli AM</w:t>
      </w:r>
      <w:r w:rsidRPr="004C2C62">
        <w:rPr>
          <w:rFonts w:ascii="Book Antiqua" w:eastAsia="宋体" w:hAnsi="Book Antiqua" w:cs="宋体"/>
          <w:sz w:val="24"/>
          <w:szCs w:val="24"/>
        </w:rPr>
        <w:t>, Montalbano M, Lionetti R, D</w:t>
      </w:r>
      <w:r w:rsidRPr="00CD1426">
        <w:rPr>
          <w:rFonts w:ascii="Book Antiqua" w:eastAsia="宋体" w:hAnsi="Book Antiqua" w:cs="宋体"/>
          <w:sz w:val="24"/>
          <w:szCs w:val="24"/>
        </w:rPr>
        <w:t>urand C, Ferenci P, D'Offizi G,</w:t>
      </w:r>
    </w:p>
    <w:p w14:paraId="41B51903" w14:textId="39776901" w:rsidR="006074EB" w:rsidRPr="00CD1426" w:rsidRDefault="00CD1426" w:rsidP="00CD1426">
      <w:pPr>
        <w:pStyle w:val="NormalWeb"/>
        <w:spacing w:before="0" w:beforeAutospacing="0" w:after="0" w:afterAutospacing="0" w:line="360" w:lineRule="auto"/>
        <w:jc w:val="both"/>
        <w:divId w:val="1336884897"/>
        <w:rPr>
          <w:rFonts w:ascii="Book Antiqua" w:eastAsia="宋体" w:hAnsi="Book Antiqua" w:cs="宋体"/>
          <w:sz w:val="24"/>
          <w:szCs w:val="24"/>
          <w:lang w:eastAsia="zh-CN"/>
        </w:rPr>
      </w:pPr>
      <w:r w:rsidRPr="004C2C62">
        <w:rPr>
          <w:rFonts w:ascii="Book Antiqua" w:eastAsia="宋体" w:hAnsi="Book Antiqua" w:cs="宋体"/>
          <w:sz w:val="24"/>
          <w:szCs w:val="24"/>
        </w:rPr>
        <w:lastRenderedPageBreak/>
        <w:t xml:space="preserve">Knop V, Telese A, Lenci I, Andreoli A, Zeuzem S, Angelico M. Sofosbuvir plus daclatasvir for post-transplant recurrent hepatitis C: potent antiviral activity but no clinical benefit if treatment is given late. </w:t>
      </w:r>
      <w:r w:rsidRPr="004C2C62">
        <w:rPr>
          <w:rFonts w:ascii="Book Antiqua" w:eastAsia="宋体" w:hAnsi="Book Antiqua" w:cs="宋体"/>
          <w:i/>
          <w:iCs/>
          <w:sz w:val="24"/>
          <w:szCs w:val="24"/>
        </w:rPr>
        <w:t>Dig Liver Dis</w:t>
      </w:r>
      <w:r w:rsidRPr="004C2C62">
        <w:rPr>
          <w:rFonts w:ascii="Book Antiqua" w:eastAsia="宋体" w:hAnsi="Book Antiqua" w:cs="宋体"/>
          <w:sz w:val="24"/>
          <w:szCs w:val="24"/>
        </w:rPr>
        <w:t xml:space="preserve"> 2014; </w:t>
      </w:r>
      <w:r w:rsidRPr="004C2C62">
        <w:rPr>
          <w:rFonts w:ascii="Book Antiqua" w:eastAsia="宋体" w:hAnsi="Book Antiqua" w:cs="宋体"/>
          <w:b/>
          <w:bCs/>
          <w:sz w:val="24"/>
          <w:szCs w:val="24"/>
        </w:rPr>
        <w:t>46</w:t>
      </w:r>
      <w:r w:rsidRPr="004C2C62">
        <w:rPr>
          <w:rFonts w:ascii="Book Antiqua" w:eastAsia="宋体" w:hAnsi="Book Antiqua" w:cs="宋体"/>
          <w:sz w:val="24"/>
          <w:szCs w:val="24"/>
        </w:rPr>
        <w:t>: 923-927 [PMID: 24997638 DOI: 10.1016/j.dld.2014.06.004]</w:t>
      </w:r>
    </w:p>
    <w:p w14:paraId="654CBA12" w14:textId="2BB38892" w:rsidR="00CD1426" w:rsidRPr="00CD1426" w:rsidRDefault="00CD1426" w:rsidP="00CD1426">
      <w:pPr>
        <w:wordWrap w:val="0"/>
        <w:adjustRightInd w:val="0"/>
        <w:snapToGrid w:val="0"/>
        <w:spacing w:line="360" w:lineRule="auto"/>
        <w:ind w:right="239"/>
        <w:jc w:val="right"/>
        <w:divId w:val="1336884897"/>
        <w:rPr>
          <w:rFonts w:ascii="Book Antiqua" w:hAnsi="Book Antiqua"/>
          <w:b/>
          <w:bCs/>
          <w:lang w:val="en-GB"/>
        </w:rPr>
      </w:pPr>
      <w:r w:rsidRPr="00CD1426">
        <w:rPr>
          <w:rStyle w:val="Strong"/>
          <w:rFonts w:ascii="Book Antiqua" w:hAnsi="Book Antiqua" w:cs="Arial"/>
          <w:noProof/>
          <w:lang w:val="en-GB"/>
        </w:rPr>
        <w:t>P-Reviewer:</w:t>
      </w:r>
      <w:r w:rsidRPr="00CD1426">
        <w:rPr>
          <w:rFonts w:ascii="Book Antiqua" w:hAnsi="Book Antiqua"/>
          <w:color w:val="000000"/>
          <w:lang w:val="en-GB"/>
        </w:rPr>
        <w:t xml:space="preserve"> </w:t>
      </w:r>
      <w:proofErr w:type="spellStart"/>
      <w:r w:rsidRPr="00CD1426">
        <w:rPr>
          <w:rFonts w:ascii="Book Antiqua" w:hAnsi="Book Antiqua"/>
          <w:color w:val="000000"/>
          <w:lang w:val="en-GB"/>
        </w:rPr>
        <w:t>Fouad</w:t>
      </w:r>
      <w:proofErr w:type="spellEnd"/>
      <w:r w:rsidRPr="00CD1426">
        <w:rPr>
          <w:rFonts w:ascii="Book Antiqua" w:hAnsi="Book Antiqua"/>
          <w:color w:val="000000"/>
          <w:lang w:val="en-GB" w:eastAsia="zh-CN"/>
        </w:rPr>
        <w:t xml:space="preserve"> YM</w:t>
      </w:r>
      <w:r w:rsidRPr="00CD1426">
        <w:rPr>
          <w:rFonts w:ascii="Book Antiqua" w:hAnsi="Book Antiqua"/>
          <w:color w:val="000000"/>
          <w:lang w:val="en-GB"/>
        </w:rPr>
        <w:t>, Rodriguez-</w:t>
      </w:r>
      <w:proofErr w:type="spellStart"/>
      <w:r w:rsidRPr="00CD1426">
        <w:rPr>
          <w:rFonts w:ascii="Book Antiqua" w:hAnsi="Book Antiqua"/>
          <w:color w:val="000000"/>
          <w:lang w:val="en-GB"/>
        </w:rPr>
        <w:t>Peralvarez</w:t>
      </w:r>
      <w:proofErr w:type="spellEnd"/>
      <w:r w:rsidRPr="00CD1426">
        <w:rPr>
          <w:rFonts w:ascii="Book Antiqua" w:hAnsi="Book Antiqua"/>
          <w:color w:val="000000"/>
          <w:lang w:val="en-GB" w:eastAsia="zh-CN"/>
        </w:rPr>
        <w:t xml:space="preserve"> </w:t>
      </w:r>
      <w:r w:rsidRPr="00CD1426">
        <w:rPr>
          <w:rFonts w:ascii="Book Antiqua" w:hAnsi="Book Antiqua"/>
          <w:color w:val="000000"/>
          <w:lang w:val="en-GB"/>
        </w:rPr>
        <w:t>M</w:t>
      </w:r>
      <w:r w:rsidRPr="00CD1426">
        <w:rPr>
          <w:rFonts w:ascii="Book Antiqua" w:hAnsi="Book Antiqua"/>
          <w:bCs/>
          <w:lang w:val="en-GB"/>
        </w:rPr>
        <w:t xml:space="preserve"> </w:t>
      </w:r>
      <w:r w:rsidRPr="00CD1426">
        <w:rPr>
          <w:rFonts w:ascii="Book Antiqua" w:hAnsi="Book Antiqua"/>
          <w:b/>
          <w:bCs/>
          <w:lang w:val="en-GB"/>
        </w:rPr>
        <w:t>S-Editor:</w:t>
      </w:r>
      <w:r w:rsidRPr="00CD1426">
        <w:rPr>
          <w:rFonts w:ascii="Book Antiqua" w:hAnsi="Book Antiqua"/>
          <w:bCs/>
          <w:lang w:val="en-GB"/>
        </w:rPr>
        <w:t xml:space="preserve"> </w:t>
      </w:r>
      <w:proofErr w:type="spellStart"/>
      <w:r w:rsidRPr="00CD1426">
        <w:rPr>
          <w:rFonts w:ascii="Book Antiqua" w:hAnsi="Book Antiqua"/>
          <w:bCs/>
          <w:lang w:val="en-GB"/>
        </w:rPr>
        <w:t>Tian</w:t>
      </w:r>
      <w:proofErr w:type="spellEnd"/>
      <w:r w:rsidRPr="00CD1426">
        <w:rPr>
          <w:rFonts w:ascii="Book Antiqua" w:hAnsi="Book Antiqua"/>
          <w:bCs/>
          <w:lang w:val="en-GB"/>
        </w:rPr>
        <w:t xml:space="preserve"> YL</w:t>
      </w:r>
    </w:p>
    <w:p w14:paraId="4B8B3AC7" w14:textId="77777777" w:rsidR="00CD1426" w:rsidRPr="00CD1426" w:rsidRDefault="00CD1426" w:rsidP="00CD1426">
      <w:pPr>
        <w:adjustRightInd w:val="0"/>
        <w:snapToGrid w:val="0"/>
        <w:spacing w:line="360" w:lineRule="auto"/>
        <w:ind w:right="239"/>
        <w:jc w:val="right"/>
        <w:divId w:val="1336884897"/>
        <w:rPr>
          <w:rFonts w:ascii="Book Antiqua" w:hAnsi="Book Antiqua"/>
          <w:bCs/>
        </w:rPr>
      </w:pPr>
      <w:r w:rsidRPr="00CD1426">
        <w:rPr>
          <w:rFonts w:ascii="Book Antiqua" w:hAnsi="Book Antiqua"/>
          <w:b/>
          <w:bCs/>
        </w:rPr>
        <w:t>L-Editor:   E-Editor:</w:t>
      </w:r>
    </w:p>
    <w:p w14:paraId="61B2E6EE" w14:textId="77777777" w:rsidR="00CD1426" w:rsidRPr="00CD1426" w:rsidRDefault="00CD1426" w:rsidP="00CD1426">
      <w:pPr>
        <w:pStyle w:val="NormalWeb"/>
        <w:spacing w:before="0" w:beforeAutospacing="0" w:after="0" w:afterAutospacing="0" w:line="360" w:lineRule="auto"/>
        <w:jc w:val="both"/>
        <w:divId w:val="1336884897"/>
        <w:rPr>
          <w:rFonts w:ascii="Book Antiqua" w:eastAsia="宋体" w:hAnsi="Book Antiqua" w:cs="宋体"/>
          <w:sz w:val="24"/>
          <w:szCs w:val="24"/>
          <w:lang w:eastAsia="zh-CN"/>
        </w:rPr>
      </w:pPr>
    </w:p>
    <w:p w14:paraId="2A5C3B94" w14:textId="77777777" w:rsidR="00CD1426" w:rsidRPr="00CD1426" w:rsidRDefault="00CD1426" w:rsidP="00CD1426">
      <w:pPr>
        <w:pStyle w:val="NormalWeb"/>
        <w:spacing w:before="0" w:beforeAutospacing="0" w:after="0" w:afterAutospacing="0" w:line="360" w:lineRule="auto"/>
        <w:ind w:left="640" w:hanging="640"/>
        <w:jc w:val="both"/>
        <w:divId w:val="1336884897"/>
        <w:rPr>
          <w:rFonts w:ascii="Book Antiqua" w:eastAsia="宋体" w:hAnsi="Book Antiqua" w:cs="Arial"/>
          <w:b/>
          <w:bCs/>
          <w:sz w:val="24"/>
          <w:szCs w:val="24"/>
          <w:lang w:val="en-US" w:eastAsia="zh-CN"/>
        </w:rPr>
      </w:pPr>
    </w:p>
    <w:p w14:paraId="2C39EA55" w14:textId="619484E9" w:rsidR="002B302F" w:rsidRPr="00CD1426" w:rsidRDefault="002B302F" w:rsidP="00CD1426">
      <w:pPr>
        <w:jc w:val="both"/>
        <w:rPr>
          <w:rFonts w:ascii="Book Antiqua" w:hAnsi="Book Antiqua" w:cs="Arial"/>
          <w:b/>
          <w:bCs/>
          <w:lang w:val="en-US" w:eastAsia="zh-CN"/>
        </w:rPr>
      </w:pPr>
      <w:r w:rsidRPr="00CD1426">
        <w:rPr>
          <w:rFonts w:ascii="Book Antiqua" w:hAnsi="Book Antiqua" w:cs="Arial"/>
          <w:b/>
          <w:lang w:val="en-US"/>
        </w:rPr>
        <w:br w:type="page"/>
      </w:r>
    </w:p>
    <w:p w14:paraId="5E570F61" w14:textId="1AE61FB0" w:rsidR="006074EB" w:rsidRPr="00CD1426" w:rsidRDefault="006074EB" w:rsidP="00CD1426">
      <w:pPr>
        <w:spacing w:line="360" w:lineRule="auto"/>
        <w:jc w:val="both"/>
        <w:rPr>
          <w:rFonts w:ascii="Book Antiqua" w:hAnsi="Book Antiqua" w:cs="Arial"/>
          <w:b/>
          <w:lang w:val="en-US" w:eastAsia="zh-CN"/>
        </w:rPr>
      </w:pPr>
      <w:r w:rsidRPr="00CD1426">
        <w:rPr>
          <w:rFonts w:ascii="Book Antiqua" w:hAnsi="Book Antiqua" w:cs="Arial"/>
          <w:b/>
          <w:lang w:val="en-US"/>
        </w:rPr>
        <w:lastRenderedPageBreak/>
        <w:t>Table 1 Risk factors associated with SVR12 in 1</w:t>
      </w:r>
      <w:r w:rsidRPr="00CD1426">
        <w:rPr>
          <w:rFonts w:ascii="Book Antiqua" w:hAnsi="Book Antiqua" w:cs="Arial"/>
          <w:b/>
          <w:vertAlign w:val="superscript"/>
          <w:lang w:val="en-US"/>
        </w:rPr>
        <w:t>st</w:t>
      </w:r>
      <w:r w:rsidRPr="00CD1426">
        <w:rPr>
          <w:rFonts w:ascii="Book Antiqua" w:hAnsi="Book Antiqua" w:cs="Arial"/>
          <w:b/>
          <w:lang w:val="en-US"/>
        </w:rPr>
        <w:t xml:space="preserve"> generation </w:t>
      </w:r>
      <w:r w:rsidR="001D7445" w:rsidRPr="00CD1426">
        <w:rPr>
          <w:rFonts w:ascii="Book Antiqua" w:hAnsi="Book Antiqua" w:cs="Arial"/>
          <w:b/>
          <w:lang w:val="en-US"/>
        </w:rPr>
        <w:t xml:space="preserve">direct acting antivirals </w:t>
      </w:r>
      <w:r w:rsidRPr="00CD1426">
        <w:rPr>
          <w:rFonts w:ascii="Book Antiqua" w:hAnsi="Book Antiqua" w:cs="Arial"/>
          <w:b/>
          <w:lang w:val="en-US"/>
        </w:rPr>
        <w:t xml:space="preserve">drugs in treatment naïve and patients previously treated with </w:t>
      </w:r>
      <w:proofErr w:type="spellStart"/>
      <w:r w:rsidRPr="00CD1426">
        <w:rPr>
          <w:rFonts w:ascii="Book Antiqua" w:hAnsi="Book Antiqua" w:cs="Arial"/>
          <w:b/>
          <w:lang w:val="en-US"/>
        </w:rPr>
        <w:t>pegylated</w:t>
      </w:r>
      <w:proofErr w:type="spellEnd"/>
      <w:r w:rsidRPr="00CD1426">
        <w:rPr>
          <w:rFonts w:ascii="Book Antiqua" w:hAnsi="Book Antiqua" w:cs="Arial"/>
          <w:b/>
          <w:lang w:val="en-US"/>
        </w:rPr>
        <w:t xml:space="preserve"> interferon and ribavirin</w:t>
      </w:r>
    </w:p>
    <w:tbl>
      <w:tblPr>
        <w:tblW w:w="10035" w:type="dxa"/>
        <w:tblInd w:w="93" w:type="dxa"/>
        <w:tblLook w:val="04A0" w:firstRow="1" w:lastRow="0" w:firstColumn="1" w:lastColumn="0" w:noHBand="0" w:noVBand="1"/>
      </w:tblPr>
      <w:tblGrid>
        <w:gridCol w:w="3534"/>
        <w:gridCol w:w="910"/>
        <w:gridCol w:w="1522"/>
        <w:gridCol w:w="1656"/>
        <w:gridCol w:w="910"/>
        <w:gridCol w:w="1503"/>
      </w:tblGrid>
      <w:tr w:rsidR="002B302F" w:rsidRPr="00CD1426" w14:paraId="3C87D52B" w14:textId="77777777" w:rsidTr="00DF49D3">
        <w:trPr>
          <w:trHeight w:val="320"/>
        </w:trPr>
        <w:tc>
          <w:tcPr>
            <w:tcW w:w="3534" w:type="dxa"/>
            <w:tcBorders>
              <w:top w:val="single" w:sz="4" w:space="0" w:color="auto"/>
              <w:left w:val="nil"/>
              <w:bottom w:val="single" w:sz="8" w:space="0" w:color="auto"/>
              <w:right w:val="nil"/>
            </w:tcBorders>
            <w:shd w:val="clear" w:color="auto" w:fill="auto"/>
            <w:noWrap/>
            <w:vAlign w:val="bottom"/>
          </w:tcPr>
          <w:p w14:paraId="50D5DDCF" w14:textId="77777777" w:rsidR="002B302F" w:rsidRPr="00CD1426" w:rsidRDefault="002B302F" w:rsidP="00CD1426">
            <w:pPr>
              <w:spacing w:line="360" w:lineRule="auto"/>
              <w:jc w:val="both"/>
              <w:rPr>
                <w:rFonts w:ascii="Book Antiqua" w:hAnsi="Book Antiqua" w:cs="Arial"/>
                <w:lang w:val="en-US" w:eastAsia="en-US"/>
              </w:rPr>
            </w:pPr>
            <w:r w:rsidRPr="00CD1426">
              <w:rPr>
                <w:rFonts w:ascii="Book Antiqua" w:hAnsi="Book Antiqua" w:cs="Arial"/>
                <w:lang w:val="en-US" w:eastAsia="en-US"/>
              </w:rPr>
              <w:t> </w:t>
            </w:r>
          </w:p>
        </w:tc>
        <w:tc>
          <w:tcPr>
            <w:tcW w:w="6501" w:type="dxa"/>
            <w:gridSpan w:val="5"/>
            <w:tcBorders>
              <w:top w:val="single" w:sz="4" w:space="0" w:color="auto"/>
              <w:left w:val="nil"/>
              <w:bottom w:val="single" w:sz="8" w:space="0" w:color="auto"/>
              <w:right w:val="nil"/>
            </w:tcBorders>
            <w:shd w:val="clear" w:color="auto" w:fill="auto"/>
            <w:noWrap/>
            <w:vAlign w:val="bottom"/>
          </w:tcPr>
          <w:p w14:paraId="37AB2A70" w14:textId="5DDDD1E3" w:rsidR="002B302F" w:rsidRPr="00CD1426" w:rsidRDefault="002B302F" w:rsidP="00CD1426">
            <w:pPr>
              <w:spacing w:line="360" w:lineRule="auto"/>
              <w:jc w:val="both"/>
              <w:rPr>
                <w:rFonts w:ascii="Book Antiqua" w:hAnsi="Book Antiqua" w:cs="Arial"/>
                <w:b/>
                <w:bCs/>
                <w:lang w:val="en-US" w:eastAsia="en-US"/>
              </w:rPr>
            </w:pPr>
            <w:r w:rsidRPr="00CD1426">
              <w:rPr>
                <w:rFonts w:ascii="Book Antiqua" w:hAnsi="Book Antiqua" w:cs="Arial"/>
                <w:b/>
                <w:bCs/>
                <w:lang w:val="en-US" w:eastAsia="en-US"/>
              </w:rPr>
              <w:t>SVR 12</w:t>
            </w:r>
            <w:r w:rsidR="00F50DCF" w:rsidRPr="00CD1426">
              <w:rPr>
                <w:rFonts w:ascii="Book Antiqua" w:hAnsi="Book Antiqua" w:cs="Arial"/>
                <w:b/>
                <w:bCs/>
                <w:lang w:val="en-US" w:eastAsia="zh-CN"/>
              </w:rPr>
              <w:t xml:space="preserve"> </w:t>
            </w:r>
            <w:r w:rsidRPr="00CD1426">
              <w:rPr>
                <w:rFonts w:ascii="Book Antiqua" w:hAnsi="Book Antiqua" w:cs="Arial"/>
                <w:b/>
                <w:bCs/>
                <w:lang w:val="en-US" w:eastAsia="en-US"/>
              </w:rPr>
              <w:t>rates</w:t>
            </w:r>
            <w:r w:rsidR="00F50DCF" w:rsidRPr="00CD1426">
              <w:rPr>
                <w:rFonts w:ascii="Book Antiqua" w:hAnsi="Book Antiqua" w:cs="Arial"/>
                <w:b/>
                <w:bCs/>
                <w:lang w:val="en-US" w:eastAsia="en-US"/>
              </w:rPr>
              <w:t xml:space="preserve"> (%)</w:t>
            </w:r>
          </w:p>
        </w:tc>
      </w:tr>
      <w:tr w:rsidR="002B302F" w:rsidRPr="00CD1426" w14:paraId="65CBBB44" w14:textId="77777777" w:rsidTr="00C04C74">
        <w:trPr>
          <w:trHeight w:val="320"/>
        </w:trPr>
        <w:tc>
          <w:tcPr>
            <w:tcW w:w="3534" w:type="dxa"/>
            <w:tcBorders>
              <w:top w:val="nil"/>
              <w:left w:val="nil"/>
              <w:bottom w:val="single" w:sz="8" w:space="0" w:color="auto"/>
              <w:right w:val="nil"/>
            </w:tcBorders>
            <w:shd w:val="clear" w:color="auto" w:fill="auto"/>
            <w:noWrap/>
            <w:vAlign w:val="bottom"/>
          </w:tcPr>
          <w:p w14:paraId="42099B3A" w14:textId="77777777" w:rsidR="002B302F" w:rsidRPr="00CD1426" w:rsidRDefault="002B302F" w:rsidP="00CD1426">
            <w:pPr>
              <w:spacing w:line="360" w:lineRule="auto"/>
              <w:jc w:val="both"/>
              <w:rPr>
                <w:rFonts w:ascii="Book Antiqua" w:hAnsi="Book Antiqua" w:cs="Arial"/>
                <w:lang w:val="en-US" w:eastAsia="en-US"/>
              </w:rPr>
            </w:pPr>
            <w:r w:rsidRPr="00CD1426">
              <w:rPr>
                <w:rFonts w:ascii="Book Antiqua" w:hAnsi="Book Antiqua" w:cs="Arial"/>
                <w:lang w:val="en-US" w:eastAsia="en-US"/>
              </w:rPr>
              <w:t> </w:t>
            </w:r>
          </w:p>
        </w:tc>
        <w:tc>
          <w:tcPr>
            <w:tcW w:w="4088" w:type="dxa"/>
            <w:gridSpan w:val="3"/>
            <w:tcBorders>
              <w:top w:val="single" w:sz="8" w:space="0" w:color="auto"/>
              <w:left w:val="nil"/>
              <w:bottom w:val="single" w:sz="8" w:space="0" w:color="auto"/>
              <w:right w:val="nil"/>
            </w:tcBorders>
            <w:shd w:val="clear" w:color="auto" w:fill="auto"/>
            <w:noWrap/>
            <w:vAlign w:val="bottom"/>
          </w:tcPr>
          <w:p w14:paraId="0594DA4A" w14:textId="77777777" w:rsidR="002B302F" w:rsidRPr="00CD1426" w:rsidRDefault="002B302F" w:rsidP="00CD1426">
            <w:pPr>
              <w:spacing w:line="360" w:lineRule="auto"/>
              <w:jc w:val="both"/>
              <w:rPr>
                <w:rFonts w:ascii="Book Antiqua" w:hAnsi="Book Antiqua" w:cs="Arial"/>
                <w:lang w:val="en-US" w:eastAsia="en-US"/>
              </w:rPr>
            </w:pPr>
            <w:proofErr w:type="spellStart"/>
            <w:r w:rsidRPr="00CD1426">
              <w:rPr>
                <w:rFonts w:ascii="Book Antiqua" w:hAnsi="Book Antiqua" w:cs="Arial"/>
                <w:lang w:val="en-US" w:eastAsia="en-US"/>
              </w:rPr>
              <w:t>Boceprevir</w:t>
            </w:r>
            <w:proofErr w:type="spellEnd"/>
          </w:p>
        </w:tc>
        <w:tc>
          <w:tcPr>
            <w:tcW w:w="2413" w:type="dxa"/>
            <w:gridSpan w:val="2"/>
            <w:tcBorders>
              <w:top w:val="single" w:sz="8" w:space="0" w:color="auto"/>
              <w:left w:val="nil"/>
              <w:bottom w:val="single" w:sz="8" w:space="0" w:color="auto"/>
              <w:right w:val="nil"/>
            </w:tcBorders>
            <w:shd w:val="clear" w:color="auto" w:fill="auto"/>
            <w:noWrap/>
            <w:vAlign w:val="bottom"/>
          </w:tcPr>
          <w:p w14:paraId="3A86F0AC" w14:textId="77777777" w:rsidR="002B302F" w:rsidRPr="00CD1426" w:rsidRDefault="002B302F" w:rsidP="00CD1426">
            <w:pPr>
              <w:spacing w:line="360" w:lineRule="auto"/>
              <w:jc w:val="both"/>
              <w:rPr>
                <w:rFonts w:ascii="Book Antiqua" w:hAnsi="Book Antiqua" w:cs="Arial"/>
                <w:lang w:val="en-US" w:eastAsia="en-US"/>
              </w:rPr>
            </w:pPr>
            <w:proofErr w:type="spellStart"/>
            <w:r w:rsidRPr="00CD1426">
              <w:rPr>
                <w:rFonts w:ascii="Book Antiqua" w:hAnsi="Book Antiqua" w:cs="Arial"/>
                <w:lang w:val="en-US" w:eastAsia="en-US"/>
              </w:rPr>
              <w:t>Telaprevir</w:t>
            </w:r>
            <w:proofErr w:type="spellEnd"/>
          </w:p>
        </w:tc>
      </w:tr>
      <w:tr w:rsidR="002B302F" w:rsidRPr="00CD1426" w14:paraId="293FF1C5" w14:textId="77777777" w:rsidTr="00C04C74">
        <w:trPr>
          <w:trHeight w:val="300"/>
        </w:trPr>
        <w:tc>
          <w:tcPr>
            <w:tcW w:w="3534" w:type="dxa"/>
            <w:tcBorders>
              <w:top w:val="nil"/>
              <w:left w:val="nil"/>
              <w:bottom w:val="single" w:sz="4" w:space="0" w:color="auto"/>
              <w:right w:val="nil"/>
            </w:tcBorders>
            <w:shd w:val="clear" w:color="auto" w:fill="auto"/>
            <w:noWrap/>
            <w:vAlign w:val="bottom"/>
          </w:tcPr>
          <w:p w14:paraId="53DC162A" w14:textId="77777777" w:rsidR="002B302F" w:rsidRPr="00CD1426" w:rsidRDefault="002B302F" w:rsidP="00CD1426">
            <w:pPr>
              <w:spacing w:line="360" w:lineRule="auto"/>
              <w:jc w:val="both"/>
              <w:rPr>
                <w:rFonts w:ascii="Book Antiqua" w:hAnsi="Book Antiqua" w:cs="Arial"/>
                <w:lang w:val="en-US" w:eastAsia="en-US"/>
              </w:rPr>
            </w:pPr>
            <w:r w:rsidRPr="00CD1426">
              <w:rPr>
                <w:rFonts w:ascii="Book Antiqua" w:hAnsi="Book Antiqua" w:cs="Arial"/>
                <w:lang w:val="en-US" w:eastAsia="en-US"/>
              </w:rPr>
              <w:t>Predictive variables</w:t>
            </w:r>
          </w:p>
        </w:tc>
        <w:tc>
          <w:tcPr>
            <w:tcW w:w="910" w:type="dxa"/>
            <w:tcBorders>
              <w:top w:val="nil"/>
              <w:left w:val="nil"/>
              <w:bottom w:val="single" w:sz="4" w:space="0" w:color="auto"/>
              <w:right w:val="nil"/>
            </w:tcBorders>
            <w:shd w:val="clear" w:color="auto" w:fill="auto"/>
            <w:noWrap/>
            <w:vAlign w:val="bottom"/>
          </w:tcPr>
          <w:p w14:paraId="3D4B29C4" w14:textId="77777777" w:rsidR="002B302F" w:rsidRPr="00CD1426" w:rsidRDefault="002B302F" w:rsidP="00CD1426">
            <w:pPr>
              <w:spacing w:line="360" w:lineRule="auto"/>
              <w:jc w:val="both"/>
              <w:rPr>
                <w:rFonts w:ascii="Book Antiqua" w:hAnsi="Book Antiqua" w:cs="Arial"/>
                <w:lang w:val="en-US" w:eastAsia="en-US"/>
              </w:rPr>
            </w:pPr>
            <w:r w:rsidRPr="00CD1426">
              <w:rPr>
                <w:rFonts w:ascii="Book Antiqua" w:hAnsi="Book Antiqua" w:cs="Arial"/>
                <w:lang w:val="en-US" w:eastAsia="en-US"/>
              </w:rPr>
              <w:t>PR48</w:t>
            </w:r>
          </w:p>
        </w:tc>
        <w:tc>
          <w:tcPr>
            <w:tcW w:w="1522" w:type="dxa"/>
            <w:tcBorders>
              <w:top w:val="nil"/>
              <w:left w:val="nil"/>
              <w:bottom w:val="single" w:sz="4" w:space="0" w:color="auto"/>
              <w:right w:val="nil"/>
            </w:tcBorders>
            <w:shd w:val="clear" w:color="auto" w:fill="auto"/>
            <w:noWrap/>
            <w:vAlign w:val="bottom"/>
          </w:tcPr>
          <w:p w14:paraId="078E1C3F" w14:textId="77777777" w:rsidR="002B302F" w:rsidRPr="00CD1426" w:rsidRDefault="002B302F" w:rsidP="00CD1426">
            <w:pPr>
              <w:spacing w:line="360" w:lineRule="auto"/>
              <w:jc w:val="both"/>
              <w:rPr>
                <w:rFonts w:ascii="Book Antiqua" w:hAnsi="Book Antiqua" w:cs="Arial"/>
                <w:lang w:val="en-US" w:eastAsia="en-US"/>
              </w:rPr>
            </w:pPr>
            <w:r w:rsidRPr="00CD1426">
              <w:rPr>
                <w:rFonts w:ascii="Book Antiqua" w:hAnsi="Book Antiqua" w:cs="Arial"/>
                <w:lang w:val="en-US" w:eastAsia="en-US"/>
              </w:rPr>
              <w:t>BOCRGT</w:t>
            </w:r>
          </w:p>
        </w:tc>
        <w:tc>
          <w:tcPr>
            <w:tcW w:w="1656" w:type="dxa"/>
            <w:tcBorders>
              <w:top w:val="nil"/>
              <w:left w:val="nil"/>
              <w:bottom w:val="single" w:sz="4" w:space="0" w:color="auto"/>
              <w:right w:val="nil"/>
            </w:tcBorders>
            <w:shd w:val="clear" w:color="auto" w:fill="auto"/>
            <w:noWrap/>
            <w:vAlign w:val="bottom"/>
          </w:tcPr>
          <w:p w14:paraId="71DE60C5" w14:textId="77777777" w:rsidR="002B302F" w:rsidRPr="00CD1426" w:rsidRDefault="002B302F" w:rsidP="00CD1426">
            <w:pPr>
              <w:spacing w:line="360" w:lineRule="auto"/>
              <w:jc w:val="both"/>
              <w:rPr>
                <w:rFonts w:ascii="Book Antiqua" w:hAnsi="Book Antiqua" w:cs="Arial"/>
                <w:lang w:val="en-US" w:eastAsia="en-US"/>
              </w:rPr>
            </w:pPr>
            <w:r w:rsidRPr="00CD1426">
              <w:rPr>
                <w:rFonts w:ascii="Book Antiqua" w:hAnsi="Book Antiqua" w:cs="Arial"/>
                <w:lang w:val="en-US" w:eastAsia="en-US"/>
              </w:rPr>
              <w:t>BOCPR48</w:t>
            </w:r>
          </w:p>
        </w:tc>
        <w:tc>
          <w:tcPr>
            <w:tcW w:w="910" w:type="dxa"/>
            <w:tcBorders>
              <w:top w:val="nil"/>
              <w:left w:val="nil"/>
              <w:bottom w:val="single" w:sz="4" w:space="0" w:color="auto"/>
              <w:right w:val="nil"/>
            </w:tcBorders>
            <w:shd w:val="clear" w:color="auto" w:fill="auto"/>
            <w:noWrap/>
            <w:vAlign w:val="bottom"/>
          </w:tcPr>
          <w:p w14:paraId="7B335522" w14:textId="77777777" w:rsidR="002B302F" w:rsidRPr="00CD1426" w:rsidRDefault="002B302F" w:rsidP="00CD1426">
            <w:pPr>
              <w:spacing w:line="360" w:lineRule="auto"/>
              <w:jc w:val="both"/>
              <w:rPr>
                <w:rFonts w:ascii="Book Antiqua" w:hAnsi="Book Antiqua" w:cs="Arial"/>
                <w:lang w:val="en-US" w:eastAsia="en-US"/>
              </w:rPr>
            </w:pPr>
            <w:r w:rsidRPr="00CD1426">
              <w:rPr>
                <w:rFonts w:ascii="Book Antiqua" w:hAnsi="Book Antiqua" w:cs="Arial"/>
                <w:lang w:val="en-US" w:eastAsia="en-US"/>
              </w:rPr>
              <w:t>PR48</w:t>
            </w:r>
          </w:p>
        </w:tc>
        <w:tc>
          <w:tcPr>
            <w:tcW w:w="1503" w:type="dxa"/>
            <w:tcBorders>
              <w:top w:val="nil"/>
              <w:left w:val="nil"/>
              <w:bottom w:val="single" w:sz="4" w:space="0" w:color="auto"/>
              <w:right w:val="nil"/>
            </w:tcBorders>
            <w:shd w:val="clear" w:color="auto" w:fill="auto"/>
            <w:noWrap/>
            <w:vAlign w:val="bottom"/>
          </w:tcPr>
          <w:p w14:paraId="7B55E505" w14:textId="77777777" w:rsidR="002B302F" w:rsidRPr="00CD1426" w:rsidRDefault="002B302F" w:rsidP="00CD1426">
            <w:pPr>
              <w:spacing w:line="360" w:lineRule="auto"/>
              <w:jc w:val="both"/>
              <w:rPr>
                <w:rFonts w:ascii="Book Antiqua" w:hAnsi="Book Antiqua" w:cs="Arial"/>
                <w:lang w:val="en-US" w:eastAsia="en-US"/>
              </w:rPr>
            </w:pPr>
            <w:r w:rsidRPr="00CD1426">
              <w:rPr>
                <w:rFonts w:ascii="Book Antiqua" w:hAnsi="Book Antiqua" w:cs="Arial"/>
                <w:lang w:val="en-US" w:eastAsia="en-US"/>
              </w:rPr>
              <w:t>T12PR48</w:t>
            </w:r>
          </w:p>
        </w:tc>
      </w:tr>
      <w:tr w:rsidR="002B302F" w:rsidRPr="00CD1426" w14:paraId="30C0FF34" w14:textId="77777777" w:rsidTr="00DF49D3">
        <w:trPr>
          <w:trHeight w:val="300"/>
        </w:trPr>
        <w:tc>
          <w:tcPr>
            <w:tcW w:w="3534" w:type="dxa"/>
            <w:tcBorders>
              <w:top w:val="single" w:sz="4" w:space="0" w:color="auto"/>
              <w:left w:val="nil"/>
              <w:bottom w:val="nil"/>
              <w:right w:val="nil"/>
            </w:tcBorders>
            <w:shd w:val="clear" w:color="000000" w:fill="auto"/>
            <w:noWrap/>
            <w:vAlign w:val="bottom"/>
          </w:tcPr>
          <w:p w14:paraId="152ADD46" w14:textId="77777777" w:rsidR="002B302F" w:rsidRPr="00CD1426" w:rsidRDefault="002B302F" w:rsidP="00CD1426">
            <w:pPr>
              <w:spacing w:line="360" w:lineRule="auto"/>
              <w:jc w:val="both"/>
              <w:rPr>
                <w:rFonts w:ascii="Book Antiqua" w:hAnsi="Book Antiqua" w:cs="Arial"/>
                <w:lang w:val="en-US" w:eastAsia="en-US"/>
              </w:rPr>
            </w:pPr>
            <w:r w:rsidRPr="00CD1426">
              <w:rPr>
                <w:rFonts w:ascii="Book Antiqua" w:hAnsi="Book Antiqua" w:cs="Arial"/>
                <w:lang w:val="en-US" w:eastAsia="en-US"/>
              </w:rPr>
              <w:t>Naïve</w:t>
            </w:r>
          </w:p>
        </w:tc>
        <w:tc>
          <w:tcPr>
            <w:tcW w:w="910" w:type="dxa"/>
            <w:tcBorders>
              <w:top w:val="single" w:sz="4" w:space="0" w:color="auto"/>
              <w:left w:val="nil"/>
              <w:bottom w:val="nil"/>
              <w:right w:val="nil"/>
            </w:tcBorders>
            <w:shd w:val="clear" w:color="000000" w:fill="auto"/>
            <w:noWrap/>
            <w:vAlign w:val="bottom"/>
          </w:tcPr>
          <w:p w14:paraId="28777D94" w14:textId="6910F41C" w:rsidR="002B302F" w:rsidRPr="00CD1426" w:rsidRDefault="00F50DCF" w:rsidP="00CD1426">
            <w:pPr>
              <w:spacing w:line="360" w:lineRule="auto"/>
              <w:jc w:val="both"/>
              <w:rPr>
                <w:rFonts w:ascii="Book Antiqua" w:hAnsi="Book Antiqua" w:cs="Arial"/>
                <w:lang w:val="en-US" w:eastAsia="zh-CN"/>
              </w:rPr>
            </w:pPr>
            <w:r w:rsidRPr="00CD1426">
              <w:rPr>
                <w:rFonts w:ascii="Book Antiqua" w:hAnsi="Book Antiqua" w:cs="Arial"/>
                <w:lang w:val="en-US" w:eastAsia="en-US"/>
              </w:rPr>
              <w:t>40</w:t>
            </w:r>
          </w:p>
        </w:tc>
        <w:tc>
          <w:tcPr>
            <w:tcW w:w="1522" w:type="dxa"/>
            <w:tcBorders>
              <w:top w:val="single" w:sz="4" w:space="0" w:color="auto"/>
              <w:left w:val="nil"/>
              <w:bottom w:val="nil"/>
              <w:right w:val="nil"/>
            </w:tcBorders>
            <w:shd w:val="clear" w:color="000000" w:fill="auto"/>
            <w:noWrap/>
            <w:vAlign w:val="bottom"/>
          </w:tcPr>
          <w:p w14:paraId="0B19649F" w14:textId="4D538A0A" w:rsidR="002B302F" w:rsidRPr="00CD1426" w:rsidRDefault="00F50DCF" w:rsidP="00CD1426">
            <w:pPr>
              <w:spacing w:line="360" w:lineRule="auto"/>
              <w:jc w:val="both"/>
              <w:rPr>
                <w:rFonts w:ascii="Book Antiqua" w:hAnsi="Book Antiqua" w:cs="Arial"/>
                <w:lang w:val="en-US" w:eastAsia="zh-CN"/>
              </w:rPr>
            </w:pPr>
            <w:r w:rsidRPr="00CD1426">
              <w:rPr>
                <w:rFonts w:ascii="Book Antiqua" w:hAnsi="Book Antiqua" w:cs="Arial"/>
                <w:lang w:val="en-US" w:eastAsia="en-US"/>
              </w:rPr>
              <w:t>67</w:t>
            </w:r>
          </w:p>
        </w:tc>
        <w:tc>
          <w:tcPr>
            <w:tcW w:w="1656" w:type="dxa"/>
            <w:tcBorders>
              <w:top w:val="single" w:sz="4" w:space="0" w:color="auto"/>
              <w:left w:val="nil"/>
              <w:bottom w:val="nil"/>
              <w:right w:val="nil"/>
            </w:tcBorders>
            <w:shd w:val="clear" w:color="000000" w:fill="auto"/>
            <w:noWrap/>
            <w:vAlign w:val="bottom"/>
          </w:tcPr>
          <w:p w14:paraId="6835D0AC" w14:textId="35E88984" w:rsidR="002B302F" w:rsidRPr="00CD1426" w:rsidRDefault="00F50DCF" w:rsidP="00CD1426">
            <w:pPr>
              <w:spacing w:line="360" w:lineRule="auto"/>
              <w:jc w:val="both"/>
              <w:rPr>
                <w:rFonts w:ascii="Book Antiqua" w:hAnsi="Book Antiqua" w:cs="Arial"/>
                <w:lang w:val="en-US" w:eastAsia="zh-CN"/>
              </w:rPr>
            </w:pPr>
            <w:r w:rsidRPr="00CD1426">
              <w:rPr>
                <w:rFonts w:ascii="Book Antiqua" w:hAnsi="Book Antiqua" w:cs="Arial"/>
                <w:lang w:val="en-US" w:eastAsia="en-US"/>
              </w:rPr>
              <w:t>66</w:t>
            </w:r>
          </w:p>
        </w:tc>
        <w:tc>
          <w:tcPr>
            <w:tcW w:w="910" w:type="dxa"/>
            <w:tcBorders>
              <w:top w:val="single" w:sz="4" w:space="0" w:color="auto"/>
              <w:left w:val="nil"/>
              <w:bottom w:val="nil"/>
              <w:right w:val="nil"/>
            </w:tcBorders>
            <w:shd w:val="clear" w:color="000000" w:fill="auto"/>
            <w:noWrap/>
            <w:vAlign w:val="bottom"/>
          </w:tcPr>
          <w:p w14:paraId="73933710" w14:textId="45D227C4" w:rsidR="002B302F" w:rsidRPr="00CD1426" w:rsidRDefault="00F50DCF" w:rsidP="00CD1426">
            <w:pPr>
              <w:spacing w:line="360" w:lineRule="auto"/>
              <w:jc w:val="both"/>
              <w:rPr>
                <w:rFonts w:ascii="Book Antiqua" w:hAnsi="Book Antiqua" w:cs="Arial"/>
                <w:lang w:val="en-US" w:eastAsia="zh-CN"/>
              </w:rPr>
            </w:pPr>
            <w:r w:rsidRPr="00CD1426">
              <w:rPr>
                <w:rFonts w:ascii="Book Antiqua" w:hAnsi="Book Antiqua" w:cs="Arial"/>
                <w:lang w:val="en-US" w:eastAsia="en-US"/>
              </w:rPr>
              <w:t>44</w:t>
            </w:r>
          </w:p>
        </w:tc>
        <w:tc>
          <w:tcPr>
            <w:tcW w:w="1503" w:type="dxa"/>
            <w:tcBorders>
              <w:top w:val="single" w:sz="4" w:space="0" w:color="auto"/>
              <w:left w:val="nil"/>
              <w:bottom w:val="nil"/>
              <w:right w:val="nil"/>
            </w:tcBorders>
            <w:shd w:val="clear" w:color="000000" w:fill="auto"/>
            <w:noWrap/>
            <w:vAlign w:val="bottom"/>
          </w:tcPr>
          <w:p w14:paraId="71B4662F" w14:textId="1DAC2C1D" w:rsidR="002B302F" w:rsidRPr="00CD1426" w:rsidRDefault="00F50DCF" w:rsidP="00CD1426">
            <w:pPr>
              <w:spacing w:line="360" w:lineRule="auto"/>
              <w:jc w:val="both"/>
              <w:rPr>
                <w:rFonts w:ascii="Book Antiqua" w:hAnsi="Book Antiqua" w:cs="Arial"/>
                <w:lang w:val="en-US" w:eastAsia="zh-CN"/>
              </w:rPr>
            </w:pPr>
            <w:r w:rsidRPr="00CD1426">
              <w:rPr>
                <w:rFonts w:ascii="Book Antiqua" w:hAnsi="Book Antiqua" w:cs="Arial"/>
                <w:lang w:val="en-US" w:eastAsia="en-US"/>
              </w:rPr>
              <w:t>75</w:t>
            </w:r>
          </w:p>
        </w:tc>
      </w:tr>
      <w:tr w:rsidR="002B302F" w:rsidRPr="00CD1426" w14:paraId="721B86E1" w14:textId="77777777" w:rsidTr="00DF49D3">
        <w:trPr>
          <w:trHeight w:val="300"/>
        </w:trPr>
        <w:tc>
          <w:tcPr>
            <w:tcW w:w="3534" w:type="dxa"/>
            <w:tcBorders>
              <w:top w:val="nil"/>
              <w:left w:val="nil"/>
              <w:bottom w:val="nil"/>
              <w:right w:val="nil"/>
            </w:tcBorders>
            <w:shd w:val="clear" w:color="auto" w:fill="auto"/>
            <w:noWrap/>
            <w:vAlign w:val="bottom"/>
          </w:tcPr>
          <w:p w14:paraId="770B378B" w14:textId="77777777" w:rsidR="002B302F" w:rsidRPr="00CD1426" w:rsidRDefault="002B302F" w:rsidP="00CD1426">
            <w:pPr>
              <w:spacing w:line="360" w:lineRule="auto"/>
              <w:jc w:val="both"/>
              <w:rPr>
                <w:rFonts w:ascii="Book Antiqua" w:hAnsi="Book Antiqua" w:cs="Arial"/>
                <w:lang w:val="en-US" w:eastAsia="en-US"/>
              </w:rPr>
            </w:pPr>
            <w:r w:rsidRPr="00CD1426">
              <w:rPr>
                <w:rFonts w:ascii="Book Antiqua" w:hAnsi="Book Antiqua" w:cs="Arial"/>
                <w:lang w:val="en-US" w:eastAsia="en-US"/>
              </w:rPr>
              <w:t>Mild-moderate fibrosis</w:t>
            </w:r>
          </w:p>
        </w:tc>
        <w:tc>
          <w:tcPr>
            <w:tcW w:w="910" w:type="dxa"/>
            <w:tcBorders>
              <w:top w:val="nil"/>
              <w:left w:val="nil"/>
              <w:bottom w:val="nil"/>
              <w:right w:val="nil"/>
            </w:tcBorders>
            <w:shd w:val="clear" w:color="auto" w:fill="auto"/>
            <w:noWrap/>
            <w:vAlign w:val="bottom"/>
          </w:tcPr>
          <w:p w14:paraId="045EBE8B" w14:textId="082C413D" w:rsidR="002B302F" w:rsidRPr="00CD1426" w:rsidRDefault="00F50DCF" w:rsidP="00CD1426">
            <w:pPr>
              <w:spacing w:line="360" w:lineRule="auto"/>
              <w:jc w:val="both"/>
              <w:rPr>
                <w:rFonts w:ascii="Book Antiqua" w:hAnsi="Book Antiqua" w:cs="Arial"/>
                <w:lang w:val="en-US" w:eastAsia="zh-CN"/>
              </w:rPr>
            </w:pPr>
            <w:r w:rsidRPr="00CD1426">
              <w:rPr>
                <w:rFonts w:ascii="Book Antiqua" w:hAnsi="Book Antiqua" w:cs="Arial"/>
                <w:lang w:val="en-US" w:eastAsia="en-US"/>
              </w:rPr>
              <w:t>38</w:t>
            </w:r>
          </w:p>
        </w:tc>
        <w:tc>
          <w:tcPr>
            <w:tcW w:w="1522" w:type="dxa"/>
            <w:tcBorders>
              <w:top w:val="nil"/>
              <w:left w:val="nil"/>
              <w:bottom w:val="nil"/>
              <w:right w:val="nil"/>
            </w:tcBorders>
            <w:shd w:val="clear" w:color="auto" w:fill="auto"/>
            <w:noWrap/>
            <w:vAlign w:val="bottom"/>
          </w:tcPr>
          <w:p w14:paraId="41C09577" w14:textId="6C29A9ED" w:rsidR="002B302F" w:rsidRPr="00CD1426" w:rsidRDefault="00F50DCF" w:rsidP="00CD1426">
            <w:pPr>
              <w:spacing w:line="360" w:lineRule="auto"/>
              <w:jc w:val="both"/>
              <w:rPr>
                <w:rFonts w:ascii="Book Antiqua" w:hAnsi="Book Antiqua" w:cs="Arial"/>
                <w:lang w:val="en-US" w:eastAsia="zh-CN"/>
              </w:rPr>
            </w:pPr>
            <w:r w:rsidRPr="00CD1426">
              <w:rPr>
                <w:rFonts w:ascii="Book Antiqua" w:hAnsi="Book Antiqua" w:cs="Arial"/>
                <w:lang w:val="en-US" w:eastAsia="en-US"/>
              </w:rPr>
              <w:t>67</w:t>
            </w:r>
          </w:p>
        </w:tc>
        <w:tc>
          <w:tcPr>
            <w:tcW w:w="1656" w:type="dxa"/>
            <w:tcBorders>
              <w:top w:val="nil"/>
              <w:left w:val="nil"/>
              <w:bottom w:val="nil"/>
              <w:right w:val="nil"/>
            </w:tcBorders>
            <w:shd w:val="clear" w:color="auto" w:fill="auto"/>
            <w:noWrap/>
            <w:vAlign w:val="bottom"/>
          </w:tcPr>
          <w:p w14:paraId="1432CE33" w14:textId="04BE55C5" w:rsidR="002B302F" w:rsidRPr="00CD1426" w:rsidRDefault="00F50DCF" w:rsidP="00CD1426">
            <w:pPr>
              <w:spacing w:line="360" w:lineRule="auto"/>
              <w:jc w:val="both"/>
              <w:rPr>
                <w:rFonts w:ascii="Book Antiqua" w:hAnsi="Book Antiqua" w:cs="Arial"/>
                <w:lang w:val="en-US" w:eastAsia="zh-CN"/>
              </w:rPr>
            </w:pPr>
            <w:r w:rsidRPr="00CD1426">
              <w:rPr>
                <w:rFonts w:ascii="Book Antiqua" w:hAnsi="Book Antiqua" w:cs="Arial"/>
                <w:lang w:val="en-US" w:eastAsia="en-US"/>
              </w:rPr>
              <w:t>67</w:t>
            </w:r>
          </w:p>
        </w:tc>
        <w:tc>
          <w:tcPr>
            <w:tcW w:w="910" w:type="dxa"/>
            <w:tcBorders>
              <w:top w:val="nil"/>
              <w:left w:val="nil"/>
              <w:bottom w:val="nil"/>
              <w:right w:val="nil"/>
            </w:tcBorders>
            <w:shd w:val="clear" w:color="auto" w:fill="auto"/>
            <w:noWrap/>
            <w:vAlign w:val="bottom"/>
          </w:tcPr>
          <w:p w14:paraId="7C1D3771" w14:textId="54FB3735" w:rsidR="002B302F" w:rsidRPr="00CD1426" w:rsidRDefault="00F50DCF" w:rsidP="00CD1426">
            <w:pPr>
              <w:spacing w:line="360" w:lineRule="auto"/>
              <w:jc w:val="both"/>
              <w:rPr>
                <w:rFonts w:ascii="Book Antiqua" w:hAnsi="Book Antiqua" w:cs="Arial"/>
                <w:lang w:val="en-US" w:eastAsia="zh-CN"/>
              </w:rPr>
            </w:pPr>
            <w:r w:rsidRPr="00CD1426">
              <w:rPr>
                <w:rFonts w:ascii="Book Antiqua" w:hAnsi="Book Antiqua" w:cs="Arial"/>
                <w:lang w:val="en-US" w:eastAsia="en-US"/>
              </w:rPr>
              <w:t>47</w:t>
            </w:r>
          </w:p>
        </w:tc>
        <w:tc>
          <w:tcPr>
            <w:tcW w:w="1503" w:type="dxa"/>
            <w:tcBorders>
              <w:top w:val="nil"/>
              <w:left w:val="nil"/>
              <w:bottom w:val="nil"/>
              <w:right w:val="nil"/>
            </w:tcBorders>
            <w:shd w:val="clear" w:color="auto" w:fill="auto"/>
            <w:noWrap/>
            <w:vAlign w:val="bottom"/>
          </w:tcPr>
          <w:p w14:paraId="07E4DDBE" w14:textId="217097BE" w:rsidR="002B302F" w:rsidRPr="00CD1426" w:rsidRDefault="002B302F" w:rsidP="00CD1426">
            <w:pPr>
              <w:spacing w:line="360" w:lineRule="auto"/>
              <w:jc w:val="both"/>
              <w:rPr>
                <w:rFonts w:ascii="Book Antiqua" w:hAnsi="Book Antiqua" w:cs="Arial"/>
                <w:lang w:val="en-US" w:eastAsia="zh-CN"/>
              </w:rPr>
            </w:pPr>
            <w:r w:rsidRPr="00CD1426">
              <w:rPr>
                <w:rFonts w:ascii="Book Antiqua" w:hAnsi="Book Antiqua" w:cs="Arial"/>
                <w:lang w:val="en-US" w:eastAsia="en-US"/>
              </w:rPr>
              <w:t>118</w:t>
            </w:r>
            <w:r w:rsidR="00F50DCF" w:rsidRPr="00CD1426">
              <w:rPr>
                <w:rFonts w:ascii="Book Antiqua" w:hAnsi="Book Antiqua" w:cs="Arial"/>
                <w:lang w:val="en-US" w:eastAsia="zh-CN"/>
              </w:rPr>
              <w:t>.</w:t>
            </w:r>
            <w:r w:rsidR="00F50DCF" w:rsidRPr="00CD1426">
              <w:rPr>
                <w:rFonts w:ascii="Book Antiqua" w:hAnsi="Book Antiqua" w:cs="Arial"/>
                <w:lang w:val="en-US" w:eastAsia="en-US"/>
              </w:rPr>
              <w:t>50</w:t>
            </w:r>
          </w:p>
        </w:tc>
      </w:tr>
      <w:tr w:rsidR="002B302F" w:rsidRPr="00CD1426" w14:paraId="06748CE2" w14:textId="77777777" w:rsidTr="00DF49D3">
        <w:trPr>
          <w:trHeight w:val="300"/>
        </w:trPr>
        <w:tc>
          <w:tcPr>
            <w:tcW w:w="3534" w:type="dxa"/>
            <w:tcBorders>
              <w:top w:val="nil"/>
              <w:left w:val="nil"/>
              <w:bottom w:val="nil"/>
              <w:right w:val="nil"/>
            </w:tcBorders>
            <w:shd w:val="clear" w:color="auto" w:fill="auto"/>
            <w:noWrap/>
            <w:vAlign w:val="bottom"/>
          </w:tcPr>
          <w:p w14:paraId="2512632C" w14:textId="77777777" w:rsidR="002B302F" w:rsidRPr="00CD1426" w:rsidRDefault="002B302F" w:rsidP="00CD1426">
            <w:pPr>
              <w:spacing w:line="360" w:lineRule="auto"/>
              <w:jc w:val="both"/>
              <w:rPr>
                <w:rFonts w:ascii="Book Antiqua" w:hAnsi="Book Antiqua" w:cs="Arial"/>
                <w:lang w:val="en-US" w:eastAsia="en-US"/>
              </w:rPr>
            </w:pPr>
            <w:r w:rsidRPr="00CD1426">
              <w:rPr>
                <w:rFonts w:ascii="Book Antiqua" w:hAnsi="Book Antiqua" w:cs="Arial"/>
                <w:lang w:val="en-US" w:eastAsia="en-US"/>
              </w:rPr>
              <w:t>Advanced fibrosis</w:t>
            </w:r>
          </w:p>
        </w:tc>
        <w:tc>
          <w:tcPr>
            <w:tcW w:w="910" w:type="dxa"/>
            <w:tcBorders>
              <w:top w:val="nil"/>
              <w:left w:val="nil"/>
              <w:bottom w:val="nil"/>
              <w:right w:val="nil"/>
            </w:tcBorders>
            <w:shd w:val="clear" w:color="auto" w:fill="auto"/>
            <w:noWrap/>
            <w:vAlign w:val="bottom"/>
          </w:tcPr>
          <w:p w14:paraId="4D734528" w14:textId="44645247" w:rsidR="002B302F" w:rsidRPr="00CD1426" w:rsidRDefault="00F50DCF" w:rsidP="00CD1426">
            <w:pPr>
              <w:spacing w:line="360" w:lineRule="auto"/>
              <w:jc w:val="both"/>
              <w:rPr>
                <w:rFonts w:ascii="Book Antiqua" w:hAnsi="Book Antiqua" w:cs="Arial"/>
                <w:lang w:val="en-US" w:eastAsia="zh-CN"/>
              </w:rPr>
            </w:pPr>
            <w:r w:rsidRPr="00CD1426">
              <w:rPr>
                <w:rFonts w:ascii="Book Antiqua" w:hAnsi="Book Antiqua" w:cs="Arial"/>
                <w:lang w:val="en-US" w:eastAsia="en-US"/>
              </w:rPr>
              <w:t>38</w:t>
            </w:r>
          </w:p>
        </w:tc>
        <w:tc>
          <w:tcPr>
            <w:tcW w:w="1522" w:type="dxa"/>
            <w:tcBorders>
              <w:top w:val="nil"/>
              <w:left w:val="nil"/>
              <w:bottom w:val="nil"/>
              <w:right w:val="nil"/>
            </w:tcBorders>
            <w:shd w:val="clear" w:color="auto" w:fill="auto"/>
            <w:noWrap/>
            <w:vAlign w:val="bottom"/>
          </w:tcPr>
          <w:p w14:paraId="5A30F5E2" w14:textId="202C0B28" w:rsidR="002B302F" w:rsidRPr="00CD1426" w:rsidRDefault="00F50DCF" w:rsidP="00CD1426">
            <w:pPr>
              <w:spacing w:line="360" w:lineRule="auto"/>
              <w:jc w:val="both"/>
              <w:rPr>
                <w:rFonts w:ascii="Book Antiqua" w:hAnsi="Book Antiqua" w:cs="Arial"/>
                <w:lang w:val="en-US" w:eastAsia="zh-CN"/>
              </w:rPr>
            </w:pPr>
            <w:r w:rsidRPr="00CD1426">
              <w:rPr>
                <w:rFonts w:ascii="Book Antiqua" w:hAnsi="Book Antiqua" w:cs="Arial"/>
                <w:lang w:val="en-US" w:eastAsia="en-US"/>
              </w:rPr>
              <w:t>41</w:t>
            </w:r>
          </w:p>
        </w:tc>
        <w:tc>
          <w:tcPr>
            <w:tcW w:w="1656" w:type="dxa"/>
            <w:tcBorders>
              <w:top w:val="nil"/>
              <w:left w:val="nil"/>
              <w:bottom w:val="nil"/>
              <w:right w:val="nil"/>
            </w:tcBorders>
            <w:shd w:val="clear" w:color="auto" w:fill="auto"/>
            <w:noWrap/>
            <w:vAlign w:val="bottom"/>
          </w:tcPr>
          <w:p w14:paraId="2355BD97" w14:textId="64A5C557" w:rsidR="002B302F" w:rsidRPr="00CD1426" w:rsidRDefault="00F50DCF" w:rsidP="00CD1426">
            <w:pPr>
              <w:spacing w:line="360" w:lineRule="auto"/>
              <w:jc w:val="both"/>
              <w:rPr>
                <w:rFonts w:ascii="Book Antiqua" w:hAnsi="Book Antiqua" w:cs="Arial"/>
                <w:lang w:val="en-US" w:eastAsia="zh-CN"/>
              </w:rPr>
            </w:pPr>
            <w:r w:rsidRPr="00CD1426">
              <w:rPr>
                <w:rFonts w:ascii="Book Antiqua" w:hAnsi="Book Antiqua" w:cs="Arial"/>
                <w:lang w:val="en-US" w:eastAsia="en-US"/>
              </w:rPr>
              <w:t>52</w:t>
            </w:r>
          </w:p>
        </w:tc>
        <w:tc>
          <w:tcPr>
            <w:tcW w:w="910" w:type="dxa"/>
            <w:tcBorders>
              <w:top w:val="nil"/>
              <w:left w:val="nil"/>
              <w:bottom w:val="nil"/>
              <w:right w:val="nil"/>
            </w:tcBorders>
            <w:shd w:val="clear" w:color="auto" w:fill="auto"/>
            <w:noWrap/>
            <w:vAlign w:val="bottom"/>
          </w:tcPr>
          <w:p w14:paraId="2B56FF35" w14:textId="4D56A64F" w:rsidR="002B302F" w:rsidRPr="00CD1426" w:rsidRDefault="00F50DCF" w:rsidP="00CD1426">
            <w:pPr>
              <w:spacing w:line="360" w:lineRule="auto"/>
              <w:jc w:val="both"/>
              <w:rPr>
                <w:rFonts w:ascii="Book Antiqua" w:hAnsi="Book Antiqua" w:cs="Arial"/>
                <w:lang w:val="en-US" w:eastAsia="zh-CN"/>
              </w:rPr>
            </w:pPr>
            <w:r w:rsidRPr="00CD1426">
              <w:rPr>
                <w:rFonts w:ascii="Book Antiqua" w:hAnsi="Book Antiqua" w:cs="Arial"/>
                <w:lang w:val="en-US" w:eastAsia="en-US"/>
              </w:rPr>
              <w:t>33</w:t>
            </w:r>
          </w:p>
        </w:tc>
        <w:tc>
          <w:tcPr>
            <w:tcW w:w="1503" w:type="dxa"/>
            <w:tcBorders>
              <w:top w:val="nil"/>
              <w:left w:val="nil"/>
              <w:bottom w:val="nil"/>
              <w:right w:val="nil"/>
            </w:tcBorders>
            <w:shd w:val="clear" w:color="auto" w:fill="auto"/>
            <w:noWrap/>
            <w:vAlign w:val="bottom"/>
          </w:tcPr>
          <w:p w14:paraId="43895451" w14:textId="46F6A126" w:rsidR="002B302F" w:rsidRPr="00CD1426" w:rsidRDefault="00F50DCF" w:rsidP="00CD1426">
            <w:pPr>
              <w:spacing w:line="360" w:lineRule="auto"/>
              <w:jc w:val="both"/>
              <w:rPr>
                <w:rFonts w:ascii="Book Antiqua" w:hAnsi="Book Antiqua" w:cs="Arial"/>
                <w:lang w:val="en-US" w:eastAsia="zh-CN"/>
              </w:rPr>
            </w:pPr>
            <w:r w:rsidRPr="00CD1426">
              <w:rPr>
                <w:rFonts w:ascii="Book Antiqua" w:hAnsi="Book Antiqua" w:cs="Arial"/>
                <w:lang w:val="en-US" w:eastAsia="en-US"/>
              </w:rPr>
              <w:t>62</w:t>
            </w:r>
          </w:p>
        </w:tc>
      </w:tr>
      <w:tr w:rsidR="002B302F" w:rsidRPr="00CD1426" w14:paraId="51328702" w14:textId="77777777" w:rsidTr="00DF49D3">
        <w:trPr>
          <w:trHeight w:val="300"/>
        </w:trPr>
        <w:tc>
          <w:tcPr>
            <w:tcW w:w="3534" w:type="dxa"/>
            <w:tcBorders>
              <w:top w:val="nil"/>
              <w:left w:val="nil"/>
              <w:bottom w:val="nil"/>
              <w:right w:val="nil"/>
            </w:tcBorders>
            <w:shd w:val="clear" w:color="auto" w:fill="auto"/>
            <w:noWrap/>
            <w:vAlign w:val="bottom"/>
          </w:tcPr>
          <w:p w14:paraId="404D6B54" w14:textId="77777777" w:rsidR="002B302F" w:rsidRPr="00CD1426" w:rsidRDefault="002B302F" w:rsidP="00CD1426">
            <w:pPr>
              <w:spacing w:line="360" w:lineRule="auto"/>
              <w:jc w:val="both"/>
              <w:rPr>
                <w:rFonts w:ascii="Book Antiqua" w:hAnsi="Book Antiqua" w:cs="Arial"/>
                <w:lang w:val="en-US" w:eastAsia="en-US"/>
              </w:rPr>
            </w:pPr>
            <w:r w:rsidRPr="00CD1426">
              <w:rPr>
                <w:rFonts w:ascii="Book Antiqua" w:hAnsi="Book Antiqua" w:cs="Arial"/>
                <w:lang w:val="en-US" w:eastAsia="en-US"/>
              </w:rPr>
              <w:t>Black race</w:t>
            </w:r>
          </w:p>
        </w:tc>
        <w:tc>
          <w:tcPr>
            <w:tcW w:w="910" w:type="dxa"/>
            <w:tcBorders>
              <w:top w:val="nil"/>
              <w:left w:val="nil"/>
              <w:bottom w:val="nil"/>
              <w:right w:val="nil"/>
            </w:tcBorders>
            <w:shd w:val="clear" w:color="auto" w:fill="auto"/>
            <w:noWrap/>
            <w:vAlign w:val="bottom"/>
          </w:tcPr>
          <w:p w14:paraId="751B5C50" w14:textId="5F3992A7" w:rsidR="002B302F" w:rsidRPr="00CD1426" w:rsidRDefault="00F50DCF" w:rsidP="00CD1426">
            <w:pPr>
              <w:spacing w:line="360" w:lineRule="auto"/>
              <w:jc w:val="both"/>
              <w:rPr>
                <w:rFonts w:ascii="Book Antiqua" w:hAnsi="Book Antiqua" w:cs="Arial"/>
                <w:lang w:val="en-US" w:eastAsia="zh-CN"/>
              </w:rPr>
            </w:pPr>
            <w:r w:rsidRPr="00CD1426">
              <w:rPr>
                <w:rFonts w:ascii="Book Antiqua" w:hAnsi="Book Antiqua" w:cs="Arial"/>
                <w:lang w:val="en-US" w:eastAsia="en-US"/>
              </w:rPr>
              <w:t>23</w:t>
            </w:r>
          </w:p>
        </w:tc>
        <w:tc>
          <w:tcPr>
            <w:tcW w:w="1522" w:type="dxa"/>
            <w:tcBorders>
              <w:top w:val="nil"/>
              <w:left w:val="nil"/>
              <w:bottom w:val="nil"/>
              <w:right w:val="nil"/>
            </w:tcBorders>
            <w:shd w:val="clear" w:color="auto" w:fill="auto"/>
            <w:noWrap/>
            <w:vAlign w:val="bottom"/>
          </w:tcPr>
          <w:p w14:paraId="35B1715C" w14:textId="71C003B0" w:rsidR="002B302F" w:rsidRPr="00CD1426" w:rsidRDefault="00F50DCF" w:rsidP="00CD1426">
            <w:pPr>
              <w:spacing w:line="360" w:lineRule="auto"/>
              <w:jc w:val="both"/>
              <w:rPr>
                <w:rFonts w:ascii="Book Antiqua" w:hAnsi="Book Antiqua" w:cs="Arial"/>
                <w:lang w:val="en-US" w:eastAsia="zh-CN"/>
              </w:rPr>
            </w:pPr>
            <w:r w:rsidRPr="00CD1426">
              <w:rPr>
                <w:rFonts w:ascii="Book Antiqua" w:hAnsi="Book Antiqua" w:cs="Arial"/>
                <w:lang w:val="en-US" w:eastAsia="en-US"/>
              </w:rPr>
              <w:t>42</w:t>
            </w:r>
          </w:p>
        </w:tc>
        <w:tc>
          <w:tcPr>
            <w:tcW w:w="1656" w:type="dxa"/>
            <w:tcBorders>
              <w:top w:val="nil"/>
              <w:left w:val="nil"/>
              <w:bottom w:val="nil"/>
              <w:right w:val="nil"/>
            </w:tcBorders>
            <w:shd w:val="clear" w:color="auto" w:fill="auto"/>
            <w:noWrap/>
            <w:vAlign w:val="bottom"/>
          </w:tcPr>
          <w:p w14:paraId="7356997B" w14:textId="346D4A6D" w:rsidR="002B302F" w:rsidRPr="00CD1426" w:rsidRDefault="00F50DCF" w:rsidP="00CD1426">
            <w:pPr>
              <w:spacing w:line="360" w:lineRule="auto"/>
              <w:jc w:val="both"/>
              <w:rPr>
                <w:rFonts w:ascii="Book Antiqua" w:hAnsi="Book Antiqua" w:cs="Arial"/>
                <w:lang w:val="en-US" w:eastAsia="zh-CN"/>
              </w:rPr>
            </w:pPr>
            <w:r w:rsidRPr="00CD1426">
              <w:rPr>
                <w:rFonts w:ascii="Book Antiqua" w:hAnsi="Book Antiqua" w:cs="Arial"/>
                <w:lang w:val="en-US" w:eastAsia="en-US"/>
              </w:rPr>
              <w:t>53</w:t>
            </w:r>
          </w:p>
        </w:tc>
        <w:tc>
          <w:tcPr>
            <w:tcW w:w="910" w:type="dxa"/>
            <w:tcBorders>
              <w:top w:val="nil"/>
              <w:left w:val="nil"/>
              <w:bottom w:val="nil"/>
              <w:right w:val="nil"/>
            </w:tcBorders>
            <w:shd w:val="clear" w:color="auto" w:fill="auto"/>
            <w:noWrap/>
            <w:vAlign w:val="bottom"/>
          </w:tcPr>
          <w:p w14:paraId="5C4AF353" w14:textId="297C3E0C" w:rsidR="002B302F" w:rsidRPr="00CD1426" w:rsidRDefault="00F50DCF" w:rsidP="00CD1426">
            <w:pPr>
              <w:spacing w:line="360" w:lineRule="auto"/>
              <w:jc w:val="both"/>
              <w:rPr>
                <w:rFonts w:ascii="Book Antiqua" w:hAnsi="Book Antiqua" w:cs="Arial"/>
                <w:lang w:val="en-US" w:eastAsia="zh-CN"/>
              </w:rPr>
            </w:pPr>
            <w:r w:rsidRPr="00CD1426">
              <w:rPr>
                <w:rFonts w:ascii="Book Antiqua" w:hAnsi="Book Antiqua" w:cs="Arial"/>
                <w:lang w:val="en-US" w:eastAsia="en-US"/>
              </w:rPr>
              <w:t>25</w:t>
            </w:r>
          </w:p>
        </w:tc>
        <w:tc>
          <w:tcPr>
            <w:tcW w:w="1503" w:type="dxa"/>
            <w:tcBorders>
              <w:top w:val="nil"/>
              <w:left w:val="nil"/>
              <w:bottom w:val="nil"/>
              <w:right w:val="nil"/>
            </w:tcBorders>
            <w:shd w:val="clear" w:color="auto" w:fill="auto"/>
            <w:noWrap/>
            <w:vAlign w:val="bottom"/>
          </w:tcPr>
          <w:p w14:paraId="4265A9DE" w14:textId="27BCD077" w:rsidR="002B302F" w:rsidRPr="00CD1426" w:rsidRDefault="00F50DCF" w:rsidP="00CD1426">
            <w:pPr>
              <w:spacing w:line="360" w:lineRule="auto"/>
              <w:jc w:val="both"/>
              <w:rPr>
                <w:rFonts w:ascii="Book Antiqua" w:hAnsi="Book Antiqua" w:cs="Arial"/>
                <w:lang w:val="en-US" w:eastAsia="zh-CN"/>
              </w:rPr>
            </w:pPr>
            <w:r w:rsidRPr="00CD1426">
              <w:rPr>
                <w:rFonts w:ascii="Book Antiqua" w:hAnsi="Book Antiqua" w:cs="Arial"/>
                <w:lang w:val="en-US" w:eastAsia="en-US"/>
              </w:rPr>
              <w:t>62</w:t>
            </w:r>
          </w:p>
        </w:tc>
      </w:tr>
      <w:tr w:rsidR="002B302F" w:rsidRPr="00CD1426" w14:paraId="2509490C" w14:textId="77777777" w:rsidTr="00DF49D3">
        <w:trPr>
          <w:trHeight w:val="300"/>
        </w:trPr>
        <w:tc>
          <w:tcPr>
            <w:tcW w:w="3534" w:type="dxa"/>
            <w:tcBorders>
              <w:top w:val="nil"/>
              <w:left w:val="nil"/>
              <w:bottom w:val="nil"/>
              <w:right w:val="nil"/>
            </w:tcBorders>
            <w:shd w:val="clear" w:color="auto" w:fill="auto"/>
            <w:noWrap/>
            <w:vAlign w:val="bottom"/>
          </w:tcPr>
          <w:p w14:paraId="1A723E02" w14:textId="074810E6" w:rsidR="002B302F" w:rsidRPr="00CD1426" w:rsidRDefault="002B302F" w:rsidP="00CD1426">
            <w:pPr>
              <w:spacing w:line="360" w:lineRule="auto"/>
              <w:jc w:val="both"/>
              <w:rPr>
                <w:rFonts w:ascii="Book Antiqua" w:hAnsi="Book Antiqua" w:cs="Arial"/>
                <w:lang w:eastAsia="en-US"/>
              </w:rPr>
            </w:pPr>
            <w:r w:rsidRPr="00CD1426">
              <w:rPr>
                <w:rFonts w:ascii="Book Antiqua" w:hAnsi="Book Antiqua" w:cs="Arial"/>
                <w:lang w:eastAsia="en-US"/>
              </w:rPr>
              <w:t>HCVRNA viral load &lt;</w:t>
            </w:r>
            <w:r w:rsidR="00C04C74">
              <w:rPr>
                <w:rFonts w:ascii="Book Antiqua" w:hAnsi="Book Antiqua" w:cs="Arial" w:hint="eastAsia"/>
                <w:lang w:eastAsia="zh-CN"/>
              </w:rPr>
              <w:t xml:space="preserve"> </w:t>
            </w:r>
            <w:r w:rsidRPr="00CD1426">
              <w:rPr>
                <w:rFonts w:ascii="Book Antiqua" w:hAnsi="Book Antiqua" w:cs="Arial"/>
                <w:lang w:eastAsia="en-US"/>
              </w:rPr>
              <w:t>800.000 IU/mL</w:t>
            </w:r>
          </w:p>
        </w:tc>
        <w:tc>
          <w:tcPr>
            <w:tcW w:w="910" w:type="dxa"/>
            <w:tcBorders>
              <w:top w:val="nil"/>
              <w:left w:val="nil"/>
              <w:bottom w:val="nil"/>
              <w:right w:val="nil"/>
            </w:tcBorders>
            <w:shd w:val="clear" w:color="auto" w:fill="auto"/>
            <w:noWrap/>
            <w:vAlign w:val="bottom"/>
          </w:tcPr>
          <w:p w14:paraId="2BC183E2" w14:textId="4A5976AF" w:rsidR="002B302F" w:rsidRPr="00CD1426" w:rsidRDefault="00F50DCF" w:rsidP="00CD1426">
            <w:pPr>
              <w:spacing w:line="360" w:lineRule="auto"/>
              <w:jc w:val="both"/>
              <w:rPr>
                <w:rFonts w:ascii="Book Antiqua" w:hAnsi="Book Antiqua" w:cs="Arial"/>
                <w:lang w:val="en-US" w:eastAsia="zh-CN"/>
              </w:rPr>
            </w:pPr>
            <w:r w:rsidRPr="00CD1426">
              <w:rPr>
                <w:rFonts w:ascii="Book Antiqua" w:hAnsi="Book Antiqua" w:cs="Arial"/>
                <w:lang w:val="en-US" w:eastAsia="en-US"/>
              </w:rPr>
              <w:t>64</w:t>
            </w:r>
          </w:p>
        </w:tc>
        <w:tc>
          <w:tcPr>
            <w:tcW w:w="1522" w:type="dxa"/>
            <w:tcBorders>
              <w:top w:val="nil"/>
              <w:left w:val="nil"/>
              <w:bottom w:val="nil"/>
              <w:right w:val="nil"/>
            </w:tcBorders>
            <w:shd w:val="clear" w:color="auto" w:fill="auto"/>
            <w:noWrap/>
            <w:vAlign w:val="bottom"/>
          </w:tcPr>
          <w:p w14:paraId="39ED2E92" w14:textId="67EDBB8C" w:rsidR="002B302F" w:rsidRPr="00CD1426" w:rsidRDefault="00F50DCF" w:rsidP="00CD1426">
            <w:pPr>
              <w:spacing w:line="360" w:lineRule="auto"/>
              <w:jc w:val="both"/>
              <w:rPr>
                <w:rFonts w:ascii="Book Antiqua" w:hAnsi="Book Antiqua" w:cs="Arial"/>
                <w:lang w:val="en-US" w:eastAsia="zh-CN"/>
              </w:rPr>
            </w:pPr>
            <w:r w:rsidRPr="00CD1426">
              <w:rPr>
                <w:rFonts w:ascii="Book Antiqua" w:hAnsi="Book Antiqua" w:cs="Arial"/>
                <w:lang w:val="en-US" w:eastAsia="en-US"/>
              </w:rPr>
              <w:t>76</w:t>
            </w:r>
          </w:p>
        </w:tc>
        <w:tc>
          <w:tcPr>
            <w:tcW w:w="1656" w:type="dxa"/>
            <w:tcBorders>
              <w:top w:val="nil"/>
              <w:left w:val="nil"/>
              <w:bottom w:val="nil"/>
              <w:right w:val="nil"/>
            </w:tcBorders>
            <w:shd w:val="clear" w:color="auto" w:fill="auto"/>
            <w:noWrap/>
            <w:vAlign w:val="bottom"/>
          </w:tcPr>
          <w:p w14:paraId="5B207D17" w14:textId="28396A01" w:rsidR="002B302F" w:rsidRPr="00CD1426" w:rsidRDefault="00F50DCF" w:rsidP="00CD1426">
            <w:pPr>
              <w:spacing w:line="360" w:lineRule="auto"/>
              <w:jc w:val="both"/>
              <w:rPr>
                <w:rFonts w:ascii="Book Antiqua" w:hAnsi="Book Antiqua" w:cs="Arial"/>
                <w:lang w:val="en-US" w:eastAsia="zh-CN"/>
              </w:rPr>
            </w:pPr>
            <w:r w:rsidRPr="00CD1426">
              <w:rPr>
                <w:rFonts w:ascii="Book Antiqua" w:hAnsi="Book Antiqua" w:cs="Arial"/>
                <w:lang w:val="en-US" w:eastAsia="en-US"/>
              </w:rPr>
              <w:t>85</w:t>
            </w:r>
          </w:p>
        </w:tc>
        <w:tc>
          <w:tcPr>
            <w:tcW w:w="910" w:type="dxa"/>
            <w:tcBorders>
              <w:top w:val="nil"/>
              <w:left w:val="nil"/>
              <w:bottom w:val="nil"/>
              <w:right w:val="nil"/>
            </w:tcBorders>
            <w:shd w:val="clear" w:color="auto" w:fill="auto"/>
            <w:noWrap/>
            <w:vAlign w:val="bottom"/>
          </w:tcPr>
          <w:p w14:paraId="086BC455" w14:textId="390C7A96" w:rsidR="002B302F" w:rsidRPr="00CD1426" w:rsidRDefault="00F50DCF" w:rsidP="00CD1426">
            <w:pPr>
              <w:spacing w:line="360" w:lineRule="auto"/>
              <w:jc w:val="both"/>
              <w:rPr>
                <w:rFonts w:ascii="Book Antiqua" w:hAnsi="Book Antiqua" w:cs="Arial"/>
                <w:lang w:val="en-US" w:eastAsia="zh-CN"/>
              </w:rPr>
            </w:pPr>
            <w:r w:rsidRPr="00CD1426">
              <w:rPr>
                <w:rFonts w:ascii="Book Antiqua" w:hAnsi="Book Antiqua" w:cs="Arial"/>
                <w:lang w:val="en-US" w:eastAsia="en-US"/>
              </w:rPr>
              <w:t>36</w:t>
            </w:r>
          </w:p>
        </w:tc>
        <w:tc>
          <w:tcPr>
            <w:tcW w:w="1503" w:type="dxa"/>
            <w:tcBorders>
              <w:top w:val="nil"/>
              <w:left w:val="nil"/>
              <w:bottom w:val="nil"/>
              <w:right w:val="nil"/>
            </w:tcBorders>
            <w:shd w:val="clear" w:color="auto" w:fill="auto"/>
            <w:noWrap/>
            <w:vAlign w:val="bottom"/>
          </w:tcPr>
          <w:p w14:paraId="2957B6B7" w14:textId="384B4A55" w:rsidR="002B302F" w:rsidRPr="00CD1426" w:rsidRDefault="00F50DCF" w:rsidP="00CD1426">
            <w:pPr>
              <w:spacing w:line="360" w:lineRule="auto"/>
              <w:jc w:val="both"/>
              <w:rPr>
                <w:rFonts w:ascii="Book Antiqua" w:hAnsi="Book Antiqua" w:cs="Arial"/>
                <w:lang w:val="en-US" w:eastAsia="zh-CN"/>
              </w:rPr>
            </w:pPr>
            <w:r w:rsidRPr="00CD1426">
              <w:rPr>
                <w:rFonts w:ascii="Book Antiqua" w:hAnsi="Book Antiqua" w:cs="Arial"/>
                <w:lang w:val="en-US" w:eastAsia="en-US"/>
              </w:rPr>
              <w:t>74</w:t>
            </w:r>
          </w:p>
        </w:tc>
      </w:tr>
      <w:tr w:rsidR="002B302F" w:rsidRPr="00CD1426" w14:paraId="15D11881" w14:textId="77777777" w:rsidTr="00DF49D3">
        <w:trPr>
          <w:trHeight w:val="300"/>
        </w:trPr>
        <w:tc>
          <w:tcPr>
            <w:tcW w:w="3534" w:type="dxa"/>
            <w:tcBorders>
              <w:top w:val="nil"/>
              <w:left w:val="nil"/>
              <w:bottom w:val="nil"/>
              <w:right w:val="nil"/>
            </w:tcBorders>
            <w:shd w:val="clear" w:color="auto" w:fill="auto"/>
            <w:noWrap/>
            <w:vAlign w:val="bottom"/>
          </w:tcPr>
          <w:p w14:paraId="70441E88" w14:textId="77777777" w:rsidR="002B302F" w:rsidRPr="00CD1426" w:rsidRDefault="002B302F" w:rsidP="00CD1426">
            <w:pPr>
              <w:spacing w:line="360" w:lineRule="auto"/>
              <w:jc w:val="both"/>
              <w:rPr>
                <w:rFonts w:ascii="Book Antiqua" w:hAnsi="Book Antiqua" w:cs="Arial"/>
                <w:lang w:val="en-US" w:eastAsia="en-US"/>
              </w:rPr>
            </w:pPr>
            <w:r w:rsidRPr="00CD1426">
              <w:rPr>
                <w:rFonts w:ascii="Book Antiqua" w:hAnsi="Book Antiqua" w:cs="Arial"/>
                <w:lang w:val="en-US" w:eastAsia="en-US"/>
              </w:rPr>
              <w:t>IL28B C/C</w:t>
            </w:r>
          </w:p>
        </w:tc>
        <w:tc>
          <w:tcPr>
            <w:tcW w:w="910" w:type="dxa"/>
            <w:tcBorders>
              <w:top w:val="nil"/>
              <w:left w:val="nil"/>
              <w:bottom w:val="nil"/>
              <w:right w:val="nil"/>
            </w:tcBorders>
            <w:shd w:val="clear" w:color="auto" w:fill="auto"/>
            <w:noWrap/>
            <w:vAlign w:val="bottom"/>
          </w:tcPr>
          <w:p w14:paraId="00544B0F" w14:textId="6862CDF9" w:rsidR="002B302F" w:rsidRPr="00CD1426" w:rsidRDefault="00F50DCF" w:rsidP="00CD1426">
            <w:pPr>
              <w:spacing w:line="360" w:lineRule="auto"/>
              <w:jc w:val="both"/>
              <w:rPr>
                <w:rFonts w:ascii="Book Antiqua" w:hAnsi="Book Antiqua" w:cs="Arial"/>
                <w:lang w:val="en-US" w:eastAsia="zh-CN"/>
              </w:rPr>
            </w:pPr>
            <w:r w:rsidRPr="00CD1426">
              <w:rPr>
                <w:rFonts w:ascii="Book Antiqua" w:hAnsi="Book Antiqua" w:cs="Arial"/>
                <w:lang w:val="en-US" w:eastAsia="en-US"/>
              </w:rPr>
              <w:t>78</w:t>
            </w:r>
          </w:p>
        </w:tc>
        <w:tc>
          <w:tcPr>
            <w:tcW w:w="1522" w:type="dxa"/>
            <w:tcBorders>
              <w:top w:val="nil"/>
              <w:left w:val="nil"/>
              <w:bottom w:val="nil"/>
              <w:right w:val="nil"/>
            </w:tcBorders>
            <w:shd w:val="clear" w:color="auto" w:fill="auto"/>
            <w:noWrap/>
            <w:vAlign w:val="bottom"/>
          </w:tcPr>
          <w:p w14:paraId="3CD03778" w14:textId="21B6CCA0" w:rsidR="002B302F" w:rsidRPr="00CD1426" w:rsidRDefault="00F50DCF" w:rsidP="00CD1426">
            <w:pPr>
              <w:spacing w:line="360" w:lineRule="auto"/>
              <w:jc w:val="both"/>
              <w:rPr>
                <w:rFonts w:ascii="Book Antiqua" w:hAnsi="Book Antiqua" w:cs="Arial"/>
                <w:lang w:val="en-US" w:eastAsia="zh-CN"/>
              </w:rPr>
            </w:pPr>
            <w:r w:rsidRPr="00CD1426">
              <w:rPr>
                <w:rFonts w:ascii="Book Antiqua" w:hAnsi="Book Antiqua" w:cs="Arial"/>
                <w:lang w:val="en-US" w:eastAsia="en-US"/>
              </w:rPr>
              <w:t>82</w:t>
            </w:r>
          </w:p>
        </w:tc>
        <w:tc>
          <w:tcPr>
            <w:tcW w:w="1656" w:type="dxa"/>
            <w:tcBorders>
              <w:top w:val="nil"/>
              <w:left w:val="nil"/>
              <w:bottom w:val="nil"/>
              <w:right w:val="nil"/>
            </w:tcBorders>
            <w:shd w:val="clear" w:color="auto" w:fill="auto"/>
            <w:noWrap/>
            <w:vAlign w:val="bottom"/>
          </w:tcPr>
          <w:p w14:paraId="1AECD934" w14:textId="0EEF8D19" w:rsidR="002B302F" w:rsidRPr="00CD1426" w:rsidRDefault="00F50DCF" w:rsidP="00CD1426">
            <w:pPr>
              <w:spacing w:line="360" w:lineRule="auto"/>
              <w:jc w:val="both"/>
              <w:rPr>
                <w:rFonts w:ascii="Book Antiqua" w:hAnsi="Book Antiqua" w:cs="Arial"/>
                <w:lang w:val="en-US" w:eastAsia="zh-CN"/>
              </w:rPr>
            </w:pPr>
            <w:r w:rsidRPr="00CD1426">
              <w:rPr>
                <w:rFonts w:ascii="Book Antiqua" w:hAnsi="Book Antiqua" w:cs="Arial"/>
                <w:lang w:val="en-US" w:eastAsia="en-US"/>
              </w:rPr>
              <w:t>80</w:t>
            </w:r>
          </w:p>
        </w:tc>
        <w:tc>
          <w:tcPr>
            <w:tcW w:w="910" w:type="dxa"/>
            <w:tcBorders>
              <w:top w:val="nil"/>
              <w:left w:val="nil"/>
              <w:bottom w:val="nil"/>
              <w:right w:val="nil"/>
            </w:tcBorders>
            <w:shd w:val="clear" w:color="auto" w:fill="auto"/>
            <w:noWrap/>
            <w:vAlign w:val="bottom"/>
          </w:tcPr>
          <w:p w14:paraId="0B556341" w14:textId="4FB4D8D1" w:rsidR="002B302F" w:rsidRPr="00CD1426" w:rsidRDefault="00F50DCF" w:rsidP="00CD1426">
            <w:pPr>
              <w:spacing w:line="360" w:lineRule="auto"/>
              <w:jc w:val="both"/>
              <w:rPr>
                <w:rFonts w:ascii="Book Antiqua" w:hAnsi="Book Antiqua" w:cs="Arial"/>
                <w:lang w:val="en-US" w:eastAsia="zh-CN"/>
              </w:rPr>
            </w:pPr>
            <w:r w:rsidRPr="00CD1426">
              <w:rPr>
                <w:rFonts w:ascii="Book Antiqua" w:hAnsi="Book Antiqua" w:cs="Arial"/>
                <w:lang w:val="en-US" w:eastAsia="en-US"/>
              </w:rPr>
              <w:t>64</w:t>
            </w:r>
          </w:p>
        </w:tc>
        <w:tc>
          <w:tcPr>
            <w:tcW w:w="1503" w:type="dxa"/>
            <w:tcBorders>
              <w:top w:val="nil"/>
              <w:left w:val="nil"/>
              <w:bottom w:val="nil"/>
              <w:right w:val="nil"/>
            </w:tcBorders>
            <w:shd w:val="clear" w:color="auto" w:fill="auto"/>
            <w:noWrap/>
            <w:vAlign w:val="bottom"/>
          </w:tcPr>
          <w:p w14:paraId="65CD7367" w14:textId="3E8DFB7B" w:rsidR="002B302F" w:rsidRPr="00CD1426" w:rsidRDefault="00F50DCF" w:rsidP="00CD1426">
            <w:pPr>
              <w:spacing w:line="360" w:lineRule="auto"/>
              <w:jc w:val="both"/>
              <w:rPr>
                <w:rFonts w:ascii="Book Antiqua" w:hAnsi="Book Antiqua" w:cs="Arial"/>
                <w:lang w:val="en-US" w:eastAsia="zh-CN"/>
              </w:rPr>
            </w:pPr>
            <w:r w:rsidRPr="00CD1426">
              <w:rPr>
                <w:rFonts w:ascii="Book Antiqua" w:hAnsi="Book Antiqua" w:cs="Arial"/>
                <w:lang w:val="en-US" w:eastAsia="en-US"/>
              </w:rPr>
              <w:t>90</w:t>
            </w:r>
          </w:p>
        </w:tc>
      </w:tr>
      <w:tr w:rsidR="002B302F" w:rsidRPr="00CD1426" w14:paraId="1D8EFA94" w14:textId="77777777" w:rsidTr="00DF49D3">
        <w:trPr>
          <w:trHeight w:val="300"/>
        </w:trPr>
        <w:tc>
          <w:tcPr>
            <w:tcW w:w="3534" w:type="dxa"/>
            <w:tcBorders>
              <w:top w:val="nil"/>
              <w:left w:val="nil"/>
              <w:bottom w:val="nil"/>
              <w:right w:val="nil"/>
            </w:tcBorders>
            <w:shd w:val="clear" w:color="auto" w:fill="auto"/>
            <w:noWrap/>
            <w:vAlign w:val="bottom"/>
          </w:tcPr>
          <w:p w14:paraId="11A5B76D" w14:textId="77777777" w:rsidR="002B302F" w:rsidRPr="00CD1426" w:rsidRDefault="002B302F" w:rsidP="00CD1426">
            <w:pPr>
              <w:spacing w:line="360" w:lineRule="auto"/>
              <w:jc w:val="both"/>
              <w:rPr>
                <w:rFonts w:ascii="Book Antiqua" w:hAnsi="Book Antiqua" w:cs="Arial"/>
                <w:lang w:val="en-US" w:eastAsia="en-US"/>
              </w:rPr>
            </w:pPr>
            <w:r w:rsidRPr="00CD1426">
              <w:rPr>
                <w:rFonts w:ascii="Book Antiqua" w:hAnsi="Book Antiqua" w:cs="Arial"/>
                <w:lang w:val="en-US" w:eastAsia="en-US"/>
              </w:rPr>
              <w:t>Il28B C/T</w:t>
            </w:r>
          </w:p>
        </w:tc>
        <w:tc>
          <w:tcPr>
            <w:tcW w:w="910" w:type="dxa"/>
            <w:tcBorders>
              <w:top w:val="nil"/>
              <w:left w:val="nil"/>
              <w:bottom w:val="nil"/>
              <w:right w:val="nil"/>
            </w:tcBorders>
            <w:shd w:val="clear" w:color="auto" w:fill="auto"/>
            <w:noWrap/>
            <w:vAlign w:val="bottom"/>
          </w:tcPr>
          <w:p w14:paraId="1D7A8AAB" w14:textId="2201BF89" w:rsidR="002B302F" w:rsidRPr="00CD1426" w:rsidRDefault="00F50DCF" w:rsidP="00CD1426">
            <w:pPr>
              <w:spacing w:line="360" w:lineRule="auto"/>
              <w:jc w:val="both"/>
              <w:rPr>
                <w:rFonts w:ascii="Book Antiqua" w:hAnsi="Book Antiqua" w:cs="Arial"/>
                <w:lang w:val="en-US" w:eastAsia="zh-CN"/>
              </w:rPr>
            </w:pPr>
            <w:r w:rsidRPr="00CD1426">
              <w:rPr>
                <w:rFonts w:ascii="Book Antiqua" w:hAnsi="Book Antiqua" w:cs="Arial"/>
                <w:lang w:val="en-US" w:eastAsia="en-US"/>
              </w:rPr>
              <w:t>28</w:t>
            </w:r>
          </w:p>
        </w:tc>
        <w:tc>
          <w:tcPr>
            <w:tcW w:w="1522" w:type="dxa"/>
            <w:tcBorders>
              <w:top w:val="nil"/>
              <w:left w:val="nil"/>
              <w:bottom w:val="nil"/>
              <w:right w:val="nil"/>
            </w:tcBorders>
            <w:shd w:val="clear" w:color="auto" w:fill="auto"/>
            <w:noWrap/>
            <w:vAlign w:val="bottom"/>
          </w:tcPr>
          <w:p w14:paraId="01269333" w14:textId="0F5FEFE8" w:rsidR="002B302F" w:rsidRPr="00CD1426" w:rsidRDefault="00F50DCF" w:rsidP="00CD1426">
            <w:pPr>
              <w:spacing w:line="360" w:lineRule="auto"/>
              <w:jc w:val="both"/>
              <w:rPr>
                <w:rFonts w:ascii="Book Antiqua" w:hAnsi="Book Antiqua" w:cs="Arial"/>
                <w:lang w:val="en-US" w:eastAsia="zh-CN"/>
              </w:rPr>
            </w:pPr>
            <w:r w:rsidRPr="00CD1426">
              <w:rPr>
                <w:rFonts w:ascii="Book Antiqua" w:hAnsi="Book Antiqua" w:cs="Arial"/>
                <w:lang w:val="en-US" w:eastAsia="en-US"/>
              </w:rPr>
              <w:t>65</w:t>
            </w:r>
          </w:p>
        </w:tc>
        <w:tc>
          <w:tcPr>
            <w:tcW w:w="1656" w:type="dxa"/>
            <w:tcBorders>
              <w:top w:val="nil"/>
              <w:left w:val="nil"/>
              <w:bottom w:val="nil"/>
              <w:right w:val="nil"/>
            </w:tcBorders>
            <w:shd w:val="clear" w:color="auto" w:fill="auto"/>
            <w:noWrap/>
            <w:vAlign w:val="bottom"/>
          </w:tcPr>
          <w:p w14:paraId="3FE9AD2C" w14:textId="395132F4" w:rsidR="002B302F" w:rsidRPr="00CD1426" w:rsidRDefault="00F50DCF" w:rsidP="00CD1426">
            <w:pPr>
              <w:spacing w:line="360" w:lineRule="auto"/>
              <w:jc w:val="both"/>
              <w:rPr>
                <w:rFonts w:ascii="Book Antiqua" w:hAnsi="Book Antiqua" w:cs="Arial"/>
                <w:lang w:val="en-US" w:eastAsia="zh-CN"/>
              </w:rPr>
            </w:pPr>
            <w:r w:rsidRPr="00CD1426">
              <w:rPr>
                <w:rFonts w:ascii="Book Antiqua" w:hAnsi="Book Antiqua" w:cs="Arial"/>
                <w:lang w:val="en-US" w:eastAsia="en-US"/>
              </w:rPr>
              <w:t>71</w:t>
            </w:r>
          </w:p>
        </w:tc>
        <w:tc>
          <w:tcPr>
            <w:tcW w:w="910" w:type="dxa"/>
            <w:tcBorders>
              <w:top w:val="nil"/>
              <w:left w:val="nil"/>
              <w:bottom w:val="nil"/>
              <w:right w:val="nil"/>
            </w:tcBorders>
            <w:shd w:val="clear" w:color="auto" w:fill="auto"/>
            <w:noWrap/>
            <w:vAlign w:val="bottom"/>
          </w:tcPr>
          <w:p w14:paraId="02A539D2" w14:textId="4877EE9A" w:rsidR="002B302F" w:rsidRPr="00CD1426" w:rsidRDefault="00F50DCF" w:rsidP="00CD1426">
            <w:pPr>
              <w:spacing w:line="360" w:lineRule="auto"/>
              <w:jc w:val="both"/>
              <w:rPr>
                <w:rFonts w:ascii="Book Antiqua" w:hAnsi="Book Antiqua" w:cs="Arial"/>
                <w:lang w:val="en-US" w:eastAsia="zh-CN"/>
              </w:rPr>
            </w:pPr>
            <w:r w:rsidRPr="00CD1426">
              <w:rPr>
                <w:rFonts w:ascii="Book Antiqua" w:hAnsi="Book Antiqua" w:cs="Arial"/>
                <w:lang w:val="en-US" w:eastAsia="en-US"/>
              </w:rPr>
              <w:t>23</w:t>
            </w:r>
          </w:p>
        </w:tc>
        <w:tc>
          <w:tcPr>
            <w:tcW w:w="1503" w:type="dxa"/>
            <w:tcBorders>
              <w:top w:val="nil"/>
              <w:left w:val="nil"/>
              <w:bottom w:val="nil"/>
              <w:right w:val="nil"/>
            </w:tcBorders>
            <w:shd w:val="clear" w:color="auto" w:fill="auto"/>
            <w:noWrap/>
            <w:vAlign w:val="bottom"/>
          </w:tcPr>
          <w:p w14:paraId="17A7DB26" w14:textId="4CD343E2" w:rsidR="002B302F" w:rsidRPr="00CD1426" w:rsidRDefault="00F50DCF" w:rsidP="00CD1426">
            <w:pPr>
              <w:spacing w:line="360" w:lineRule="auto"/>
              <w:jc w:val="both"/>
              <w:rPr>
                <w:rFonts w:ascii="Book Antiqua" w:hAnsi="Book Antiqua" w:cs="Arial"/>
                <w:lang w:val="en-US" w:eastAsia="zh-CN"/>
              </w:rPr>
            </w:pPr>
            <w:r w:rsidRPr="00CD1426">
              <w:rPr>
                <w:rFonts w:ascii="Book Antiqua" w:hAnsi="Book Antiqua" w:cs="Arial"/>
                <w:lang w:val="en-US" w:eastAsia="en-US"/>
              </w:rPr>
              <w:t>71</w:t>
            </w:r>
          </w:p>
        </w:tc>
      </w:tr>
      <w:tr w:rsidR="002B302F" w:rsidRPr="00CD1426" w14:paraId="4E5FEC79" w14:textId="77777777" w:rsidTr="00DF49D3">
        <w:trPr>
          <w:trHeight w:val="300"/>
        </w:trPr>
        <w:tc>
          <w:tcPr>
            <w:tcW w:w="3534" w:type="dxa"/>
            <w:tcBorders>
              <w:top w:val="nil"/>
              <w:left w:val="nil"/>
              <w:bottom w:val="nil"/>
              <w:right w:val="nil"/>
            </w:tcBorders>
            <w:shd w:val="clear" w:color="auto" w:fill="auto"/>
            <w:noWrap/>
            <w:vAlign w:val="bottom"/>
          </w:tcPr>
          <w:p w14:paraId="112FCBF9" w14:textId="77777777" w:rsidR="002B302F" w:rsidRPr="00CD1426" w:rsidRDefault="002B302F" w:rsidP="00CD1426">
            <w:pPr>
              <w:spacing w:line="360" w:lineRule="auto"/>
              <w:jc w:val="both"/>
              <w:rPr>
                <w:rFonts w:ascii="Book Antiqua" w:hAnsi="Book Antiqua" w:cs="Arial"/>
                <w:lang w:val="en-US" w:eastAsia="en-US"/>
              </w:rPr>
            </w:pPr>
            <w:r w:rsidRPr="00CD1426">
              <w:rPr>
                <w:rFonts w:ascii="Book Antiqua" w:hAnsi="Book Antiqua" w:cs="Arial"/>
                <w:lang w:val="en-US" w:eastAsia="en-US"/>
              </w:rPr>
              <w:t>IL28B T/T</w:t>
            </w:r>
          </w:p>
        </w:tc>
        <w:tc>
          <w:tcPr>
            <w:tcW w:w="910" w:type="dxa"/>
            <w:tcBorders>
              <w:top w:val="nil"/>
              <w:left w:val="nil"/>
              <w:bottom w:val="nil"/>
              <w:right w:val="nil"/>
            </w:tcBorders>
            <w:shd w:val="clear" w:color="auto" w:fill="auto"/>
            <w:noWrap/>
            <w:vAlign w:val="bottom"/>
          </w:tcPr>
          <w:p w14:paraId="71B0B884" w14:textId="558FCA37" w:rsidR="002B302F" w:rsidRPr="00CD1426" w:rsidRDefault="00F50DCF" w:rsidP="00CD1426">
            <w:pPr>
              <w:spacing w:line="360" w:lineRule="auto"/>
              <w:jc w:val="both"/>
              <w:rPr>
                <w:rFonts w:ascii="Book Antiqua" w:hAnsi="Book Antiqua" w:cs="Arial"/>
                <w:lang w:val="en-US" w:eastAsia="zh-CN"/>
              </w:rPr>
            </w:pPr>
            <w:r w:rsidRPr="00CD1426">
              <w:rPr>
                <w:rFonts w:ascii="Book Antiqua" w:hAnsi="Book Antiqua" w:cs="Arial"/>
                <w:lang w:val="en-US" w:eastAsia="en-US"/>
              </w:rPr>
              <w:t>27</w:t>
            </w:r>
          </w:p>
        </w:tc>
        <w:tc>
          <w:tcPr>
            <w:tcW w:w="1522" w:type="dxa"/>
            <w:tcBorders>
              <w:top w:val="nil"/>
              <w:left w:val="nil"/>
              <w:bottom w:val="nil"/>
              <w:right w:val="nil"/>
            </w:tcBorders>
            <w:shd w:val="clear" w:color="auto" w:fill="auto"/>
            <w:noWrap/>
            <w:vAlign w:val="bottom"/>
          </w:tcPr>
          <w:p w14:paraId="23A38E79" w14:textId="3F19B7AA" w:rsidR="002B302F" w:rsidRPr="00CD1426" w:rsidRDefault="00F50DCF" w:rsidP="00CD1426">
            <w:pPr>
              <w:spacing w:line="360" w:lineRule="auto"/>
              <w:jc w:val="both"/>
              <w:rPr>
                <w:rFonts w:ascii="Book Antiqua" w:hAnsi="Book Antiqua" w:cs="Arial"/>
                <w:lang w:val="en-US" w:eastAsia="zh-CN"/>
              </w:rPr>
            </w:pPr>
            <w:r w:rsidRPr="00CD1426">
              <w:rPr>
                <w:rFonts w:ascii="Book Antiqua" w:hAnsi="Book Antiqua" w:cs="Arial"/>
                <w:lang w:val="en-US" w:eastAsia="en-US"/>
              </w:rPr>
              <w:t>55</w:t>
            </w:r>
          </w:p>
        </w:tc>
        <w:tc>
          <w:tcPr>
            <w:tcW w:w="1656" w:type="dxa"/>
            <w:tcBorders>
              <w:top w:val="nil"/>
              <w:left w:val="nil"/>
              <w:bottom w:val="nil"/>
              <w:right w:val="nil"/>
            </w:tcBorders>
            <w:shd w:val="clear" w:color="auto" w:fill="auto"/>
            <w:noWrap/>
            <w:vAlign w:val="bottom"/>
          </w:tcPr>
          <w:p w14:paraId="549D8ECC" w14:textId="1AD4858F" w:rsidR="002B302F" w:rsidRPr="00CD1426" w:rsidRDefault="00F50DCF" w:rsidP="00CD1426">
            <w:pPr>
              <w:spacing w:line="360" w:lineRule="auto"/>
              <w:jc w:val="both"/>
              <w:rPr>
                <w:rFonts w:ascii="Book Antiqua" w:hAnsi="Book Antiqua" w:cs="Arial"/>
                <w:lang w:val="en-US" w:eastAsia="zh-CN"/>
              </w:rPr>
            </w:pPr>
            <w:r w:rsidRPr="00CD1426">
              <w:rPr>
                <w:rFonts w:ascii="Book Antiqua" w:hAnsi="Book Antiqua" w:cs="Arial"/>
                <w:lang w:val="en-US" w:eastAsia="en-US"/>
              </w:rPr>
              <w:t>59</w:t>
            </w:r>
          </w:p>
        </w:tc>
        <w:tc>
          <w:tcPr>
            <w:tcW w:w="910" w:type="dxa"/>
            <w:tcBorders>
              <w:top w:val="nil"/>
              <w:left w:val="nil"/>
              <w:bottom w:val="nil"/>
              <w:right w:val="nil"/>
            </w:tcBorders>
            <w:shd w:val="clear" w:color="auto" w:fill="auto"/>
            <w:noWrap/>
            <w:vAlign w:val="bottom"/>
          </w:tcPr>
          <w:p w14:paraId="3B7C15F4" w14:textId="095D9B43" w:rsidR="002B302F" w:rsidRPr="00CD1426" w:rsidRDefault="00F50DCF" w:rsidP="00CD1426">
            <w:pPr>
              <w:spacing w:line="360" w:lineRule="auto"/>
              <w:jc w:val="both"/>
              <w:rPr>
                <w:rFonts w:ascii="Book Antiqua" w:hAnsi="Book Antiqua" w:cs="Arial"/>
                <w:lang w:val="en-US" w:eastAsia="zh-CN"/>
              </w:rPr>
            </w:pPr>
            <w:r w:rsidRPr="00CD1426">
              <w:rPr>
                <w:rFonts w:ascii="Book Antiqua" w:hAnsi="Book Antiqua" w:cs="Arial"/>
                <w:lang w:val="en-US" w:eastAsia="en-US"/>
              </w:rPr>
              <w:t>25</w:t>
            </w:r>
          </w:p>
        </w:tc>
        <w:tc>
          <w:tcPr>
            <w:tcW w:w="1503" w:type="dxa"/>
            <w:tcBorders>
              <w:top w:val="nil"/>
              <w:left w:val="nil"/>
              <w:bottom w:val="nil"/>
              <w:right w:val="nil"/>
            </w:tcBorders>
            <w:shd w:val="clear" w:color="auto" w:fill="auto"/>
            <w:noWrap/>
            <w:vAlign w:val="bottom"/>
          </w:tcPr>
          <w:p w14:paraId="2263166C" w14:textId="33FFEA53" w:rsidR="002B302F" w:rsidRPr="00CD1426" w:rsidRDefault="00F50DCF" w:rsidP="00CD1426">
            <w:pPr>
              <w:spacing w:line="360" w:lineRule="auto"/>
              <w:jc w:val="both"/>
              <w:rPr>
                <w:rFonts w:ascii="Book Antiqua" w:hAnsi="Book Antiqua" w:cs="Arial"/>
                <w:lang w:val="en-US" w:eastAsia="zh-CN"/>
              </w:rPr>
            </w:pPr>
            <w:r w:rsidRPr="00CD1426">
              <w:rPr>
                <w:rFonts w:ascii="Book Antiqua" w:hAnsi="Book Antiqua" w:cs="Arial"/>
                <w:lang w:val="en-US" w:eastAsia="en-US"/>
              </w:rPr>
              <w:t>73</w:t>
            </w:r>
          </w:p>
        </w:tc>
      </w:tr>
      <w:tr w:rsidR="002B302F" w:rsidRPr="00CD1426" w14:paraId="6B0F2377" w14:textId="77777777" w:rsidTr="00DF49D3">
        <w:trPr>
          <w:trHeight w:val="300"/>
        </w:trPr>
        <w:tc>
          <w:tcPr>
            <w:tcW w:w="3534" w:type="dxa"/>
            <w:tcBorders>
              <w:top w:val="nil"/>
              <w:left w:val="nil"/>
              <w:bottom w:val="nil"/>
              <w:right w:val="nil"/>
            </w:tcBorders>
            <w:shd w:val="clear" w:color="auto" w:fill="auto"/>
            <w:noWrap/>
            <w:vAlign w:val="bottom"/>
          </w:tcPr>
          <w:p w14:paraId="50FFC37C" w14:textId="77777777" w:rsidR="002B302F" w:rsidRPr="00CD1426" w:rsidRDefault="002B302F" w:rsidP="00CD1426">
            <w:pPr>
              <w:spacing w:line="360" w:lineRule="auto"/>
              <w:jc w:val="both"/>
              <w:rPr>
                <w:rFonts w:ascii="Book Antiqua" w:hAnsi="Book Antiqua" w:cs="Arial"/>
                <w:lang w:val="en-US" w:eastAsia="en-US"/>
              </w:rPr>
            </w:pPr>
            <w:r w:rsidRPr="00CD1426">
              <w:rPr>
                <w:rFonts w:ascii="Book Antiqua" w:hAnsi="Book Antiqua" w:cs="Arial"/>
                <w:lang w:val="en-US" w:eastAsia="en-US"/>
              </w:rPr>
              <w:t>HCV genotype 1</w:t>
            </w:r>
            <w:r w:rsidRPr="00CD1426">
              <w:rPr>
                <w:rFonts w:ascii="Book Antiqua" w:hAnsi="Book Antiqua" w:cs="Arial"/>
                <w:vertAlign w:val="superscript"/>
                <w:lang w:val="en-US" w:eastAsia="en-US"/>
              </w:rPr>
              <w:t xml:space="preserve"> </w:t>
            </w:r>
            <w:r w:rsidRPr="00CD1426">
              <w:rPr>
                <w:rFonts w:ascii="Book Antiqua" w:hAnsi="Book Antiqua" w:cs="Arial"/>
                <w:lang w:val="en-US" w:eastAsia="en-US"/>
              </w:rPr>
              <w:t>a</w:t>
            </w:r>
          </w:p>
        </w:tc>
        <w:tc>
          <w:tcPr>
            <w:tcW w:w="910" w:type="dxa"/>
            <w:tcBorders>
              <w:top w:val="nil"/>
              <w:left w:val="nil"/>
              <w:bottom w:val="nil"/>
              <w:right w:val="nil"/>
            </w:tcBorders>
            <w:shd w:val="clear" w:color="auto" w:fill="auto"/>
            <w:noWrap/>
            <w:vAlign w:val="bottom"/>
          </w:tcPr>
          <w:p w14:paraId="7EFB4A9A" w14:textId="025E0C2A" w:rsidR="002B302F" w:rsidRPr="00CD1426" w:rsidRDefault="00F50DCF" w:rsidP="00CD1426">
            <w:pPr>
              <w:spacing w:line="360" w:lineRule="auto"/>
              <w:jc w:val="both"/>
              <w:rPr>
                <w:rFonts w:ascii="Book Antiqua" w:hAnsi="Book Antiqua" w:cs="Arial"/>
                <w:lang w:val="en-US" w:eastAsia="zh-CN"/>
              </w:rPr>
            </w:pPr>
            <w:r w:rsidRPr="00CD1426">
              <w:rPr>
                <w:rFonts w:ascii="Book Antiqua" w:hAnsi="Book Antiqua" w:cs="Arial"/>
                <w:lang w:val="en-US" w:eastAsia="en-US"/>
              </w:rPr>
              <w:t>35</w:t>
            </w:r>
          </w:p>
        </w:tc>
        <w:tc>
          <w:tcPr>
            <w:tcW w:w="1522" w:type="dxa"/>
            <w:tcBorders>
              <w:top w:val="nil"/>
              <w:left w:val="nil"/>
              <w:bottom w:val="nil"/>
              <w:right w:val="nil"/>
            </w:tcBorders>
            <w:shd w:val="clear" w:color="auto" w:fill="auto"/>
            <w:noWrap/>
            <w:vAlign w:val="bottom"/>
          </w:tcPr>
          <w:p w14:paraId="0969FEFE" w14:textId="386E581A" w:rsidR="002B302F" w:rsidRPr="00CD1426" w:rsidRDefault="00F50DCF" w:rsidP="00CD1426">
            <w:pPr>
              <w:spacing w:line="360" w:lineRule="auto"/>
              <w:jc w:val="both"/>
              <w:rPr>
                <w:rFonts w:ascii="Book Antiqua" w:hAnsi="Book Antiqua" w:cs="Arial"/>
                <w:lang w:val="en-US" w:eastAsia="zh-CN"/>
              </w:rPr>
            </w:pPr>
            <w:r w:rsidRPr="00CD1426">
              <w:rPr>
                <w:rFonts w:ascii="Book Antiqua" w:hAnsi="Book Antiqua" w:cs="Arial"/>
                <w:lang w:val="en-US" w:eastAsia="en-US"/>
              </w:rPr>
              <w:t>59</w:t>
            </w:r>
          </w:p>
        </w:tc>
        <w:tc>
          <w:tcPr>
            <w:tcW w:w="1656" w:type="dxa"/>
            <w:tcBorders>
              <w:top w:val="nil"/>
              <w:left w:val="nil"/>
              <w:bottom w:val="nil"/>
              <w:right w:val="nil"/>
            </w:tcBorders>
            <w:shd w:val="clear" w:color="auto" w:fill="auto"/>
            <w:noWrap/>
            <w:vAlign w:val="bottom"/>
          </w:tcPr>
          <w:p w14:paraId="4268124B" w14:textId="212169D4" w:rsidR="002B302F" w:rsidRPr="00CD1426" w:rsidRDefault="00F50DCF" w:rsidP="00CD1426">
            <w:pPr>
              <w:spacing w:line="360" w:lineRule="auto"/>
              <w:jc w:val="both"/>
              <w:rPr>
                <w:rFonts w:ascii="Book Antiqua" w:hAnsi="Book Antiqua" w:cs="Arial"/>
                <w:lang w:val="en-US" w:eastAsia="zh-CN"/>
              </w:rPr>
            </w:pPr>
            <w:r w:rsidRPr="00CD1426">
              <w:rPr>
                <w:rFonts w:ascii="Book Antiqua" w:hAnsi="Book Antiqua" w:cs="Arial"/>
                <w:lang w:val="en-US" w:eastAsia="en-US"/>
              </w:rPr>
              <w:t>63</w:t>
            </w:r>
          </w:p>
        </w:tc>
        <w:tc>
          <w:tcPr>
            <w:tcW w:w="910" w:type="dxa"/>
            <w:tcBorders>
              <w:top w:val="nil"/>
              <w:left w:val="nil"/>
              <w:bottom w:val="nil"/>
              <w:right w:val="nil"/>
            </w:tcBorders>
            <w:shd w:val="clear" w:color="auto" w:fill="auto"/>
            <w:noWrap/>
            <w:vAlign w:val="bottom"/>
          </w:tcPr>
          <w:p w14:paraId="2D928DAE" w14:textId="09456F26" w:rsidR="002B302F" w:rsidRPr="00CD1426" w:rsidRDefault="00F50DCF" w:rsidP="00CD1426">
            <w:pPr>
              <w:spacing w:line="360" w:lineRule="auto"/>
              <w:jc w:val="both"/>
              <w:rPr>
                <w:rFonts w:ascii="Book Antiqua" w:hAnsi="Book Antiqua" w:cs="Arial"/>
                <w:lang w:val="en-US" w:eastAsia="zh-CN"/>
              </w:rPr>
            </w:pPr>
            <w:r w:rsidRPr="00CD1426">
              <w:rPr>
                <w:rFonts w:ascii="Book Antiqua" w:hAnsi="Book Antiqua" w:cs="Arial"/>
                <w:lang w:val="en-US" w:eastAsia="en-US"/>
              </w:rPr>
              <w:t>41</w:t>
            </w:r>
          </w:p>
        </w:tc>
        <w:tc>
          <w:tcPr>
            <w:tcW w:w="1503" w:type="dxa"/>
            <w:tcBorders>
              <w:top w:val="nil"/>
              <w:left w:val="nil"/>
              <w:bottom w:val="nil"/>
              <w:right w:val="nil"/>
            </w:tcBorders>
            <w:shd w:val="clear" w:color="auto" w:fill="auto"/>
            <w:noWrap/>
            <w:vAlign w:val="bottom"/>
          </w:tcPr>
          <w:p w14:paraId="6A521C28" w14:textId="0BDDF87C" w:rsidR="002B302F" w:rsidRPr="00CD1426" w:rsidRDefault="00F50DCF" w:rsidP="00CD1426">
            <w:pPr>
              <w:spacing w:line="360" w:lineRule="auto"/>
              <w:jc w:val="both"/>
              <w:rPr>
                <w:rFonts w:ascii="Book Antiqua" w:hAnsi="Book Antiqua" w:cs="Arial"/>
                <w:lang w:val="en-US" w:eastAsia="zh-CN"/>
              </w:rPr>
            </w:pPr>
            <w:r w:rsidRPr="00CD1426">
              <w:rPr>
                <w:rFonts w:ascii="Book Antiqua" w:hAnsi="Book Antiqua" w:cs="Arial"/>
                <w:lang w:val="en-US" w:eastAsia="en-US"/>
              </w:rPr>
              <w:t>71</w:t>
            </w:r>
          </w:p>
        </w:tc>
      </w:tr>
      <w:tr w:rsidR="002B302F" w:rsidRPr="00CD1426" w14:paraId="21D47045" w14:textId="77777777" w:rsidTr="00DF49D3">
        <w:trPr>
          <w:trHeight w:val="300"/>
        </w:trPr>
        <w:tc>
          <w:tcPr>
            <w:tcW w:w="3534" w:type="dxa"/>
            <w:tcBorders>
              <w:top w:val="nil"/>
              <w:left w:val="nil"/>
              <w:bottom w:val="nil"/>
              <w:right w:val="nil"/>
            </w:tcBorders>
            <w:shd w:val="clear" w:color="auto" w:fill="auto"/>
            <w:noWrap/>
            <w:vAlign w:val="bottom"/>
          </w:tcPr>
          <w:p w14:paraId="3ED06C84" w14:textId="77777777" w:rsidR="002B302F" w:rsidRPr="00CD1426" w:rsidRDefault="002B302F" w:rsidP="00CD1426">
            <w:pPr>
              <w:spacing w:line="360" w:lineRule="auto"/>
              <w:jc w:val="both"/>
              <w:rPr>
                <w:rFonts w:ascii="Book Antiqua" w:hAnsi="Book Antiqua" w:cs="Arial"/>
                <w:lang w:val="en-US" w:eastAsia="en-US"/>
              </w:rPr>
            </w:pPr>
            <w:r w:rsidRPr="00CD1426">
              <w:rPr>
                <w:rFonts w:ascii="Book Antiqua" w:hAnsi="Book Antiqua" w:cs="Arial"/>
                <w:lang w:val="en-US" w:eastAsia="en-US"/>
              </w:rPr>
              <w:t>HCV genotype 1 b</w:t>
            </w:r>
          </w:p>
        </w:tc>
        <w:tc>
          <w:tcPr>
            <w:tcW w:w="910" w:type="dxa"/>
            <w:tcBorders>
              <w:top w:val="nil"/>
              <w:left w:val="nil"/>
              <w:bottom w:val="nil"/>
              <w:right w:val="nil"/>
            </w:tcBorders>
            <w:shd w:val="clear" w:color="auto" w:fill="auto"/>
            <w:noWrap/>
            <w:vAlign w:val="bottom"/>
          </w:tcPr>
          <w:p w14:paraId="5CDFC72A" w14:textId="03457B27" w:rsidR="002B302F" w:rsidRPr="00CD1426" w:rsidRDefault="00F50DCF" w:rsidP="00CD1426">
            <w:pPr>
              <w:spacing w:line="360" w:lineRule="auto"/>
              <w:jc w:val="both"/>
              <w:rPr>
                <w:rFonts w:ascii="Book Antiqua" w:hAnsi="Book Antiqua" w:cs="Arial"/>
                <w:lang w:val="en-US" w:eastAsia="zh-CN"/>
              </w:rPr>
            </w:pPr>
            <w:r w:rsidRPr="00CD1426">
              <w:rPr>
                <w:rFonts w:ascii="Book Antiqua" w:hAnsi="Book Antiqua" w:cs="Arial"/>
                <w:lang w:val="en-US" w:eastAsia="en-US"/>
              </w:rPr>
              <w:t>40</w:t>
            </w:r>
          </w:p>
        </w:tc>
        <w:tc>
          <w:tcPr>
            <w:tcW w:w="1522" w:type="dxa"/>
            <w:tcBorders>
              <w:top w:val="nil"/>
              <w:left w:val="nil"/>
              <w:bottom w:val="nil"/>
              <w:right w:val="nil"/>
            </w:tcBorders>
            <w:shd w:val="clear" w:color="auto" w:fill="auto"/>
            <w:noWrap/>
            <w:vAlign w:val="bottom"/>
          </w:tcPr>
          <w:p w14:paraId="0FE86D7A" w14:textId="5667E820" w:rsidR="002B302F" w:rsidRPr="00CD1426" w:rsidRDefault="00F50DCF" w:rsidP="00CD1426">
            <w:pPr>
              <w:spacing w:line="360" w:lineRule="auto"/>
              <w:jc w:val="both"/>
              <w:rPr>
                <w:rFonts w:ascii="Book Antiqua" w:hAnsi="Book Antiqua" w:cs="Arial"/>
                <w:lang w:val="en-US" w:eastAsia="zh-CN"/>
              </w:rPr>
            </w:pPr>
            <w:r w:rsidRPr="00CD1426">
              <w:rPr>
                <w:rFonts w:ascii="Book Antiqua" w:hAnsi="Book Antiqua" w:cs="Arial"/>
                <w:lang w:val="en-US" w:eastAsia="en-US"/>
              </w:rPr>
              <w:t>66</w:t>
            </w:r>
          </w:p>
        </w:tc>
        <w:tc>
          <w:tcPr>
            <w:tcW w:w="1656" w:type="dxa"/>
            <w:tcBorders>
              <w:top w:val="nil"/>
              <w:left w:val="nil"/>
              <w:bottom w:val="nil"/>
              <w:right w:val="nil"/>
            </w:tcBorders>
            <w:shd w:val="clear" w:color="auto" w:fill="auto"/>
            <w:noWrap/>
            <w:vAlign w:val="bottom"/>
          </w:tcPr>
          <w:p w14:paraId="62BCA547" w14:textId="69CDE831" w:rsidR="002B302F" w:rsidRPr="00CD1426" w:rsidRDefault="00F50DCF" w:rsidP="00CD1426">
            <w:pPr>
              <w:spacing w:line="360" w:lineRule="auto"/>
              <w:jc w:val="both"/>
              <w:rPr>
                <w:rFonts w:ascii="Book Antiqua" w:hAnsi="Book Antiqua" w:cs="Arial"/>
                <w:lang w:val="en-US" w:eastAsia="zh-CN"/>
              </w:rPr>
            </w:pPr>
            <w:r w:rsidRPr="00CD1426">
              <w:rPr>
                <w:rFonts w:ascii="Book Antiqua" w:hAnsi="Book Antiqua" w:cs="Arial"/>
                <w:lang w:val="en-US" w:eastAsia="en-US"/>
              </w:rPr>
              <w:t>70</w:t>
            </w:r>
          </w:p>
        </w:tc>
        <w:tc>
          <w:tcPr>
            <w:tcW w:w="910" w:type="dxa"/>
            <w:tcBorders>
              <w:top w:val="nil"/>
              <w:left w:val="nil"/>
              <w:bottom w:val="nil"/>
              <w:right w:val="nil"/>
            </w:tcBorders>
            <w:shd w:val="clear" w:color="auto" w:fill="auto"/>
            <w:noWrap/>
            <w:vAlign w:val="bottom"/>
          </w:tcPr>
          <w:p w14:paraId="7A1D8B54" w14:textId="5D1E32F4" w:rsidR="002B302F" w:rsidRPr="00CD1426" w:rsidRDefault="00F50DCF" w:rsidP="00CD1426">
            <w:pPr>
              <w:spacing w:line="360" w:lineRule="auto"/>
              <w:jc w:val="both"/>
              <w:rPr>
                <w:rFonts w:ascii="Book Antiqua" w:hAnsi="Book Antiqua" w:cs="Arial"/>
                <w:lang w:val="en-US" w:eastAsia="zh-CN"/>
              </w:rPr>
            </w:pPr>
            <w:r w:rsidRPr="00CD1426">
              <w:rPr>
                <w:rFonts w:ascii="Book Antiqua" w:hAnsi="Book Antiqua" w:cs="Arial"/>
                <w:lang w:val="en-US" w:eastAsia="en-US"/>
              </w:rPr>
              <w:t>4</w:t>
            </w:r>
          </w:p>
        </w:tc>
        <w:tc>
          <w:tcPr>
            <w:tcW w:w="1503" w:type="dxa"/>
            <w:tcBorders>
              <w:top w:val="nil"/>
              <w:left w:val="nil"/>
              <w:bottom w:val="nil"/>
              <w:right w:val="nil"/>
            </w:tcBorders>
            <w:shd w:val="clear" w:color="auto" w:fill="auto"/>
            <w:noWrap/>
            <w:vAlign w:val="bottom"/>
          </w:tcPr>
          <w:p w14:paraId="5A76FCFE" w14:textId="56A722A8" w:rsidR="002B302F" w:rsidRPr="00CD1426" w:rsidRDefault="00F50DCF" w:rsidP="00CD1426">
            <w:pPr>
              <w:spacing w:line="360" w:lineRule="auto"/>
              <w:jc w:val="both"/>
              <w:rPr>
                <w:rFonts w:ascii="Book Antiqua" w:hAnsi="Book Antiqua" w:cs="Arial"/>
                <w:lang w:val="en-US" w:eastAsia="zh-CN"/>
              </w:rPr>
            </w:pPr>
            <w:r w:rsidRPr="00CD1426">
              <w:rPr>
                <w:rFonts w:ascii="Book Antiqua" w:hAnsi="Book Antiqua" w:cs="Arial"/>
                <w:lang w:val="en-US" w:eastAsia="en-US"/>
              </w:rPr>
              <w:t>79</w:t>
            </w:r>
          </w:p>
        </w:tc>
      </w:tr>
      <w:tr w:rsidR="002B302F" w:rsidRPr="00CD1426" w14:paraId="0C2AF828" w14:textId="77777777" w:rsidTr="00DF49D3">
        <w:trPr>
          <w:trHeight w:val="300"/>
        </w:trPr>
        <w:tc>
          <w:tcPr>
            <w:tcW w:w="3534" w:type="dxa"/>
            <w:tcBorders>
              <w:top w:val="nil"/>
              <w:left w:val="nil"/>
              <w:bottom w:val="nil"/>
              <w:right w:val="nil"/>
            </w:tcBorders>
            <w:shd w:val="clear" w:color="auto" w:fill="auto"/>
            <w:noWrap/>
            <w:vAlign w:val="bottom"/>
          </w:tcPr>
          <w:p w14:paraId="6DE3D24B" w14:textId="72BCF27C" w:rsidR="002B302F" w:rsidRPr="00CD1426" w:rsidRDefault="002B302F" w:rsidP="00CD1426">
            <w:pPr>
              <w:spacing w:line="360" w:lineRule="auto"/>
              <w:jc w:val="both"/>
              <w:rPr>
                <w:rFonts w:ascii="Book Antiqua" w:hAnsi="Book Antiqua" w:cs="Arial"/>
                <w:lang w:val="en-US" w:eastAsia="en-US"/>
              </w:rPr>
            </w:pPr>
            <w:r w:rsidRPr="00CD1426">
              <w:rPr>
                <w:rFonts w:ascii="Book Antiqua" w:hAnsi="Book Antiqua" w:cs="Arial"/>
                <w:lang w:val="en-US" w:eastAsia="en-US"/>
              </w:rPr>
              <w:t>BMI &lt;</w:t>
            </w:r>
            <w:r w:rsidR="00C04C74">
              <w:rPr>
                <w:rFonts w:ascii="Book Antiqua" w:hAnsi="Book Antiqua" w:cs="Arial" w:hint="eastAsia"/>
                <w:lang w:val="en-US" w:eastAsia="zh-CN"/>
              </w:rPr>
              <w:t xml:space="preserve"> </w:t>
            </w:r>
            <w:r w:rsidRPr="00CD1426">
              <w:rPr>
                <w:rFonts w:ascii="Book Antiqua" w:hAnsi="Book Antiqua" w:cs="Arial"/>
                <w:lang w:val="en-US" w:eastAsia="en-US"/>
              </w:rPr>
              <w:t>25</w:t>
            </w:r>
          </w:p>
        </w:tc>
        <w:tc>
          <w:tcPr>
            <w:tcW w:w="910" w:type="dxa"/>
            <w:tcBorders>
              <w:top w:val="nil"/>
              <w:left w:val="nil"/>
              <w:bottom w:val="nil"/>
              <w:right w:val="nil"/>
            </w:tcBorders>
            <w:shd w:val="clear" w:color="auto" w:fill="auto"/>
            <w:noWrap/>
            <w:vAlign w:val="bottom"/>
          </w:tcPr>
          <w:p w14:paraId="58076F2C" w14:textId="72772284" w:rsidR="002B302F" w:rsidRPr="00CD1426" w:rsidRDefault="00F50DCF" w:rsidP="00CD1426">
            <w:pPr>
              <w:spacing w:line="360" w:lineRule="auto"/>
              <w:jc w:val="both"/>
              <w:rPr>
                <w:rFonts w:ascii="Book Antiqua" w:hAnsi="Book Antiqua" w:cs="Arial"/>
                <w:lang w:val="en-US" w:eastAsia="zh-CN"/>
              </w:rPr>
            </w:pPr>
            <w:r w:rsidRPr="00CD1426">
              <w:rPr>
                <w:rFonts w:ascii="Book Antiqua" w:hAnsi="Book Antiqua" w:cs="Arial"/>
                <w:lang w:val="en-US" w:eastAsia="en-US"/>
              </w:rPr>
              <w:t>47</w:t>
            </w:r>
          </w:p>
        </w:tc>
        <w:tc>
          <w:tcPr>
            <w:tcW w:w="1522" w:type="dxa"/>
            <w:tcBorders>
              <w:top w:val="nil"/>
              <w:left w:val="nil"/>
              <w:bottom w:val="nil"/>
              <w:right w:val="nil"/>
            </w:tcBorders>
            <w:shd w:val="clear" w:color="auto" w:fill="auto"/>
            <w:noWrap/>
            <w:vAlign w:val="bottom"/>
          </w:tcPr>
          <w:p w14:paraId="3040C26D" w14:textId="429C7AA6" w:rsidR="002B302F" w:rsidRPr="00CD1426" w:rsidRDefault="00F50DCF" w:rsidP="00CD1426">
            <w:pPr>
              <w:spacing w:line="360" w:lineRule="auto"/>
              <w:jc w:val="both"/>
              <w:rPr>
                <w:rFonts w:ascii="Book Antiqua" w:hAnsi="Book Antiqua" w:cs="Arial"/>
                <w:lang w:val="en-US" w:eastAsia="zh-CN"/>
              </w:rPr>
            </w:pPr>
            <w:r w:rsidRPr="00CD1426">
              <w:rPr>
                <w:rFonts w:ascii="Book Antiqua" w:hAnsi="Book Antiqua" w:cs="Arial"/>
                <w:lang w:val="en-US" w:eastAsia="en-US"/>
              </w:rPr>
              <w:t>58</w:t>
            </w:r>
          </w:p>
        </w:tc>
        <w:tc>
          <w:tcPr>
            <w:tcW w:w="1656" w:type="dxa"/>
            <w:tcBorders>
              <w:top w:val="nil"/>
              <w:left w:val="nil"/>
              <w:bottom w:val="nil"/>
              <w:right w:val="nil"/>
            </w:tcBorders>
            <w:shd w:val="clear" w:color="auto" w:fill="auto"/>
            <w:noWrap/>
            <w:vAlign w:val="bottom"/>
          </w:tcPr>
          <w:p w14:paraId="3F6FA877" w14:textId="6BEEA987" w:rsidR="002B302F" w:rsidRPr="00CD1426" w:rsidRDefault="00F50DCF" w:rsidP="00CD1426">
            <w:pPr>
              <w:spacing w:line="360" w:lineRule="auto"/>
              <w:jc w:val="both"/>
              <w:rPr>
                <w:rFonts w:ascii="Book Antiqua" w:hAnsi="Book Antiqua" w:cs="Arial"/>
                <w:lang w:val="en-US" w:eastAsia="zh-CN"/>
              </w:rPr>
            </w:pPr>
            <w:r w:rsidRPr="00CD1426">
              <w:rPr>
                <w:rFonts w:ascii="Book Antiqua" w:hAnsi="Book Antiqua" w:cs="Arial"/>
                <w:lang w:val="en-US" w:eastAsia="en-US"/>
              </w:rPr>
              <w:t>67</w:t>
            </w:r>
          </w:p>
        </w:tc>
        <w:tc>
          <w:tcPr>
            <w:tcW w:w="910" w:type="dxa"/>
            <w:tcBorders>
              <w:top w:val="nil"/>
              <w:left w:val="nil"/>
              <w:bottom w:val="nil"/>
              <w:right w:val="nil"/>
            </w:tcBorders>
            <w:shd w:val="clear" w:color="auto" w:fill="auto"/>
            <w:noWrap/>
            <w:vAlign w:val="bottom"/>
          </w:tcPr>
          <w:p w14:paraId="399EA10B" w14:textId="5CD10448" w:rsidR="002B302F" w:rsidRPr="00CD1426" w:rsidRDefault="00F50DCF" w:rsidP="00CD1426">
            <w:pPr>
              <w:spacing w:line="360" w:lineRule="auto"/>
              <w:jc w:val="both"/>
              <w:rPr>
                <w:rFonts w:ascii="Book Antiqua" w:hAnsi="Book Antiqua" w:cs="Arial"/>
                <w:lang w:val="en-US" w:eastAsia="zh-CN"/>
              </w:rPr>
            </w:pPr>
            <w:r w:rsidRPr="00CD1426">
              <w:rPr>
                <w:rFonts w:ascii="Book Antiqua" w:hAnsi="Book Antiqua" w:cs="Arial"/>
                <w:lang w:val="en-US" w:eastAsia="en-US"/>
              </w:rPr>
              <w:t>44</w:t>
            </w:r>
          </w:p>
        </w:tc>
        <w:tc>
          <w:tcPr>
            <w:tcW w:w="1503" w:type="dxa"/>
            <w:tcBorders>
              <w:top w:val="nil"/>
              <w:left w:val="nil"/>
              <w:bottom w:val="nil"/>
              <w:right w:val="nil"/>
            </w:tcBorders>
            <w:shd w:val="clear" w:color="auto" w:fill="auto"/>
            <w:noWrap/>
            <w:vAlign w:val="bottom"/>
          </w:tcPr>
          <w:p w14:paraId="1594E53C" w14:textId="6A2A462E" w:rsidR="002B302F" w:rsidRPr="00CD1426" w:rsidRDefault="00F50DCF" w:rsidP="00CD1426">
            <w:pPr>
              <w:spacing w:line="360" w:lineRule="auto"/>
              <w:jc w:val="both"/>
              <w:rPr>
                <w:rFonts w:ascii="Book Antiqua" w:hAnsi="Book Antiqua" w:cs="Arial"/>
                <w:lang w:val="en-US" w:eastAsia="zh-CN"/>
              </w:rPr>
            </w:pPr>
            <w:r w:rsidRPr="00CD1426">
              <w:rPr>
                <w:rFonts w:ascii="Book Antiqua" w:hAnsi="Book Antiqua" w:cs="Arial"/>
                <w:lang w:val="en-US" w:eastAsia="en-US"/>
              </w:rPr>
              <w:t>83</w:t>
            </w:r>
          </w:p>
        </w:tc>
      </w:tr>
      <w:tr w:rsidR="002B302F" w:rsidRPr="00CD1426" w14:paraId="0C2994B3" w14:textId="77777777" w:rsidTr="00DF49D3">
        <w:trPr>
          <w:trHeight w:val="300"/>
        </w:trPr>
        <w:tc>
          <w:tcPr>
            <w:tcW w:w="3534" w:type="dxa"/>
            <w:tcBorders>
              <w:top w:val="nil"/>
              <w:left w:val="nil"/>
              <w:right w:val="nil"/>
            </w:tcBorders>
            <w:shd w:val="clear" w:color="auto" w:fill="auto"/>
            <w:noWrap/>
            <w:vAlign w:val="bottom"/>
          </w:tcPr>
          <w:p w14:paraId="677EC356" w14:textId="4927669F" w:rsidR="002B302F" w:rsidRPr="00CD1426" w:rsidRDefault="002B302F" w:rsidP="00CD1426">
            <w:pPr>
              <w:spacing w:line="360" w:lineRule="auto"/>
              <w:jc w:val="both"/>
              <w:rPr>
                <w:rFonts w:ascii="Book Antiqua" w:hAnsi="Book Antiqua" w:cs="Arial"/>
                <w:lang w:val="en-US" w:eastAsia="en-US"/>
              </w:rPr>
            </w:pPr>
            <w:r w:rsidRPr="00CD1426">
              <w:rPr>
                <w:rFonts w:ascii="Book Antiqua" w:hAnsi="Book Antiqua" w:cs="Arial"/>
                <w:lang w:val="en-US" w:eastAsia="en-US"/>
              </w:rPr>
              <w:t>BMI</w:t>
            </w:r>
            <w:r w:rsidR="00C04C74">
              <w:rPr>
                <w:rFonts w:ascii="Book Antiqua" w:hAnsi="Book Antiqua" w:cs="Arial" w:hint="eastAsia"/>
                <w:lang w:val="en-US" w:eastAsia="zh-CN"/>
              </w:rPr>
              <w:t xml:space="preserve"> </w:t>
            </w:r>
            <w:r w:rsidRPr="00CD1426">
              <w:rPr>
                <w:rFonts w:ascii="Book Antiqua" w:hAnsi="Book Antiqua" w:cs="Arial"/>
                <w:lang w:val="en-US" w:eastAsia="en-US"/>
              </w:rPr>
              <w:t>≥</w:t>
            </w:r>
            <w:r w:rsidR="00C04C74">
              <w:rPr>
                <w:rFonts w:ascii="Book Antiqua" w:hAnsi="Book Antiqua" w:cs="Arial" w:hint="eastAsia"/>
                <w:lang w:val="en-US" w:eastAsia="zh-CN"/>
              </w:rPr>
              <w:t xml:space="preserve"> </w:t>
            </w:r>
            <w:r w:rsidRPr="00CD1426">
              <w:rPr>
                <w:rFonts w:ascii="Book Antiqua" w:hAnsi="Book Antiqua" w:cs="Arial"/>
                <w:lang w:val="en-US" w:eastAsia="en-US"/>
              </w:rPr>
              <w:t>30</w:t>
            </w:r>
          </w:p>
        </w:tc>
        <w:tc>
          <w:tcPr>
            <w:tcW w:w="910" w:type="dxa"/>
            <w:tcBorders>
              <w:top w:val="nil"/>
              <w:left w:val="nil"/>
              <w:right w:val="nil"/>
            </w:tcBorders>
            <w:shd w:val="clear" w:color="auto" w:fill="auto"/>
            <w:noWrap/>
            <w:vAlign w:val="bottom"/>
          </w:tcPr>
          <w:p w14:paraId="0518ABEA" w14:textId="2EF2B692" w:rsidR="002B302F" w:rsidRPr="00CD1426" w:rsidRDefault="00F50DCF" w:rsidP="00CD1426">
            <w:pPr>
              <w:spacing w:line="360" w:lineRule="auto"/>
              <w:jc w:val="both"/>
              <w:rPr>
                <w:rFonts w:ascii="Book Antiqua" w:hAnsi="Book Antiqua" w:cs="Arial"/>
                <w:lang w:val="en-US" w:eastAsia="zh-CN"/>
              </w:rPr>
            </w:pPr>
            <w:r w:rsidRPr="00CD1426">
              <w:rPr>
                <w:rFonts w:ascii="Book Antiqua" w:hAnsi="Book Antiqua" w:cs="Arial"/>
                <w:lang w:val="en-US" w:eastAsia="en-US"/>
              </w:rPr>
              <w:t>33</w:t>
            </w:r>
          </w:p>
        </w:tc>
        <w:tc>
          <w:tcPr>
            <w:tcW w:w="1522" w:type="dxa"/>
            <w:tcBorders>
              <w:top w:val="nil"/>
              <w:left w:val="nil"/>
              <w:right w:val="nil"/>
            </w:tcBorders>
            <w:shd w:val="clear" w:color="auto" w:fill="auto"/>
            <w:noWrap/>
            <w:vAlign w:val="bottom"/>
          </w:tcPr>
          <w:p w14:paraId="1E87D22D" w14:textId="38A2D4B5" w:rsidR="002B302F" w:rsidRPr="00CD1426" w:rsidRDefault="00F50DCF" w:rsidP="00CD1426">
            <w:pPr>
              <w:spacing w:line="360" w:lineRule="auto"/>
              <w:jc w:val="both"/>
              <w:rPr>
                <w:rFonts w:ascii="Book Antiqua" w:hAnsi="Book Antiqua" w:cs="Arial"/>
                <w:lang w:val="en-US" w:eastAsia="zh-CN"/>
              </w:rPr>
            </w:pPr>
            <w:r w:rsidRPr="00CD1426">
              <w:rPr>
                <w:rFonts w:ascii="Book Antiqua" w:hAnsi="Book Antiqua" w:cs="Arial"/>
                <w:lang w:val="en-US" w:eastAsia="en-US"/>
              </w:rPr>
              <w:t>48</w:t>
            </w:r>
          </w:p>
        </w:tc>
        <w:tc>
          <w:tcPr>
            <w:tcW w:w="1656" w:type="dxa"/>
            <w:tcBorders>
              <w:top w:val="nil"/>
              <w:left w:val="nil"/>
              <w:right w:val="nil"/>
            </w:tcBorders>
            <w:shd w:val="clear" w:color="auto" w:fill="auto"/>
            <w:noWrap/>
            <w:vAlign w:val="bottom"/>
          </w:tcPr>
          <w:p w14:paraId="5B96DB97" w14:textId="10EF4498" w:rsidR="002B302F" w:rsidRPr="00CD1426" w:rsidRDefault="00F50DCF" w:rsidP="00CD1426">
            <w:pPr>
              <w:spacing w:line="360" w:lineRule="auto"/>
              <w:jc w:val="both"/>
              <w:rPr>
                <w:rFonts w:ascii="Book Antiqua" w:hAnsi="Book Antiqua" w:cs="Arial"/>
                <w:lang w:val="en-US" w:eastAsia="zh-CN"/>
              </w:rPr>
            </w:pPr>
            <w:r w:rsidRPr="00CD1426">
              <w:rPr>
                <w:rFonts w:ascii="Book Antiqua" w:hAnsi="Book Antiqua" w:cs="Arial"/>
                <w:lang w:val="en-US" w:eastAsia="en-US"/>
              </w:rPr>
              <w:t>66</w:t>
            </w:r>
          </w:p>
        </w:tc>
        <w:tc>
          <w:tcPr>
            <w:tcW w:w="910" w:type="dxa"/>
            <w:tcBorders>
              <w:top w:val="nil"/>
              <w:left w:val="nil"/>
              <w:right w:val="nil"/>
            </w:tcBorders>
            <w:shd w:val="clear" w:color="auto" w:fill="auto"/>
            <w:noWrap/>
            <w:vAlign w:val="bottom"/>
          </w:tcPr>
          <w:p w14:paraId="4573287D" w14:textId="51217951" w:rsidR="002B302F" w:rsidRPr="00CD1426" w:rsidRDefault="00F50DCF" w:rsidP="00CD1426">
            <w:pPr>
              <w:spacing w:line="360" w:lineRule="auto"/>
              <w:jc w:val="both"/>
              <w:rPr>
                <w:rFonts w:ascii="Book Antiqua" w:hAnsi="Book Antiqua" w:cs="Arial"/>
                <w:lang w:val="en-US" w:eastAsia="zh-CN"/>
              </w:rPr>
            </w:pPr>
            <w:r w:rsidRPr="00CD1426">
              <w:rPr>
                <w:rFonts w:ascii="Book Antiqua" w:hAnsi="Book Antiqua" w:cs="Arial"/>
                <w:lang w:val="en-US" w:eastAsia="en-US"/>
              </w:rPr>
              <w:t>41</w:t>
            </w:r>
          </w:p>
        </w:tc>
        <w:tc>
          <w:tcPr>
            <w:tcW w:w="1503" w:type="dxa"/>
            <w:tcBorders>
              <w:top w:val="nil"/>
              <w:left w:val="nil"/>
              <w:right w:val="nil"/>
            </w:tcBorders>
            <w:shd w:val="clear" w:color="auto" w:fill="auto"/>
            <w:noWrap/>
            <w:vAlign w:val="bottom"/>
          </w:tcPr>
          <w:p w14:paraId="6DE52E2E" w14:textId="2C15DB3D" w:rsidR="002B302F" w:rsidRPr="00CD1426" w:rsidRDefault="00F50DCF" w:rsidP="00CD1426">
            <w:pPr>
              <w:spacing w:line="360" w:lineRule="auto"/>
              <w:jc w:val="both"/>
              <w:rPr>
                <w:rFonts w:ascii="Book Antiqua" w:hAnsi="Book Antiqua" w:cs="Arial"/>
                <w:lang w:val="en-US" w:eastAsia="zh-CN"/>
              </w:rPr>
            </w:pPr>
            <w:r w:rsidRPr="00CD1426">
              <w:rPr>
                <w:rFonts w:ascii="Book Antiqua" w:hAnsi="Book Antiqua" w:cs="Arial"/>
                <w:lang w:val="en-US" w:eastAsia="en-US"/>
              </w:rPr>
              <w:t>71</w:t>
            </w:r>
          </w:p>
        </w:tc>
      </w:tr>
      <w:tr w:rsidR="002B302F" w:rsidRPr="00CD1426" w14:paraId="4C5F5830" w14:textId="77777777" w:rsidTr="00DF49D3">
        <w:trPr>
          <w:trHeight w:val="320"/>
        </w:trPr>
        <w:tc>
          <w:tcPr>
            <w:tcW w:w="3534" w:type="dxa"/>
            <w:tcBorders>
              <w:top w:val="nil"/>
              <w:left w:val="nil"/>
              <w:bottom w:val="single" w:sz="4" w:space="0" w:color="auto"/>
              <w:right w:val="nil"/>
            </w:tcBorders>
            <w:shd w:val="clear" w:color="auto" w:fill="auto"/>
            <w:noWrap/>
            <w:vAlign w:val="bottom"/>
          </w:tcPr>
          <w:p w14:paraId="323A3F6A" w14:textId="77777777" w:rsidR="002B302F" w:rsidRPr="00CD1426" w:rsidRDefault="002B302F" w:rsidP="00CD1426">
            <w:pPr>
              <w:spacing w:line="360" w:lineRule="auto"/>
              <w:jc w:val="both"/>
              <w:rPr>
                <w:rFonts w:ascii="Book Antiqua" w:hAnsi="Book Antiqua" w:cs="Arial"/>
                <w:lang w:val="en-US" w:eastAsia="en-US"/>
              </w:rPr>
            </w:pPr>
            <w:r w:rsidRPr="00CD1426">
              <w:rPr>
                <w:rFonts w:ascii="Book Antiqua" w:hAnsi="Book Antiqua" w:cs="Arial"/>
                <w:lang w:val="en-US" w:eastAsia="en-US"/>
              </w:rPr>
              <w:t>Relapse</w:t>
            </w:r>
          </w:p>
        </w:tc>
        <w:tc>
          <w:tcPr>
            <w:tcW w:w="910" w:type="dxa"/>
            <w:tcBorders>
              <w:top w:val="nil"/>
              <w:left w:val="nil"/>
              <w:bottom w:val="single" w:sz="4" w:space="0" w:color="auto"/>
              <w:right w:val="nil"/>
            </w:tcBorders>
            <w:shd w:val="clear" w:color="auto" w:fill="auto"/>
            <w:noWrap/>
            <w:vAlign w:val="bottom"/>
          </w:tcPr>
          <w:p w14:paraId="7F9F9BAC" w14:textId="687EFD7B" w:rsidR="002B302F" w:rsidRPr="00CD1426" w:rsidRDefault="00F50DCF" w:rsidP="00CD1426">
            <w:pPr>
              <w:spacing w:line="360" w:lineRule="auto"/>
              <w:jc w:val="both"/>
              <w:rPr>
                <w:rFonts w:ascii="Book Antiqua" w:hAnsi="Book Antiqua" w:cs="Arial"/>
                <w:lang w:val="en-US" w:eastAsia="zh-CN"/>
              </w:rPr>
            </w:pPr>
            <w:r w:rsidRPr="00CD1426">
              <w:rPr>
                <w:rFonts w:ascii="Book Antiqua" w:hAnsi="Book Antiqua" w:cs="Arial"/>
                <w:lang w:val="en-US" w:eastAsia="en-US"/>
              </w:rPr>
              <w:t>22</w:t>
            </w:r>
          </w:p>
        </w:tc>
        <w:tc>
          <w:tcPr>
            <w:tcW w:w="1522" w:type="dxa"/>
            <w:tcBorders>
              <w:top w:val="nil"/>
              <w:left w:val="nil"/>
              <w:bottom w:val="single" w:sz="4" w:space="0" w:color="auto"/>
              <w:right w:val="nil"/>
            </w:tcBorders>
            <w:shd w:val="clear" w:color="auto" w:fill="auto"/>
            <w:noWrap/>
            <w:vAlign w:val="bottom"/>
          </w:tcPr>
          <w:p w14:paraId="29241158" w14:textId="6A287AEC" w:rsidR="002B302F" w:rsidRPr="00CD1426" w:rsidRDefault="00F50DCF" w:rsidP="00CD1426">
            <w:pPr>
              <w:spacing w:line="360" w:lineRule="auto"/>
              <w:jc w:val="both"/>
              <w:rPr>
                <w:rFonts w:ascii="Book Antiqua" w:hAnsi="Book Antiqua" w:cs="Arial"/>
                <w:lang w:val="en-US" w:eastAsia="zh-CN"/>
              </w:rPr>
            </w:pPr>
            <w:r w:rsidRPr="00CD1426">
              <w:rPr>
                <w:rFonts w:ascii="Book Antiqua" w:hAnsi="Book Antiqua" w:cs="Arial"/>
                <w:lang w:val="en-US" w:eastAsia="en-US"/>
              </w:rPr>
              <w:t>9</w:t>
            </w:r>
          </w:p>
        </w:tc>
        <w:tc>
          <w:tcPr>
            <w:tcW w:w="1656" w:type="dxa"/>
            <w:tcBorders>
              <w:top w:val="nil"/>
              <w:left w:val="nil"/>
              <w:bottom w:val="single" w:sz="4" w:space="0" w:color="auto"/>
              <w:right w:val="nil"/>
            </w:tcBorders>
            <w:shd w:val="clear" w:color="auto" w:fill="auto"/>
            <w:noWrap/>
            <w:vAlign w:val="bottom"/>
          </w:tcPr>
          <w:p w14:paraId="67BA1A2F" w14:textId="479217F6" w:rsidR="002B302F" w:rsidRPr="00CD1426" w:rsidRDefault="00F50DCF" w:rsidP="00CD1426">
            <w:pPr>
              <w:spacing w:line="360" w:lineRule="auto"/>
              <w:jc w:val="both"/>
              <w:rPr>
                <w:rFonts w:ascii="Book Antiqua" w:hAnsi="Book Antiqua" w:cs="Arial"/>
                <w:lang w:val="en-US" w:eastAsia="zh-CN"/>
              </w:rPr>
            </w:pPr>
            <w:r w:rsidRPr="00CD1426">
              <w:rPr>
                <w:rFonts w:ascii="Book Antiqua" w:hAnsi="Book Antiqua" w:cs="Arial"/>
                <w:lang w:val="en-US" w:eastAsia="en-US"/>
              </w:rPr>
              <w:t>9</w:t>
            </w:r>
          </w:p>
        </w:tc>
        <w:tc>
          <w:tcPr>
            <w:tcW w:w="910" w:type="dxa"/>
            <w:tcBorders>
              <w:top w:val="nil"/>
              <w:left w:val="nil"/>
              <w:bottom w:val="single" w:sz="4" w:space="0" w:color="auto"/>
              <w:right w:val="nil"/>
            </w:tcBorders>
            <w:shd w:val="clear" w:color="auto" w:fill="auto"/>
            <w:noWrap/>
            <w:vAlign w:val="bottom"/>
          </w:tcPr>
          <w:p w14:paraId="698B6645" w14:textId="6AFD9B88" w:rsidR="002B302F" w:rsidRPr="00CD1426" w:rsidRDefault="00F50DCF" w:rsidP="00CD1426">
            <w:pPr>
              <w:spacing w:line="360" w:lineRule="auto"/>
              <w:jc w:val="both"/>
              <w:rPr>
                <w:rFonts w:ascii="Book Antiqua" w:hAnsi="Book Antiqua" w:cs="Arial"/>
                <w:lang w:val="en-US" w:eastAsia="zh-CN"/>
              </w:rPr>
            </w:pPr>
            <w:r w:rsidRPr="00CD1426">
              <w:rPr>
                <w:rFonts w:ascii="Book Antiqua" w:hAnsi="Book Antiqua" w:cs="Arial"/>
                <w:lang w:val="en-US" w:eastAsia="en-US"/>
              </w:rPr>
              <w:t>28</w:t>
            </w:r>
          </w:p>
        </w:tc>
        <w:tc>
          <w:tcPr>
            <w:tcW w:w="1503" w:type="dxa"/>
            <w:tcBorders>
              <w:top w:val="nil"/>
              <w:left w:val="nil"/>
              <w:bottom w:val="single" w:sz="4" w:space="0" w:color="auto"/>
              <w:right w:val="nil"/>
            </w:tcBorders>
            <w:shd w:val="clear" w:color="auto" w:fill="auto"/>
            <w:noWrap/>
            <w:vAlign w:val="bottom"/>
          </w:tcPr>
          <w:p w14:paraId="23DF662B" w14:textId="58A1E12C" w:rsidR="002B302F" w:rsidRPr="00CD1426" w:rsidRDefault="00F50DCF" w:rsidP="00CD1426">
            <w:pPr>
              <w:spacing w:line="360" w:lineRule="auto"/>
              <w:jc w:val="both"/>
              <w:rPr>
                <w:rFonts w:ascii="Book Antiqua" w:hAnsi="Book Antiqua" w:cs="Arial"/>
                <w:lang w:val="en-US" w:eastAsia="zh-CN"/>
              </w:rPr>
            </w:pPr>
            <w:r w:rsidRPr="00CD1426">
              <w:rPr>
                <w:rFonts w:ascii="Book Antiqua" w:hAnsi="Book Antiqua" w:cs="Arial"/>
                <w:lang w:val="en-US" w:eastAsia="en-US"/>
              </w:rPr>
              <w:t>9</w:t>
            </w:r>
          </w:p>
        </w:tc>
      </w:tr>
      <w:tr w:rsidR="002B302F" w:rsidRPr="00CD1426" w14:paraId="2E8801D3" w14:textId="77777777" w:rsidTr="00DF49D3">
        <w:trPr>
          <w:trHeight w:val="300"/>
        </w:trPr>
        <w:tc>
          <w:tcPr>
            <w:tcW w:w="3534" w:type="dxa"/>
            <w:tcBorders>
              <w:top w:val="single" w:sz="4" w:space="0" w:color="auto"/>
              <w:left w:val="nil"/>
              <w:bottom w:val="nil"/>
              <w:right w:val="nil"/>
            </w:tcBorders>
            <w:shd w:val="clear" w:color="auto" w:fill="auto"/>
            <w:noWrap/>
            <w:vAlign w:val="bottom"/>
          </w:tcPr>
          <w:p w14:paraId="00C6F7BE" w14:textId="77777777" w:rsidR="002B302F" w:rsidRPr="00CD1426" w:rsidRDefault="002B302F" w:rsidP="00CD1426">
            <w:pPr>
              <w:spacing w:line="360" w:lineRule="auto"/>
              <w:jc w:val="both"/>
              <w:rPr>
                <w:rFonts w:ascii="Book Antiqua" w:hAnsi="Book Antiqua" w:cs="Arial"/>
                <w:lang w:val="en-US" w:eastAsia="en-US"/>
              </w:rPr>
            </w:pPr>
          </w:p>
        </w:tc>
        <w:tc>
          <w:tcPr>
            <w:tcW w:w="910" w:type="dxa"/>
            <w:tcBorders>
              <w:top w:val="single" w:sz="4" w:space="0" w:color="auto"/>
              <w:left w:val="nil"/>
              <w:bottom w:val="nil"/>
              <w:right w:val="nil"/>
            </w:tcBorders>
            <w:shd w:val="clear" w:color="auto" w:fill="auto"/>
            <w:noWrap/>
            <w:vAlign w:val="bottom"/>
          </w:tcPr>
          <w:p w14:paraId="6C1AE061" w14:textId="77777777" w:rsidR="002B302F" w:rsidRPr="00CD1426" w:rsidRDefault="002B302F" w:rsidP="00CD1426">
            <w:pPr>
              <w:spacing w:line="360" w:lineRule="auto"/>
              <w:jc w:val="both"/>
              <w:rPr>
                <w:rFonts w:ascii="Book Antiqua" w:hAnsi="Book Antiqua" w:cs="Arial"/>
                <w:lang w:val="en-US" w:eastAsia="en-US"/>
              </w:rPr>
            </w:pPr>
          </w:p>
        </w:tc>
        <w:tc>
          <w:tcPr>
            <w:tcW w:w="1522" w:type="dxa"/>
            <w:tcBorders>
              <w:top w:val="single" w:sz="4" w:space="0" w:color="auto"/>
              <w:left w:val="nil"/>
              <w:bottom w:val="nil"/>
              <w:right w:val="nil"/>
            </w:tcBorders>
            <w:shd w:val="clear" w:color="auto" w:fill="auto"/>
            <w:noWrap/>
            <w:vAlign w:val="bottom"/>
          </w:tcPr>
          <w:p w14:paraId="5E1ED775" w14:textId="77777777" w:rsidR="002B302F" w:rsidRPr="00CD1426" w:rsidRDefault="002B302F" w:rsidP="00CD1426">
            <w:pPr>
              <w:spacing w:line="360" w:lineRule="auto"/>
              <w:jc w:val="both"/>
              <w:rPr>
                <w:rFonts w:ascii="Book Antiqua" w:hAnsi="Book Antiqua" w:cs="Arial"/>
                <w:lang w:val="en-US" w:eastAsia="en-US"/>
              </w:rPr>
            </w:pPr>
          </w:p>
        </w:tc>
        <w:tc>
          <w:tcPr>
            <w:tcW w:w="1656" w:type="dxa"/>
            <w:tcBorders>
              <w:top w:val="single" w:sz="4" w:space="0" w:color="auto"/>
              <w:left w:val="nil"/>
              <w:bottom w:val="nil"/>
              <w:right w:val="nil"/>
            </w:tcBorders>
            <w:shd w:val="clear" w:color="auto" w:fill="auto"/>
            <w:noWrap/>
            <w:vAlign w:val="bottom"/>
          </w:tcPr>
          <w:p w14:paraId="603C9060" w14:textId="77777777" w:rsidR="002B302F" w:rsidRPr="00CD1426" w:rsidRDefault="002B302F" w:rsidP="00CD1426">
            <w:pPr>
              <w:spacing w:line="360" w:lineRule="auto"/>
              <w:jc w:val="both"/>
              <w:rPr>
                <w:rFonts w:ascii="Book Antiqua" w:hAnsi="Book Antiqua" w:cs="Arial"/>
                <w:lang w:val="en-US" w:eastAsia="en-US"/>
              </w:rPr>
            </w:pPr>
          </w:p>
        </w:tc>
        <w:tc>
          <w:tcPr>
            <w:tcW w:w="910" w:type="dxa"/>
            <w:tcBorders>
              <w:top w:val="single" w:sz="4" w:space="0" w:color="auto"/>
              <w:left w:val="nil"/>
              <w:bottom w:val="nil"/>
              <w:right w:val="nil"/>
            </w:tcBorders>
            <w:shd w:val="clear" w:color="auto" w:fill="auto"/>
            <w:noWrap/>
            <w:vAlign w:val="bottom"/>
          </w:tcPr>
          <w:p w14:paraId="0E7B89CC" w14:textId="77777777" w:rsidR="002B302F" w:rsidRPr="00CD1426" w:rsidRDefault="002B302F" w:rsidP="00CD1426">
            <w:pPr>
              <w:spacing w:line="360" w:lineRule="auto"/>
              <w:jc w:val="both"/>
              <w:rPr>
                <w:rFonts w:ascii="Book Antiqua" w:hAnsi="Book Antiqua" w:cs="Arial"/>
                <w:lang w:val="en-US" w:eastAsia="en-US"/>
              </w:rPr>
            </w:pPr>
          </w:p>
        </w:tc>
        <w:tc>
          <w:tcPr>
            <w:tcW w:w="1503" w:type="dxa"/>
            <w:tcBorders>
              <w:top w:val="single" w:sz="4" w:space="0" w:color="auto"/>
              <w:left w:val="nil"/>
              <w:bottom w:val="nil"/>
              <w:right w:val="nil"/>
            </w:tcBorders>
            <w:shd w:val="clear" w:color="auto" w:fill="auto"/>
            <w:noWrap/>
            <w:vAlign w:val="bottom"/>
          </w:tcPr>
          <w:p w14:paraId="3461FF32" w14:textId="77777777" w:rsidR="002B302F" w:rsidRPr="00CD1426" w:rsidRDefault="002B302F" w:rsidP="00CD1426">
            <w:pPr>
              <w:spacing w:line="360" w:lineRule="auto"/>
              <w:jc w:val="both"/>
              <w:rPr>
                <w:rFonts w:ascii="Book Antiqua" w:hAnsi="Book Antiqua" w:cs="Arial"/>
                <w:lang w:val="en-US" w:eastAsia="en-US"/>
              </w:rPr>
            </w:pPr>
          </w:p>
        </w:tc>
      </w:tr>
      <w:tr w:rsidR="002B302F" w:rsidRPr="00CD1426" w14:paraId="14E16D13" w14:textId="77777777" w:rsidTr="00DF49D3">
        <w:trPr>
          <w:trHeight w:val="300"/>
        </w:trPr>
        <w:tc>
          <w:tcPr>
            <w:tcW w:w="3534" w:type="dxa"/>
            <w:tcBorders>
              <w:left w:val="nil"/>
              <w:bottom w:val="nil"/>
              <w:right w:val="nil"/>
            </w:tcBorders>
            <w:shd w:val="clear" w:color="auto" w:fill="auto"/>
            <w:noWrap/>
            <w:vAlign w:val="bottom"/>
          </w:tcPr>
          <w:p w14:paraId="32BABB45" w14:textId="77777777" w:rsidR="002B302F" w:rsidRPr="00CD1426" w:rsidRDefault="002B302F" w:rsidP="00CD1426">
            <w:pPr>
              <w:spacing w:line="360" w:lineRule="auto"/>
              <w:jc w:val="both"/>
              <w:rPr>
                <w:rFonts w:ascii="Book Antiqua" w:hAnsi="Book Antiqua" w:cs="Arial"/>
                <w:lang w:val="en-US" w:eastAsia="en-US"/>
              </w:rPr>
            </w:pPr>
            <w:r w:rsidRPr="00CD1426">
              <w:rPr>
                <w:rFonts w:ascii="Book Antiqua" w:hAnsi="Book Antiqua" w:cs="Arial"/>
                <w:lang w:val="en-US" w:eastAsia="en-US"/>
              </w:rPr>
              <w:t> </w:t>
            </w:r>
          </w:p>
        </w:tc>
        <w:tc>
          <w:tcPr>
            <w:tcW w:w="6501" w:type="dxa"/>
            <w:gridSpan w:val="5"/>
            <w:tcBorders>
              <w:left w:val="nil"/>
              <w:bottom w:val="nil"/>
              <w:right w:val="nil"/>
            </w:tcBorders>
            <w:shd w:val="clear" w:color="auto" w:fill="auto"/>
            <w:noWrap/>
            <w:vAlign w:val="bottom"/>
          </w:tcPr>
          <w:p w14:paraId="40AF01B6" w14:textId="62B33251" w:rsidR="002B302F" w:rsidRPr="00CD1426" w:rsidRDefault="00F50DCF" w:rsidP="00CD1426">
            <w:pPr>
              <w:spacing w:line="360" w:lineRule="auto"/>
              <w:jc w:val="both"/>
              <w:rPr>
                <w:rFonts w:ascii="Book Antiqua" w:hAnsi="Book Antiqua" w:cs="Arial"/>
                <w:b/>
                <w:bCs/>
                <w:lang w:val="en-US" w:eastAsia="zh-CN"/>
              </w:rPr>
            </w:pPr>
            <w:r w:rsidRPr="00CD1426">
              <w:rPr>
                <w:rFonts w:ascii="Book Antiqua" w:hAnsi="Book Antiqua" w:cs="Arial"/>
                <w:b/>
                <w:bCs/>
                <w:lang w:val="en-US" w:eastAsia="en-US"/>
              </w:rPr>
              <w:t>SVR</w:t>
            </w:r>
            <w:r w:rsidR="002B302F" w:rsidRPr="00CD1426">
              <w:rPr>
                <w:rFonts w:ascii="Book Antiqua" w:hAnsi="Book Antiqua" w:cs="Arial"/>
                <w:b/>
                <w:bCs/>
                <w:lang w:val="en-US" w:eastAsia="en-US"/>
              </w:rPr>
              <w:t xml:space="preserve"> rates</w:t>
            </w:r>
            <w:r w:rsidRPr="00CD1426">
              <w:rPr>
                <w:rFonts w:ascii="Book Antiqua" w:hAnsi="Book Antiqua" w:cs="Arial"/>
                <w:b/>
                <w:bCs/>
                <w:lang w:val="en-US" w:eastAsia="zh-CN"/>
              </w:rPr>
              <w:t xml:space="preserve"> </w:t>
            </w:r>
            <w:r w:rsidRPr="00CD1426">
              <w:rPr>
                <w:rFonts w:ascii="Book Antiqua" w:hAnsi="Book Antiqua" w:cs="Arial"/>
                <w:b/>
                <w:bCs/>
                <w:lang w:val="en-US" w:eastAsia="en-US"/>
              </w:rPr>
              <w:t>(%)</w:t>
            </w:r>
          </w:p>
        </w:tc>
      </w:tr>
      <w:tr w:rsidR="002B302F" w:rsidRPr="00CD1426" w14:paraId="799F8B7D" w14:textId="77777777" w:rsidTr="00C04C74">
        <w:trPr>
          <w:trHeight w:val="320"/>
        </w:trPr>
        <w:tc>
          <w:tcPr>
            <w:tcW w:w="3534" w:type="dxa"/>
            <w:tcBorders>
              <w:top w:val="single" w:sz="4" w:space="0" w:color="auto"/>
              <w:left w:val="nil"/>
              <w:bottom w:val="single" w:sz="8" w:space="0" w:color="auto"/>
              <w:right w:val="nil"/>
            </w:tcBorders>
            <w:shd w:val="clear" w:color="auto" w:fill="auto"/>
            <w:noWrap/>
            <w:vAlign w:val="bottom"/>
          </w:tcPr>
          <w:p w14:paraId="27223018" w14:textId="77777777" w:rsidR="002B302F" w:rsidRPr="00CD1426" w:rsidRDefault="002B302F" w:rsidP="00CD1426">
            <w:pPr>
              <w:spacing w:line="360" w:lineRule="auto"/>
              <w:jc w:val="both"/>
              <w:rPr>
                <w:rFonts w:ascii="Book Antiqua" w:hAnsi="Book Antiqua" w:cs="Arial"/>
                <w:lang w:val="en-US" w:eastAsia="en-US"/>
              </w:rPr>
            </w:pPr>
            <w:r w:rsidRPr="00CD1426">
              <w:rPr>
                <w:rFonts w:ascii="Book Antiqua" w:hAnsi="Book Antiqua" w:cs="Arial"/>
                <w:lang w:val="en-US" w:eastAsia="en-US"/>
              </w:rPr>
              <w:t> </w:t>
            </w:r>
          </w:p>
        </w:tc>
        <w:tc>
          <w:tcPr>
            <w:tcW w:w="4088" w:type="dxa"/>
            <w:gridSpan w:val="3"/>
            <w:tcBorders>
              <w:top w:val="single" w:sz="4" w:space="0" w:color="auto"/>
              <w:left w:val="nil"/>
              <w:bottom w:val="single" w:sz="8" w:space="0" w:color="auto"/>
              <w:right w:val="nil"/>
            </w:tcBorders>
            <w:shd w:val="clear" w:color="auto" w:fill="auto"/>
            <w:noWrap/>
            <w:vAlign w:val="bottom"/>
          </w:tcPr>
          <w:p w14:paraId="659BD96A" w14:textId="77777777" w:rsidR="002B302F" w:rsidRPr="00CD1426" w:rsidRDefault="002B302F" w:rsidP="00CD1426">
            <w:pPr>
              <w:spacing w:line="360" w:lineRule="auto"/>
              <w:jc w:val="both"/>
              <w:rPr>
                <w:rFonts w:ascii="Book Antiqua" w:hAnsi="Book Antiqua" w:cs="Arial"/>
                <w:lang w:val="en-US" w:eastAsia="en-US"/>
              </w:rPr>
            </w:pPr>
            <w:proofErr w:type="spellStart"/>
            <w:r w:rsidRPr="00CD1426">
              <w:rPr>
                <w:rFonts w:ascii="Book Antiqua" w:hAnsi="Book Antiqua" w:cs="Arial"/>
                <w:lang w:val="en-US" w:eastAsia="en-US"/>
              </w:rPr>
              <w:t>Boceprevir</w:t>
            </w:r>
            <w:proofErr w:type="spellEnd"/>
          </w:p>
        </w:tc>
        <w:tc>
          <w:tcPr>
            <w:tcW w:w="2413" w:type="dxa"/>
            <w:gridSpan w:val="2"/>
            <w:tcBorders>
              <w:top w:val="single" w:sz="4" w:space="0" w:color="auto"/>
              <w:left w:val="nil"/>
              <w:bottom w:val="single" w:sz="8" w:space="0" w:color="auto"/>
              <w:right w:val="nil"/>
            </w:tcBorders>
            <w:shd w:val="clear" w:color="auto" w:fill="auto"/>
            <w:noWrap/>
            <w:vAlign w:val="bottom"/>
          </w:tcPr>
          <w:p w14:paraId="26F0A967" w14:textId="77777777" w:rsidR="002B302F" w:rsidRPr="00CD1426" w:rsidRDefault="002B302F" w:rsidP="00CD1426">
            <w:pPr>
              <w:spacing w:line="360" w:lineRule="auto"/>
              <w:jc w:val="both"/>
              <w:rPr>
                <w:rFonts w:ascii="Book Antiqua" w:hAnsi="Book Antiqua" w:cs="Arial"/>
                <w:lang w:val="en-US" w:eastAsia="en-US"/>
              </w:rPr>
            </w:pPr>
            <w:proofErr w:type="spellStart"/>
            <w:r w:rsidRPr="00CD1426">
              <w:rPr>
                <w:rFonts w:ascii="Book Antiqua" w:hAnsi="Book Antiqua" w:cs="Arial"/>
                <w:lang w:val="en-US" w:eastAsia="en-US"/>
              </w:rPr>
              <w:t>Telaprevir</w:t>
            </w:r>
            <w:proofErr w:type="spellEnd"/>
          </w:p>
        </w:tc>
      </w:tr>
      <w:tr w:rsidR="002B302F" w:rsidRPr="00CD1426" w14:paraId="58D3C7AE" w14:textId="77777777" w:rsidTr="00C04C74">
        <w:trPr>
          <w:trHeight w:val="400"/>
        </w:trPr>
        <w:tc>
          <w:tcPr>
            <w:tcW w:w="3534" w:type="dxa"/>
            <w:tcBorders>
              <w:top w:val="nil"/>
              <w:left w:val="nil"/>
              <w:bottom w:val="nil"/>
              <w:right w:val="nil"/>
            </w:tcBorders>
            <w:shd w:val="clear" w:color="auto" w:fill="auto"/>
            <w:noWrap/>
            <w:vAlign w:val="bottom"/>
          </w:tcPr>
          <w:p w14:paraId="78B727A7" w14:textId="77777777" w:rsidR="002B302F" w:rsidRPr="00CD1426" w:rsidRDefault="002B302F" w:rsidP="00CD1426">
            <w:pPr>
              <w:spacing w:line="360" w:lineRule="auto"/>
              <w:jc w:val="both"/>
              <w:rPr>
                <w:rFonts w:ascii="Book Antiqua" w:hAnsi="Book Antiqua" w:cs="Arial"/>
                <w:lang w:val="en-US" w:eastAsia="en-US"/>
              </w:rPr>
            </w:pPr>
            <w:r w:rsidRPr="00CD1426">
              <w:rPr>
                <w:rFonts w:ascii="Book Antiqua" w:hAnsi="Book Antiqua" w:cs="Arial"/>
                <w:lang w:val="en-US" w:eastAsia="en-US"/>
              </w:rPr>
              <w:t>Predictive variables</w:t>
            </w:r>
          </w:p>
        </w:tc>
        <w:tc>
          <w:tcPr>
            <w:tcW w:w="910" w:type="dxa"/>
            <w:tcBorders>
              <w:top w:val="nil"/>
              <w:left w:val="nil"/>
              <w:bottom w:val="nil"/>
              <w:right w:val="nil"/>
            </w:tcBorders>
            <w:shd w:val="clear" w:color="auto" w:fill="auto"/>
            <w:noWrap/>
            <w:vAlign w:val="bottom"/>
          </w:tcPr>
          <w:p w14:paraId="25792B94" w14:textId="77777777" w:rsidR="002B302F" w:rsidRPr="00CD1426" w:rsidRDefault="002B302F" w:rsidP="00CD1426">
            <w:pPr>
              <w:spacing w:line="360" w:lineRule="auto"/>
              <w:jc w:val="both"/>
              <w:rPr>
                <w:rFonts w:ascii="Book Antiqua" w:hAnsi="Book Antiqua" w:cs="Arial"/>
                <w:lang w:val="en-US" w:eastAsia="en-US"/>
              </w:rPr>
            </w:pPr>
            <w:r w:rsidRPr="00CD1426">
              <w:rPr>
                <w:rFonts w:ascii="Book Antiqua" w:hAnsi="Book Antiqua" w:cs="Arial"/>
                <w:lang w:val="en-US" w:eastAsia="en-US"/>
              </w:rPr>
              <w:t>PR48</w:t>
            </w:r>
          </w:p>
        </w:tc>
        <w:tc>
          <w:tcPr>
            <w:tcW w:w="1522" w:type="dxa"/>
            <w:tcBorders>
              <w:top w:val="nil"/>
              <w:left w:val="nil"/>
              <w:bottom w:val="nil"/>
              <w:right w:val="nil"/>
            </w:tcBorders>
            <w:shd w:val="clear" w:color="auto" w:fill="auto"/>
            <w:noWrap/>
            <w:vAlign w:val="bottom"/>
          </w:tcPr>
          <w:p w14:paraId="3489949F" w14:textId="77777777" w:rsidR="002B302F" w:rsidRPr="00CD1426" w:rsidRDefault="002B302F" w:rsidP="00CD1426">
            <w:pPr>
              <w:spacing w:line="360" w:lineRule="auto"/>
              <w:jc w:val="both"/>
              <w:rPr>
                <w:rFonts w:ascii="Book Antiqua" w:hAnsi="Book Antiqua" w:cs="Arial"/>
                <w:lang w:val="en-US" w:eastAsia="en-US"/>
              </w:rPr>
            </w:pPr>
            <w:r w:rsidRPr="00CD1426">
              <w:rPr>
                <w:rFonts w:ascii="Book Antiqua" w:hAnsi="Book Antiqua" w:cs="Arial"/>
                <w:lang w:val="en-US" w:eastAsia="en-US"/>
              </w:rPr>
              <w:t>BOCRGT</w:t>
            </w:r>
          </w:p>
        </w:tc>
        <w:tc>
          <w:tcPr>
            <w:tcW w:w="1656" w:type="dxa"/>
            <w:tcBorders>
              <w:top w:val="nil"/>
              <w:left w:val="nil"/>
              <w:bottom w:val="nil"/>
              <w:right w:val="nil"/>
            </w:tcBorders>
            <w:shd w:val="clear" w:color="auto" w:fill="auto"/>
            <w:noWrap/>
            <w:vAlign w:val="bottom"/>
          </w:tcPr>
          <w:p w14:paraId="1D177905" w14:textId="77777777" w:rsidR="002B302F" w:rsidRPr="00CD1426" w:rsidRDefault="002B302F" w:rsidP="00CD1426">
            <w:pPr>
              <w:spacing w:line="360" w:lineRule="auto"/>
              <w:jc w:val="both"/>
              <w:rPr>
                <w:rFonts w:ascii="Book Antiqua" w:hAnsi="Book Antiqua" w:cs="Arial"/>
                <w:lang w:val="en-US" w:eastAsia="en-US"/>
              </w:rPr>
            </w:pPr>
            <w:r w:rsidRPr="00CD1426">
              <w:rPr>
                <w:rFonts w:ascii="Book Antiqua" w:hAnsi="Book Antiqua" w:cs="Arial"/>
                <w:lang w:val="en-US" w:eastAsia="en-US"/>
              </w:rPr>
              <w:t>BOCPR48</w:t>
            </w:r>
          </w:p>
        </w:tc>
        <w:tc>
          <w:tcPr>
            <w:tcW w:w="910" w:type="dxa"/>
            <w:tcBorders>
              <w:top w:val="nil"/>
              <w:left w:val="nil"/>
              <w:bottom w:val="nil"/>
              <w:right w:val="nil"/>
            </w:tcBorders>
            <w:shd w:val="clear" w:color="auto" w:fill="auto"/>
            <w:noWrap/>
            <w:vAlign w:val="bottom"/>
          </w:tcPr>
          <w:p w14:paraId="288A85D1" w14:textId="77777777" w:rsidR="002B302F" w:rsidRPr="00CD1426" w:rsidRDefault="002B302F" w:rsidP="00CD1426">
            <w:pPr>
              <w:spacing w:line="360" w:lineRule="auto"/>
              <w:jc w:val="both"/>
              <w:rPr>
                <w:rFonts w:ascii="Book Antiqua" w:hAnsi="Book Antiqua" w:cs="Arial"/>
                <w:lang w:val="en-US" w:eastAsia="en-US"/>
              </w:rPr>
            </w:pPr>
            <w:r w:rsidRPr="00CD1426">
              <w:rPr>
                <w:rFonts w:ascii="Book Antiqua" w:hAnsi="Book Antiqua" w:cs="Arial"/>
                <w:lang w:val="en-US" w:eastAsia="en-US"/>
              </w:rPr>
              <w:t>PR48</w:t>
            </w:r>
          </w:p>
        </w:tc>
        <w:tc>
          <w:tcPr>
            <w:tcW w:w="1503" w:type="dxa"/>
            <w:tcBorders>
              <w:top w:val="nil"/>
              <w:left w:val="nil"/>
              <w:bottom w:val="nil"/>
              <w:right w:val="nil"/>
            </w:tcBorders>
            <w:shd w:val="clear" w:color="auto" w:fill="auto"/>
            <w:noWrap/>
            <w:vAlign w:val="bottom"/>
          </w:tcPr>
          <w:p w14:paraId="653C63F6" w14:textId="77777777" w:rsidR="002B302F" w:rsidRPr="00CD1426" w:rsidRDefault="002B302F" w:rsidP="00CD1426">
            <w:pPr>
              <w:spacing w:line="360" w:lineRule="auto"/>
              <w:jc w:val="both"/>
              <w:rPr>
                <w:rFonts w:ascii="Book Antiqua" w:hAnsi="Book Antiqua" w:cs="Arial"/>
                <w:lang w:val="en-US" w:eastAsia="en-US"/>
              </w:rPr>
            </w:pPr>
            <w:r w:rsidRPr="00CD1426">
              <w:rPr>
                <w:rFonts w:ascii="Book Antiqua" w:hAnsi="Book Antiqua" w:cs="Arial"/>
                <w:lang w:val="en-US" w:eastAsia="en-US"/>
              </w:rPr>
              <w:t>T12PR48</w:t>
            </w:r>
          </w:p>
        </w:tc>
      </w:tr>
      <w:tr w:rsidR="002B302F" w:rsidRPr="00CD1426" w14:paraId="3E673C5A" w14:textId="77777777" w:rsidTr="00DF49D3">
        <w:trPr>
          <w:trHeight w:val="400"/>
        </w:trPr>
        <w:tc>
          <w:tcPr>
            <w:tcW w:w="3534" w:type="dxa"/>
            <w:tcBorders>
              <w:top w:val="single" w:sz="4" w:space="0" w:color="auto"/>
              <w:left w:val="nil"/>
              <w:bottom w:val="nil"/>
              <w:right w:val="nil"/>
            </w:tcBorders>
            <w:shd w:val="clear" w:color="auto" w:fill="auto"/>
            <w:noWrap/>
            <w:vAlign w:val="bottom"/>
          </w:tcPr>
          <w:p w14:paraId="4FA04CF4" w14:textId="77777777" w:rsidR="002B302F" w:rsidRPr="00CD1426" w:rsidRDefault="002B302F" w:rsidP="00CD1426">
            <w:pPr>
              <w:spacing w:line="360" w:lineRule="auto"/>
              <w:jc w:val="both"/>
              <w:rPr>
                <w:rFonts w:ascii="Book Antiqua" w:hAnsi="Book Antiqua" w:cs="Arial"/>
                <w:lang w:val="en-US" w:eastAsia="en-US"/>
              </w:rPr>
            </w:pPr>
            <w:r w:rsidRPr="00CD1426">
              <w:rPr>
                <w:rFonts w:ascii="Book Antiqua" w:hAnsi="Book Antiqua" w:cs="Arial"/>
                <w:lang w:val="en-US" w:eastAsia="en-US"/>
              </w:rPr>
              <w:t xml:space="preserve">Previous </w:t>
            </w:r>
            <w:proofErr w:type="spellStart"/>
            <w:r w:rsidRPr="00CD1426">
              <w:rPr>
                <w:rFonts w:ascii="Book Antiqua" w:hAnsi="Book Antiqua" w:cs="Arial"/>
                <w:lang w:val="en-US" w:eastAsia="en-US"/>
              </w:rPr>
              <w:t>Relapser</w:t>
            </w:r>
            <w:proofErr w:type="spellEnd"/>
          </w:p>
        </w:tc>
        <w:tc>
          <w:tcPr>
            <w:tcW w:w="910" w:type="dxa"/>
            <w:tcBorders>
              <w:top w:val="single" w:sz="4" w:space="0" w:color="auto"/>
              <w:left w:val="nil"/>
              <w:bottom w:val="nil"/>
              <w:right w:val="nil"/>
            </w:tcBorders>
            <w:shd w:val="clear" w:color="auto" w:fill="auto"/>
            <w:noWrap/>
            <w:vAlign w:val="bottom"/>
          </w:tcPr>
          <w:p w14:paraId="53B51850" w14:textId="2172B4AC" w:rsidR="002B302F" w:rsidRPr="00CD1426" w:rsidRDefault="00F50DCF" w:rsidP="00CD1426">
            <w:pPr>
              <w:spacing w:line="360" w:lineRule="auto"/>
              <w:jc w:val="both"/>
              <w:rPr>
                <w:rFonts w:ascii="Book Antiqua" w:hAnsi="Book Antiqua" w:cs="Arial"/>
                <w:lang w:val="en-US" w:eastAsia="zh-CN"/>
              </w:rPr>
            </w:pPr>
            <w:r w:rsidRPr="00CD1426">
              <w:rPr>
                <w:rFonts w:ascii="Book Antiqua" w:hAnsi="Book Antiqua" w:cs="Arial"/>
                <w:lang w:val="en-US" w:eastAsia="en-US"/>
              </w:rPr>
              <w:t>29</w:t>
            </w:r>
          </w:p>
        </w:tc>
        <w:tc>
          <w:tcPr>
            <w:tcW w:w="1522" w:type="dxa"/>
            <w:tcBorders>
              <w:top w:val="single" w:sz="4" w:space="0" w:color="auto"/>
              <w:left w:val="nil"/>
              <w:bottom w:val="nil"/>
              <w:right w:val="nil"/>
            </w:tcBorders>
            <w:shd w:val="clear" w:color="auto" w:fill="auto"/>
            <w:noWrap/>
            <w:vAlign w:val="bottom"/>
          </w:tcPr>
          <w:p w14:paraId="65728F93" w14:textId="01C5B39A" w:rsidR="002B302F" w:rsidRPr="00CD1426" w:rsidRDefault="00F50DCF" w:rsidP="00CD1426">
            <w:pPr>
              <w:spacing w:line="360" w:lineRule="auto"/>
              <w:jc w:val="both"/>
              <w:rPr>
                <w:rFonts w:ascii="Book Antiqua" w:hAnsi="Book Antiqua" w:cs="Arial"/>
                <w:lang w:val="en-US" w:eastAsia="zh-CN"/>
              </w:rPr>
            </w:pPr>
            <w:r w:rsidRPr="00CD1426">
              <w:rPr>
                <w:rFonts w:ascii="Book Antiqua" w:hAnsi="Book Antiqua" w:cs="Arial"/>
                <w:lang w:val="en-US" w:eastAsia="en-US"/>
              </w:rPr>
              <w:t>69</w:t>
            </w:r>
          </w:p>
        </w:tc>
        <w:tc>
          <w:tcPr>
            <w:tcW w:w="1656" w:type="dxa"/>
            <w:tcBorders>
              <w:top w:val="single" w:sz="4" w:space="0" w:color="auto"/>
              <w:left w:val="nil"/>
              <w:bottom w:val="nil"/>
              <w:right w:val="nil"/>
            </w:tcBorders>
            <w:shd w:val="clear" w:color="auto" w:fill="auto"/>
            <w:noWrap/>
            <w:vAlign w:val="bottom"/>
          </w:tcPr>
          <w:p w14:paraId="76FAE46C" w14:textId="2C3AC018" w:rsidR="002B302F" w:rsidRPr="00CD1426" w:rsidRDefault="00F50DCF" w:rsidP="00CD1426">
            <w:pPr>
              <w:spacing w:line="360" w:lineRule="auto"/>
              <w:jc w:val="both"/>
              <w:rPr>
                <w:rFonts w:ascii="Book Antiqua" w:hAnsi="Book Antiqua" w:cs="Arial"/>
                <w:lang w:val="en-US" w:eastAsia="zh-CN"/>
              </w:rPr>
            </w:pPr>
            <w:r w:rsidRPr="00CD1426">
              <w:rPr>
                <w:rFonts w:ascii="Book Antiqua" w:hAnsi="Book Antiqua" w:cs="Arial"/>
                <w:lang w:val="en-US" w:eastAsia="en-US"/>
              </w:rPr>
              <w:t>75</w:t>
            </w:r>
          </w:p>
        </w:tc>
        <w:tc>
          <w:tcPr>
            <w:tcW w:w="910" w:type="dxa"/>
            <w:tcBorders>
              <w:top w:val="single" w:sz="4" w:space="0" w:color="auto"/>
              <w:left w:val="nil"/>
              <w:bottom w:val="nil"/>
              <w:right w:val="nil"/>
            </w:tcBorders>
            <w:shd w:val="clear" w:color="auto" w:fill="auto"/>
            <w:noWrap/>
            <w:vAlign w:val="bottom"/>
          </w:tcPr>
          <w:p w14:paraId="121A0444" w14:textId="683CFEE1" w:rsidR="002B302F" w:rsidRPr="00CD1426" w:rsidRDefault="00F50DCF" w:rsidP="00CD1426">
            <w:pPr>
              <w:spacing w:line="360" w:lineRule="auto"/>
              <w:jc w:val="both"/>
              <w:rPr>
                <w:rFonts w:ascii="Book Antiqua" w:hAnsi="Book Antiqua" w:cs="Arial"/>
                <w:lang w:val="en-US" w:eastAsia="zh-CN"/>
              </w:rPr>
            </w:pPr>
            <w:r w:rsidRPr="00CD1426">
              <w:rPr>
                <w:rFonts w:ascii="Book Antiqua" w:hAnsi="Book Antiqua" w:cs="Arial"/>
                <w:lang w:val="en-US" w:eastAsia="en-US"/>
              </w:rPr>
              <w:t>24</w:t>
            </w:r>
          </w:p>
        </w:tc>
        <w:tc>
          <w:tcPr>
            <w:tcW w:w="1503" w:type="dxa"/>
            <w:tcBorders>
              <w:top w:val="single" w:sz="4" w:space="0" w:color="auto"/>
              <w:left w:val="nil"/>
              <w:bottom w:val="nil"/>
              <w:right w:val="nil"/>
            </w:tcBorders>
            <w:shd w:val="clear" w:color="auto" w:fill="auto"/>
            <w:noWrap/>
            <w:vAlign w:val="bottom"/>
          </w:tcPr>
          <w:p w14:paraId="0B225017" w14:textId="1878E90D" w:rsidR="002B302F" w:rsidRPr="00CD1426" w:rsidRDefault="00F50DCF" w:rsidP="00CD1426">
            <w:pPr>
              <w:spacing w:line="360" w:lineRule="auto"/>
              <w:jc w:val="both"/>
              <w:rPr>
                <w:rFonts w:ascii="Book Antiqua" w:hAnsi="Book Antiqua" w:cs="Arial"/>
                <w:lang w:val="en-US" w:eastAsia="zh-CN"/>
              </w:rPr>
            </w:pPr>
            <w:r w:rsidRPr="00CD1426">
              <w:rPr>
                <w:rFonts w:ascii="Book Antiqua" w:hAnsi="Book Antiqua" w:cs="Arial"/>
                <w:lang w:val="en-US" w:eastAsia="en-US"/>
              </w:rPr>
              <w:t>83</w:t>
            </w:r>
          </w:p>
        </w:tc>
      </w:tr>
      <w:tr w:rsidR="002B302F" w:rsidRPr="00CD1426" w14:paraId="5BDAF70F" w14:textId="77777777" w:rsidTr="00DF49D3">
        <w:trPr>
          <w:trHeight w:val="400"/>
        </w:trPr>
        <w:tc>
          <w:tcPr>
            <w:tcW w:w="3534" w:type="dxa"/>
            <w:tcBorders>
              <w:top w:val="nil"/>
              <w:left w:val="nil"/>
              <w:bottom w:val="nil"/>
              <w:right w:val="nil"/>
            </w:tcBorders>
            <w:shd w:val="clear" w:color="auto" w:fill="auto"/>
            <w:noWrap/>
            <w:vAlign w:val="bottom"/>
          </w:tcPr>
          <w:p w14:paraId="198312CD" w14:textId="77777777" w:rsidR="002B302F" w:rsidRPr="00CD1426" w:rsidRDefault="002B302F" w:rsidP="00CD1426">
            <w:pPr>
              <w:spacing w:line="360" w:lineRule="auto"/>
              <w:jc w:val="both"/>
              <w:rPr>
                <w:rFonts w:ascii="Book Antiqua" w:hAnsi="Book Antiqua" w:cs="Arial"/>
                <w:lang w:val="en-US" w:eastAsia="en-US"/>
              </w:rPr>
            </w:pPr>
            <w:r w:rsidRPr="00CD1426">
              <w:rPr>
                <w:rFonts w:ascii="Book Antiqua" w:hAnsi="Book Antiqua" w:cs="Arial"/>
                <w:lang w:val="en-US" w:eastAsia="en-US"/>
              </w:rPr>
              <w:t>Previous Partial-responder</w:t>
            </w:r>
          </w:p>
        </w:tc>
        <w:tc>
          <w:tcPr>
            <w:tcW w:w="910" w:type="dxa"/>
            <w:tcBorders>
              <w:top w:val="nil"/>
              <w:left w:val="nil"/>
              <w:bottom w:val="nil"/>
              <w:right w:val="nil"/>
            </w:tcBorders>
            <w:shd w:val="clear" w:color="auto" w:fill="auto"/>
            <w:noWrap/>
            <w:vAlign w:val="bottom"/>
          </w:tcPr>
          <w:p w14:paraId="54750E99" w14:textId="6D8CD319" w:rsidR="002B302F" w:rsidRPr="00CD1426" w:rsidRDefault="00F50DCF" w:rsidP="00CD1426">
            <w:pPr>
              <w:spacing w:line="360" w:lineRule="auto"/>
              <w:jc w:val="both"/>
              <w:rPr>
                <w:rFonts w:ascii="Book Antiqua" w:hAnsi="Book Antiqua" w:cs="Arial"/>
                <w:lang w:val="en-US" w:eastAsia="zh-CN"/>
              </w:rPr>
            </w:pPr>
            <w:r w:rsidRPr="00CD1426">
              <w:rPr>
                <w:rFonts w:ascii="Book Antiqua" w:hAnsi="Book Antiqua" w:cs="Arial"/>
                <w:lang w:val="en-US" w:eastAsia="en-US"/>
              </w:rPr>
              <w:t>7</w:t>
            </w:r>
          </w:p>
        </w:tc>
        <w:tc>
          <w:tcPr>
            <w:tcW w:w="1522" w:type="dxa"/>
            <w:tcBorders>
              <w:top w:val="nil"/>
              <w:left w:val="nil"/>
              <w:bottom w:val="nil"/>
              <w:right w:val="nil"/>
            </w:tcBorders>
            <w:shd w:val="clear" w:color="auto" w:fill="auto"/>
            <w:noWrap/>
            <w:vAlign w:val="bottom"/>
          </w:tcPr>
          <w:p w14:paraId="29BDF267" w14:textId="5322443C" w:rsidR="002B302F" w:rsidRPr="00CD1426" w:rsidRDefault="00F50DCF" w:rsidP="00CD1426">
            <w:pPr>
              <w:spacing w:line="360" w:lineRule="auto"/>
              <w:jc w:val="both"/>
              <w:rPr>
                <w:rFonts w:ascii="Book Antiqua" w:hAnsi="Book Antiqua" w:cs="Arial"/>
                <w:lang w:val="en-US" w:eastAsia="zh-CN"/>
              </w:rPr>
            </w:pPr>
            <w:r w:rsidRPr="00CD1426">
              <w:rPr>
                <w:rFonts w:ascii="Book Antiqua" w:hAnsi="Book Antiqua" w:cs="Arial"/>
                <w:lang w:val="en-US" w:eastAsia="en-US"/>
              </w:rPr>
              <w:t>40</w:t>
            </w:r>
          </w:p>
        </w:tc>
        <w:tc>
          <w:tcPr>
            <w:tcW w:w="1656" w:type="dxa"/>
            <w:tcBorders>
              <w:top w:val="nil"/>
              <w:left w:val="nil"/>
              <w:bottom w:val="nil"/>
              <w:right w:val="nil"/>
            </w:tcBorders>
            <w:shd w:val="clear" w:color="auto" w:fill="auto"/>
            <w:noWrap/>
            <w:vAlign w:val="bottom"/>
          </w:tcPr>
          <w:p w14:paraId="770925B1" w14:textId="3664DD9C" w:rsidR="002B302F" w:rsidRPr="00CD1426" w:rsidRDefault="00F50DCF" w:rsidP="00CD1426">
            <w:pPr>
              <w:spacing w:line="360" w:lineRule="auto"/>
              <w:jc w:val="both"/>
              <w:rPr>
                <w:rFonts w:ascii="Book Antiqua" w:hAnsi="Book Antiqua" w:cs="Arial"/>
                <w:lang w:val="en-US" w:eastAsia="zh-CN"/>
              </w:rPr>
            </w:pPr>
            <w:r w:rsidRPr="00CD1426">
              <w:rPr>
                <w:rFonts w:ascii="Book Antiqua" w:hAnsi="Book Antiqua" w:cs="Arial"/>
                <w:lang w:val="en-US" w:eastAsia="en-US"/>
              </w:rPr>
              <w:t>52</w:t>
            </w:r>
          </w:p>
        </w:tc>
        <w:tc>
          <w:tcPr>
            <w:tcW w:w="910" w:type="dxa"/>
            <w:tcBorders>
              <w:top w:val="nil"/>
              <w:left w:val="nil"/>
              <w:bottom w:val="nil"/>
              <w:right w:val="nil"/>
            </w:tcBorders>
            <w:shd w:val="clear" w:color="auto" w:fill="auto"/>
            <w:noWrap/>
            <w:vAlign w:val="bottom"/>
          </w:tcPr>
          <w:p w14:paraId="34F7F40F" w14:textId="4910B700" w:rsidR="002B302F" w:rsidRPr="00CD1426" w:rsidRDefault="00F50DCF" w:rsidP="00CD1426">
            <w:pPr>
              <w:spacing w:line="360" w:lineRule="auto"/>
              <w:jc w:val="both"/>
              <w:rPr>
                <w:rFonts w:ascii="Book Antiqua" w:hAnsi="Book Antiqua" w:cs="Arial"/>
                <w:lang w:val="en-US" w:eastAsia="zh-CN"/>
              </w:rPr>
            </w:pPr>
            <w:r w:rsidRPr="00CD1426">
              <w:rPr>
                <w:rFonts w:ascii="Book Antiqua" w:hAnsi="Book Antiqua" w:cs="Arial"/>
                <w:lang w:val="en-US" w:eastAsia="en-US"/>
              </w:rPr>
              <w:t>15</w:t>
            </w:r>
          </w:p>
        </w:tc>
        <w:tc>
          <w:tcPr>
            <w:tcW w:w="1503" w:type="dxa"/>
            <w:tcBorders>
              <w:top w:val="nil"/>
              <w:left w:val="nil"/>
              <w:bottom w:val="nil"/>
              <w:right w:val="nil"/>
            </w:tcBorders>
            <w:shd w:val="clear" w:color="auto" w:fill="auto"/>
            <w:noWrap/>
            <w:vAlign w:val="bottom"/>
          </w:tcPr>
          <w:p w14:paraId="275AA790" w14:textId="70C1D562" w:rsidR="002B302F" w:rsidRPr="00CD1426" w:rsidRDefault="00F50DCF" w:rsidP="00CD1426">
            <w:pPr>
              <w:spacing w:line="360" w:lineRule="auto"/>
              <w:jc w:val="both"/>
              <w:rPr>
                <w:rFonts w:ascii="Book Antiqua" w:hAnsi="Book Antiqua" w:cs="Arial"/>
                <w:lang w:val="en-US" w:eastAsia="zh-CN"/>
              </w:rPr>
            </w:pPr>
            <w:r w:rsidRPr="00CD1426">
              <w:rPr>
                <w:rFonts w:ascii="Book Antiqua" w:hAnsi="Book Antiqua" w:cs="Arial"/>
                <w:lang w:val="en-US" w:eastAsia="en-US"/>
              </w:rPr>
              <w:t>59</w:t>
            </w:r>
          </w:p>
        </w:tc>
      </w:tr>
      <w:tr w:rsidR="002B302F" w:rsidRPr="00CD1426" w14:paraId="531E7143" w14:textId="77777777" w:rsidTr="00DF49D3">
        <w:trPr>
          <w:trHeight w:val="300"/>
        </w:trPr>
        <w:tc>
          <w:tcPr>
            <w:tcW w:w="3534" w:type="dxa"/>
            <w:tcBorders>
              <w:top w:val="nil"/>
              <w:left w:val="nil"/>
              <w:bottom w:val="nil"/>
              <w:right w:val="nil"/>
            </w:tcBorders>
            <w:shd w:val="clear" w:color="auto" w:fill="auto"/>
            <w:noWrap/>
            <w:vAlign w:val="bottom"/>
          </w:tcPr>
          <w:p w14:paraId="7A44D9AE" w14:textId="77777777" w:rsidR="002B302F" w:rsidRPr="00CD1426" w:rsidRDefault="002B302F" w:rsidP="00CD1426">
            <w:pPr>
              <w:spacing w:line="360" w:lineRule="auto"/>
              <w:jc w:val="both"/>
              <w:rPr>
                <w:rFonts w:ascii="Book Antiqua" w:hAnsi="Book Antiqua" w:cs="Arial"/>
                <w:lang w:val="en-US" w:eastAsia="en-US"/>
              </w:rPr>
            </w:pPr>
            <w:r w:rsidRPr="00CD1426">
              <w:rPr>
                <w:rFonts w:ascii="Book Antiqua" w:hAnsi="Book Antiqua" w:cs="Arial"/>
                <w:lang w:val="en-US" w:eastAsia="en-US"/>
              </w:rPr>
              <w:t>Previous Null responder</w:t>
            </w:r>
          </w:p>
        </w:tc>
        <w:tc>
          <w:tcPr>
            <w:tcW w:w="910" w:type="dxa"/>
            <w:tcBorders>
              <w:top w:val="nil"/>
              <w:left w:val="nil"/>
              <w:bottom w:val="nil"/>
              <w:right w:val="nil"/>
            </w:tcBorders>
            <w:shd w:val="clear" w:color="auto" w:fill="auto"/>
            <w:noWrap/>
            <w:vAlign w:val="bottom"/>
          </w:tcPr>
          <w:p w14:paraId="3E5FE33E" w14:textId="77777777" w:rsidR="002B302F" w:rsidRPr="00CD1426" w:rsidRDefault="002B302F" w:rsidP="00CD1426">
            <w:pPr>
              <w:spacing w:line="360" w:lineRule="auto"/>
              <w:jc w:val="both"/>
              <w:rPr>
                <w:rFonts w:ascii="Book Antiqua" w:hAnsi="Book Antiqua" w:cs="Arial"/>
                <w:lang w:val="en-US" w:eastAsia="en-US"/>
              </w:rPr>
            </w:pPr>
          </w:p>
        </w:tc>
        <w:tc>
          <w:tcPr>
            <w:tcW w:w="1522" w:type="dxa"/>
            <w:tcBorders>
              <w:top w:val="nil"/>
              <w:left w:val="nil"/>
              <w:bottom w:val="nil"/>
              <w:right w:val="nil"/>
            </w:tcBorders>
            <w:shd w:val="clear" w:color="auto" w:fill="auto"/>
            <w:noWrap/>
            <w:vAlign w:val="bottom"/>
          </w:tcPr>
          <w:p w14:paraId="7F9DA540" w14:textId="77777777" w:rsidR="002B302F" w:rsidRPr="00CD1426" w:rsidRDefault="002B302F" w:rsidP="00CD1426">
            <w:pPr>
              <w:spacing w:line="360" w:lineRule="auto"/>
              <w:jc w:val="both"/>
              <w:rPr>
                <w:rFonts w:ascii="Book Antiqua" w:hAnsi="Book Antiqua" w:cs="Arial"/>
                <w:lang w:val="en-US" w:eastAsia="en-US"/>
              </w:rPr>
            </w:pPr>
          </w:p>
        </w:tc>
        <w:tc>
          <w:tcPr>
            <w:tcW w:w="1656" w:type="dxa"/>
            <w:tcBorders>
              <w:top w:val="nil"/>
              <w:left w:val="nil"/>
              <w:bottom w:val="nil"/>
              <w:right w:val="nil"/>
            </w:tcBorders>
            <w:shd w:val="clear" w:color="auto" w:fill="auto"/>
            <w:noWrap/>
            <w:vAlign w:val="bottom"/>
          </w:tcPr>
          <w:p w14:paraId="5DD97F62" w14:textId="77777777" w:rsidR="002B302F" w:rsidRPr="00CD1426" w:rsidRDefault="002B302F" w:rsidP="00CD1426">
            <w:pPr>
              <w:spacing w:line="360" w:lineRule="auto"/>
              <w:jc w:val="both"/>
              <w:rPr>
                <w:rFonts w:ascii="Book Antiqua" w:hAnsi="Book Antiqua" w:cs="Arial"/>
                <w:lang w:val="en-US" w:eastAsia="en-US"/>
              </w:rPr>
            </w:pPr>
          </w:p>
        </w:tc>
        <w:tc>
          <w:tcPr>
            <w:tcW w:w="910" w:type="dxa"/>
            <w:tcBorders>
              <w:top w:val="nil"/>
              <w:left w:val="nil"/>
              <w:bottom w:val="nil"/>
              <w:right w:val="nil"/>
            </w:tcBorders>
            <w:shd w:val="clear" w:color="auto" w:fill="auto"/>
            <w:noWrap/>
            <w:vAlign w:val="bottom"/>
          </w:tcPr>
          <w:p w14:paraId="7BF8CB9B" w14:textId="2995888E" w:rsidR="002B302F" w:rsidRPr="00CD1426" w:rsidRDefault="00F50DCF" w:rsidP="00CD1426">
            <w:pPr>
              <w:spacing w:line="360" w:lineRule="auto"/>
              <w:jc w:val="both"/>
              <w:rPr>
                <w:rFonts w:ascii="Book Antiqua" w:hAnsi="Book Antiqua" w:cs="Arial"/>
                <w:lang w:val="en-US" w:eastAsia="zh-CN"/>
              </w:rPr>
            </w:pPr>
            <w:r w:rsidRPr="00CD1426">
              <w:rPr>
                <w:rFonts w:ascii="Book Antiqua" w:hAnsi="Book Antiqua" w:cs="Arial"/>
                <w:lang w:val="en-US" w:eastAsia="en-US"/>
              </w:rPr>
              <w:t>5</w:t>
            </w:r>
          </w:p>
        </w:tc>
        <w:tc>
          <w:tcPr>
            <w:tcW w:w="1503" w:type="dxa"/>
            <w:tcBorders>
              <w:top w:val="nil"/>
              <w:left w:val="nil"/>
              <w:bottom w:val="nil"/>
              <w:right w:val="nil"/>
            </w:tcBorders>
            <w:shd w:val="clear" w:color="auto" w:fill="auto"/>
            <w:noWrap/>
            <w:vAlign w:val="bottom"/>
          </w:tcPr>
          <w:p w14:paraId="12A806ED" w14:textId="1B219D8E" w:rsidR="002B302F" w:rsidRPr="00CD1426" w:rsidRDefault="00F50DCF" w:rsidP="00CD1426">
            <w:pPr>
              <w:spacing w:line="360" w:lineRule="auto"/>
              <w:jc w:val="both"/>
              <w:rPr>
                <w:rFonts w:ascii="Book Antiqua" w:hAnsi="Book Antiqua" w:cs="Arial"/>
                <w:lang w:val="en-US" w:eastAsia="zh-CN"/>
              </w:rPr>
            </w:pPr>
            <w:r w:rsidRPr="00CD1426">
              <w:rPr>
                <w:rFonts w:ascii="Book Antiqua" w:hAnsi="Book Antiqua" w:cs="Arial"/>
                <w:lang w:val="en-US" w:eastAsia="en-US"/>
              </w:rPr>
              <w:t>29</w:t>
            </w:r>
          </w:p>
        </w:tc>
      </w:tr>
      <w:tr w:rsidR="002B302F" w:rsidRPr="00CD1426" w14:paraId="1ED43F79" w14:textId="77777777" w:rsidTr="00DF49D3">
        <w:trPr>
          <w:trHeight w:val="300"/>
        </w:trPr>
        <w:tc>
          <w:tcPr>
            <w:tcW w:w="3534" w:type="dxa"/>
            <w:tcBorders>
              <w:top w:val="nil"/>
              <w:left w:val="nil"/>
              <w:bottom w:val="nil"/>
              <w:right w:val="nil"/>
            </w:tcBorders>
            <w:shd w:val="clear" w:color="auto" w:fill="auto"/>
            <w:noWrap/>
            <w:vAlign w:val="bottom"/>
          </w:tcPr>
          <w:p w14:paraId="51EBF5E6" w14:textId="77777777" w:rsidR="002B302F" w:rsidRPr="00CD1426" w:rsidRDefault="002B302F" w:rsidP="00CD1426">
            <w:pPr>
              <w:spacing w:line="360" w:lineRule="auto"/>
              <w:jc w:val="both"/>
              <w:rPr>
                <w:rFonts w:ascii="Book Antiqua" w:hAnsi="Book Antiqua" w:cs="Arial"/>
                <w:lang w:val="en-US" w:eastAsia="en-US"/>
              </w:rPr>
            </w:pPr>
            <w:r w:rsidRPr="00CD1426">
              <w:rPr>
                <w:rFonts w:ascii="Book Antiqua" w:hAnsi="Book Antiqua" w:cs="Arial"/>
                <w:lang w:val="en-US" w:eastAsia="en-US"/>
              </w:rPr>
              <w:t>Mild-moderate fibrosis</w:t>
            </w:r>
          </w:p>
        </w:tc>
        <w:tc>
          <w:tcPr>
            <w:tcW w:w="910" w:type="dxa"/>
            <w:tcBorders>
              <w:top w:val="nil"/>
              <w:left w:val="nil"/>
              <w:bottom w:val="nil"/>
              <w:right w:val="nil"/>
            </w:tcBorders>
            <w:shd w:val="clear" w:color="auto" w:fill="auto"/>
            <w:noWrap/>
            <w:vAlign w:val="bottom"/>
          </w:tcPr>
          <w:p w14:paraId="64455B3C" w14:textId="26466E64" w:rsidR="002B302F" w:rsidRPr="00CD1426" w:rsidRDefault="00F50DCF" w:rsidP="00CD1426">
            <w:pPr>
              <w:spacing w:line="360" w:lineRule="auto"/>
              <w:jc w:val="both"/>
              <w:rPr>
                <w:rFonts w:ascii="Book Antiqua" w:hAnsi="Book Antiqua" w:cs="Arial"/>
                <w:lang w:val="en-US" w:eastAsia="zh-CN"/>
              </w:rPr>
            </w:pPr>
            <w:r w:rsidRPr="00CD1426">
              <w:rPr>
                <w:rFonts w:ascii="Book Antiqua" w:hAnsi="Book Antiqua" w:cs="Arial"/>
                <w:lang w:val="en-US" w:eastAsia="en-US"/>
              </w:rPr>
              <w:t>23</w:t>
            </w:r>
          </w:p>
        </w:tc>
        <w:tc>
          <w:tcPr>
            <w:tcW w:w="1522" w:type="dxa"/>
            <w:tcBorders>
              <w:top w:val="nil"/>
              <w:left w:val="nil"/>
              <w:bottom w:val="nil"/>
              <w:right w:val="nil"/>
            </w:tcBorders>
            <w:shd w:val="clear" w:color="auto" w:fill="auto"/>
            <w:noWrap/>
            <w:vAlign w:val="bottom"/>
          </w:tcPr>
          <w:p w14:paraId="53C9EF1A" w14:textId="68A4878D" w:rsidR="002B302F" w:rsidRPr="00CD1426" w:rsidRDefault="002B302F" w:rsidP="00CD1426">
            <w:pPr>
              <w:spacing w:line="360" w:lineRule="auto"/>
              <w:jc w:val="both"/>
              <w:rPr>
                <w:rFonts w:ascii="Book Antiqua" w:hAnsi="Book Antiqua" w:cs="Arial"/>
                <w:lang w:val="en-US" w:eastAsia="zh-CN"/>
              </w:rPr>
            </w:pPr>
            <w:r w:rsidRPr="00CD1426">
              <w:rPr>
                <w:rFonts w:ascii="Book Antiqua" w:hAnsi="Book Antiqua" w:cs="Arial"/>
                <w:lang w:val="en-US" w:eastAsia="en-US"/>
              </w:rPr>
              <w:t>63</w:t>
            </w:r>
          </w:p>
        </w:tc>
        <w:tc>
          <w:tcPr>
            <w:tcW w:w="1656" w:type="dxa"/>
            <w:tcBorders>
              <w:top w:val="nil"/>
              <w:left w:val="nil"/>
              <w:bottom w:val="nil"/>
              <w:right w:val="nil"/>
            </w:tcBorders>
            <w:shd w:val="clear" w:color="auto" w:fill="auto"/>
            <w:noWrap/>
            <w:vAlign w:val="bottom"/>
          </w:tcPr>
          <w:p w14:paraId="04E69E47" w14:textId="7E274139" w:rsidR="002B302F" w:rsidRPr="00CD1426" w:rsidRDefault="00F50DCF" w:rsidP="00CD1426">
            <w:pPr>
              <w:spacing w:line="360" w:lineRule="auto"/>
              <w:jc w:val="both"/>
              <w:rPr>
                <w:rFonts w:ascii="Book Antiqua" w:hAnsi="Book Antiqua" w:cs="Arial"/>
                <w:lang w:val="en-US" w:eastAsia="zh-CN"/>
              </w:rPr>
            </w:pPr>
            <w:r w:rsidRPr="00CD1426">
              <w:rPr>
                <w:rFonts w:ascii="Book Antiqua" w:hAnsi="Book Antiqua" w:cs="Arial"/>
                <w:lang w:val="en-US" w:eastAsia="en-US"/>
              </w:rPr>
              <w:t>68</w:t>
            </w:r>
          </w:p>
        </w:tc>
        <w:tc>
          <w:tcPr>
            <w:tcW w:w="910" w:type="dxa"/>
            <w:tcBorders>
              <w:top w:val="nil"/>
              <w:left w:val="nil"/>
              <w:bottom w:val="nil"/>
              <w:right w:val="nil"/>
            </w:tcBorders>
            <w:shd w:val="clear" w:color="auto" w:fill="auto"/>
            <w:noWrap/>
            <w:vAlign w:val="bottom"/>
          </w:tcPr>
          <w:p w14:paraId="1E52B780" w14:textId="2B3FC93F" w:rsidR="002B302F" w:rsidRPr="00CD1426" w:rsidRDefault="00F50DCF" w:rsidP="00CD1426">
            <w:pPr>
              <w:spacing w:line="360" w:lineRule="auto"/>
              <w:jc w:val="both"/>
              <w:rPr>
                <w:rFonts w:ascii="Book Antiqua" w:hAnsi="Book Antiqua" w:cs="Arial"/>
                <w:lang w:val="en-US" w:eastAsia="zh-CN"/>
              </w:rPr>
            </w:pPr>
            <w:r w:rsidRPr="00CD1426">
              <w:rPr>
                <w:rFonts w:ascii="Book Antiqua" w:hAnsi="Book Antiqua" w:cs="Arial"/>
                <w:lang w:val="en-US" w:eastAsia="en-US"/>
              </w:rPr>
              <w:t>16</w:t>
            </w:r>
          </w:p>
        </w:tc>
        <w:tc>
          <w:tcPr>
            <w:tcW w:w="1503" w:type="dxa"/>
            <w:tcBorders>
              <w:top w:val="nil"/>
              <w:left w:val="nil"/>
              <w:bottom w:val="nil"/>
              <w:right w:val="nil"/>
            </w:tcBorders>
            <w:shd w:val="clear" w:color="auto" w:fill="auto"/>
            <w:noWrap/>
            <w:vAlign w:val="bottom"/>
          </w:tcPr>
          <w:p w14:paraId="66567BB2" w14:textId="6D43F7E9" w:rsidR="002B302F" w:rsidRPr="00CD1426" w:rsidRDefault="00F50DCF" w:rsidP="00CD1426">
            <w:pPr>
              <w:spacing w:line="360" w:lineRule="auto"/>
              <w:jc w:val="both"/>
              <w:rPr>
                <w:rFonts w:ascii="Book Antiqua" w:hAnsi="Book Antiqua" w:cs="Arial"/>
                <w:lang w:val="en-US" w:eastAsia="zh-CN"/>
              </w:rPr>
            </w:pPr>
            <w:r w:rsidRPr="00CD1426">
              <w:rPr>
                <w:rFonts w:ascii="Book Antiqua" w:hAnsi="Book Antiqua" w:cs="Arial"/>
                <w:lang w:val="en-US" w:eastAsia="en-US"/>
              </w:rPr>
              <w:t>76</w:t>
            </w:r>
          </w:p>
        </w:tc>
      </w:tr>
      <w:tr w:rsidR="002B302F" w:rsidRPr="00CD1426" w14:paraId="49CC870A" w14:textId="77777777" w:rsidTr="00DF49D3">
        <w:trPr>
          <w:trHeight w:val="300"/>
        </w:trPr>
        <w:tc>
          <w:tcPr>
            <w:tcW w:w="3534" w:type="dxa"/>
            <w:tcBorders>
              <w:top w:val="nil"/>
              <w:left w:val="nil"/>
              <w:bottom w:val="nil"/>
              <w:right w:val="nil"/>
            </w:tcBorders>
            <w:shd w:val="clear" w:color="auto" w:fill="auto"/>
            <w:noWrap/>
            <w:vAlign w:val="bottom"/>
          </w:tcPr>
          <w:p w14:paraId="4F93B656" w14:textId="77777777" w:rsidR="002B302F" w:rsidRPr="00CD1426" w:rsidRDefault="002B302F" w:rsidP="00CD1426">
            <w:pPr>
              <w:spacing w:line="360" w:lineRule="auto"/>
              <w:jc w:val="both"/>
              <w:rPr>
                <w:rFonts w:ascii="Book Antiqua" w:hAnsi="Book Antiqua" w:cs="Arial"/>
                <w:lang w:val="en-US" w:eastAsia="en-US"/>
              </w:rPr>
            </w:pPr>
            <w:r w:rsidRPr="00CD1426">
              <w:rPr>
                <w:rFonts w:ascii="Book Antiqua" w:hAnsi="Book Antiqua" w:cs="Arial"/>
                <w:lang w:val="en-US" w:eastAsia="en-US"/>
              </w:rPr>
              <w:t>Advanced fibrosis</w:t>
            </w:r>
          </w:p>
        </w:tc>
        <w:tc>
          <w:tcPr>
            <w:tcW w:w="910" w:type="dxa"/>
            <w:tcBorders>
              <w:top w:val="nil"/>
              <w:left w:val="nil"/>
              <w:bottom w:val="nil"/>
              <w:right w:val="nil"/>
            </w:tcBorders>
            <w:shd w:val="clear" w:color="auto" w:fill="auto"/>
            <w:noWrap/>
            <w:vAlign w:val="bottom"/>
          </w:tcPr>
          <w:p w14:paraId="70C6CF9D" w14:textId="2A4BB908" w:rsidR="002B302F" w:rsidRPr="00CD1426" w:rsidRDefault="00F50DCF" w:rsidP="00CD1426">
            <w:pPr>
              <w:spacing w:line="360" w:lineRule="auto"/>
              <w:jc w:val="both"/>
              <w:rPr>
                <w:rFonts w:ascii="Book Antiqua" w:hAnsi="Book Antiqua" w:cs="Arial"/>
                <w:lang w:val="en-US" w:eastAsia="zh-CN"/>
              </w:rPr>
            </w:pPr>
            <w:r w:rsidRPr="00CD1426">
              <w:rPr>
                <w:rFonts w:ascii="Book Antiqua" w:hAnsi="Book Antiqua" w:cs="Arial"/>
                <w:lang w:val="en-US" w:eastAsia="en-US"/>
              </w:rPr>
              <w:t>13</w:t>
            </w:r>
          </w:p>
        </w:tc>
        <w:tc>
          <w:tcPr>
            <w:tcW w:w="1522" w:type="dxa"/>
            <w:tcBorders>
              <w:top w:val="nil"/>
              <w:left w:val="nil"/>
              <w:bottom w:val="nil"/>
              <w:right w:val="nil"/>
            </w:tcBorders>
            <w:shd w:val="clear" w:color="auto" w:fill="auto"/>
            <w:noWrap/>
            <w:vAlign w:val="bottom"/>
          </w:tcPr>
          <w:p w14:paraId="1617BA17" w14:textId="5CEC9530" w:rsidR="002B302F" w:rsidRPr="00CD1426" w:rsidRDefault="00F50DCF" w:rsidP="00CD1426">
            <w:pPr>
              <w:spacing w:line="360" w:lineRule="auto"/>
              <w:jc w:val="both"/>
              <w:rPr>
                <w:rFonts w:ascii="Book Antiqua" w:hAnsi="Book Antiqua" w:cs="Arial"/>
                <w:lang w:val="en-US" w:eastAsia="zh-CN"/>
              </w:rPr>
            </w:pPr>
            <w:r w:rsidRPr="00CD1426">
              <w:rPr>
                <w:rFonts w:ascii="Book Antiqua" w:hAnsi="Book Antiqua" w:cs="Arial"/>
                <w:lang w:val="en-US" w:eastAsia="en-US"/>
              </w:rPr>
              <w:t>44</w:t>
            </w:r>
          </w:p>
        </w:tc>
        <w:tc>
          <w:tcPr>
            <w:tcW w:w="1656" w:type="dxa"/>
            <w:tcBorders>
              <w:top w:val="nil"/>
              <w:left w:val="nil"/>
              <w:bottom w:val="nil"/>
              <w:right w:val="nil"/>
            </w:tcBorders>
            <w:shd w:val="clear" w:color="auto" w:fill="auto"/>
            <w:noWrap/>
            <w:vAlign w:val="bottom"/>
          </w:tcPr>
          <w:p w14:paraId="274AC82B" w14:textId="28E10354" w:rsidR="002B302F" w:rsidRPr="00CD1426" w:rsidRDefault="00F50DCF" w:rsidP="00CD1426">
            <w:pPr>
              <w:spacing w:line="360" w:lineRule="auto"/>
              <w:jc w:val="both"/>
              <w:rPr>
                <w:rFonts w:ascii="Book Antiqua" w:hAnsi="Book Antiqua" w:cs="Arial"/>
                <w:lang w:val="en-US" w:eastAsia="zh-CN"/>
              </w:rPr>
            </w:pPr>
            <w:r w:rsidRPr="00CD1426">
              <w:rPr>
                <w:rFonts w:ascii="Book Antiqua" w:hAnsi="Book Antiqua" w:cs="Arial"/>
                <w:lang w:val="en-US" w:eastAsia="en-US"/>
              </w:rPr>
              <w:t>68</w:t>
            </w:r>
          </w:p>
        </w:tc>
        <w:tc>
          <w:tcPr>
            <w:tcW w:w="910" w:type="dxa"/>
            <w:tcBorders>
              <w:top w:val="nil"/>
              <w:left w:val="nil"/>
              <w:bottom w:val="nil"/>
              <w:right w:val="nil"/>
            </w:tcBorders>
            <w:shd w:val="clear" w:color="auto" w:fill="auto"/>
            <w:noWrap/>
            <w:vAlign w:val="bottom"/>
          </w:tcPr>
          <w:p w14:paraId="7AEDDBDB" w14:textId="41AC674A" w:rsidR="002B302F" w:rsidRPr="00CD1426" w:rsidRDefault="00F50DCF" w:rsidP="00CD1426">
            <w:pPr>
              <w:spacing w:line="360" w:lineRule="auto"/>
              <w:jc w:val="both"/>
              <w:rPr>
                <w:rFonts w:ascii="Book Antiqua" w:hAnsi="Book Antiqua" w:cs="Arial"/>
                <w:lang w:val="en-US" w:eastAsia="zh-CN"/>
              </w:rPr>
            </w:pPr>
            <w:r w:rsidRPr="00CD1426">
              <w:rPr>
                <w:rFonts w:ascii="Book Antiqua" w:hAnsi="Book Antiqua" w:cs="Arial"/>
                <w:lang w:val="en-US" w:eastAsia="en-US"/>
              </w:rPr>
              <w:t>11</w:t>
            </w:r>
          </w:p>
        </w:tc>
        <w:tc>
          <w:tcPr>
            <w:tcW w:w="1503" w:type="dxa"/>
            <w:tcBorders>
              <w:top w:val="nil"/>
              <w:left w:val="nil"/>
              <w:bottom w:val="nil"/>
              <w:right w:val="nil"/>
            </w:tcBorders>
            <w:shd w:val="clear" w:color="auto" w:fill="auto"/>
            <w:noWrap/>
            <w:vAlign w:val="bottom"/>
          </w:tcPr>
          <w:p w14:paraId="12185048" w14:textId="444CBC18" w:rsidR="002B302F" w:rsidRPr="00CD1426" w:rsidRDefault="00F50DCF" w:rsidP="00CD1426">
            <w:pPr>
              <w:spacing w:line="360" w:lineRule="auto"/>
              <w:jc w:val="both"/>
              <w:rPr>
                <w:rFonts w:ascii="Book Antiqua" w:hAnsi="Book Antiqua" w:cs="Arial"/>
                <w:lang w:val="en-US" w:eastAsia="zh-CN"/>
              </w:rPr>
            </w:pPr>
            <w:r w:rsidRPr="00CD1426">
              <w:rPr>
                <w:rFonts w:ascii="Book Antiqua" w:hAnsi="Book Antiqua" w:cs="Arial"/>
                <w:lang w:val="en-US" w:eastAsia="en-US"/>
              </w:rPr>
              <w:t>49</w:t>
            </w:r>
          </w:p>
        </w:tc>
      </w:tr>
      <w:tr w:rsidR="002B302F" w:rsidRPr="00CD1426" w14:paraId="7D095875" w14:textId="77777777" w:rsidTr="00DF49D3">
        <w:trPr>
          <w:trHeight w:val="300"/>
        </w:trPr>
        <w:tc>
          <w:tcPr>
            <w:tcW w:w="3534" w:type="dxa"/>
            <w:tcBorders>
              <w:top w:val="nil"/>
              <w:left w:val="nil"/>
              <w:bottom w:val="nil"/>
              <w:right w:val="nil"/>
            </w:tcBorders>
            <w:shd w:val="clear" w:color="auto" w:fill="auto"/>
            <w:noWrap/>
            <w:vAlign w:val="bottom"/>
          </w:tcPr>
          <w:p w14:paraId="46655CE7" w14:textId="77777777" w:rsidR="002B302F" w:rsidRPr="00CD1426" w:rsidRDefault="002B302F" w:rsidP="00CD1426">
            <w:pPr>
              <w:spacing w:line="360" w:lineRule="auto"/>
              <w:jc w:val="both"/>
              <w:rPr>
                <w:rFonts w:ascii="Book Antiqua" w:hAnsi="Book Antiqua" w:cs="Arial"/>
                <w:lang w:val="en-US" w:eastAsia="en-US"/>
              </w:rPr>
            </w:pPr>
            <w:r w:rsidRPr="00CD1426">
              <w:rPr>
                <w:rFonts w:ascii="Book Antiqua" w:hAnsi="Book Antiqua" w:cs="Arial"/>
                <w:lang w:val="en-US" w:eastAsia="en-US"/>
              </w:rPr>
              <w:t>Black race</w:t>
            </w:r>
          </w:p>
        </w:tc>
        <w:tc>
          <w:tcPr>
            <w:tcW w:w="910" w:type="dxa"/>
            <w:tcBorders>
              <w:top w:val="nil"/>
              <w:left w:val="nil"/>
              <w:bottom w:val="nil"/>
              <w:right w:val="nil"/>
            </w:tcBorders>
            <w:shd w:val="clear" w:color="auto" w:fill="auto"/>
            <w:noWrap/>
            <w:vAlign w:val="bottom"/>
          </w:tcPr>
          <w:p w14:paraId="39A9F4B1" w14:textId="50274007" w:rsidR="002B302F" w:rsidRPr="00CD1426" w:rsidRDefault="00F50DCF" w:rsidP="00CD1426">
            <w:pPr>
              <w:spacing w:line="360" w:lineRule="auto"/>
              <w:jc w:val="both"/>
              <w:rPr>
                <w:rFonts w:ascii="Book Antiqua" w:hAnsi="Book Antiqua" w:cs="Arial"/>
                <w:lang w:val="en-US" w:eastAsia="zh-CN"/>
              </w:rPr>
            </w:pPr>
            <w:r w:rsidRPr="00CD1426">
              <w:rPr>
                <w:rFonts w:ascii="Book Antiqua" w:hAnsi="Book Antiqua" w:cs="Arial"/>
                <w:lang w:val="en-US" w:eastAsia="en-US"/>
              </w:rPr>
              <w:t>8</w:t>
            </w:r>
          </w:p>
        </w:tc>
        <w:tc>
          <w:tcPr>
            <w:tcW w:w="1522" w:type="dxa"/>
            <w:tcBorders>
              <w:top w:val="nil"/>
              <w:left w:val="nil"/>
              <w:bottom w:val="nil"/>
              <w:right w:val="nil"/>
            </w:tcBorders>
            <w:shd w:val="clear" w:color="auto" w:fill="auto"/>
            <w:noWrap/>
            <w:vAlign w:val="bottom"/>
          </w:tcPr>
          <w:p w14:paraId="481CFDEC" w14:textId="385E5376" w:rsidR="002B302F" w:rsidRPr="00CD1426" w:rsidRDefault="00F50DCF" w:rsidP="00CD1426">
            <w:pPr>
              <w:spacing w:line="360" w:lineRule="auto"/>
              <w:jc w:val="both"/>
              <w:rPr>
                <w:rFonts w:ascii="Book Antiqua" w:hAnsi="Book Antiqua" w:cs="Arial"/>
                <w:lang w:val="en-US" w:eastAsia="zh-CN"/>
              </w:rPr>
            </w:pPr>
            <w:r w:rsidRPr="00CD1426">
              <w:rPr>
                <w:rFonts w:ascii="Book Antiqua" w:hAnsi="Book Antiqua" w:cs="Arial"/>
                <w:lang w:val="en-US" w:eastAsia="en-US"/>
              </w:rPr>
              <w:t>61</w:t>
            </w:r>
          </w:p>
        </w:tc>
        <w:tc>
          <w:tcPr>
            <w:tcW w:w="1656" w:type="dxa"/>
            <w:tcBorders>
              <w:top w:val="nil"/>
              <w:left w:val="nil"/>
              <w:bottom w:val="nil"/>
              <w:right w:val="nil"/>
            </w:tcBorders>
            <w:shd w:val="clear" w:color="auto" w:fill="auto"/>
            <w:noWrap/>
            <w:vAlign w:val="bottom"/>
          </w:tcPr>
          <w:p w14:paraId="1B46157D" w14:textId="44C5815D" w:rsidR="002B302F" w:rsidRPr="00CD1426" w:rsidRDefault="00F50DCF" w:rsidP="00CD1426">
            <w:pPr>
              <w:spacing w:line="360" w:lineRule="auto"/>
              <w:jc w:val="both"/>
              <w:rPr>
                <w:rFonts w:ascii="Book Antiqua" w:hAnsi="Book Antiqua" w:cs="Arial"/>
                <w:lang w:val="en-US" w:eastAsia="zh-CN"/>
              </w:rPr>
            </w:pPr>
            <w:r w:rsidRPr="00CD1426">
              <w:rPr>
                <w:rFonts w:ascii="Book Antiqua" w:hAnsi="Book Antiqua" w:cs="Arial"/>
                <w:lang w:val="en-US" w:eastAsia="en-US"/>
              </w:rPr>
              <w:t>63</w:t>
            </w:r>
          </w:p>
        </w:tc>
        <w:tc>
          <w:tcPr>
            <w:tcW w:w="910" w:type="dxa"/>
            <w:tcBorders>
              <w:top w:val="nil"/>
              <w:left w:val="nil"/>
              <w:bottom w:val="nil"/>
              <w:right w:val="nil"/>
            </w:tcBorders>
            <w:shd w:val="clear" w:color="auto" w:fill="auto"/>
            <w:noWrap/>
            <w:vAlign w:val="bottom"/>
          </w:tcPr>
          <w:p w14:paraId="6AB30C36" w14:textId="32753349" w:rsidR="002B302F" w:rsidRPr="00CD1426" w:rsidRDefault="00F50DCF" w:rsidP="00CD1426">
            <w:pPr>
              <w:spacing w:line="360" w:lineRule="auto"/>
              <w:jc w:val="both"/>
              <w:rPr>
                <w:rFonts w:ascii="Book Antiqua" w:hAnsi="Book Antiqua" w:cs="Arial"/>
                <w:lang w:val="en-US" w:eastAsia="zh-CN"/>
              </w:rPr>
            </w:pPr>
            <w:r w:rsidRPr="00CD1426">
              <w:rPr>
                <w:rFonts w:ascii="Book Antiqua" w:hAnsi="Book Antiqua" w:cs="Arial"/>
                <w:lang w:val="en-US" w:eastAsia="en-US"/>
              </w:rPr>
              <w:t>10</w:t>
            </w:r>
          </w:p>
        </w:tc>
        <w:tc>
          <w:tcPr>
            <w:tcW w:w="1503" w:type="dxa"/>
            <w:tcBorders>
              <w:top w:val="nil"/>
              <w:left w:val="nil"/>
              <w:bottom w:val="nil"/>
              <w:right w:val="nil"/>
            </w:tcBorders>
            <w:shd w:val="clear" w:color="auto" w:fill="auto"/>
            <w:noWrap/>
            <w:vAlign w:val="bottom"/>
          </w:tcPr>
          <w:p w14:paraId="71E86F79" w14:textId="56BEE1F6" w:rsidR="002B302F" w:rsidRPr="00CD1426" w:rsidRDefault="00F50DCF" w:rsidP="00CD1426">
            <w:pPr>
              <w:spacing w:line="360" w:lineRule="auto"/>
              <w:jc w:val="both"/>
              <w:rPr>
                <w:rFonts w:ascii="Book Antiqua" w:hAnsi="Book Antiqua" w:cs="Arial"/>
                <w:lang w:val="en-US" w:eastAsia="zh-CN"/>
              </w:rPr>
            </w:pPr>
            <w:r w:rsidRPr="00CD1426">
              <w:rPr>
                <w:rFonts w:ascii="Book Antiqua" w:hAnsi="Book Antiqua" w:cs="Arial"/>
                <w:lang w:val="en-US" w:eastAsia="en-US"/>
              </w:rPr>
              <w:t>55</w:t>
            </w:r>
          </w:p>
        </w:tc>
      </w:tr>
      <w:tr w:rsidR="002B302F" w:rsidRPr="00CD1426" w14:paraId="4E53BEFF" w14:textId="77777777" w:rsidTr="00DF49D3">
        <w:trPr>
          <w:trHeight w:val="300"/>
        </w:trPr>
        <w:tc>
          <w:tcPr>
            <w:tcW w:w="5966" w:type="dxa"/>
            <w:gridSpan w:val="3"/>
            <w:tcBorders>
              <w:top w:val="nil"/>
              <w:left w:val="nil"/>
              <w:bottom w:val="nil"/>
              <w:right w:val="nil"/>
            </w:tcBorders>
            <w:shd w:val="clear" w:color="auto" w:fill="auto"/>
            <w:noWrap/>
            <w:vAlign w:val="bottom"/>
          </w:tcPr>
          <w:p w14:paraId="6A938919" w14:textId="77777777" w:rsidR="002B302F" w:rsidRPr="00CD1426" w:rsidRDefault="002B302F" w:rsidP="00CD1426">
            <w:pPr>
              <w:spacing w:line="360" w:lineRule="auto"/>
              <w:jc w:val="both"/>
              <w:rPr>
                <w:rFonts w:ascii="Book Antiqua" w:hAnsi="Book Antiqua" w:cs="Arial"/>
                <w:lang w:val="en-US" w:eastAsia="en-US"/>
              </w:rPr>
            </w:pPr>
            <w:r w:rsidRPr="00CD1426">
              <w:rPr>
                <w:rFonts w:ascii="Book Antiqua" w:hAnsi="Book Antiqua" w:cs="Arial"/>
                <w:lang w:val="en-US" w:eastAsia="en-US"/>
              </w:rPr>
              <w:t>HCVRNA viral load &gt; 800.000 IU/mL (baseline)</w:t>
            </w:r>
          </w:p>
        </w:tc>
        <w:tc>
          <w:tcPr>
            <w:tcW w:w="1656" w:type="dxa"/>
            <w:tcBorders>
              <w:top w:val="nil"/>
              <w:left w:val="nil"/>
              <w:bottom w:val="nil"/>
              <w:right w:val="nil"/>
            </w:tcBorders>
            <w:shd w:val="clear" w:color="auto" w:fill="auto"/>
            <w:noWrap/>
            <w:vAlign w:val="bottom"/>
          </w:tcPr>
          <w:p w14:paraId="38FF6304" w14:textId="77777777" w:rsidR="002B302F" w:rsidRPr="00CD1426" w:rsidRDefault="002B302F" w:rsidP="00CD1426">
            <w:pPr>
              <w:spacing w:line="360" w:lineRule="auto"/>
              <w:jc w:val="both"/>
              <w:rPr>
                <w:rFonts w:ascii="Book Antiqua" w:hAnsi="Book Antiqua" w:cs="Arial"/>
                <w:lang w:val="en-US" w:eastAsia="en-US"/>
              </w:rPr>
            </w:pPr>
          </w:p>
        </w:tc>
        <w:tc>
          <w:tcPr>
            <w:tcW w:w="910" w:type="dxa"/>
            <w:tcBorders>
              <w:top w:val="nil"/>
              <w:left w:val="nil"/>
              <w:bottom w:val="nil"/>
              <w:right w:val="nil"/>
            </w:tcBorders>
            <w:shd w:val="clear" w:color="auto" w:fill="auto"/>
            <w:noWrap/>
            <w:vAlign w:val="bottom"/>
          </w:tcPr>
          <w:p w14:paraId="38866F9D" w14:textId="77777777" w:rsidR="002B302F" w:rsidRPr="00CD1426" w:rsidRDefault="002B302F" w:rsidP="00CD1426">
            <w:pPr>
              <w:spacing w:line="360" w:lineRule="auto"/>
              <w:jc w:val="both"/>
              <w:rPr>
                <w:rFonts w:ascii="Book Antiqua" w:hAnsi="Book Antiqua" w:cs="Arial"/>
                <w:lang w:val="en-US" w:eastAsia="en-US"/>
              </w:rPr>
            </w:pPr>
          </w:p>
        </w:tc>
        <w:tc>
          <w:tcPr>
            <w:tcW w:w="1503" w:type="dxa"/>
            <w:tcBorders>
              <w:top w:val="nil"/>
              <w:left w:val="nil"/>
              <w:bottom w:val="nil"/>
              <w:right w:val="nil"/>
            </w:tcBorders>
            <w:shd w:val="clear" w:color="auto" w:fill="auto"/>
            <w:noWrap/>
            <w:vAlign w:val="bottom"/>
          </w:tcPr>
          <w:p w14:paraId="1874A7BD" w14:textId="77777777" w:rsidR="002B302F" w:rsidRPr="00CD1426" w:rsidRDefault="002B302F" w:rsidP="00CD1426">
            <w:pPr>
              <w:spacing w:line="360" w:lineRule="auto"/>
              <w:jc w:val="both"/>
              <w:rPr>
                <w:rFonts w:ascii="Book Antiqua" w:hAnsi="Book Antiqua" w:cs="Arial"/>
                <w:lang w:val="en-US" w:eastAsia="en-US"/>
              </w:rPr>
            </w:pPr>
          </w:p>
        </w:tc>
      </w:tr>
      <w:tr w:rsidR="002B302F" w:rsidRPr="00CD1426" w14:paraId="128D27CB" w14:textId="77777777" w:rsidTr="00DF49D3">
        <w:trPr>
          <w:trHeight w:val="300"/>
        </w:trPr>
        <w:tc>
          <w:tcPr>
            <w:tcW w:w="3534" w:type="dxa"/>
            <w:tcBorders>
              <w:top w:val="nil"/>
              <w:left w:val="nil"/>
              <w:bottom w:val="nil"/>
              <w:right w:val="nil"/>
            </w:tcBorders>
            <w:shd w:val="clear" w:color="auto" w:fill="auto"/>
            <w:noWrap/>
            <w:vAlign w:val="bottom"/>
          </w:tcPr>
          <w:p w14:paraId="7DD32575" w14:textId="77777777" w:rsidR="002B302F" w:rsidRPr="00CD1426" w:rsidRDefault="002B302F" w:rsidP="00CD1426">
            <w:pPr>
              <w:spacing w:line="360" w:lineRule="auto"/>
              <w:jc w:val="both"/>
              <w:rPr>
                <w:rFonts w:ascii="Book Antiqua" w:hAnsi="Book Antiqua" w:cs="Arial"/>
                <w:lang w:val="en-US" w:eastAsia="en-US"/>
              </w:rPr>
            </w:pPr>
            <w:r w:rsidRPr="00CD1426">
              <w:rPr>
                <w:rFonts w:ascii="Book Antiqua" w:hAnsi="Book Antiqua" w:cs="Arial"/>
                <w:lang w:val="en-US" w:eastAsia="en-US"/>
              </w:rPr>
              <w:t>IL28B C/C</w:t>
            </w:r>
          </w:p>
        </w:tc>
        <w:tc>
          <w:tcPr>
            <w:tcW w:w="910" w:type="dxa"/>
            <w:tcBorders>
              <w:top w:val="nil"/>
              <w:left w:val="nil"/>
              <w:bottom w:val="nil"/>
              <w:right w:val="nil"/>
            </w:tcBorders>
            <w:shd w:val="clear" w:color="auto" w:fill="auto"/>
            <w:noWrap/>
            <w:vAlign w:val="bottom"/>
          </w:tcPr>
          <w:p w14:paraId="2850FE21" w14:textId="339069A4" w:rsidR="002B302F" w:rsidRPr="00CD1426" w:rsidRDefault="00F50DCF" w:rsidP="00CD1426">
            <w:pPr>
              <w:spacing w:line="360" w:lineRule="auto"/>
              <w:jc w:val="both"/>
              <w:rPr>
                <w:rFonts w:ascii="Book Antiqua" w:hAnsi="Book Antiqua" w:cs="Arial"/>
                <w:lang w:val="en-US" w:eastAsia="zh-CN"/>
              </w:rPr>
            </w:pPr>
            <w:r w:rsidRPr="00CD1426">
              <w:rPr>
                <w:rFonts w:ascii="Book Antiqua" w:hAnsi="Book Antiqua" w:cs="Arial"/>
                <w:lang w:val="en-US" w:eastAsia="en-US"/>
              </w:rPr>
              <w:t>46</w:t>
            </w:r>
          </w:p>
        </w:tc>
        <w:tc>
          <w:tcPr>
            <w:tcW w:w="1522" w:type="dxa"/>
            <w:tcBorders>
              <w:top w:val="nil"/>
              <w:left w:val="nil"/>
              <w:bottom w:val="nil"/>
              <w:right w:val="nil"/>
            </w:tcBorders>
            <w:shd w:val="clear" w:color="auto" w:fill="auto"/>
            <w:noWrap/>
            <w:vAlign w:val="bottom"/>
          </w:tcPr>
          <w:p w14:paraId="4631FEF2" w14:textId="17C78D55" w:rsidR="002B302F" w:rsidRPr="00CD1426" w:rsidRDefault="00F50DCF" w:rsidP="00CD1426">
            <w:pPr>
              <w:spacing w:line="360" w:lineRule="auto"/>
              <w:jc w:val="both"/>
              <w:rPr>
                <w:rFonts w:ascii="Book Antiqua" w:hAnsi="Book Antiqua" w:cs="Arial"/>
                <w:lang w:val="en-US" w:eastAsia="zh-CN"/>
              </w:rPr>
            </w:pPr>
            <w:r w:rsidRPr="00CD1426">
              <w:rPr>
                <w:rFonts w:ascii="Book Antiqua" w:hAnsi="Book Antiqua" w:cs="Arial"/>
                <w:lang w:val="en-US" w:eastAsia="en-US"/>
              </w:rPr>
              <w:t>79</w:t>
            </w:r>
          </w:p>
        </w:tc>
        <w:tc>
          <w:tcPr>
            <w:tcW w:w="1656" w:type="dxa"/>
            <w:tcBorders>
              <w:top w:val="nil"/>
              <w:left w:val="nil"/>
              <w:bottom w:val="nil"/>
              <w:right w:val="nil"/>
            </w:tcBorders>
            <w:shd w:val="clear" w:color="auto" w:fill="auto"/>
            <w:noWrap/>
            <w:vAlign w:val="bottom"/>
          </w:tcPr>
          <w:p w14:paraId="070E6448" w14:textId="6E0EFF16" w:rsidR="002B302F" w:rsidRPr="00CD1426" w:rsidRDefault="00F50DCF" w:rsidP="00CD1426">
            <w:pPr>
              <w:spacing w:line="360" w:lineRule="auto"/>
              <w:jc w:val="both"/>
              <w:rPr>
                <w:rFonts w:ascii="Book Antiqua" w:hAnsi="Book Antiqua" w:cs="Arial"/>
                <w:lang w:val="en-US" w:eastAsia="zh-CN"/>
              </w:rPr>
            </w:pPr>
            <w:r w:rsidRPr="00CD1426">
              <w:rPr>
                <w:rFonts w:ascii="Book Antiqua" w:hAnsi="Book Antiqua" w:cs="Arial"/>
                <w:lang w:val="en-US" w:eastAsia="en-US"/>
              </w:rPr>
              <w:t>77</w:t>
            </w:r>
          </w:p>
        </w:tc>
        <w:tc>
          <w:tcPr>
            <w:tcW w:w="910" w:type="dxa"/>
            <w:tcBorders>
              <w:top w:val="nil"/>
              <w:left w:val="nil"/>
              <w:bottom w:val="nil"/>
              <w:right w:val="nil"/>
            </w:tcBorders>
            <w:shd w:val="clear" w:color="auto" w:fill="auto"/>
            <w:noWrap/>
            <w:vAlign w:val="bottom"/>
          </w:tcPr>
          <w:p w14:paraId="4E29D3E1" w14:textId="05822CD2" w:rsidR="002B302F" w:rsidRPr="00CD1426" w:rsidRDefault="00F50DCF" w:rsidP="00CD1426">
            <w:pPr>
              <w:spacing w:line="360" w:lineRule="auto"/>
              <w:jc w:val="both"/>
              <w:rPr>
                <w:rFonts w:ascii="Book Antiqua" w:hAnsi="Book Antiqua" w:cs="Arial"/>
                <w:lang w:val="en-US" w:eastAsia="zh-CN"/>
              </w:rPr>
            </w:pPr>
            <w:r w:rsidRPr="00CD1426">
              <w:rPr>
                <w:rFonts w:ascii="Book Antiqua" w:hAnsi="Book Antiqua" w:cs="Arial"/>
                <w:lang w:val="en-US" w:eastAsia="en-US"/>
              </w:rPr>
              <w:t>29</w:t>
            </w:r>
          </w:p>
        </w:tc>
        <w:tc>
          <w:tcPr>
            <w:tcW w:w="1503" w:type="dxa"/>
            <w:tcBorders>
              <w:top w:val="nil"/>
              <w:left w:val="nil"/>
              <w:bottom w:val="nil"/>
              <w:right w:val="nil"/>
            </w:tcBorders>
            <w:shd w:val="clear" w:color="auto" w:fill="auto"/>
            <w:noWrap/>
            <w:vAlign w:val="bottom"/>
          </w:tcPr>
          <w:p w14:paraId="35B241A5" w14:textId="202ADA02" w:rsidR="002B302F" w:rsidRPr="00CD1426" w:rsidRDefault="00F50DCF" w:rsidP="00CD1426">
            <w:pPr>
              <w:spacing w:line="360" w:lineRule="auto"/>
              <w:jc w:val="both"/>
              <w:rPr>
                <w:rFonts w:ascii="Book Antiqua" w:hAnsi="Book Antiqua" w:cs="Arial"/>
                <w:lang w:val="en-US" w:eastAsia="zh-CN"/>
              </w:rPr>
            </w:pPr>
            <w:r w:rsidRPr="00CD1426">
              <w:rPr>
                <w:rFonts w:ascii="Book Antiqua" w:hAnsi="Book Antiqua" w:cs="Arial"/>
                <w:lang w:val="en-US" w:eastAsia="en-US"/>
              </w:rPr>
              <w:t>79</w:t>
            </w:r>
          </w:p>
        </w:tc>
      </w:tr>
      <w:tr w:rsidR="002B302F" w:rsidRPr="00CD1426" w14:paraId="2E39D70B" w14:textId="77777777" w:rsidTr="00DF49D3">
        <w:trPr>
          <w:trHeight w:val="300"/>
        </w:trPr>
        <w:tc>
          <w:tcPr>
            <w:tcW w:w="3534" w:type="dxa"/>
            <w:tcBorders>
              <w:top w:val="nil"/>
              <w:left w:val="nil"/>
              <w:bottom w:val="nil"/>
              <w:right w:val="nil"/>
            </w:tcBorders>
            <w:shd w:val="clear" w:color="auto" w:fill="auto"/>
            <w:noWrap/>
            <w:vAlign w:val="bottom"/>
          </w:tcPr>
          <w:p w14:paraId="4C3C49D9" w14:textId="77777777" w:rsidR="002B302F" w:rsidRPr="00CD1426" w:rsidRDefault="002B302F" w:rsidP="00CD1426">
            <w:pPr>
              <w:spacing w:line="360" w:lineRule="auto"/>
              <w:jc w:val="both"/>
              <w:rPr>
                <w:rFonts w:ascii="Book Antiqua" w:hAnsi="Book Antiqua" w:cs="Arial"/>
                <w:lang w:val="en-US" w:eastAsia="en-US"/>
              </w:rPr>
            </w:pPr>
            <w:r w:rsidRPr="00CD1426">
              <w:rPr>
                <w:rFonts w:ascii="Book Antiqua" w:hAnsi="Book Antiqua" w:cs="Arial"/>
                <w:lang w:val="en-US" w:eastAsia="en-US"/>
              </w:rPr>
              <w:lastRenderedPageBreak/>
              <w:t>Il28B C/T</w:t>
            </w:r>
          </w:p>
        </w:tc>
        <w:tc>
          <w:tcPr>
            <w:tcW w:w="910" w:type="dxa"/>
            <w:tcBorders>
              <w:top w:val="nil"/>
              <w:left w:val="nil"/>
              <w:bottom w:val="nil"/>
              <w:right w:val="nil"/>
            </w:tcBorders>
            <w:shd w:val="clear" w:color="auto" w:fill="auto"/>
            <w:noWrap/>
            <w:vAlign w:val="bottom"/>
          </w:tcPr>
          <w:p w14:paraId="3FE9DF07" w14:textId="7463C037" w:rsidR="002B302F" w:rsidRPr="00CD1426" w:rsidRDefault="00F50DCF" w:rsidP="00CD1426">
            <w:pPr>
              <w:spacing w:line="360" w:lineRule="auto"/>
              <w:jc w:val="both"/>
              <w:rPr>
                <w:rFonts w:ascii="Book Antiqua" w:hAnsi="Book Antiqua" w:cs="Arial"/>
                <w:lang w:val="en-US" w:eastAsia="zh-CN"/>
              </w:rPr>
            </w:pPr>
            <w:r w:rsidRPr="00CD1426">
              <w:rPr>
                <w:rFonts w:ascii="Book Antiqua" w:hAnsi="Book Antiqua" w:cs="Arial"/>
                <w:lang w:val="en-US" w:eastAsia="en-US"/>
              </w:rPr>
              <w:t>17</w:t>
            </w:r>
          </w:p>
        </w:tc>
        <w:tc>
          <w:tcPr>
            <w:tcW w:w="1522" w:type="dxa"/>
            <w:tcBorders>
              <w:top w:val="nil"/>
              <w:left w:val="nil"/>
              <w:bottom w:val="nil"/>
              <w:right w:val="nil"/>
            </w:tcBorders>
            <w:shd w:val="clear" w:color="auto" w:fill="auto"/>
            <w:noWrap/>
            <w:vAlign w:val="bottom"/>
          </w:tcPr>
          <w:p w14:paraId="0A1DD72E" w14:textId="4C70A28F" w:rsidR="002B302F" w:rsidRPr="00CD1426" w:rsidRDefault="00F50DCF" w:rsidP="00CD1426">
            <w:pPr>
              <w:spacing w:line="360" w:lineRule="auto"/>
              <w:jc w:val="both"/>
              <w:rPr>
                <w:rFonts w:ascii="Book Antiqua" w:hAnsi="Book Antiqua" w:cs="Arial"/>
                <w:lang w:val="en-US" w:eastAsia="zh-CN"/>
              </w:rPr>
            </w:pPr>
            <w:r w:rsidRPr="00CD1426">
              <w:rPr>
                <w:rFonts w:ascii="Book Antiqua" w:hAnsi="Book Antiqua" w:cs="Arial"/>
                <w:lang w:val="en-US" w:eastAsia="en-US"/>
              </w:rPr>
              <w:t>61</w:t>
            </w:r>
          </w:p>
        </w:tc>
        <w:tc>
          <w:tcPr>
            <w:tcW w:w="1656" w:type="dxa"/>
            <w:tcBorders>
              <w:top w:val="nil"/>
              <w:left w:val="nil"/>
              <w:bottom w:val="nil"/>
              <w:right w:val="nil"/>
            </w:tcBorders>
            <w:shd w:val="clear" w:color="auto" w:fill="auto"/>
            <w:noWrap/>
            <w:vAlign w:val="bottom"/>
          </w:tcPr>
          <w:p w14:paraId="35D4A5B3" w14:textId="17822C3A" w:rsidR="002B302F" w:rsidRPr="00CD1426" w:rsidRDefault="00F50DCF" w:rsidP="00CD1426">
            <w:pPr>
              <w:spacing w:line="360" w:lineRule="auto"/>
              <w:jc w:val="both"/>
              <w:rPr>
                <w:rFonts w:ascii="Book Antiqua" w:hAnsi="Book Antiqua" w:cs="Arial"/>
                <w:lang w:val="en-US" w:eastAsia="zh-CN"/>
              </w:rPr>
            </w:pPr>
            <w:r w:rsidRPr="00CD1426">
              <w:rPr>
                <w:rFonts w:ascii="Book Antiqua" w:hAnsi="Book Antiqua" w:cs="Arial"/>
                <w:lang w:val="en-US" w:eastAsia="en-US"/>
              </w:rPr>
              <w:t>73</w:t>
            </w:r>
          </w:p>
        </w:tc>
        <w:tc>
          <w:tcPr>
            <w:tcW w:w="910" w:type="dxa"/>
            <w:tcBorders>
              <w:top w:val="nil"/>
              <w:left w:val="nil"/>
              <w:bottom w:val="nil"/>
              <w:right w:val="nil"/>
            </w:tcBorders>
            <w:shd w:val="clear" w:color="auto" w:fill="auto"/>
            <w:noWrap/>
            <w:vAlign w:val="bottom"/>
          </w:tcPr>
          <w:p w14:paraId="39E5A164" w14:textId="4A5C7AF8" w:rsidR="002B302F" w:rsidRPr="00CD1426" w:rsidRDefault="00F50DCF" w:rsidP="00CD1426">
            <w:pPr>
              <w:spacing w:line="360" w:lineRule="auto"/>
              <w:jc w:val="both"/>
              <w:rPr>
                <w:rFonts w:ascii="Book Antiqua" w:hAnsi="Book Antiqua" w:cs="Arial"/>
                <w:lang w:val="en-US" w:eastAsia="zh-CN"/>
              </w:rPr>
            </w:pPr>
            <w:r w:rsidRPr="00CD1426">
              <w:rPr>
                <w:rFonts w:ascii="Book Antiqua" w:hAnsi="Book Antiqua" w:cs="Arial"/>
                <w:lang w:val="en-US" w:eastAsia="en-US"/>
              </w:rPr>
              <w:t>16</w:t>
            </w:r>
          </w:p>
        </w:tc>
        <w:tc>
          <w:tcPr>
            <w:tcW w:w="1503" w:type="dxa"/>
            <w:tcBorders>
              <w:top w:val="nil"/>
              <w:left w:val="nil"/>
              <w:bottom w:val="nil"/>
              <w:right w:val="nil"/>
            </w:tcBorders>
            <w:shd w:val="clear" w:color="auto" w:fill="auto"/>
            <w:noWrap/>
            <w:vAlign w:val="bottom"/>
          </w:tcPr>
          <w:p w14:paraId="396D393E" w14:textId="69E2E9DA" w:rsidR="002B302F" w:rsidRPr="00CD1426" w:rsidRDefault="00F50DCF" w:rsidP="00CD1426">
            <w:pPr>
              <w:spacing w:line="360" w:lineRule="auto"/>
              <w:jc w:val="both"/>
              <w:rPr>
                <w:rFonts w:ascii="Book Antiqua" w:hAnsi="Book Antiqua" w:cs="Arial"/>
                <w:lang w:val="en-US" w:eastAsia="zh-CN"/>
              </w:rPr>
            </w:pPr>
            <w:r w:rsidRPr="00CD1426">
              <w:rPr>
                <w:rFonts w:ascii="Book Antiqua" w:hAnsi="Book Antiqua" w:cs="Arial"/>
                <w:lang w:val="en-US" w:eastAsia="en-US"/>
              </w:rPr>
              <w:t>60</w:t>
            </w:r>
          </w:p>
        </w:tc>
      </w:tr>
      <w:tr w:rsidR="002B302F" w:rsidRPr="00CD1426" w14:paraId="0BEAC35D" w14:textId="77777777" w:rsidTr="00DF49D3">
        <w:trPr>
          <w:trHeight w:val="300"/>
        </w:trPr>
        <w:tc>
          <w:tcPr>
            <w:tcW w:w="3534" w:type="dxa"/>
            <w:tcBorders>
              <w:top w:val="nil"/>
              <w:left w:val="nil"/>
              <w:bottom w:val="nil"/>
              <w:right w:val="nil"/>
            </w:tcBorders>
            <w:shd w:val="clear" w:color="auto" w:fill="auto"/>
            <w:noWrap/>
            <w:vAlign w:val="bottom"/>
          </w:tcPr>
          <w:p w14:paraId="7BFB7A76" w14:textId="77777777" w:rsidR="002B302F" w:rsidRPr="00CD1426" w:rsidRDefault="002B302F" w:rsidP="00CD1426">
            <w:pPr>
              <w:spacing w:line="360" w:lineRule="auto"/>
              <w:jc w:val="both"/>
              <w:rPr>
                <w:rFonts w:ascii="Book Antiqua" w:hAnsi="Book Antiqua" w:cs="Arial"/>
                <w:lang w:val="en-US" w:eastAsia="en-US"/>
              </w:rPr>
            </w:pPr>
            <w:r w:rsidRPr="00CD1426">
              <w:rPr>
                <w:rFonts w:ascii="Book Antiqua" w:hAnsi="Book Antiqua" w:cs="Arial"/>
                <w:lang w:val="en-US" w:eastAsia="en-US"/>
              </w:rPr>
              <w:t>IL28B T/T</w:t>
            </w:r>
          </w:p>
        </w:tc>
        <w:tc>
          <w:tcPr>
            <w:tcW w:w="910" w:type="dxa"/>
            <w:tcBorders>
              <w:top w:val="nil"/>
              <w:left w:val="nil"/>
              <w:bottom w:val="nil"/>
              <w:right w:val="nil"/>
            </w:tcBorders>
            <w:shd w:val="clear" w:color="auto" w:fill="auto"/>
            <w:noWrap/>
            <w:vAlign w:val="bottom"/>
          </w:tcPr>
          <w:p w14:paraId="79960D48" w14:textId="5FEEA45F" w:rsidR="002B302F" w:rsidRPr="00CD1426" w:rsidRDefault="00F50DCF" w:rsidP="00CD1426">
            <w:pPr>
              <w:spacing w:line="360" w:lineRule="auto"/>
              <w:jc w:val="both"/>
              <w:rPr>
                <w:rFonts w:ascii="Book Antiqua" w:hAnsi="Book Antiqua" w:cs="Arial"/>
                <w:lang w:val="en-US" w:eastAsia="zh-CN"/>
              </w:rPr>
            </w:pPr>
            <w:r w:rsidRPr="00CD1426">
              <w:rPr>
                <w:rFonts w:ascii="Book Antiqua" w:hAnsi="Book Antiqua" w:cs="Arial"/>
                <w:lang w:val="en-US" w:eastAsia="en-US"/>
              </w:rPr>
              <w:t>50</w:t>
            </w:r>
          </w:p>
        </w:tc>
        <w:tc>
          <w:tcPr>
            <w:tcW w:w="1522" w:type="dxa"/>
            <w:tcBorders>
              <w:top w:val="nil"/>
              <w:left w:val="nil"/>
              <w:bottom w:val="nil"/>
              <w:right w:val="nil"/>
            </w:tcBorders>
            <w:shd w:val="clear" w:color="auto" w:fill="auto"/>
            <w:noWrap/>
            <w:vAlign w:val="bottom"/>
          </w:tcPr>
          <w:p w14:paraId="0C886C49" w14:textId="6908F651" w:rsidR="002B302F" w:rsidRPr="00CD1426" w:rsidRDefault="00F50DCF" w:rsidP="00CD1426">
            <w:pPr>
              <w:spacing w:line="360" w:lineRule="auto"/>
              <w:jc w:val="both"/>
              <w:rPr>
                <w:rFonts w:ascii="Book Antiqua" w:hAnsi="Book Antiqua" w:cs="Arial"/>
                <w:lang w:val="en-US" w:eastAsia="zh-CN"/>
              </w:rPr>
            </w:pPr>
            <w:r w:rsidRPr="00CD1426">
              <w:rPr>
                <w:rFonts w:ascii="Book Antiqua" w:hAnsi="Book Antiqua" w:cs="Arial"/>
                <w:lang w:val="en-US" w:eastAsia="en-US"/>
              </w:rPr>
              <w:t>55</w:t>
            </w:r>
          </w:p>
        </w:tc>
        <w:tc>
          <w:tcPr>
            <w:tcW w:w="1656" w:type="dxa"/>
            <w:tcBorders>
              <w:top w:val="nil"/>
              <w:left w:val="nil"/>
              <w:bottom w:val="nil"/>
              <w:right w:val="nil"/>
            </w:tcBorders>
            <w:shd w:val="clear" w:color="auto" w:fill="auto"/>
            <w:noWrap/>
            <w:vAlign w:val="bottom"/>
          </w:tcPr>
          <w:p w14:paraId="68AEDA00" w14:textId="01E2D2DF" w:rsidR="002B302F" w:rsidRPr="00CD1426" w:rsidRDefault="00F50DCF" w:rsidP="00CD1426">
            <w:pPr>
              <w:spacing w:line="360" w:lineRule="auto"/>
              <w:jc w:val="both"/>
              <w:rPr>
                <w:rFonts w:ascii="Book Antiqua" w:hAnsi="Book Antiqua" w:cs="Arial"/>
                <w:lang w:val="en-US" w:eastAsia="zh-CN"/>
              </w:rPr>
            </w:pPr>
            <w:r w:rsidRPr="00CD1426">
              <w:rPr>
                <w:rFonts w:ascii="Book Antiqua" w:hAnsi="Book Antiqua" w:cs="Arial"/>
                <w:lang w:val="en-US" w:eastAsia="en-US"/>
              </w:rPr>
              <w:t>72</w:t>
            </w:r>
          </w:p>
        </w:tc>
        <w:tc>
          <w:tcPr>
            <w:tcW w:w="910" w:type="dxa"/>
            <w:tcBorders>
              <w:top w:val="nil"/>
              <w:left w:val="nil"/>
              <w:bottom w:val="nil"/>
              <w:right w:val="nil"/>
            </w:tcBorders>
            <w:shd w:val="clear" w:color="auto" w:fill="auto"/>
            <w:noWrap/>
            <w:vAlign w:val="bottom"/>
          </w:tcPr>
          <w:p w14:paraId="16EE15A8" w14:textId="18DA33B9" w:rsidR="002B302F" w:rsidRPr="00CD1426" w:rsidRDefault="00F50DCF" w:rsidP="00CD1426">
            <w:pPr>
              <w:spacing w:line="360" w:lineRule="auto"/>
              <w:jc w:val="both"/>
              <w:rPr>
                <w:rFonts w:ascii="Book Antiqua" w:hAnsi="Book Antiqua" w:cs="Arial"/>
                <w:lang w:val="en-US" w:eastAsia="zh-CN"/>
              </w:rPr>
            </w:pPr>
            <w:r w:rsidRPr="00CD1426">
              <w:rPr>
                <w:rFonts w:ascii="Book Antiqua" w:hAnsi="Book Antiqua" w:cs="Arial"/>
                <w:lang w:val="en-US" w:eastAsia="en-US"/>
              </w:rPr>
              <w:t>13</w:t>
            </w:r>
          </w:p>
        </w:tc>
        <w:tc>
          <w:tcPr>
            <w:tcW w:w="1503" w:type="dxa"/>
            <w:tcBorders>
              <w:top w:val="nil"/>
              <w:left w:val="nil"/>
              <w:bottom w:val="nil"/>
              <w:right w:val="nil"/>
            </w:tcBorders>
            <w:shd w:val="clear" w:color="auto" w:fill="auto"/>
            <w:noWrap/>
            <w:vAlign w:val="bottom"/>
          </w:tcPr>
          <w:p w14:paraId="46C197D6" w14:textId="3D5263A1" w:rsidR="002B302F" w:rsidRPr="00CD1426" w:rsidRDefault="00F50DCF" w:rsidP="00CD1426">
            <w:pPr>
              <w:spacing w:line="360" w:lineRule="auto"/>
              <w:jc w:val="both"/>
              <w:rPr>
                <w:rFonts w:ascii="Book Antiqua" w:hAnsi="Book Antiqua" w:cs="Arial"/>
                <w:lang w:val="en-US" w:eastAsia="zh-CN"/>
              </w:rPr>
            </w:pPr>
            <w:r w:rsidRPr="00CD1426">
              <w:rPr>
                <w:rFonts w:ascii="Book Antiqua" w:hAnsi="Book Antiqua" w:cs="Arial"/>
                <w:lang w:val="en-US" w:eastAsia="en-US"/>
              </w:rPr>
              <w:t>61</w:t>
            </w:r>
          </w:p>
        </w:tc>
      </w:tr>
      <w:tr w:rsidR="002B302F" w:rsidRPr="00CD1426" w14:paraId="53586716" w14:textId="77777777" w:rsidTr="00DF49D3">
        <w:trPr>
          <w:trHeight w:val="300"/>
        </w:trPr>
        <w:tc>
          <w:tcPr>
            <w:tcW w:w="3534" w:type="dxa"/>
            <w:tcBorders>
              <w:top w:val="nil"/>
              <w:left w:val="nil"/>
              <w:bottom w:val="nil"/>
              <w:right w:val="nil"/>
            </w:tcBorders>
            <w:shd w:val="clear" w:color="auto" w:fill="auto"/>
            <w:noWrap/>
            <w:vAlign w:val="bottom"/>
          </w:tcPr>
          <w:p w14:paraId="4855795D" w14:textId="77777777" w:rsidR="002B302F" w:rsidRPr="00CD1426" w:rsidRDefault="002B302F" w:rsidP="00CD1426">
            <w:pPr>
              <w:spacing w:line="360" w:lineRule="auto"/>
              <w:jc w:val="both"/>
              <w:rPr>
                <w:rFonts w:ascii="Book Antiqua" w:hAnsi="Book Antiqua" w:cs="Arial"/>
                <w:lang w:val="en-US" w:eastAsia="en-US"/>
              </w:rPr>
            </w:pPr>
            <w:r w:rsidRPr="00CD1426">
              <w:rPr>
                <w:rFonts w:ascii="Book Antiqua" w:hAnsi="Book Antiqua" w:cs="Arial"/>
                <w:lang w:val="en-US" w:eastAsia="en-US"/>
              </w:rPr>
              <w:t>HCV genotype 1</w:t>
            </w:r>
            <w:r w:rsidRPr="00CD1426">
              <w:rPr>
                <w:rFonts w:ascii="Book Antiqua" w:hAnsi="Book Antiqua" w:cs="Arial"/>
                <w:vertAlign w:val="superscript"/>
                <w:lang w:val="en-US" w:eastAsia="en-US"/>
              </w:rPr>
              <w:t xml:space="preserve"> </w:t>
            </w:r>
            <w:r w:rsidRPr="00CD1426">
              <w:rPr>
                <w:rFonts w:ascii="Book Antiqua" w:hAnsi="Book Antiqua" w:cs="Arial"/>
                <w:lang w:val="en-US" w:eastAsia="en-US"/>
              </w:rPr>
              <w:t>a</w:t>
            </w:r>
          </w:p>
        </w:tc>
        <w:tc>
          <w:tcPr>
            <w:tcW w:w="910" w:type="dxa"/>
            <w:tcBorders>
              <w:top w:val="nil"/>
              <w:left w:val="nil"/>
              <w:bottom w:val="nil"/>
              <w:right w:val="nil"/>
            </w:tcBorders>
            <w:shd w:val="clear" w:color="auto" w:fill="auto"/>
            <w:noWrap/>
            <w:vAlign w:val="bottom"/>
          </w:tcPr>
          <w:p w14:paraId="121DAF91" w14:textId="594B91F9" w:rsidR="002B302F" w:rsidRPr="00CD1426" w:rsidRDefault="00F50DCF" w:rsidP="00CD1426">
            <w:pPr>
              <w:spacing w:line="360" w:lineRule="auto"/>
              <w:jc w:val="both"/>
              <w:rPr>
                <w:rFonts w:ascii="Book Antiqua" w:hAnsi="Book Antiqua" w:cs="Arial"/>
                <w:lang w:val="en-US" w:eastAsia="zh-CN"/>
              </w:rPr>
            </w:pPr>
            <w:r w:rsidRPr="00CD1426">
              <w:rPr>
                <w:rFonts w:ascii="Book Antiqua" w:hAnsi="Book Antiqua" w:cs="Arial"/>
                <w:lang w:val="en-US" w:eastAsia="en-US"/>
              </w:rPr>
              <w:t>24</w:t>
            </w:r>
          </w:p>
        </w:tc>
        <w:tc>
          <w:tcPr>
            <w:tcW w:w="1522" w:type="dxa"/>
            <w:tcBorders>
              <w:top w:val="nil"/>
              <w:left w:val="nil"/>
              <w:bottom w:val="nil"/>
              <w:right w:val="nil"/>
            </w:tcBorders>
            <w:shd w:val="clear" w:color="auto" w:fill="auto"/>
            <w:noWrap/>
            <w:vAlign w:val="bottom"/>
          </w:tcPr>
          <w:p w14:paraId="17E50BCB" w14:textId="1A1D24BB" w:rsidR="002B302F" w:rsidRPr="00CD1426" w:rsidRDefault="00F50DCF" w:rsidP="00CD1426">
            <w:pPr>
              <w:spacing w:line="360" w:lineRule="auto"/>
              <w:jc w:val="both"/>
              <w:rPr>
                <w:rFonts w:ascii="Book Antiqua" w:hAnsi="Book Antiqua" w:cs="Arial"/>
                <w:lang w:val="en-US" w:eastAsia="zh-CN"/>
              </w:rPr>
            </w:pPr>
            <w:r w:rsidRPr="00CD1426">
              <w:rPr>
                <w:rFonts w:ascii="Book Antiqua" w:hAnsi="Book Antiqua" w:cs="Arial"/>
                <w:lang w:val="en-US" w:eastAsia="en-US"/>
              </w:rPr>
              <w:t>5</w:t>
            </w:r>
          </w:p>
        </w:tc>
        <w:tc>
          <w:tcPr>
            <w:tcW w:w="1656" w:type="dxa"/>
            <w:tcBorders>
              <w:top w:val="nil"/>
              <w:left w:val="nil"/>
              <w:bottom w:val="nil"/>
              <w:right w:val="nil"/>
            </w:tcBorders>
            <w:shd w:val="clear" w:color="auto" w:fill="auto"/>
            <w:noWrap/>
            <w:vAlign w:val="bottom"/>
          </w:tcPr>
          <w:p w14:paraId="4902347A" w14:textId="72EB0445" w:rsidR="002B302F" w:rsidRPr="00CD1426" w:rsidRDefault="00F50DCF" w:rsidP="00CD1426">
            <w:pPr>
              <w:spacing w:line="360" w:lineRule="auto"/>
              <w:jc w:val="both"/>
              <w:rPr>
                <w:rFonts w:ascii="Book Antiqua" w:hAnsi="Book Antiqua" w:cs="Arial"/>
                <w:lang w:val="en-US" w:eastAsia="zh-CN"/>
              </w:rPr>
            </w:pPr>
            <w:r w:rsidRPr="00CD1426">
              <w:rPr>
                <w:rFonts w:ascii="Book Antiqua" w:hAnsi="Book Antiqua" w:cs="Arial"/>
                <w:lang w:val="en-US" w:eastAsia="en-US"/>
              </w:rPr>
              <w:t>61</w:t>
            </w:r>
          </w:p>
        </w:tc>
        <w:tc>
          <w:tcPr>
            <w:tcW w:w="910" w:type="dxa"/>
            <w:tcBorders>
              <w:top w:val="nil"/>
              <w:left w:val="nil"/>
              <w:bottom w:val="nil"/>
              <w:right w:val="nil"/>
            </w:tcBorders>
            <w:shd w:val="clear" w:color="auto" w:fill="auto"/>
            <w:noWrap/>
            <w:vAlign w:val="bottom"/>
          </w:tcPr>
          <w:p w14:paraId="74A3FBF7" w14:textId="77777777" w:rsidR="002B302F" w:rsidRPr="00CD1426" w:rsidRDefault="002B302F" w:rsidP="00CD1426">
            <w:pPr>
              <w:spacing w:line="360" w:lineRule="auto"/>
              <w:jc w:val="both"/>
              <w:rPr>
                <w:rFonts w:ascii="Book Antiqua" w:hAnsi="Book Antiqua" w:cs="Arial"/>
                <w:lang w:val="en-US" w:eastAsia="en-US"/>
              </w:rPr>
            </w:pPr>
          </w:p>
        </w:tc>
        <w:tc>
          <w:tcPr>
            <w:tcW w:w="1503" w:type="dxa"/>
            <w:tcBorders>
              <w:top w:val="nil"/>
              <w:left w:val="nil"/>
              <w:bottom w:val="nil"/>
              <w:right w:val="nil"/>
            </w:tcBorders>
            <w:shd w:val="clear" w:color="auto" w:fill="auto"/>
            <w:noWrap/>
            <w:vAlign w:val="bottom"/>
          </w:tcPr>
          <w:p w14:paraId="52063627" w14:textId="77777777" w:rsidR="002B302F" w:rsidRPr="00CD1426" w:rsidRDefault="002B302F" w:rsidP="00CD1426">
            <w:pPr>
              <w:spacing w:line="360" w:lineRule="auto"/>
              <w:jc w:val="both"/>
              <w:rPr>
                <w:rFonts w:ascii="Book Antiqua" w:hAnsi="Book Antiqua" w:cs="Arial"/>
                <w:lang w:val="en-US" w:eastAsia="en-US"/>
              </w:rPr>
            </w:pPr>
          </w:p>
        </w:tc>
      </w:tr>
      <w:tr w:rsidR="002B302F" w:rsidRPr="00CD1426" w14:paraId="0B5756EA" w14:textId="77777777" w:rsidTr="00DF49D3">
        <w:trPr>
          <w:trHeight w:val="300"/>
        </w:trPr>
        <w:tc>
          <w:tcPr>
            <w:tcW w:w="3534" w:type="dxa"/>
            <w:tcBorders>
              <w:top w:val="nil"/>
              <w:left w:val="nil"/>
              <w:bottom w:val="nil"/>
              <w:right w:val="nil"/>
            </w:tcBorders>
            <w:shd w:val="clear" w:color="auto" w:fill="auto"/>
            <w:noWrap/>
            <w:vAlign w:val="bottom"/>
          </w:tcPr>
          <w:p w14:paraId="01778692" w14:textId="77777777" w:rsidR="002B302F" w:rsidRPr="00CD1426" w:rsidRDefault="002B302F" w:rsidP="00CD1426">
            <w:pPr>
              <w:spacing w:line="360" w:lineRule="auto"/>
              <w:jc w:val="both"/>
              <w:rPr>
                <w:rFonts w:ascii="Book Antiqua" w:hAnsi="Book Antiqua" w:cs="Arial"/>
                <w:lang w:val="en-US" w:eastAsia="en-US"/>
              </w:rPr>
            </w:pPr>
            <w:r w:rsidRPr="00CD1426">
              <w:rPr>
                <w:rFonts w:ascii="Book Antiqua" w:hAnsi="Book Antiqua" w:cs="Arial"/>
                <w:lang w:val="en-US" w:eastAsia="en-US"/>
              </w:rPr>
              <w:t>HCV genotype 1 b</w:t>
            </w:r>
          </w:p>
        </w:tc>
        <w:tc>
          <w:tcPr>
            <w:tcW w:w="910" w:type="dxa"/>
            <w:tcBorders>
              <w:top w:val="nil"/>
              <w:left w:val="nil"/>
              <w:bottom w:val="nil"/>
              <w:right w:val="nil"/>
            </w:tcBorders>
            <w:shd w:val="clear" w:color="auto" w:fill="auto"/>
            <w:noWrap/>
            <w:vAlign w:val="bottom"/>
          </w:tcPr>
          <w:p w14:paraId="61723EC4" w14:textId="08367F03" w:rsidR="002B302F" w:rsidRPr="00CD1426" w:rsidRDefault="00F50DCF" w:rsidP="00CD1426">
            <w:pPr>
              <w:spacing w:line="360" w:lineRule="auto"/>
              <w:jc w:val="both"/>
              <w:rPr>
                <w:rFonts w:ascii="Book Antiqua" w:hAnsi="Book Antiqua" w:cs="Arial"/>
                <w:lang w:val="en-US" w:eastAsia="zh-CN"/>
              </w:rPr>
            </w:pPr>
            <w:r w:rsidRPr="00CD1426">
              <w:rPr>
                <w:rFonts w:ascii="Book Antiqua" w:hAnsi="Book Antiqua" w:cs="Arial"/>
                <w:lang w:val="en-US" w:eastAsia="en-US"/>
              </w:rPr>
              <w:t>22</w:t>
            </w:r>
          </w:p>
        </w:tc>
        <w:tc>
          <w:tcPr>
            <w:tcW w:w="1522" w:type="dxa"/>
            <w:tcBorders>
              <w:top w:val="nil"/>
              <w:left w:val="nil"/>
              <w:bottom w:val="nil"/>
              <w:right w:val="nil"/>
            </w:tcBorders>
            <w:shd w:val="clear" w:color="auto" w:fill="auto"/>
            <w:noWrap/>
            <w:vAlign w:val="bottom"/>
          </w:tcPr>
          <w:p w14:paraId="76DEDA17" w14:textId="3F6BAE42" w:rsidR="002B302F" w:rsidRPr="00CD1426" w:rsidRDefault="00F50DCF" w:rsidP="00CD1426">
            <w:pPr>
              <w:spacing w:line="360" w:lineRule="auto"/>
              <w:jc w:val="both"/>
              <w:rPr>
                <w:rFonts w:ascii="Book Antiqua" w:hAnsi="Book Antiqua" w:cs="Arial"/>
                <w:lang w:val="en-US" w:eastAsia="zh-CN"/>
              </w:rPr>
            </w:pPr>
            <w:r w:rsidRPr="00CD1426">
              <w:rPr>
                <w:rFonts w:ascii="Book Antiqua" w:hAnsi="Book Antiqua" w:cs="Arial"/>
                <w:lang w:val="en-US" w:eastAsia="en-US"/>
              </w:rPr>
              <w:t>65</w:t>
            </w:r>
          </w:p>
        </w:tc>
        <w:tc>
          <w:tcPr>
            <w:tcW w:w="1656" w:type="dxa"/>
            <w:tcBorders>
              <w:top w:val="nil"/>
              <w:left w:val="nil"/>
              <w:bottom w:val="nil"/>
              <w:right w:val="nil"/>
            </w:tcBorders>
            <w:shd w:val="clear" w:color="auto" w:fill="auto"/>
            <w:noWrap/>
            <w:vAlign w:val="bottom"/>
          </w:tcPr>
          <w:p w14:paraId="5E619772" w14:textId="1FC840E8" w:rsidR="002B302F" w:rsidRPr="00CD1426" w:rsidRDefault="00F50DCF" w:rsidP="00CD1426">
            <w:pPr>
              <w:spacing w:line="360" w:lineRule="auto"/>
              <w:jc w:val="both"/>
              <w:rPr>
                <w:rFonts w:ascii="Book Antiqua" w:hAnsi="Book Antiqua" w:cs="Arial"/>
                <w:lang w:val="en-US" w:eastAsia="zh-CN"/>
              </w:rPr>
            </w:pPr>
            <w:r w:rsidRPr="00CD1426">
              <w:rPr>
                <w:rFonts w:ascii="Book Antiqua" w:hAnsi="Book Antiqua" w:cs="Arial"/>
                <w:lang w:val="en-US" w:eastAsia="en-US"/>
              </w:rPr>
              <w:t>73</w:t>
            </w:r>
          </w:p>
        </w:tc>
        <w:tc>
          <w:tcPr>
            <w:tcW w:w="910" w:type="dxa"/>
            <w:tcBorders>
              <w:top w:val="nil"/>
              <w:left w:val="nil"/>
              <w:bottom w:val="nil"/>
              <w:right w:val="nil"/>
            </w:tcBorders>
            <w:shd w:val="clear" w:color="auto" w:fill="auto"/>
            <w:noWrap/>
            <w:vAlign w:val="bottom"/>
          </w:tcPr>
          <w:p w14:paraId="60FBCA40" w14:textId="77777777" w:rsidR="002B302F" w:rsidRPr="00CD1426" w:rsidRDefault="002B302F" w:rsidP="00CD1426">
            <w:pPr>
              <w:spacing w:line="360" w:lineRule="auto"/>
              <w:jc w:val="both"/>
              <w:rPr>
                <w:rFonts w:ascii="Book Antiqua" w:hAnsi="Book Antiqua" w:cs="Arial"/>
                <w:lang w:val="en-US" w:eastAsia="en-US"/>
              </w:rPr>
            </w:pPr>
          </w:p>
        </w:tc>
        <w:tc>
          <w:tcPr>
            <w:tcW w:w="1503" w:type="dxa"/>
            <w:tcBorders>
              <w:top w:val="nil"/>
              <w:left w:val="nil"/>
              <w:bottom w:val="nil"/>
              <w:right w:val="nil"/>
            </w:tcBorders>
            <w:shd w:val="clear" w:color="auto" w:fill="auto"/>
            <w:noWrap/>
            <w:vAlign w:val="bottom"/>
          </w:tcPr>
          <w:p w14:paraId="368AF149" w14:textId="77777777" w:rsidR="002B302F" w:rsidRPr="00CD1426" w:rsidRDefault="002B302F" w:rsidP="00CD1426">
            <w:pPr>
              <w:spacing w:line="360" w:lineRule="auto"/>
              <w:jc w:val="both"/>
              <w:rPr>
                <w:rFonts w:ascii="Book Antiqua" w:hAnsi="Book Antiqua" w:cs="Arial"/>
                <w:lang w:val="en-US" w:eastAsia="en-US"/>
              </w:rPr>
            </w:pPr>
          </w:p>
        </w:tc>
      </w:tr>
      <w:tr w:rsidR="002B302F" w:rsidRPr="00CD1426" w14:paraId="63B1AE6A" w14:textId="77777777" w:rsidTr="00DF49D3">
        <w:trPr>
          <w:trHeight w:val="300"/>
        </w:trPr>
        <w:tc>
          <w:tcPr>
            <w:tcW w:w="3534" w:type="dxa"/>
            <w:tcBorders>
              <w:top w:val="nil"/>
              <w:left w:val="nil"/>
              <w:bottom w:val="nil"/>
              <w:right w:val="nil"/>
            </w:tcBorders>
            <w:shd w:val="clear" w:color="auto" w:fill="auto"/>
            <w:noWrap/>
            <w:vAlign w:val="bottom"/>
          </w:tcPr>
          <w:p w14:paraId="30ADF6DF" w14:textId="08D926FC" w:rsidR="002B302F" w:rsidRPr="00CD1426" w:rsidRDefault="002B302F" w:rsidP="00CD1426">
            <w:pPr>
              <w:spacing w:line="360" w:lineRule="auto"/>
              <w:jc w:val="both"/>
              <w:rPr>
                <w:rFonts w:ascii="Book Antiqua" w:hAnsi="Book Antiqua" w:cs="Arial"/>
                <w:lang w:val="en-US" w:eastAsia="en-US"/>
              </w:rPr>
            </w:pPr>
            <w:r w:rsidRPr="00CD1426">
              <w:rPr>
                <w:rFonts w:ascii="Book Antiqua" w:hAnsi="Book Antiqua" w:cs="Arial"/>
                <w:lang w:val="en-US" w:eastAsia="en-US"/>
              </w:rPr>
              <w:t>BMI &lt;</w:t>
            </w:r>
            <w:r w:rsidR="00F50DCF" w:rsidRPr="00CD1426">
              <w:rPr>
                <w:rFonts w:ascii="Book Antiqua" w:hAnsi="Book Antiqua" w:cs="Arial"/>
                <w:lang w:val="en-US" w:eastAsia="zh-CN"/>
              </w:rPr>
              <w:t xml:space="preserve"> </w:t>
            </w:r>
            <w:r w:rsidRPr="00CD1426">
              <w:rPr>
                <w:rFonts w:ascii="Book Antiqua" w:hAnsi="Book Antiqua" w:cs="Arial"/>
                <w:lang w:val="en-US" w:eastAsia="en-US"/>
              </w:rPr>
              <w:t>25</w:t>
            </w:r>
          </w:p>
        </w:tc>
        <w:tc>
          <w:tcPr>
            <w:tcW w:w="910" w:type="dxa"/>
            <w:tcBorders>
              <w:top w:val="nil"/>
              <w:left w:val="nil"/>
              <w:bottom w:val="nil"/>
              <w:right w:val="nil"/>
            </w:tcBorders>
            <w:shd w:val="clear" w:color="auto" w:fill="auto"/>
            <w:noWrap/>
            <w:vAlign w:val="bottom"/>
          </w:tcPr>
          <w:p w14:paraId="1CE494C4" w14:textId="52732D56" w:rsidR="002B302F" w:rsidRPr="00CD1426" w:rsidRDefault="00F50DCF" w:rsidP="00CD1426">
            <w:pPr>
              <w:spacing w:line="360" w:lineRule="auto"/>
              <w:jc w:val="both"/>
              <w:rPr>
                <w:rFonts w:ascii="Book Antiqua" w:hAnsi="Book Antiqua" w:cs="Arial"/>
                <w:lang w:val="en-US" w:eastAsia="zh-CN"/>
              </w:rPr>
            </w:pPr>
            <w:r w:rsidRPr="00CD1426">
              <w:rPr>
                <w:rFonts w:ascii="Book Antiqua" w:hAnsi="Book Antiqua" w:cs="Arial"/>
                <w:lang w:val="en-US" w:eastAsia="en-US"/>
              </w:rPr>
              <w:t>20</w:t>
            </w:r>
          </w:p>
        </w:tc>
        <w:tc>
          <w:tcPr>
            <w:tcW w:w="1522" w:type="dxa"/>
            <w:tcBorders>
              <w:top w:val="nil"/>
              <w:left w:val="nil"/>
              <w:bottom w:val="nil"/>
              <w:right w:val="nil"/>
            </w:tcBorders>
            <w:shd w:val="clear" w:color="auto" w:fill="auto"/>
            <w:noWrap/>
            <w:vAlign w:val="bottom"/>
          </w:tcPr>
          <w:p w14:paraId="082BEF2F" w14:textId="1D8C3F4B" w:rsidR="002B302F" w:rsidRPr="00CD1426" w:rsidRDefault="00F50DCF" w:rsidP="00CD1426">
            <w:pPr>
              <w:spacing w:line="360" w:lineRule="auto"/>
              <w:jc w:val="both"/>
              <w:rPr>
                <w:rFonts w:ascii="Book Antiqua" w:hAnsi="Book Antiqua" w:cs="Arial"/>
                <w:lang w:val="en-US" w:eastAsia="zh-CN"/>
              </w:rPr>
            </w:pPr>
            <w:r w:rsidRPr="00CD1426">
              <w:rPr>
                <w:rFonts w:ascii="Book Antiqua" w:hAnsi="Book Antiqua" w:cs="Arial"/>
                <w:lang w:val="en-US" w:eastAsia="en-US"/>
              </w:rPr>
              <w:t>6</w:t>
            </w:r>
          </w:p>
        </w:tc>
        <w:tc>
          <w:tcPr>
            <w:tcW w:w="1656" w:type="dxa"/>
            <w:tcBorders>
              <w:top w:val="nil"/>
              <w:left w:val="nil"/>
              <w:bottom w:val="nil"/>
              <w:right w:val="nil"/>
            </w:tcBorders>
            <w:shd w:val="clear" w:color="auto" w:fill="auto"/>
            <w:noWrap/>
            <w:vAlign w:val="bottom"/>
          </w:tcPr>
          <w:p w14:paraId="18839899" w14:textId="131D04BD" w:rsidR="002B302F" w:rsidRPr="00CD1426" w:rsidRDefault="00F50DCF" w:rsidP="00CD1426">
            <w:pPr>
              <w:spacing w:line="360" w:lineRule="auto"/>
              <w:jc w:val="both"/>
              <w:rPr>
                <w:rFonts w:ascii="Book Antiqua" w:hAnsi="Book Antiqua" w:cs="Arial"/>
                <w:lang w:val="en-US" w:eastAsia="zh-CN"/>
              </w:rPr>
            </w:pPr>
            <w:r w:rsidRPr="00CD1426">
              <w:rPr>
                <w:rFonts w:ascii="Book Antiqua" w:hAnsi="Book Antiqua" w:cs="Arial"/>
                <w:lang w:val="en-US" w:eastAsia="en-US"/>
              </w:rPr>
              <w:t>68</w:t>
            </w:r>
          </w:p>
        </w:tc>
        <w:tc>
          <w:tcPr>
            <w:tcW w:w="910" w:type="dxa"/>
            <w:tcBorders>
              <w:top w:val="nil"/>
              <w:left w:val="nil"/>
              <w:bottom w:val="nil"/>
              <w:right w:val="nil"/>
            </w:tcBorders>
            <w:shd w:val="clear" w:color="auto" w:fill="auto"/>
            <w:noWrap/>
            <w:vAlign w:val="bottom"/>
          </w:tcPr>
          <w:p w14:paraId="0B81D3BE" w14:textId="77777777" w:rsidR="002B302F" w:rsidRPr="00CD1426" w:rsidRDefault="002B302F" w:rsidP="00CD1426">
            <w:pPr>
              <w:spacing w:line="360" w:lineRule="auto"/>
              <w:jc w:val="both"/>
              <w:rPr>
                <w:rFonts w:ascii="Book Antiqua" w:hAnsi="Book Antiqua" w:cs="Arial"/>
                <w:lang w:val="en-US" w:eastAsia="en-US"/>
              </w:rPr>
            </w:pPr>
          </w:p>
        </w:tc>
        <w:tc>
          <w:tcPr>
            <w:tcW w:w="1503" w:type="dxa"/>
            <w:tcBorders>
              <w:top w:val="nil"/>
              <w:left w:val="nil"/>
              <w:bottom w:val="nil"/>
              <w:right w:val="nil"/>
            </w:tcBorders>
            <w:shd w:val="clear" w:color="auto" w:fill="auto"/>
            <w:noWrap/>
            <w:vAlign w:val="bottom"/>
          </w:tcPr>
          <w:p w14:paraId="0EA4CF4E" w14:textId="77777777" w:rsidR="002B302F" w:rsidRPr="00CD1426" w:rsidRDefault="002B302F" w:rsidP="00CD1426">
            <w:pPr>
              <w:spacing w:line="360" w:lineRule="auto"/>
              <w:jc w:val="both"/>
              <w:rPr>
                <w:rFonts w:ascii="Book Antiqua" w:hAnsi="Book Antiqua" w:cs="Arial"/>
                <w:lang w:val="en-US" w:eastAsia="en-US"/>
              </w:rPr>
            </w:pPr>
          </w:p>
        </w:tc>
      </w:tr>
      <w:tr w:rsidR="002B302F" w:rsidRPr="00CD1426" w14:paraId="6CA1D385" w14:textId="77777777" w:rsidTr="00DF49D3">
        <w:trPr>
          <w:trHeight w:val="300"/>
        </w:trPr>
        <w:tc>
          <w:tcPr>
            <w:tcW w:w="3534" w:type="dxa"/>
            <w:tcBorders>
              <w:top w:val="nil"/>
              <w:left w:val="nil"/>
              <w:bottom w:val="nil"/>
              <w:right w:val="nil"/>
            </w:tcBorders>
            <w:shd w:val="clear" w:color="auto" w:fill="auto"/>
            <w:noWrap/>
            <w:vAlign w:val="bottom"/>
          </w:tcPr>
          <w:p w14:paraId="327CF27F" w14:textId="0798ABA5" w:rsidR="002B302F" w:rsidRPr="00CD1426" w:rsidRDefault="002B302F" w:rsidP="00CD1426">
            <w:pPr>
              <w:spacing w:line="360" w:lineRule="auto"/>
              <w:jc w:val="both"/>
              <w:rPr>
                <w:rFonts w:ascii="Book Antiqua" w:hAnsi="Book Antiqua" w:cs="Arial"/>
                <w:lang w:val="en-US" w:eastAsia="en-US"/>
              </w:rPr>
            </w:pPr>
            <w:r w:rsidRPr="00CD1426">
              <w:rPr>
                <w:rFonts w:ascii="Book Antiqua" w:hAnsi="Book Antiqua" w:cs="Arial"/>
                <w:lang w:val="en-US" w:eastAsia="en-US"/>
              </w:rPr>
              <w:t>BMI</w:t>
            </w:r>
            <w:r w:rsidR="00C04C74">
              <w:rPr>
                <w:rFonts w:ascii="Book Antiqua" w:hAnsi="Book Antiqua" w:cs="Arial" w:hint="eastAsia"/>
                <w:lang w:val="en-US" w:eastAsia="zh-CN"/>
              </w:rPr>
              <w:t xml:space="preserve"> </w:t>
            </w:r>
            <w:r w:rsidRPr="00CD1426">
              <w:rPr>
                <w:rFonts w:ascii="Book Antiqua" w:hAnsi="Book Antiqua" w:cs="Arial"/>
                <w:lang w:val="en-US" w:eastAsia="en-US"/>
              </w:rPr>
              <w:t>≥</w:t>
            </w:r>
            <w:r w:rsidR="00F50DCF" w:rsidRPr="00CD1426">
              <w:rPr>
                <w:rFonts w:ascii="Book Antiqua" w:hAnsi="Book Antiqua" w:cs="Arial"/>
                <w:lang w:val="en-US" w:eastAsia="zh-CN"/>
              </w:rPr>
              <w:t xml:space="preserve"> </w:t>
            </w:r>
            <w:r w:rsidRPr="00CD1426">
              <w:rPr>
                <w:rFonts w:ascii="Book Antiqua" w:hAnsi="Book Antiqua" w:cs="Arial"/>
                <w:lang w:val="en-US" w:eastAsia="en-US"/>
              </w:rPr>
              <w:t>30</w:t>
            </w:r>
          </w:p>
        </w:tc>
        <w:tc>
          <w:tcPr>
            <w:tcW w:w="910" w:type="dxa"/>
            <w:tcBorders>
              <w:top w:val="nil"/>
              <w:left w:val="nil"/>
              <w:bottom w:val="nil"/>
              <w:right w:val="nil"/>
            </w:tcBorders>
            <w:shd w:val="clear" w:color="auto" w:fill="auto"/>
            <w:noWrap/>
            <w:vAlign w:val="bottom"/>
          </w:tcPr>
          <w:p w14:paraId="7E6FD1BE" w14:textId="20E7A9B8" w:rsidR="002B302F" w:rsidRPr="00CD1426" w:rsidRDefault="00F50DCF" w:rsidP="00CD1426">
            <w:pPr>
              <w:spacing w:line="360" w:lineRule="auto"/>
              <w:jc w:val="both"/>
              <w:rPr>
                <w:rFonts w:ascii="Book Antiqua" w:hAnsi="Book Antiqua" w:cs="Arial"/>
                <w:lang w:val="en-US" w:eastAsia="zh-CN"/>
              </w:rPr>
            </w:pPr>
            <w:r w:rsidRPr="00CD1426">
              <w:rPr>
                <w:rFonts w:ascii="Book Antiqua" w:hAnsi="Book Antiqua" w:cs="Arial"/>
                <w:lang w:val="en-US" w:eastAsia="en-US"/>
              </w:rPr>
              <w:t>11</w:t>
            </w:r>
          </w:p>
        </w:tc>
        <w:tc>
          <w:tcPr>
            <w:tcW w:w="1522" w:type="dxa"/>
            <w:tcBorders>
              <w:top w:val="nil"/>
              <w:left w:val="nil"/>
              <w:bottom w:val="nil"/>
              <w:right w:val="nil"/>
            </w:tcBorders>
            <w:shd w:val="clear" w:color="auto" w:fill="auto"/>
            <w:noWrap/>
            <w:vAlign w:val="bottom"/>
          </w:tcPr>
          <w:p w14:paraId="22CE5D89" w14:textId="05C1C5DE" w:rsidR="002B302F" w:rsidRPr="00CD1426" w:rsidRDefault="00F50DCF" w:rsidP="00CD1426">
            <w:pPr>
              <w:spacing w:line="360" w:lineRule="auto"/>
              <w:jc w:val="both"/>
              <w:rPr>
                <w:rFonts w:ascii="Book Antiqua" w:hAnsi="Book Antiqua" w:cs="Arial"/>
                <w:lang w:val="en-US" w:eastAsia="zh-CN"/>
              </w:rPr>
            </w:pPr>
            <w:r w:rsidRPr="00CD1426">
              <w:rPr>
                <w:rFonts w:ascii="Book Antiqua" w:hAnsi="Book Antiqua" w:cs="Arial"/>
                <w:lang w:val="en-US" w:eastAsia="en-US"/>
              </w:rPr>
              <w:t>56</w:t>
            </w:r>
          </w:p>
        </w:tc>
        <w:tc>
          <w:tcPr>
            <w:tcW w:w="1656" w:type="dxa"/>
            <w:tcBorders>
              <w:top w:val="nil"/>
              <w:left w:val="nil"/>
              <w:bottom w:val="nil"/>
              <w:right w:val="nil"/>
            </w:tcBorders>
            <w:shd w:val="clear" w:color="auto" w:fill="auto"/>
            <w:noWrap/>
            <w:vAlign w:val="bottom"/>
          </w:tcPr>
          <w:p w14:paraId="61E71FD1" w14:textId="79CA402F" w:rsidR="002B302F" w:rsidRPr="00CD1426" w:rsidRDefault="00F50DCF" w:rsidP="00CD1426">
            <w:pPr>
              <w:spacing w:line="360" w:lineRule="auto"/>
              <w:jc w:val="both"/>
              <w:rPr>
                <w:rFonts w:ascii="Book Antiqua" w:hAnsi="Book Antiqua" w:cs="Arial"/>
                <w:lang w:val="en-US" w:eastAsia="zh-CN"/>
              </w:rPr>
            </w:pPr>
            <w:r w:rsidRPr="00CD1426">
              <w:rPr>
                <w:rFonts w:ascii="Book Antiqua" w:hAnsi="Book Antiqua" w:cs="Arial"/>
                <w:lang w:val="en-US" w:eastAsia="en-US"/>
              </w:rPr>
              <w:t>65</w:t>
            </w:r>
          </w:p>
        </w:tc>
        <w:tc>
          <w:tcPr>
            <w:tcW w:w="910" w:type="dxa"/>
            <w:tcBorders>
              <w:top w:val="nil"/>
              <w:left w:val="nil"/>
              <w:bottom w:val="nil"/>
              <w:right w:val="nil"/>
            </w:tcBorders>
            <w:shd w:val="clear" w:color="auto" w:fill="auto"/>
            <w:noWrap/>
            <w:vAlign w:val="bottom"/>
          </w:tcPr>
          <w:p w14:paraId="7ABC86F7" w14:textId="77777777" w:rsidR="002B302F" w:rsidRPr="00CD1426" w:rsidRDefault="002B302F" w:rsidP="00CD1426">
            <w:pPr>
              <w:spacing w:line="360" w:lineRule="auto"/>
              <w:jc w:val="both"/>
              <w:rPr>
                <w:rFonts w:ascii="Book Antiqua" w:hAnsi="Book Antiqua" w:cs="Arial"/>
                <w:lang w:val="en-US" w:eastAsia="en-US"/>
              </w:rPr>
            </w:pPr>
          </w:p>
        </w:tc>
        <w:tc>
          <w:tcPr>
            <w:tcW w:w="1503" w:type="dxa"/>
            <w:tcBorders>
              <w:top w:val="nil"/>
              <w:left w:val="nil"/>
              <w:bottom w:val="nil"/>
              <w:right w:val="nil"/>
            </w:tcBorders>
            <w:shd w:val="clear" w:color="auto" w:fill="auto"/>
            <w:noWrap/>
            <w:vAlign w:val="bottom"/>
          </w:tcPr>
          <w:p w14:paraId="2D929D1B" w14:textId="77777777" w:rsidR="002B302F" w:rsidRPr="00CD1426" w:rsidRDefault="002B302F" w:rsidP="00CD1426">
            <w:pPr>
              <w:spacing w:line="360" w:lineRule="auto"/>
              <w:jc w:val="both"/>
              <w:rPr>
                <w:rFonts w:ascii="Book Antiqua" w:hAnsi="Book Antiqua" w:cs="Arial"/>
                <w:lang w:val="en-US" w:eastAsia="en-US"/>
              </w:rPr>
            </w:pPr>
          </w:p>
        </w:tc>
      </w:tr>
      <w:tr w:rsidR="002B302F" w:rsidRPr="00CD1426" w14:paraId="00B374DD" w14:textId="77777777" w:rsidTr="00DF49D3">
        <w:trPr>
          <w:trHeight w:val="320"/>
        </w:trPr>
        <w:tc>
          <w:tcPr>
            <w:tcW w:w="3534" w:type="dxa"/>
            <w:tcBorders>
              <w:top w:val="nil"/>
              <w:left w:val="nil"/>
              <w:bottom w:val="single" w:sz="8" w:space="0" w:color="auto"/>
              <w:right w:val="nil"/>
            </w:tcBorders>
            <w:shd w:val="clear" w:color="auto" w:fill="auto"/>
            <w:noWrap/>
            <w:vAlign w:val="bottom"/>
          </w:tcPr>
          <w:p w14:paraId="173C96CC" w14:textId="77777777" w:rsidR="002B302F" w:rsidRPr="00CD1426" w:rsidRDefault="002B302F" w:rsidP="00CD1426">
            <w:pPr>
              <w:spacing w:line="360" w:lineRule="auto"/>
              <w:jc w:val="both"/>
              <w:rPr>
                <w:rFonts w:ascii="Book Antiqua" w:hAnsi="Book Antiqua" w:cs="Arial"/>
                <w:lang w:val="en-US" w:eastAsia="en-US"/>
              </w:rPr>
            </w:pPr>
            <w:r w:rsidRPr="00CD1426">
              <w:rPr>
                <w:rFonts w:ascii="Book Antiqua" w:hAnsi="Book Antiqua" w:cs="Arial"/>
                <w:lang w:val="en-US" w:eastAsia="en-US"/>
              </w:rPr>
              <w:t>Relapse</w:t>
            </w:r>
          </w:p>
        </w:tc>
        <w:tc>
          <w:tcPr>
            <w:tcW w:w="910" w:type="dxa"/>
            <w:tcBorders>
              <w:top w:val="nil"/>
              <w:left w:val="nil"/>
              <w:bottom w:val="single" w:sz="8" w:space="0" w:color="auto"/>
              <w:right w:val="nil"/>
            </w:tcBorders>
            <w:shd w:val="clear" w:color="auto" w:fill="auto"/>
            <w:noWrap/>
            <w:vAlign w:val="bottom"/>
          </w:tcPr>
          <w:p w14:paraId="0A71BECB" w14:textId="6C4DA657" w:rsidR="002B302F" w:rsidRPr="00CD1426" w:rsidRDefault="00F50DCF" w:rsidP="00CD1426">
            <w:pPr>
              <w:spacing w:line="360" w:lineRule="auto"/>
              <w:jc w:val="both"/>
              <w:rPr>
                <w:rFonts w:ascii="Book Antiqua" w:hAnsi="Book Antiqua" w:cs="Arial"/>
                <w:lang w:val="en-US" w:eastAsia="zh-CN"/>
              </w:rPr>
            </w:pPr>
            <w:r w:rsidRPr="00CD1426">
              <w:rPr>
                <w:rFonts w:ascii="Book Antiqua" w:hAnsi="Book Antiqua" w:cs="Arial"/>
                <w:lang w:val="en-US" w:eastAsia="en-US"/>
              </w:rPr>
              <w:t>15</w:t>
            </w:r>
          </w:p>
        </w:tc>
        <w:tc>
          <w:tcPr>
            <w:tcW w:w="1522" w:type="dxa"/>
            <w:tcBorders>
              <w:top w:val="nil"/>
              <w:left w:val="nil"/>
              <w:bottom w:val="single" w:sz="8" w:space="0" w:color="auto"/>
              <w:right w:val="nil"/>
            </w:tcBorders>
            <w:shd w:val="clear" w:color="auto" w:fill="auto"/>
            <w:noWrap/>
            <w:vAlign w:val="bottom"/>
          </w:tcPr>
          <w:p w14:paraId="48B12B71" w14:textId="5A85B52D" w:rsidR="002B302F" w:rsidRPr="00CD1426" w:rsidRDefault="00F50DCF" w:rsidP="00CD1426">
            <w:pPr>
              <w:spacing w:line="360" w:lineRule="auto"/>
              <w:jc w:val="both"/>
              <w:rPr>
                <w:rFonts w:ascii="Book Antiqua" w:hAnsi="Book Antiqua" w:cs="Arial"/>
                <w:lang w:val="en-US" w:eastAsia="zh-CN"/>
              </w:rPr>
            </w:pPr>
            <w:r w:rsidRPr="00CD1426">
              <w:rPr>
                <w:rFonts w:ascii="Book Antiqua" w:hAnsi="Book Antiqua" w:cs="Arial"/>
                <w:lang w:val="en-US" w:eastAsia="en-US"/>
              </w:rPr>
              <w:t>59</w:t>
            </w:r>
          </w:p>
        </w:tc>
        <w:tc>
          <w:tcPr>
            <w:tcW w:w="1656" w:type="dxa"/>
            <w:tcBorders>
              <w:top w:val="nil"/>
              <w:left w:val="nil"/>
              <w:bottom w:val="single" w:sz="8" w:space="0" w:color="auto"/>
              <w:right w:val="nil"/>
            </w:tcBorders>
            <w:shd w:val="clear" w:color="auto" w:fill="auto"/>
            <w:noWrap/>
            <w:vAlign w:val="bottom"/>
          </w:tcPr>
          <w:p w14:paraId="4FDC62A5" w14:textId="1CFC49BC" w:rsidR="002B302F" w:rsidRPr="00CD1426" w:rsidRDefault="00F50DCF" w:rsidP="00CD1426">
            <w:pPr>
              <w:spacing w:line="360" w:lineRule="auto"/>
              <w:jc w:val="both"/>
              <w:rPr>
                <w:rFonts w:ascii="Book Antiqua" w:hAnsi="Book Antiqua" w:cs="Arial"/>
                <w:lang w:val="en-US" w:eastAsia="zh-CN"/>
              </w:rPr>
            </w:pPr>
            <w:r w:rsidRPr="00CD1426">
              <w:rPr>
                <w:rFonts w:ascii="Book Antiqua" w:hAnsi="Book Antiqua" w:cs="Arial"/>
                <w:lang w:val="en-US" w:eastAsia="en-US"/>
              </w:rPr>
              <w:t>54</w:t>
            </w:r>
          </w:p>
        </w:tc>
        <w:tc>
          <w:tcPr>
            <w:tcW w:w="910" w:type="dxa"/>
            <w:tcBorders>
              <w:top w:val="nil"/>
              <w:left w:val="nil"/>
              <w:bottom w:val="single" w:sz="8" w:space="0" w:color="auto"/>
              <w:right w:val="nil"/>
            </w:tcBorders>
            <w:shd w:val="clear" w:color="auto" w:fill="auto"/>
            <w:noWrap/>
            <w:vAlign w:val="bottom"/>
          </w:tcPr>
          <w:p w14:paraId="54C1308D" w14:textId="77777777" w:rsidR="002B302F" w:rsidRPr="00CD1426" w:rsidRDefault="002B302F" w:rsidP="00CD1426">
            <w:pPr>
              <w:spacing w:line="360" w:lineRule="auto"/>
              <w:jc w:val="both"/>
              <w:rPr>
                <w:rFonts w:ascii="Book Antiqua" w:hAnsi="Book Antiqua" w:cs="Arial"/>
                <w:lang w:val="en-US" w:eastAsia="en-US"/>
              </w:rPr>
            </w:pPr>
            <w:r w:rsidRPr="00CD1426">
              <w:rPr>
                <w:rFonts w:ascii="Book Antiqua" w:hAnsi="Book Antiqua" w:cs="Arial"/>
                <w:lang w:val="en-US" w:eastAsia="en-US"/>
              </w:rPr>
              <w:t> </w:t>
            </w:r>
          </w:p>
        </w:tc>
        <w:tc>
          <w:tcPr>
            <w:tcW w:w="1503" w:type="dxa"/>
            <w:tcBorders>
              <w:top w:val="nil"/>
              <w:left w:val="nil"/>
              <w:bottom w:val="single" w:sz="8" w:space="0" w:color="auto"/>
              <w:right w:val="nil"/>
            </w:tcBorders>
            <w:shd w:val="clear" w:color="auto" w:fill="auto"/>
            <w:noWrap/>
            <w:vAlign w:val="bottom"/>
          </w:tcPr>
          <w:p w14:paraId="12707E8C" w14:textId="77777777" w:rsidR="002B302F" w:rsidRPr="00CD1426" w:rsidRDefault="002B302F" w:rsidP="00CD1426">
            <w:pPr>
              <w:spacing w:line="360" w:lineRule="auto"/>
              <w:jc w:val="both"/>
              <w:rPr>
                <w:rFonts w:ascii="Book Antiqua" w:hAnsi="Book Antiqua" w:cs="Arial"/>
                <w:lang w:val="en-US" w:eastAsia="en-US"/>
              </w:rPr>
            </w:pPr>
            <w:r w:rsidRPr="00CD1426">
              <w:rPr>
                <w:rFonts w:ascii="Book Antiqua" w:hAnsi="Book Antiqua" w:cs="Arial"/>
                <w:lang w:val="en-US" w:eastAsia="en-US"/>
              </w:rPr>
              <w:t> </w:t>
            </w:r>
          </w:p>
        </w:tc>
      </w:tr>
      <w:tr w:rsidR="002B302F" w:rsidRPr="00CD1426" w14:paraId="5C857293" w14:textId="77777777" w:rsidTr="00DF49D3">
        <w:trPr>
          <w:trHeight w:val="300"/>
        </w:trPr>
        <w:tc>
          <w:tcPr>
            <w:tcW w:w="10035" w:type="dxa"/>
            <w:gridSpan w:val="6"/>
            <w:tcBorders>
              <w:top w:val="nil"/>
              <w:left w:val="nil"/>
              <w:bottom w:val="nil"/>
              <w:right w:val="nil"/>
            </w:tcBorders>
            <w:shd w:val="clear" w:color="auto" w:fill="auto"/>
            <w:noWrap/>
            <w:vAlign w:val="bottom"/>
          </w:tcPr>
          <w:p w14:paraId="5DB547A2" w14:textId="442A7978" w:rsidR="002B302F" w:rsidRPr="00CD1426" w:rsidRDefault="002B302F" w:rsidP="00CD1426">
            <w:pPr>
              <w:tabs>
                <w:tab w:val="right" w:pos="540"/>
                <w:tab w:val="left" w:pos="720"/>
              </w:tabs>
              <w:spacing w:line="360" w:lineRule="auto"/>
              <w:jc w:val="both"/>
              <w:rPr>
                <w:rFonts w:ascii="Book Antiqua" w:hAnsi="Book Antiqua" w:cs="Arial"/>
                <w:lang w:val="en-US" w:eastAsia="zh-CN"/>
              </w:rPr>
            </w:pPr>
            <w:r w:rsidRPr="00CD1426">
              <w:rPr>
                <w:rFonts w:ascii="Book Antiqua" w:hAnsi="Book Antiqua" w:cs="Arial"/>
                <w:lang w:val="en-US"/>
              </w:rPr>
              <w:t>Data obta</w:t>
            </w:r>
            <w:r w:rsidR="001D7445" w:rsidRPr="00CD1426">
              <w:rPr>
                <w:rFonts w:ascii="Book Antiqua" w:hAnsi="Book Antiqua" w:cs="Arial"/>
                <w:lang w:val="en-US"/>
              </w:rPr>
              <w:t xml:space="preserve">ined, analyzed and adapted </w:t>
            </w:r>
            <w:proofErr w:type="spellStart"/>
            <w:r w:rsidR="001D7445" w:rsidRPr="00CD1426">
              <w:rPr>
                <w:rFonts w:ascii="Book Antiqua" w:hAnsi="Book Antiqua" w:cs="Arial"/>
                <w:lang w:val="en-US"/>
              </w:rPr>
              <w:t>from</w:t>
            </w:r>
            <w:r w:rsidR="001D7445" w:rsidRPr="00CD1426">
              <w:rPr>
                <w:rFonts w:ascii="Book Antiqua" w:hAnsi="Book Antiqua" w:cs="Arial"/>
                <w:lang w:val="en-US" w:eastAsia="zh-CN"/>
              </w:rPr>
              <w:t>r</w:t>
            </w:r>
            <w:proofErr w:type="spellEnd"/>
            <w:r w:rsidR="001D7445" w:rsidRPr="00CD1426">
              <w:rPr>
                <w:rFonts w:ascii="Book Antiqua" w:hAnsi="Book Antiqua" w:cs="Arial"/>
                <w:lang w:val="en-US" w:eastAsia="zh-CN"/>
              </w:rPr>
              <w:t xml:space="preserve"> Ref</w:t>
            </w:r>
            <w:r w:rsidRPr="00CD1426">
              <w:rPr>
                <w:rFonts w:ascii="Book Antiqua" w:hAnsi="Book Antiqua" w:cs="Arial"/>
                <w:lang w:val="en-US"/>
              </w:rPr>
              <w:fldChar w:fldCharType="begin" w:fldLock="1"/>
            </w:r>
            <w:r w:rsidR="001D4A08" w:rsidRPr="00CD1426">
              <w:rPr>
                <w:rFonts w:ascii="Book Antiqua" w:hAnsi="Book Antiqua" w:cs="Arial"/>
                <w:lang w:val="en-US"/>
              </w:rPr>
              <w:instrText>ADDIN CSL_CITATION { "citationItems" : [ { "id" : "ITEM-1", "itemData" : { "DOI" : "10.1053/j.gastro.2012.05.011", "ISSN" : "1528-0012", "PMID" : "22626609", "abstract" : "BACKGROUND &amp; AIMS: Little is known about factors associated with a sustained virologic response (SVR) among patients with hepatitis C virus (HCV) infection to treatment with protease inhibitors.\n\nMETHODS: Previously untreated patients (from the Serine Protease Inhibitor Therapy 2 [SPRINT-2] trial) and those who did not respond to prior therapy (from the Retreatment with HCV Serine Protease Inhibitor Boceprevir and PegIntron/Rebetol 2 [RESPOND-2] trial) received either a combination of peginterferon and ribavirin for 48 weeks or boceprevir, peginterferon, and ribavirin (triple therapy) after 4 weeks of peginterferon and ribavirin (total treatment duration, 28-48 wk). A good response to interferon was defined as a \u2265 1 log(10) decrease in HCV RNA at week 4; a poor response was defined as a &lt;1 log(10) decrease. We used multivariate regression analyses to identify baseline factors of the host (including the polymorphism interleukin [IL]-28B rs12979860) associated with response. The polymorphism IL-28B rs8099917 also was assessed.\n\nRESULTS: In the SPRINT-2 trial, factors that predicted a SVR to triple therapy included low viral load (odds ratio [OR], 11.6), IL-28B genotype (rs 12979860 CC vs TT and CT; ORs, 2.6 and 2.1, respectively), absence of cirrhosis (OR, 4.3), HCV subtype 1b (OR, 2.0), and non-black race (OR, 2.0). In the RESPOND-2 trial, the only factor significantly associated with a SVR was previous relapse, compared with previous nonresponse (OR, 2.6). Most patients with rs12979860 CC who received triple therapy had undetectable levels of HCV RNA by week 8 (76%-89%), and were eligible for shortened therapy. In both studies, IL-28B rs12979860 CC was associated more strongly with a good response to interferon than other baseline factors; however, a \u2265 1 log(10) decrease in HCV-RNA level at week 4 was associated more strongly with SVR than IL-28B rs12979860. Combining the rs8099917 and rs12979860 genotypes does not increase the association with SVR.\n\nCONCLUSIONS: The CC polymorphism at IL-28B rs12979860 is associated with response to triple therapy and can identify candidates for shorter treatment durations. A \u2265 1 log(10) decrease in HCV RNA at week 4 of therapy is the strongest predictor of a SVR, regardless of polymorphisms in IL-28B.", "author" : [ { "dropping-particle" : "", "family" : "Poordad", "given" : "Fred", "non-dropping-particle" : "", "parse-names" : false, "suffix" : "" }, { "dropping-particle" : "", "family" : "Bronowicki", "given" : "Jean-Pierre", "non-dropping-particle" : "", "parse-names" : false, "suffix" : "" }, { "dropping-particle" : "", "family" : "Gordon", "given" : "Stuart C", "non-dropping-particle" : "", "parse-names" : false, "suffix" : "" }, { "dropping-particle" : "", "family" : "Zeuzem", "given" : "Stefan", "non-dropping-particle" : "", "parse-names" : false, "suffix" : "" }, { "dropping-particle" : "", "family" : "Jacobson", "given" : "Ira M", "non-dropping-particle" : "", "parse-names" : false, "suffix" : "" }, { "dropping-particle" : "", "family" : "Sulkowski", "given" : "Mark S", "non-dropping-particle" : "", "parse-names" : false, "suffix" : "" }, { "dropping-particle" : "", "family" : "Poynard", "given" : "Thierry", "non-dropping-particle" : "", "parse-names" : false, "suffix" : "" }, { "dropping-particle" : "", "family" : "Morgan", "given" : "Timothy R", "non-dropping-particle" : "", "parse-names" : false, "suffix" : "" }, { "dropping-particle" : "", "family" : "Molony", "given" : "Cliona", "non-dropping-particle" : "", "parse-names" : false, "suffix" : "" }, { "dropping-particle" : "", "family" : "Pedicone", "given" : "Lisa D", "non-dropping-particle" : "", "parse-names" : false, "suffix" : "" }, { "dropping-particle" : "", "family" : "Sings", "given" : "Heather L", "non-dropping-particle" : "", "parse-names" : false, "suffix" : "" }, { "dropping-particle" : "", "family" : "Burroughs", "given" : "Margaret H", "non-dropping-particle" : "", "parse-names" : false, "suffix" : "" }, { "dropping-particle" : "", "family" : "Sniukiene", "given" : "Vilma", "non-dropping-particle" : "", "parse-names" : false, "suffix" : "" }, { "dropping-particle" : "", "family" : "Boparai", "given" : "Navdeep", "non-dropping-particle" : "", "parse-names" : false, "suffix" : "" }, { "dropping-particle" : "", "family" : "Goteti", "given" : "Venkata S", "non-dropping-particle" : "", "parse-names" : false, "suffix" : "" }, { "dropping-particle" : "", "family" : "Brass", "given" : "Clifford A", "non-dropping-particle" : "", "parse-names" : false, "suffix" : "" }, { "dropping-particle" : "", "family" : "Albrecht", "given" : "Janice K", "non-dropping-particle" : "", "parse-names" : false, "suffix" : "" }, { "dropping-particle" : "", "family" : "Bacon", "given" : "Bruce R", "non-dropping-particle" : "", "parse-names" : false, "suffix" : "" } ], "container-title" : "Gastroenterology", "id" : "ITEM-1", "issue" : "3", "issued" : { "date-parts" : [ [ "2012", "9" ] ] }, "page" : "608-18.e1-5", "title" : "Factors that predict response of patients with hepatitis C virus infection to boceprevir.", "type" : "article-journal", "volume" : "143" }, "uris" : [ "http://www.mendeley.com/documents/?uuid=516c62d2-09e3-4ed0-b97d-05bd8d7ef28d" ] }, { "id" : "ITEM-2", "itemData" : { "DOI" : "10.1056/NEJMoa1012912", "ISSN" : "1533-4406", "PMID" : "21696307", "abstract" : "In phase 2 trials, telaprevir, a hepatitis C virus (HCV) genotype 1 protease inhibitor, in combination with peginterferon-ribavirin, as compared with peginterferon-ribavirin alone, has shown improved efficacy, with potential for shortening the duration of treatment in a majority of patients.", "author" : [ { "dropping-particle" : "", "family" : "Jacobson", "given" : "Ira M", "non-dropping-particle" : "", "parse-names" : false, "suffix" : "" }, { "dropping-particle" : "", "family" : "McHutchison", "given" : "John G", "non-dropping-particle" : "", "parse-names" : false, "suffix" : "" }, { "dropping-particle" : "", "family" : "Dusheiko", "given" : "Geoffrey", "non-dropping-particle" : "", "parse-names" : false, "suffix" : "" }, { "dropping-particle" : "", "family" : "Bisceglie", "given" : "Adrian M", "non-dropping-particle" : "Di", "parse-names" : false, "suffix" : "" }, { "dropping-particle" : "", "family" : "Reddy", "given" : "K Rajender", "non-dropping-particle" : "", "parse-names" : false, "suffix" : "" }, { "dropping-particle" : "", "family" : "Bzowej", "given" : "Natalie H", "non-dropping-particle" : "", "parse-names" : false, "suffix" : "" }, { "dropping-particle" : "", "family" : "Marcellin", "given" : "Patrick", "non-dropping-particle" : "", "parse-names" : false, "suffix" : "" }, { "dropping-particle" : "", "family" : "Muir", "given" : "Andrew J", "non-dropping-particle" : "", "parse-names" : false, "suffix" : "" }, { "dropping-particle" : "", "family" : "Ferenci", "given" : "Peter", "non-dropping-particle" : "", "parse-names" : false, "suffix" : "" }, { "dropping-particle" : "", "family" : "Flisiak", "given" : "Robert", "non-dropping-particle" : "", "parse-names" : false, "suffix" : "" }, { "dropping-particle" : "", "family" : "George", "given" : "Jacob", "non-dropping-particle" : "", "parse-names" : false, "suffix" : "" }, { "dropping-particle" : "", "family" : "Rizzetto", "given" : "Mario", "non-dropping-particle" : "", "parse-names" : false, "suffix" : "" }, { "dropping-particle" : "", "family" : "Shouval", "given" : "Daniel", "non-dropping-particle" : "", "parse-names" : false, "suffix" : "" }, { "dropping-particle" : "", "family" : "Sola", "given" : "Ricard", "non-dropping-particle" : "", "parse-names" : false, "suffix" : "" }, { "dropping-particle" : "", "family" : "Terg", "given" : "Ruben a", "non-dropping-particle" : "", "parse-names" : false, "suffix" : "" }, { "dropping-particle" : "", "family" : "Yoshida", "given" : "Eric M", "non-dropping-particle" : "", "parse-names" : false, "suffix" : "" }, { "dropping-particle" : "", "family" : "Adda", "given" : "Nathalie", "non-dropping-particle" : "", "parse-names" : false, "suffix" : "" }, { "dropping-particle" : "", "family" : "Bengtsson", "given" : "Leif", "non-dropping-particle" : "", "parse-names" : false, "suffix" : "" }, { "dropping-particle" : "", "family" : "Sankoh", "given" : "Abdul J", "non-dropping-particle" : "", "parse-names" : false, "suffix" : "" }, { "dropping-particle" : "", "family" : "Kieffer", "given" : "Tara L", "non-dropping-particle" : "", "parse-names" : false, "suffix" : "" }, { "dropping-particle" : "", "family" : "George", "given" : "Shelley", "non-dropping-particle" : "", "parse-names" : false, "suffix" : "" }, { "dropping-particle" : "", "family" : "Kauffman", "given" : "Robert S", "non-dropping-particle" : "", "parse-names" : false, "suffix" : "" }, { "dropping-particle" : "", "family" : "Zeuzem", "given" : "Stefan", "non-dropping-particle" : "", "parse-names" : false, "suffix" : "" } ], "container-title" : "The New England journal of medicine", "id" : "ITEM-2", "issue" : "25", "issued" : { "date-parts" : [ [ "2011", "6", "23" ] ] }, "page" : "2405-16", "title" : "Telaprevir for previously untreated chronic hepatitis C virus infection.", "type" : "article-journal", "volume" : "364" }, "uris" : [ "http://www.mendeley.com/documents/?uuid=9eaa9077-5e5f-4fe3-97a7-cd8dc90cad78" ] }, { "id" : "ITEM-3", "itemData" : { "DOI" : "10.1056/NEJMoa1013086", "ISSN" : "1533-4406", "PMID" : "21696308", "abstract" : "Up to 60% of patients with hepatitis C virus (HCV) genotype 1 infection do not have a sustained virologic response to therapy with peginterferon alfa plus ribavirin.", "author" : [ { "dropping-particle" : "", "family" : "Zeuzem", "given" : "Stefan", "non-dropping-particle" : "", "parse-names" : false, "suffix" : "" }, { "dropping-particle" : "", "family" : "Andreone", "given" : "Pietro", "non-dropping-particle" : "", "parse-names" : false, "suffix" : "" }, { "dropping-particle" : "", "family" : "Pol", "given" : "Stanislas", "non-dropping-particle" : "", "parse-names" : false, "suffix" : "" }, { "dropping-particle" : "", "family" : "Lawitz", "given" : "Eric", "non-dropping-particle" : "", "parse-names" : false, "suffix" : "" }, { "dropping-particle" : "", "family" : "Diago", "given" : "Moises", "non-dropping-particle" : "", "parse-names" : false, "suffix" : "" }, { "dropping-particle" : "", "family" : "Roberts", "given" : "Stuart", "non-dropping-particle" : "", "parse-names" : false, "suffix" : "" }, { "dropping-particle" : "", "family" : "Focaccia", "given" : "Roberto", "non-dropping-particle" : "", "parse-names" : false, "suffix" : "" }, { "dropping-particle" : "", "family" : "Younossi", "given" : "Zobair", "non-dropping-particle" : "", "parse-names" : false, "suffix" : "" }, { "dropping-particle" : "", "family" : "Foster", "given" : "Graham R", "non-dropping-particle" : "", "parse-names" : false, "suffix" : "" }, { "dropping-particle" : "", "family" : "Horban", "given" : "Andrzej", "non-dropping-particle" : "", "parse-names" : false, "suffix" : "" }, { "dropping-particle" : "", "family" : "Ferenci", "given" : "Peter", "non-dropping-particle" : "", "parse-names" : false, "suffix" : "" }, { "dropping-particle" : "", "family" : "Nevens", "given" : "Frederik", "non-dropping-particle" : "", "parse-names" : false, "suffix" : "" }, { "dropping-particle" : "", "family" : "M\u00fcllhaupt", "given" : "Beat", "non-dropping-particle" : "", "parse-names" : false, "suffix" : "" }, { "dropping-particle" : "", "family" : "Pockros", "given" : "Paul", "non-dropping-particle" : "", "parse-names" : false, "suffix" : "" }, { "dropping-particle" : "", "family" : "Terg", "given" : "Ruben", "non-dropping-particle" : "", "parse-names" : false, "suffix" : "" }, { "dropping-particle" : "", "family" : "Shouval", "given" : "Daniel", "non-dropping-particle" : "", "parse-names" : false, "suffix" : "" }, { "dropping-particle" : "", "family" : "Hoek", "given" : "Bart", "non-dropping-particle" : "van", "parse-names" : false, "suffix" : "" }, { "dropping-particle" : "", "family" : "Weiland", "given" : "Ola", "non-dropping-particle" : "", "parse-names" : false, "suffix" : "" }, { "dropping-particle" : "", "family" : "Heeswijk", "given" : "Rolf", "non-dropping-particle" : "Van", "parse-names" : false, "suffix" : "" }, { "dropping-particle" : "", "family" : "Meyer", "given" : "Sandra", "non-dropping-particle" : "De", "parse-names" : false, "suffix" : "" }, { "dropping-particle" : "", "family" : "Luo", "given" : "Don", "non-dropping-particle" : "", "parse-names" : false, "suffix" : "" }, { "dropping-particle" : "", "family" : "Boogaerts", "given" : "Griet", "non-dropping-particle" : "", "parse-names" : false, "suffix" : "" }, { "dropping-particle" : "", "family" : "Polo", "given" : "Ramon", "non-dropping-particle" : "", "parse-names" : false, "suffix" : "" }, { "dropping-particle" : "", "family" : "Picchio", "given" : "Gaston", "non-dropping-particle" : "", "parse-names" : false, "suffix" : "" }, { "dropping-particle" : "", "family" : "Beumont", "given" : "Maria", "non-dropping-particle" : "", "parse-names" : false, "suffix" : "" } ], "container-title" : "The New England journal of medicine", "id" : "ITEM-3", "issue" : "25", "issued" : { "date-parts" : [ [ "2011", "6", "23" ] ] }, "page" : "2417-28", "title" : "Telaprevir for retreatment of HCV infection.", "type" : "article-journal", "volume" : "364" }, "uris" : [ "http://www.mendeley.com/documents/?uuid=e8dfc464-989f-4db1-a090-36404e673d78" ] }, { "id" : "ITEM-4", "itemData" : { "DOI" : "10.1056/NEJMoa0908014", "ISSN" : "1533-4406", "PMID" : "20375406", "abstract" : "BACKGROUND: Patients with genotype 1 hepatitis C virus (HCV) who do not have a sustained response to therapy with peginterferon alfa and ribavirin have a low likelihood of success with retreatment.\n\nMETHODS: We randomly assigned patients with HCV genotype 1 who had not had a sustained virologic response after peginterferon alfa-ribavirin therapy to one of four treatment groups: 115 patients to the T12PR24 group, receiving telaprevir (1125-mg loading dose, then 750 mg every 8 hours) for 12 weeks and peginterferon alfa-2a (180 microg per week) and ribavirin (1000 or 1200 mg per day, according to body weight) for 24 weeks; 113 patients to the T24PR48 group, receiving telaprevir for 24 weeks and peginterferon alfa-2a and ribavirin for 48 weeks (at the same doses as in the T12PR24 group); 111 patients to the T24P24 group, receiving telaprevir and peginterferon alfa-2a for 24 weeks (at the same doses as in the T12PR24 group); and 114 patients to the PR48 (or control) group, receiving peginterferon alfa-2a and ribavirin for 48 weeks (at the same doses as in the T12PR24 group). The primary end point was sustained virologic response (undetectable HCV RNA levels 24 weeks after the last dose of study drugs).\n\nRESULTS: The rates of sustained virologic response in the three telaprevir groups--51% in the T12PR24 group, 53% in the T24PR48 group, and 24% in the T24P24 group--were significantly higher than the rate in the control group (14%; P&lt;0.001, P&lt;0.001, and P=0.02, respectively). Response rates were higher among patients who had previously had relapses than among nonresponders. One of the most common adverse events in the telaprevir groups was rash (overall, occurring in 51% of patients, with severe rash in 5%). Discontinuation of study drugs because of adverse events was more frequent in the telaprevir groups than in the control group (15% vs. 4%).\n\nCONCLUSIONS: In HCV-infected patients in whom initial peginterferon alfa and ribavirin treatment failed, retreatment with telaprevir in combination with peginterferon alfa-2a and ribavirin was more effective than retreatment with peginterferon alfa-2a and ribavirin alone. (ClinicalTrials.gov number, NCT00420784.)", "author" : [ { "dropping-particle" : "", "family" : "McHutchison", "given" : "John G", "non-dropping-particle" : "", "parse-names" : false, "suffix" : "" }, { "dropping-particle" : "", "family" : "Manns", "given" : "Michael P", "non-dropping-particle" : "", "parse-names" : false, "suffix" : "" }, { "dropping-particle" : "", "family" : "Muir", "given" : "Andrew J", "non-dropping-particle" : "", "parse-names" : false, "suffix" : "" }, { "dropping-particle" : "", "family" : "Terrault", "given" : "Norah A", "non-dropping-particle" : "", "parse-names" : false, "suffix" : "" }, { "dropping-particle" : "", "family" : "Jacobson", "given" : "Ira M", "non-dropping-particle" : "", "parse-names" : false, "suffix" : "" }, { "dropping-particle" : "", "family" : "Afdhal", "given" : "Nezam H", "non-dropping-particle" : "", "parse-names" : false, "suffix" : "" }, { "dropping-particle" : "", "family" : "Heathcote", "given" : "E Jenny", "non-dropping-particle" : "", "parse-names" : false, "suffix" : "" }, { "dropping-particle" : "", "family" : "Zeuzem", "given" : "Stefan", "non-dropping-particle" : "", "parse-names" : false, "suffix" : "" }, { "dropping-particle" : "", "family" : "Reesink", "given" : "Hendrik W", "non-dropping-particle" : "", "parse-names" : false, "suffix" : "" }, { "dropping-particle" : "", "family" : "Garg", "given" : "Jyotsna", "non-dropping-particle" : "", "parse-names" : false, "suffix" : "" }, { "dropping-particle" : "", "family" : "Bsharat", "given" : "Mohammad", "non-dropping-particle" : "", "parse-names" : false, "suffix" : "" }, { "dropping-particle" : "", "family" : "George", "given" : "Shelley", "non-dropping-particle" : "", "parse-names" : false, "suffix" : "" }, { "dropping-particle" : "", "family" : "Kauffman", "given" : "Robert S", "non-dropping-particle" : "", "parse-names" : false, "suffix" : "" }, { "dropping-particle" : "", "family" : "Adda", "given" : "Nathalie", "non-dropping-particle" : "", "parse-names" : false, "suffix" : "" }, { "dropping-particle" : "", "family" : "Bisceglie", "given" : "Adrian M", "non-dropping-particle" : "Di", "parse-names" : false, "suffix" : "" } ], "container-title" : "The New England journal of medicine", "id" : "ITEM-4", "issue" : "14", "issued" : { "date-parts" : [ [ "2010", "4", "8" ] ] }, "page" : "1292-303", "title" : "Telaprevir for previously treated chronic HCV infection.", "type" : "article-journal", "volume" : "362" }, "uris" : [ "http://www.mendeley.com/documents/?uuid=fa9dfd29-641a-4071-98e6-4d737c6368dd" ] }, { "id" : "ITEM-5", "itemData" : { "ISSN" : "1533-4406", "abstract" : "In patients with chronic infection with hepatitis C virus (HCV) genotype 1 who do not have a sustained response to therapy with peginterferon-ribavirin, outcomes after retreatment are suboptimal. Boceprevir, a protease inhibitor that binds to the HCV nonstructural 3 (NS3) active site, has been suggested as an additional treatment.", "author" : [ { "dropping-particle" : "", "family" : "Bacon", "given" : "Bruce R", "non-dropping-particle" : "", "parse-names" : false, "suffix" : "" }, { "dropping-particle" : "", "family" : "Gordon", "given" : "Stuart C", "non-dropping-particle" : "", "parse-names" : false, "suffix" : "" }, { "dropping-particle" : "", "family" : "Lawitz", "given" : "Eric", "non-dropping-particle" : "", "parse-names" : false, "suffix" : "" }, { "dropping-particle" : "", "family" : "Marcellin", "given" : "Patrick", "non-dropping-particle" : "", "parse-names" : false, "suffix" : "" }, { "dropping-particle" : "", "family" : "Vierling", "given" : "John M", "non-dropping-particle" : "", "parse-names" : false, "suffix" : "" }, { "dropping-particle" : "", "family" : "Zeuzem", "given" : "Stefan", "non-dropping-particle" : "", "parse-names" : false, "suffix" : "" }, { "dropping-particle" : "", "family" : "Poordad", "given" : "Fred", "non-dropping-particle" : "", "parse-names" : false, "suffix" : "" }, { "dropping-particle" : "", "family" : "Goodman", "given" : "Zachary D", "non-dropping-particle" : "", "parse-names" : false, "suffix" : "" }, { "dropping-particle" : "", "family" : "Sings", "given" : "Heather L", "non-dropping-particle" : "", "parse-names" : false, "suffix" : "" }, { "dropping-particle" : "", "family" : "Boparai", "given" : "Navdeep", "non-dropping-particle" : "", "parse-names" : false, "suffix" : "" }, { "dropping-particle" : "", "family" : "Burroughs", "given" : "Margaret", "non-dropping-particle" : "", "parse-names" : false, "suffix" : "" }, { "dropping-particle" : "", "family" : "Brass", "given" : "Clifford A", "non-dropping-particle" : "", "parse-names" : false, "suffix" : "" }, { "dropping-particle" : "", "family" : "Albrecht", "given" : "Janice K", "non-dropping-particle" : "", "parse-names" : false, "suffix" : "" }, { "dropping-particle" : "", "family" : "Esteban", "given" : "Rafael", "non-dropping-particle" : "", "parse-names" : false, "suffix" : "" } ], "container-title" : "The New England journal of medicine", "id" : "ITEM-5", "issue" : "13", "issued" : { "date-parts" : [ [ "2011", "3", "31" ] ] }, "page" : "1207-17", "title" : "Boceprevir for previously treated chronic HCV genotype 1 infection.", "type" : "article-journal", "volume" : "364" }, "uris" : [ "http://www.mendeley.com/documents/?uuid=e82af896-04d0-4a63-98c2-90c2260298b2" ] }, { "id" : "ITEM-6", "itemData" : { "DOI" : "10.1056/NEJMoa1010494", "ISSN" : "1533-4406", "PMID" : "21449783", "abstract" : "BACKGROUND: Peginterferon-ribavirin therapy is the current standard of care for chronic infection with hepatitis C virus (HCV). The rate of sustained virologic response has been below 50% in cases of HCV genotype 1 infection. Boceprevir, a potent oral HCV-protease inhibitor, has been evaluated as an additional treatment in phase 1 and phase 2 studies.\n\nMETHODS: We conducted a double-blind study in which previously untreated adults with HCV genotype 1 infection were randomly assigned to one of three groups. In all three groups, peginterferon alfa-2b and ribavirin were administered for 4 weeks (the lead-in period). Subsequently, group 1 (the control group) received placebo plus peginterferon-ribavirin for 44 weeks; group 2 received boceprevir plus peginterferon-ribavirin for 24 weeks, and those with a detectable HCV RNA level between weeks 8 and 24 received placebo plus peginterferon-ribavirin for an additional 20 weeks; and group 3 received boceprevir plus peginterferon-ribavirin for 44 weeks. Nonblack patients and black patients were enrolled and analyzed separately.\n\nRESULTS: A total of 938 nonblack and 159 black patients were treated. In the nonblack cohort, a sustained virologic response was achieved in 125 of the 311 patients (40%) in group 1, in 211 of the 316 patients (67%) in group 2 (P&lt;0.001), and in 213 of the 311 patients (68%) in group 3 (P&lt;0.001). In the black cohort, a sustained virologic response was achieved in 12 of the 52 patients (23%) in group 1, in 22 of the 52 patients (42%) in group 2 (P=0.04), and in 29 of the 55 patients (53%) in group 3 (P=0.004). In group 2, a total of 44% of patients received peginterferon-ribavirin for 28 weeks. Anemia led to dose reductions in 13% of controls and 21% of boceprevir recipients, with discontinuations in 1% and 2%, respectively.\n\nCONCLUSIONS: The addition of boceprevir to standard therapy with peginterferon-ribavirin, as compared with standard therapy alone, significantly increased the rates of sustained virologic response in previously untreated adults with chronic HCV genotype 1 infection. The rates were similar with 24 weeks and 44 weeks of boceprevir. (Funded by Schering-Plough [now Merck]; SPRINT-2 ClinicalTrials.gov number, NCT00705432.).", "author" : [ { "dropping-particle" : "", "family" : "Poordad", "given" : "Fred", "non-dropping-particle" : "", "parse-names" : false, "suffix" : "" }, { "dropping-particle" : "", "family" : "McCone", "given" : "Jonathan", "non-dropping-particle" : "", "parse-names" : false, "suffix" : "" }, { "dropping-particle" : "", "family" : "Bacon", "given" : "Bruce R", "non-dropping-particle" : "", "parse-names" : false, "suffix" : "" }, { "dropping-particle" : "", "family" : "Bruno", "given" : "Savino", "non-dropping-particle" : "", "parse-names" : false, "suffix" : "" }, { "dropping-particle" : "", "family" : "Manns", "given" : "Michael P", "non-dropping-particle" : "", "parse-names" : false, "suffix" : "" }, { "dropping-particle" : "", "family" : "Sulkowski", "given" : "Mark S", "non-dropping-particle" : "", "parse-names" : false, "suffix" : "" }, { "dropping-particle" : "", "family" : "Jacobson", "given" : "Ira M", "non-dropping-particle" : "", "parse-names" : false, "suffix" : "" }, { "dropping-particle" : "", "family" : "Reddy", "given" : "K Rajender", "non-dropping-particle" : "", "parse-names" : false, "suffix" : "" }, { "dropping-particle" : "", "family" : "Goodman", "given" : "Zachary D", "non-dropping-particle" : "", "parse-names" : false, "suffix" : "" }, { "dropping-particle" : "", "family" : "Boparai", "given" : "Navdeep", "non-dropping-particle" : "", "parse-names" : false, "suffix" : "" }, { "dropping-particle" : "", "family" : "DiNubile", "given" : "Mark J", "non-dropping-particle" : "", "parse-names" : false, "suffix" : "" }, { "dropping-particle" : "", "family" : "Sniukiene", "given" : "Vilma", "non-dropping-particle" : "", "parse-names" : false, "suffix" : "" }, { "dropping-particle" : "", "family" : "Brass", "given" : "Clifford A", "non-dropping-particle" : "", "parse-names" : false, "suffix" : "" }, { "dropping-particle" : "", "family" : "Albrecht", "given" : "Janice K", "non-dropping-particle" : "", "parse-names" : false, "suffix" : "" }, { "dropping-particle" : "", "family" : "Bronowicki", "given" : "Jean-Pierre", "non-dropping-particle" : "", "parse-names" : false, "suffix" : "" } ], "container-title" : "The New England journal of medicine", "id" : "ITEM-6", "issue" : "13", "issued" : { "date-parts" : [ [ "2011", "3", "31" ] ] }, "page" : "1195-206", "title" : "Boceprevir for untreated chronic HCV genotype 1 infection.", "type" : "article-journal", "volume" : "364" }, "uris" : [ "http://www.mendeley.com/documents/?uuid=30f6b073-45d0-4e95-9222-9535822b2f9b" ] } ], "mendeley" : { "formattedCitation" : "&lt;sup&gt;[8,9,40,41,44,45]&lt;/sup&gt;", "plainTextFormattedCitation" : "[8,9,40,41,44,45]", "previouslyFormattedCitation" : "&lt;sup&gt;[8,9,40,41,44,45]&lt;/sup&gt;" }, "properties" : { "noteIndex" : 0 }, "schema" : "https://github.com/citation-style-language/schema/raw/master/csl-citation.json" }</w:instrText>
            </w:r>
            <w:r w:rsidRPr="00CD1426">
              <w:rPr>
                <w:rFonts w:ascii="Book Antiqua" w:hAnsi="Book Antiqua" w:cs="Arial"/>
                <w:lang w:val="en-US"/>
              </w:rPr>
              <w:fldChar w:fldCharType="separate"/>
            </w:r>
            <w:r w:rsidR="001D4A08" w:rsidRPr="00CD1426">
              <w:rPr>
                <w:rFonts w:ascii="Book Antiqua" w:hAnsi="Book Antiqua" w:cs="Arial"/>
                <w:noProof/>
                <w:vertAlign w:val="superscript"/>
                <w:lang w:val="en-US"/>
              </w:rPr>
              <w:t>[8,9,40,41,44,45]</w:t>
            </w:r>
            <w:r w:rsidRPr="00CD1426">
              <w:rPr>
                <w:rFonts w:ascii="Book Antiqua" w:hAnsi="Book Antiqua" w:cs="Arial"/>
                <w:lang w:val="en-US"/>
              </w:rPr>
              <w:fldChar w:fldCharType="end"/>
            </w:r>
            <w:r w:rsidR="00F50DCF" w:rsidRPr="00CD1426">
              <w:rPr>
                <w:rFonts w:ascii="Book Antiqua" w:hAnsi="Book Antiqua" w:cs="Arial"/>
                <w:lang w:val="en-US" w:eastAsia="zh-CN"/>
              </w:rPr>
              <w:t xml:space="preserve">. </w:t>
            </w:r>
            <w:r w:rsidRPr="00CD1426">
              <w:rPr>
                <w:rFonts w:ascii="Book Antiqua" w:hAnsi="Book Antiqua" w:cs="Arial"/>
                <w:noProof/>
                <w:lang w:val="en-US"/>
              </w:rPr>
              <w:t>PR48</w:t>
            </w:r>
            <w:r w:rsidR="00F50DCF" w:rsidRPr="00CD1426">
              <w:rPr>
                <w:rFonts w:ascii="Book Antiqua" w:hAnsi="Book Antiqua" w:cs="Arial"/>
                <w:noProof/>
                <w:lang w:val="en-US" w:eastAsia="zh-CN"/>
              </w:rPr>
              <w:t>:</w:t>
            </w:r>
            <w:r w:rsidRPr="00CD1426">
              <w:rPr>
                <w:rFonts w:ascii="Book Antiqua" w:hAnsi="Book Antiqua" w:cs="Arial"/>
                <w:noProof/>
                <w:lang w:val="en-US"/>
              </w:rPr>
              <w:t xml:space="preserve"> </w:t>
            </w:r>
            <w:r w:rsidR="00F50DCF" w:rsidRPr="00CD1426">
              <w:rPr>
                <w:rFonts w:ascii="Book Antiqua" w:hAnsi="Book Antiqua" w:cs="Arial"/>
                <w:noProof/>
                <w:lang w:val="en-US"/>
              </w:rPr>
              <w:t xml:space="preserve">Standard </w:t>
            </w:r>
            <w:r w:rsidRPr="00CD1426">
              <w:rPr>
                <w:rFonts w:ascii="Book Antiqua" w:hAnsi="Book Antiqua" w:cs="Arial"/>
                <w:noProof/>
                <w:lang w:val="en-US"/>
              </w:rPr>
              <w:t>therapy with pegylated interferon plus ribavirin for 48 w</w:t>
            </w:r>
            <w:r w:rsidR="00F50DCF" w:rsidRPr="00CD1426">
              <w:rPr>
                <w:rFonts w:ascii="Book Antiqua" w:hAnsi="Book Antiqua" w:cs="Arial"/>
                <w:noProof/>
                <w:lang w:val="en-US"/>
              </w:rPr>
              <w:t>k</w:t>
            </w:r>
            <w:r w:rsidRPr="00CD1426">
              <w:rPr>
                <w:rFonts w:ascii="Book Antiqua" w:hAnsi="Book Antiqua" w:cs="Arial"/>
                <w:noProof/>
                <w:lang w:val="en-US"/>
              </w:rPr>
              <w:t>; BOCRGT</w:t>
            </w:r>
            <w:r w:rsidR="00F50DCF" w:rsidRPr="00CD1426">
              <w:rPr>
                <w:rFonts w:ascii="Book Antiqua" w:hAnsi="Book Antiqua" w:cs="Arial"/>
                <w:noProof/>
                <w:lang w:val="en-US" w:eastAsia="zh-CN"/>
              </w:rPr>
              <w:t>:</w:t>
            </w:r>
            <w:r w:rsidRPr="00CD1426">
              <w:rPr>
                <w:rFonts w:ascii="Book Antiqua" w:hAnsi="Book Antiqua" w:cs="Arial"/>
                <w:noProof/>
                <w:lang w:val="en-US"/>
              </w:rPr>
              <w:t xml:space="preserve"> </w:t>
            </w:r>
            <w:r w:rsidR="00F50DCF" w:rsidRPr="00CD1426">
              <w:rPr>
                <w:rFonts w:ascii="Book Antiqua" w:hAnsi="Book Antiqua" w:cs="Arial"/>
                <w:noProof/>
                <w:lang w:val="en-US"/>
              </w:rPr>
              <w:t xml:space="preserve">Boceprevir </w:t>
            </w:r>
            <w:r w:rsidRPr="00CD1426">
              <w:rPr>
                <w:rFonts w:ascii="Book Antiqua" w:hAnsi="Book Antiqua" w:cs="Arial"/>
                <w:noProof/>
                <w:lang w:val="en-US"/>
              </w:rPr>
              <w:t>with therapy possibly shortened by response guided therapy; BOCPR48</w:t>
            </w:r>
            <w:r w:rsidR="00F50DCF" w:rsidRPr="00CD1426">
              <w:rPr>
                <w:rFonts w:ascii="Book Antiqua" w:hAnsi="Book Antiqua" w:cs="Arial"/>
                <w:noProof/>
                <w:lang w:val="en-US" w:eastAsia="zh-CN"/>
              </w:rPr>
              <w:t xml:space="preserve">: </w:t>
            </w:r>
            <w:r w:rsidR="00F50DCF" w:rsidRPr="00CD1426">
              <w:rPr>
                <w:rFonts w:ascii="Book Antiqua" w:hAnsi="Book Antiqua" w:cs="Arial"/>
                <w:noProof/>
                <w:lang w:val="en-US"/>
              </w:rPr>
              <w:t xml:space="preserve">Boceprevir </w:t>
            </w:r>
            <w:r w:rsidRPr="00CD1426">
              <w:rPr>
                <w:rFonts w:ascii="Book Antiqua" w:hAnsi="Book Antiqua" w:cs="Arial"/>
                <w:noProof/>
                <w:lang w:val="en-US"/>
              </w:rPr>
              <w:t>with treatment fixed time for 48 w</w:t>
            </w:r>
            <w:r w:rsidR="00F50DCF" w:rsidRPr="00CD1426">
              <w:rPr>
                <w:rFonts w:ascii="Book Antiqua" w:hAnsi="Book Antiqua" w:cs="Arial"/>
                <w:noProof/>
                <w:lang w:val="en-US"/>
              </w:rPr>
              <w:t>k</w:t>
            </w:r>
            <w:r w:rsidRPr="00CD1426">
              <w:rPr>
                <w:rFonts w:ascii="Book Antiqua" w:hAnsi="Book Antiqua" w:cs="Arial"/>
                <w:noProof/>
                <w:lang w:val="en-US"/>
              </w:rPr>
              <w:t>; T12PR48</w:t>
            </w:r>
            <w:r w:rsidR="00F50DCF" w:rsidRPr="00CD1426">
              <w:rPr>
                <w:rFonts w:ascii="Book Antiqua" w:hAnsi="Book Antiqua" w:cs="Arial"/>
                <w:noProof/>
                <w:lang w:val="en-US" w:eastAsia="zh-CN"/>
              </w:rPr>
              <w:t>:</w:t>
            </w:r>
            <w:r w:rsidRPr="00CD1426">
              <w:rPr>
                <w:rFonts w:ascii="Book Antiqua" w:hAnsi="Book Antiqua" w:cs="Arial"/>
                <w:noProof/>
                <w:lang w:val="en-US"/>
              </w:rPr>
              <w:t xml:space="preserve"> </w:t>
            </w:r>
            <w:r w:rsidR="00F50DCF" w:rsidRPr="00CD1426">
              <w:rPr>
                <w:rFonts w:ascii="Book Antiqua" w:hAnsi="Book Antiqua" w:cs="Arial"/>
                <w:noProof/>
                <w:lang w:val="en-US"/>
              </w:rPr>
              <w:t xml:space="preserve">Telaprevir </w:t>
            </w:r>
            <w:r w:rsidRPr="00CD1426">
              <w:rPr>
                <w:rFonts w:ascii="Book Antiqua" w:hAnsi="Book Antiqua" w:cs="Arial"/>
                <w:noProof/>
                <w:lang w:val="en-US"/>
              </w:rPr>
              <w:t>by 12 w</w:t>
            </w:r>
            <w:r w:rsidR="00F50DCF" w:rsidRPr="00CD1426">
              <w:rPr>
                <w:rFonts w:ascii="Book Antiqua" w:hAnsi="Book Antiqua" w:cs="Arial"/>
                <w:noProof/>
                <w:lang w:val="en-US" w:eastAsia="zh-CN"/>
              </w:rPr>
              <w:t>k</w:t>
            </w:r>
            <w:r w:rsidR="00F50DCF" w:rsidRPr="00CD1426">
              <w:rPr>
                <w:rFonts w:ascii="Book Antiqua" w:hAnsi="Book Antiqua" w:cs="Arial"/>
                <w:noProof/>
                <w:lang w:val="en-US"/>
              </w:rPr>
              <w:t xml:space="preserve"> and standard therapy for 48 wk</w:t>
            </w:r>
            <w:r w:rsidR="00F50DCF" w:rsidRPr="00CD1426">
              <w:rPr>
                <w:rFonts w:ascii="Book Antiqua" w:hAnsi="Book Antiqua" w:cs="Arial"/>
                <w:noProof/>
                <w:lang w:val="en-US" w:eastAsia="zh-CN"/>
              </w:rPr>
              <w:t>.</w:t>
            </w:r>
          </w:p>
          <w:p w14:paraId="0E89EE3E" w14:textId="77777777" w:rsidR="002B302F" w:rsidRPr="00CD1426" w:rsidRDefault="002B302F" w:rsidP="00CD1426">
            <w:pPr>
              <w:tabs>
                <w:tab w:val="right" w:pos="540"/>
                <w:tab w:val="left" w:pos="720"/>
              </w:tabs>
              <w:spacing w:line="360" w:lineRule="auto"/>
              <w:jc w:val="both"/>
              <w:rPr>
                <w:rFonts w:ascii="Book Antiqua" w:hAnsi="Book Antiqua"/>
                <w:lang w:val="en-US" w:eastAsia="en-US"/>
              </w:rPr>
            </w:pPr>
          </w:p>
        </w:tc>
      </w:tr>
    </w:tbl>
    <w:p w14:paraId="06895822" w14:textId="77777777" w:rsidR="002B302F" w:rsidRPr="00CD1426" w:rsidRDefault="002B302F" w:rsidP="00CD1426">
      <w:pPr>
        <w:tabs>
          <w:tab w:val="right" w:pos="540"/>
          <w:tab w:val="left" w:pos="720"/>
        </w:tabs>
        <w:spacing w:line="360" w:lineRule="auto"/>
        <w:ind w:left="720" w:hanging="720"/>
        <w:jc w:val="both"/>
        <w:rPr>
          <w:rFonts w:ascii="Book Antiqua" w:hAnsi="Book Antiqua" w:cs="Arial"/>
          <w:lang w:val="en-US"/>
        </w:rPr>
      </w:pPr>
    </w:p>
    <w:p w14:paraId="58703516" w14:textId="1EC1A376" w:rsidR="00F50DCF" w:rsidRPr="00CD1426" w:rsidRDefault="00F50DCF" w:rsidP="00CD1426">
      <w:pPr>
        <w:tabs>
          <w:tab w:val="left" w:pos="0"/>
          <w:tab w:val="right" w:pos="540"/>
        </w:tabs>
        <w:spacing w:line="360" w:lineRule="auto"/>
        <w:jc w:val="both"/>
        <w:rPr>
          <w:rFonts w:ascii="Book Antiqua" w:hAnsi="Book Antiqua" w:cs="Arial"/>
          <w:b/>
          <w:lang w:val="en-US" w:eastAsia="zh-CN"/>
        </w:rPr>
      </w:pPr>
      <w:r w:rsidRPr="00CD1426">
        <w:rPr>
          <w:rFonts w:ascii="Book Antiqua" w:hAnsi="Book Antiqua" w:cs="Arial"/>
          <w:b/>
          <w:lang w:val="en-US"/>
        </w:rPr>
        <w:t>Table 2</w:t>
      </w:r>
      <w:r w:rsidRPr="00CD1426">
        <w:rPr>
          <w:rFonts w:ascii="Book Antiqua" w:hAnsi="Book Antiqua" w:cs="Arial"/>
          <w:lang w:val="en-US"/>
        </w:rPr>
        <w:t xml:space="preserve"> </w:t>
      </w:r>
      <w:proofErr w:type="spellStart"/>
      <w:r w:rsidRPr="00CD1426">
        <w:rPr>
          <w:rFonts w:ascii="Book Antiqua" w:hAnsi="Book Antiqua" w:cs="Arial"/>
          <w:b/>
          <w:lang w:val="en-US"/>
        </w:rPr>
        <w:t>Cupic</w:t>
      </w:r>
      <w:proofErr w:type="spellEnd"/>
      <w:r w:rsidRPr="00CD1426">
        <w:rPr>
          <w:rFonts w:ascii="Book Antiqua" w:hAnsi="Book Antiqua" w:cs="Arial"/>
          <w:b/>
          <w:lang w:val="en-US"/>
        </w:rPr>
        <w:t xml:space="preserve"> study evaluation of the risk/benefit of the treatment cirrhotic patients with </w:t>
      </w:r>
      <w:proofErr w:type="spellStart"/>
      <w:r w:rsidRPr="00CD1426">
        <w:rPr>
          <w:rFonts w:ascii="Book Antiqua" w:hAnsi="Book Antiqua" w:cs="Arial"/>
          <w:b/>
          <w:lang w:val="en-US"/>
        </w:rPr>
        <w:t>telaprevir</w:t>
      </w:r>
      <w:proofErr w:type="spellEnd"/>
      <w:r w:rsidRPr="00CD1426">
        <w:rPr>
          <w:rFonts w:ascii="Book Antiqua" w:hAnsi="Book Antiqua" w:cs="Arial"/>
          <w:b/>
          <w:lang w:val="en-US"/>
        </w:rPr>
        <w:t xml:space="preserve"> or </w:t>
      </w:r>
      <w:proofErr w:type="spellStart"/>
      <w:r w:rsidRPr="00CD1426">
        <w:rPr>
          <w:rFonts w:ascii="Book Antiqua" w:hAnsi="Book Antiqua" w:cs="Arial"/>
          <w:b/>
          <w:lang w:val="en-US"/>
        </w:rPr>
        <w:t>boceprevir</w:t>
      </w:r>
      <w:proofErr w:type="spellEnd"/>
      <w:r w:rsidRPr="00CD1426">
        <w:rPr>
          <w:rFonts w:ascii="Book Antiqua" w:hAnsi="Book Antiqua" w:cs="Arial"/>
          <w:b/>
          <w:lang w:val="en-US"/>
        </w:rPr>
        <w:t xml:space="preserve"> triple therapy considering the chances of death or severe complications and SVR12 according to cutoffs of serum albumin level and platelet count</w:t>
      </w:r>
      <w:r w:rsidRPr="00CD1426">
        <w:rPr>
          <w:rFonts w:ascii="Book Antiqua" w:hAnsi="Book Antiqua" w:cs="Arial"/>
          <w:b/>
          <w:lang w:val="en-US" w:eastAsia="zh-CN"/>
        </w:rPr>
        <w:t xml:space="preserve"> </w:t>
      </w:r>
      <w:r w:rsidRPr="00CD1426">
        <w:rPr>
          <w:rFonts w:ascii="Book Antiqua" w:hAnsi="Book Antiqua" w:cs="Arial"/>
          <w:b/>
          <w:i/>
          <w:lang w:val="en-US"/>
        </w:rPr>
        <w:t>n</w:t>
      </w:r>
      <w:r w:rsidRPr="00CD1426">
        <w:rPr>
          <w:rFonts w:ascii="Book Antiqua" w:hAnsi="Book Antiqua" w:cs="Arial"/>
          <w:b/>
          <w:lang w:val="en-US"/>
        </w:rPr>
        <w:t xml:space="preserve"> (%)</w:t>
      </w:r>
    </w:p>
    <w:tbl>
      <w:tblPr>
        <w:tblStyle w:val="TableGrid"/>
        <w:tblW w:w="0" w:type="auto"/>
        <w:tblLook w:val="04A0" w:firstRow="1" w:lastRow="0" w:firstColumn="1" w:lastColumn="0" w:noHBand="0" w:noVBand="1"/>
      </w:tblPr>
      <w:tblGrid>
        <w:gridCol w:w="3369"/>
        <w:gridCol w:w="2693"/>
        <w:gridCol w:w="2454"/>
      </w:tblGrid>
      <w:tr w:rsidR="002B302F" w:rsidRPr="00CD1426" w14:paraId="3CF96A02" w14:textId="77777777" w:rsidTr="00F50DCF">
        <w:tc>
          <w:tcPr>
            <w:tcW w:w="3369" w:type="dxa"/>
          </w:tcPr>
          <w:p w14:paraId="44BE8BBF" w14:textId="77777777" w:rsidR="002B302F" w:rsidRPr="00CD1426" w:rsidRDefault="002B302F" w:rsidP="00CD1426">
            <w:pPr>
              <w:widowControl w:val="0"/>
              <w:autoSpaceDE w:val="0"/>
              <w:autoSpaceDN w:val="0"/>
              <w:adjustRightInd w:val="0"/>
              <w:spacing w:line="360" w:lineRule="auto"/>
              <w:jc w:val="both"/>
              <w:rPr>
                <w:rFonts w:ascii="Book Antiqua" w:hAnsi="Book Antiqua" w:cs="Arial"/>
                <w:b/>
                <w:lang w:val="en-US"/>
              </w:rPr>
            </w:pPr>
            <w:r w:rsidRPr="00CD1426">
              <w:rPr>
                <w:rFonts w:ascii="Book Antiqua" w:hAnsi="Book Antiqua" w:cs="Arial"/>
                <w:b/>
                <w:lang w:val="en-US"/>
              </w:rPr>
              <w:t>Factors</w:t>
            </w:r>
          </w:p>
        </w:tc>
        <w:tc>
          <w:tcPr>
            <w:tcW w:w="2693" w:type="dxa"/>
          </w:tcPr>
          <w:p w14:paraId="5D0406AF" w14:textId="77777777" w:rsidR="002B302F" w:rsidRPr="00CD1426" w:rsidRDefault="002B302F" w:rsidP="00CD1426">
            <w:pPr>
              <w:widowControl w:val="0"/>
              <w:autoSpaceDE w:val="0"/>
              <w:autoSpaceDN w:val="0"/>
              <w:adjustRightInd w:val="0"/>
              <w:spacing w:line="360" w:lineRule="auto"/>
              <w:jc w:val="both"/>
              <w:rPr>
                <w:rFonts w:ascii="Book Antiqua" w:hAnsi="Book Antiqua" w:cs="Arial"/>
                <w:b/>
                <w:lang w:val="en-US"/>
              </w:rPr>
            </w:pPr>
            <w:r w:rsidRPr="00CD1426">
              <w:rPr>
                <w:rFonts w:ascii="Book Antiqua" w:hAnsi="Book Antiqua" w:cs="Arial"/>
                <w:b/>
                <w:lang w:val="en-US"/>
              </w:rPr>
              <w:t xml:space="preserve">Platelet count </w:t>
            </w:r>
          </w:p>
          <w:p w14:paraId="7E8161C7" w14:textId="396A4F4A" w:rsidR="002B302F" w:rsidRPr="00CD1426" w:rsidRDefault="006746CE" w:rsidP="00CD1426">
            <w:pPr>
              <w:widowControl w:val="0"/>
              <w:autoSpaceDE w:val="0"/>
              <w:autoSpaceDN w:val="0"/>
              <w:adjustRightInd w:val="0"/>
              <w:spacing w:line="360" w:lineRule="auto"/>
              <w:jc w:val="both"/>
              <w:rPr>
                <w:rFonts w:ascii="Book Antiqua" w:hAnsi="Book Antiqua" w:cs="Arial"/>
                <w:b/>
                <w:lang w:val="en-US"/>
              </w:rPr>
            </w:pPr>
            <w:r w:rsidRPr="00CD1426">
              <w:rPr>
                <w:rFonts w:ascii="Book Antiqua" w:hAnsi="Book Antiqua" w:cs="Arial"/>
                <w:b/>
                <w:lang w:val="en-US"/>
              </w:rPr>
              <w:t>&gt; 100</w:t>
            </w:r>
            <w:r w:rsidR="002B302F" w:rsidRPr="00CD1426">
              <w:rPr>
                <w:rFonts w:ascii="Book Antiqua" w:hAnsi="Book Antiqua" w:cs="Arial"/>
                <w:b/>
                <w:lang w:val="en-US"/>
              </w:rPr>
              <w:t>000/mm</w:t>
            </w:r>
            <w:r w:rsidR="002B302F" w:rsidRPr="00CD1426">
              <w:rPr>
                <w:rFonts w:ascii="Book Antiqua" w:hAnsi="Book Antiqua" w:cs="Arial"/>
                <w:b/>
                <w:vertAlign w:val="superscript"/>
                <w:lang w:val="en-US"/>
              </w:rPr>
              <w:t>3</w:t>
            </w:r>
          </w:p>
        </w:tc>
        <w:tc>
          <w:tcPr>
            <w:tcW w:w="2454" w:type="dxa"/>
          </w:tcPr>
          <w:p w14:paraId="44911950" w14:textId="77777777" w:rsidR="002B302F" w:rsidRPr="00CD1426" w:rsidRDefault="002B302F" w:rsidP="00CD1426">
            <w:pPr>
              <w:widowControl w:val="0"/>
              <w:autoSpaceDE w:val="0"/>
              <w:autoSpaceDN w:val="0"/>
              <w:adjustRightInd w:val="0"/>
              <w:spacing w:line="360" w:lineRule="auto"/>
              <w:jc w:val="both"/>
              <w:rPr>
                <w:rFonts w:ascii="Book Antiqua" w:hAnsi="Book Antiqua" w:cs="Arial"/>
                <w:b/>
                <w:lang w:val="en-US"/>
              </w:rPr>
            </w:pPr>
            <w:r w:rsidRPr="00CD1426">
              <w:rPr>
                <w:rFonts w:ascii="Book Antiqua" w:hAnsi="Book Antiqua" w:cs="Arial"/>
                <w:b/>
                <w:lang w:val="en-US"/>
              </w:rPr>
              <w:t>Platelet count</w:t>
            </w:r>
          </w:p>
          <w:p w14:paraId="0D84DC05" w14:textId="052940E5" w:rsidR="002B302F" w:rsidRPr="00CD1426" w:rsidRDefault="002B302F" w:rsidP="00CD1426">
            <w:pPr>
              <w:widowControl w:val="0"/>
              <w:autoSpaceDE w:val="0"/>
              <w:autoSpaceDN w:val="0"/>
              <w:adjustRightInd w:val="0"/>
              <w:spacing w:line="360" w:lineRule="auto"/>
              <w:jc w:val="both"/>
              <w:rPr>
                <w:rFonts w:ascii="Book Antiqua" w:hAnsi="Book Antiqua" w:cs="Arial"/>
                <w:b/>
                <w:lang w:val="en-US"/>
              </w:rPr>
            </w:pPr>
            <w:r w:rsidRPr="00CD1426">
              <w:rPr>
                <w:rFonts w:ascii="Book Antiqua" w:hAnsi="Book Antiqua" w:cs="Arial"/>
                <w:b/>
                <w:lang w:val="en-US"/>
              </w:rPr>
              <w:t xml:space="preserve"> </w:t>
            </w:r>
            <w:r w:rsidR="006746CE" w:rsidRPr="00CD1426">
              <w:rPr>
                <w:rFonts w:ascii="Book Antiqua" w:hAnsi="Book Antiqua" w:cs="Arial"/>
                <w:b/>
                <w:lang w:val="en-US"/>
              </w:rPr>
              <w:t>≤ 100</w:t>
            </w:r>
            <w:r w:rsidRPr="00CD1426">
              <w:rPr>
                <w:rFonts w:ascii="Book Antiqua" w:hAnsi="Book Antiqua" w:cs="Arial"/>
                <w:b/>
                <w:lang w:val="en-US"/>
              </w:rPr>
              <w:t>000/mm</w:t>
            </w:r>
            <w:r w:rsidRPr="00CD1426">
              <w:rPr>
                <w:rFonts w:ascii="Book Antiqua" w:hAnsi="Book Antiqua" w:cs="Arial"/>
                <w:b/>
                <w:vertAlign w:val="superscript"/>
                <w:lang w:val="en-US"/>
              </w:rPr>
              <w:t>3</w:t>
            </w:r>
          </w:p>
        </w:tc>
      </w:tr>
      <w:tr w:rsidR="002B302F" w:rsidRPr="00CD1426" w14:paraId="07FA95C6" w14:textId="77777777" w:rsidTr="00F50DCF">
        <w:tc>
          <w:tcPr>
            <w:tcW w:w="3369" w:type="dxa"/>
          </w:tcPr>
          <w:p w14:paraId="47649F6D" w14:textId="1FF0FE60" w:rsidR="002B302F" w:rsidRPr="00CD1426" w:rsidRDefault="002B302F" w:rsidP="00CD1426">
            <w:pPr>
              <w:widowControl w:val="0"/>
              <w:autoSpaceDE w:val="0"/>
              <w:autoSpaceDN w:val="0"/>
              <w:adjustRightInd w:val="0"/>
              <w:spacing w:line="360" w:lineRule="auto"/>
              <w:jc w:val="both"/>
              <w:rPr>
                <w:rFonts w:ascii="Book Antiqua" w:hAnsi="Book Antiqua" w:cs="Arial"/>
                <w:b/>
                <w:lang w:val="en-US"/>
              </w:rPr>
            </w:pPr>
            <w:r w:rsidRPr="00CD1426">
              <w:rPr>
                <w:rFonts w:ascii="Book Antiqua" w:hAnsi="Book Antiqua" w:cs="Arial"/>
                <w:b/>
                <w:lang w:val="en-US"/>
              </w:rPr>
              <w:t>Serum albumin level &gt;</w:t>
            </w:r>
            <w:r w:rsidR="00F50DCF" w:rsidRPr="00CD1426">
              <w:rPr>
                <w:rFonts w:ascii="Book Antiqua" w:hAnsi="Book Antiqua" w:cs="Arial"/>
                <w:b/>
                <w:lang w:val="en-US" w:eastAsia="zh-CN"/>
              </w:rPr>
              <w:t xml:space="preserve"> </w:t>
            </w:r>
            <w:r w:rsidRPr="00CD1426">
              <w:rPr>
                <w:rFonts w:ascii="Book Antiqua" w:hAnsi="Book Antiqua" w:cs="Arial"/>
                <w:b/>
                <w:lang w:val="en-US"/>
              </w:rPr>
              <w:t>35 g/L</w:t>
            </w:r>
          </w:p>
        </w:tc>
        <w:tc>
          <w:tcPr>
            <w:tcW w:w="2693" w:type="dxa"/>
          </w:tcPr>
          <w:p w14:paraId="7A44E41F" w14:textId="77777777" w:rsidR="002B302F" w:rsidRPr="00CD1426" w:rsidRDefault="002B302F" w:rsidP="00CD1426">
            <w:pPr>
              <w:widowControl w:val="0"/>
              <w:autoSpaceDE w:val="0"/>
              <w:autoSpaceDN w:val="0"/>
              <w:adjustRightInd w:val="0"/>
              <w:spacing w:line="360" w:lineRule="auto"/>
              <w:jc w:val="both"/>
              <w:rPr>
                <w:rFonts w:ascii="Book Antiqua" w:hAnsi="Book Antiqua" w:cs="Arial"/>
                <w:lang w:val="en-US"/>
              </w:rPr>
            </w:pPr>
          </w:p>
        </w:tc>
        <w:tc>
          <w:tcPr>
            <w:tcW w:w="2454" w:type="dxa"/>
          </w:tcPr>
          <w:p w14:paraId="3FF07D10" w14:textId="77777777" w:rsidR="002B302F" w:rsidRPr="00CD1426" w:rsidRDefault="002B302F" w:rsidP="00CD1426">
            <w:pPr>
              <w:widowControl w:val="0"/>
              <w:autoSpaceDE w:val="0"/>
              <w:autoSpaceDN w:val="0"/>
              <w:adjustRightInd w:val="0"/>
              <w:spacing w:line="360" w:lineRule="auto"/>
              <w:jc w:val="both"/>
              <w:rPr>
                <w:rFonts w:ascii="Book Antiqua" w:hAnsi="Book Antiqua" w:cs="Arial"/>
                <w:lang w:val="en-US"/>
              </w:rPr>
            </w:pPr>
          </w:p>
        </w:tc>
      </w:tr>
      <w:tr w:rsidR="002B302F" w:rsidRPr="00CD1426" w14:paraId="07DF2F0E" w14:textId="77777777" w:rsidTr="00F50DCF">
        <w:tc>
          <w:tcPr>
            <w:tcW w:w="3369" w:type="dxa"/>
          </w:tcPr>
          <w:p w14:paraId="335080EE" w14:textId="05A8BA8A" w:rsidR="002B302F" w:rsidRPr="00CD1426" w:rsidRDefault="002B302F" w:rsidP="00CD1426">
            <w:pPr>
              <w:widowControl w:val="0"/>
              <w:autoSpaceDE w:val="0"/>
              <w:autoSpaceDN w:val="0"/>
              <w:adjustRightInd w:val="0"/>
              <w:spacing w:line="360" w:lineRule="auto"/>
              <w:jc w:val="both"/>
              <w:rPr>
                <w:rFonts w:ascii="Book Antiqua" w:hAnsi="Book Antiqua" w:cs="Arial"/>
                <w:lang w:val="en-US"/>
              </w:rPr>
            </w:pPr>
            <w:r w:rsidRPr="00CD1426">
              <w:rPr>
                <w:rFonts w:ascii="Book Antiqua" w:hAnsi="Book Antiqua" w:cs="Arial"/>
                <w:lang w:val="en-US"/>
              </w:rPr>
              <w:t>Patients with severe complications or death)</w:t>
            </w:r>
          </w:p>
        </w:tc>
        <w:tc>
          <w:tcPr>
            <w:tcW w:w="2693" w:type="dxa"/>
          </w:tcPr>
          <w:p w14:paraId="326F068D" w14:textId="7D820643" w:rsidR="002B302F" w:rsidRPr="00CD1426" w:rsidRDefault="00F50DCF" w:rsidP="00CD1426">
            <w:pPr>
              <w:widowControl w:val="0"/>
              <w:autoSpaceDE w:val="0"/>
              <w:autoSpaceDN w:val="0"/>
              <w:adjustRightInd w:val="0"/>
              <w:spacing w:line="360" w:lineRule="auto"/>
              <w:jc w:val="both"/>
              <w:rPr>
                <w:rFonts w:ascii="Book Antiqua" w:hAnsi="Book Antiqua" w:cs="Arial"/>
                <w:lang w:val="en-US"/>
              </w:rPr>
            </w:pPr>
            <w:r w:rsidRPr="00CD1426">
              <w:rPr>
                <w:rFonts w:ascii="Book Antiqua" w:hAnsi="Book Antiqua" w:cs="Arial"/>
                <w:lang w:val="en-US"/>
              </w:rPr>
              <w:t>19 (6.2</w:t>
            </w:r>
            <w:r w:rsidR="002B302F" w:rsidRPr="00CD1426">
              <w:rPr>
                <w:rFonts w:ascii="Book Antiqua" w:hAnsi="Book Antiqua" w:cs="Arial"/>
                <w:lang w:val="en-US"/>
              </w:rPr>
              <w:t>)</w:t>
            </w:r>
          </w:p>
        </w:tc>
        <w:tc>
          <w:tcPr>
            <w:tcW w:w="2454" w:type="dxa"/>
          </w:tcPr>
          <w:p w14:paraId="685B0BC3" w14:textId="5ECF1D48" w:rsidR="002B302F" w:rsidRPr="00CD1426" w:rsidRDefault="00F50DCF" w:rsidP="00CD1426">
            <w:pPr>
              <w:widowControl w:val="0"/>
              <w:autoSpaceDE w:val="0"/>
              <w:autoSpaceDN w:val="0"/>
              <w:adjustRightInd w:val="0"/>
              <w:spacing w:line="360" w:lineRule="auto"/>
              <w:jc w:val="both"/>
              <w:rPr>
                <w:rFonts w:ascii="Book Antiqua" w:hAnsi="Book Antiqua" w:cs="Arial"/>
                <w:lang w:val="en-US"/>
              </w:rPr>
            </w:pPr>
            <w:r w:rsidRPr="00CD1426">
              <w:rPr>
                <w:rFonts w:ascii="Book Antiqua" w:hAnsi="Book Antiqua" w:cs="Arial"/>
                <w:lang w:val="en-US"/>
              </w:rPr>
              <w:t>9 (12.2</w:t>
            </w:r>
            <w:r w:rsidR="002B302F" w:rsidRPr="00CD1426">
              <w:rPr>
                <w:rFonts w:ascii="Book Antiqua" w:hAnsi="Book Antiqua" w:cs="Arial"/>
                <w:lang w:val="en-US"/>
              </w:rPr>
              <w:t>)</w:t>
            </w:r>
          </w:p>
        </w:tc>
      </w:tr>
      <w:tr w:rsidR="002B302F" w:rsidRPr="00CD1426" w14:paraId="7AB21C88" w14:textId="77777777" w:rsidTr="00F50DCF">
        <w:tc>
          <w:tcPr>
            <w:tcW w:w="3369" w:type="dxa"/>
          </w:tcPr>
          <w:p w14:paraId="181CDF31" w14:textId="77777777" w:rsidR="002B302F" w:rsidRPr="00CD1426" w:rsidRDefault="002B302F" w:rsidP="00CD1426">
            <w:pPr>
              <w:widowControl w:val="0"/>
              <w:autoSpaceDE w:val="0"/>
              <w:autoSpaceDN w:val="0"/>
              <w:adjustRightInd w:val="0"/>
              <w:spacing w:line="360" w:lineRule="auto"/>
              <w:jc w:val="both"/>
              <w:rPr>
                <w:rFonts w:ascii="Book Antiqua" w:hAnsi="Book Antiqua" w:cs="Arial"/>
                <w:i/>
                <w:lang w:val="en-US"/>
              </w:rPr>
            </w:pPr>
          </w:p>
          <w:p w14:paraId="26AB09A2" w14:textId="3508FD5A" w:rsidR="002B302F" w:rsidRPr="00CD1426" w:rsidRDefault="002B302F" w:rsidP="00CD1426">
            <w:pPr>
              <w:widowControl w:val="0"/>
              <w:autoSpaceDE w:val="0"/>
              <w:autoSpaceDN w:val="0"/>
              <w:adjustRightInd w:val="0"/>
              <w:spacing w:line="360" w:lineRule="auto"/>
              <w:jc w:val="both"/>
              <w:rPr>
                <w:rFonts w:ascii="Book Antiqua" w:hAnsi="Book Antiqua" w:cs="Arial"/>
                <w:lang w:val="en-US"/>
              </w:rPr>
            </w:pPr>
            <w:r w:rsidRPr="00CD1426">
              <w:rPr>
                <w:rFonts w:ascii="Book Antiqua" w:hAnsi="Book Antiqua" w:cs="Arial"/>
                <w:lang w:val="en-US"/>
              </w:rPr>
              <w:t>SVR12</w:t>
            </w:r>
          </w:p>
        </w:tc>
        <w:tc>
          <w:tcPr>
            <w:tcW w:w="2693" w:type="dxa"/>
          </w:tcPr>
          <w:p w14:paraId="0A9D537D" w14:textId="77777777" w:rsidR="002B302F" w:rsidRPr="00CD1426" w:rsidRDefault="002B302F" w:rsidP="00CD1426">
            <w:pPr>
              <w:widowControl w:val="0"/>
              <w:autoSpaceDE w:val="0"/>
              <w:autoSpaceDN w:val="0"/>
              <w:adjustRightInd w:val="0"/>
              <w:spacing w:line="360" w:lineRule="auto"/>
              <w:jc w:val="both"/>
              <w:rPr>
                <w:rFonts w:ascii="Book Antiqua" w:hAnsi="Book Antiqua" w:cs="Arial"/>
                <w:lang w:val="en-US"/>
              </w:rPr>
            </w:pPr>
          </w:p>
          <w:p w14:paraId="50988866" w14:textId="330CEA85" w:rsidR="002B302F" w:rsidRPr="00CD1426" w:rsidRDefault="00F50DCF" w:rsidP="00CD1426">
            <w:pPr>
              <w:widowControl w:val="0"/>
              <w:autoSpaceDE w:val="0"/>
              <w:autoSpaceDN w:val="0"/>
              <w:adjustRightInd w:val="0"/>
              <w:spacing w:line="360" w:lineRule="auto"/>
              <w:jc w:val="both"/>
              <w:rPr>
                <w:rFonts w:ascii="Book Antiqua" w:hAnsi="Book Antiqua" w:cs="Arial"/>
                <w:lang w:val="en-US"/>
              </w:rPr>
            </w:pPr>
            <w:r w:rsidRPr="00CD1426">
              <w:rPr>
                <w:rFonts w:ascii="Book Antiqua" w:hAnsi="Book Antiqua" w:cs="Arial"/>
                <w:lang w:val="en-US"/>
              </w:rPr>
              <w:t>168 (54.9</w:t>
            </w:r>
            <w:r w:rsidR="002B302F" w:rsidRPr="00CD1426">
              <w:rPr>
                <w:rFonts w:ascii="Book Antiqua" w:hAnsi="Book Antiqua" w:cs="Arial"/>
                <w:lang w:val="en-US"/>
              </w:rPr>
              <w:t>)</w:t>
            </w:r>
          </w:p>
        </w:tc>
        <w:tc>
          <w:tcPr>
            <w:tcW w:w="2454" w:type="dxa"/>
          </w:tcPr>
          <w:p w14:paraId="06B58E6B" w14:textId="77777777" w:rsidR="002B302F" w:rsidRPr="00CD1426" w:rsidRDefault="002B302F" w:rsidP="00CD1426">
            <w:pPr>
              <w:widowControl w:val="0"/>
              <w:autoSpaceDE w:val="0"/>
              <w:autoSpaceDN w:val="0"/>
              <w:adjustRightInd w:val="0"/>
              <w:spacing w:line="360" w:lineRule="auto"/>
              <w:jc w:val="both"/>
              <w:rPr>
                <w:rFonts w:ascii="Book Antiqua" w:hAnsi="Book Antiqua" w:cs="Arial"/>
                <w:lang w:val="en-US"/>
              </w:rPr>
            </w:pPr>
          </w:p>
          <w:p w14:paraId="7E255EC8" w14:textId="70BA35ED" w:rsidR="002B302F" w:rsidRPr="00CD1426" w:rsidRDefault="00F50DCF" w:rsidP="00CD1426">
            <w:pPr>
              <w:widowControl w:val="0"/>
              <w:autoSpaceDE w:val="0"/>
              <w:autoSpaceDN w:val="0"/>
              <w:adjustRightInd w:val="0"/>
              <w:spacing w:line="360" w:lineRule="auto"/>
              <w:jc w:val="both"/>
              <w:rPr>
                <w:rFonts w:ascii="Book Antiqua" w:hAnsi="Book Antiqua" w:cs="Arial"/>
                <w:lang w:val="en-US"/>
              </w:rPr>
            </w:pPr>
            <w:r w:rsidRPr="00CD1426">
              <w:rPr>
                <w:rFonts w:ascii="Book Antiqua" w:hAnsi="Book Antiqua" w:cs="Arial"/>
                <w:lang w:val="en-US"/>
              </w:rPr>
              <w:t>27 (36.5</w:t>
            </w:r>
            <w:r w:rsidR="002B302F" w:rsidRPr="00CD1426">
              <w:rPr>
                <w:rFonts w:ascii="Book Antiqua" w:hAnsi="Book Antiqua" w:cs="Arial"/>
                <w:lang w:val="en-US"/>
              </w:rPr>
              <w:t>)</w:t>
            </w:r>
          </w:p>
        </w:tc>
      </w:tr>
      <w:tr w:rsidR="002B302F" w:rsidRPr="00CD1426" w14:paraId="007659C3" w14:textId="77777777" w:rsidTr="00F50DCF">
        <w:tc>
          <w:tcPr>
            <w:tcW w:w="3369" w:type="dxa"/>
          </w:tcPr>
          <w:p w14:paraId="1DFD939B" w14:textId="7B5B6603" w:rsidR="002B302F" w:rsidRPr="00CD1426" w:rsidRDefault="002B302F" w:rsidP="00CD1426">
            <w:pPr>
              <w:widowControl w:val="0"/>
              <w:autoSpaceDE w:val="0"/>
              <w:autoSpaceDN w:val="0"/>
              <w:adjustRightInd w:val="0"/>
              <w:spacing w:line="360" w:lineRule="auto"/>
              <w:jc w:val="both"/>
              <w:rPr>
                <w:rFonts w:ascii="Book Antiqua" w:hAnsi="Book Antiqua" w:cs="Arial"/>
                <w:b/>
                <w:lang w:val="en-US"/>
              </w:rPr>
            </w:pPr>
            <w:r w:rsidRPr="00CD1426">
              <w:rPr>
                <w:rFonts w:ascii="Book Antiqua" w:hAnsi="Book Antiqua" w:cs="Arial"/>
                <w:b/>
                <w:lang w:val="en-US"/>
              </w:rPr>
              <w:t>Serum albumin level &gt;</w:t>
            </w:r>
            <w:r w:rsidR="00F50DCF" w:rsidRPr="00CD1426">
              <w:rPr>
                <w:rFonts w:ascii="Book Antiqua" w:hAnsi="Book Antiqua" w:cs="Arial"/>
                <w:b/>
                <w:lang w:val="en-US" w:eastAsia="zh-CN"/>
              </w:rPr>
              <w:t xml:space="preserve"> </w:t>
            </w:r>
            <w:r w:rsidRPr="00CD1426">
              <w:rPr>
                <w:rFonts w:ascii="Book Antiqua" w:hAnsi="Book Antiqua" w:cs="Arial"/>
                <w:b/>
                <w:lang w:val="en-US"/>
              </w:rPr>
              <w:t>35 g/L</w:t>
            </w:r>
          </w:p>
        </w:tc>
        <w:tc>
          <w:tcPr>
            <w:tcW w:w="2693" w:type="dxa"/>
          </w:tcPr>
          <w:p w14:paraId="24146113" w14:textId="77777777" w:rsidR="002B302F" w:rsidRPr="00CD1426" w:rsidRDefault="002B302F" w:rsidP="00CD1426">
            <w:pPr>
              <w:widowControl w:val="0"/>
              <w:autoSpaceDE w:val="0"/>
              <w:autoSpaceDN w:val="0"/>
              <w:adjustRightInd w:val="0"/>
              <w:spacing w:line="360" w:lineRule="auto"/>
              <w:jc w:val="both"/>
              <w:rPr>
                <w:rFonts w:ascii="Book Antiqua" w:hAnsi="Book Antiqua" w:cs="Arial"/>
                <w:lang w:val="en-US"/>
              </w:rPr>
            </w:pPr>
          </w:p>
        </w:tc>
        <w:tc>
          <w:tcPr>
            <w:tcW w:w="2454" w:type="dxa"/>
          </w:tcPr>
          <w:p w14:paraId="3CDCDF7C" w14:textId="77777777" w:rsidR="002B302F" w:rsidRPr="00CD1426" w:rsidRDefault="002B302F" w:rsidP="00CD1426">
            <w:pPr>
              <w:widowControl w:val="0"/>
              <w:autoSpaceDE w:val="0"/>
              <w:autoSpaceDN w:val="0"/>
              <w:adjustRightInd w:val="0"/>
              <w:spacing w:line="360" w:lineRule="auto"/>
              <w:jc w:val="both"/>
              <w:rPr>
                <w:rFonts w:ascii="Book Antiqua" w:hAnsi="Book Antiqua" w:cs="Arial"/>
                <w:lang w:val="en-US"/>
              </w:rPr>
            </w:pPr>
          </w:p>
        </w:tc>
      </w:tr>
      <w:tr w:rsidR="002B302F" w:rsidRPr="00CD1426" w14:paraId="2965398E" w14:textId="77777777" w:rsidTr="00F50DCF">
        <w:tc>
          <w:tcPr>
            <w:tcW w:w="3369" w:type="dxa"/>
          </w:tcPr>
          <w:p w14:paraId="575E4CC7" w14:textId="62DBC425" w:rsidR="002B302F" w:rsidRPr="00CD1426" w:rsidRDefault="002B302F" w:rsidP="00CD1426">
            <w:pPr>
              <w:widowControl w:val="0"/>
              <w:autoSpaceDE w:val="0"/>
              <w:autoSpaceDN w:val="0"/>
              <w:adjustRightInd w:val="0"/>
              <w:spacing w:line="360" w:lineRule="auto"/>
              <w:jc w:val="both"/>
              <w:rPr>
                <w:rFonts w:ascii="Book Antiqua" w:hAnsi="Book Antiqua" w:cs="Arial"/>
                <w:lang w:val="en-US" w:eastAsia="zh-CN"/>
              </w:rPr>
            </w:pPr>
            <w:r w:rsidRPr="00CD1426">
              <w:rPr>
                <w:rFonts w:ascii="Book Antiqua" w:hAnsi="Book Antiqua" w:cs="Arial"/>
                <w:lang w:val="en-US"/>
              </w:rPr>
              <w:t>Patients with severe complications or death</w:t>
            </w:r>
          </w:p>
          <w:p w14:paraId="57B45E50" w14:textId="77777777" w:rsidR="002B302F" w:rsidRPr="00CD1426" w:rsidRDefault="002B302F" w:rsidP="00CD1426">
            <w:pPr>
              <w:widowControl w:val="0"/>
              <w:autoSpaceDE w:val="0"/>
              <w:autoSpaceDN w:val="0"/>
              <w:adjustRightInd w:val="0"/>
              <w:spacing w:line="360" w:lineRule="auto"/>
              <w:jc w:val="both"/>
              <w:rPr>
                <w:rFonts w:ascii="Book Antiqua" w:hAnsi="Book Antiqua" w:cs="Arial"/>
                <w:i/>
                <w:lang w:val="en-US"/>
              </w:rPr>
            </w:pPr>
          </w:p>
        </w:tc>
        <w:tc>
          <w:tcPr>
            <w:tcW w:w="2693" w:type="dxa"/>
          </w:tcPr>
          <w:p w14:paraId="3D92F735" w14:textId="066EDF45" w:rsidR="002B302F" w:rsidRPr="00CD1426" w:rsidRDefault="00F50DCF" w:rsidP="00CD1426">
            <w:pPr>
              <w:widowControl w:val="0"/>
              <w:autoSpaceDE w:val="0"/>
              <w:autoSpaceDN w:val="0"/>
              <w:adjustRightInd w:val="0"/>
              <w:spacing w:line="360" w:lineRule="auto"/>
              <w:jc w:val="both"/>
              <w:rPr>
                <w:rFonts w:ascii="Book Antiqua" w:hAnsi="Book Antiqua" w:cs="Arial"/>
                <w:lang w:val="en-US"/>
              </w:rPr>
            </w:pPr>
            <w:r w:rsidRPr="00CD1426">
              <w:rPr>
                <w:rFonts w:ascii="Book Antiqua" w:hAnsi="Book Antiqua" w:cs="Arial"/>
                <w:lang w:val="en-US"/>
              </w:rPr>
              <w:t>5 (16.1</w:t>
            </w:r>
            <w:r w:rsidR="002B302F" w:rsidRPr="00CD1426">
              <w:rPr>
                <w:rFonts w:ascii="Book Antiqua" w:hAnsi="Book Antiqua" w:cs="Arial"/>
                <w:lang w:val="en-US"/>
              </w:rPr>
              <w:t>)</w:t>
            </w:r>
          </w:p>
        </w:tc>
        <w:tc>
          <w:tcPr>
            <w:tcW w:w="2454" w:type="dxa"/>
          </w:tcPr>
          <w:p w14:paraId="4A22856B" w14:textId="25BDC9E7" w:rsidR="002B302F" w:rsidRPr="00CD1426" w:rsidRDefault="00F50DCF" w:rsidP="00CD1426">
            <w:pPr>
              <w:widowControl w:val="0"/>
              <w:autoSpaceDE w:val="0"/>
              <w:autoSpaceDN w:val="0"/>
              <w:adjustRightInd w:val="0"/>
              <w:spacing w:line="360" w:lineRule="auto"/>
              <w:jc w:val="both"/>
              <w:rPr>
                <w:rFonts w:ascii="Book Antiqua" w:hAnsi="Book Antiqua" w:cs="Arial"/>
                <w:lang w:val="en-US"/>
              </w:rPr>
            </w:pPr>
            <w:r w:rsidRPr="00CD1426">
              <w:rPr>
                <w:rFonts w:ascii="Book Antiqua" w:hAnsi="Book Antiqua" w:cs="Arial"/>
                <w:lang w:val="en-US"/>
              </w:rPr>
              <w:t>19 (51.4</w:t>
            </w:r>
            <w:r w:rsidR="002B302F" w:rsidRPr="00CD1426">
              <w:rPr>
                <w:rFonts w:ascii="Book Antiqua" w:hAnsi="Book Antiqua" w:cs="Arial"/>
                <w:lang w:val="en-US"/>
              </w:rPr>
              <w:t>)</w:t>
            </w:r>
          </w:p>
        </w:tc>
      </w:tr>
      <w:tr w:rsidR="002B302F" w:rsidRPr="00CD1426" w14:paraId="0A835F12" w14:textId="77777777" w:rsidTr="00F50DCF">
        <w:tc>
          <w:tcPr>
            <w:tcW w:w="3369" w:type="dxa"/>
          </w:tcPr>
          <w:p w14:paraId="2B5DD4B4" w14:textId="24009802" w:rsidR="002B302F" w:rsidRPr="00CD1426" w:rsidRDefault="002B302F" w:rsidP="00CD1426">
            <w:pPr>
              <w:widowControl w:val="0"/>
              <w:autoSpaceDE w:val="0"/>
              <w:autoSpaceDN w:val="0"/>
              <w:adjustRightInd w:val="0"/>
              <w:spacing w:line="360" w:lineRule="auto"/>
              <w:jc w:val="both"/>
              <w:rPr>
                <w:rFonts w:ascii="Book Antiqua" w:hAnsi="Book Antiqua" w:cs="Arial"/>
                <w:lang w:val="en-US"/>
              </w:rPr>
            </w:pPr>
            <w:r w:rsidRPr="00CD1426">
              <w:rPr>
                <w:rFonts w:ascii="Book Antiqua" w:hAnsi="Book Antiqua" w:cs="Arial"/>
                <w:lang w:val="en-US"/>
              </w:rPr>
              <w:t>SVR12</w:t>
            </w:r>
          </w:p>
        </w:tc>
        <w:tc>
          <w:tcPr>
            <w:tcW w:w="2693" w:type="dxa"/>
          </w:tcPr>
          <w:p w14:paraId="49B5C83E" w14:textId="3CED167C" w:rsidR="002B302F" w:rsidRPr="00CD1426" w:rsidRDefault="00F50DCF" w:rsidP="00CD1426">
            <w:pPr>
              <w:widowControl w:val="0"/>
              <w:autoSpaceDE w:val="0"/>
              <w:autoSpaceDN w:val="0"/>
              <w:adjustRightInd w:val="0"/>
              <w:spacing w:line="360" w:lineRule="auto"/>
              <w:jc w:val="both"/>
              <w:rPr>
                <w:rFonts w:ascii="Book Antiqua" w:hAnsi="Book Antiqua" w:cs="Arial"/>
                <w:lang w:val="en-US"/>
              </w:rPr>
            </w:pPr>
            <w:r w:rsidRPr="00CD1426">
              <w:rPr>
                <w:rFonts w:ascii="Book Antiqua" w:hAnsi="Book Antiqua" w:cs="Arial"/>
                <w:lang w:val="en-US"/>
              </w:rPr>
              <w:t>9 (29.0</w:t>
            </w:r>
            <w:r w:rsidR="002B302F" w:rsidRPr="00CD1426">
              <w:rPr>
                <w:rFonts w:ascii="Book Antiqua" w:hAnsi="Book Antiqua" w:cs="Arial"/>
                <w:lang w:val="en-US"/>
              </w:rPr>
              <w:t>)</w:t>
            </w:r>
          </w:p>
        </w:tc>
        <w:tc>
          <w:tcPr>
            <w:tcW w:w="2454" w:type="dxa"/>
          </w:tcPr>
          <w:p w14:paraId="5DCFDDF8" w14:textId="6AC7C152" w:rsidR="002B302F" w:rsidRPr="00CD1426" w:rsidRDefault="00F50DCF" w:rsidP="00CD1426">
            <w:pPr>
              <w:widowControl w:val="0"/>
              <w:autoSpaceDE w:val="0"/>
              <w:autoSpaceDN w:val="0"/>
              <w:adjustRightInd w:val="0"/>
              <w:spacing w:line="360" w:lineRule="auto"/>
              <w:jc w:val="both"/>
              <w:rPr>
                <w:rFonts w:ascii="Book Antiqua" w:hAnsi="Book Antiqua" w:cs="Arial"/>
                <w:lang w:val="en-US"/>
              </w:rPr>
            </w:pPr>
            <w:r w:rsidRPr="00CD1426">
              <w:rPr>
                <w:rFonts w:ascii="Book Antiqua" w:hAnsi="Book Antiqua" w:cs="Arial"/>
                <w:lang w:val="en-US"/>
              </w:rPr>
              <w:t>10 (27.0</w:t>
            </w:r>
            <w:r w:rsidR="002B302F" w:rsidRPr="00CD1426">
              <w:rPr>
                <w:rFonts w:ascii="Book Antiqua" w:hAnsi="Book Antiqua" w:cs="Arial"/>
                <w:lang w:val="en-US"/>
              </w:rPr>
              <w:t>)</w:t>
            </w:r>
          </w:p>
        </w:tc>
      </w:tr>
    </w:tbl>
    <w:p w14:paraId="6CE2DF32" w14:textId="77777777" w:rsidR="002B302F" w:rsidRPr="00CD1426" w:rsidRDefault="002B302F" w:rsidP="00CD1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s="Arial"/>
          <w:lang w:val="en-US" w:eastAsia="zh-CN"/>
        </w:rPr>
      </w:pPr>
    </w:p>
    <w:p w14:paraId="4AE8BDFC" w14:textId="2C9ED6A8" w:rsidR="002B302F" w:rsidRPr="00CD1426" w:rsidRDefault="002B302F" w:rsidP="00CD1426">
      <w:pPr>
        <w:pStyle w:val="HTMLPreformatted"/>
        <w:spacing w:line="360" w:lineRule="auto"/>
        <w:jc w:val="both"/>
        <w:rPr>
          <w:rFonts w:ascii="Book Antiqua" w:hAnsi="Book Antiqua" w:cs="Arial"/>
          <w:noProof/>
          <w:sz w:val="24"/>
          <w:szCs w:val="24"/>
          <w:lang w:val="en-US" w:eastAsia="zh-CN"/>
        </w:rPr>
      </w:pPr>
      <w:r w:rsidRPr="00CD1426">
        <w:rPr>
          <w:rFonts w:ascii="Book Antiqua" w:hAnsi="Book Antiqua" w:cs="Arial"/>
          <w:noProof/>
          <w:sz w:val="24"/>
          <w:szCs w:val="24"/>
          <w:lang w:val="en-US"/>
        </w:rPr>
        <w:lastRenderedPageBreak/>
        <w:t xml:space="preserve">Adapted from Hézode </w:t>
      </w:r>
      <w:r w:rsidR="00F50DCF" w:rsidRPr="00CD1426">
        <w:rPr>
          <w:rFonts w:ascii="Book Antiqua" w:hAnsi="Book Antiqua" w:cs="Arial"/>
          <w:i/>
          <w:noProof/>
          <w:sz w:val="24"/>
          <w:szCs w:val="24"/>
          <w:lang w:val="en-US" w:eastAsia="zh-CN"/>
        </w:rPr>
        <w:t>e</w:t>
      </w:r>
      <w:r w:rsidR="00F50DCF" w:rsidRPr="00CD1426">
        <w:rPr>
          <w:rFonts w:ascii="Book Antiqua" w:hAnsi="Book Antiqua" w:cs="Arial"/>
          <w:i/>
          <w:noProof/>
          <w:sz w:val="24"/>
          <w:szCs w:val="24"/>
          <w:lang w:val="en-US"/>
        </w:rPr>
        <w:t xml:space="preserve">t </w:t>
      </w:r>
      <w:r w:rsidRPr="00CD1426">
        <w:rPr>
          <w:rFonts w:ascii="Book Antiqua" w:hAnsi="Book Antiqua" w:cs="Arial"/>
          <w:i/>
          <w:noProof/>
          <w:sz w:val="24"/>
          <w:szCs w:val="24"/>
          <w:lang w:val="en-US"/>
        </w:rPr>
        <w:t>al</w:t>
      </w:r>
      <w:r w:rsidRPr="00CD1426">
        <w:rPr>
          <w:rFonts w:ascii="Book Antiqua" w:hAnsi="Book Antiqua" w:cs="Arial"/>
          <w:noProof/>
          <w:sz w:val="24"/>
          <w:szCs w:val="24"/>
          <w:lang w:val="en-US"/>
        </w:rPr>
        <w:fldChar w:fldCharType="begin" w:fldLock="1"/>
      </w:r>
      <w:r w:rsidR="001D4A08" w:rsidRPr="00CD1426">
        <w:rPr>
          <w:rFonts w:ascii="Book Antiqua" w:hAnsi="Book Antiqua" w:cs="Arial"/>
          <w:noProof/>
          <w:sz w:val="24"/>
          <w:szCs w:val="24"/>
          <w:lang w:val="en-US"/>
        </w:rPr>
        <w:instrText>ADDIN CSL_CITATION { "citationItems" : [ { "id" : "ITEM-1", "itemData" : { "DOI" : "10.1053/j.gastro.2014.03.051", "ISSN" : "1528-0012", "PMID" : "24704719", "abstract" : "BACKGROUND &amp; AIMS: We investigated the effectiveness of the protease inhibitors peginterferon and ribavirin in treatment-experienced patients with hepatitis C virus (HCV) genotype 1 infection and cirrhosis.\n\nMETHODS: In the Compassionate Use of Protease Inhibitors in Viral C Cirrhosis study, 511 patients with HCV genotype 1 infection and compensated cirrhosis who did not respond to a prior course of peginterferon and ribavirin (44.3% relapsers or patients with viral breakthrough, 44.8% partial responders, and 8.0% null responders) were given either telaprevir (n\u00a0= 299) or boceprevir (n\u00a0= 212) for 48 weeks. We assessed percentages of patients with sustained viral responses 12 weeks after therapy and safety. This observational study did not allow for direct comparison of the 2 regimens.\n\nRESULTS: Among patients given telaprevir, 74.2% of relapsers, 40.0% of partial responders, and 19.4% of null responders achieved SVR12. Among those given boceprevir, 53.9% of relapsers, 38.3% of partial responders, and none of the null responders achieved SVR12. In multivariate analysis, factors associated with SVR12 included prior response to treatment response, no lead-in phase, HCV subtype 1b (vs 1a), and baseline platelet count greater than 100,000/mm(3). Severe adverse events occurred in 49.9% of cases, including liver decompensation, severe infections in 10.4%, and death in 2.2%. In multivariate analysis, baseline serum albumin level less than 35 g/L and baseline platelet counts of 100,000/mm(3) or less predicted severe side effects or death.\n\nCONCLUSIONS: Relatively high percentages of real-life, treatment-experienced patients with HCV genotype 1 infection and cirrhosis respond to the combination of peginterferon and ribavirin with telaprevir or boceprevir. However, side effects are frequent and often severe. Baseline levels of albumin and platelet counts can be used to guide treatment decisions. ClinicalTrials.gov number: NCT01514890.", "author" : [ { "dropping-particle" : "", "family" : "H\u00e9zode", "given" : "Christophe", "non-dropping-particle" : "", "parse-names" : false, "suffix" : "" }, { "dropping-particle" : "", "family" : "Fontaine", "given" : "Helene", "non-dropping-particle" : "", "parse-names" : false, "suffix" : "" }, { "dropping-particle" : "", "family" : "Dorival", "given" : "Celine", "non-dropping-particle" : "", "parse-names" : false, "suffix" : "" }, { "dropping-particle" : "", "family" : "Zoulim", "given" : "Fabien", "non-dropping-particle" : "", "parse-names" : false, "suffix" : "" }, { "dropping-particle" : "", "family" : "Larrey", "given" : "Dominique", "non-dropping-particle" : "", "parse-names" : false, "suffix" : "" }, { "dropping-particle" : "", "family" : "Canva", "given" : "Valerie", "non-dropping-particle" : "", "parse-names" : false, "suffix" : "" }, { "dropping-particle" : "", "family" : "Ledinghen", "given" : "Victor", "non-dropping-particle" : "De", "parse-names" : false, "suffix" : "" }, { "dropping-particle" : "", "family" : "Poynard", "given" : "Thierry", "non-dropping-particle" : "", "parse-names" : false, "suffix" : "" }, { "dropping-particle" : "", "family" : "Samuel", "given" : "Didier", "non-dropping-particle" : "", "parse-names" : false, "suffix" : "" }, { "dropping-particle" : "", "family" : "Bourliere", "given" : "Marc", "non-dropping-particle" : "", "parse-names" : false, "suffix" : "" }, { "dropping-particle" : "", "family" : "Alric", "given" : "Laurent", "non-dropping-particle" : "", "parse-names" : false, "suffix" : "" }, { "dropping-particle" : "", "family" : "Raabe", "given" : "Jean-Jacques", "non-dropping-particle" : "", "parse-names" : false, "suffix" : "" }, { "dropping-particle" : "", "family" : "Zarski", "given" : "Jean-Pierre", "non-dropping-particle" : "", "parse-names" : false, "suffix" : "" }, { "dropping-particle" : "", "family" : "Marcellin", "given" : "Patrick", "non-dropping-particle" : "", "parse-names" : false, "suffix" : "" }, { "dropping-particle" : "", "family" : "Riachi", "given" : "Ghassan", "non-dropping-particle" : "", "parse-names" : false, "suffix" : "" }, { "dropping-particle" : "", "family" : "Bernard", "given" : "Pierre-Henri", "non-dropping-particle" : "", "parse-names" : false, "suffix" : "" }, { "dropping-particle" : "", "family" : "Loustaud-Ratti", "given" : "Veronique", "non-dropping-particle" : "", "parse-names" : false, "suffix" : "" }, { "dropping-particle" : "", "family" : "Chazouilleres", "given" : "Olivier", "non-dropping-particle" : "", "parse-names" : false, "suffix" : "" }, { "dropping-particle" : "", "family" : "Abergel", "given" : "Armand", "non-dropping-particle" : "", "parse-names" : false, "suffix" : "" }, { "dropping-particle" : "", "family" : "Guyader", "given" : "Dominique", "non-dropping-particle" : "", "parse-names" : false, "suffix" : "" }, { "dropping-particle" : "", "family" : "Metivier", "given" : "Sophie", "non-dropping-particle" : "", "parse-names" : false, "suffix" : "" }, { "dropping-particle" : "", "family" : "Tran", "given" : "Albert", "non-dropping-particle" : "", "parse-names" : false, "suffix" : "" }, { "dropping-particle" : "", "family" : "Martino", "given" : "Vincent", "non-dropping-particle" : "Di", "parse-names" : false, "suffix" : "" }, { "dropping-particle" : "", "family" : "Causse", "given" : "Xavier", "non-dropping-particle" : "", "parse-names" : false, "suffix" : "" }, { "dropping-particle" : "", "family" : "Dao", "given" : "Thong", "non-dropping-particle" : "", "parse-names" : false, "suffix" : "" }, { "dropping-particle" : "", "family" : "Lucidarme", "given" : "Damien", "non-dropping-particle" : "", "parse-names" : false, "suffix" : "" }, { "dropping-particle" : "", "family" : "Portal", "given" : "Isabelle", "non-dropping-particle" : "", "parse-names" : false, "suffix" : "" }, { "dropping-particle" : "", "family" : "Cacoub", "given" : "Patrice", "non-dropping-particle" : "", "parse-names" : false, "suffix" : "" }, { "dropping-particle" : "", "family" : "Gournay", "given" : "Jerome", "non-dropping-particle" : "", "parse-names" : false, "suffix" : "" }, { "dropping-particle" : "", "family" : "Grando-Lemaire", "given" : "Veronique", "non-dropping-particle" : "", "parse-names" : false, "suffix" : "" }, { "dropping-particle" : "", "family" : "Hillon", "given" : "Patrick", "non-dropping-particle" : "", "parse-names" : false, "suffix" : "" }, { "dropping-particle" : "", "family" : "Attali", "given" : "Pierre", "non-dropping-particle" : "", "parse-names" : false, "suffix" : "" }, { "dropping-particle" : "", "family" : "Fontanges", "given" : "Thierry", "non-dropping-particle" : "", "parse-names" : false, "suffix" : "" }, { "dropping-particle" : "", "family" : "Rosa", "given" : "Isabelle", "non-dropping-particle" : "", "parse-names" : false, "suffix" : "" }, { "dropping-particle" : "", "family" : "Petrov-Sanchez", "given" : "Ventzislava", "non-dropping-particle" : "", "parse-names" : false, "suffix" : "" }, { "dropping-particle" : "", "family" : "Barthe", "given" : "Yoann", "non-dropping-particle" : "", "parse-names" : false, "suffix" : "" }, { "dropping-particle" : "", "family" : "Pawlotsky", "given" : "Jean-Michel", "non-dropping-particle" : "", "parse-names" : false, "suffix" : "" }, { "dropping-particle" : "", "family" : "Pol", "given" : "Stanislas", "non-dropping-particle" : "", "parse-names" : false, "suffix" : "" }, { "dropping-particle" : "", "family" : "Carrat", "given" : "Fabrice", "non-dropping-particle" : "", "parse-names" : false, "suffix" : "" }, { "dropping-particle" : "", "family" : "Bronowicki", "given" : "Jean-Pierre", "non-dropping-particle" : "", "parse-names" : false, "suffix" : "" } ], "container-title" : "Gastroenterology", "id" : "ITEM-1", "issue" : "1", "issued" : { "date-parts" : [ [ "2014", "7" ] ] }, "page" : "132-142.e4", "title" : "Effectiveness of telaprevir or boceprevir in treatment-experienced patients with HCV genotype 1 infection and cirrhosis.", "type" : "article-journal", "volume" : "147" }, "uris" : [ "http://www.mendeley.com/documents/?uuid=71a25f70-566b-44f3-b34c-6e83c09a9979" ] } ], "mendeley" : { "formattedCitation" : "&lt;sup&gt;[50]&lt;/sup&gt;", "plainTextFormattedCitation" : "[50]", "previouslyFormattedCitation" : "&lt;sup&gt;[50]&lt;/sup&gt;" }, "properties" : { "noteIndex" : 0 }, "schema" : "https://github.com/citation-style-language/schema/raw/master/csl-citation.json" }</w:instrText>
      </w:r>
      <w:r w:rsidRPr="00CD1426">
        <w:rPr>
          <w:rFonts w:ascii="Book Antiqua" w:hAnsi="Book Antiqua" w:cs="Arial"/>
          <w:noProof/>
          <w:sz w:val="24"/>
          <w:szCs w:val="24"/>
          <w:lang w:val="en-US"/>
        </w:rPr>
        <w:fldChar w:fldCharType="separate"/>
      </w:r>
      <w:r w:rsidR="001D4A08" w:rsidRPr="00CD1426">
        <w:rPr>
          <w:rFonts w:ascii="Book Antiqua" w:hAnsi="Book Antiqua" w:cs="Arial"/>
          <w:noProof/>
          <w:sz w:val="24"/>
          <w:szCs w:val="24"/>
          <w:vertAlign w:val="superscript"/>
          <w:lang w:val="en-US"/>
        </w:rPr>
        <w:t>[50]</w:t>
      </w:r>
      <w:r w:rsidRPr="00CD1426">
        <w:rPr>
          <w:rFonts w:ascii="Book Antiqua" w:hAnsi="Book Antiqua" w:cs="Arial"/>
          <w:noProof/>
          <w:sz w:val="24"/>
          <w:szCs w:val="24"/>
          <w:lang w:val="en-US"/>
        </w:rPr>
        <w:fldChar w:fldCharType="end"/>
      </w:r>
      <w:r w:rsidR="00F50DCF" w:rsidRPr="00CD1426">
        <w:rPr>
          <w:rFonts w:ascii="Book Antiqua" w:hAnsi="Book Antiqua" w:cs="Arial"/>
          <w:noProof/>
          <w:sz w:val="24"/>
          <w:szCs w:val="24"/>
          <w:lang w:val="en-US" w:eastAsia="zh-CN"/>
        </w:rPr>
        <w:t>.</w:t>
      </w:r>
      <w:r w:rsidR="006746CE" w:rsidRPr="00CD1426">
        <w:rPr>
          <w:rFonts w:ascii="Book Antiqua" w:hAnsi="Book Antiqua" w:cs="Arial"/>
          <w:noProof/>
          <w:sz w:val="24"/>
          <w:szCs w:val="24"/>
          <w:lang w:val="en-US" w:eastAsia="zh-CN"/>
        </w:rPr>
        <w:t xml:space="preserve"> </w:t>
      </w:r>
      <w:r w:rsidRPr="00CD1426">
        <w:rPr>
          <w:rFonts w:ascii="Book Antiqua" w:hAnsi="Book Antiqua" w:cs="Arial"/>
          <w:noProof/>
          <w:sz w:val="24"/>
          <w:szCs w:val="24"/>
          <w:lang w:val="en-US"/>
        </w:rPr>
        <w:t>TVR</w:t>
      </w:r>
      <w:r w:rsidR="00F50DCF" w:rsidRPr="00CD1426">
        <w:rPr>
          <w:rFonts w:ascii="Book Antiqua" w:hAnsi="Book Antiqua" w:cs="Arial"/>
          <w:noProof/>
          <w:sz w:val="24"/>
          <w:szCs w:val="24"/>
          <w:lang w:val="en-US" w:eastAsia="zh-CN"/>
        </w:rPr>
        <w:t>:</w:t>
      </w:r>
      <w:r w:rsidRPr="00CD1426">
        <w:rPr>
          <w:rFonts w:ascii="Book Antiqua" w:hAnsi="Book Antiqua" w:cs="Arial"/>
          <w:noProof/>
          <w:sz w:val="24"/>
          <w:szCs w:val="24"/>
          <w:lang w:val="en-US"/>
        </w:rPr>
        <w:t xml:space="preserve"> </w:t>
      </w:r>
      <w:r w:rsidR="00F50DCF" w:rsidRPr="00CD1426">
        <w:rPr>
          <w:rFonts w:ascii="Book Antiqua" w:hAnsi="Book Antiqua" w:cs="Arial"/>
          <w:noProof/>
          <w:sz w:val="24"/>
          <w:szCs w:val="24"/>
          <w:lang w:val="en-US"/>
        </w:rPr>
        <w:t>Telaprevir</w:t>
      </w:r>
      <w:r w:rsidRPr="00CD1426">
        <w:rPr>
          <w:rFonts w:ascii="Book Antiqua" w:hAnsi="Book Antiqua" w:cs="Arial"/>
          <w:noProof/>
          <w:sz w:val="24"/>
          <w:szCs w:val="24"/>
          <w:lang w:val="en-US"/>
        </w:rPr>
        <w:t>; BOC</w:t>
      </w:r>
      <w:r w:rsidR="00F50DCF" w:rsidRPr="00CD1426">
        <w:rPr>
          <w:rFonts w:ascii="Book Antiqua" w:hAnsi="Book Antiqua" w:cs="Arial"/>
          <w:noProof/>
          <w:sz w:val="24"/>
          <w:szCs w:val="24"/>
          <w:lang w:val="en-US" w:eastAsia="zh-CN"/>
        </w:rPr>
        <w:t>:</w:t>
      </w:r>
      <w:r w:rsidRPr="00CD1426">
        <w:rPr>
          <w:rFonts w:ascii="Book Antiqua" w:hAnsi="Book Antiqua" w:cs="Arial"/>
          <w:noProof/>
          <w:sz w:val="24"/>
          <w:szCs w:val="24"/>
          <w:lang w:val="en-US"/>
        </w:rPr>
        <w:t xml:space="preserve"> </w:t>
      </w:r>
      <w:r w:rsidR="00F50DCF" w:rsidRPr="00CD1426">
        <w:rPr>
          <w:rFonts w:ascii="Book Antiqua" w:hAnsi="Book Antiqua" w:cs="Arial"/>
          <w:noProof/>
          <w:sz w:val="24"/>
          <w:szCs w:val="24"/>
          <w:lang w:val="en-US"/>
        </w:rPr>
        <w:t>Boceprevir</w:t>
      </w:r>
      <w:r w:rsidR="00F50DCF" w:rsidRPr="00CD1426">
        <w:rPr>
          <w:rFonts w:ascii="Book Antiqua" w:hAnsi="Book Antiqua" w:cs="Arial"/>
          <w:noProof/>
          <w:sz w:val="24"/>
          <w:szCs w:val="24"/>
          <w:lang w:val="en-US" w:eastAsia="zh-CN"/>
        </w:rPr>
        <w:t>;</w:t>
      </w:r>
      <w:r w:rsidRPr="00CD1426">
        <w:rPr>
          <w:rFonts w:ascii="Book Antiqua" w:hAnsi="Book Antiqua" w:cs="Arial"/>
          <w:noProof/>
          <w:sz w:val="24"/>
          <w:szCs w:val="24"/>
          <w:lang w:val="en-US"/>
        </w:rPr>
        <w:t xml:space="preserve"> SVR12</w:t>
      </w:r>
      <w:r w:rsidR="00F50DCF" w:rsidRPr="00CD1426">
        <w:rPr>
          <w:rFonts w:ascii="Book Antiqua" w:hAnsi="Book Antiqua" w:cs="Arial"/>
          <w:noProof/>
          <w:sz w:val="24"/>
          <w:szCs w:val="24"/>
          <w:lang w:val="en-US" w:eastAsia="zh-CN"/>
        </w:rPr>
        <w:t>:</w:t>
      </w:r>
      <w:r w:rsidRPr="00CD1426">
        <w:rPr>
          <w:rFonts w:ascii="Book Antiqua" w:hAnsi="Book Antiqua" w:cs="Arial"/>
          <w:noProof/>
          <w:sz w:val="24"/>
          <w:szCs w:val="24"/>
          <w:lang w:val="en-US"/>
        </w:rPr>
        <w:t xml:space="preserve"> </w:t>
      </w:r>
      <w:r w:rsidR="00F50DCF" w:rsidRPr="00CD1426">
        <w:rPr>
          <w:rFonts w:ascii="Book Antiqua" w:hAnsi="Book Antiqua" w:cs="Arial"/>
          <w:noProof/>
          <w:sz w:val="24"/>
          <w:szCs w:val="24"/>
          <w:lang w:val="en-US"/>
        </w:rPr>
        <w:t xml:space="preserve">Sustained </w:t>
      </w:r>
      <w:r w:rsidRPr="00CD1426">
        <w:rPr>
          <w:rFonts w:ascii="Book Antiqua" w:hAnsi="Book Antiqua" w:cs="Arial"/>
          <w:noProof/>
          <w:sz w:val="24"/>
          <w:szCs w:val="24"/>
          <w:lang w:val="en-US"/>
        </w:rPr>
        <w:t>virologic respons</w:t>
      </w:r>
      <w:r w:rsidR="006746CE" w:rsidRPr="00CD1426">
        <w:rPr>
          <w:rFonts w:ascii="Book Antiqua" w:hAnsi="Book Antiqua" w:cs="Arial"/>
          <w:noProof/>
          <w:sz w:val="24"/>
          <w:szCs w:val="24"/>
          <w:lang w:val="en-US"/>
        </w:rPr>
        <w:t xml:space="preserve">e at 12 </w:t>
      </w:r>
      <w:r w:rsidRPr="00CD1426">
        <w:rPr>
          <w:rFonts w:ascii="Book Antiqua" w:hAnsi="Book Antiqua" w:cs="Arial"/>
          <w:noProof/>
          <w:sz w:val="24"/>
          <w:szCs w:val="24"/>
          <w:lang w:val="en-US"/>
        </w:rPr>
        <w:t>k after ending of treatment</w:t>
      </w:r>
      <w:r w:rsidR="006746CE" w:rsidRPr="00CD1426">
        <w:rPr>
          <w:rFonts w:ascii="Book Antiqua" w:hAnsi="Book Antiqua" w:cs="Arial"/>
          <w:noProof/>
          <w:sz w:val="24"/>
          <w:szCs w:val="24"/>
          <w:lang w:val="en-US" w:eastAsia="zh-CN"/>
        </w:rPr>
        <w:t>.</w:t>
      </w:r>
    </w:p>
    <w:p w14:paraId="5DCD5B84" w14:textId="77777777" w:rsidR="002B302F" w:rsidRPr="00CD1426" w:rsidRDefault="002B302F" w:rsidP="00CD1426">
      <w:pPr>
        <w:spacing w:line="360" w:lineRule="auto"/>
        <w:jc w:val="both"/>
        <w:rPr>
          <w:rFonts w:ascii="Book Antiqua" w:hAnsi="Book Antiqua" w:cs="Arial"/>
          <w:i/>
          <w:lang w:val="en-US"/>
        </w:rPr>
      </w:pPr>
    </w:p>
    <w:p w14:paraId="2F0C4604" w14:textId="77777777" w:rsidR="002B302F" w:rsidRPr="00CD1426" w:rsidRDefault="002B302F" w:rsidP="00CD1426">
      <w:pPr>
        <w:spacing w:line="360" w:lineRule="auto"/>
        <w:jc w:val="both"/>
        <w:rPr>
          <w:rFonts w:ascii="Book Antiqua" w:hAnsi="Book Antiqua" w:cs="Arial"/>
          <w:b/>
          <w:lang w:val="en-US"/>
        </w:rPr>
        <w:sectPr w:rsidR="002B302F" w:rsidRPr="00CD1426" w:rsidSect="00DF49D3">
          <w:headerReference w:type="even" r:id="rId10"/>
          <w:headerReference w:type="default" r:id="rId11"/>
          <w:pgSz w:w="11906" w:h="16838"/>
          <w:pgMar w:top="1418" w:right="1701" w:bottom="1418" w:left="1843" w:header="709" w:footer="709" w:gutter="0"/>
          <w:cols w:space="708"/>
          <w:docGrid w:linePitch="360"/>
        </w:sectPr>
      </w:pPr>
    </w:p>
    <w:p w14:paraId="530E4E4B" w14:textId="53251530" w:rsidR="00F50DCF" w:rsidRPr="00CD1426" w:rsidRDefault="00F50DCF" w:rsidP="00CD1426">
      <w:pPr>
        <w:tabs>
          <w:tab w:val="left" w:pos="0"/>
          <w:tab w:val="right" w:pos="540"/>
        </w:tabs>
        <w:spacing w:line="360" w:lineRule="auto"/>
        <w:jc w:val="both"/>
        <w:rPr>
          <w:rFonts w:ascii="Book Antiqua" w:hAnsi="Book Antiqua" w:cs="Arial"/>
          <w:lang w:val="en-US"/>
        </w:rPr>
      </w:pPr>
      <w:r w:rsidRPr="00CD1426">
        <w:rPr>
          <w:rFonts w:ascii="Book Antiqua" w:hAnsi="Book Antiqua" w:cs="Arial"/>
          <w:b/>
          <w:lang w:val="en-US"/>
        </w:rPr>
        <w:lastRenderedPageBreak/>
        <w:t xml:space="preserve">Table 3 Characteristics of the “New-wave” </w:t>
      </w:r>
      <w:r w:rsidR="001D7445" w:rsidRPr="00CD1426">
        <w:rPr>
          <w:rFonts w:ascii="Book Antiqua" w:hAnsi="Book Antiqua" w:cs="Arial"/>
          <w:b/>
          <w:lang w:val="en-US"/>
        </w:rPr>
        <w:t xml:space="preserve">direct acting antivirals </w:t>
      </w:r>
      <w:r w:rsidRPr="00CD1426">
        <w:rPr>
          <w:rFonts w:ascii="Book Antiqua" w:hAnsi="Book Antiqua" w:cs="Arial"/>
          <w:b/>
          <w:lang w:val="en-US"/>
        </w:rPr>
        <w:t xml:space="preserve">and the most important variables associated with sustained </w:t>
      </w:r>
      <w:proofErr w:type="spellStart"/>
      <w:r w:rsidRPr="00CD1426">
        <w:rPr>
          <w:rFonts w:ascii="Book Antiqua" w:hAnsi="Book Antiqua" w:cs="Arial"/>
          <w:b/>
          <w:lang w:val="en-US"/>
        </w:rPr>
        <w:t>virological</w:t>
      </w:r>
      <w:proofErr w:type="spellEnd"/>
      <w:r w:rsidRPr="00CD1426">
        <w:rPr>
          <w:rFonts w:ascii="Book Antiqua" w:hAnsi="Book Antiqua" w:cs="Arial"/>
          <w:b/>
          <w:lang w:val="en-US"/>
        </w:rPr>
        <w:t xml:space="preserve"> response</w:t>
      </w:r>
    </w:p>
    <w:tbl>
      <w:tblPr>
        <w:tblStyle w:val="TableGrid"/>
        <w:tblW w:w="0" w:type="auto"/>
        <w:tblLayout w:type="fixed"/>
        <w:tblLook w:val="04A0" w:firstRow="1" w:lastRow="0" w:firstColumn="1" w:lastColumn="0" w:noHBand="0" w:noVBand="1"/>
      </w:tblPr>
      <w:tblGrid>
        <w:gridCol w:w="1277"/>
        <w:gridCol w:w="4229"/>
        <w:gridCol w:w="2154"/>
        <w:gridCol w:w="3419"/>
        <w:gridCol w:w="606"/>
        <w:gridCol w:w="928"/>
        <w:gridCol w:w="1925"/>
      </w:tblGrid>
      <w:tr w:rsidR="002B302F" w:rsidRPr="00CD1426" w14:paraId="060A226D" w14:textId="77777777" w:rsidTr="00F50DCF">
        <w:trPr>
          <w:trHeight w:val="240"/>
        </w:trPr>
        <w:tc>
          <w:tcPr>
            <w:tcW w:w="1277" w:type="dxa"/>
            <w:noWrap/>
          </w:tcPr>
          <w:p w14:paraId="26DC9D40" w14:textId="77777777" w:rsidR="002B302F" w:rsidRPr="00CD1426" w:rsidRDefault="002B302F" w:rsidP="00CD1426">
            <w:pPr>
              <w:spacing w:line="360" w:lineRule="auto"/>
              <w:jc w:val="both"/>
              <w:rPr>
                <w:rFonts w:ascii="Book Antiqua" w:hAnsi="Book Antiqua" w:cs="Arial"/>
                <w:b/>
                <w:bCs/>
                <w:lang w:val="en-US" w:eastAsia="en-US"/>
              </w:rPr>
            </w:pPr>
            <w:r w:rsidRPr="00CD1426">
              <w:rPr>
                <w:rFonts w:ascii="Book Antiqua" w:hAnsi="Book Antiqua" w:cs="Arial"/>
                <w:b/>
                <w:bCs/>
                <w:lang w:val="en-US" w:eastAsia="en-US"/>
              </w:rPr>
              <w:t>Drug</w:t>
            </w:r>
          </w:p>
        </w:tc>
        <w:tc>
          <w:tcPr>
            <w:tcW w:w="4229" w:type="dxa"/>
            <w:noWrap/>
          </w:tcPr>
          <w:p w14:paraId="78896269" w14:textId="77777777" w:rsidR="002B302F" w:rsidRPr="00CD1426" w:rsidRDefault="002B302F" w:rsidP="00CD1426">
            <w:pPr>
              <w:spacing w:line="360" w:lineRule="auto"/>
              <w:jc w:val="both"/>
              <w:rPr>
                <w:rFonts w:ascii="Book Antiqua" w:hAnsi="Book Antiqua" w:cs="Arial"/>
                <w:b/>
                <w:bCs/>
                <w:lang w:val="en-US" w:eastAsia="en-US"/>
              </w:rPr>
            </w:pPr>
            <w:r w:rsidRPr="00CD1426">
              <w:rPr>
                <w:rFonts w:ascii="Book Antiqua" w:hAnsi="Book Antiqua" w:cs="Arial"/>
                <w:b/>
                <w:bCs/>
                <w:lang w:val="en-US" w:eastAsia="en-US"/>
              </w:rPr>
              <w:t>Characteristics</w:t>
            </w:r>
          </w:p>
        </w:tc>
        <w:tc>
          <w:tcPr>
            <w:tcW w:w="2154" w:type="dxa"/>
            <w:noWrap/>
          </w:tcPr>
          <w:p w14:paraId="49913EE5" w14:textId="77777777" w:rsidR="002B302F" w:rsidRPr="00CD1426" w:rsidRDefault="002B302F" w:rsidP="00CD1426">
            <w:pPr>
              <w:spacing w:line="360" w:lineRule="auto"/>
              <w:jc w:val="both"/>
              <w:rPr>
                <w:rFonts w:ascii="Book Antiqua" w:hAnsi="Book Antiqua" w:cs="Arial"/>
                <w:b/>
                <w:bCs/>
                <w:lang w:val="en-US" w:eastAsia="en-US"/>
              </w:rPr>
            </w:pPr>
            <w:r w:rsidRPr="00CD1426">
              <w:rPr>
                <w:rFonts w:ascii="Book Antiqua" w:hAnsi="Book Antiqua" w:cs="Arial"/>
                <w:b/>
                <w:bCs/>
                <w:lang w:val="en-US" w:eastAsia="en-US"/>
              </w:rPr>
              <w:t xml:space="preserve">Resistance-associated </w:t>
            </w:r>
          </w:p>
        </w:tc>
        <w:tc>
          <w:tcPr>
            <w:tcW w:w="3419" w:type="dxa"/>
            <w:noWrap/>
          </w:tcPr>
          <w:p w14:paraId="6426AEA1" w14:textId="77777777" w:rsidR="002B302F" w:rsidRPr="00CD1426" w:rsidRDefault="002B302F" w:rsidP="00CD1426">
            <w:pPr>
              <w:spacing w:line="360" w:lineRule="auto"/>
              <w:jc w:val="both"/>
              <w:rPr>
                <w:rFonts w:ascii="Book Antiqua" w:hAnsi="Book Antiqua" w:cs="Arial"/>
                <w:b/>
                <w:bCs/>
                <w:lang w:val="en-US" w:eastAsia="en-US"/>
              </w:rPr>
            </w:pPr>
            <w:r w:rsidRPr="00CD1426">
              <w:rPr>
                <w:rFonts w:ascii="Book Antiqua" w:hAnsi="Book Antiqua" w:cs="Arial"/>
                <w:b/>
                <w:bCs/>
                <w:lang w:val="en-US" w:eastAsia="en-US"/>
              </w:rPr>
              <w:t>SVR predictive factors</w:t>
            </w:r>
          </w:p>
        </w:tc>
        <w:tc>
          <w:tcPr>
            <w:tcW w:w="606" w:type="dxa"/>
            <w:noWrap/>
          </w:tcPr>
          <w:p w14:paraId="3B0655B8" w14:textId="48CC8817" w:rsidR="002B302F" w:rsidRPr="00CD1426" w:rsidRDefault="002B302F" w:rsidP="00CD1426">
            <w:pPr>
              <w:spacing w:line="360" w:lineRule="auto"/>
              <w:jc w:val="both"/>
              <w:rPr>
                <w:rFonts w:ascii="Book Antiqua" w:hAnsi="Book Antiqua" w:cs="Arial"/>
                <w:b/>
                <w:bCs/>
                <w:lang w:val="en-US" w:eastAsia="zh-CN"/>
              </w:rPr>
            </w:pPr>
            <w:r w:rsidRPr="00CD1426">
              <w:rPr>
                <w:rFonts w:ascii="Book Antiqua" w:hAnsi="Book Antiqua" w:cs="Arial"/>
                <w:b/>
                <w:bCs/>
                <w:lang w:val="en-US" w:eastAsia="en-US"/>
              </w:rPr>
              <w:t>OR</w:t>
            </w:r>
            <w:r w:rsidR="001D7445" w:rsidRPr="00CD1426">
              <w:rPr>
                <w:rFonts w:ascii="Book Antiqua" w:hAnsi="Book Antiqua" w:cs="Arial"/>
                <w:b/>
                <w:bCs/>
                <w:vertAlign w:val="superscript"/>
                <w:lang w:val="en-US" w:eastAsia="zh-CN"/>
              </w:rPr>
              <w:t>1</w:t>
            </w:r>
          </w:p>
        </w:tc>
        <w:tc>
          <w:tcPr>
            <w:tcW w:w="928" w:type="dxa"/>
            <w:noWrap/>
          </w:tcPr>
          <w:p w14:paraId="7D1337A7" w14:textId="089885F5" w:rsidR="002B302F" w:rsidRPr="00CD1426" w:rsidRDefault="002B302F" w:rsidP="00CD1426">
            <w:pPr>
              <w:spacing w:line="360" w:lineRule="auto"/>
              <w:jc w:val="both"/>
              <w:rPr>
                <w:rFonts w:ascii="Book Antiqua" w:hAnsi="Book Antiqua" w:cs="Arial"/>
                <w:b/>
                <w:bCs/>
                <w:lang w:val="en-US" w:eastAsia="zh-CN"/>
              </w:rPr>
            </w:pPr>
            <w:r w:rsidRPr="00CD1426">
              <w:rPr>
                <w:rFonts w:ascii="Book Antiqua" w:hAnsi="Book Antiqua" w:cs="Arial"/>
                <w:b/>
                <w:bCs/>
                <w:i/>
                <w:lang w:val="en-US" w:eastAsia="en-US"/>
              </w:rPr>
              <w:t>P</w:t>
            </w:r>
            <w:r w:rsidR="001D7445" w:rsidRPr="00CD1426">
              <w:rPr>
                <w:rFonts w:ascii="Book Antiqua" w:hAnsi="Book Antiqua" w:cs="Arial"/>
                <w:b/>
                <w:bCs/>
                <w:lang w:val="en-US" w:eastAsia="en-US"/>
              </w:rPr>
              <w:t>-Value</w:t>
            </w:r>
            <w:r w:rsidR="001D7445" w:rsidRPr="00CD1426">
              <w:rPr>
                <w:rFonts w:ascii="Book Antiqua" w:hAnsi="Book Antiqua" w:cs="Arial"/>
                <w:b/>
                <w:bCs/>
                <w:vertAlign w:val="superscript"/>
                <w:lang w:val="en-US" w:eastAsia="zh-CN"/>
              </w:rPr>
              <w:t>1</w:t>
            </w:r>
          </w:p>
        </w:tc>
        <w:tc>
          <w:tcPr>
            <w:tcW w:w="1925" w:type="dxa"/>
            <w:noWrap/>
          </w:tcPr>
          <w:p w14:paraId="654AEA44" w14:textId="77777777" w:rsidR="002B302F" w:rsidRPr="00CD1426" w:rsidRDefault="002B302F" w:rsidP="00CD1426">
            <w:pPr>
              <w:spacing w:line="360" w:lineRule="auto"/>
              <w:jc w:val="both"/>
              <w:rPr>
                <w:rFonts w:ascii="Book Antiqua" w:hAnsi="Book Antiqua" w:cs="Arial"/>
                <w:b/>
                <w:bCs/>
                <w:lang w:val="en-US" w:eastAsia="en-US"/>
              </w:rPr>
            </w:pPr>
            <w:r w:rsidRPr="00CD1426">
              <w:rPr>
                <w:rFonts w:ascii="Book Antiqua" w:hAnsi="Book Antiqua" w:cs="Arial"/>
                <w:b/>
                <w:bCs/>
                <w:lang w:val="en-US" w:eastAsia="en-US"/>
              </w:rPr>
              <w:t> </w:t>
            </w:r>
          </w:p>
        </w:tc>
      </w:tr>
      <w:tr w:rsidR="002B302F" w:rsidRPr="00CD1426" w14:paraId="33875D03" w14:textId="77777777" w:rsidTr="00F50DCF">
        <w:trPr>
          <w:trHeight w:val="240"/>
        </w:trPr>
        <w:tc>
          <w:tcPr>
            <w:tcW w:w="1277" w:type="dxa"/>
            <w:noWrap/>
          </w:tcPr>
          <w:p w14:paraId="4DD75C67" w14:textId="77777777" w:rsidR="002B302F" w:rsidRPr="00CD1426" w:rsidRDefault="002B302F" w:rsidP="00CD1426">
            <w:pPr>
              <w:spacing w:line="360" w:lineRule="auto"/>
              <w:jc w:val="both"/>
              <w:rPr>
                <w:rFonts w:ascii="Book Antiqua" w:hAnsi="Book Antiqua" w:cs="Arial"/>
                <w:b/>
                <w:bCs/>
                <w:lang w:val="en-US" w:eastAsia="en-US"/>
              </w:rPr>
            </w:pPr>
            <w:proofErr w:type="spellStart"/>
            <w:r w:rsidRPr="00CD1426">
              <w:rPr>
                <w:rFonts w:ascii="Book Antiqua" w:hAnsi="Book Antiqua" w:cs="Arial"/>
                <w:b/>
                <w:bCs/>
                <w:lang w:val="en-US" w:eastAsia="en-US"/>
              </w:rPr>
              <w:t>Sofosbuvir</w:t>
            </w:r>
            <w:proofErr w:type="spellEnd"/>
          </w:p>
        </w:tc>
        <w:tc>
          <w:tcPr>
            <w:tcW w:w="4229" w:type="dxa"/>
            <w:noWrap/>
          </w:tcPr>
          <w:p w14:paraId="5A00CD15" w14:textId="77777777" w:rsidR="002B302F" w:rsidRPr="00CD1426" w:rsidRDefault="002B302F" w:rsidP="00CD1426">
            <w:pPr>
              <w:spacing w:line="360" w:lineRule="auto"/>
              <w:jc w:val="both"/>
              <w:rPr>
                <w:rFonts w:ascii="Book Antiqua" w:hAnsi="Book Antiqua" w:cs="Arial"/>
                <w:lang w:val="en-US" w:eastAsia="en-US"/>
              </w:rPr>
            </w:pPr>
            <w:r w:rsidRPr="00CD1426">
              <w:rPr>
                <w:rFonts w:ascii="Book Antiqua" w:hAnsi="Book Antiqua" w:cs="Arial"/>
                <w:lang w:val="en-US" w:eastAsia="en-US"/>
              </w:rPr>
              <w:t xml:space="preserve">Nucleotide analogue HCV NS5B </w:t>
            </w:r>
          </w:p>
        </w:tc>
        <w:tc>
          <w:tcPr>
            <w:tcW w:w="2154" w:type="dxa"/>
            <w:noWrap/>
          </w:tcPr>
          <w:p w14:paraId="6BC88D85" w14:textId="77777777" w:rsidR="002B302F" w:rsidRPr="00CD1426" w:rsidRDefault="002B302F" w:rsidP="00CD1426">
            <w:pPr>
              <w:spacing w:line="360" w:lineRule="auto"/>
              <w:jc w:val="both"/>
              <w:rPr>
                <w:rFonts w:ascii="Book Antiqua" w:hAnsi="Book Antiqua" w:cs="Arial"/>
                <w:lang w:val="en-US" w:eastAsia="en-US"/>
              </w:rPr>
            </w:pPr>
            <w:r w:rsidRPr="00CD1426">
              <w:rPr>
                <w:rFonts w:ascii="Book Antiqua" w:hAnsi="Book Antiqua" w:cs="Arial"/>
                <w:lang w:val="en-US" w:eastAsia="en-US"/>
              </w:rPr>
              <w:t xml:space="preserve">HCV mutation S282T </w:t>
            </w:r>
          </w:p>
        </w:tc>
        <w:tc>
          <w:tcPr>
            <w:tcW w:w="3419" w:type="dxa"/>
            <w:noWrap/>
          </w:tcPr>
          <w:p w14:paraId="07EA20EE" w14:textId="77777777" w:rsidR="002B302F" w:rsidRPr="00CD1426" w:rsidRDefault="002B302F" w:rsidP="00CD1426">
            <w:pPr>
              <w:spacing w:line="360" w:lineRule="auto"/>
              <w:jc w:val="both"/>
              <w:rPr>
                <w:rFonts w:ascii="Book Antiqua" w:hAnsi="Book Antiqua" w:cs="Arial"/>
                <w:b/>
                <w:bCs/>
                <w:lang w:val="en-US" w:eastAsia="en-US"/>
              </w:rPr>
            </w:pPr>
            <w:r w:rsidRPr="00CD1426">
              <w:rPr>
                <w:rFonts w:ascii="Book Antiqua" w:hAnsi="Book Antiqua" w:cs="Arial"/>
                <w:b/>
                <w:bCs/>
                <w:lang w:val="en-US" w:eastAsia="en-US"/>
              </w:rPr>
              <w:t>Genotype 1</w:t>
            </w:r>
          </w:p>
        </w:tc>
        <w:tc>
          <w:tcPr>
            <w:tcW w:w="606" w:type="dxa"/>
            <w:noWrap/>
          </w:tcPr>
          <w:p w14:paraId="3BFDF672" w14:textId="77777777" w:rsidR="002B302F" w:rsidRPr="00CD1426" w:rsidRDefault="002B302F" w:rsidP="00CD1426">
            <w:pPr>
              <w:spacing w:line="360" w:lineRule="auto"/>
              <w:jc w:val="both"/>
              <w:rPr>
                <w:rFonts w:ascii="Book Antiqua" w:hAnsi="Book Antiqua" w:cs="Arial"/>
                <w:lang w:val="en-US" w:eastAsia="en-US"/>
              </w:rPr>
            </w:pPr>
            <w:r w:rsidRPr="00CD1426">
              <w:rPr>
                <w:rFonts w:ascii="Book Antiqua" w:hAnsi="Book Antiqua" w:cs="Arial"/>
                <w:lang w:val="en-US" w:eastAsia="en-US"/>
              </w:rPr>
              <w:t> </w:t>
            </w:r>
          </w:p>
        </w:tc>
        <w:tc>
          <w:tcPr>
            <w:tcW w:w="928" w:type="dxa"/>
            <w:noWrap/>
          </w:tcPr>
          <w:p w14:paraId="18E43ECB" w14:textId="77777777" w:rsidR="002B302F" w:rsidRPr="00CD1426" w:rsidRDefault="002B302F" w:rsidP="00CD1426">
            <w:pPr>
              <w:spacing w:line="360" w:lineRule="auto"/>
              <w:jc w:val="both"/>
              <w:rPr>
                <w:rFonts w:ascii="Book Antiqua" w:hAnsi="Book Antiqua" w:cs="Arial"/>
                <w:lang w:val="en-US" w:eastAsia="en-US"/>
              </w:rPr>
            </w:pPr>
            <w:r w:rsidRPr="00CD1426">
              <w:rPr>
                <w:rFonts w:ascii="Book Antiqua" w:hAnsi="Book Antiqua" w:cs="Arial"/>
                <w:lang w:val="en-US" w:eastAsia="en-US"/>
              </w:rPr>
              <w:t> </w:t>
            </w:r>
          </w:p>
        </w:tc>
        <w:tc>
          <w:tcPr>
            <w:tcW w:w="1925" w:type="dxa"/>
            <w:noWrap/>
          </w:tcPr>
          <w:p w14:paraId="0749C140" w14:textId="628C5AE7" w:rsidR="002B302F" w:rsidRPr="00CD1426" w:rsidRDefault="006746CE" w:rsidP="00CD1426">
            <w:pPr>
              <w:spacing w:line="360" w:lineRule="auto"/>
              <w:jc w:val="both"/>
              <w:rPr>
                <w:rFonts w:ascii="Book Antiqua" w:hAnsi="Book Antiqua" w:cs="Arial"/>
                <w:bCs/>
                <w:lang w:val="en-US" w:eastAsia="zh-CN"/>
              </w:rPr>
            </w:pPr>
            <w:r w:rsidRPr="00CD1426">
              <w:rPr>
                <w:rFonts w:ascii="Book Antiqua" w:hAnsi="Book Antiqua"/>
                <w:noProof/>
              </w:rPr>
              <w:t xml:space="preserve">McHutchison </w:t>
            </w:r>
            <w:r w:rsidRPr="00CD1426">
              <w:rPr>
                <w:rFonts w:ascii="Book Antiqua" w:hAnsi="Book Antiqua" w:cs="Arial"/>
                <w:bCs/>
                <w:i/>
                <w:lang w:val="en-US" w:eastAsia="zh-CN"/>
              </w:rPr>
              <w:t>et al</w:t>
            </w:r>
            <w:r w:rsidRPr="00CD1426">
              <w:rPr>
                <w:rFonts w:ascii="Book Antiqua" w:hAnsi="Book Antiqua" w:cs="Arial"/>
                <w:bCs/>
                <w:vertAlign w:val="superscript"/>
                <w:lang w:val="en-US" w:eastAsia="zh-CN"/>
              </w:rPr>
              <w:t>[15]</w:t>
            </w:r>
          </w:p>
        </w:tc>
      </w:tr>
      <w:tr w:rsidR="002B302F" w:rsidRPr="00CD1426" w14:paraId="26E2B988" w14:textId="77777777" w:rsidTr="00F50DCF">
        <w:trPr>
          <w:trHeight w:val="240"/>
        </w:trPr>
        <w:tc>
          <w:tcPr>
            <w:tcW w:w="1277" w:type="dxa"/>
            <w:noWrap/>
          </w:tcPr>
          <w:p w14:paraId="6B080EBC" w14:textId="77777777" w:rsidR="002B302F" w:rsidRPr="00CD1426" w:rsidRDefault="002B302F" w:rsidP="00CD1426">
            <w:pPr>
              <w:spacing w:line="360" w:lineRule="auto"/>
              <w:jc w:val="both"/>
              <w:rPr>
                <w:rFonts w:ascii="Book Antiqua" w:hAnsi="Book Antiqua" w:cs="Arial"/>
                <w:b/>
                <w:bCs/>
                <w:lang w:val="en-US" w:eastAsia="en-US"/>
              </w:rPr>
            </w:pPr>
          </w:p>
        </w:tc>
        <w:tc>
          <w:tcPr>
            <w:tcW w:w="4229" w:type="dxa"/>
            <w:noWrap/>
          </w:tcPr>
          <w:p w14:paraId="2F2A298D" w14:textId="77777777" w:rsidR="002B302F" w:rsidRPr="00CD1426" w:rsidRDefault="002B302F" w:rsidP="00CD1426">
            <w:pPr>
              <w:spacing w:line="360" w:lineRule="auto"/>
              <w:jc w:val="both"/>
              <w:rPr>
                <w:rFonts w:ascii="Book Antiqua" w:hAnsi="Book Antiqua" w:cs="Arial"/>
                <w:lang w:val="en-US" w:eastAsia="en-US"/>
              </w:rPr>
            </w:pPr>
            <w:r w:rsidRPr="00CD1426">
              <w:rPr>
                <w:rFonts w:ascii="Book Antiqua" w:hAnsi="Book Antiqua" w:cs="Arial"/>
                <w:lang w:val="en-US" w:eastAsia="en-US"/>
              </w:rPr>
              <w:t xml:space="preserve">Polymerase inhibitor </w:t>
            </w:r>
          </w:p>
        </w:tc>
        <w:tc>
          <w:tcPr>
            <w:tcW w:w="2154" w:type="dxa"/>
            <w:noWrap/>
          </w:tcPr>
          <w:p w14:paraId="7F88C562" w14:textId="77777777" w:rsidR="002B302F" w:rsidRPr="00CD1426" w:rsidRDefault="002B302F" w:rsidP="00CD1426">
            <w:pPr>
              <w:spacing w:line="360" w:lineRule="auto"/>
              <w:jc w:val="both"/>
              <w:rPr>
                <w:rFonts w:ascii="Book Antiqua" w:hAnsi="Book Antiqua" w:cs="Arial"/>
                <w:lang w:val="en-US" w:eastAsia="en-US"/>
              </w:rPr>
            </w:pPr>
          </w:p>
        </w:tc>
        <w:tc>
          <w:tcPr>
            <w:tcW w:w="3419" w:type="dxa"/>
            <w:noWrap/>
          </w:tcPr>
          <w:p w14:paraId="3D094586" w14:textId="03FAAE3A" w:rsidR="002B302F" w:rsidRPr="00CD1426" w:rsidRDefault="006746CE" w:rsidP="00CD1426">
            <w:pPr>
              <w:spacing w:line="360" w:lineRule="auto"/>
              <w:jc w:val="both"/>
              <w:rPr>
                <w:rFonts w:ascii="Book Antiqua" w:hAnsi="Book Antiqua" w:cs="Arial"/>
                <w:lang w:val="en-US" w:eastAsia="en-US"/>
              </w:rPr>
            </w:pPr>
            <w:r w:rsidRPr="00CD1426">
              <w:rPr>
                <w:rFonts w:ascii="Book Antiqua" w:hAnsi="Book Antiqua" w:cs="Arial"/>
                <w:lang w:val="en-US" w:eastAsia="en-US"/>
              </w:rPr>
              <w:t xml:space="preserve">Cirrhosis: No </w:t>
            </w:r>
            <w:r w:rsidRPr="00CD1426">
              <w:rPr>
                <w:rFonts w:ascii="Book Antiqua" w:hAnsi="Book Antiqua" w:cs="Arial"/>
                <w:i/>
                <w:lang w:val="en-US" w:eastAsia="en-US"/>
              </w:rPr>
              <w:t>vs</w:t>
            </w:r>
            <w:r w:rsidR="002B302F" w:rsidRPr="00CD1426">
              <w:rPr>
                <w:rFonts w:ascii="Book Antiqua" w:hAnsi="Book Antiqua" w:cs="Arial"/>
                <w:lang w:val="en-US" w:eastAsia="en-US"/>
              </w:rPr>
              <w:t xml:space="preserve"> Yes</w:t>
            </w:r>
          </w:p>
        </w:tc>
        <w:tc>
          <w:tcPr>
            <w:tcW w:w="606" w:type="dxa"/>
            <w:noWrap/>
          </w:tcPr>
          <w:p w14:paraId="27BD0883" w14:textId="77777777" w:rsidR="002B302F" w:rsidRPr="00CD1426" w:rsidRDefault="002B302F" w:rsidP="00CD1426">
            <w:pPr>
              <w:spacing w:line="360" w:lineRule="auto"/>
              <w:jc w:val="both"/>
              <w:rPr>
                <w:rFonts w:ascii="Book Antiqua" w:hAnsi="Book Antiqua" w:cs="Arial"/>
                <w:lang w:val="en-US" w:eastAsia="en-US"/>
              </w:rPr>
            </w:pPr>
            <w:r w:rsidRPr="00CD1426">
              <w:rPr>
                <w:rFonts w:ascii="Book Antiqua" w:hAnsi="Book Antiqua" w:cs="Arial"/>
                <w:lang w:val="en-US" w:eastAsia="en-US"/>
              </w:rPr>
              <w:t>3.93</w:t>
            </w:r>
          </w:p>
        </w:tc>
        <w:tc>
          <w:tcPr>
            <w:tcW w:w="928" w:type="dxa"/>
            <w:noWrap/>
          </w:tcPr>
          <w:p w14:paraId="19FC5379" w14:textId="77777777" w:rsidR="002B302F" w:rsidRPr="00CD1426" w:rsidRDefault="002B302F" w:rsidP="00CD1426">
            <w:pPr>
              <w:spacing w:line="360" w:lineRule="auto"/>
              <w:jc w:val="both"/>
              <w:rPr>
                <w:rFonts w:ascii="Book Antiqua" w:hAnsi="Book Antiqua" w:cs="Arial"/>
                <w:lang w:val="en-US" w:eastAsia="en-US"/>
              </w:rPr>
            </w:pPr>
            <w:r w:rsidRPr="00CD1426">
              <w:rPr>
                <w:rFonts w:ascii="Book Antiqua" w:hAnsi="Book Antiqua" w:cs="Arial"/>
                <w:lang w:val="en-US" w:eastAsia="en-US"/>
              </w:rPr>
              <w:t>0.0018</w:t>
            </w:r>
          </w:p>
        </w:tc>
        <w:tc>
          <w:tcPr>
            <w:tcW w:w="1925" w:type="dxa"/>
            <w:noWrap/>
          </w:tcPr>
          <w:p w14:paraId="001B002F" w14:textId="77777777" w:rsidR="002B302F" w:rsidRPr="00CD1426" w:rsidRDefault="002B302F" w:rsidP="00CD1426">
            <w:pPr>
              <w:spacing w:line="360" w:lineRule="auto"/>
              <w:jc w:val="both"/>
              <w:rPr>
                <w:rFonts w:ascii="Book Antiqua" w:hAnsi="Book Antiqua" w:cs="Arial"/>
                <w:lang w:val="en-US" w:eastAsia="en-US"/>
              </w:rPr>
            </w:pPr>
            <w:r w:rsidRPr="00CD1426">
              <w:rPr>
                <w:rFonts w:ascii="Book Antiqua" w:hAnsi="Book Antiqua" w:cs="Arial"/>
                <w:lang w:val="en-US" w:eastAsia="en-US"/>
              </w:rPr>
              <w:t>Neutrino study</w:t>
            </w:r>
          </w:p>
        </w:tc>
      </w:tr>
      <w:tr w:rsidR="002B302F" w:rsidRPr="00CD1426" w14:paraId="74B08C4C" w14:textId="77777777" w:rsidTr="00F50DCF">
        <w:trPr>
          <w:trHeight w:val="240"/>
        </w:trPr>
        <w:tc>
          <w:tcPr>
            <w:tcW w:w="1277" w:type="dxa"/>
            <w:noWrap/>
          </w:tcPr>
          <w:p w14:paraId="62F4618F" w14:textId="77777777" w:rsidR="002B302F" w:rsidRPr="00CD1426" w:rsidRDefault="002B302F" w:rsidP="00CD1426">
            <w:pPr>
              <w:spacing w:line="360" w:lineRule="auto"/>
              <w:jc w:val="both"/>
              <w:rPr>
                <w:rFonts w:ascii="Book Antiqua" w:hAnsi="Book Antiqua" w:cs="Arial"/>
                <w:b/>
                <w:bCs/>
                <w:lang w:val="en-US" w:eastAsia="en-US"/>
              </w:rPr>
            </w:pPr>
          </w:p>
        </w:tc>
        <w:tc>
          <w:tcPr>
            <w:tcW w:w="4229" w:type="dxa"/>
            <w:noWrap/>
          </w:tcPr>
          <w:p w14:paraId="544F9A4B" w14:textId="77777777" w:rsidR="002B302F" w:rsidRPr="00CD1426" w:rsidRDefault="002B302F" w:rsidP="00CD1426">
            <w:pPr>
              <w:spacing w:line="360" w:lineRule="auto"/>
              <w:jc w:val="both"/>
              <w:rPr>
                <w:rFonts w:ascii="Book Antiqua" w:hAnsi="Book Antiqua" w:cs="Arial"/>
                <w:i/>
                <w:iCs/>
                <w:lang w:val="en-US" w:eastAsia="en-US"/>
              </w:rPr>
            </w:pPr>
            <w:r w:rsidRPr="00CD1426">
              <w:rPr>
                <w:rFonts w:ascii="Book Antiqua" w:hAnsi="Book Antiqua" w:cs="Arial"/>
                <w:i/>
                <w:iCs/>
                <w:lang w:val="en-US" w:eastAsia="en-US"/>
              </w:rPr>
              <w:t>Against all HCV genotypes</w:t>
            </w:r>
          </w:p>
        </w:tc>
        <w:tc>
          <w:tcPr>
            <w:tcW w:w="2154" w:type="dxa"/>
            <w:noWrap/>
          </w:tcPr>
          <w:p w14:paraId="0CDF05F1" w14:textId="77777777" w:rsidR="002B302F" w:rsidRPr="00CD1426" w:rsidRDefault="002B302F" w:rsidP="00CD1426">
            <w:pPr>
              <w:spacing w:line="360" w:lineRule="auto"/>
              <w:jc w:val="both"/>
              <w:rPr>
                <w:rFonts w:ascii="Book Antiqua" w:hAnsi="Book Antiqua" w:cs="Arial"/>
                <w:lang w:val="en-US" w:eastAsia="en-US"/>
              </w:rPr>
            </w:pPr>
          </w:p>
        </w:tc>
        <w:tc>
          <w:tcPr>
            <w:tcW w:w="3419" w:type="dxa"/>
            <w:noWrap/>
          </w:tcPr>
          <w:p w14:paraId="62F3A818" w14:textId="07DDF051" w:rsidR="002B302F" w:rsidRPr="00CD1426" w:rsidRDefault="002B302F" w:rsidP="00CD1426">
            <w:pPr>
              <w:spacing w:line="360" w:lineRule="auto"/>
              <w:jc w:val="both"/>
              <w:rPr>
                <w:rFonts w:ascii="Book Antiqua" w:hAnsi="Book Antiqua" w:cs="Arial"/>
                <w:lang w:val="en-US" w:eastAsia="en-US"/>
              </w:rPr>
            </w:pPr>
            <w:r w:rsidRPr="00CD1426">
              <w:rPr>
                <w:rFonts w:ascii="Book Antiqua" w:hAnsi="Book Antiqua" w:cs="Arial"/>
                <w:lang w:val="en-US" w:eastAsia="en-US"/>
              </w:rPr>
              <w:t xml:space="preserve">IL28B: CC </w:t>
            </w:r>
            <w:r w:rsidR="006746CE" w:rsidRPr="00CD1426">
              <w:rPr>
                <w:rFonts w:ascii="Book Antiqua" w:hAnsi="Book Antiqua" w:cs="Arial"/>
                <w:i/>
                <w:lang w:val="en-US" w:eastAsia="en-US"/>
              </w:rPr>
              <w:t>vs</w:t>
            </w:r>
            <w:r w:rsidRPr="00CD1426">
              <w:rPr>
                <w:rFonts w:ascii="Book Antiqua" w:hAnsi="Book Antiqua" w:cs="Arial"/>
                <w:lang w:val="en-US" w:eastAsia="en-US"/>
              </w:rPr>
              <w:t xml:space="preserve"> CT/TT</w:t>
            </w:r>
          </w:p>
        </w:tc>
        <w:tc>
          <w:tcPr>
            <w:tcW w:w="606" w:type="dxa"/>
            <w:noWrap/>
          </w:tcPr>
          <w:p w14:paraId="38848DBD" w14:textId="77777777" w:rsidR="002B302F" w:rsidRPr="00CD1426" w:rsidRDefault="002B302F" w:rsidP="00CD1426">
            <w:pPr>
              <w:spacing w:line="360" w:lineRule="auto"/>
              <w:jc w:val="both"/>
              <w:rPr>
                <w:rFonts w:ascii="Book Antiqua" w:hAnsi="Book Antiqua" w:cs="Arial"/>
                <w:lang w:val="en-US" w:eastAsia="en-US"/>
              </w:rPr>
            </w:pPr>
            <w:r w:rsidRPr="00CD1426">
              <w:rPr>
                <w:rFonts w:ascii="Book Antiqua" w:hAnsi="Book Antiqua" w:cs="Arial"/>
                <w:lang w:val="en-US" w:eastAsia="en-US"/>
              </w:rPr>
              <w:t>7.99</w:t>
            </w:r>
          </w:p>
        </w:tc>
        <w:tc>
          <w:tcPr>
            <w:tcW w:w="928" w:type="dxa"/>
            <w:noWrap/>
          </w:tcPr>
          <w:p w14:paraId="503E7083" w14:textId="77777777" w:rsidR="002B302F" w:rsidRPr="00CD1426" w:rsidRDefault="002B302F" w:rsidP="00CD1426">
            <w:pPr>
              <w:spacing w:line="360" w:lineRule="auto"/>
              <w:jc w:val="both"/>
              <w:rPr>
                <w:rFonts w:ascii="Book Antiqua" w:hAnsi="Book Antiqua" w:cs="Arial"/>
                <w:lang w:val="en-US" w:eastAsia="en-US"/>
              </w:rPr>
            </w:pPr>
            <w:r w:rsidRPr="00CD1426">
              <w:rPr>
                <w:rFonts w:ascii="Book Antiqua" w:hAnsi="Book Antiqua" w:cs="Arial"/>
                <w:lang w:val="en-US" w:eastAsia="en-US"/>
              </w:rPr>
              <w:t>0.006</w:t>
            </w:r>
          </w:p>
        </w:tc>
        <w:tc>
          <w:tcPr>
            <w:tcW w:w="1925" w:type="dxa"/>
            <w:noWrap/>
          </w:tcPr>
          <w:p w14:paraId="066F3E2A" w14:textId="77777777" w:rsidR="002B302F" w:rsidRPr="00CD1426" w:rsidRDefault="002B302F" w:rsidP="00CD1426">
            <w:pPr>
              <w:spacing w:line="360" w:lineRule="auto"/>
              <w:jc w:val="both"/>
              <w:rPr>
                <w:rFonts w:ascii="Book Antiqua" w:hAnsi="Book Antiqua" w:cs="Arial"/>
                <w:lang w:val="en-US" w:eastAsia="en-US"/>
              </w:rPr>
            </w:pPr>
          </w:p>
        </w:tc>
      </w:tr>
      <w:tr w:rsidR="002B302F" w:rsidRPr="00CD1426" w14:paraId="4F65F722" w14:textId="77777777" w:rsidTr="00F50DCF">
        <w:trPr>
          <w:trHeight w:val="240"/>
        </w:trPr>
        <w:tc>
          <w:tcPr>
            <w:tcW w:w="1277" w:type="dxa"/>
            <w:noWrap/>
          </w:tcPr>
          <w:p w14:paraId="340344E8" w14:textId="77777777" w:rsidR="002B302F" w:rsidRPr="00CD1426" w:rsidRDefault="002B302F" w:rsidP="00CD1426">
            <w:pPr>
              <w:spacing w:line="360" w:lineRule="auto"/>
              <w:jc w:val="both"/>
              <w:rPr>
                <w:rFonts w:ascii="Book Antiqua" w:hAnsi="Book Antiqua" w:cs="Arial"/>
                <w:b/>
                <w:bCs/>
                <w:lang w:val="en-US" w:eastAsia="en-US"/>
              </w:rPr>
            </w:pPr>
          </w:p>
        </w:tc>
        <w:tc>
          <w:tcPr>
            <w:tcW w:w="4229" w:type="dxa"/>
            <w:noWrap/>
          </w:tcPr>
          <w:p w14:paraId="7C775783" w14:textId="77777777" w:rsidR="002B302F" w:rsidRPr="00CD1426" w:rsidRDefault="002B302F" w:rsidP="00CD1426">
            <w:pPr>
              <w:spacing w:line="360" w:lineRule="auto"/>
              <w:jc w:val="both"/>
              <w:rPr>
                <w:rFonts w:ascii="Book Antiqua" w:hAnsi="Book Antiqua" w:cs="Arial"/>
                <w:lang w:val="en-US" w:eastAsia="en-US"/>
              </w:rPr>
            </w:pPr>
          </w:p>
        </w:tc>
        <w:tc>
          <w:tcPr>
            <w:tcW w:w="2154" w:type="dxa"/>
            <w:noWrap/>
          </w:tcPr>
          <w:p w14:paraId="096537A0" w14:textId="77777777" w:rsidR="002B302F" w:rsidRPr="00CD1426" w:rsidRDefault="002B302F" w:rsidP="00CD1426">
            <w:pPr>
              <w:spacing w:line="360" w:lineRule="auto"/>
              <w:jc w:val="both"/>
              <w:rPr>
                <w:rFonts w:ascii="Book Antiqua" w:hAnsi="Book Antiqua" w:cs="Arial"/>
                <w:lang w:val="en-US" w:eastAsia="en-US"/>
              </w:rPr>
            </w:pPr>
          </w:p>
        </w:tc>
        <w:tc>
          <w:tcPr>
            <w:tcW w:w="3419" w:type="dxa"/>
            <w:noWrap/>
          </w:tcPr>
          <w:p w14:paraId="0B13B27F" w14:textId="77777777" w:rsidR="002B302F" w:rsidRPr="00CD1426" w:rsidRDefault="002B302F" w:rsidP="00CD1426">
            <w:pPr>
              <w:spacing w:line="360" w:lineRule="auto"/>
              <w:jc w:val="both"/>
              <w:rPr>
                <w:rFonts w:ascii="Book Antiqua" w:hAnsi="Book Antiqua" w:cs="Arial"/>
                <w:lang w:val="en-US" w:eastAsia="en-US"/>
              </w:rPr>
            </w:pPr>
            <w:r w:rsidRPr="00CD1426">
              <w:rPr>
                <w:rFonts w:ascii="Book Antiqua" w:hAnsi="Book Antiqua" w:cs="Arial"/>
                <w:lang w:val="en-US" w:eastAsia="en-US"/>
              </w:rPr>
              <w:t>RBV exposure (mg/Kg/d)</w:t>
            </w:r>
          </w:p>
        </w:tc>
        <w:tc>
          <w:tcPr>
            <w:tcW w:w="606" w:type="dxa"/>
            <w:noWrap/>
          </w:tcPr>
          <w:p w14:paraId="0DB35C8D" w14:textId="77777777" w:rsidR="002B302F" w:rsidRPr="00CD1426" w:rsidRDefault="002B302F" w:rsidP="00CD1426">
            <w:pPr>
              <w:spacing w:line="360" w:lineRule="auto"/>
              <w:jc w:val="both"/>
              <w:rPr>
                <w:rFonts w:ascii="Book Antiqua" w:hAnsi="Book Antiqua" w:cs="Arial"/>
                <w:lang w:val="en-US" w:eastAsia="en-US"/>
              </w:rPr>
            </w:pPr>
            <w:r w:rsidRPr="00CD1426">
              <w:rPr>
                <w:rFonts w:ascii="Book Antiqua" w:hAnsi="Book Antiqua" w:cs="Arial"/>
                <w:lang w:val="en-US" w:eastAsia="en-US"/>
              </w:rPr>
              <w:t>1.39</w:t>
            </w:r>
          </w:p>
        </w:tc>
        <w:tc>
          <w:tcPr>
            <w:tcW w:w="928" w:type="dxa"/>
            <w:noWrap/>
          </w:tcPr>
          <w:p w14:paraId="34F2395B" w14:textId="77777777" w:rsidR="002B302F" w:rsidRPr="00CD1426" w:rsidRDefault="002B302F" w:rsidP="00CD1426">
            <w:pPr>
              <w:spacing w:line="360" w:lineRule="auto"/>
              <w:jc w:val="both"/>
              <w:rPr>
                <w:rFonts w:ascii="Book Antiqua" w:hAnsi="Book Antiqua" w:cs="Arial"/>
                <w:lang w:val="en-US" w:eastAsia="en-US"/>
              </w:rPr>
            </w:pPr>
            <w:r w:rsidRPr="00CD1426">
              <w:rPr>
                <w:rFonts w:ascii="Book Antiqua" w:hAnsi="Book Antiqua" w:cs="Arial"/>
                <w:lang w:val="en-US" w:eastAsia="en-US"/>
              </w:rPr>
              <w:t>0.0005</w:t>
            </w:r>
          </w:p>
        </w:tc>
        <w:tc>
          <w:tcPr>
            <w:tcW w:w="1925" w:type="dxa"/>
            <w:noWrap/>
          </w:tcPr>
          <w:p w14:paraId="4B8F315F" w14:textId="77777777" w:rsidR="002B302F" w:rsidRPr="00CD1426" w:rsidRDefault="002B302F" w:rsidP="00CD1426">
            <w:pPr>
              <w:spacing w:line="360" w:lineRule="auto"/>
              <w:jc w:val="both"/>
              <w:rPr>
                <w:rFonts w:ascii="Book Antiqua" w:hAnsi="Book Antiqua" w:cs="Arial"/>
                <w:lang w:val="en-US" w:eastAsia="en-US"/>
              </w:rPr>
            </w:pPr>
          </w:p>
        </w:tc>
      </w:tr>
      <w:tr w:rsidR="002B302F" w:rsidRPr="00CD1426" w14:paraId="643E3A28" w14:textId="77777777" w:rsidTr="00F50DCF">
        <w:trPr>
          <w:trHeight w:val="240"/>
        </w:trPr>
        <w:tc>
          <w:tcPr>
            <w:tcW w:w="1277" w:type="dxa"/>
            <w:noWrap/>
          </w:tcPr>
          <w:p w14:paraId="15C6A33A" w14:textId="77777777" w:rsidR="002B302F" w:rsidRPr="00CD1426" w:rsidRDefault="002B302F" w:rsidP="00CD1426">
            <w:pPr>
              <w:spacing w:line="360" w:lineRule="auto"/>
              <w:jc w:val="both"/>
              <w:rPr>
                <w:rFonts w:ascii="Book Antiqua" w:hAnsi="Book Antiqua" w:cs="Arial"/>
                <w:b/>
                <w:bCs/>
                <w:lang w:val="en-US" w:eastAsia="en-US"/>
              </w:rPr>
            </w:pPr>
          </w:p>
        </w:tc>
        <w:tc>
          <w:tcPr>
            <w:tcW w:w="4229" w:type="dxa"/>
            <w:noWrap/>
          </w:tcPr>
          <w:p w14:paraId="0070B3AD" w14:textId="77777777" w:rsidR="002B302F" w:rsidRPr="00CD1426" w:rsidRDefault="002B302F" w:rsidP="00CD1426">
            <w:pPr>
              <w:spacing w:line="360" w:lineRule="auto"/>
              <w:jc w:val="both"/>
              <w:rPr>
                <w:rFonts w:ascii="Book Antiqua" w:hAnsi="Book Antiqua" w:cs="Arial"/>
                <w:lang w:val="en-US" w:eastAsia="en-US"/>
              </w:rPr>
            </w:pPr>
          </w:p>
        </w:tc>
        <w:tc>
          <w:tcPr>
            <w:tcW w:w="2154" w:type="dxa"/>
            <w:noWrap/>
          </w:tcPr>
          <w:p w14:paraId="7EA9B1E3" w14:textId="77777777" w:rsidR="002B302F" w:rsidRPr="00CD1426" w:rsidRDefault="002B302F" w:rsidP="00CD1426">
            <w:pPr>
              <w:spacing w:line="360" w:lineRule="auto"/>
              <w:jc w:val="both"/>
              <w:rPr>
                <w:rFonts w:ascii="Book Antiqua" w:hAnsi="Book Antiqua" w:cs="Arial"/>
                <w:lang w:val="en-US" w:eastAsia="en-US"/>
              </w:rPr>
            </w:pPr>
          </w:p>
        </w:tc>
        <w:tc>
          <w:tcPr>
            <w:tcW w:w="3419" w:type="dxa"/>
            <w:noWrap/>
          </w:tcPr>
          <w:p w14:paraId="4F1A3A97" w14:textId="77777777" w:rsidR="002B302F" w:rsidRPr="00CD1426" w:rsidRDefault="002B302F" w:rsidP="00CD1426">
            <w:pPr>
              <w:spacing w:line="360" w:lineRule="auto"/>
              <w:jc w:val="both"/>
              <w:rPr>
                <w:rFonts w:ascii="Book Antiqua" w:hAnsi="Book Antiqua" w:cs="Arial"/>
                <w:b/>
                <w:bCs/>
                <w:lang w:val="en-US" w:eastAsia="en-US"/>
              </w:rPr>
            </w:pPr>
            <w:r w:rsidRPr="00CD1426">
              <w:rPr>
                <w:rFonts w:ascii="Book Antiqua" w:hAnsi="Book Antiqua" w:cs="Arial"/>
                <w:b/>
                <w:bCs/>
                <w:lang w:val="en-US" w:eastAsia="en-US"/>
              </w:rPr>
              <w:t>Genotypes 2 and 3</w:t>
            </w:r>
          </w:p>
        </w:tc>
        <w:tc>
          <w:tcPr>
            <w:tcW w:w="606" w:type="dxa"/>
            <w:noWrap/>
          </w:tcPr>
          <w:p w14:paraId="3C46923D" w14:textId="77777777" w:rsidR="002B302F" w:rsidRPr="00CD1426" w:rsidRDefault="002B302F" w:rsidP="00CD1426">
            <w:pPr>
              <w:spacing w:line="360" w:lineRule="auto"/>
              <w:jc w:val="both"/>
              <w:rPr>
                <w:rFonts w:ascii="Book Antiqua" w:hAnsi="Book Antiqua" w:cs="Arial"/>
                <w:lang w:val="en-US" w:eastAsia="en-US"/>
              </w:rPr>
            </w:pPr>
          </w:p>
        </w:tc>
        <w:tc>
          <w:tcPr>
            <w:tcW w:w="928" w:type="dxa"/>
            <w:noWrap/>
          </w:tcPr>
          <w:p w14:paraId="7A6510C3" w14:textId="77777777" w:rsidR="002B302F" w:rsidRPr="00CD1426" w:rsidRDefault="002B302F" w:rsidP="00CD1426">
            <w:pPr>
              <w:spacing w:line="360" w:lineRule="auto"/>
              <w:jc w:val="both"/>
              <w:rPr>
                <w:rFonts w:ascii="Book Antiqua" w:hAnsi="Book Antiqua" w:cs="Arial"/>
                <w:lang w:val="en-US" w:eastAsia="en-US"/>
              </w:rPr>
            </w:pPr>
          </w:p>
        </w:tc>
        <w:tc>
          <w:tcPr>
            <w:tcW w:w="1925" w:type="dxa"/>
            <w:noWrap/>
          </w:tcPr>
          <w:p w14:paraId="12410A8B" w14:textId="77777777" w:rsidR="002B302F" w:rsidRPr="00CD1426" w:rsidRDefault="002B302F" w:rsidP="00CD1426">
            <w:pPr>
              <w:spacing w:line="360" w:lineRule="auto"/>
              <w:jc w:val="both"/>
              <w:rPr>
                <w:rFonts w:ascii="Book Antiqua" w:hAnsi="Book Antiqua" w:cs="Arial"/>
                <w:lang w:val="en-US" w:eastAsia="en-US"/>
              </w:rPr>
            </w:pPr>
          </w:p>
        </w:tc>
      </w:tr>
      <w:tr w:rsidR="002B302F" w:rsidRPr="00CD1426" w14:paraId="3980265B" w14:textId="77777777" w:rsidTr="00F50DCF">
        <w:trPr>
          <w:trHeight w:val="240"/>
        </w:trPr>
        <w:tc>
          <w:tcPr>
            <w:tcW w:w="1277" w:type="dxa"/>
            <w:noWrap/>
          </w:tcPr>
          <w:p w14:paraId="4249EB32" w14:textId="77777777" w:rsidR="002B302F" w:rsidRPr="00CD1426" w:rsidRDefault="002B302F" w:rsidP="00CD1426">
            <w:pPr>
              <w:spacing w:line="360" w:lineRule="auto"/>
              <w:jc w:val="both"/>
              <w:rPr>
                <w:rFonts w:ascii="Book Antiqua" w:hAnsi="Book Antiqua" w:cs="Arial"/>
                <w:b/>
                <w:bCs/>
                <w:lang w:val="en-US" w:eastAsia="en-US"/>
              </w:rPr>
            </w:pPr>
          </w:p>
        </w:tc>
        <w:tc>
          <w:tcPr>
            <w:tcW w:w="4229" w:type="dxa"/>
            <w:noWrap/>
          </w:tcPr>
          <w:p w14:paraId="28D0AEC3" w14:textId="77777777" w:rsidR="002B302F" w:rsidRPr="00CD1426" w:rsidRDefault="002B302F" w:rsidP="00CD1426">
            <w:pPr>
              <w:spacing w:line="360" w:lineRule="auto"/>
              <w:jc w:val="both"/>
              <w:rPr>
                <w:rFonts w:ascii="Book Antiqua" w:hAnsi="Book Antiqua" w:cs="Arial"/>
                <w:lang w:val="en-US" w:eastAsia="en-US"/>
              </w:rPr>
            </w:pPr>
          </w:p>
        </w:tc>
        <w:tc>
          <w:tcPr>
            <w:tcW w:w="2154" w:type="dxa"/>
            <w:noWrap/>
          </w:tcPr>
          <w:p w14:paraId="68CD4142" w14:textId="77777777" w:rsidR="002B302F" w:rsidRPr="00CD1426" w:rsidRDefault="002B302F" w:rsidP="00CD1426">
            <w:pPr>
              <w:spacing w:line="360" w:lineRule="auto"/>
              <w:jc w:val="both"/>
              <w:rPr>
                <w:rFonts w:ascii="Book Antiqua" w:hAnsi="Book Antiqua" w:cs="Arial"/>
                <w:lang w:val="en-US" w:eastAsia="en-US"/>
              </w:rPr>
            </w:pPr>
          </w:p>
        </w:tc>
        <w:tc>
          <w:tcPr>
            <w:tcW w:w="3419" w:type="dxa"/>
            <w:noWrap/>
          </w:tcPr>
          <w:p w14:paraId="254D79B0" w14:textId="3C420862" w:rsidR="002B302F" w:rsidRPr="00CD1426" w:rsidRDefault="002B302F" w:rsidP="00CD1426">
            <w:pPr>
              <w:spacing w:line="360" w:lineRule="auto"/>
              <w:jc w:val="both"/>
              <w:rPr>
                <w:rFonts w:ascii="Book Antiqua" w:hAnsi="Book Antiqua" w:cs="Arial"/>
                <w:lang w:val="en-US" w:eastAsia="en-US"/>
              </w:rPr>
            </w:pPr>
            <w:r w:rsidRPr="00CD1426">
              <w:rPr>
                <w:rFonts w:ascii="Book Antiqua" w:hAnsi="Book Antiqua" w:cs="Arial"/>
                <w:lang w:val="en-US" w:eastAsia="en-US"/>
              </w:rPr>
              <w:t xml:space="preserve">HCV genotypes 2 </w:t>
            </w:r>
            <w:r w:rsidR="006746CE" w:rsidRPr="00CD1426">
              <w:rPr>
                <w:rFonts w:ascii="Book Antiqua" w:hAnsi="Book Antiqua" w:cs="Arial"/>
                <w:i/>
                <w:lang w:val="en-US" w:eastAsia="en-US"/>
              </w:rPr>
              <w:t>vs</w:t>
            </w:r>
            <w:r w:rsidRPr="00CD1426">
              <w:rPr>
                <w:rFonts w:ascii="Book Antiqua" w:hAnsi="Book Antiqua" w:cs="Arial"/>
                <w:lang w:val="en-US" w:eastAsia="en-US"/>
              </w:rPr>
              <w:t xml:space="preserve"> 3</w:t>
            </w:r>
          </w:p>
        </w:tc>
        <w:tc>
          <w:tcPr>
            <w:tcW w:w="606" w:type="dxa"/>
            <w:noWrap/>
          </w:tcPr>
          <w:p w14:paraId="28422051" w14:textId="77777777" w:rsidR="002B302F" w:rsidRPr="00CD1426" w:rsidRDefault="002B302F" w:rsidP="00CD1426">
            <w:pPr>
              <w:spacing w:line="360" w:lineRule="auto"/>
              <w:jc w:val="both"/>
              <w:rPr>
                <w:rFonts w:ascii="Book Antiqua" w:hAnsi="Book Antiqua" w:cs="Arial"/>
                <w:lang w:val="en-US" w:eastAsia="en-US"/>
              </w:rPr>
            </w:pPr>
            <w:r w:rsidRPr="00CD1426">
              <w:rPr>
                <w:rFonts w:ascii="Book Antiqua" w:hAnsi="Book Antiqua" w:cs="Arial"/>
                <w:lang w:val="en-US" w:eastAsia="en-US"/>
              </w:rPr>
              <w:t>42.49</w:t>
            </w:r>
          </w:p>
        </w:tc>
        <w:tc>
          <w:tcPr>
            <w:tcW w:w="928" w:type="dxa"/>
            <w:noWrap/>
          </w:tcPr>
          <w:p w14:paraId="0BDE92EE" w14:textId="4CAFE8D3" w:rsidR="002B302F" w:rsidRPr="00CD1426" w:rsidRDefault="002B302F" w:rsidP="00CD1426">
            <w:pPr>
              <w:spacing w:line="360" w:lineRule="auto"/>
              <w:jc w:val="both"/>
              <w:rPr>
                <w:rFonts w:ascii="Book Antiqua" w:hAnsi="Book Antiqua" w:cs="Arial"/>
                <w:lang w:val="en-US" w:eastAsia="en-US"/>
              </w:rPr>
            </w:pPr>
            <w:r w:rsidRPr="00CD1426">
              <w:rPr>
                <w:rFonts w:ascii="Book Antiqua" w:hAnsi="Book Antiqua" w:cs="Arial"/>
                <w:lang w:val="en-US" w:eastAsia="en-US"/>
              </w:rPr>
              <w:t>&lt;</w:t>
            </w:r>
            <w:r w:rsidR="00CD1426" w:rsidRPr="00CD1426">
              <w:rPr>
                <w:rFonts w:ascii="Book Antiqua" w:hAnsi="Book Antiqua" w:cs="Arial"/>
                <w:lang w:val="en-US" w:eastAsia="zh-CN"/>
              </w:rPr>
              <w:t xml:space="preserve"> </w:t>
            </w:r>
            <w:r w:rsidRPr="00CD1426">
              <w:rPr>
                <w:rFonts w:ascii="Book Antiqua" w:hAnsi="Book Antiqua" w:cs="Arial"/>
                <w:lang w:val="en-US" w:eastAsia="en-US"/>
              </w:rPr>
              <w:t>0.0001</w:t>
            </w:r>
          </w:p>
        </w:tc>
        <w:tc>
          <w:tcPr>
            <w:tcW w:w="1925" w:type="dxa"/>
            <w:noWrap/>
          </w:tcPr>
          <w:p w14:paraId="74B75D38" w14:textId="77777777" w:rsidR="002B302F" w:rsidRPr="00CD1426" w:rsidRDefault="002B302F" w:rsidP="00CD1426">
            <w:pPr>
              <w:spacing w:line="360" w:lineRule="auto"/>
              <w:jc w:val="both"/>
              <w:rPr>
                <w:rFonts w:ascii="Book Antiqua" w:hAnsi="Book Antiqua" w:cs="Arial"/>
                <w:lang w:val="en-US" w:eastAsia="en-US"/>
              </w:rPr>
            </w:pPr>
            <w:r w:rsidRPr="00CD1426">
              <w:rPr>
                <w:rFonts w:ascii="Book Antiqua" w:hAnsi="Book Antiqua" w:cs="Arial"/>
                <w:lang w:val="en-US" w:eastAsia="en-US"/>
              </w:rPr>
              <w:t>Fission study</w:t>
            </w:r>
          </w:p>
        </w:tc>
      </w:tr>
      <w:tr w:rsidR="002B302F" w:rsidRPr="00CD1426" w14:paraId="369BE12C" w14:textId="77777777" w:rsidTr="00F50DCF">
        <w:trPr>
          <w:trHeight w:val="240"/>
        </w:trPr>
        <w:tc>
          <w:tcPr>
            <w:tcW w:w="1277" w:type="dxa"/>
            <w:noWrap/>
          </w:tcPr>
          <w:p w14:paraId="044C3207" w14:textId="77777777" w:rsidR="002B302F" w:rsidRPr="00CD1426" w:rsidRDefault="002B302F" w:rsidP="00CD1426">
            <w:pPr>
              <w:spacing w:line="360" w:lineRule="auto"/>
              <w:jc w:val="both"/>
              <w:rPr>
                <w:rFonts w:ascii="Book Antiqua" w:hAnsi="Book Antiqua" w:cs="Arial"/>
                <w:b/>
                <w:bCs/>
                <w:lang w:val="en-US" w:eastAsia="en-US"/>
              </w:rPr>
            </w:pPr>
          </w:p>
        </w:tc>
        <w:tc>
          <w:tcPr>
            <w:tcW w:w="4229" w:type="dxa"/>
            <w:noWrap/>
          </w:tcPr>
          <w:p w14:paraId="7A27D629" w14:textId="77777777" w:rsidR="002B302F" w:rsidRPr="00CD1426" w:rsidRDefault="002B302F" w:rsidP="00CD1426">
            <w:pPr>
              <w:spacing w:line="360" w:lineRule="auto"/>
              <w:jc w:val="both"/>
              <w:rPr>
                <w:rFonts w:ascii="Book Antiqua" w:hAnsi="Book Antiqua" w:cs="Arial"/>
                <w:lang w:val="en-US" w:eastAsia="en-US"/>
              </w:rPr>
            </w:pPr>
          </w:p>
        </w:tc>
        <w:tc>
          <w:tcPr>
            <w:tcW w:w="2154" w:type="dxa"/>
            <w:noWrap/>
          </w:tcPr>
          <w:p w14:paraId="654FD5C2" w14:textId="77777777" w:rsidR="002B302F" w:rsidRPr="00CD1426" w:rsidRDefault="002B302F" w:rsidP="00CD1426">
            <w:pPr>
              <w:spacing w:line="360" w:lineRule="auto"/>
              <w:jc w:val="both"/>
              <w:rPr>
                <w:rFonts w:ascii="Book Antiqua" w:hAnsi="Book Antiqua" w:cs="Arial"/>
                <w:lang w:val="en-US" w:eastAsia="en-US"/>
              </w:rPr>
            </w:pPr>
          </w:p>
        </w:tc>
        <w:tc>
          <w:tcPr>
            <w:tcW w:w="3419" w:type="dxa"/>
            <w:noWrap/>
          </w:tcPr>
          <w:p w14:paraId="42C85ED9" w14:textId="0E97375E" w:rsidR="002B302F" w:rsidRPr="00CD1426" w:rsidRDefault="002B302F" w:rsidP="00CD1426">
            <w:pPr>
              <w:spacing w:line="360" w:lineRule="auto"/>
              <w:jc w:val="both"/>
              <w:rPr>
                <w:rFonts w:ascii="Book Antiqua" w:hAnsi="Book Antiqua" w:cs="Arial"/>
                <w:lang w:val="en-US" w:eastAsia="en-US"/>
              </w:rPr>
            </w:pPr>
            <w:r w:rsidRPr="00CD1426">
              <w:rPr>
                <w:rFonts w:ascii="Book Antiqua" w:hAnsi="Book Antiqua" w:cs="Arial"/>
                <w:lang w:val="en-US" w:eastAsia="en-US"/>
              </w:rPr>
              <w:t xml:space="preserve">Cirrhosis: No </w:t>
            </w:r>
            <w:r w:rsidR="006746CE" w:rsidRPr="00CD1426">
              <w:rPr>
                <w:rFonts w:ascii="Book Antiqua" w:hAnsi="Book Antiqua" w:cs="Arial"/>
                <w:i/>
                <w:lang w:val="en-US" w:eastAsia="en-US"/>
              </w:rPr>
              <w:t>vs</w:t>
            </w:r>
            <w:r w:rsidRPr="00CD1426">
              <w:rPr>
                <w:rFonts w:ascii="Book Antiqua" w:hAnsi="Book Antiqua" w:cs="Arial"/>
                <w:lang w:val="en-US" w:eastAsia="en-US"/>
              </w:rPr>
              <w:t xml:space="preserve"> Yes</w:t>
            </w:r>
          </w:p>
        </w:tc>
        <w:tc>
          <w:tcPr>
            <w:tcW w:w="606" w:type="dxa"/>
            <w:noWrap/>
          </w:tcPr>
          <w:p w14:paraId="1BEB8FD7" w14:textId="77777777" w:rsidR="002B302F" w:rsidRPr="00CD1426" w:rsidRDefault="002B302F" w:rsidP="00CD1426">
            <w:pPr>
              <w:spacing w:line="360" w:lineRule="auto"/>
              <w:jc w:val="both"/>
              <w:rPr>
                <w:rFonts w:ascii="Book Antiqua" w:hAnsi="Book Antiqua" w:cs="Arial"/>
                <w:lang w:val="en-US" w:eastAsia="en-US"/>
              </w:rPr>
            </w:pPr>
            <w:r w:rsidRPr="00CD1426">
              <w:rPr>
                <w:rFonts w:ascii="Book Antiqua" w:hAnsi="Book Antiqua" w:cs="Arial"/>
                <w:lang w:val="en-US" w:eastAsia="en-US"/>
              </w:rPr>
              <w:t>2.94</w:t>
            </w:r>
          </w:p>
        </w:tc>
        <w:tc>
          <w:tcPr>
            <w:tcW w:w="928" w:type="dxa"/>
            <w:noWrap/>
          </w:tcPr>
          <w:p w14:paraId="36F9D8E3" w14:textId="77777777" w:rsidR="002B302F" w:rsidRPr="00CD1426" w:rsidRDefault="002B302F" w:rsidP="00CD1426">
            <w:pPr>
              <w:spacing w:line="360" w:lineRule="auto"/>
              <w:jc w:val="both"/>
              <w:rPr>
                <w:rFonts w:ascii="Book Antiqua" w:hAnsi="Book Antiqua" w:cs="Arial"/>
                <w:lang w:val="en-US" w:eastAsia="en-US"/>
              </w:rPr>
            </w:pPr>
            <w:r w:rsidRPr="00CD1426">
              <w:rPr>
                <w:rFonts w:ascii="Book Antiqua" w:hAnsi="Book Antiqua" w:cs="Arial"/>
                <w:lang w:val="en-US" w:eastAsia="en-US"/>
              </w:rPr>
              <w:t>0.005</w:t>
            </w:r>
          </w:p>
        </w:tc>
        <w:tc>
          <w:tcPr>
            <w:tcW w:w="1925" w:type="dxa"/>
            <w:noWrap/>
          </w:tcPr>
          <w:p w14:paraId="2A0255A2" w14:textId="77777777" w:rsidR="002B302F" w:rsidRPr="00CD1426" w:rsidRDefault="002B302F" w:rsidP="00CD1426">
            <w:pPr>
              <w:spacing w:line="360" w:lineRule="auto"/>
              <w:jc w:val="both"/>
              <w:rPr>
                <w:rFonts w:ascii="Book Antiqua" w:hAnsi="Book Antiqua" w:cs="Arial"/>
                <w:lang w:val="en-US" w:eastAsia="en-US"/>
              </w:rPr>
            </w:pPr>
          </w:p>
        </w:tc>
      </w:tr>
      <w:tr w:rsidR="002B302F" w:rsidRPr="00CD1426" w14:paraId="1FA0987C" w14:textId="77777777" w:rsidTr="00F50DCF">
        <w:trPr>
          <w:trHeight w:val="240"/>
        </w:trPr>
        <w:tc>
          <w:tcPr>
            <w:tcW w:w="1277" w:type="dxa"/>
            <w:noWrap/>
          </w:tcPr>
          <w:p w14:paraId="151A2D1A" w14:textId="77777777" w:rsidR="002B302F" w:rsidRPr="00CD1426" w:rsidRDefault="002B302F" w:rsidP="00CD1426">
            <w:pPr>
              <w:spacing w:line="360" w:lineRule="auto"/>
              <w:jc w:val="both"/>
              <w:rPr>
                <w:rFonts w:ascii="Book Antiqua" w:hAnsi="Book Antiqua" w:cs="Arial"/>
                <w:b/>
                <w:bCs/>
                <w:lang w:val="en-US" w:eastAsia="en-US"/>
              </w:rPr>
            </w:pPr>
          </w:p>
        </w:tc>
        <w:tc>
          <w:tcPr>
            <w:tcW w:w="4229" w:type="dxa"/>
            <w:noWrap/>
          </w:tcPr>
          <w:p w14:paraId="2841094D" w14:textId="77777777" w:rsidR="002B302F" w:rsidRPr="00CD1426" w:rsidRDefault="002B302F" w:rsidP="00CD1426">
            <w:pPr>
              <w:spacing w:line="360" w:lineRule="auto"/>
              <w:jc w:val="both"/>
              <w:rPr>
                <w:rFonts w:ascii="Book Antiqua" w:hAnsi="Book Antiqua" w:cs="Arial"/>
                <w:lang w:val="en-US" w:eastAsia="en-US"/>
              </w:rPr>
            </w:pPr>
          </w:p>
        </w:tc>
        <w:tc>
          <w:tcPr>
            <w:tcW w:w="2154" w:type="dxa"/>
            <w:noWrap/>
          </w:tcPr>
          <w:p w14:paraId="620E940E" w14:textId="77777777" w:rsidR="002B302F" w:rsidRPr="00CD1426" w:rsidRDefault="002B302F" w:rsidP="00CD1426">
            <w:pPr>
              <w:spacing w:line="360" w:lineRule="auto"/>
              <w:jc w:val="both"/>
              <w:rPr>
                <w:rFonts w:ascii="Book Antiqua" w:hAnsi="Book Antiqua" w:cs="Arial"/>
                <w:lang w:val="en-US" w:eastAsia="en-US"/>
              </w:rPr>
            </w:pPr>
          </w:p>
        </w:tc>
        <w:tc>
          <w:tcPr>
            <w:tcW w:w="3419" w:type="dxa"/>
            <w:noWrap/>
          </w:tcPr>
          <w:p w14:paraId="6452C90E" w14:textId="48E89976" w:rsidR="002B302F" w:rsidRPr="00CD1426" w:rsidRDefault="002B302F" w:rsidP="00CD1426">
            <w:pPr>
              <w:spacing w:line="360" w:lineRule="auto"/>
              <w:jc w:val="both"/>
              <w:rPr>
                <w:rFonts w:ascii="Book Antiqua" w:hAnsi="Book Antiqua" w:cs="Arial"/>
                <w:lang w:val="en-US" w:eastAsia="en-US"/>
              </w:rPr>
            </w:pPr>
            <w:r w:rsidRPr="00CD1426">
              <w:rPr>
                <w:rFonts w:ascii="Book Antiqua" w:hAnsi="Book Antiqua" w:cs="Arial"/>
                <w:lang w:val="en-US" w:eastAsia="en-US"/>
              </w:rPr>
              <w:t xml:space="preserve">HCV RNA baseline:&lt; </w:t>
            </w:r>
            <w:r w:rsidR="006746CE" w:rsidRPr="00CD1426">
              <w:rPr>
                <w:rFonts w:ascii="Book Antiqua" w:hAnsi="Book Antiqua" w:cs="Arial"/>
                <w:i/>
                <w:lang w:val="en-US" w:eastAsia="en-US"/>
              </w:rPr>
              <w:t>vs</w:t>
            </w:r>
            <w:r w:rsidRPr="00CD1426">
              <w:rPr>
                <w:rFonts w:ascii="Book Antiqua" w:hAnsi="Book Antiqua" w:cs="Arial"/>
                <w:lang w:val="en-US" w:eastAsia="en-US"/>
              </w:rPr>
              <w:t xml:space="preserve"> ≥ 6 </w:t>
            </w:r>
            <w:r w:rsidRPr="00CD1426">
              <w:rPr>
                <w:rFonts w:ascii="Book Antiqua" w:hAnsi="Book Antiqua" w:cs="Arial"/>
                <w:lang w:val="en-US" w:eastAsia="en-US"/>
              </w:rPr>
              <w:lastRenderedPageBreak/>
              <w:t>Log IU/m</w:t>
            </w:r>
            <w:r w:rsidR="00C04C74" w:rsidRPr="00CD1426">
              <w:rPr>
                <w:rFonts w:ascii="Book Antiqua" w:hAnsi="Book Antiqua" w:cs="Arial"/>
                <w:lang w:val="en-US" w:eastAsia="en-US"/>
              </w:rPr>
              <w:t>L</w:t>
            </w:r>
          </w:p>
        </w:tc>
        <w:tc>
          <w:tcPr>
            <w:tcW w:w="606" w:type="dxa"/>
            <w:noWrap/>
          </w:tcPr>
          <w:p w14:paraId="56F81479" w14:textId="77777777" w:rsidR="002B302F" w:rsidRPr="00CD1426" w:rsidRDefault="002B302F" w:rsidP="00CD1426">
            <w:pPr>
              <w:spacing w:line="360" w:lineRule="auto"/>
              <w:jc w:val="both"/>
              <w:rPr>
                <w:rFonts w:ascii="Book Antiqua" w:hAnsi="Book Antiqua" w:cs="Arial"/>
                <w:lang w:val="en-US" w:eastAsia="en-US"/>
              </w:rPr>
            </w:pPr>
            <w:r w:rsidRPr="00CD1426">
              <w:rPr>
                <w:rFonts w:ascii="Book Antiqua" w:hAnsi="Book Antiqua" w:cs="Arial"/>
                <w:lang w:val="en-US" w:eastAsia="en-US"/>
              </w:rPr>
              <w:lastRenderedPageBreak/>
              <w:t>2.3</w:t>
            </w:r>
            <w:r w:rsidRPr="00CD1426">
              <w:rPr>
                <w:rFonts w:ascii="Book Antiqua" w:hAnsi="Book Antiqua" w:cs="Arial"/>
                <w:lang w:val="en-US" w:eastAsia="en-US"/>
              </w:rPr>
              <w:lastRenderedPageBreak/>
              <w:t>3</w:t>
            </w:r>
          </w:p>
        </w:tc>
        <w:tc>
          <w:tcPr>
            <w:tcW w:w="928" w:type="dxa"/>
            <w:noWrap/>
          </w:tcPr>
          <w:p w14:paraId="06363F80" w14:textId="77777777" w:rsidR="002B302F" w:rsidRPr="00CD1426" w:rsidRDefault="002B302F" w:rsidP="00CD1426">
            <w:pPr>
              <w:spacing w:line="360" w:lineRule="auto"/>
              <w:jc w:val="both"/>
              <w:rPr>
                <w:rFonts w:ascii="Book Antiqua" w:hAnsi="Book Antiqua" w:cs="Arial"/>
                <w:lang w:val="en-US" w:eastAsia="en-US"/>
              </w:rPr>
            </w:pPr>
            <w:r w:rsidRPr="00CD1426">
              <w:rPr>
                <w:rFonts w:ascii="Book Antiqua" w:hAnsi="Book Antiqua" w:cs="Arial"/>
                <w:lang w:val="en-US" w:eastAsia="en-US"/>
              </w:rPr>
              <w:lastRenderedPageBreak/>
              <w:t>0.009</w:t>
            </w:r>
          </w:p>
        </w:tc>
        <w:tc>
          <w:tcPr>
            <w:tcW w:w="1925" w:type="dxa"/>
            <w:noWrap/>
          </w:tcPr>
          <w:p w14:paraId="6A2EC74C" w14:textId="77777777" w:rsidR="002B302F" w:rsidRPr="00CD1426" w:rsidRDefault="002B302F" w:rsidP="00CD1426">
            <w:pPr>
              <w:spacing w:line="360" w:lineRule="auto"/>
              <w:jc w:val="both"/>
              <w:rPr>
                <w:rFonts w:ascii="Book Antiqua" w:hAnsi="Book Antiqua" w:cs="Arial"/>
                <w:lang w:val="en-US" w:eastAsia="en-US"/>
              </w:rPr>
            </w:pPr>
          </w:p>
        </w:tc>
      </w:tr>
      <w:tr w:rsidR="002B302F" w:rsidRPr="00CD1426" w14:paraId="521DDFB4" w14:textId="77777777" w:rsidTr="00F50DCF">
        <w:trPr>
          <w:trHeight w:val="240"/>
        </w:trPr>
        <w:tc>
          <w:tcPr>
            <w:tcW w:w="1277" w:type="dxa"/>
            <w:noWrap/>
          </w:tcPr>
          <w:p w14:paraId="6F0699C5" w14:textId="77777777" w:rsidR="002B302F" w:rsidRPr="00CD1426" w:rsidRDefault="002B302F" w:rsidP="00CD1426">
            <w:pPr>
              <w:spacing w:line="360" w:lineRule="auto"/>
              <w:jc w:val="both"/>
              <w:rPr>
                <w:rFonts w:ascii="Book Antiqua" w:hAnsi="Book Antiqua" w:cs="Arial"/>
                <w:b/>
                <w:bCs/>
                <w:lang w:val="en-US" w:eastAsia="en-US"/>
              </w:rPr>
            </w:pPr>
          </w:p>
        </w:tc>
        <w:tc>
          <w:tcPr>
            <w:tcW w:w="4229" w:type="dxa"/>
            <w:noWrap/>
          </w:tcPr>
          <w:p w14:paraId="6B461AC4" w14:textId="77777777" w:rsidR="002B302F" w:rsidRPr="00CD1426" w:rsidRDefault="002B302F" w:rsidP="00CD1426">
            <w:pPr>
              <w:spacing w:line="360" w:lineRule="auto"/>
              <w:jc w:val="both"/>
              <w:rPr>
                <w:rFonts w:ascii="Book Antiqua" w:hAnsi="Book Antiqua" w:cs="Arial"/>
                <w:lang w:val="en-US" w:eastAsia="en-US"/>
              </w:rPr>
            </w:pPr>
          </w:p>
        </w:tc>
        <w:tc>
          <w:tcPr>
            <w:tcW w:w="2154" w:type="dxa"/>
            <w:noWrap/>
          </w:tcPr>
          <w:p w14:paraId="7B7DC94F" w14:textId="77777777" w:rsidR="002B302F" w:rsidRPr="00CD1426" w:rsidRDefault="002B302F" w:rsidP="00CD1426">
            <w:pPr>
              <w:spacing w:line="360" w:lineRule="auto"/>
              <w:jc w:val="both"/>
              <w:rPr>
                <w:rFonts w:ascii="Book Antiqua" w:hAnsi="Book Antiqua" w:cs="Arial"/>
                <w:lang w:val="en-US" w:eastAsia="en-US"/>
              </w:rPr>
            </w:pPr>
          </w:p>
        </w:tc>
        <w:tc>
          <w:tcPr>
            <w:tcW w:w="3419" w:type="dxa"/>
            <w:noWrap/>
          </w:tcPr>
          <w:p w14:paraId="23A0E27F" w14:textId="01C44977" w:rsidR="002B302F" w:rsidRPr="00CD1426" w:rsidRDefault="002B302F" w:rsidP="00CD1426">
            <w:pPr>
              <w:spacing w:line="360" w:lineRule="auto"/>
              <w:jc w:val="both"/>
              <w:rPr>
                <w:rFonts w:ascii="Book Antiqua" w:hAnsi="Book Antiqua" w:cs="Arial"/>
                <w:lang w:val="en-US" w:eastAsia="en-US"/>
              </w:rPr>
            </w:pPr>
            <w:r w:rsidRPr="00CD1426">
              <w:rPr>
                <w:rFonts w:ascii="Book Antiqua" w:hAnsi="Book Antiqua" w:cs="Arial"/>
                <w:lang w:val="en-US" w:eastAsia="en-US"/>
              </w:rPr>
              <w:t>RBV exposure (mg/</w:t>
            </w:r>
            <w:r w:rsidR="006746CE" w:rsidRPr="00CD1426">
              <w:rPr>
                <w:rFonts w:ascii="Book Antiqua" w:hAnsi="Book Antiqua" w:cs="Arial"/>
                <w:lang w:val="en-US" w:eastAsia="en-US"/>
              </w:rPr>
              <w:t>kg</w:t>
            </w:r>
            <w:r w:rsidR="006746CE" w:rsidRPr="00CD1426">
              <w:rPr>
                <w:rFonts w:ascii="Book Antiqua" w:hAnsi="Book Antiqua" w:cs="Arial"/>
                <w:lang w:val="en-US" w:eastAsia="zh-CN"/>
              </w:rPr>
              <w:t xml:space="preserve"> per </w:t>
            </w:r>
            <w:r w:rsidRPr="00CD1426">
              <w:rPr>
                <w:rFonts w:ascii="Book Antiqua" w:hAnsi="Book Antiqua" w:cs="Arial"/>
                <w:lang w:val="en-US" w:eastAsia="en-US"/>
              </w:rPr>
              <w:t>d)</w:t>
            </w:r>
          </w:p>
        </w:tc>
        <w:tc>
          <w:tcPr>
            <w:tcW w:w="606" w:type="dxa"/>
            <w:noWrap/>
          </w:tcPr>
          <w:p w14:paraId="6E1DF348" w14:textId="77777777" w:rsidR="002B302F" w:rsidRPr="00CD1426" w:rsidRDefault="002B302F" w:rsidP="00CD1426">
            <w:pPr>
              <w:spacing w:line="360" w:lineRule="auto"/>
              <w:jc w:val="both"/>
              <w:rPr>
                <w:rFonts w:ascii="Book Antiqua" w:hAnsi="Book Antiqua" w:cs="Arial"/>
                <w:lang w:val="en-US" w:eastAsia="en-US"/>
              </w:rPr>
            </w:pPr>
            <w:r w:rsidRPr="00CD1426">
              <w:rPr>
                <w:rFonts w:ascii="Book Antiqua" w:hAnsi="Book Antiqua" w:cs="Arial"/>
                <w:lang w:val="en-US" w:eastAsia="en-US"/>
              </w:rPr>
              <w:t>1.26</w:t>
            </w:r>
          </w:p>
        </w:tc>
        <w:tc>
          <w:tcPr>
            <w:tcW w:w="928" w:type="dxa"/>
            <w:noWrap/>
          </w:tcPr>
          <w:p w14:paraId="0E0B067F" w14:textId="77777777" w:rsidR="002B302F" w:rsidRPr="00CD1426" w:rsidRDefault="002B302F" w:rsidP="00CD1426">
            <w:pPr>
              <w:spacing w:line="360" w:lineRule="auto"/>
              <w:jc w:val="both"/>
              <w:rPr>
                <w:rFonts w:ascii="Book Antiqua" w:hAnsi="Book Antiqua" w:cs="Arial"/>
                <w:lang w:val="en-US" w:eastAsia="en-US"/>
              </w:rPr>
            </w:pPr>
            <w:r w:rsidRPr="00CD1426">
              <w:rPr>
                <w:rFonts w:ascii="Book Antiqua" w:hAnsi="Book Antiqua" w:cs="Arial"/>
                <w:lang w:val="en-US" w:eastAsia="en-US"/>
              </w:rPr>
              <w:t>0.002</w:t>
            </w:r>
          </w:p>
        </w:tc>
        <w:tc>
          <w:tcPr>
            <w:tcW w:w="1925" w:type="dxa"/>
            <w:noWrap/>
          </w:tcPr>
          <w:p w14:paraId="5804FAFF" w14:textId="77777777" w:rsidR="002B302F" w:rsidRPr="00CD1426" w:rsidRDefault="002B302F" w:rsidP="00CD1426">
            <w:pPr>
              <w:spacing w:line="360" w:lineRule="auto"/>
              <w:jc w:val="both"/>
              <w:rPr>
                <w:rFonts w:ascii="Book Antiqua" w:hAnsi="Book Antiqua" w:cs="Arial"/>
                <w:lang w:val="en-US" w:eastAsia="en-US"/>
              </w:rPr>
            </w:pPr>
          </w:p>
        </w:tc>
      </w:tr>
      <w:tr w:rsidR="002B302F" w:rsidRPr="00CD1426" w14:paraId="46E9ECA2" w14:textId="77777777" w:rsidTr="00F50DCF">
        <w:trPr>
          <w:trHeight w:val="240"/>
        </w:trPr>
        <w:tc>
          <w:tcPr>
            <w:tcW w:w="1277" w:type="dxa"/>
            <w:noWrap/>
          </w:tcPr>
          <w:p w14:paraId="5F1BD8C7" w14:textId="77777777" w:rsidR="002B302F" w:rsidRPr="00CD1426" w:rsidRDefault="002B302F" w:rsidP="00CD1426">
            <w:pPr>
              <w:spacing w:line="360" w:lineRule="auto"/>
              <w:jc w:val="both"/>
              <w:rPr>
                <w:rFonts w:ascii="Book Antiqua" w:hAnsi="Book Antiqua" w:cs="Arial"/>
                <w:b/>
                <w:bCs/>
                <w:lang w:val="en-US" w:eastAsia="en-US"/>
              </w:rPr>
            </w:pPr>
            <w:proofErr w:type="spellStart"/>
            <w:r w:rsidRPr="00CD1426">
              <w:rPr>
                <w:rFonts w:ascii="Book Antiqua" w:hAnsi="Book Antiqua" w:cs="Arial"/>
                <w:b/>
                <w:bCs/>
                <w:lang w:val="en-US" w:eastAsia="en-US"/>
              </w:rPr>
              <w:t>Simeprevir</w:t>
            </w:r>
            <w:proofErr w:type="spellEnd"/>
          </w:p>
        </w:tc>
        <w:tc>
          <w:tcPr>
            <w:tcW w:w="4229" w:type="dxa"/>
            <w:noWrap/>
          </w:tcPr>
          <w:p w14:paraId="4A5822B5" w14:textId="77777777" w:rsidR="002B302F" w:rsidRPr="00CD1426" w:rsidRDefault="002B302F" w:rsidP="00CD1426">
            <w:pPr>
              <w:spacing w:line="360" w:lineRule="auto"/>
              <w:jc w:val="both"/>
              <w:rPr>
                <w:rFonts w:ascii="Book Antiqua" w:hAnsi="Book Antiqua" w:cs="Arial"/>
                <w:lang w:val="en-US" w:eastAsia="en-US"/>
              </w:rPr>
            </w:pPr>
            <w:r w:rsidRPr="00CD1426">
              <w:rPr>
                <w:rFonts w:ascii="Book Antiqua" w:hAnsi="Book Antiqua" w:cs="Arial"/>
                <w:lang w:val="en-US" w:eastAsia="en-US"/>
              </w:rPr>
              <w:t>NS3/4A serine protease inhibitor</w:t>
            </w:r>
          </w:p>
        </w:tc>
        <w:tc>
          <w:tcPr>
            <w:tcW w:w="2154" w:type="dxa"/>
            <w:noWrap/>
          </w:tcPr>
          <w:p w14:paraId="3238607B" w14:textId="1AEAC71A" w:rsidR="002B302F" w:rsidRPr="00CD1426" w:rsidRDefault="002B302F" w:rsidP="00C04C74">
            <w:pPr>
              <w:spacing w:line="360" w:lineRule="auto"/>
              <w:jc w:val="both"/>
              <w:rPr>
                <w:rFonts w:ascii="Book Antiqua" w:hAnsi="Book Antiqua" w:cs="Arial"/>
                <w:lang w:val="en-US" w:eastAsia="en-US"/>
              </w:rPr>
            </w:pPr>
            <w:r w:rsidRPr="00CD1426">
              <w:rPr>
                <w:rFonts w:ascii="Book Antiqua" w:hAnsi="Book Antiqua" w:cs="Arial"/>
                <w:lang w:val="en-US" w:eastAsia="en-US"/>
              </w:rPr>
              <w:t>Q80K</w:t>
            </w:r>
            <w:r w:rsidR="00C04C74">
              <w:rPr>
                <w:rFonts w:ascii="Book Antiqua" w:hAnsi="Book Antiqua" w:cs="Arial" w:hint="eastAsia"/>
                <w:lang w:val="en-US" w:eastAsia="zh-CN"/>
              </w:rPr>
              <w:t>-</w:t>
            </w:r>
            <w:r w:rsidRPr="00CD1426">
              <w:rPr>
                <w:rFonts w:ascii="Book Antiqua" w:hAnsi="Book Antiqua" w:cs="Arial"/>
                <w:lang w:val="en-US" w:eastAsia="en-US"/>
              </w:rPr>
              <w:t>HCV subtype 1a</w:t>
            </w:r>
          </w:p>
        </w:tc>
        <w:tc>
          <w:tcPr>
            <w:tcW w:w="3419" w:type="dxa"/>
            <w:noWrap/>
          </w:tcPr>
          <w:p w14:paraId="37DA29A6" w14:textId="40D67169" w:rsidR="002B302F" w:rsidRPr="00CD1426" w:rsidRDefault="002B302F" w:rsidP="00CD1426">
            <w:pPr>
              <w:spacing w:line="360" w:lineRule="auto"/>
              <w:jc w:val="both"/>
              <w:rPr>
                <w:rFonts w:ascii="Book Antiqua" w:hAnsi="Book Antiqua" w:cs="Arial"/>
                <w:lang w:val="en-US" w:eastAsia="en-US"/>
              </w:rPr>
            </w:pPr>
            <w:r w:rsidRPr="00CD1426">
              <w:rPr>
                <w:rFonts w:ascii="Book Antiqua" w:hAnsi="Book Antiqua" w:cs="Arial"/>
                <w:lang w:val="en-US" w:eastAsia="en-US"/>
              </w:rPr>
              <w:t xml:space="preserve">HCV 1a: Q80K: No </w:t>
            </w:r>
            <w:r w:rsidR="006746CE" w:rsidRPr="00CD1426">
              <w:rPr>
                <w:rFonts w:ascii="Book Antiqua" w:hAnsi="Book Antiqua" w:cs="Arial"/>
                <w:i/>
                <w:lang w:val="en-US" w:eastAsia="en-US"/>
              </w:rPr>
              <w:t>vs</w:t>
            </w:r>
            <w:r w:rsidR="006746CE" w:rsidRPr="00CD1426">
              <w:rPr>
                <w:rFonts w:ascii="Book Antiqua" w:hAnsi="Book Antiqua" w:cs="Arial"/>
                <w:lang w:val="en-US" w:eastAsia="en-US"/>
              </w:rPr>
              <w:t xml:space="preserve"> </w:t>
            </w:r>
            <w:r w:rsidRPr="00CD1426">
              <w:rPr>
                <w:rFonts w:ascii="Book Antiqua" w:hAnsi="Book Antiqua" w:cs="Arial"/>
                <w:lang w:val="en-US" w:eastAsia="en-US"/>
              </w:rPr>
              <w:t>Yes</w:t>
            </w:r>
          </w:p>
        </w:tc>
        <w:tc>
          <w:tcPr>
            <w:tcW w:w="606" w:type="dxa"/>
            <w:noWrap/>
          </w:tcPr>
          <w:p w14:paraId="477C8C69" w14:textId="77777777" w:rsidR="002B302F" w:rsidRPr="00CD1426" w:rsidRDefault="002B302F" w:rsidP="00CD1426">
            <w:pPr>
              <w:spacing w:line="360" w:lineRule="auto"/>
              <w:jc w:val="both"/>
              <w:rPr>
                <w:rFonts w:ascii="Book Antiqua" w:hAnsi="Book Antiqua" w:cs="Arial"/>
                <w:lang w:val="en-US" w:eastAsia="en-US"/>
              </w:rPr>
            </w:pPr>
            <w:r w:rsidRPr="00CD1426">
              <w:rPr>
                <w:rFonts w:ascii="Book Antiqua" w:hAnsi="Book Antiqua" w:cs="Arial"/>
                <w:lang w:val="en-US" w:eastAsia="en-US"/>
              </w:rPr>
              <w:t>0.19</w:t>
            </w:r>
          </w:p>
        </w:tc>
        <w:tc>
          <w:tcPr>
            <w:tcW w:w="928" w:type="dxa"/>
            <w:noWrap/>
          </w:tcPr>
          <w:p w14:paraId="10238073" w14:textId="77777777" w:rsidR="002B302F" w:rsidRPr="00CD1426" w:rsidRDefault="002B302F" w:rsidP="00CD1426">
            <w:pPr>
              <w:spacing w:line="360" w:lineRule="auto"/>
              <w:jc w:val="both"/>
              <w:rPr>
                <w:rFonts w:ascii="Book Antiqua" w:hAnsi="Book Antiqua" w:cs="Arial"/>
                <w:lang w:val="en-US" w:eastAsia="en-US"/>
              </w:rPr>
            </w:pPr>
            <w:r w:rsidRPr="00CD1426">
              <w:rPr>
                <w:rFonts w:ascii="Book Antiqua" w:hAnsi="Book Antiqua" w:cs="Arial"/>
                <w:lang w:val="en-US" w:eastAsia="en-US"/>
              </w:rPr>
              <w:t>1.7x10</w:t>
            </w:r>
            <w:r w:rsidRPr="00CD1426">
              <w:rPr>
                <w:rFonts w:ascii="Book Antiqua" w:hAnsi="Book Antiqua" w:cs="Arial"/>
                <w:vertAlign w:val="superscript"/>
                <w:lang w:val="en-US" w:eastAsia="en-US"/>
              </w:rPr>
              <w:t>-5</w:t>
            </w:r>
          </w:p>
        </w:tc>
        <w:tc>
          <w:tcPr>
            <w:tcW w:w="1925" w:type="dxa"/>
            <w:noWrap/>
          </w:tcPr>
          <w:p w14:paraId="3D036942" w14:textId="3048CFB5" w:rsidR="002B302F" w:rsidRPr="00CD1426" w:rsidRDefault="006746CE" w:rsidP="00CD1426">
            <w:pPr>
              <w:spacing w:line="360" w:lineRule="auto"/>
              <w:jc w:val="both"/>
              <w:rPr>
                <w:rFonts w:ascii="Book Antiqua" w:hAnsi="Book Antiqua" w:cs="Arial"/>
                <w:lang w:val="en-US" w:eastAsia="zh-CN"/>
              </w:rPr>
            </w:pPr>
            <w:r w:rsidRPr="00CD1426">
              <w:rPr>
                <w:rFonts w:ascii="Book Antiqua" w:hAnsi="Book Antiqua" w:cs="Arial"/>
                <w:lang w:val="en-US" w:eastAsia="en-US"/>
              </w:rPr>
              <w:t>Jacobson</w:t>
            </w:r>
            <w:r w:rsidRPr="00CD1426">
              <w:rPr>
                <w:rFonts w:ascii="Book Antiqua" w:hAnsi="Book Antiqua" w:cs="Arial"/>
                <w:lang w:val="en-US" w:eastAsia="zh-CN"/>
              </w:rPr>
              <w:t xml:space="preserve"> </w:t>
            </w:r>
            <w:r w:rsidRPr="00CD1426">
              <w:rPr>
                <w:rFonts w:ascii="Book Antiqua" w:hAnsi="Book Antiqua" w:cs="Arial"/>
                <w:i/>
                <w:lang w:val="en-US" w:eastAsia="zh-CN"/>
              </w:rPr>
              <w:t>et al</w:t>
            </w:r>
            <w:r w:rsidRPr="00CD1426">
              <w:rPr>
                <w:rFonts w:ascii="Book Antiqua" w:hAnsi="Book Antiqua" w:cs="Arial"/>
                <w:vertAlign w:val="superscript"/>
                <w:lang w:val="en-US" w:eastAsia="zh-CN"/>
              </w:rPr>
              <w:t>[61]</w:t>
            </w:r>
          </w:p>
        </w:tc>
      </w:tr>
      <w:tr w:rsidR="002B302F" w:rsidRPr="00CD1426" w14:paraId="065630C1" w14:textId="77777777" w:rsidTr="00F50DCF">
        <w:trPr>
          <w:trHeight w:val="240"/>
        </w:trPr>
        <w:tc>
          <w:tcPr>
            <w:tcW w:w="1277" w:type="dxa"/>
            <w:noWrap/>
          </w:tcPr>
          <w:p w14:paraId="1727CCA9" w14:textId="77777777" w:rsidR="002B302F" w:rsidRPr="00CD1426" w:rsidRDefault="002B302F" w:rsidP="00CD1426">
            <w:pPr>
              <w:spacing w:line="360" w:lineRule="auto"/>
              <w:jc w:val="both"/>
              <w:rPr>
                <w:rFonts w:ascii="Book Antiqua" w:hAnsi="Book Antiqua" w:cs="Arial"/>
                <w:b/>
                <w:bCs/>
                <w:lang w:val="en-US" w:eastAsia="en-US"/>
              </w:rPr>
            </w:pPr>
          </w:p>
        </w:tc>
        <w:tc>
          <w:tcPr>
            <w:tcW w:w="4229" w:type="dxa"/>
            <w:noWrap/>
          </w:tcPr>
          <w:p w14:paraId="6CE31FA5" w14:textId="77777777" w:rsidR="002B302F" w:rsidRPr="00CD1426" w:rsidRDefault="002B302F" w:rsidP="00CD1426">
            <w:pPr>
              <w:spacing w:line="360" w:lineRule="auto"/>
              <w:jc w:val="both"/>
              <w:rPr>
                <w:rFonts w:ascii="Book Antiqua" w:hAnsi="Book Antiqua" w:cs="Arial"/>
                <w:i/>
                <w:iCs/>
                <w:lang w:val="en-US" w:eastAsia="en-US"/>
              </w:rPr>
            </w:pPr>
            <w:r w:rsidRPr="00CD1426">
              <w:rPr>
                <w:rFonts w:ascii="Book Antiqua" w:hAnsi="Book Antiqua" w:cs="Arial"/>
                <w:i/>
                <w:iCs/>
                <w:lang w:val="en-US" w:eastAsia="en-US"/>
              </w:rPr>
              <w:t>HCV genotype 1</w:t>
            </w:r>
          </w:p>
        </w:tc>
        <w:tc>
          <w:tcPr>
            <w:tcW w:w="2154" w:type="dxa"/>
            <w:noWrap/>
          </w:tcPr>
          <w:p w14:paraId="6041FC3E" w14:textId="77777777" w:rsidR="002B302F" w:rsidRPr="00CD1426" w:rsidRDefault="002B302F" w:rsidP="00CD1426">
            <w:pPr>
              <w:spacing w:line="360" w:lineRule="auto"/>
              <w:jc w:val="both"/>
              <w:rPr>
                <w:rFonts w:ascii="Book Antiqua" w:hAnsi="Book Antiqua" w:cs="Arial"/>
                <w:lang w:val="en-US" w:eastAsia="en-US"/>
              </w:rPr>
            </w:pPr>
            <w:r w:rsidRPr="00CD1426">
              <w:rPr>
                <w:rFonts w:ascii="Book Antiqua" w:hAnsi="Book Antiqua" w:cs="Arial"/>
                <w:lang w:val="en-US" w:eastAsia="en-US"/>
              </w:rPr>
              <w:t>R155K</w:t>
            </w:r>
          </w:p>
        </w:tc>
        <w:tc>
          <w:tcPr>
            <w:tcW w:w="3419" w:type="dxa"/>
            <w:noWrap/>
          </w:tcPr>
          <w:p w14:paraId="5E76C7BD" w14:textId="3DBA757C" w:rsidR="002B302F" w:rsidRPr="00CD1426" w:rsidRDefault="002B302F" w:rsidP="00CD1426">
            <w:pPr>
              <w:spacing w:line="360" w:lineRule="auto"/>
              <w:jc w:val="both"/>
              <w:rPr>
                <w:rFonts w:ascii="Book Antiqua" w:hAnsi="Book Antiqua" w:cs="Arial"/>
                <w:lang w:val="en-US" w:eastAsia="en-US"/>
              </w:rPr>
            </w:pPr>
            <w:r w:rsidRPr="00CD1426">
              <w:rPr>
                <w:rFonts w:ascii="Book Antiqua" w:hAnsi="Book Antiqua" w:cs="Arial"/>
                <w:lang w:val="en-US" w:eastAsia="en-US"/>
              </w:rPr>
              <w:t xml:space="preserve">F0-F2 </w:t>
            </w:r>
            <w:r w:rsidR="006746CE" w:rsidRPr="00CD1426">
              <w:rPr>
                <w:rFonts w:ascii="Book Antiqua" w:hAnsi="Book Antiqua" w:cs="Arial"/>
                <w:i/>
                <w:lang w:val="en-US" w:eastAsia="en-US"/>
              </w:rPr>
              <w:t>vs</w:t>
            </w:r>
            <w:r w:rsidRPr="00CD1426">
              <w:rPr>
                <w:rFonts w:ascii="Book Antiqua" w:hAnsi="Book Antiqua" w:cs="Arial"/>
                <w:lang w:val="en-US" w:eastAsia="en-US"/>
              </w:rPr>
              <w:t xml:space="preserve"> F3-F4</w:t>
            </w:r>
          </w:p>
        </w:tc>
        <w:tc>
          <w:tcPr>
            <w:tcW w:w="606" w:type="dxa"/>
            <w:noWrap/>
          </w:tcPr>
          <w:p w14:paraId="0DD9891C" w14:textId="77777777" w:rsidR="002B302F" w:rsidRPr="00CD1426" w:rsidRDefault="002B302F" w:rsidP="00CD1426">
            <w:pPr>
              <w:spacing w:line="360" w:lineRule="auto"/>
              <w:jc w:val="both"/>
              <w:rPr>
                <w:rFonts w:ascii="Book Antiqua" w:hAnsi="Book Antiqua" w:cs="Arial"/>
                <w:lang w:val="en-US" w:eastAsia="en-US"/>
              </w:rPr>
            </w:pPr>
            <w:r w:rsidRPr="00CD1426">
              <w:rPr>
                <w:rFonts w:ascii="Book Antiqua" w:hAnsi="Book Antiqua" w:cs="Arial"/>
                <w:lang w:val="en-US" w:eastAsia="en-US"/>
              </w:rPr>
              <w:t>2.09</w:t>
            </w:r>
          </w:p>
        </w:tc>
        <w:tc>
          <w:tcPr>
            <w:tcW w:w="928" w:type="dxa"/>
            <w:noWrap/>
          </w:tcPr>
          <w:p w14:paraId="6D6DBCC7" w14:textId="77777777" w:rsidR="002B302F" w:rsidRPr="00CD1426" w:rsidRDefault="002B302F" w:rsidP="00CD1426">
            <w:pPr>
              <w:spacing w:line="360" w:lineRule="auto"/>
              <w:jc w:val="both"/>
              <w:rPr>
                <w:rFonts w:ascii="Book Antiqua" w:hAnsi="Book Antiqua" w:cs="Arial"/>
                <w:lang w:val="en-US" w:eastAsia="en-US"/>
              </w:rPr>
            </w:pPr>
            <w:r w:rsidRPr="00CD1426">
              <w:rPr>
                <w:rFonts w:ascii="Book Antiqua" w:hAnsi="Book Antiqua" w:cs="Arial"/>
                <w:lang w:val="en-US" w:eastAsia="en-US"/>
              </w:rPr>
              <w:t>0.029</w:t>
            </w:r>
          </w:p>
        </w:tc>
        <w:tc>
          <w:tcPr>
            <w:tcW w:w="1925" w:type="dxa"/>
            <w:noWrap/>
          </w:tcPr>
          <w:p w14:paraId="25F014AE" w14:textId="77777777" w:rsidR="002B302F" w:rsidRPr="00CD1426" w:rsidRDefault="002B302F" w:rsidP="00CD1426">
            <w:pPr>
              <w:spacing w:line="360" w:lineRule="auto"/>
              <w:jc w:val="both"/>
              <w:rPr>
                <w:rFonts w:ascii="Book Antiqua" w:hAnsi="Book Antiqua" w:cs="Arial"/>
                <w:lang w:val="en-US" w:eastAsia="en-US"/>
              </w:rPr>
            </w:pPr>
            <w:r w:rsidRPr="00CD1426">
              <w:rPr>
                <w:rFonts w:ascii="Book Antiqua" w:hAnsi="Book Antiqua" w:cs="Arial"/>
                <w:lang w:val="en-US" w:eastAsia="en-US"/>
              </w:rPr>
              <w:t>Quest-1 study</w:t>
            </w:r>
          </w:p>
        </w:tc>
      </w:tr>
      <w:tr w:rsidR="002B302F" w:rsidRPr="00CD1426" w14:paraId="62B3FE68" w14:textId="77777777" w:rsidTr="00F50DCF">
        <w:trPr>
          <w:trHeight w:val="240"/>
        </w:trPr>
        <w:tc>
          <w:tcPr>
            <w:tcW w:w="1277" w:type="dxa"/>
            <w:noWrap/>
          </w:tcPr>
          <w:p w14:paraId="339911EA" w14:textId="77777777" w:rsidR="002B302F" w:rsidRPr="00CD1426" w:rsidRDefault="002B302F" w:rsidP="00CD1426">
            <w:pPr>
              <w:spacing w:line="360" w:lineRule="auto"/>
              <w:jc w:val="both"/>
              <w:rPr>
                <w:rFonts w:ascii="Book Antiqua" w:hAnsi="Book Antiqua" w:cs="Arial"/>
                <w:b/>
                <w:bCs/>
                <w:lang w:val="en-US" w:eastAsia="en-US"/>
              </w:rPr>
            </w:pPr>
          </w:p>
        </w:tc>
        <w:tc>
          <w:tcPr>
            <w:tcW w:w="4229" w:type="dxa"/>
            <w:noWrap/>
          </w:tcPr>
          <w:p w14:paraId="12510185" w14:textId="77777777" w:rsidR="002B302F" w:rsidRPr="00CD1426" w:rsidRDefault="002B302F" w:rsidP="00CD1426">
            <w:pPr>
              <w:spacing w:line="360" w:lineRule="auto"/>
              <w:jc w:val="both"/>
              <w:rPr>
                <w:rFonts w:ascii="Book Antiqua" w:hAnsi="Book Antiqua" w:cs="Arial"/>
                <w:lang w:val="en-US" w:eastAsia="en-US"/>
              </w:rPr>
            </w:pPr>
          </w:p>
        </w:tc>
        <w:tc>
          <w:tcPr>
            <w:tcW w:w="2154" w:type="dxa"/>
            <w:noWrap/>
          </w:tcPr>
          <w:p w14:paraId="48B4180B" w14:textId="77777777" w:rsidR="002B302F" w:rsidRPr="00CD1426" w:rsidRDefault="002B302F" w:rsidP="00CD1426">
            <w:pPr>
              <w:spacing w:line="360" w:lineRule="auto"/>
              <w:jc w:val="both"/>
              <w:rPr>
                <w:rFonts w:ascii="Book Antiqua" w:hAnsi="Book Antiqua" w:cs="Arial"/>
                <w:lang w:val="en-US" w:eastAsia="en-US"/>
              </w:rPr>
            </w:pPr>
            <w:r w:rsidRPr="00CD1426">
              <w:rPr>
                <w:rFonts w:ascii="Book Antiqua" w:hAnsi="Book Antiqua" w:cs="Arial"/>
                <w:lang w:val="en-US" w:eastAsia="en-US"/>
              </w:rPr>
              <w:t>D168V - HCV subtype 1b</w:t>
            </w:r>
          </w:p>
        </w:tc>
        <w:tc>
          <w:tcPr>
            <w:tcW w:w="3419" w:type="dxa"/>
            <w:noWrap/>
          </w:tcPr>
          <w:p w14:paraId="400B37D6" w14:textId="087B82BF" w:rsidR="002B302F" w:rsidRPr="00CD1426" w:rsidRDefault="002B302F" w:rsidP="00CD1426">
            <w:pPr>
              <w:spacing w:line="360" w:lineRule="auto"/>
              <w:jc w:val="both"/>
              <w:rPr>
                <w:rFonts w:ascii="Book Antiqua" w:hAnsi="Book Antiqua" w:cs="Arial"/>
                <w:lang w:val="en-US" w:eastAsia="en-US"/>
              </w:rPr>
            </w:pPr>
            <w:r w:rsidRPr="00CD1426">
              <w:rPr>
                <w:rFonts w:ascii="Book Antiqua" w:hAnsi="Book Antiqua" w:cs="Arial"/>
                <w:lang w:val="en-US" w:eastAsia="en-US"/>
              </w:rPr>
              <w:t xml:space="preserve">IL28B: CC </w:t>
            </w:r>
            <w:r w:rsidR="006746CE" w:rsidRPr="00CD1426">
              <w:rPr>
                <w:rFonts w:ascii="Book Antiqua" w:hAnsi="Book Antiqua" w:cs="Arial"/>
                <w:i/>
                <w:lang w:val="en-US" w:eastAsia="en-US"/>
              </w:rPr>
              <w:t>vs</w:t>
            </w:r>
            <w:r w:rsidRPr="00CD1426">
              <w:rPr>
                <w:rFonts w:ascii="Book Antiqua" w:hAnsi="Book Antiqua" w:cs="Arial"/>
                <w:lang w:val="en-US" w:eastAsia="en-US"/>
              </w:rPr>
              <w:t xml:space="preserve"> CT/TT</w:t>
            </w:r>
          </w:p>
        </w:tc>
        <w:tc>
          <w:tcPr>
            <w:tcW w:w="606" w:type="dxa"/>
            <w:noWrap/>
          </w:tcPr>
          <w:p w14:paraId="0969DE6B" w14:textId="77777777" w:rsidR="002B302F" w:rsidRPr="00CD1426" w:rsidRDefault="002B302F" w:rsidP="00CD1426">
            <w:pPr>
              <w:spacing w:line="360" w:lineRule="auto"/>
              <w:jc w:val="both"/>
              <w:rPr>
                <w:rFonts w:ascii="Book Antiqua" w:hAnsi="Book Antiqua" w:cs="Arial"/>
                <w:lang w:val="en-US" w:eastAsia="en-US"/>
              </w:rPr>
            </w:pPr>
            <w:r w:rsidRPr="00CD1426">
              <w:rPr>
                <w:rFonts w:ascii="Book Antiqua" w:hAnsi="Book Antiqua" w:cs="Arial"/>
                <w:lang w:val="en-US" w:eastAsia="en-US"/>
              </w:rPr>
              <w:t>5.11</w:t>
            </w:r>
          </w:p>
        </w:tc>
        <w:tc>
          <w:tcPr>
            <w:tcW w:w="928" w:type="dxa"/>
            <w:noWrap/>
          </w:tcPr>
          <w:p w14:paraId="3D8661E6" w14:textId="77777777" w:rsidR="002B302F" w:rsidRPr="00CD1426" w:rsidRDefault="002B302F" w:rsidP="00CD1426">
            <w:pPr>
              <w:spacing w:line="360" w:lineRule="auto"/>
              <w:jc w:val="both"/>
              <w:rPr>
                <w:rFonts w:ascii="Book Antiqua" w:hAnsi="Book Antiqua" w:cs="Arial"/>
                <w:lang w:val="en-US" w:eastAsia="en-US"/>
              </w:rPr>
            </w:pPr>
            <w:r w:rsidRPr="00CD1426">
              <w:rPr>
                <w:rFonts w:ascii="Book Antiqua" w:hAnsi="Book Antiqua" w:cs="Arial"/>
                <w:lang w:val="en-US" w:eastAsia="en-US"/>
              </w:rPr>
              <w:t>1.3x10</w:t>
            </w:r>
            <w:r w:rsidRPr="00CD1426">
              <w:rPr>
                <w:rFonts w:ascii="Book Antiqua" w:hAnsi="Book Antiqua" w:cs="Arial"/>
                <w:vertAlign w:val="superscript"/>
                <w:lang w:val="en-US" w:eastAsia="en-US"/>
              </w:rPr>
              <w:t>-4</w:t>
            </w:r>
          </w:p>
        </w:tc>
        <w:tc>
          <w:tcPr>
            <w:tcW w:w="1925" w:type="dxa"/>
            <w:noWrap/>
          </w:tcPr>
          <w:p w14:paraId="676682C7" w14:textId="77777777" w:rsidR="002B302F" w:rsidRPr="00CD1426" w:rsidRDefault="002B302F" w:rsidP="00CD1426">
            <w:pPr>
              <w:spacing w:line="360" w:lineRule="auto"/>
              <w:jc w:val="both"/>
              <w:rPr>
                <w:rFonts w:ascii="Book Antiqua" w:hAnsi="Book Antiqua" w:cs="Arial"/>
                <w:lang w:val="en-US" w:eastAsia="en-US"/>
              </w:rPr>
            </w:pPr>
          </w:p>
        </w:tc>
      </w:tr>
      <w:tr w:rsidR="002B302F" w:rsidRPr="00CD1426" w14:paraId="1D4CDA16" w14:textId="77777777" w:rsidTr="00F50DCF">
        <w:trPr>
          <w:trHeight w:val="240"/>
        </w:trPr>
        <w:tc>
          <w:tcPr>
            <w:tcW w:w="1277" w:type="dxa"/>
            <w:noWrap/>
          </w:tcPr>
          <w:p w14:paraId="2E33CE20" w14:textId="77777777" w:rsidR="002B302F" w:rsidRPr="00CD1426" w:rsidRDefault="002B302F" w:rsidP="00CD1426">
            <w:pPr>
              <w:spacing w:line="360" w:lineRule="auto"/>
              <w:jc w:val="both"/>
              <w:rPr>
                <w:rFonts w:ascii="Book Antiqua" w:hAnsi="Book Antiqua" w:cs="Arial"/>
                <w:b/>
                <w:bCs/>
                <w:lang w:val="en-US" w:eastAsia="en-US"/>
              </w:rPr>
            </w:pPr>
            <w:r w:rsidRPr="00CD1426">
              <w:rPr>
                <w:rFonts w:ascii="Book Antiqua" w:hAnsi="Book Antiqua" w:cs="Arial"/>
                <w:b/>
                <w:bCs/>
                <w:lang w:val="en-US" w:eastAsia="en-US"/>
              </w:rPr>
              <w:t> </w:t>
            </w:r>
          </w:p>
        </w:tc>
        <w:tc>
          <w:tcPr>
            <w:tcW w:w="4229" w:type="dxa"/>
            <w:noWrap/>
          </w:tcPr>
          <w:p w14:paraId="14775C26" w14:textId="77777777" w:rsidR="002B302F" w:rsidRPr="00CD1426" w:rsidRDefault="002B302F" w:rsidP="00CD1426">
            <w:pPr>
              <w:spacing w:line="360" w:lineRule="auto"/>
              <w:jc w:val="both"/>
              <w:rPr>
                <w:rFonts w:ascii="Book Antiqua" w:hAnsi="Book Antiqua" w:cs="Arial"/>
                <w:lang w:val="en-US" w:eastAsia="en-US"/>
              </w:rPr>
            </w:pPr>
            <w:r w:rsidRPr="00CD1426">
              <w:rPr>
                <w:rFonts w:ascii="Book Antiqua" w:hAnsi="Book Antiqua" w:cs="Arial"/>
                <w:lang w:val="en-US" w:eastAsia="en-US"/>
              </w:rPr>
              <w:t> </w:t>
            </w:r>
          </w:p>
        </w:tc>
        <w:tc>
          <w:tcPr>
            <w:tcW w:w="2154" w:type="dxa"/>
            <w:noWrap/>
          </w:tcPr>
          <w:p w14:paraId="4216CBF6" w14:textId="77777777" w:rsidR="002B302F" w:rsidRPr="00CD1426" w:rsidRDefault="002B302F" w:rsidP="00CD1426">
            <w:pPr>
              <w:spacing w:line="360" w:lineRule="auto"/>
              <w:jc w:val="both"/>
              <w:rPr>
                <w:rFonts w:ascii="Book Antiqua" w:hAnsi="Book Antiqua" w:cs="Arial"/>
                <w:lang w:val="en-US" w:eastAsia="en-US"/>
              </w:rPr>
            </w:pPr>
            <w:r w:rsidRPr="00CD1426">
              <w:rPr>
                <w:rFonts w:ascii="Book Antiqua" w:hAnsi="Book Antiqua" w:cs="Arial"/>
                <w:lang w:val="en-US" w:eastAsia="en-US"/>
              </w:rPr>
              <w:t> </w:t>
            </w:r>
          </w:p>
        </w:tc>
        <w:tc>
          <w:tcPr>
            <w:tcW w:w="3419" w:type="dxa"/>
            <w:noWrap/>
          </w:tcPr>
          <w:p w14:paraId="7F9B7202" w14:textId="72CB3AE2" w:rsidR="002B302F" w:rsidRPr="00CD1426" w:rsidRDefault="002B302F" w:rsidP="00CD1426">
            <w:pPr>
              <w:spacing w:line="360" w:lineRule="auto"/>
              <w:jc w:val="both"/>
              <w:rPr>
                <w:rFonts w:ascii="Book Antiqua" w:hAnsi="Book Antiqua" w:cs="Arial"/>
                <w:lang w:val="en-US" w:eastAsia="en-US"/>
              </w:rPr>
            </w:pPr>
            <w:r w:rsidRPr="00CD1426">
              <w:rPr>
                <w:rFonts w:ascii="Book Antiqua" w:hAnsi="Book Antiqua" w:cs="Arial"/>
                <w:lang w:val="en-US" w:eastAsia="en-US"/>
              </w:rPr>
              <w:t>HCV RNA baseline:≤</w:t>
            </w:r>
            <w:r w:rsidR="006746CE" w:rsidRPr="00CD1426">
              <w:rPr>
                <w:rFonts w:ascii="Book Antiqua" w:hAnsi="Book Antiqua" w:cs="Arial"/>
                <w:i/>
                <w:lang w:val="en-US" w:eastAsia="en-US"/>
              </w:rPr>
              <w:t>vs</w:t>
            </w:r>
            <w:r w:rsidRPr="00CD1426">
              <w:rPr>
                <w:rFonts w:ascii="Book Antiqua" w:hAnsi="Book Antiqua" w:cs="Arial"/>
                <w:lang w:val="en-US" w:eastAsia="en-US"/>
              </w:rPr>
              <w:t xml:space="preserve"> &gt; 800.000IU/mL</w:t>
            </w:r>
          </w:p>
        </w:tc>
        <w:tc>
          <w:tcPr>
            <w:tcW w:w="606" w:type="dxa"/>
            <w:noWrap/>
          </w:tcPr>
          <w:p w14:paraId="0971A82C" w14:textId="77777777" w:rsidR="002B302F" w:rsidRPr="00CD1426" w:rsidRDefault="002B302F" w:rsidP="00CD1426">
            <w:pPr>
              <w:spacing w:line="360" w:lineRule="auto"/>
              <w:jc w:val="both"/>
              <w:rPr>
                <w:rFonts w:ascii="Book Antiqua" w:hAnsi="Book Antiqua" w:cs="Arial"/>
                <w:lang w:val="en-US" w:eastAsia="en-US"/>
              </w:rPr>
            </w:pPr>
            <w:r w:rsidRPr="00CD1426">
              <w:rPr>
                <w:rFonts w:ascii="Book Antiqua" w:hAnsi="Book Antiqua" w:cs="Arial"/>
                <w:lang w:val="en-US" w:eastAsia="en-US"/>
              </w:rPr>
              <w:t>3.13</w:t>
            </w:r>
          </w:p>
        </w:tc>
        <w:tc>
          <w:tcPr>
            <w:tcW w:w="928" w:type="dxa"/>
            <w:noWrap/>
          </w:tcPr>
          <w:p w14:paraId="684D53C2" w14:textId="77777777" w:rsidR="002B302F" w:rsidRPr="00CD1426" w:rsidRDefault="002B302F" w:rsidP="00CD1426">
            <w:pPr>
              <w:spacing w:line="360" w:lineRule="auto"/>
              <w:jc w:val="both"/>
              <w:rPr>
                <w:rFonts w:ascii="Book Antiqua" w:hAnsi="Book Antiqua" w:cs="Arial"/>
                <w:lang w:val="en-US" w:eastAsia="en-US"/>
              </w:rPr>
            </w:pPr>
            <w:r w:rsidRPr="00CD1426">
              <w:rPr>
                <w:rFonts w:ascii="Book Antiqua" w:hAnsi="Book Antiqua" w:cs="Arial"/>
                <w:lang w:val="en-US" w:eastAsia="en-US"/>
              </w:rPr>
              <w:t>0.028</w:t>
            </w:r>
          </w:p>
        </w:tc>
        <w:tc>
          <w:tcPr>
            <w:tcW w:w="1925" w:type="dxa"/>
            <w:noWrap/>
          </w:tcPr>
          <w:p w14:paraId="79932705" w14:textId="77777777" w:rsidR="002B302F" w:rsidRPr="00CD1426" w:rsidRDefault="002B302F" w:rsidP="00CD1426">
            <w:pPr>
              <w:spacing w:line="360" w:lineRule="auto"/>
              <w:jc w:val="both"/>
              <w:rPr>
                <w:rFonts w:ascii="Book Antiqua" w:hAnsi="Book Antiqua" w:cs="Arial"/>
                <w:lang w:val="en-US" w:eastAsia="en-US"/>
              </w:rPr>
            </w:pPr>
            <w:r w:rsidRPr="00CD1426">
              <w:rPr>
                <w:rFonts w:ascii="Book Antiqua" w:hAnsi="Book Antiqua" w:cs="Arial"/>
                <w:lang w:val="en-US" w:eastAsia="en-US"/>
              </w:rPr>
              <w:t> </w:t>
            </w:r>
          </w:p>
        </w:tc>
      </w:tr>
      <w:tr w:rsidR="002B302F" w:rsidRPr="00CD1426" w14:paraId="648BB1E2" w14:textId="77777777" w:rsidTr="00F50DCF">
        <w:trPr>
          <w:trHeight w:val="240"/>
        </w:trPr>
        <w:tc>
          <w:tcPr>
            <w:tcW w:w="1277" w:type="dxa"/>
            <w:noWrap/>
          </w:tcPr>
          <w:p w14:paraId="28574DCB" w14:textId="77777777" w:rsidR="002B302F" w:rsidRPr="00CD1426" w:rsidRDefault="002B302F" w:rsidP="00CD1426">
            <w:pPr>
              <w:spacing w:line="360" w:lineRule="auto"/>
              <w:jc w:val="both"/>
              <w:rPr>
                <w:rFonts w:ascii="Book Antiqua" w:hAnsi="Book Antiqua" w:cs="Arial"/>
                <w:b/>
                <w:bCs/>
                <w:lang w:val="en-US" w:eastAsia="en-US"/>
              </w:rPr>
            </w:pPr>
            <w:proofErr w:type="spellStart"/>
            <w:r w:rsidRPr="00CD1426">
              <w:rPr>
                <w:rFonts w:ascii="Book Antiqua" w:hAnsi="Book Antiqua" w:cs="Arial"/>
                <w:b/>
                <w:bCs/>
                <w:lang w:val="en-US" w:eastAsia="en-US"/>
              </w:rPr>
              <w:t>Daclatasvir</w:t>
            </w:r>
            <w:proofErr w:type="spellEnd"/>
          </w:p>
        </w:tc>
        <w:tc>
          <w:tcPr>
            <w:tcW w:w="4229" w:type="dxa"/>
            <w:noWrap/>
          </w:tcPr>
          <w:p w14:paraId="38502962" w14:textId="77777777" w:rsidR="002B302F" w:rsidRPr="00CD1426" w:rsidRDefault="002B302F" w:rsidP="00CD1426">
            <w:pPr>
              <w:spacing w:line="360" w:lineRule="auto"/>
              <w:jc w:val="both"/>
              <w:rPr>
                <w:rFonts w:ascii="Book Antiqua" w:hAnsi="Book Antiqua" w:cs="Arial"/>
                <w:lang w:val="en-US" w:eastAsia="en-US"/>
              </w:rPr>
            </w:pPr>
            <w:r w:rsidRPr="00CD1426">
              <w:rPr>
                <w:rFonts w:ascii="Book Antiqua" w:hAnsi="Book Antiqua" w:cs="Arial"/>
                <w:lang w:val="en-US" w:eastAsia="en-US"/>
              </w:rPr>
              <w:t>NS5A replication complex inhibitor</w:t>
            </w:r>
          </w:p>
        </w:tc>
        <w:tc>
          <w:tcPr>
            <w:tcW w:w="2154" w:type="dxa"/>
            <w:noWrap/>
          </w:tcPr>
          <w:p w14:paraId="765056C3" w14:textId="77777777" w:rsidR="002B302F" w:rsidRPr="00CD1426" w:rsidRDefault="002B302F" w:rsidP="00CD1426">
            <w:pPr>
              <w:spacing w:line="360" w:lineRule="auto"/>
              <w:jc w:val="both"/>
              <w:rPr>
                <w:rFonts w:ascii="Book Antiqua" w:hAnsi="Book Antiqua" w:cs="Arial"/>
                <w:lang w:val="en-US" w:eastAsia="en-US"/>
              </w:rPr>
            </w:pPr>
            <w:r w:rsidRPr="00CD1426">
              <w:rPr>
                <w:rFonts w:ascii="Book Antiqua" w:hAnsi="Book Antiqua" w:cs="Arial"/>
                <w:lang w:val="en-US" w:eastAsia="en-US"/>
              </w:rPr>
              <w:t>NS3 polymorphisms</w:t>
            </w:r>
          </w:p>
        </w:tc>
        <w:tc>
          <w:tcPr>
            <w:tcW w:w="3419" w:type="dxa"/>
            <w:noWrap/>
          </w:tcPr>
          <w:p w14:paraId="031D5F98" w14:textId="605BFEC1" w:rsidR="002B302F" w:rsidRPr="00CD1426" w:rsidRDefault="002B302F" w:rsidP="00CD1426">
            <w:pPr>
              <w:spacing w:line="360" w:lineRule="auto"/>
              <w:jc w:val="both"/>
              <w:rPr>
                <w:rFonts w:ascii="Book Antiqua" w:hAnsi="Book Antiqua" w:cs="Arial"/>
                <w:lang w:val="en-US" w:eastAsia="en-US"/>
              </w:rPr>
            </w:pPr>
            <w:r w:rsidRPr="00CD1426">
              <w:rPr>
                <w:rFonts w:ascii="Book Antiqua" w:hAnsi="Book Antiqua" w:cs="Arial"/>
                <w:lang w:val="en-US" w:eastAsia="en-US"/>
              </w:rPr>
              <w:t xml:space="preserve">HCV genotype 1a </w:t>
            </w:r>
            <w:r w:rsidR="006746CE" w:rsidRPr="00CD1426">
              <w:rPr>
                <w:rFonts w:ascii="Book Antiqua" w:hAnsi="Book Antiqua" w:cs="Arial"/>
                <w:i/>
                <w:lang w:val="en-US" w:eastAsia="en-US"/>
              </w:rPr>
              <w:t>vs</w:t>
            </w:r>
            <w:r w:rsidRPr="00CD1426">
              <w:rPr>
                <w:rFonts w:ascii="Book Antiqua" w:hAnsi="Book Antiqua" w:cs="Arial"/>
                <w:lang w:val="en-US" w:eastAsia="en-US"/>
              </w:rPr>
              <w:t xml:space="preserve"> 1b</w:t>
            </w:r>
          </w:p>
        </w:tc>
        <w:tc>
          <w:tcPr>
            <w:tcW w:w="606" w:type="dxa"/>
            <w:noWrap/>
          </w:tcPr>
          <w:p w14:paraId="18E8FB4D" w14:textId="77777777" w:rsidR="002B302F" w:rsidRPr="00CD1426" w:rsidRDefault="002B302F" w:rsidP="00CD1426">
            <w:pPr>
              <w:spacing w:line="360" w:lineRule="auto"/>
              <w:jc w:val="both"/>
              <w:rPr>
                <w:rFonts w:ascii="Book Antiqua" w:hAnsi="Book Antiqua" w:cs="Arial"/>
                <w:lang w:val="en-US" w:eastAsia="en-US"/>
              </w:rPr>
            </w:pPr>
            <w:r w:rsidRPr="00CD1426">
              <w:rPr>
                <w:rFonts w:ascii="Book Antiqua" w:hAnsi="Book Antiqua" w:cs="Arial"/>
                <w:lang w:val="en-US" w:eastAsia="en-US"/>
              </w:rPr>
              <w:t>2.82</w:t>
            </w:r>
          </w:p>
        </w:tc>
        <w:tc>
          <w:tcPr>
            <w:tcW w:w="928" w:type="dxa"/>
            <w:noWrap/>
          </w:tcPr>
          <w:p w14:paraId="3CFD6B7A" w14:textId="77777777" w:rsidR="002B302F" w:rsidRPr="00CD1426" w:rsidRDefault="002B302F" w:rsidP="00CD1426">
            <w:pPr>
              <w:spacing w:line="360" w:lineRule="auto"/>
              <w:jc w:val="both"/>
              <w:rPr>
                <w:rFonts w:ascii="Book Antiqua" w:hAnsi="Book Antiqua" w:cs="Arial"/>
                <w:lang w:val="en-US" w:eastAsia="en-US"/>
              </w:rPr>
            </w:pPr>
            <w:r w:rsidRPr="00CD1426">
              <w:rPr>
                <w:rFonts w:ascii="Book Antiqua" w:hAnsi="Book Antiqua" w:cs="Arial"/>
                <w:lang w:val="en-US" w:eastAsia="en-US"/>
              </w:rPr>
              <w:t>0.025</w:t>
            </w:r>
          </w:p>
        </w:tc>
        <w:tc>
          <w:tcPr>
            <w:tcW w:w="1925" w:type="dxa"/>
            <w:noWrap/>
          </w:tcPr>
          <w:p w14:paraId="61110222" w14:textId="1E4F9032" w:rsidR="002B302F" w:rsidRPr="00CD1426" w:rsidRDefault="002B302F" w:rsidP="00CD1426">
            <w:pPr>
              <w:spacing w:line="360" w:lineRule="auto"/>
              <w:jc w:val="both"/>
              <w:rPr>
                <w:rFonts w:ascii="Book Antiqua" w:hAnsi="Book Antiqua" w:cs="Arial"/>
                <w:bCs/>
                <w:lang w:val="en-US" w:eastAsia="zh-CN"/>
              </w:rPr>
            </w:pPr>
            <w:proofErr w:type="spellStart"/>
            <w:r w:rsidRPr="00CD1426">
              <w:rPr>
                <w:rFonts w:ascii="Book Antiqua" w:hAnsi="Book Antiqua" w:cs="Arial"/>
                <w:bCs/>
                <w:lang w:val="en-US" w:eastAsia="en-US"/>
              </w:rPr>
              <w:t>Hézode</w:t>
            </w:r>
            <w:proofErr w:type="spellEnd"/>
            <w:r w:rsidR="006746CE" w:rsidRPr="00CD1426">
              <w:rPr>
                <w:rFonts w:ascii="Book Antiqua" w:hAnsi="Book Antiqua" w:cs="Arial"/>
                <w:bCs/>
                <w:lang w:val="en-US" w:eastAsia="zh-CN"/>
              </w:rPr>
              <w:t xml:space="preserve"> </w:t>
            </w:r>
            <w:r w:rsidR="006746CE" w:rsidRPr="00CD1426">
              <w:rPr>
                <w:rFonts w:ascii="Book Antiqua" w:hAnsi="Book Antiqua" w:cs="Arial"/>
                <w:bCs/>
                <w:i/>
                <w:lang w:val="en-US" w:eastAsia="zh-CN"/>
              </w:rPr>
              <w:t>et al</w:t>
            </w:r>
            <w:r w:rsidR="006746CE" w:rsidRPr="00CD1426">
              <w:rPr>
                <w:rFonts w:ascii="Book Antiqua" w:hAnsi="Book Antiqua" w:cs="Arial"/>
                <w:bCs/>
                <w:vertAlign w:val="superscript"/>
                <w:lang w:val="en-US" w:eastAsia="zh-CN"/>
              </w:rPr>
              <w:t>[63]</w:t>
            </w:r>
          </w:p>
        </w:tc>
      </w:tr>
      <w:tr w:rsidR="002B302F" w:rsidRPr="00CD1426" w14:paraId="0ACB7FC0" w14:textId="77777777" w:rsidTr="00F50DCF">
        <w:trPr>
          <w:trHeight w:val="240"/>
        </w:trPr>
        <w:tc>
          <w:tcPr>
            <w:tcW w:w="1277" w:type="dxa"/>
            <w:noWrap/>
          </w:tcPr>
          <w:p w14:paraId="5E341BA4" w14:textId="77777777" w:rsidR="002B302F" w:rsidRPr="00CD1426" w:rsidRDefault="002B302F" w:rsidP="00CD1426">
            <w:pPr>
              <w:spacing w:line="360" w:lineRule="auto"/>
              <w:jc w:val="both"/>
              <w:rPr>
                <w:rFonts w:ascii="Book Antiqua" w:hAnsi="Book Antiqua" w:cs="Arial"/>
                <w:b/>
                <w:bCs/>
                <w:lang w:val="en-US" w:eastAsia="en-US"/>
              </w:rPr>
            </w:pPr>
          </w:p>
        </w:tc>
        <w:tc>
          <w:tcPr>
            <w:tcW w:w="4229" w:type="dxa"/>
            <w:noWrap/>
          </w:tcPr>
          <w:p w14:paraId="10155C0A" w14:textId="77777777" w:rsidR="002B302F" w:rsidRPr="00CD1426" w:rsidRDefault="002B302F" w:rsidP="00CD1426">
            <w:pPr>
              <w:spacing w:line="360" w:lineRule="auto"/>
              <w:jc w:val="both"/>
              <w:rPr>
                <w:rFonts w:ascii="Book Antiqua" w:hAnsi="Book Antiqua" w:cs="Arial"/>
                <w:i/>
                <w:iCs/>
                <w:lang w:val="en-US" w:eastAsia="en-US"/>
              </w:rPr>
            </w:pPr>
            <w:r w:rsidRPr="00CD1426">
              <w:rPr>
                <w:rFonts w:ascii="Book Antiqua" w:hAnsi="Book Antiqua" w:cs="Arial"/>
                <w:i/>
                <w:iCs/>
                <w:lang w:val="en-US" w:eastAsia="en-US"/>
              </w:rPr>
              <w:t>Against all HCV genotypes</w:t>
            </w:r>
          </w:p>
        </w:tc>
        <w:tc>
          <w:tcPr>
            <w:tcW w:w="2154" w:type="dxa"/>
            <w:noWrap/>
          </w:tcPr>
          <w:p w14:paraId="1E78AFF8" w14:textId="77777777" w:rsidR="002B302F" w:rsidRPr="00CD1426" w:rsidRDefault="002B302F" w:rsidP="00CD1426">
            <w:pPr>
              <w:spacing w:line="360" w:lineRule="auto"/>
              <w:jc w:val="both"/>
              <w:rPr>
                <w:rFonts w:ascii="Book Antiqua" w:hAnsi="Book Antiqua" w:cs="Arial"/>
                <w:lang w:val="en-US" w:eastAsia="en-US"/>
              </w:rPr>
            </w:pPr>
            <w:r w:rsidRPr="00CD1426">
              <w:rPr>
                <w:rFonts w:ascii="Book Antiqua" w:hAnsi="Book Antiqua" w:cs="Arial"/>
                <w:lang w:val="en-US" w:eastAsia="en-US"/>
              </w:rPr>
              <w:t xml:space="preserve">NS5A-A30K </w:t>
            </w:r>
          </w:p>
        </w:tc>
        <w:tc>
          <w:tcPr>
            <w:tcW w:w="3419" w:type="dxa"/>
            <w:noWrap/>
          </w:tcPr>
          <w:p w14:paraId="170389C0" w14:textId="45617304" w:rsidR="002B302F" w:rsidRPr="00CD1426" w:rsidRDefault="002B302F" w:rsidP="00CD1426">
            <w:pPr>
              <w:spacing w:line="360" w:lineRule="auto"/>
              <w:jc w:val="both"/>
              <w:rPr>
                <w:rFonts w:ascii="Book Antiqua" w:hAnsi="Book Antiqua" w:cs="Arial"/>
                <w:lang w:val="en-US" w:eastAsia="en-US"/>
              </w:rPr>
            </w:pPr>
            <w:r w:rsidRPr="00CD1426">
              <w:rPr>
                <w:rFonts w:ascii="Book Antiqua" w:hAnsi="Book Antiqua" w:cs="Arial"/>
                <w:lang w:val="en-US" w:eastAsia="en-US"/>
              </w:rPr>
              <w:t xml:space="preserve">HCV genotypes 2 </w:t>
            </w:r>
            <w:r w:rsidR="006746CE" w:rsidRPr="00CD1426">
              <w:rPr>
                <w:rFonts w:ascii="Book Antiqua" w:hAnsi="Book Antiqua" w:cs="Arial"/>
                <w:i/>
                <w:lang w:val="en-US" w:eastAsia="en-US"/>
              </w:rPr>
              <w:t>vs</w:t>
            </w:r>
            <w:r w:rsidR="006746CE" w:rsidRPr="00CD1426">
              <w:rPr>
                <w:rFonts w:ascii="Book Antiqua" w:hAnsi="Book Antiqua" w:cs="Arial"/>
                <w:lang w:val="en-US" w:eastAsia="en-US"/>
              </w:rPr>
              <w:t xml:space="preserve"> </w:t>
            </w:r>
            <w:r w:rsidRPr="00CD1426">
              <w:rPr>
                <w:rFonts w:ascii="Book Antiqua" w:hAnsi="Book Antiqua" w:cs="Arial"/>
                <w:lang w:val="en-US" w:eastAsia="en-US"/>
              </w:rPr>
              <w:t>3</w:t>
            </w:r>
          </w:p>
        </w:tc>
        <w:tc>
          <w:tcPr>
            <w:tcW w:w="606" w:type="dxa"/>
            <w:noWrap/>
          </w:tcPr>
          <w:p w14:paraId="7DC83741" w14:textId="77777777" w:rsidR="002B302F" w:rsidRPr="00CD1426" w:rsidRDefault="002B302F" w:rsidP="00CD1426">
            <w:pPr>
              <w:spacing w:line="360" w:lineRule="auto"/>
              <w:jc w:val="both"/>
              <w:rPr>
                <w:rFonts w:ascii="Book Antiqua" w:hAnsi="Book Antiqua" w:cs="Arial"/>
                <w:lang w:val="en-US" w:eastAsia="en-US"/>
              </w:rPr>
            </w:pPr>
            <w:r w:rsidRPr="00CD1426">
              <w:rPr>
                <w:rFonts w:ascii="Book Antiqua" w:hAnsi="Book Antiqua" w:cs="Arial"/>
                <w:lang w:val="en-US" w:eastAsia="en-US"/>
              </w:rPr>
              <w:t>1.31</w:t>
            </w:r>
          </w:p>
        </w:tc>
        <w:tc>
          <w:tcPr>
            <w:tcW w:w="928" w:type="dxa"/>
            <w:noWrap/>
          </w:tcPr>
          <w:p w14:paraId="04FCB4C6" w14:textId="77777777" w:rsidR="002B302F" w:rsidRPr="00CD1426" w:rsidRDefault="002B302F" w:rsidP="00CD1426">
            <w:pPr>
              <w:spacing w:line="360" w:lineRule="auto"/>
              <w:jc w:val="both"/>
              <w:rPr>
                <w:rFonts w:ascii="Book Antiqua" w:hAnsi="Book Antiqua" w:cs="Arial"/>
                <w:lang w:val="en-US" w:eastAsia="en-US"/>
              </w:rPr>
            </w:pPr>
            <w:r w:rsidRPr="00CD1426">
              <w:rPr>
                <w:rFonts w:ascii="Book Antiqua" w:hAnsi="Book Antiqua" w:cs="Arial"/>
                <w:lang w:val="en-US" w:eastAsia="en-US"/>
              </w:rPr>
              <w:t>0.740</w:t>
            </w:r>
          </w:p>
        </w:tc>
        <w:tc>
          <w:tcPr>
            <w:tcW w:w="1925" w:type="dxa"/>
            <w:noWrap/>
          </w:tcPr>
          <w:p w14:paraId="6DAFC2A7" w14:textId="596F79DD" w:rsidR="002B302F" w:rsidRPr="00CD1426" w:rsidRDefault="002B302F" w:rsidP="00CD1426">
            <w:pPr>
              <w:spacing w:line="360" w:lineRule="auto"/>
              <w:jc w:val="both"/>
              <w:rPr>
                <w:rFonts w:ascii="Book Antiqua" w:hAnsi="Book Antiqua" w:cs="Arial"/>
                <w:lang w:val="en-US" w:eastAsia="en-US"/>
              </w:rPr>
            </w:pPr>
            <w:proofErr w:type="spellStart"/>
            <w:r w:rsidRPr="00CD1426">
              <w:rPr>
                <w:rFonts w:ascii="Book Antiqua" w:hAnsi="Book Antiqua" w:cs="Arial"/>
                <w:lang w:val="en-US" w:eastAsia="en-US"/>
              </w:rPr>
              <w:t>Sulkowski</w:t>
            </w:r>
            <w:proofErr w:type="spellEnd"/>
            <w:r w:rsidR="006746CE" w:rsidRPr="00CD1426">
              <w:rPr>
                <w:rFonts w:ascii="Book Antiqua" w:hAnsi="Book Antiqua" w:cs="Arial"/>
                <w:bCs/>
                <w:lang w:val="en-US" w:eastAsia="zh-CN"/>
              </w:rPr>
              <w:t xml:space="preserve"> </w:t>
            </w:r>
            <w:r w:rsidR="006746CE" w:rsidRPr="00CD1426">
              <w:rPr>
                <w:rFonts w:ascii="Book Antiqua" w:hAnsi="Book Antiqua" w:cs="Arial"/>
                <w:bCs/>
                <w:i/>
                <w:lang w:val="en-US" w:eastAsia="zh-CN"/>
              </w:rPr>
              <w:t>et al</w:t>
            </w:r>
            <w:r w:rsidR="006746CE" w:rsidRPr="00CD1426">
              <w:rPr>
                <w:rFonts w:ascii="Book Antiqua" w:hAnsi="Book Antiqua" w:cs="Arial"/>
                <w:bCs/>
                <w:vertAlign w:val="superscript"/>
                <w:lang w:val="en-US" w:eastAsia="zh-CN"/>
              </w:rPr>
              <w:t>[46]</w:t>
            </w:r>
          </w:p>
        </w:tc>
      </w:tr>
      <w:tr w:rsidR="002B302F" w:rsidRPr="00CD1426" w14:paraId="0C497E24" w14:textId="77777777" w:rsidTr="00F50DCF">
        <w:trPr>
          <w:trHeight w:val="240"/>
        </w:trPr>
        <w:tc>
          <w:tcPr>
            <w:tcW w:w="1277" w:type="dxa"/>
            <w:noWrap/>
          </w:tcPr>
          <w:p w14:paraId="3BF09EA0" w14:textId="77777777" w:rsidR="002B302F" w:rsidRPr="00CD1426" w:rsidRDefault="002B302F" w:rsidP="00CD1426">
            <w:pPr>
              <w:spacing w:line="360" w:lineRule="auto"/>
              <w:jc w:val="both"/>
              <w:rPr>
                <w:rFonts w:ascii="Book Antiqua" w:hAnsi="Book Antiqua" w:cs="Arial"/>
                <w:b/>
                <w:bCs/>
                <w:lang w:val="en-US" w:eastAsia="en-US"/>
              </w:rPr>
            </w:pPr>
            <w:proofErr w:type="spellStart"/>
            <w:r w:rsidRPr="00CD1426">
              <w:rPr>
                <w:rFonts w:ascii="Book Antiqua" w:hAnsi="Book Antiqua" w:cs="Arial"/>
                <w:b/>
                <w:bCs/>
                <w:lang w:val="en-US" w:eastAsia="en-US"/>
              </w:rPr>
              <w:t>Ledipasvir</w:t>
            </w:r>
            <w:proofErr w:type="spellEnd"/>
          </w:p>
        </w:tc>
        <w:tc>
          <w:tcPr>
            <w:tcW w:w="4229" w:type="dxa"/>
            <w:noWrap/>
          </w:tcPr>
          <w:p w14:paraId="19022A9B" w14:textId="77777777" w:rsidR="002B302F" w:rsidRPr="00CD1426" w:rsidRDefault="002B302F" w:rsidP="00CD1426">
            <w:pPr>
              <w:spacing w:line="360" w:lineRule="auto"/>
              <w:jc w:val="both"/>
              <w:rPr>
                <w:rFonts w:ascii="Book Antiqua" w:hAnsi="Book Antiqua" w:cs="Arial"/>
                <w:lang w:val="en-US" w:eastAsia="en-US"/>
              </w:rPr>
            </w:pPr>
            <w:r w:rsidRPr="00CD1426">
              <w:rPr>
                <w:rFonts w:ascii="Book Antiqua" w:hAnsi="Book Antiqua" w:cs="Arial"/>
                <w:lang w:val="en-US" w:eastAsia="en-US"/>
              </w:rPr>
              <w:t>HCV NS5A replication complex inhibitor</w:t>
            </w:r>
          </w:p>
        </w:tc>
        <w:tc>
          <w:tcPr>
            <w:tcW w:w="2154" w:type="dxa"/>
            <w:noWrap/>
          </w:tcPr>
          <w:p w14:paraId="032944EB" w14:textId="77777777" w:rsidR="002B302F" w:rsidRPr="00CD1426" w:rsidRDefault="002B302F" w:rsidP="00CD1426">
            <w:pPr>
              <w:spacing w:line="360" w:lineRule="auto"/>
              <w:jc w:val="both"/>
              <w:rPr>
                <w:rFonts w:ascii="Book Antiqua" w:hAnsi="Book Antiqua" w:cs="Arial"/>
                <w:lang w:val="en-US" w:eastAsia="en-US"/>
              </w:rPr>
            </w:pPr>
            <w:r w:rsidRPr="00CD1426">
              <w:rPr>
                <w:rFonts w:ascii="Book Antiqua" w:hAnsi="Book Antiqua" w:cs="Arial"/>
                <w:lang w:val="en-US" w:eastAsia="en-US"/>
              </w:rPr>
              <w:t> </w:t>
            </w:r>
          </w:p>
        </w:tc>
        <w:tc>
          <w:tcPr>
            <w:tcW w:w="3419" w:type="dxa"/>
            <w:noWrap/>
          </w:tcPr>
          <w:p w14:paraId="61459F38" w14:textId="77777777" w:rsidR="002B302F" w:rsidRPr="00CD1426" w:rsidRDefault="002B302F" w:rsidP="00CD1426">
            <w:pPr>
              <w:spacing w:line="360" w:lineRule="auto"/>
              <w:jc w:val="both"/>
              <w:rPr>
                <w:rFonts w:ascii="Book Antiqua" w:hAnsi="Book Antiqua" w:cs="Arial"/>
                <w:lang w:val="en-US" w:eastAsia="en-US"/>
              </w:rPr>
            </w:pPr>
            <w:r w:rsidRPr="00CD1426">
              <w:rPr>
                <w:rFonts w:ascii="Book Antiqua" w:hAnsi="Book Antiqua" w:cs="Arial"/>
                <w:lang w:val="en-US" w:eastAsia="en-US"/>
              </w:rPr>
              <w:t> </w:t>
            </w:r>
          </w:p>
        </w:tc>
        <w:tc>
          <w:tcPr>
            <w:tcW w:w="606" w:type="dxa"/>
            <w:noWrap/>
          </w:tcPr>
          <w:p w14:paraId="46FA1BDC" w14:textId="77777777" w:rsidR="002B302F" w:rsidRPr="00CD1426" w:rsidRDefault="002B302F" w:rsidP="00CD1426">
            <w:pPr>
              <w:spacing w:line="360" w:lineRule="auto"/>
              <w:jc w:val="both"/>
              <w:rPr>
                <w:rFonts w:ascii="Book Antiqua" w:hAnsi="Book Antiqua" w:cs="Arial"/>
                <w:lang w:val="en-US" w:eastAsia="en-US"/>
              </w:rPr>
            </w:pPr>
            <w:r w:rsidRPr="00CD1426">
              <w:rPr>
                <w:rFonts w:ascii="Book Antiqua" w:hAnsi="Book Antiqua" w:cs="Arial"/>
                <w:lang w:val="en-US" w:eastAsia="en-US"/>
              </w:rPr>
              <w:t> </w:t>
            </w:r>
          </w:p>
        </w:tc>
        <w:tc>
          <w:tcPr>
            <w:tcW w:w="928" w:type="dxa"/>
            <w:noWrap/>
          </w:tcPr>
          <w:p w14:paraId="040BA2B7" w14:textId="77777777" w:rsidR="002B302F" w:rsidRPr="00CD1426" w:rsidRDefault="002B302F" w:rsidP="00CD1426">
            <w:pPr>
              <w:spacing w:line="360" w:lineRule="auto"/>
              <w:jc w:val="both"/>
              <w:rPr>
                <w:rFonts w:ascii="Book Antiqua" w:hAnsi="Book Antiqua" w:cs="Arial"/>
                <w:lang w:val="en-US" w:eastAsia="en-US"/>
              </w:rPr>
            </w:pPr>
            <w:r w:rsidRPr="00CD1426">
              <w:rPr>
                <w:rFonts w:ascii="Book Antiqua" w:hAnsi="Book Antiqua" w:cs="Arial"/>
                <w:lang w:val="en-US" w:eastAsia="en-US"/>
              </w:rPr>
              <w:t> </w:t>
            </w:r>
          </w:p>
        </w:tc>
        <w:tc>
          <w:tcPr>
            <w:tcW w:w="1925" w:type="dxa"/>
            <w:noWrap/>
          </w:tcPr>
          <w:p w14:paraId="4D6DE726" w14:textId="1F7382DF" w:rsidR="002B302F" w:rsidRPr="00CD1426" w:rsidRDefault="006746CE" w:rsidP="00CD1426">
            <w:pPr>
              <w:spacing w:line="360" w:lineRule="auto"/>
              <w:jc w:val="both"/>
              <w:rPr>
                <w:rFonts w:ascii="Book Antiqua" w:hAnsi="Book Antiqua" w:cs="Arial"/>
                <w:lang w:val="en-US" w:eastAsia="en-US"/>
              </w:rPr>
            </w:pPr>
            <w:r w:rsidRPr="00CD1426">
              <w:rPr>
                <w:rFonts w:ascii="Book Antiqua" w:hAnsi="Book Antiqua"/>
                <w:noProof/>
              </w:rPr>
              <w:t>Afdhal</w:t>
            </w:r>
            <w:r w:rsidRPr="00CD1426">
              <w:rPr>
                <w:rFonts w:ascii="Book Antiqua" w:hAnsi="Book Antiqua" w:cs="Arial"/>
                <w:lang w:val="en-US" w:eastAsia="en-US"/>
              </w:rPr>
              <w:t xml:space="preserve"> </w:t>
            </w:r>
            <w:r w:rsidRPr="00CD1426">
              <w:rPr>
                <w:rFonts w:ascii="Book Antiqua" w:hAnsi="Book Antiqua" w:cs="Arial"/>
                <w:bCs/>
                <w:i/>
                <w:lang w:val="en-US" w:eastAsia="zh-CN"/>
              </w:rPr>
              <w:t>et al</w:t>
            </w:r>
            <w:r w:rsidRPr="00CD1426">
              <w:rPr>
                <w:rFonts w:ascii="Book Antiqua" w:hAnsi="Book Antiqua" w:cs="Arial"/>
                <w:bCs/>
                <w:vertAlign w:val="superscript"/>
                <w:lang w:val="en-US" w:eastAsia="zh-CN"/>
              </w:rPr>
              <w:t>[67]</w:t>
            </w:r>
          </w:p>
        </w:tc>
      </w:tr>
      <w:tr w:rsidR="002B302F" w:rsidRPr="00CD1426" w14:paraId="19AFEAA6" w14:textId="77777777" w:rsidTr="00F50DCF">
        <w:trPr>
          <w:trHeight w:val="240"/>
        </w:trPr>
        <w:tc>
          <w:tcPr>
            <w:tcW w:w="1277" w:type="dxa"/>
            <w:noWrap/>
          </w:tcPr>
          <w:p w14:paraId="7A78DCAD" w14:textId="77777777" w:rsidR="002B302F" w:rsidRPr="00CD1426" w:rsidRDefault="002B302F" w:rsidP="00CD1426">
            <w:pPr>
              <w:spacing w:line="360" w:lineRule="auto"/>
              <w:jc w:val="both"/>
              <w:rPr>
                <w:rFonts w:ascii="Book Antiqua" w:hAnsi="Book Antiqua" w:cs="Arial"/>
                <w:b/>
                <w:bCs/>
                <w:lang w:val="en-US" w:eastAsia="en-US"/>
              </w:rPr>
            </w:pPr>
            <w:r w:rsidRPr="00CD1426">
              <w:rPr>
                <w:rFonts w:ascii="Book Antiqua" w:hAnsi="Book Antiqua" w:cs="Arial"/>
                <w:b/>
                <w:bCs/>
                <w:lang w:val="en-US" w:eastAsia="en-US"/>
              </w:rPr>
              <w:t> </w:t>
            </w:r>
          </w:p>
        </w:tc>
        <w:tc>
          <w:tcPr>
            <w:tcW w:w="4229" w:type="dxa"/>
            <w:noWrap/>
          </w:tcPr>
          <w:p w14:paraId="09B6E27F" w14:textId="77777777" w:rsidR="002B302F" w:rsidRPr="00CD1426" w:rsidRDefault="002B302F" w:rsidP="00CD1426">
            <w:pPr>
              <w:spacing w:line="360" w:lineRule="auto"/>
              <w:jc w:val="both"/>
              <w:rPr>
                <w:rFonts w:ascii="Book Antiqua" w:hAnsi="Book Antiqua" w:cs="Arial"/>
                <w:i/>
                <w:iCs/>
                <w:lang w:val="en-US" w:eastAsia="en-US"/>
              </w:rPr>
            </w:pPr>
            <w:r w:rsidRPr="00CD1426">
              <w:rPr>
                <w:rFonts w:ascii="Book Antiqua" w:hAnsi="Book Antiqua" w:cs="Arial"/>
                <w:i/>
                <w:iCs/>
                <w:lang w:val="en-US" w:eastAsia="en-US"/>
              </w:rPr>
              <w:t>HCV genotype 1</w:t>
            </w:r>
          </w:p>
        </w:tc>
        <w:tc>
          <w:tcPr>
            <w:tcW w:w="2154" w:type="dxa"/>
            <w:noWrap/>
          </w:tcPr>
          <w:p w14:paraId="481BC92D" w14:textId="77777777" w:rsidR="002B302F" w:rsidRPr="00CD1426" w:rsidRDefault="002B302F" w:rsidP="00CD1426">
            <w:pPr>
              <w:spacing w:line="360" w:lineRule="auto"/>
              <w:jc w:val="both"/>
              <w:rPr>
                <w:rFonts w:ascii="Book Antiqua" w:hAnsi="Book Antiqua" w:cs="Arial"/>
                <w:lang w:val="en-US" w:eastAsia="en-US"/>
              </w:rPr>
            </w:pPr>
            <w:r w:rsidRPr="00CD1426">
              <w:rPr>
                <w:rFonts w:ascii="Book Antiqua" w:hAnsi="Book Antiqua" w:cs="Arial"/>
                <w:lang w:val="en-US" w:eastAsia="en-US"/>
              </w:rPr>
              <w:t> </w:t>
            </w:r>
          </w:p>
        </w:tc>
        <w:tc>
          <w:tcPr>
            <w:tcW w:w="3419" w:type="dxa"/>
            <w:noWrap/>
          </w:tcPr>
          <w:p w14:paraId="6D018F2C" w14:textId="77777777" w:rsidR="002B302F" w:rsidRPr="00CD1426" w:rsidRDefault="002B302F" w:rsidP="00CD1426">
            <w:pPr>
              <w:spacing w:line="360" w:lineRule="auto"/>
              <w:jc w:val="both"/>
              <w:rPr>
                <w:rFonts w:ascii="Book Antiqua" w:hAnsi="Book Antiqua" w:cs="Arial"/>
                <w:lang w:val="en-US" w:eastAsia="en-US"/>
              </w:rPr>
            </w:pPr>
            <w:r w:rsidRPr="00CD1426">
              <w:rPr>
                <w:rFonts w:ascii="Book Antiqua" w:hAnsi="Book Antiqua" w:cs="Arial"/>
                <w:lang w:val="en-US" w:eastAsia="en-US"/>
              </w:rPr>
              <w:t> </w:t>
            </w:r>
          </w:p>
        </w:tc>
        <w:tc>
          <w:tcPr>
            <w:tcW w:w="606" w:type="dxa"/>
            <w:noWrap/>
          </w:tcPr>
          <w:p w14:paraId="6FDE844A" w14:textId="77777777" w:rsidR="002B302F" w:rsidRPr="00CD1426" w:rsidRDefault="002B302F" w:rsidP="00CD1426">
            <w:pPr>
              <w:spacing w:line="360" w:lineRule="auto"/>
              <w:jc w:val="both"/>
              <w:rPr>
                <w:rFonts w:ascii="Book Antiqua" w:hAnsi="Book Antiqua" w:cs="Arial"/>
                <w:lang w:val="en-US" w:eastAsia="en-US"/>
              </w:rPr>
            </w:pPr>
            <w:r w:rsidRPr="00CD1426">
              <w:rPr>
                <w:rFonts w:ascii="Book Antiqua" w:hAnsi="Book Antiqua" w:cs="Arial"/>
                <w:lang w:val="en-US" w:eastAsia="en-US"/>
              </w:rPr>
              <w:t> </w:t>
            </w:r>
          </w:p>
        </w:tc>
        <w:tc>
          <w:tcPr>
            <w:tcW w:w="928" w:type="dxa"/>
            <w:noWrap/>
          </w:tcPr>
          <w:p w14:paraId="46860E15" w14:textId="77777777" w:rsidR="002B302F" w:rsidRPr="00CD1426" w:rsidRDefault="002B302F" w:rsidP="00CD1426">
            <w:pPr>
              <w:spacing w:line="360" w:lineRule="auto"/>
              <w:jc w:val="both"/>
              <w:rPr>
                <w:rFonts w:ascii="Book Antiqua" w:hAnsi="Book Antiqua" w:cs="Arial"/>
                <w:lang w:val="en-US" w:eastAsia="en-US"/>
              </w:rPr>
            </w:pPr>
            <w:r w:rsidRPr="00CD1426">
              <w:rPr>
                <w:rFonts w:ascii="Book Antiqua" w:hAnsi="Book Antiqua" w:cs="Arial"/>
                <w:lang w:val="en-US" w:eastAsia="en-US"/>
              </w:rPr>
              <w:t> </w:t>
            </w:r>
          </w:p>
        </w:tc>
        <w:tc>
          <w:tcPr>
            <w:tcW w:w="1925" w:type="dxa"/>
            <w:noWrap/>
          </w:tcPr>
          <w:p w14:paraId="1FD71791" w14:textId="77777777" w:rsidR="002B302F" w:rsidRPr="00CD1426" w:rsidRDefault="002B302F" w:rsidP="00CD1426">
            <w:pPr>
              <w:spacing w:line="360" w:lineRule="auto"/>
              <w:jc w:val="both"/>
              <w:rPr>
                <w:rFonts w:ascii="Book Antiqua" w:hAnsi="Book Antiqua" w:cs="Arial"/>
                <w:lang w:val="en-US" w:eastAsia="en-US"/>
              </w:rPr>
            </w:pPr>
            <w:r w:rsidRPr="00CD1426">
              <w:rPr>
                <w:rFonts w:ascii="Book Antiqua" w:hAnsi="Book Antiqua" w:cs="Arial"/>
                <w:lang w:val="en-US" w:eastAsia="en-US"/>
              </w:rPr>
              <w:t> </w:t>
            </w:r>
          </w:p>
        </w:tc>
      </w:tr>
      <w:tr w:rsidR="002B302F" w:rsidRPr="00CD1426" w14:paraId="23EB6257" w14:textId="77777777" w:rsidTr="00F50DCF">
        <w:trPr>
          <w:trHeight w:val="240"/>
        </w:trPr>
        <w:tc>
          <w:tcPr>
            <w:tcW w:w="1277" w:type="dxa"/>
            <w:noWrap/>
          </w:tcPr>
          <w:p w14:paraId="0CC99509" w14:textId="77777777" w:rsidR="002B302F" w:rsidRPr="00CD1426" w:rsidRDefault="002B302F" w:rsidP="00CD1426">
            <w:pPr>
              <w:spacing w:line="360" w:lineRule="auto"/>
              <w:jc w:val="both"/>
              <w:rPr>
                <w:rFonts w:ascii="Book Antiqua" w:hAnsi="Book Antiqua" w:cs="Arial"/>
                <w:b/>
                <w:bCs/>
                <w:lang w:val="en-US" w:eastAsia="en-US"/>
              </w:rPr>
            </w:pPr>
            <w:r w:rsidRPr="00CD1426">
              <w:rPr>
                <w:rFonts w:ascii="Book Antiqua" w:hAnsi="Book Antiqua" w:cs="Arial"/>
                <w:b/>
                <w:bCs/>
                <w:lang w:val="en-US" w:eastAsia="en-US"/>
              </w:rPr>
              <w:t>ABT-450</w:t>
            </w:r>
          </w:p>
          <w:p w14:paraId="2C672C9F" w14:textId="77777777" w:rsidR="002B302F" w:rsidRPr="00CD1426" w:rsidRDefault="002B302F" w:rsidP="00CD1426">
            <w:pPr>
              <w:spacing w:line="360" w:lineRule="auto"/>
              <w:jc w:val="both"/>
              <w:rPr>
                <w:rFonts w:ascii="Book Antiqua" w:hAnsi="Book Antiqua" w:cs="Arial"/>
                <w:b/>
                <w:bCs/>
                <w:lang w:val="en-US" w:eastAsia="en-US"/>
              </w:rPr>
            </w:pPr>
            <w:r w:rsidRPr="00CD1426">
              <w:rPr>
                <w:rFonts w:ascii="Book Antiqua" w:hAnsi="Book Antiqua" w:cs="Arial"/>
                <w:b/>
                <w:bCs/>
                <w:lang w:val="en-US" w:eastAsia="en-US"/>
              </w:rPr>
              <w:lastRenderedPageBreak/>
              <w:t xml:space="preserve">Ritonavir </w:t>
            </w:r>
          </w:p>
          <w:p w14:paraId="0D27AC00" w14:textId="77777777" w:rsidR="002B302F" w:rsidRPr="00CD1426" w:rsidRDefault="002B302F" w:rsidP="00CD1426">
            <w:pPr>
              <w:spacing w:line="360" w:lineRule="auto"/>
              <w:jc w:val="both"/>
              <w:rPr>
                <w:rFonts w:ascii="Book Antiqua" w:hAnsi="Book Antiqua" w:cs="Arial"/>
                <w:b/>
                <w:bCs/>
                <w:lang w:val="en-US" w:eastAsia="en-US"/>
              </w:rPr>
            </w:pPr>
            <w:proofErr w:type="spellStart"/>
            <w:r w:rsidRPr="00CD1426">
              <w:rPr>
                <w:rFonts w:ascii="Book Antiqua" w:hAnsi="Book Antiqua" w:cs="Arial"/>
                <w:b/>
                <w:bCs/>
                <w:lang w:val="en-US" w:eastAsia="en-US"/>
              </w:rPr>
              <w:t>Ombitasvir</w:t>
            </w:r>
            <w:proofErr w:type="spellEnd"/>
          </w:p>
          <w:p w14:paraId="45FE467B" w14:textId="77777777" w:rsidR="002B302F" w:rsidRPr="00CD1426" w:rsidRDefault="002B302F" w:rsidP="00CD1426">
            <w:pPr>
              <w:spacing w:line="360" w:lineRule="auto"/>
              <w:jc w:val="both"/>
              <w:rPr>
                <w:rFonts w:ascii="Book Antiqua" w:hAnsi="Book Antiqua" w:cs="Arial"/>
                <w:b/>
                <w:bCs/>
                <w:lang w:val="en-US" w:eastAsia="en-US"/>
              </w:rPr>
            </w:pPr>
            <w:proofErr w:type="spellStart"/>
            <w:r w:rsidRPr="00CD1426">
              <w:rPr>
                <w:rFonts w:ascii="Book Antiqua" w:hAnsi="Book Antiqua" w:cs="Arial"/>
                <w:b/>
                <w:bCs/>
                <w:lang w:val="en-US" w:eastAsia="en-US"/>
              </w:rPr>
              <w:t>Dasabuvir</w:t>
            </w:r>
            <w:proofErr w:type="spellEnd"/>
          </w:p>
          <w:p w14:paraId="46E2A54A" w14:textId="77777777" w:rsidR="002B302F" w:rsidRPr="00CD1426" w:rsidRDefault="002B302F" w:rsidP="00CD1426">
            <w:pPr>
              <w:spacing w:line="360" w:lineRule="auto"/>
              <w:jc w:val="both"/>
              <w:rPr>
                <w:rFonts w:ascii="Book Antiqua" w:hAnsi="Book Antiqua" w:cs="Arial"/>
                <w:b/>
                <w:bCs/>
                <w:lang w:val="en-US" w:eastAsia="en-US"/>
              </w:rPr>
            </w:pPr>
          </w:p>
        </w:tc>
        <w:tc>
          <w:tcPr>
            <w:tcW w:w="4229" w:type="dxa"/>
            <w:noWrap/>
          </w:tcPr>
          <w:p w14:paraId="7FEBE218" w14:textId="77777777" w:rsidR="002B302F" w:rsidRPr="00CD1426" w:rsidRDefault="002B302F" w:rsidP="00CD1426">
            <w:pPr>
              <w:spacing w:line="360" w:lineRule="auto"/>
              <w:jc w:val="both"/>
              <w:rPr>
                <w:rFonts w:ascii="Book Antiqua" w:hAnsi="Book Antiqua" w:cs="Arial"/>
                <w:lang w:val="en-US" w:eastAsia="en-US"/>
              </w:rPr>
            </w:pPr>
            <w:r w:rsidRPr="00CD1426">
              <w:rPr>
                <w:rFonts w:ascii="Book Antiqua" w:hAnsi="Book Antiqua" w:cs="Arial"/>
                <w:lang w:val="en-US" w:eastAsia="en-US"/>
              </w:rPr>
              <w:lastRenderedPageBreak/>
              <w:t xml:space="preserve">NS3/4A protease inhibitor </w:t>
            </w:r>
          </w:p>
          <w:p w14:paraId="174DA73C" w14:textId="77777777" w:rsidR="002B302F" w:rsidRPr="00CD1426" w:rsidRDefault="002B302F" w:rsidP="00CD1426">
            <w:pPr>
              <w:spacing w:line="360" w:lineRule="auto"/>
              <w:jc w:val="both"/>
              <w:rPr>
                <w:rFonts w:ascii="Book Antiqua" w:hAnsi="Book Antiqua" w:cs="Arial"/>
                <w:lang w:val="en-US" w:eastAsia="en-US"/>
              </w:rPr>
            </w:pPr>
            <w:r w:rsidRPr="00CD1426">
              <w:rPr>
                <w:rFonts w:ascii="Book Antiqua" w:hAnsi="Book Antiqua" w:cs="Arial"/>
                <w:lang w:val="en-US" w:eastAsia="en-US"/>
              </w:rPr>
              <w:lastRenderedPageBreak/>
              <w:t>HCV NS5A replication complex inhibitor</w:t>
            </w:r>
          </w:p>
          <w:p w14:paraId="19156DA9" w14:textId="77777777" w:rsidR="002B302F" w:rsidRPr="00CD1426" w:rsidRDefault="002B302F" w:rsidP="00CD1426">
            <w:pPr>
              <w:spacing w:line="360" w:lineRule="auto"/>
              <w:jc w:val="both"/>
              <w:rPr>
                <w:rFonts w:ascii="Book Antiqua" w:hAnsi="Book Antiqua" w:cs="Arial"/>
                <w:lang w:val="en-US" w:eastAsia="en-US"/>
              </w:rPr>
            </w:pPr>
            <w:r w:rsidRPr="00CD1426">
              <w:rPr>
                <w:rFonts w:ascii="Book Antiqua" w:hAnsi="Book Antiqua" w:cs="Arial"/>
                <w:lang w:val="en-US" w:eastAsia="en-US"/>
              </w:rPr>
              <w:t xml:space="preserve">HCV NS5A inhibitor </w:t>
            </w:r>
            <w:r w:rsidRPr="00CD1426">
              <w:rPr>
                <w:rFonts w:ascii="Book Antiqua" w:hAnsi="Book Antiqua" w:cs="Arial"/>
                <w:i/>
                <w:iCs/>
                <w:lang w:val="en-US" w:eastAsia="en-US"/>
              </w:rPr>
              <w:t>(</w:t>
            </w:r>
            <w:proofErr w:type="spellStart"/>
            <w:r w:rsidRPr="00CD1426">
              <w:rPr>
                <w:rFonts w:ascii="Book Antiqua" w:hAnsi="Book Antiqua" w:cs="Arial"/>
                <w:i/>
                <w:iCs/>
                <w:lang w:val="en-US" w:eastAsia="en-US"/>
              </w:rPr>
              <w:t>Pangenotipic</w:t>
            </w:r>
            <w:proofErr w:type="spellEnd"/>
            <w:r w:rsidRPr="00CD1426">
              <w:rPr>
                <w:rFonts w:ascii="Book Antiqua" w:hAnsi="Book Antiqua" w:cs="Arial"/>
                <w:i/>
                <w:iCs/>
                <w:lang w:val="en-US" w:eastAsia="en-US"/>
              </w:rPr>
              <w:t>)</w:t>
            </w:r>
          </w:p>
          <w:p w14:paraId="661C9D19" w14:textId="77777777" w:rsidR="002B302F" w:rsidRPr="00CD1426" w:rsidRDefault="002B302F" w:rsidP="00CD1426">
            <w:pPr>
              <w:spacing w:line="360" w:lineRule="auto"/>
              <w:jc w:val="both"/>
              <w:rPr>
                <w:rFonts w:ascii="Book Antiqua" w:hAnsi="Book Antiqua" w:cs="Arial"/>
                <w:lang w:val="en-US" w:eastAsia="en-US"/>
              </w:rPr>
            </w:pPr>
            <w:r w:rsidRPr="00CD1426">
              <w:rPr>
                <w:rFonts w:ascii="Book Antiqua" w:hAnsi="Book Antiqua" w:cs="Arial"/>
                <w:lang w:val="en-US" w:eastAsia="en-US"/>
              </w:rPr>
              <w:t>HCV NS5B RNA non-nucleoside polymerase inhibitor</w:t>
            </w:r>
          </w:p>
          <w:p w14:paraId="72C3A477" w14:textId="77777777" w:rsidR="002B302F" w:rsidRPr="00CD1426" w:rsidRDefault="002B302F" w:rsidP="00CD1426">
            <w:pPr>
              <w:spacing w:line="360" w:lineRule="auto"/>
              <w:jc w:val="both"/>
              <w:rPr>
                <w:rFonts w:ascii="Book Antiqua" w:hAnsi="Book Antiqua" w:cs="Arial"/>
                <w:i/>
                <w:iCs/>
                <w:lang w:val="en-US" w:eastAsia="en-US"/>
              </w:rPr>
            </w:pPr>
            <w:r w:rsidRPr="00CD1426">
              <w:rPr>
                <w:rFonts w:ascii="Book Antiqua" w:hAnsi="Book Antiqua" w:cs="Arial"/>
                <w:i/>
                <w:iCs/>
                <w:lang w:val="en-US" w:eastAsia="en-US"/>
              </w:rPr>
              <w:t>HCV genotype 1</w:t>
            </w:r>
          </w:p>
          <w:p w14:paraId="56896802" w14:textId="77777777" w:rsidR="002B302F" w:rsidRPr="00CD1426" w:rsidRDefault="002B302F" w:rsidP="00CD1426">
            <w:pPr>
              <w:spacing w:line="360" w:lineRule="auto"/>
              <w:jc w:val="both"/>
              <w:rPr>
                <w:rFonts w:ascii="Book Antiqua" w:hAnsi="Book Antiqua" w:cs="Arial"/>
                <w:i/>
                <w:iCs/>
                <w:lang w:val="en-US" w:eastAsia="en-US"/>
              </w:rPr>
            </w:pPr>
          </w:p>
        </w:tc>
        <w:tc>
          <w:tcPr>
            <w:tcW w:w="2154" w:type="dxa"/>
            <w:noWrap/>
          </w:tcPr>
          <w:p w14:paraId="7067FB73" w14:textId="77777777" w:rsidR="002B302F" w:rsidRPr="00CD1426" w:rsidRDefault="002B302F" w:rsidP="00CD1426">
            <w:pPr>
              <w:spacing w:line="360" w:lineRule="auto"/>
              <w:jc w:val="both"/>
              <w:rPr>
                <w:rFonts w:ascii="Book Antiqua" w:hAnsi="Book Antiqua" w:cs="Arial"/>
                <w:lang w:val="en-US" w:eastAsia="en-US"/>
              </w:rPr>
            </w:pPr>
          </w:p>
        </w:tc>
        <w:tc>
          <w:tcPr>
            <w:tcW w:w="3419" w:type="dxa"/>
            <w:noWrap/>
          </w:tcPr>
          <w:p w14:paraId="60266C1A" w14:textId="23C53FF5" w:rsidR="002B302F" w:rsidRPr="00CD1426" w:rsidRDefault="002B302F" w:rsidP="00CD1426">
            <w:pPr>
              <w:spacing w:line="360" w:lineRule="auto"/>
              <w:jc w:val="both"/>
              <w:rPr>
                <w:rFonts w:ascii="Book Antiqua" w:hAnsi="Book Antiqua"/>
                <w:lang w:val="en-US" w:eastAsia="en-US"/>
              </w:rPr>
            </w:pPr>
            <w:r w:rsidRPr="00CD1426">
              <w:rPr>
                <w:rFonts w:ascii="Book Antiqua" w:hAnsi="Book Antiqua"/>
                <w:lang w:val="en-US" w:eastAsia="en-US"/>
              </w:rPr>
              <w:t xml:space="preserve">Treatment </w:t>
            </w:r>
            <w:r w:rsidR="006746CE" w:rsidRPr="00CD1426">
              <w:rPr>
                <w:rFonts w:ascii="Book Antiqua" w:hAnsi="Book Antiqua" w:cs="Arial"/>
                <w:i/>
                <w:lang w:val="en-US" w:eastAsia="en-US"/>
              </w:rPr>
              <w:t>vs</w:t>
            </w:r>
            <w:r w:rsidRPr="00CD1426">
              <w:rPr>
                <w:rFonts w:ascii="Book Antiqua" w:hAnsi="Book Antiqua"/>
                <w:lang w:val="en-US" w:eastAsia="en-US"/>
              </w:rPr>
              <w:t xml:space="preserve"> Placebo</w:t>
            </w:r>
          </w:p>
          <w:p w14:paraId="3D0E0F11" w14:textId="77777777" w:rsidR="002B302F" w:rsidRPr="00CD1426" w:rsidRDefault="002B302F" w:rsidP="00CD1426">
            <w:pPr>
              <w:spacing w:line="360" w:lineRule="auto"/>
              <w:jc w:val="both"/>
              <w:rPr>
                <w:rFonts w:ascii="Book Antiqua" w:hAnsi="Book Antiqua" w:cs="Arial"/>
                <w:b/>
                <w:bCs/>
                <w:lang w:val="en-US" w:eastAsia="en-US"/>
              </w:rPr>
            </w:pPr>
          </w:p>
          <w:p w14:paraId="5F64CF0C" w14:textId="77777777" w:rsidR="002B302F" w:rsidRPr="00CD1426" w:rsidRDefault="002B302F" w:rsidP="00CD1426">
            <w:pPr>
              <w:spacing w:line="360" w:lineRule="auto"/>
              <w:jc w:val="both"/>
              <w:rPr>
                <w:rFonts w:ascii="Book Antiqua" w:hAnsi="Book Antiqua" w:cs="Arial"/>
                <w:b/>
                <w:bCs/>
                <w:lang w:val="en-US" w:eastAsia="en-US"/>
              </w:rPr>
            </w:pPr>
            <w:r w:rsidRPr="00CD1426">
              <w:rPr>
                <w:rFonts w:ascii="Book Antiqua" w:hAnsi="Book Antiqua" w:cs="Arial"/>
                <w:b/>
                <w:bCs/>
                <w:lang w:val="en-US" w:eastAsia="en-US"/>
              </w:rPr>
              <w:t>HCV genotype 1 a:</w:t>
            </w:r>
          </w:p>
          <w:p w14:paraId="3967F153" w14:textId="0C9CC668" w:rsidR="002B302F" w:rsidRPr="00CD1426" w:rsidRDefault="002B302F" w:rsidP="00CD1426">
            <w:pPr>
              <w:spacing w:line="360" w:lineRule="auto"/>
              <w:jc w:val="both"/>
              <w:rPr>
                <w:rFonts w:ascii="Book Antiqua" w:hAnsi="Book Antiqua" w:cs="Arial"/>
                <w:lang w:val="en-US" w:eastAsia="en-US"/>
              </w:rPr>
            </w:pPr>
            <w:r w:rsidRPr="00CD1426">
              <w:rPr>
                <w:rFonts w:ascii="Book Antiqua" w:hAnsi="Book Antiqua" w:cs="Arial"/>
                <w:lang w:val="en-US" w:eastAsia="en-US"/>
              </w:rPr>
              <w:t xml:space="preserve">Ribavirin: with </w:t>
            </w:r>
            <w:r w:rsidR="006746CE" w:rsidRPr="00CD1426">
              <w:rPr>
                <w:rFonts w:ascii="Book Antiqua" w:hAnsi="Book Antiqua" w:cs="Arial"/>
                <w:i/>
                <w:lang w:val="en-US" w:eastAsia="en-US"/>
              </w:rPr>
              <w:t>vs</w:t>
            </w:r>
            <w:r w:rsidR="006746CE" w:rsidRPr="00CD1426">
              <w:rPr>
                <w:rFonts w:ascii="Book Antiqua" w:hAnsi="Book Antiqua" w:cs="Arial"/>
                <w:lang w:val="en-US" w:eastAsia="en-US"/>
              </w:rPr>
              <w:t xml:space="preserve"> </w:t>
            </w:r>
            <w:r w:rsidRPr="00CD1426">
              <w:rPr>
                <w:rFonts w:ascii="Book Antiqua" w:hAnsi="Book Antiqua" w:cs="Arial"/>
                <w:lang w:val="en-US" w:eastAsia="en-US"/>
              </w:rPr>
              <w:t xml:space="preserve">Without </w:t>
            </w:r>
          </w:p>
          <w:p w14:paraId="63A1E18E" w14:textId="77777777" w:rsidR="002B302F" w:rsidRPr="00CD1426" w:rsidRDefault="002B302F" w:rsidP="00CD1426">
            <w:pPr>
              <w:spacing w:line="360" w:lineRule="auto"/>
              <w:jc w:val="both"/>
              <w:rPr>
                <w:rFonts w:ascii="Book Antiqua" w:hAnsi="Book Antiqua" w:cs="Arial"/>
                <w:lang w:val="en-US" w:eastAsia="en-US"/>
              </w:rPr>
            </w:pPr>
          </w:p>
        </w:tc>
        <w:tc>
          <w:tcPr>
            <w:tcW w:w="606" w:type="dxa"/>
            <w:noWrap/>
          </w:tcPr>
          <w:p w14:paraId="5456EDB6" w14:textId="77777777" w:rsidR="002B302F" w:rsidRPr="00CD1426" w:rsidRDefault="002B302F" w:rsidP="00CD1426">
            <w:pPr>
              <w:spacing w:line="360" w:lineRule="auto"/>
              <w:jc w:val="both"/>
              <w:rPr>
                <w:rFonts w:ascii="Book Antiqua" w:hAnsi="Book Antiqua" w:cs="Arial"/>
                <w:lang w:val="en-US" w:eastAsia="en-US"/>
              </w:rPr>
            </w:pPr>
            <w:r w:rsidRPr="00CD1426">
              <w:rPr>
                <w:rFonts w:ascii="Book Antiqua" w:hAnsi="Book Antiqua" w:cs="Arial"/>
                <w:lang w:val="en-US" w:eastAsia="en-US"/>
              </w:rPr>
              <w:lastRenderedPageBreak/>
              <w:t>7.1</w:t>
            </w:r>
            <w:r w:rsidRPr="00CD1426">
              <w:rPr>
                <w:rFonts w:ascii="Book Antiqua" w:hAnsi="Book Antiqua" w:cs="Arial"/>
                <w:lang w:val="en-US" w:eastAsia="en-US"/>
              </w:rPr>
              <w:lastRenderedPageBreak/>
              <w:t>9</w:t>
            </w:r>
          </w:p>
          <w:p w14:paraId="25EA32E4" w14:textId="77777777" w:rsidR="002B302F" w:rsidRPr="00CD1426" w:rsidRDefault="002B302F" w:rsidP="00CD1426">
            <w:pPr>
              <w:spacing w:line="360" w:lineRule="auto"/>
              <w:jc w:val="both"/>
              <w:rPr>
                <w:rFonts w:ascii="Book Antiqua" w:hAnsi="Book Antiqua" w:cs="Arial"/>
                <w:lang w:val="en-US" w:eastAsia="en-US"/>
              </w:rPr>
            </w:pPr>
          </w:p>
          <w:p w14:paraId="24AF0B27" w14:textId="77777777" w:rsidR="002B302F" w:rsidRPr="00CD1426" w:rsidRDefault="002B302F" w:rsidP="00CD1426">
            <w:pPr>
              <w:spacing w:line="360" w:lineRule="auto"/>
              <w:jc w:val="both"/>
              <w:rPr>
                <w:rFonts w:ascii="Book Antiqua" w:hAnsi="Book Antiqua" w:cs="Arial"/>
                <w:lang w:val="en-US" w:eastAsia="en-US"/>
              </w:rPr>
            </w:pPr>
          </w:p>
          <w:p w14:paraId="6A4BA517" w14:textId="77777777" w:rsidR="002B302F" w:rsidRPr="00CD1426" w:rsidRDefault="002B302F" w:rsidP="00CD1426">
            <w:pPr>
              <w:spacing w:line="360" w:lineRule="auto"/>
              <w:jc w:val="both"/>
              <w:rPr>
                <w:rFonts w:ascii="Book Antiqua" w:hAnsi="Book Antiqua" w:cs="Arial"/>
                <w:lang w:val="en-US" w:eastAsia="en-US"/>
              </w:rPr>
            </w:pPr>
            <w:r w:rsidRPr="00CD1426">
              <w:rPr>
                <w:rFonts w:ascii="Book Antiqua" w:hAnsi="Book Antiqua" w:cs="Arial"/>
                <w:lang w:val="en-US" w:eastAsia="en-US"/>
              </w:rPr>
              <w:t>3.50</w:t>
            </w:r>
          </w:p>
        </w:tc>
        <w:tc>
          <w:tcPr>
            <w:tcW w:w="928" w:type="dxa"/>
            <w:noWrap/>
          </w:tcPr>
          <w:p w14:paraId="73095FF5" w14:textId="49F40599" w:rsidR="002B302F" w:rsidRPr="00CD1426" w:rsidRDefault="002B302F" w:rsidP="00CD1426">
            <w:pPr>
              <w:spacing w:line="360" w:lineRule="auto"/>
              <w:jc w:val="both"/>
              <w:rPr>
                <w:rFonts w:ascii="Book Antiqua" w:hAnsi="Book Antiqua" w:cs="Arial"/>
                <w:vertAlign w:val="superscript"/>
                <w:lang w:val="en-US" w:eastAsia="en-US"/>
              </w:rPr>
            </w:pPr>
            <w:r w:rsidRPr="00CD1426">
              <w:rPr>
                <w:rFonts w:ascii="Book Antiqua" w:hAnsi="Book Antiqua" w:cs="Arial"/>
                <w:lang w:val="en-US" w:eastAsia="en-US"/>
              </w:rPr>
              <w:lastRenderedPageBreak/>
              <w:t>4.3</w:t>
            </w:r>
            <w:r w:rsidR="006746CE" w:rsidRPr="00CD1426">
              <w:rPr>
                <w:rFonts w:ascii="Book Antiqua" w:hAnsi="Book Antiqua" w:cs="Arial"/>
                <w:lang w:val="en-US" w:eastAsia="zh-CN"/>
              </w:rPr>
              <w:t xml:space="preserve"> </w:t>
            </w:r>
            <w:r w:rsidRPr="00CD1426">
              <w:rPr>
                <w:rFonts w:ascii="Book Antiqua" w:hAnsi="Book Antiqua" w:cs="Arial"/>
                <w:lang w:val="en-US" w:eastAsia="en-US"/>
              </w:rPr>
              <w:t>x</w:t>
            </w:r>
            <w:r w:rsidR="006746CE" w:rsidRPr="00CD1426">
              <w:rPr>
                <w:rFonts w:ascii="Book Antiqua" w:hAnsi="Book Antiqua" w:cs="Arial"/>
                <w:lang w:val="en-US" w:eastAsia="zh-CN"/>
              </w:rPr>
              <w:t xml:space="preserve"> </w:t>
            </w:r>
            <w:r w:rsidRPr="00CD1426">
              <w:rPr>
                <w:rFonts w:ascii="Book Antiqua" w:hAnsi="Book Antiqua" w:cs="Arial"/>
                <w:lang w:val="en-US" w:eastAsia="en-US"/>
              </w:rPr>
              <w:lastRenderedPageBreak/>
              <w:t>20</w:t>
            </w:r>
            <w:r w:rsidRPr="00CD1426">
              <w:rPr>
                <w:rFonts w:ascii="Book Antiqua" w:hAnsi="Book Antiqua" w:cs="Arial"/>
                <w:vertAlign w:val="superscript"/>
                <w:lang w:val="en-US" w:eastAsia="en-US"/>
              </w:rPr>
              <w:t>-11</w:t>
            </w:r>
          </w:p>
          <w:p w14:paraId="49B33CD4" w14:textId="77777777" w:rsidR="002B302F" w:rsidRPr="00CD1426" w:rsidRDefault="002B302F" w:rsidP="00CD1426">
            <w:pPr>
              <w:spacing w:line="360" w:lineRule="auto"/>
              <w:jc w:val="both"/>
              <w:rPr>
                <w:rFonts w:ascii="Book Antiqua" w:hAnsi="Book Antiqua" w:cs="Arial"/>
                <w:vertAlign w:val="superscript"/>
                <w:lang w:val="en-US" w:eastAsia="en-US"/>
              </w:rPr>
            </w:pPr>
          </w:p>
          <w:p w14:paraId="7C31708C" w14:textId="77777777" w:rsidR="002B302F" w:rsidRPr="00CD1426" w:rsidRDefault="002B302F" w:rsidP="00CD1426">
            <w:pPr>
              <w:spacing w:line="360" w:lineRule="auto"/>
              <w:jc w:val="both"/>
              <w:rPr>
                <w:rFonts w:ascii="Book Antiqua" w:hAnsi="Book Antiqua" w:cs="Arial"/>
                <w:vertAlign w:val="superscript"/>
                <w:lang w:val="en-US" w:eastAsia="en-US"/>
              </w:rPr>
            </w:pPr>
          </w:p>
          <w:p w14:paraId="0FB79B68" w14:textId="77777777" w:rsidR="002B302F" w:rsidRPr="00CD1426" w:rsidRDefault="002B302F" w:rsidP="00CD1426">
            <w:pPr>
              <w:spacing w:line="360" w:lineRule="auto"/>
              <w:jc w:val="both"/>
              <w:rPr>
                <w:rFonts w:ascii="Book Antiqua" w:hAnsi="Book Antiqua" w:cs="Arial"/>
                <w:lang w:val="en-US" w:eastAsia="en-US"/>
              </w:rPr>
            </w:pPr>
            <w:r w:rsidRPr="00CD1426">
              <w:rPr>
                <w:rFonts w:ascii="Book Antiqua" w:hAnsi="Book Antiqua" w:cs="Arial"/>
                <w:lang w:val="en-US" w:eastAsia="en-US"/>
              </w:rPr>
              <w:t>0.038</w:t>
            </w:r>
          </w:p>
        </w:tc>
        <w:tc>
          <w:tcPr>
            <w:tcW w:w="1925" w:type="dxa"/>
            <w:noWrap/>
          </w:tcPr>
          <w:p w14:paraId="0BD76C52" w14:textId="515D4BD8" w:rsidR="002B302F" w:rsidRPr="00CD1426" w:rsidRDefault="002B302F" w:rsidP="00CD1426">
            <w:pPr>
              <w:spacing w:line="360" w:lineRule="auto"/>
              <w:jc w:val="both"/>
              <w:rPr>
                <w:rFonts w:ascii="Book Antiqua" w:hAnsi="Book Antiqua" w:cs="Arial"/>
                <w:lang w:val="en-US" w:eastAsia="en-US"/>
              </w:rPr>
            </w:pPr>
            <w:r w:rsidRPr="00CD1426">
              <w:rPr>
                <w:rFonts w:ascii="Book Antiqua" w:hAnsi="Book Antiqua" w:cs="Arial"/>
                <w:lang w:val="en-US" w:eastAsia="en-US"/>
              </w:rPr>
              <w:lastRenderedPageBreak/>
              <w:t>Feld</w:t>
            </w:r>
            <w:r w:rsidR="006746CE" w:rsidRPr="00CD1426">
              <w:rPr>
                <w:rFonts w:ascii="Book Antiqua" w:hAnsi="Book Antiqua" w:cs="Arial"/>
                <w:bCs/>
                <w:i/>
                <w:lang w:val="en-US" w:eastAsia="zh-CN"/>
              </w:rPr>
              <w:t xml:space="preserve"> et al</w:t>
            </w:r>
            <w:r w:rsidR="006746CE" w:rsidRPr="00CD1426">
              <w:rPr>
                <w:rFonts w:ascii="Book Antiqua" w:hAnsi="Book Antiqua" w:cs="Arial"/>
                <w:bCs/>
                <w:vertAlign w:val="superscript"/>
                <w:lang w:val="en-US" w:eastAsia="zh-CN"/>
              </w:rPr>
              <w:t>[70]</w:t>
            </w:r>
          </w:p>
          <w:p w14:paraId="03338FD0" w14:textId="77777777" w:rsidR="006746CE" w:rsidRPr="00CD1426" w:rsidRDefault="006746CE" w:rsidP="00CD1426">
            <w:pPr>
              <w:spacing w:line="360" w:lineRule="auto"/>
              <w:jc w:val="both"/>
              <w:rPr>
                <w:rFonts w:ascii="Book Antiqua" w:hAnsi="Book Antiqua" w:cs="Arial"/>
                <w:lang w:val="en-US" w:eastAsia="zh-CN"/>
              </w:rPr>
            </w:pPr>
          </w:p>
          <w:p w14:paraId="6C20D914" w14:textId="77777777" w:rsidR="006746CE" w:rsidRPr="00CD1426" w:rsidRDefault="006746CE" w:rsidP="00CD1426">
            <w:pPr>
              <w:spacing w:line="360" w:lineRule="auto"/>
              <w:jc w:val="both"/>
              <w:rPr>
                <w:rFonts w:ascii="Book Antiqua" w:hAnsi="Book Antiqua" w:cs="Arial"/>
                <w:lang w:val="en-US" w:eastAsia="zh-CN"/>
              </w:rPr>
            </w:pPr>
          </w:p>
          <w:p w14:paraId="4334CF27" w14:textId="77777777" w:rsidR="006746CE" w:rsidRPr="00CD1426" w:rsidRDefault="006746CE" w:rsidP="00CD1426">
            <w:pPr>
              <w:spacing w:line="360" w:lineRule="auto"/>
              <w:jc w:val="both"/>
              <w:rPr>
                <w:rFonts w:ascii="Book Antiqua" w:hAnsi="Book Antiqua" w:cs="Arial"/>
                <w:lang w:val="en-US" w:eastAsia="zh-CN"/>
              </w:rPr>
            </w:pPr>
          </w:p>
          <w:p w14:paraId="6263330B" w14:textId="7F7587DC" w:rsidR="006746CE" w:rsidRPr="00CD1426" w:rsidRDefault="006746CE" w:rsidP="00CD1426">
            <w:pPr>
              <w:spacing w:line="360" w:lineRule="auto"/>
              <w:jc w:val="both"/>
              <w:rPr>
                <w:rFonts w:ascii="Book Antiqua" w:hAnsi="Book Antiqua" w:cs="Arial"/>
                <w:lang w:val="en-US" w:eastAsia="en-US"/>
              </w:rPr>
            </w:pPr>
            <w:r w:rsidRPr="00CD1426">
              <w:rPr>
                <w:rFonts w:ascii="Book Antiqua" w:hAnsi="Book Antiqua"/>
                <w:noProof/>
              </w:rPr>
              <w:t xml:space="preserve">Ferenci </w:t>
            </w:r>
            <w:r w:rsidRPr="00CD1426">
              <w:rPr>
                <w:rFonts w:ascii="Book Antiqua" w:hAnsi="Book Antiqua" w:cs="Arial"/>
                <w:bCs/>
                <w:i/>
                <w:lang w:val="en-US" w:eastAsia="zh-CN"/>
              </w:rPr>
              <w:t>et al</w:t>
            </w:r>
            <w:r w:rsidRPr="00CD1426">
              <w:rPr>
                <w:rFonts w:ascii="Book Antiqua" w:hAnsi="Book Antiqua" w:cs="Arial"/>
                <w:bCs/>
                <w:vertAlign w:val="superscript"/>
                <w:lang w:val="en-US" w:eastAsia="zh-CN"/>
              </w:rPr>
              <w:t>[69]</w:t>
            </w:r>
          </w:p>
          <w:p w14:paraId="12AA221D" w14:textId="3D4E4BA7" w:rsidR="002B302F" w:rsidRPr="00CD1426" w:rsidRDefault="002B302F" w:rsidP="00CD1426">
            <w:pPr>
              <w:spacing w:line="360" w:lineRule="auto"/>
              <w:jc w:val="both"/>
              <w:rPr>
                <w:rFonts w:ascii="Book Antiqua" w:hAnsi="Book Antiqua" w:cs="Arial"/>
                <w:lang w:val="en-US" w:eastAsia="en-US"/>
              </w:rPr>
            </w:pPr>
          </w:p>
        </w:tc>
      </w:tr>
    </w:tbl>
    <w:p w14:paraId="63BA9796" w14:textId="675B685F" w:rsidR="002B302F" w:rsidRPr="00CD1426" w:rsidRDefault="001D7445" w:rsidP="00CD1426">
      <w:pPr>
        <w:spacing w:line="360" w:lineRule="auto"/>
        <w:jc w:val="both"/>
        <w:rPr>
          <w:rFonts w:ascii="Book Antiqua" w:hAnsi="Book Antiqua"/>
          <w:lang w:val="en-US"/>
        </w:rPr>
      </w:pPr>
      <w:r w:rsidRPr="00CD1426">
        <w:rPr>
          <w:rFonts w:ascii="Book Antiqua" w:hAnsi="Book Antiqua"/>
          <w:vertAlign w:val="superscript"/>
          <w:lang w:val="en-US" w:eastAsia="zh-CN"/>
        </w:rPr>
        <w:lastRenderedPageBreak/>
        <w:t>1</w:t>
      </w:r>
      <w:r w:rsidR="002B302F" w:rsidRPr="00CD1426">
        <w:rPr>
          <w:rFonts w:ascii="Book Antiqua" w:hAnsi="Book Antiqua"/>
          <w:lang w:val="en-US"/>
        </w:rPr>
        <w:t>Statistical analyses were performed using Fisher’s test, two-tailed. An alpha error &lt; 5% was considered.</w:t>
      </w:r>
    </w:p>
    <w:p w14:paraId="085637BA" w14:textId="77777777" w:rsidR="002B302F" w:rsidRPr="00CD1426" w:rsidRDefault="002B302F" w:rsidP="00CD1426">
      <w:pPr>
        <w:spacing w:line="360" w:lineRule="auto"/>
        <w:jc w:val="both"/>
        <w:rPr>
          <w:rFonts w:ascii="Book Antiqua" w:hAnsi="Book Antiqua"/>
          <w:lang w:val="en-US"/>
        </w:rPr>
      </w:pPr>
    </w:p>
    <w:p w14:paraId="6EA49310" w14:textId="77777777" w:rsidR="002B302F" w:rsidRPr="00CD1426" w:rsidRDefault="002B302F" w:rsidP="00CD1426">
      <w:pPr>
        <w:spacing w:line="360" w:lineRule="auto"/>
        <w:jc w:val="both"/>
        <w:rPr>
          <w:rFonts w:ascii="Book Antiqua" w:hAnsi="Book Antiqua"/>
          <w:lang w:val="en-US"/>
        </w:rPr>
      </w:pPr>
    </w:p>
    <w:p w14:paraId="3AAACB5E" w14:textId="77777777" w:rsidR="002B302F" w:rsidRPr="00CD1426" w:rsidRDefault="002B302F" w:rsidP="00CD1426">
      <w:pPr>
        <w:spacing w:line="360" w:lineRule="auto"/>
        <w:jc w:val="both"/>
        <w:rPr>
          <w:rFonts w:ascii="Book Antiqua" w:hAnsi="Book Antiqua" w:cs="Arial"/>
          <w:b/>
          <w:lang w:val="en-US"/>
        </w:rPr>
      </w:pPr>
    </w:p>
    <w:p w14:paraId="4548A70C" w14:textId="77777777" w:rsidR="002B302F" w:rsidRPr="00CD1426" w:rsidRDefault="002B302F" w:rsidP="00CD1426">
      <w:pPr>
        <w:tabs>
          <w:tab w:val="left" w:pos="0"/>
          <w:tab w:val="right" w:pos="540"/>
        </w:tabs>
        <w:spacing w:line="360" w:lineRule="auto"/>
        <w:ind w:firstLine="567"/>
        <w:jc w:val="both"/>
        <w:rPr>
          <w:rFonts w:ascii="Book Antiqua" w:hAnsi="Book Antiqua" w:cs="Arial"/>
          <w:b/>
          <w:lang w:val="en-US"/>
        </w:rPr>
      </w:pPr>
    </w:p>
    <w:p w14:paraId="0F3D3F4B" w14:textId="77777777" w:rsidR="00DC696D" w:rsidRPr="00CD1426" w:rsidRDefault="00DC696D" w:rsidP="00CD1426">
      <w:pPr>
        <w:spacing w:line="360" w:lineRule="auto"/>
        <w:jc w:val="both"/>
        <w:rPr>
          <w:rFonts w:ascii="Book Antiqua" w:hAnsi="Book Antiqua"/>
        </w:rPr>
      </w:pPr>
    </w:p>
    <w:sectPr w:rsidR="00DC696D" w:rsidRPr="00CD1426" w:rsidSect="00DF49D3">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02545A" w14:textId="77777777" w:rsidR="00B70129" w:rsidRDefault="00B70129">
      <w:r>
        <w:separator/>
      </w:r>
    </w:p>
  </w:endnote>
  <w:endnote w:type="continuationSeparator" w:id="0">
    <w:p w14:paraId="1400C36D" w14:textId="77777777" w:rsidR="00B70129" w:rsidRDefault="00B70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Cambria">
    <w:panose1 w:val="02040503050406030204"/>
    <w:charset w:val="00"/>
    <w:family w:val="auto"/>
    <w:pitch w:val="variable"/>
    <w:sig w:usb0="E00002FF" w:usb1="400004FF" w:usb2="00000000" w:usb3="00000000" w:csb0="0000019F" w:csb1="00000000"/>
  </w:font>
  <w:font w:name="ＭＳ 明朝">
    <w:altName w:val="ＭＳ 明朝"/>
    <w:charset w:val="4E"/>
    <w:family w:val="auto"/>
    <w:pitch w:val="variable"/>
    <w:sig w:usb0="E00002FF" w:usb1="6AC7FDFB" w:usb2="00000012" w:usb3="00000000" w:csb0="0002009F" w:csb1="00000000"/>
  </w:font>
  <w:font w:name="宋体">
    <w:charset w:val="50"/>
    <w:family w:val="auto"/>
    <w:pitch w:val="variable"/>
    <w:sig w:usb0="00000003" w:usb1="080E0000" w:usb2="00000010" w:usb3="00000000" w:csb0="0004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Book Antiqua">
    <w:panose1 w:val="02040602050305030304"/>
    <w:charset w:val="00"/>
    <w:family w:val="auto"/>
    <w:pitch w:val="variable"/>
    <w:sig w:usb0="00000003" w:usb1="00000000" w:usb2="00000000" w:usb3="00000000" w:csb0="00000001" w:csb1="00000000"/>
  </w:font>
  <w:font w:name="Gulim">
    <w:altName w:val="굴림"/>
    <w:charset w:val="81"/>
    <w:family w:val="swiss"/>
    <w:pitch w:val="variable"/>
    <w:sig w:usb0="B00002AF" w:usb1="69D77CFB" w:usb2="00000030" w:usb3="00000000" w:csb0="0008009F" w:csb1="00000000"/>
  </w:font>
  <w:font w:name="P¯øªv„">
    <w:altName w:val="Cambria"/>
    <w:panose1 w:val="00000000000000000000"/>
    <w:charset w:val="4D"/>
    <w:family w:val="auto"/>
    <w:notTrueType/>
    <w:pitch w:val="default"/>
    <w:sig w:usb0="00000003" w:usb1="00000000" w:usb2="00000000" w:usb3="00000000" w:csb0="00000001" w:csb1="00000000"/>
  </w:font>
  <w:font w:name="AdvTimes">
    <w:altName w:val="Arial Unicode MS"/>
    <w:panose1 w:val="00000000000000000000"/>
    <w:charset w:val="86"/>
    <w:family w:val="auto"/>
    <w:notTrueType/>
    <w:pitch w:val="default"/>
    <w:sig w:usb0="00000001"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方正细倩简体">
    <w:charset w:val="86"/>
    <w:family w:val="script"/>
    <w:pitch w:val="fixed"/>
    <w:sig w:usb0="00000001" w:usb1="080E0000" w:usb2="00000010" w:usb3="00000000" w:csb0="00040000"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6DFDE6" w14:textId="77777777" w:rsidR="00B70129" w:rsidRDefault="00B70129">
      <w:r>
        <w:separator/>
      </w:r>
    </w:p>
  </w:footnote>
  <w:footnote w:type="continuationSeparator" w:id="0">
    <w:p w14:paraId="57B9B16B" w14:textId="77777777" w:rsidR="00B70129" w:rsidRDefault="00B7012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25CF4" w14:textId="77777777" w:rsidR="00CD1426" w:rsidRDefault="00CD1426" w:rsidP="00DF49D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34E949" w14:textId="77777777" w:rsidR="00CD1426" w:rsidRDefault="00CD1426" w:rsidP="00DF49D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89501" w14:textId="77777777" w:rsidR="00CD1426" w:rsidRDefault="00CD1426" w:rsidP="00DF49D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1071">
      <w:rPr>
        <w:rStyle w:val="PageNumber"/>
        <w:noProof/>
      </w:rPr>
      <w:t>37</w:t>
    </w:r>
    <w:r>
      <w:rPr>
        <w:rStyle w:val="PageNumber"/>
      </w:rPr>
      <w:fldChar w:fldCharType="end"/>
    </w:r>
  </w:p>
  <w:p w14:paraId="54F926E5" w14:textId="77777777" w:rsidR="00CD1426" w:rsidRDefault="00CD1426" w:rsidP="00DF49D3">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24C13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38766D"/>
    <w:multiLevelType w:val="hybridMultilevel"/>
    <w:tmpl w:val="E8D0285A"/>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
    <w:nsid w:val="0E713E64"/>
    <w:multiLevelType w:val="hybridMultilevel"/>
    <w:tmpl w:val="D6FE503E"/>
    <w:lvl w:ilvl="0" w:tplc="EC0666CA">
      <w:numFmt w:val="bullet"/>
      <w:lvlText w:val="-"/>
      <w:lvlJc w:val="left"/>
      <w:pPr>
        <w:ind w:left="1068" w:hanging="360"/>
      </w:pPr>
      <w:rPr>
        <w:rFonts w:ascii="Arial" w:eastAsia="Times New Roman"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nsid w:val="1E171A0A"/>
    <w:multiLevelType w:val="multilevel"/>
    <w:tmpl w:val="5E4A9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0C40118"/>
    <w:multiLevelType w:val="hybridMultilevel"/>
    <w:tmpl w:val="FE50FAC4"/>
    <w:lvl w:ilvl="0" w:tplc="6FB4B3BE">
      <w:numFmt w:val="bullet"/>
      <w:lvlText w:val="-"/>
      <w:lvlJc w:val="left"/>
      <w:pPr>
        <w:tabs>
          <w:tab w:val="num" w:pos="1068"/>
        </w:tabs>
        <w:ind w:left="1068" w:hanging="360"/>
      </w:pPr>
      <w:rPr>
        <w:rFonts w:ascii="Segoe UI" w:eastAsia="Times New Roman" w:hAnsi="Segoe UI" w:cs="Segoe UI" w:hint="default"/>
      </w:rPr>
    </w:lvl>
    <w:lvl w:ilvl="1" w:tplc="04160003">
      <w:start w:val="1"/>
      <w:numFmt w:val="bullet"/>
      <w:lvlText w:val="o"/>
      <w:lvlJc w:val="left"/>
      <w:pPr>
        <w:tabs>
          <w:tab w:val="num" w:pos="1788"/>
        </w:tabs>
        <w:ind w:left="1788" w:hanging="360"/>
      </w:pPr>
      <w:rPr>
        <w:rFonts w:ascii="Courier New" w:hAnsi="Courier New" w:cs="Courier New" w:hint="default"/>
      </w:rPr>
    </w:lvl>
    <w:lvl w:ilvl="2" w:tplc="04160005" w:tentative="1">
      <w:start w:val="1"/>
      <w:numFmt w:val="bullet"/>
      <w:lvlText w:val=""/>
      <w:lvlJc w:val="left"/>
      <w:pPr>
        <w:tabs>
          <w:tab w:val="num" w:pos="2508"/>
        </w:tabs>
        <w:ind w:left="2508" w:hanging="360"/>
      </w:pPr>
      <w:rPr>
        <w:rFonts w:ascii="Wingdings" w:hAnsi="Wingdings" w:hint="default"/>
      </w:rPr>
    </w:lvl>
    <w:lvl w:ilvl="3" w:tplc="04160001" w:tentative="1">
      <w:start w:val="1"/>
      <w:numFmt w:val="bullet"/>
      <w:lvlText w:val=""/>
      <w:lvlJc w:val="left"/>
      <w:pPr>
        <w:tabs>
          <w:tab w:val="num" w:pos="3228"/>
        </w:tabs>
        <w:ind w:left="3228" w:hanging="360"/>
      </w:pPr>
      <w:rPr>
        <w:rFonts w:ascii="Symbol" w:hAnsi="Symbol" w:hint="default"/>
      </w:rPr>
    </w:lvl>
    <w:lvl w:ilvl="4" w:tplc="04160003" w:tentative="1">
      <w:start w:val="1"/>
      <w:numFmt w:val="bullet"/>
      <w:lvlText w:val="o"/>
      <w:lvlJc w:val="left"/>
      <w:pPr>
        <w:tabs>
          <w:tab w:val="num" w:pos="3948"/>
        </w:tabs>
        <w:ind w:left="3948" w:hanging="360"/>
      </w:pPr>
      <w:rPr>
        <w:rFonts w:ascii="Courier New" w:hAnsi="Courier New" w:cs="Courier New" w:hint="default"/>
      </w:rPr>
    </w:lvl>
    <w:lvl w:ilvl="5" w:tplc="04160005" w:tentative="1">
      <w:start w:val="1"/>
      <w:numFmt w:val="bullet"/>
      <w:lvlText w:val=""/>
      <w:lvlJc w:val="left"/>
      <w:pPr>
        <w:tabs>
          <w:tab w:val="num" w:pos="4668"/>
        </w:tabs>
        <w:ind w:left="4668" w:hanging="360"/>
      </w:pPr>
      <w:rPr>
        <w:rFonts w:ascii="Wingdings" w:hAnsi="Wingdings" w:hint="default"/>
      </w:rPr>
    </w:lvl>
    <w:lvl w:ilvl="6" w:tplc="04160001" w:tentative="1">
      <w:start w:val="1"/>
      <w:numFmt w:val="bullet"/>
      <w:lvlText w:val=""/>
      <w:lvlJc w:val="left"/>
      <w:pPr>
        <w:tabs>
          <w:tab w:val="num" w:pos="5388"/>
        </w:tabs>
        <w:ind w:left="5388" w:hanging="360"/>
      </w:pPr>
      <w:rPr>
        <w:rFonts w:ascii="Symbol" w:hAnsi="Symbol" w:hint="default"/>
      </w:rPr>
    </w:lvl>
    <w:lvl w:ilvl="7" w:tplc="04160003" w:tentative="1">
      <w:start w:val="1"/>
      <w:numFmt w:val="bullet"/>
      <w:lvlText w:val="o"/>
      <w:lvlJc w:val="left"/>
      <w:pPr>
        <w:tabs>
          <w:tab w:val="num" w:pos="6108"/>
        </w:tabs>
        <w:ind w:left="6108" w:hanging="360"/>
      </w:pPr>
      <w:rPr>
        <w:rFonts w:ascii="Courier New" w:hAnsi="Courier New" w:cs="Courier New" w:hint="default"/>
      </w:rPr>
    </w:lvl>
    <w:lvl w:ilvl="8" w:tplc="04160005" w:tentative="1">
      <w:start w:val="1"/>
      <w:numFmt w:val="bullet"/>
      <w:lvlText w:val=""/>
      <w:lvlJc w:val="left"/>
      <w:pPr>
        <w:tabs>
          <w:tab w:val="num" w:pos="6828"/>
        </w:tabs>
        <w:ind w:left="6828" w:hanging="360"/>
      </w:pPr>
      <w:rPr>
        <w:rFonts w:ascii="Wingdings" w:hAnsi="Wingdings" w:hint="default"/>
      </w:rPr>
    </w:lvl>
  </w:abstractNum>
  <w:abstractNum w:abstractNumId="5">
    <w:nsid w:val="696937B5"/>
    <w:multiLevelType w:val="multilevel"/>
    <w:tmpl w:val="8FA88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02F"/>
    <w:rsid w:val="0000347A"/>
    <w:rsid w:val="000236E5"/>
    <w:rsid w:val="00027F7C"/>
    <w:rsid w:val="00042555"/>
    <w:rsid w:val="000426C1"/>
    <w:rsid w:val="000723E5"/>
    <w:rsid w:val="000A26D2"/>
    <w:rsid w:val="000C51D8"/>
    <w:rsid w:val="000E0152"/>
    <w:rsid w:val="00104380"/>
    <w:rsid w:val="001270EC"/>
    <w:rsid w:val="00140590"/>
    <w:rsid w:val="00144729"/>
    <w:rsid w:val="00152C58"/>
    <w:rsid w:val="00183DB5"/>
    <w:rsid w:val="00186610"/>
    <w:rsid w:val="001D4A08"/>
    <w:rsid w:val="001D7445"/>
    <w:rsid w:val="002118C1"/>
    <w:rsid w:val="00220EA0"/>
    <w:rsid w:val="002363CA"/>
    <w:rsid w:val="002B302F"/>
    <w:rsid w:val="002B6A1A"/>
    <w:rsid w:val="002E1C7D"/>
    <w:rsid w:val="00304CD0"/>
    <w:rsid w:val="003450EB"/>
    <w:rsid w:val="003464AB"/>
    <w:rsid w:val="003521DC"/>
    <w:rsid w:val="003A41C3"/>
    <w:rsid w:val="003C31A2"/>
    <w:rsid w:val="003F3C57"/>
    <w:rsid w:val="00405B5D"/>
    <w:rsid w:val="00421ED1"/>
    <w:rsid w:val="00430B01"/>
    <w:rsid w:val="0044675B"/>
    <w:rsid w:val="00446780"/>
    <w:rsid w:val="00472071"/>
    <w:rsid w:val="004819FF"/>
    <w:rsid w:val="00486FC9"/>
    <w:rsid w:val="004A4F0A"/>
    <w:rsid w:val="004B3BFF"/>
    <w:rsid w:val="004D3AA5"/>
    <w:rsid w:val="0050099F"/>
    <w:rsid w:val="00503537"/>
    <w:rsid w:val="00546157"/>
    <w:rsid w:val="005601AF"/>
    <w:rsid w:val="005713D0"/>
    <w:rsid w:val="00580304"/>
    <w:rsid w:val="00583D69"/>
    <w:rsid w:val="005A79DA"/>
    <w:rsid w:val="006074EB"/>
    <w:rsid w:val="00615276"/>
    <w:rsid w:val="006268A5"/>
    <w:rsid w:val="00637D5D"/>
    <w:rsid w:val="00644505"/>
    <w:rsid w:val="00644C36"/>
    <w:rsid w:val="00656B78"/>
    <w:rsid w:val="006746CE"/>
    <w:rsid w:val="006853A3"/>
    <w:rsid w:val="00692B0D"/>
    <w:rsid w:val="00696AED"/>
    <w:rsid w:val="006A5207"/>
    <w:rsid w:val="006D26C4"/>
    <w:rsid w:val="006F0074"/>
    <w:rsid w:val="006F10B2"/>
    <w:rsid w:val="00704020"/>
    <w:rsid w:val="00745AFE"/>
    <w:rsid w:val="00753605"/>
    <w:rsid w:val="00760480"/>
    <w:rsid w:val="00774D82"/>
    <w:rsid w:val="00774E33"/>
    <w:rsid w:val="007805C5"/>
    <w:rsid w:val="007D02FA"/>
    <w:rsid w:val="007D26CA"/>
    <w:rsid w:val="00802165"/>
    <w:rsid w:val="00806DBA"/>
    <w:rsid w:val="008231DE"/>
    <w:rsid w:val="008B5619"/>
    <w:rsid w:val="008C5897"/>
    <w:rsid w:val="008D7154"/>
    <w:rsid w:val="00910435"/>
    <w:rsid w:val="0091557C"/>
    <w:rsid w:val="00916D4B"/>
    <w:rsid w:val="00941697"/>
    <w:rsid w:val="009864F6"/>
    <w:rsid w:val="009D3967"/>
    <w:rsid w:val="00A16D45"/>
    <w:rsid w:val="00A17D7B"/>
    <w:rsid w:val="00A703BA"/>
    <w:rsid w:val="00A90D6A"/>
    <w:rsid w:val="00AA2C59"/>
    <w:rsid w:val="00AB7BA7"/>
    <w:rsid w:val="00AE177C"/>
    <w:rsid w:val="00AE459C"/>
    <w:rsid w:val="00AF4810"/>
    <w:rsid w:val="00AF73F8"/>
    <w:rsid w:val="00B022FA"/>
    <w:rsid w:val="00B33120"/>
    <w:rsid w:val="00B54AE9"/>
    <w:rsid w:val="00B61849"/>
    <w:rsid w:val="00B70129"/>
    <w:rsid w:val="00B77936"/>
    <w:rsid w:val="00B9682F"/>
    <w:rsid w:val="00BA5CB1"/>
    <w:rsid w:val="00BC10A5"/>
    <w:rsid w:val="00BD512C"/>
    <w:rsid w:val="00C04C74"/>
    <w:rsid w:val="00C12450"/>
    <w:rsid w:val="00C23835"/>
    <w:rsid w:val="00C400BB"/>
    <w:rsid w:val="00C601F8"/>
    <w:rsid w:val="00CA7F2C"/>
    <w:rsid w:val="00CC083E"/>
    <w:rsid w:val="00CC509F"/>
    <w:rsid w:val="00CC5BAE"/>
    <w:rsid w:val="00CD1426"/>
    <w:rsid w:val="00CF6E39"/>
    <w:rsid w:val="00D00A41"/>
    <w:rsid w:val="00D23B30"/>
    <w:rsid w:val="00D51071"/>
    <w:rsid w:val="00D51687"/>
    <w:rsid w:val="00D86D11"/>
    <w:rsid w:val="00DC1A03"/>
    <w:rsid w:val="00DC696D"/>
    <w:rsid w:val="00DE4F3D"/>
    <w:rsid w:val="00DF49D3"/>
    <w:rsid w:val="00E00CE6"/>
    <w:rsid w:val="00E233A3"/>
    <w:rsid w:val="00E2415B"/>
    <w:rsid w:val="00E25F28"/>
    <w:rsid w:val="00E7634E"/>
    <w:rsid w:val="00E8040F"/>
    <w:rsid w:val="00EA4959"/>
    <w:rsid w:val="00EA6CDA"/>
    <w:rsid w:val="00EB369E"/>
    <w:rsid w:val="00EC6A91"/>
    <w:rsid w:val="00ED3956"/>
    <w:rsid w:val="00ED49C9"/>
    <w:rsid w:val="00F01BAB"/>
    <w:rsid w:val="00F25ECE"/>
    <w:rsid w:val="00F341C8"/>
    <w:rsid w:val="00F40B64"/>
    <w:rsid w:val="00F50DCF"/>
    <w:rsid w:val="00F554DB"/>
    <w:rsid w:val="00F71E9A"/>
    <w:rsid w:val="00FA40F6"/>
    <w:rsid w:val="00FB5028"/>
    <w:rsid w:val="00FB6091"/>
    <w:rsid w:val="00FB6666"/>
    <w:rsid w:val="00FC62B0"/>
    <w:rsid w:val="00FC635D"/>
    <w:rsid w:val="00FD603F"/>
    <w:rsid w:val="00FD7BF5"/>
    <w:rsid w:val="00FE0994"/>
    <w:rsid w:val="00FE4FA4"/>
    <w:rsid w:val="00FE5FF0"/>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45726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02F"/>
    <w:rPr>
      <w:rFonts w:ascii="Times New Roman" w:eastAsia="宋体" w:hAnsi="Times New Roman" w:cs="Times New Roman"/>
      <w:lang w:eastAsia="pt-BR"/>
    </w:rPr>
  </w:style>
  <w:style w:type="paragraph" w:styleId="Heading1">
    <w:name w:val="heading 1"/>
    <w:basedOn w:val="Normal"/>
    <w:link w:val="Heading1Char"/>
    <w:uiPriority w:val="9"/>
    <w:qFormat/>
    <w:rsid w:val="002B302F"/>
    <w:pPr>
      <w:spacing w:before="100" w:beforeAutospacing="1" w:after="100" w:afterAutospacing="1"/>
      <w:outlineLvl w:val="0"/>
    </w:pPr>
    <w:rPr>
      <w:rFonts w:ascii="Times" w:hAnsi="Times"/>
      <w:b/>
      <w:bCs/>
      <w:kern w:val="36"/>
      <w:sz w:val="48"/>
      <w:szCs w:val="48"/>
      <w:lang w:eastAsia="en-US"/>
    </w:rPr>
  </w:style>
  <w:style w:type="paragraph" w:styleId="Heading3">
    <w:name w:val="heading 3"/>
    <w:basedOn w:val="Normal"/>
    <w:next w:val="Normal"/>
    <w:link w:val="Heading3Char"/>
    <w:qFormat/>
    <w:rsid w:val="002B302F"/>
    <w:pPr>
      <w:keepNext/>
      <w:keepLines/>
      <w:spacing w:before="200"/>
      <w:outlineLvl w:val="2"/>
    </w:pPr>
    <w:rPr>
      <w:rFonts w:ascii="Calibri" w:eastAsia="MS Gothic" w:hAnsi="Calibri"/>
      <w:b/>
      <w:bCs/>
      <w:color w:val="4F81BD"/>
    </w:rPr>
  </w:style>
  <w:style w:type="paragraph" w:styleId="Heading4">
    <w:name w:val="heading 4"/>
    <w:basedOn w:val="Normal"/>
    <w:next w:val="Normal"/>
    <w:link w:val="Heading4Char"/>
    <w:qFormat/>
    <w:rsid w:val="002B302F"/>
    <w:pPr>
      <w:keepNext/>
      <w:keepLines/>
      <w:spacing w:before="200"/>
      <w:outlineLvl w:val="3"/>
    </w:pPr>
    <w:rPr>
      <w:rFonts w:ascii="Calibri" w:eastAsia="MS Gothic" w:hAnsi="Calibri"/>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302F"/>
    <w:rPr>
      <w:rFonts w:ascii="Times" w:eastAsia="宋体" w:hAnsi="Times" w:cs="Times New Roman"/>
      <w:b/>
      <w:bCs/>
      <w:kern w:val="36"/>
      <w:sz w:val="48"/>
      <w:szCs w:val="48"/>
    </w:rPr>
  </w:style>
  <w:style w:type="character" w:customStyle="1" w:styleId="Heading3Char">
    <w:name w:val="Heading 3 Char"/>
    <w:basedOn w:val="DefaultParagraphFont"/>
    <w:link w:val="Heading3"/>
    <w:rsid w:val="002B302F"/>
    <w:rPr>
      <w:rFonts w:ascii="Calibri" w:eastAsia="MS Gothic" w:hAnsi="Calibri" w:cs="Times New Roman"/>
      <w:b/>
      <w:bCs/>
      <w:color w:val="4F81BD"/>
      <w:lang w:eastAsia="pt-BR"/>
    </w:rPr>
  </w:style>
  <w:style w:type="character" w:customStyle="1" w:styleId="Heading4Char">
    <w:name w:val="Heading 4 Char"/>
    <w:basedOn w:val="DefaultParagraphFont"/>
    <w:link w:val="Heading4"/>
    <w:rsid w:val="002B302F"/>
    <w:rPr>
      <w:rFonts w:ascii="Calibri" w:eastAsia="MS Gothic" w:hAnsi="Calibri" w:cs="Times New Roman"/>
      <w:b/>
      <w:bCs/>
      <w:i/>
      <w:iCs/>
      <w:color w:val="4F81BD"/>
      <w:lang w:eastAsia="pt-BR"/>
    </w:rPr>
  </w:style>
  <w:style w:type="character" w:customStyle="1" w:styleId="TtulodoLivro1">
    <w:name w:val="Título do Livro1"/>
    <w:uiPriority w:val="33"/>
    <w:qFormat/>
    <w:rsid w:val="002B302F"/>
    <w:rPr>
      <w:b/>
      <w:bCs/>
      <w:smallCaps/>
      <w:spacing w:val="5"/>
    </w:rPr>
  </w:style>
  <w:style w:type="character" w:customStyle="1" w:styleId="apple-style-span">
    <w:name w:val="apple-style-span"/>
    <w:rsid w:val="002B302F"/>
  </w:style>
  <w:style w:type="character" w:customStyle="1" w:styleId="hps">
    <w:name w:val="hps"/>
    <w:rsid w:val="002B302F"/>
  </w:style>
  <w:style w:type="character" w:customStyle="1" w:styleId="apple-converted-space">
    <w:name w:val="apple-converted-space"/>
    <w:rsid w:val="002B302F"/>
  </w:style>
  <w:style w:type="character" w:styleId="Hyperlink">
    <w:name w:val="Hyperlink"/>
    <w:rsid w:val="002B302F"/>
    <w:rPr>
      <w:color w:val="0000FF"/>
      <w:u w:val="single"/>
    </w:rPr>
  </w:style>
  <w:style w:type="character" w:styleId="FollowedHyperlink">
    <w:name w:val="FollowedHyperlink"/>
    <w:rsid w:val="002B302F"/>
    <w:rPr>
      <w:color w:val="800080"/>
      <w:u w:val="single"/>
    </w:rPr>
  </w:style>
  <w:style w:type="character" w:customStyle="1" w:styleId="highlight">
    <w:name w:val="highlight"/>
    <w:rsid w:val="002B302F"/>
  </w:style>
  <w:style w:type="paragraph" w:styleId="HTMLPreformatted">
    <w:name w:val="HTML Preformatted"/>
    <w:basedOn w:val="Normal"/>
    <w:link w:val="HTMLPreformattedChar"/>
    <w:uiPriority w:val="99"/>
    <w:unhideWhenUsed/>
    <w:rsid w:val="002B3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en-US"/>
    </w:rPr>
  </w:style>
  <w:style w:type="character" w:customStyle="1" w:styleId="HTMLPreformattedChar">
    <w:name w:val="HTML Preformatted Char"/>
    <w:basedOn w:val="DefaultParagraphFont"/>
    <w:link w:val="HTMLPreformatted"/>
    <w:uiPriority w:val="99"/>
    <w:rsid w:val="002B302F"/>
    <w:rPr>
      <w:rFonts w:ascii="Courier" w:eastAsia="宋体" w:hAnsi="Courier" w:cs="Courier"/>
      <w:sz w:val="20"/>
      <w:szCs w:val="20"/>
    </w:rPr>
  </w:style>
  <w:style w:type="paragraph" w:styleId="BalloonText">
    <w:name w:val="Balloon Text"/>
    <w:basedOn w:val="Normal"/>
    <w:link w:val="BalloonTextChar"/>
    <w:rsid w:val="002B302F"/>
    <w:rPr>
      <w:rFonts w:ascii="Tahoma" w:hAnsi="Tahoma" w:cs="Tahoma"/>
      <w:sz w:val="16"/>
      <w:szCs w:val="18"/>
      <w:lang w:val="en-US"/>
    </w:rPr>
  </w:style>
  <w:style w:type="character" w:customStyle="1" w:styleId="BalloonTextChar">
    <w:name w:val="Balloon Text Char"/>
    <w:basedOn w:val="DefaultParagraphFont"/>
    <w:link w:val="BalloonText"/>
    <w:rsid w:val="002B302F"/>
    <w:rPr>
      <w:rFonts w:ascii="Tahoma" w:eastAsia="宋体" w:hAnsi="Tahoma" w:cs="Tahoma"/>
      <w:sz w:val="16"/>
      <w:szCs w:val="18"/>
      <w:lang w:val="en-US" w:eastAsia="pt-BR"/>
    </w:rPr>
  </w:style>
  <w:style w:type="table" w:styleId="TableGrid">
    <w:name w:val="Table Grid"/>
    <w:basedOn w:val="TableNormal"/>
    <w:uiPriority w:val="59"/>
    <w:rsid w:val="002B302F"/>
    <w:rPr>
      <w:rFonts w:ascii="Cambria" w:eastAsia="MS Mincho"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aliases w:val="title"/>
    <w:basedOn w:val="Normal"/>
    <w:link w:val="TitleChar"/>
    <w:uiPriority w:val="10"/>
    <w:qFormat/>
    <w:rsid w:val="002B302F"/>
    <w:pPr>
      <w:spacing w:before="100" w:beforeAutospacing="1" w:after="100" w:afterAutospacing="1"/>
    </w:pPr>
    <w:rPr>
      <w:rFonts w:ascii="Times" w:hAnsi="Times"/>
      <w:sz w:val="20"/>
      <w:szCs w:val="20"/>
      <w:lang w:eastAsia="en-US"/>
    </w:rPr>
  </w:style>
  <w:style w:type="character" w:customStyle="1" w:styleId="TitleChar">
    <w:name w:val="Title Char"/>
    <w:aliases w:val="title Char"/>
    <w:basedOn w:val="DefaultParagraphFont"/>
    <w:link w:val="Title"/>
    <w:uiPriority w:val="10"/>
    <w:rsid w:val="002B302F"/>
    <w:rPr>
      <w:rFonts w:ascii="Times" w:eastAsia="宋体" w:hAnsi="Times" w:cs="Times New Roman"/>
      <w:sz w:val="20"/>
      <w:szCs w:val="20"/>
    </w:rPr>
  </w:style>
  <w:style w:type="paragraph" w:customStyle="1" w:styleId="desc">
    <w:name w:val="desc"/>
    <w:basedOn w:val="Normal"/>
    <w:rsid w:val="002B302F"/>
    <w:pPr>
      <w:spacing w:before="100" w:beforeAutospacing="1" w:after="100" w:afterAutospacing="1"/>
    </w:pPr>
    <w:rPr>
      <w:rFonts w:ascii="Times" w:hAnsi="Times"/>
      <w:sz w:val="20"/>
      <w:szCs w:val="20"/>
      <w:lang w:eastAsia="en-US"/>
    </w:rPr>
  </w:style>
  <w:style w:type="paragraph" w:customStyle="1" w:styleId="ListParagraph1">
    <w:name w:val="List Paragraph1"/>
    <w:basedOn w:val="Normal"/>
    <w:uiPriority w:val="34"/>
    <w:qFormat/>
    <w:rsid w:val="002B302F"/>
    <w:pPr>
      <w:ind w:left="720"/>
      <w:contextualSpacing/>
    </w:pPr>
  </w:style>
  <w:style w:type="paragraph" w:styleId="NormalWeb">
    <w:name w:val="Normal (Web)"/>
    <w:basedOn w:val="Normal"/>
    <w:uiPriority w:val="99"/>
    <w:unhideWhenUsed/>
    <w:rsid w:val="002B302F"/>
    <w:pPr>
      <w:spacing w:before="100" w:beforeAutospacing="1" w:after="100" w:afterAutospacing="1"/>
    </w:pPr>
    <w:rPr>
      <w:rFonts w:ascii="Times" w:eastAsia="MS Mincho" w:hAnsi="Times"/>
      <w:sz w:val="20"/>
      <w:szCs w:val="20"/>
      <w:lang w:eastAsia="en-US"/>
    </w:rPr>
  </w:style>
  <w:style w:type="character" w:styleId="Strong">
    <w:name w:val="Strong"/>
    <w:qFormat/>
    <w:rsid w:val="002B302F"/>
    <w:rPr>
      <w:b/>
      <w:bCs/>
    </w:rPr>
  </w:style>
  <w:style w:type="character" w:styleId="CommentReference">
    <w:name w:val="annotation reference"/>
    <w:rsid w:val="002B302F"/>
    <w:rPr>
      <w:sz w:val="16"/>
      <w:szCs w:val="16"/>
    </w:rPr>
  </w:style>
  <w:style w:type="paragraph" w:styleId="CommentText">
    <w:name w:val="annotation text"/>
    <w:basedOn w:val="Normal"/>
    <w:link w:val="CommentTextChar"/>
    <w:rsid w:val="002B302F"/>
    <w:rPr>
      <w:sz w:val="20"/>
      <w:szCs w:val="20"/>
    </w:rPr>
  </w:style>
  <w:style w:type="character" w:customStyle="1" w:styleId="CommentTextChar">
    <w:name w:val="Comment Text Char"/>
    <w:basedOn w:val="DefaultParagraphFont"/>
    <w:link w:val="CommentText"/>
    <w:rsid w:val="002B302F"/>
    <w:rPr>
      <w:rFonts w:ascii="Times New Roman" w:eastAsia="宋体" w:hAnsi="Times New Roman" w:cs="Times New Roman"/>
      <w:sz w:val="20"/>
      <w:szCs w:val="20"/>
      <w:lang w:eastAsia="pt-BR"/>
    </w:rPr>
  </w:style>
  <w:style w:type="paragraph" w:styleId="CommentSubject">
    <w:name w:val="annotation subject"/>
    <w:basedOn w:val="CommentText"/>
    <w:next w:val="CommentText"/>
    <w:link w:val="CommentSubjectChar"/>
    <w:rsid w:val="002B302F"/>
    <w:rPr>
      <w:b/>
      <w:bCs/>
    </w:rPr>
  </w:style>
  <w:style w:type="character" w:customStyle="1" w:styleId="CommentSubjectChar">
    <w:name w:val="Comment Subject Char"/>
    <w:basedOn w:val="CommentTextChar"/>
    <w:link w:val="CommentSubject"/>
    <w:rsid w:val="002B302F"/>
    <w:rPr>
      <w:rFonts w:ascii="Times New Roman" w:eastAsia="宋体" w:hAnsi="Times New Roman" w:cs="Times New Roman"/>
      <w:b/>
      <w:bCs/>
      <w:sz w:val="20"/>
      <w:szCs w:val="20"/>
      <w:lang w:eastAsia="pt-BR"/>
    </w:rPr>
  </w:style>
  <w:style w:type="character" w:styleId="Emphasis">
    <w:name w:val="Emphasis"/>
    <w:uiPriority w:val="20"/>
    <w:qFormat/>
    <w:rsid w:val="002B302F"/>
    <w:rPr>
      <w:i/>
      <w:iCs/>
    </w:rPr>
  </w:style>
  <w:style w:type="character" w:customStyle="1" w:styleId="ui-ncbitoggler-master-text">
    <w:name w:val="ui-ncbitoggler-master-text"/>
    <w:basedOn w:val="DefaultParagraphFont"/>
    <w:rsid w:val="002B302F"/>
  </w:style>
  <w:style w:type="paragraph" w:customStyle="1" w:styleId="MediumList2-Accent21">
    <w:name w:val="Medium List 2 - Accent 21"/>
    <w:hidden/>
    <w:uiPriority w:val="99"/>
    <w:semiHidden/>
    <w:rsid w:val="002B302F"/>
    <w:rPr>
      <w:rFonts w:ascii="Times New Roman" w:eastAsia="宋体" w:hAnsi="Times New Roman" w:cs="Times New Roman"/>
      <w:lang w:eastAsia="pt-BR"/>
    </w:rPr>
  </w:style>
  <w:style w:type="paragraph" w:styleId="Header">
    <w:name w:val="header"/>
    <w:basedOn w:val="Normal"/>
    <w:link w:val="HeaderChar"/>
    <w:rsid w:val="002B302F"/>
    <w:pPr>
      <w:tabs>
        <w:tab w:val="center" w:pos="4320"/>
        <w:tab w:val="right" w:pos="8640"/>
      </w:tabs>
    </w:pPr>
  </w:style>
  <w:style w:type="character" w:customStyle="1" w:styleId="HeaderChar">
    <w:name w:val="Header Char"/>
    <w:basedOn w:val="DefaultParagraphFont"/>
    <w:link w:val="Header"/>
    <w:rsid w:val="002B302F"/>
    <w:rPr>
      <w:rFonts w:ascii="Times New Roman" w:eastAsia="宋体" w:hAnsi="Times New Roman" w:cs="Times New Roman"/>
      <w:lang w:eastAsia="pt-BR"/>
    </w:rPr>
  </w:style>
  <w:style w:type="character" w:styleId="PageNumber">
    <w:name w:val="page number"/>
    <w:rsid w:val="002B302F"/>
  </w:style>
  <w:style w:type="paragraph" w:styleId="Footer">
    <w:name w:val="footer"/>
    <w:basedOn w:val="Normal"/>
    <w:link w:val="FooterChar"/>
    <w:rsid w:val="002B302F"/>
    <w:pPr>
      <w:tabs>
        <w:tab w:val="center" w:pos="4153"/>
        <w:tab w:val="right" w:pos="8306"/>
      </w:tabs>
      <w:snapToGrid w:val="0"/>
    </w:pPr>
    <w:rPr>
      <w:sz w:val="18"/>
      <w:szCs w:val="18"/>
    </w:rPr>
  </w:style>
  <w:style w:type="character" w:customStyle="1" w:styleId="FooterChar">
    <w:name w:val="Footer Char"/>
    <w:basedOn w:val="DefaultParagraphFont"/>
    <w:link w:val="Footer"/>
    <w:rsid w:val="002B302F"/>
    <w:rPr>
      <w:rFonts w:ascii="Times New Roman" w:eastAsia="宋体" w:hAnsi="Times New Roman" w:cs="Times New Roman"/>
      <w:sz w:val="18"/>
      <w:szCs w:val="18"/>
      <w:lang w:eastAsia="pt-BR"/>
    </w:rPr>
  </w:style>
  <w:style w:type="character" w:customStyle="1" w:styleId="highlight1">
    <w:name w:val="highlight1"/>
    <w:rsid w:val="002B302F"/>
    <w:rPr>
      <w:shd w:val="clear" w:color="auto" w:fill="F1BFE0"/>
    </w:rPr>
  </w:style>
  <w:style w:type="paragraph" w:styleId="BodyTextIndent">
    <w:name w:val="Body Text Indent"/>
    <w:basedOn w:val="Normal"/>
    <w:link w:val="BodyTextIndentChar"/>
    <w:uiPriority w:val="99"/>
    <w:unhideWhenUsed/>
    <w:rsid w:val="003521DC"/>
    <w:pPr>
      <w:widowControl w:val="0"/>
      <w:spacing w:after="120"/>
      <w:ind w:leftChars="200" w:left="420"/>
      <w:jc w:val="both"/>
    </w:pPr>
    <w:rPr>
      <w:rFonts w:ascii="Book Antiqua" w:eastAsiaTheme="minorEastAsia" w:hAnsi="Book Antiqua"/>
      <w:sz w:val="20"/>
      <w:szCs w:val="20"/>
      <w:lang w:val="en-US" w:eastAsia="ja-JP"/>
    </w:rPr>
  </w:style>
  <w:style w:type="character" w:customStyle="1" w:styleId="BodyTextIndentChar">
    <w:name w:val="Body Text Indent Char"/>
    <w:basedOn w:val="DefaultParagraphFont"/>
    <w:link w:val="BodyTextIndent"/>
    <w:uiPriority w:val="99"/>
    <w:rsid w:val="003521DC"/>
    <w:rPr>
      <w:rFonts w:ascii="Book Antiqua" w:hAnsi="Book Antiqua" w:cs="Times New Roman"/>
      <w:sz w:val="20"/>
      <w:szCs w:val="20"/>
      <w:lang w:val="en-US"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02F"/>
    <w:rPr>
      <w:rFonts w:ascii="Times New Roman" w:eastAsia="宋体" w:hAnsi="Times New Roman" w:cs="Times New Roman"/>
      <w:lang w:eastAsia="pt-BR"/>
    </w:rPr>
  </w:style>
  <w:style w:type="paragraph" w:styleId="Heading1">
    <w:name w:val="heading 1"/>
    <w:basedOn w:val="Normal"/>
    <w:link w:val="Heading1Char"/>
    <w:uiPriority w:val="9"/>
    <w:qFormat/>
    <w:rsid w:val="002B302F"/>
    <w:pPr>
      <w:spacing w:before="100" w:beforeAutospacing="1" w:after="100" w:afterAutospacing="1"/>
      <w:outlineLvl w:val="0"/>
    </w:pPr>
    <w:rPr>
      <w:rFonts w:ascii="Times" w:hAnsi="Times"/>
      <w:b/>
      <w:bCs/>
      <w:kern w:val="36"/>
      <w:sz w:val="48"/>
      <w:szCs w:val="48"/>
      <w:lang w:eastAsia="en-US"/>
    </w:rPr>
  </w:style>
  <w:style w:type="paragraph" w:styleId="Heading3">
    <w:name w:val="heading 3"/>
    <w:basedOn w:val="Normal"/>
    <w:next w:val="Normal"/>
    <w:link w:val="Heading3Char"/>
    <w:qFormat/>
    <w:rsid w:val="002B302F"/>
    <w:pPr>
      <w:keepNext/>
      <w:keepLines/>
      <w:spacing w:before="200"/>
      <w:outlineLvl w:val="2"/>
    </w:pPr>
    <w:rPr>
      <w:rFonts w:ascii="Calibri" w:eastAsia="MS Gothic" w:hAnsi="Calibri"/>
      <w:b/>
      <w:bCs/>
      <w:color w:val="4F81BD"/>
    </w:rPr>
  </w:style>
  <w:style w:type="paragraph" w:styleId="Heading4">
    <w:name w:val="heading 4"/>
    <w:basedOn w:val="Normal"/>
    <w:next w:val="Normal"/>
    <w:link w:val="Heading4Char"/>
    <w:qFormat/>
    <w:rsid w:val="002B302F"/>
    <w:pPr>
      <w:keepNext/>
      <w:keepLines/>
      <w:spacing w:before="200"/>
      <w:outlineLvl w:val="3"/>
    </w:pPr>
    <w:rPr>
      <w:rFonts w:ascii="Calibri" w:eastAsia="MS Gothic" w:hAnsi="Calibri"/>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302F"/>
    <w:rPr>
      <w:rFonts w:ascii="Times" w:eastAsia="宋体" w:hAnsi="Times" w:cs="Times New Roman"/>
      <w:b/>
      <w:bCs/>
      <w:kern w:val="36"/>
      <w:sz w:val="48"/>
      <w:szCs w:val="48"/>
    </w:rPr>
  </w:style>
  <w:style w:type="character" w:customStyle="1" w:styleId="Heading3Char">
    <w:name w:val="Heading 3 Char"/>
    <w:basedOn w:val="DefaultParagraphFont"/>
    <w:link w:val="Heading3"/>
    <w:rsid w:val="002B302F"/>
    <w:rPr>
      <w:rFonts w:ascii="Calibri" w:eastAsia="MS Gothic" w:hAnsi="Calibri" w:cs="Times New Roman"/>
      <w:b/>
      <w:bCs/>
      <w:color w:val="4F81BD"/>
      <w:lang w:eastAsia="pt-BR"/>
    </w:rPr>
  </w:style>
  <w:style w:type="character" w:customStyle="1" w:styleId="Heading4Char">
    <w:name w:val="Heading 4 Char"/>
    <w:basedOn w:val="DefaultParagraphFont"/>
    <w:link w:val="Heading4"/>
    <w:rsid w:val="002B302F"/>
    <w:rPr>
      <w:rFonts w:ascii="Calibri" w:eastAsia="MS Gothic" w:hAnsi="Calibri" w:cs="Times New Roman"/>
      <w:b/>
      <w:bCs/>
      <w:i/>
      <w:iCs/>
      <w:color w:val="4F81BD"/>
      <w:lang w:eastAsia="pt-BR"/>
    </w:rPr>
  </w:style>
  <w:style w:type="character" w:customStyle="1" w:styleId="TtulodoLivro1">
    <w:name w:val="Título do Livro1"/>
    <w:uiPriority w:val="33"/>
    <w:qFormat/>
    <w:rsid w:val="002B302F"/>
    <w:rPr>
      <w:b/>
      <w:bCs/>
      <w:smallCaps/>
      <w:spacing w:val="5"/>
    </w:rPr>
  </w:style>
  <w:style w:type="character" w:customStyle="1" w:styleId="apple-style-span">
    <w:name w:val="apple-style-span"/>
    <w:rsid w:val="002B302F"/>
  </w:style>
  <w:style w:type="character" w:customStyle="1" w:styleId="hps">
    <w:name w:val="hps"/>
    <w:rsid w:val="002B302F"/>
  </w:style>
  <w:style w:type="character" w:customStyle="1" w:styleId="apple-converted-space">
    <w:name w:val="apple-converted-space"/>
    <w:rsid w:val="002B302F"/>
  </w:style>
  <w:style w:type="character" w:styleId="Hyperlink">
    <w:name w:val="Hyperlink"/>
    <w:rsid w:val="002B302F"/>
    <w:rPr>
      <w:color w:val="0000FF"/>
      <w:u w:val="single"/>
    </w:rPr>
  </w:style>
  <w:style w:type="character" w:styleId="FollowedHyperlink">
    <w:name w:val="FollowedHyperlink"/>
    <w:rsid w:val="002B302F"/>
    <w:rPr>
      <w:color w:val="800080"/>
      <w:u w:val="single"/>
    </w:rPr>
  </w:style>
  <w:style w:type="character" w:customStyle="1" w:styleId="highlight">
    <w:name w:val="highlight"/>
    <w:rsid w:val="002B302F"/>
  </w:style>
  <w:style w:type="paragraph" w:styleId="HTMLPreformatted">
    <w:name w:val="HTML Preformatted"/>
    <w:basedOn w:val="Normal"/>
    <w:link w:val="HTMLPreformattedChar"/>
    <w:uiPriority w:val="99"/>
    <w:unhideWhenUsed/>
    <w:rsid w:val="002B3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en-US"/>
    </w:rPr>
  </w:style>
  <w:style w:type="character" w:customStyle="1" w:styleId="HTMLPreformattedChar">
    <w:name w:val="HTML Preformatted Char"/>
    <w:basedOn w:val="DefaultParagraphFont"/>
    <w:link w:val="HTMLPreformatted"/>
    <w:uiPriority w:val="99"/>
    <w:rsid w:val="002B302F"/>
    <w:rPr>
      <w:rFonts w:ascii="Courier" w:eastAsia="宋体" w:hAnsi="Courier" w:cs="Courier"/>
      <w:sz w:val="20"/>
      <w:szCs w:val="20"/>
    </w:rPr>
  </w:style>
  <w:style w:type="paragraph" w:styleId="BalloonText">
    <w:name w:val="Balloon Text"/>
    <w:basedOn w:val="Normal"/>
    <w:link w:val="BalloonTextChar"/>
    <w:rsid w:val="002B302F"/>
    <w:rPr>
      <w:rFonts w:ascii="Tahoma" w:hAnsi="Tahoma" w:cs="Tahoma"/>
      <w:sz w:val="16"/>
      <w:szCs w:val="18"/>
      <w:lang w:val="en-US"/>
    </w:rPr>
  </w:style>
  <w:style w:type="character" w:customStyle="1" w:styleId="BalloonTextChar">
    <w:name w:val="Balloon Text Char"/>
    <w:basedOn w:val="DefaultParagraphFont"/>
    <w:link w:val="BalloonText"/>
    <w:rsid w:val="002B302F"/>
    <w:rPr>
      <w:rFonts w:ascii="Tahoma" w:eastAsia="宋体" w:hAnsi="Tahoma" w:cs="Tahoma"/>
      <w:sz w:val="16"/>
      <w:szCs w:val="18"/>
      <w:lang w:val="en-US" w:eastAsia="pt-BR"/>
    </w:rPr>
  </w:style>
  <w:style w:type="table" w:styleId="TableGrid">
    <w:name w:val="Table Grid"/>
    <w:basedOn w:val="TableNormal"/>
    <w:uiPriority w:val="59"/>
    <w:rsid w:val="002B302F"/>
    <w:rPr>
      <w:rFonts w:ascii="Cambria" w:eastAsia="MS Mincho"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aliases w:val="title"/>
    <w:basedOn w:val="Normal"/>
    <w:link w:val="TitleChar"/>
    <w:uiPriority w:val="10"/>
    <w:qFormat/>
    <w:rsid w:val="002B302F"/>
    <w:pPr>
      <w:spacing w:before="100" w:beforeAutospacing="1" w:after="100" w:afterAutospacing="1"/>
    </w:pPr>
    <w:rPr>
      <w:rFonts w:ascii="Times" w:hAnsi="Times"/>
      <w:sz w:val="20"/>
      <w:szCs w:val="20"/>
      <w:lang w:eastAsia="en-US"/>
    </w:rPr>
  </w:style>
  <w:style w:type="character" w:customStyle="1" w:styleId="TitleChar">
    <w:name w:val="Title Char"/>
    <w:aliases w:val="title Char"/>
    <w:basedOn w:val="DefaultParagraphFont"/>
    <w:link w:val="Title"/>
    <w:uiPriority w:val="10"/>
    <w:rsid w:val="002B302F"/>
    <w:rPr>
      <w:rFonts w:ascii="Times" w:eastAsia="宋体" w:hAnsi="Times" w:cs="Times New Roman"/>
      <w:sz w:val="20"/>
      <w:szCs w:val="20"/>
    </w:rPr>
  </w:style>
  <w:style w:type="paragraph" w:customStyle="1" w:styleId="desc">
    <w:name w:val="desc"/>
    <w:basedOn w:val="Normal"/>
    <w:rsid w:val="002B302F"/>
    <w:pPr>
      <w:spacing w:before="100" w:beforeAutospacing="1" w:after="100" w:afterAutospacing="1"/>
    </w:pPr>
    <w:rPr>
      <w:rFonts w:ascii="Times" w:hAnsi="Times"/>
      <w:sz w:val="20"/>
      <w:szCs w:val="20"/>
      <w:lang w:eastAsia="en-US"/>
    </w:rPr>
  </w:style>
  <w:style w:type="paragraph" w:customStyle="1" w:styleId="ListParagraph1">
    <w:name w:val="List Paragraph1"/>
    <w:basedOn w:val="Normal"/>
    <w:uiPriority w:val="34"/>
    <w:qFormat/>
    <w:rsid w:val="002B302F"/>
    <w:pPr>
      <w:ind w:left="720"/>
      <w:contextualSpacing/>
    </w:pPr>
  </w:style>
  <w:style w:type="paragraph" w:styleId="NormalWeb">
    <w:name w:val="Normal (Web)"/>
    <w:basedOn w:val="Normal"/>
    <w:uiPriority w:val="99"/>
    <w:unhideWhenUsed/>
    <w:rsid w:val="002B302F"/>
    <w:pPr>
      <w:spacing w:before="100" w:beforeAutospacing="1" w:after="100" w:afterAutospacing="1"/>
    </w:pPr>
    <w:rPr>
      <w:rFonts w:ascii="Times" w:eastAsia="MS Mincho" w:hAnsi="Times"/>
      <w:sz w:val="20"/>
      <w:szCs w:val="20"/>
      <w:lang w:eastAsia="en-US"/>
    </w:rPr>
  </w:style>
  <w:style w:type="character" w:styleId="Strong">
    <w:name w:val="Strong"/>
    <w:qFormat/>
    <w:rsid w:val="002B302F"/>
    <w:rPr>
      <w:b/>
      <w:bCs/>
    </w:rPr>
  </w:style>
  <w:style w:type="character" w:styleId="CommentReference">
    <w:name w:val="annotation reference"/>
    <w:rsid w:val="002B302F"/>
    <w:rPr>
      <w:sz w:val="16"/>
      <w:szCs w:val="16"/>
    </w:rPr>
  </w:style>
  <w:style w:type="paragraph" w:styleId="CommentText">
    <w:name w:val="annotation text"/>
    <w:basedOn w:val="Normal"/>
    <w:link w:val="CommentTextChar"/>
    <w:rsid w:val="002B302F"/>
    <w:rPr>
      <w:sz w:val="20"/>
      <w:szCs w:val="20"/>
    </w:rPr>
  </w:style>
  <w:style w:type="character" w:customStyle="1" w:styleId="CommentTextChar">
    <w:name w:val="Comment Text Char"/>
    <w:basedOn w:val="DefaultParagraphFont"/>
    <w:link w:val="CommentText"/>
    <w:rsid w:val="002B302F"/>
    <w:rPr>
      <w:rFonts w:ascii="Times New Roman" w:eastAsia="宋体" w:hAnsi="Times New Roman" w:cs="Times New Roman"/>
      <w:sz w:val="20"/>
      <w:szCs w:val="20"/>
      <w:lang w:eastAsia="pt-BR"/>
    </w:rPr>
  </w:style>
  <w:style w:type="paragraph" w:styleId="CommentSubject">
    <w:name w:val="annotation subject"/>
    <w:basedOn w:val="CommentText"/>
    <w:next w:val="CommentText"/>
    <w:link w:val="CommentSubjectChar"/>
    <w:rsid w:val="002B302F"/>
    <w:rPr>
      <w:b/>
      <w:bCs/>
    </w:rPr>
  </w:style>
  <w:style w:type="character" w:customStyle="1" w:styleId="CommentSubjectChar">
    <w:name w:val="Comment Subject Char"/>
    <w:basedOn w:val="CommentTextChar"/>
    <w:link w:val="CommentSubject"/>
    <w:rsid w:val="002B302F"/>
    <w:rPr>
      <w:rFonts w:ascii="Times New Roman" w:eastAsia="宋体" w:hAnsi="Times New Roman" w:cs="Times New Roman"/>
      <w:b/>
      <w:bCs/>
      <w:sz w:val="20"/>
      <w:szCs w:val="20"/>
      <w:lang w:eastAsia="pt-BR"/>
    </w:rPr>
  </w:style>
  <w:style w:type="character" w:styleId="Emphasis">
    <w:name w:val="Emphasis"/>
    <w:uiPriority w:val="20"/>
    <w:qFormat/>
    <w:rsid w:val="002B302F"/>
    <w:rPr>
      <w:i/>
      <w:iCs/>
    </w:rPr>
  </w:style>
  <w:style w:type="character" w:customStyle="1" w:styleId="ui-ncbitoggler-master-text">
    <w:name w:val="ui-ncbitoggler-master-text"/>
    <w:basedOn w:val="DefaultParagraphFont"/>
    <w:rsid w:val="002B302F"/>
  </w:style>
  <w:style w:type="paragraph" w:customStyle="1" w:styleId="MediumList2-Accent21">
    <w:name w:val="Medium List 2 - Accent 21"/>
    <w:hidden/>
    <w:uiPriority w:val="99"/>
    <w:semiHidden/>
    <w:rsid w:val="002B302F"/>
    <w:rPr>
      <w:rFonts w:ascii="Times New Roman" w:eastAsia="宋体" w:hAnsi="Times New Roman" w:cs="Times New Roman"/>
      <w:lang w:eastAsia="pt-BR"/>
    </w:rPr>
  </w:style>
  <w:style w:type="paragraph" w:styleId="Header">
    <w:name w:val="header"/>
    <w:basedOn w:val="Normal"/>
    <w:link w:val="HeaderChar"/>
    <w:rsid w:val="002B302F"/>
    <w:pPr>
      <w:tabs>
        <w:tab w:val="center" w:pos="4320"/>
        <w:tab w:val="right" w:pos="8640"/>
      </w:tabs>
    </w:pPr>
  </w:style>
  <w:style w:type="character" w:customStyle="1" w:styleId="HeaderChar">
    <w:name w:val="Header Char"/>
    <w:basedOn w:val="DefaultParagraphFont"/>
    <w:link w:val="Header"/>
    <w:rsid w:val="002B302F"/>
    <w:rPr>
      <w:rFonts w:ascii="Times New Roman" w:eastAsia="宋体" w:hAnsi="Times New Roman" w:cs="Times New Roman"/>
      <w:lang w:eastAsia="pt-BR"/>
    </w:rPr>
  </w:style>
  <w:style w:type="character" w:styleId="PageNumber">
    <w:name w:val="page number"/>
    <w:rsid w:val="002B302F"/>
  </w:style>
  <w:style w:type="paragraph" w:styleId="Footer">
    <w:name w:val="footer"/>
    <w:basedOn w:val="Normal"/>
    <w:link w:val="FooterChar"/>
    <w:rsid w:val="002B302F"/>
    <w:pPr>
      <w:tabs>
        <w:tab w:val="center" w:pos="4153"/>
        <w:tab w:val="right" w:pos="8306"/>
      </w:tabs>
      <w:snapToGrid w:val="0"/>
    </w:pPr>
    <w:rPr>
      <w:sz w:val="18"/>
      <w:szCs w:val="18"/>
    </w:rPr>
  </w:style>
  <w:style w:type="character" w:customStyle="1" w:styleId="FooterChar">
    <w:name w:val="Footer Char"/>
    <w:basedOn w:val="DefaultParagraphFont"/>
    <w:link w:val="Footer"/>
    <w:rsid w:val="002B302F"/>
    <w:rPr>
      <w:rFonts w:ascii="Times New Roman" w:eastAsia="宋体" w:hAnsi="Times New Roman" w:cs="Times New Roman"/>
      <w:sz w:val="18"/>
      <w:szCs w:val="18"/>
      <w:lang w:eastAsia="pt-BR"/>
    </w:rPr>
  </w:style>
  <w:style w:type="character" w:customStyle="1" w:styleId="highlight1">
    <w:name w:val="highlight1"/>
    <w:rsid w:val="002B302F"/>
    <w:rPr>
      <w:shd w:val="clear" w:color="auto" w:fill="F1BFE0"/>
    </w:rPr>
  </w:style>
  <w:style w:type="paragraph" w:styleId="BodyTextIndent">
    <w:name w:val="Body Text Indent"/>
    <w:basedOn w:val="Normal"/>
    <w:link w:val="BodyTextIndentChar"/>
    <w:uiPriority w:val="99"/>
    <w:unhideWhenUsed/>
    <w:rsid w:val="003521DC"/>
    <w:pPr>
      <w:widowControl w:val="0"/>
      <w:spacing w:after="120"/>
      <w:ind w:leftChars="200" w:left="420"/>
      <w:jc w:val="both"/>
    </w:pPr>
    <w:rPr>
      <w:rFonts w:ascii="Book Antiqua" w:eastAsiaTheme="minorEastAsia" w:hAnsi="Book Antiqua"/>
      <w:sz w:val="20"/>
      <w:szCs w:val="20"/>
      <w:lang w:val="en-US" w:eastAsia="ja-JP"/>
    </w:rPr>
  </w:style>
  <w:style w:type="character" w:customStyle="1" w:styleId="BodyTextIndentChar">
    <w:name w:val="Body Text Indent Char"/>
    <w:basedOn w:val="DefaultParagraphFont"/>
    <w:link w:val="BodyTextIndent"/>
    <w:uiPriority w:val="99"/>
    <w:rsid w:val="003521DC"/>
    <w:rPr>
      <w:rFonts w:ascii="Book Antiqua" w:hAnsi="Book Antiqua" w:cs="Times New Roman"/>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6856">
      <w:bodyDiv w:val="1"/>
      <w:marLeft w:val="0"/>
      <w:marRight w:val="0"/>
      <w:marTop w:val="0"/>
      <w:marBottom w:val="0"/>
      <w:divBdr>
        <w:top w:val="none" w:sz="0" w:space="0" w:color="auto"/>
        <w:left w:val="none" w:sz="0" w:space="0" w:color="auto"/>
        <w:bottom w:val="none" w:sz="0" w:space="0" w:color="auto"/>
        <w:right w:val="none" w:sz="0" w:space="0" w:color="auto"/>
      </w:divBdr>
    </w:div>
    <w:div w:id="11036751">
      <w:bodyDiv w:val="1"/>
      <w:marLeft w:val="0"/>
      <w:marRight w:val="0"/>
      <w:marTop w:val="0"/>
      <w:marBottom w:val="0"/>
      <w:divBdr>
        <w:top w:val="none" w:sz="0" w:space="0" w:color="auto"/>
        <w:left w:val="none" w:sz="0" w:space="0" w:color="auto"/>
        <w:bottom w:val="none" w:sz="0" w:space="0" w:color="auto"/>
        <w:right w:val="none" w:sz="0" w:space="0" w:color="auto"/>
      </w:divBdr>
    </w:div>
    <w:div w:id="15814631">
      <w:bodyDiv w:val="1"/>
      <w:marLeft w:val="0"/>
      <w:marRight w:val="0"/>
      <w:marTop w:val="0"/>
      <w:marBottom w:val="0"/>
      <w:divBdr>
        <w:top w:val="none" w:sz="0" w:space="0" w:color="auto"/>
        <w:left w:val="none" w:sz="0" w:space="0" w:color="auto"/>
        <w:bottom w:val="none" w:sz="0" w:space="0" w:color="auto"/>
        <w:right w:val="none" w:sz="0" w:space="0" w:color="auto"/>
      </w:divBdr>
    </w:div>
    <w:div w:id="48502185">
      <w:bodyDiv w:val="1"/>
      <w:marLeft w:val="0"/>
      <w:marRight w:val="0"/>
      <w:marTop w:val="0"/>
      <w:marBottom w:val="0"/>
      <w:divBdr>
        <w:top w:val="none" w:sz="0" w:space="0" w:color="auto"/>
        <w:left w:val="none" w:sz="0" w:space="0" w:color="auto"/>
        <w:bottom w:val="none" w:sz="0" w:space="0" w:color="auto"/>
        <w:right w:val="none" w:sz="0" w:space="0" w:color="auto"/>
      </w:divBdr>
    </w:div>
    <w:div w:id="55906151">
      <w:bodyDiv w:val="1"/>
      <w:marLeft w:val="0"/>
      <w:marRight w:val="0"/>
      <w:marTop w:val="0"/>
      <w:marBottom w:val="0"/>
      <w:divBdr>
        <w:top w:val="none" w:sz="0" w:space="0" w:color="auto"/>
        <w:left w:val="none" w:sz="0" w:space="0" w:color="auto"/>
        <w:bottom w:val="none" w:sz="0" w:space="0" w:color="auto"/>
        <w:right w:val="none" w:sz="0" w:space="0" w:color="auto"/>
      </w:divBdr>
    </w:div>
    <w:div w:id="60567564">
      <w:bodyDiv w:val="1"/>
      <w:marLeft w:val="0"/>
      <w:marRight w:val="0"/>
      <w:marTop w:val="0"/>
      <w:marBottom w:val="0"/>
      <w:divBdr>
        <w:top w:val="none" w:sz="0" w:space="0" w:color="auto"/>
        <w:left w:val="none" w:sz="0" w:space="0" w:color="auto"/>
        <w:bottom w:val="none" w:sz="0" w:space="0" w:color="auto"/>
        <w:right w:val="none" w:sz="0" w:space="0" w:color="auto"/>
      </w:divBdr>
    </w:div>
    <w:div w:id="77216792">
      <w:bodyDiv w:val="1"/>
      <w:marLeft w:val="0"/>
      <w:marRight w:val="0"/>
      <w:marTop w:val="0"/>
      <w:marBottom w:val="0"/>
      <w:divBdr>
        <w:top w:val="none" w:sz="0" w:space="0" w:color="auto"/>
        <w:left w:val="none" w:sz="0" w:space="0" w:color="auto"/>
        <w:bottom w:val="none" w:sz="0" w:space="0" w:color="auto"/>
        <w:right w:val="none" w:sz="0" w:space="0" w:color="auto"/>
      </w:divBdr>
    </w:div>
    <w:div w:id="95178655">
      <w:bodyDiv w:val="1"/>
      <w:marLeft w:val="0"/>
      <w:marRight w:val="0"/>
      <w:marTop w:val="0"/>
      <w:marBottom w:val="0"/>
      <w:divBdr>
        <w:top w:val="none" w:sz="0" w:space="0" w:color="auto"/>
        <w:left w:val="none" w:sz="0" w:space="0" w:color="auto"/>
        <w:bottom w:val="none" w:sz="0" w:space="0" w:color="auto"/>
        <w:right w:val="none" w:sz="0" w:space="0" w:color="auto"/>
      </w:divBdr>
    </w:div>
    <w:div w:id="153642379">
      <w:bodyDiv w:val="1"/>
      <w:marLeft w:val="0"/>
      <w:marRight w:val="0"/>
      <w:marTop w:val="0"/>
      <w:marBottom w:val="0"/>
      <w:divBdr>
        <w:top w:val="none" w:sz="0" w:space="0" w:color="auto"/>
        <w:left w:val="none" w:sz="0" w:space="0" w:color="auto"/>
        <w:bottom w:val="none" w:sz="0" w:space="0" w:color="auto"/>
        <w:right w:val="none" w:sz="0" w:space="0" w:color="auto"/>
      </w:divBdr>
    </w:div>
    <w:div w:id="158928725">
      <w:bodyDiv w:val="1"/>
      <w:marLeft w:val="0"/>
      <w:marRight w:val="0"/>
      <w:marTop w:val="0"/>
      <w:marBottom w:val="0"/>
      <w:divBdr>
        <w:top w:val="none" w:sz="0" w:space="0" w:color="auto"/>
        <w:left w:val="none" w:sz="0" w:space="0" w:color="auto"/>
        <w:bottom w:val="none" w:sz="0" w:space="0" w:color="auto"/>
        <w:right w:val="none" w:sz="0" w:space="0" w:color="auto"/>
      </w:divBdr>
    </w:div>
    <w:div w:id="161432174">
      <w:bodyDiv w:val="1"/>
      <w:marLeft w:val="0"/>
      <w:marRight w:val="0"/>
      <w:marTop w:val="0"/>
      <w:marBottom w:val="0"/>
      <w:divBdr>
        <w:top w:val="none" w:sz="0" w:space="0" w:color="auto"/>
        <w:left w:val="none" w:sz="0" w:space="0" w:color="auto"/>
        <w:bottom w:val="none" w:sz="0" w:space="0" w:color="auto"/>
        <w:right w:val="none" w:sz="0" w:space="0" w:color="auto"/>
      </w:divBdr>
    </w:div>
    <w:div w:id="169031765">
      <w:bodyDiv w:val="1"/>
      <w:marLeft w:val="0"/>
      <w:marRight w:val="0"/>
      <w:marTop w:val="0"/>
      <w:marBottom w:val="0"/>
      <w:divBdr>
        <w:top w:val="none" w:sz="0" w:space="0" w:color="auto"/>
        <w:left w:val="none" w:sz="0" w:space="0" w:color="auto"/>
        <w:bottom w:val="none" w:sz="0" w:space="0" w:color="auto"/>
        <w:right w:val="none" w:sz="0" w:space="0" w:color="auto"/>
      </w:divBdr>
    </w:div>
    <w:div w:id="175770044">
      <w:bodyDiv w:val="1"/>
      <w:marLeft w:val="0"/>
      <w:marRight w:val="0"/>
      <w:marTop w:val="0"/>
      <w:marBottom w:val="0"/>
      <w:divBdr>
        <w:top w:val="none" w:sz="0" w:space="0" w:color="auto"/>
        <w:left w:val="none" w:sz="0" w:space="0" w:color="auto"/>
        <w:bottom w:val="none" w:sz="0" w:space="0" w:color="auto"/>
        <w:right w:val="none" w:sz="0" w:space="0" w:color="auto"/>
      </w:divBdr>
    </w:div>
    <w:div w:id="214006140">
      <w:bodyDiv w:val="1"/>
      <w:marLeft w:val="0"/>
      <w:marRight w:val="0"/>
      <w:marTop w:val="0"/>
      <w:marBottom w:val="0"/>
      <w:divBdr>
        <w:top w:val="none" w:sz="0" w:space="0" w:color="auto"/>
        <w:left w:val="none" w:sz="0" w:space="0" w:color="auto"/>
        <w:bottom w:val="none" w:sz="0" w:space="0" w:color="auto"/>
        <w:right w:val="none" w:sz="0" w:space="0" w:color="auto"/>
      </w:divBdr>
    </w:div>
    <w:div w:id="220602160">
      <w:bodyDiv w:val="1"/>
      <w:marLeft w:val="0"/>
      <w:marRight w:val="0"/>
      <w:marTop w:val="0"/>
      <w:marBottom w:val="0"/>
      <w:divBdr>
        <w:top w:val="none" w:sz="0" w:space="0" w:color="auto"/>
        <w:left w:val="none" w:sz="0" w:space="0" w:color="auto"/>
        <w:bottom w:val="none" w:sz="0" w:space="0" w:color="auto"/>
        <w:right w:val="none" w:sz="0" w:space="0" w:color="auto"/>
      </w:divBdr>
    </w:div>
    <w:div w:id="229191607">
      <w:bodyDiv w:val="1"/>
      <w:marLeft w:val="0"/>
      <w:marRight w:val="0"/>
      <w:marTop w:val="0"/>
      <w:marBottom w:val="0"/>
      <w:divBdr>
        <w:top w:val="none" w:sz="0" w:space="0" w:color="auto"/>
        <w:left w:val="none" w:sz="0" w:space="0" w:color="auto"/>
        <w:bottom w:val="none" w:sz="0" w:space="0" w:color="auto"/>
        <w:right w:val="none" w:sz="0" w:space="0" w:color="auto"/>
      </w:divBdr>
    </w:div>
    <w:div w:id="231817541">
      <w:bodyDiv w:val="1"/>
      <w:marLeft w:val="0"/>
      <w:marRight w:val="0"/>
      <w:marTop w:val="0"/>
      <w:marBottom w:val="0"/>
      <w:divBdr>
        <w:top w:val="none" w:sz="0" w:space="0" w:color="auto"/>
        <w:left w:val="none" w:sz="0" w:space="0" w:color="auto"/>
        <w:bottom w:val="none" w:sz="0" w:space="0" w:color="auto"/>
        <w:right w:val="none" w:sz="0" w:space="0" w:color="auto"/>
      </w:divBdr>
    </w:div>
    <w:div w:id="232475387">
      <w:bodyDiv w:val="1"/>
      <w:marLeft w:val="0"/>
      <w:marRight w:val="0"/>
      <w:marTop w:val="0"/>
      <w:marBottom w:val="0"/>
      <w:divBdr>
        <w:top w:val="none" w:sz="0" w:space="0" w:color="auto"/>
        <w:left w:val="none" w:sz="0" w:space="0" w:color="auto"/>
        <w:bottom w:val="none" w:sz="0" w:space="0" w:color="auto"/>
        <w:right w:val="none" w:sz="0" w:space="0" w:color="auto"/>
      </w:divBdr>
    </w:div>
    <w:div w:id="255553938">
      <w:bodyDiv w:val="1"/>
      <w:marLeft w:val="0"/>
      <w:marRight w:val="0"/>
      <w:marTop w:val="0"/>
      <w:marBottom w:val="0"/>
      <w:divBdr>
        <w:top w:val="none" w:sz="0" w:space="0" w:color="auto"/>
        <w:left w:val="none" w:sz="0" w:space="0" w:color="auto"/>
        <w:bottom w:val="none" w:sz="0" w:space="0" w:color="auto"/>
        <w:right w:val="none" w:sz="0" w:space="0" w:color="auto"/>
      </w:divBdr>
    </w:div>
    <w:div w:id="274941970">
      <w:bodyDiv w:val="1"/>
      <w:marLeft w:val="0"/>
      <w:marRight w:val="0"/>
      <w:marTop w:val="0"/>
      <w:marBottom w:val="0"/>
      <w:divBdr>
        <w:top w:val="none" w:sz="0" w:space="0" w:color="auto"/>
        <w:left w:val="none" w:sz="0" w:space="0" w:color="auto"/>
        <w:bottom w:val="none" w:sz="0" w:space="0" w:color="auto"/>
        <w:right w:val="none" w:sz="0" w:space="0" w:color="auto"/>
      </w:divBdr>
    </w:div>
    <w:div w:id="275331383">
      <w:bodyDiv w:val="1"/>
      <w:marLeft w:val="0"/>
      <w:marRight w:val="0"/>
      <w:marTop w:val="0"/>
      <w:marBottom w:val="0"/>
      <w:divBdr>
        <w:top w:val="none" w:sz="0" w:space="0" w:color="auto"/>
        <w:left w:val="none" w:sz="0" w:space="0" w:color="auto"/>
        <w:bottom w:val="none" w:sz="0" w:space="0" w:color="auto"/>
        <w:right w:val="none" w:sz="0" w:space="0" w:color="auto"/>
      </w:divBdr>
    </w:div>
    <w:div w:id="315454484">
      <w:bodyDiv w:val="1"/>
      <w:marLeft w:val="0"/>
      <w:marRight w:val="0"/>
      <w:marTop w:val="0"/>
      <w:marBottom w:val="0"/>
      <w:divBdr>
        <w:top w:val="none" w:sz="0" w:space="0" w:color="auto"/>
        <w:left w:val="none" w:sz="0" w:space="0" w:color="auto"/>
        <w:bottom w:val="none" w:sz="0" w:space="0" w:color="auto"/>
        <w:right w:val="none" w:sz="0" w:space="0" w:color="auto"/>
      </w:divBdr>
    </w:div>
    <w:div w:id="333924015">
      <w:bodyDiv w:val="1"/>
      <w:marLeft w:val="0"/>
      <w:marRight w:val="0"/>
      <w:marTop w:val="0"/>
      <w:marBottom w:val="0"/>
      <w:divBdr>
        <w:top w:val="none" w:sz="0" w:space="0" w:color="auto"/>
        <w:left w:val="none" w:sz="0" w:space="0" w:color="auto"/>
        <w:bottom w:val="none" w:sz="0" w:space="0" w:color="auto"/>
        <w:right w:val="none" w:sz="0" w:space="0" w:color="auto"/>
      </w:divBdr>
    </w:div>
    <w:div w:id="340788216">
      <w:bodyDiv w:val="1"/>
      <w:marLeft w:val="0"/>
      <w:marRight w:val="0"/>
      <w:marTop w:val="0"/>
      <w:marBottom w:val="0"/>
      <w:divBdr>
        <w:top w:val="none" w:sz="0" w:space="0" w:color="auto"/>
        <w:left w:val="none" w:sz="0" w:space="0" w:color="auto"/>
        <w:bottom w:val="none" w:sz="0" w:space="0" w:color="auto"/>
        <w:right w:val="none" w:sz="0" w:space="0" w:color="auto"/>
      </w:divBdr>
    </w:div>
    <w:div w:id="347365220">
      <w:bodyDiv w:val="1"/>
      <w:marLeft w:val="0"/>
      <w:marRight w:val="0"/>
      <w:marTop w:val="0"/>
      <w:marBottom w:val="0"/>
      <w:divBdr>
        <w:top w:val="none" w:sz="0" w:space="0" w:color="auto"/>
        <w:left w:val="none" w:sz="0" w:space="0" w:color="auto"/>
        <w:bottom w:val="none" w:sz="0" w:space="0" w:color="auto"/>
        <w:right w:val="none" w:sz="0" w:space="0" w:color="auto"/>
      </w:divBdr>
    </w:div>
    <w:div w:id="352925401">
      <w:bodyDiv w:val="1"/>
      <w:marLeft w:val="0"/>
      <w:marRight w:val="0"/>
      <w:marTop w:val="0"/>
      <w:marBottom w:val="0"/>
      <w:divBdr>
        <w:top w:val="none" w:sz="0" w:space="0" w:color="auto"/>
        <w:left w:val="none" w:sz="0" w:space="0" w:color="auto"/>
        <w:bottom w:val="none" w:sz="0" w:space="0" w:color="auto"/>
        <w:right w:val="none" w:sz="0" w:space="0" w:color="auto"/>
      </w:divBdr>
    </w:div>
    <w:div w:id="399597105">
      <w:bodyDiv w:val="1"/>
      <w:marLeft w:val="0"/>
      <w:marRight w:val="0"/>
      <w:marTop w:val="0"/>
      <w:marBottom w:val="0"/>
      <w:divBdr>
        <w:top w:val="none" w:sz="0" w:space="0" w:color="auto"/>
        <w:left w:val="none" w:sz="0" w:space="0" w:color="auto"/>
        <w:bottom w:val="none" w:sz="0" w:space="0" w:color="auto"/>
        <w:right w:val="none" w:sz="0" w:space="0" w:color="auto"/>
      </w:divBdr>
    </w:div>
    <w:div w:id="406224108">
      <w:bodyDiv w:val="1"/>
      <w:marLeft w:val="0"/>
      <w:marRight w:val="0"/>
      <w:marTop w:val="0"/>
      <w:marBottom w:val="0"/>
      <w:divBdr>
        <w:top w:val="none" w:sz="0" w:space="0" w:color="auto"/>
        <w:left w:val="none" w:sz="0" w:space="0" w:color="auto"/>
        <w:bottom w:val="none" w:sz="0" w:space="0" w:color="auto"/>
        <w:right w:val="none" w:sz="0" w:space="0" w:color="auto"/>
      </w:divBdr>
    </w:div>
    <w:div w:id="430659595">
      <w:bodyDiv w:val="1"/>
      <w:marLeft w:val="0"/>
      <w:marRight w:val="0"/>
      <w:marTop w:val="0"/>
      <w:marBottom w:val="0"/>
      <w:divBdr>
        <w:top w:val="none" w:sz="0" w:space="0" w:color="auto"/>
        <w:left w:val="none" w:sz="0" w:space="0" w:color="auto"/>
        <w:bottom w:val="none" w:sz="0" w:space="0" w:color="auto"/>
        <w:right w:val="none" w:sz="0" w:space="0" w:color="auto"/>
      </w:divBdr>
    </w:div>
    <w:div w:id="437332221">
      <w:bodyDiv w:val="1"/>
      <w:marLeft w:val="0"/>
      <w:marRight w:val="0"/>
      <w:marTop w:val="0"/>
      <w:marBottom w:val="0"/>
      <w:divBdr>
        <w:top w:val="none" w:sz="0" w:space="0" w:color="auto"/>
        <w:left w:val="none" w:sz="0" w:space="0" w:color="auto"/>
        <w:bottom w:val="none" w:sz="0" w:space="0" w:color="auto"/>
        <w:right w:val="none" w:sz="0" w:space="0" w:color="auto"/>
      </w:divBdr>
    </w:div>
    <w:div w:id="455220550">
      <w:bodyDiv w:val="1"/>
      <w:marLeft w:val="0"/>
      <w:marRight w:val="0"/>
      <w:marTop w:val="0"/>
      <w:marBottom w:val="0"/>
      <w:divBdr>
        <w:top w:val="none" w:sz="0" w:space="0" w:color="auto"/>
        <w:left w:val="none" w:sz="0" w:space="0" w:color="auto"/>
        <w:bottom w:val="none" w:sz="0" w:space="0" w:color="auto"/>
        <w:right w:val="none" w:sz="0" w:space="0" w:color="auto"/>
      </w:divBdr>
    </w:div>
    <w:div w:id="471600339">
      <w:bodyDiv w:val="1"/>
      <w:marLeft w:val="0"/>
      <w:marRight w:val="0"/>
      <w:marTop w:val="0"/>
      <w:marBottom w:val="0"/>
      <w:divBdr>
        <w:top w:val="none" w:sz="0" w:space="0" w:color="auto"/>
        <w:left w:val="none" w:sz="0" w:space="0" w:color="auto"/>
        <w:bottom w:val="none" w:sz="0" w:space="0" w:color="auto"/>
        <w:right w:val="none" w:sz="0" w:space="0" w:color="auto"/>
      </w:divBdr>
    </w:div>
    <w:div w:id="472529180">
      <w:bodyDiv w:val="1"/>
      <w:marLeft w:val="0"/>
      <w:marRight w:val="0"/>
      <w:marTop w:val="0"/>
      <w:marBottom w:val="0"/>
      <w:divBdr>
        <w:top w:val="none" w:sz="0" w:space="0" w:color="auto"/>
        <w:left w:val="none" w:sz="0" w:space="0" w:color="auto"/>
        <w:bottom w:val="none" w:sz="0" w:space="0" w:color="auto"/>
        <w:right w:val="none" w:sz="0" w:space="0" w:color="auto"/>
      </w:divBdr>
    </w:div>
    <w:div w:id="492766624">
      <w:bodyDiv w:val="1"/>
      <w:marLeft w:val="0"/>
      <w:marRight w:val="0"/>
      <w:marTop w:val="0"/>
      <w:marBottom w:val="0"/>
      <w:divBdr>
        <w:top w:val="none" w:sz="0" w:space="0" w:color="auto"/>
        <w:left w:val="none" w:sz="0" w:space="0" w:color="auto"/>
        <w:bottom w:val="none" w:sz="0" w:space="0" w:color="auto"/>
        <w:right w:val="none" w:sz="0" w:space="0" w:color="auto"/>
      </w:divBdr>
    </w:div>
    <w:div w:id="497616357">
      <w:bodyDiv w:val="1"/>
      <w:marLeft w:val="0"/>
      <w:marRight w:val="0"/>
      <w:marTop w:val="0"/>
      <w:marBottom w:val="0"/>
      <w:divBdr>
        <w:top w:val="none" w:sz="0" w:space="0" w:color="auto"/>
        <w:left w:val="none" w:sz="0" w:space="0" w:color="auto"/>
        <w:bottom w:val="none" w:sz="0" w:space="0" w:color="auto"/>
        <w:right w:val="none" w:sz="0" w:space="0" w:color="auto"/>
      </w:divBdr>
    </w:div>
    <w:div w:id="525799719">
      <w:bodyDiv w:val="1"/>
      <w:marLeft w:val="0"/>
      <w:marRight w:val="0"/>
      <w:marTop w:val="0"/>
      <w:marBottom w:val="0"/>
      <w:divBdr>
        <w:top w:val="none" w:sz="0" w:space="0" w:color="auto"/>
        <w:left w:val="none" w:sz="0" w:space="0" w:color="auto"/>
        <w:bottom w:val="none" w:sz="0" w:space="0" w:color="auto"/>
        <w:right w:val="none" w:sz="0" w:space="0" w:color="auto"/>
      </w:divBdr>
    </w:div>
    <w:div w:id="537086305">
      <w:bodyDiv w:val="1"/>
      <w:marLeft w:val="0"/>
      <w:marRight w:val="0"/>
      <w:marTop w:val="0"/>
      <w:marBottom w:val="0"/>
      <w:divBdr>
        <w:top w:val="none" w:sz="0" w:space="0" w:color="auto"/>
        <w:left w:val="none" w:sz="0" w:space="0" w:color="auto"/>
        <w:bottom w:val="none" w:sz="0" w:space="0" w:color="auto"/>
        <w:right w:val="none" w:sz="0" w:space="0" w:color="auto"/>
      </w:divBdr>
    </w:div>
    <w:div w:id="555893462">
      <w:bodyDiv w:val="1"/>
      <w:marLeft w:val="0"/>
      <w:marRight w:val="0"/>
      <w:marTop w:val="0"/>
      <w:marBottom w:val="0"/>
      <w:divBdr>
        <w:top w:val="none" w:sz="0" w:space="0" w:color="auto"/>
        <w:left w:val="none" w:sz="0" w:space="0" w:color="auto"/>
        <w:bottom w:val="none" w:sz="0" w:space="0" w:color="auto"/>
        <w:right w:val="none" w:sz="0" w:space="0" w:color="auto"/>
      </w:divBdr>
    </w:div>
    <w:div w:id="558128067">
      <w:bodyDiv w:val="1"/>
      <w:marLeft w:val="0"/>
      <w:marRight w:val="0"/>
      <w:marTop w:val="0"/>
      <w:marBottom w:val="0"/>
      <w:divBdr>
        <w:top w:val="none" w:sz="0" w:space="0" w:color="auto"/>
        <w:left w:val="none" w:sz="0" w:space="0" w:color="auto"/>
        <w:bottom w:val="none" w:sz="0" w:space="0" w:color="auto"/>
        <w:right w:val="none" w:sz="0" w:space="0" w:color="auto"/>
      </w:divBdr>
    </w:div>
    <w:div w:id="674646504">
      <w:bodyDiv w:val="1"/>
      <w:marLeft w:val="0"/>
      <w:marRight w:val="0"/>
      <w:marTop w:val="0"/>
      <w:marBottom w:val="0"/>
      <w:divBdr>
        <w:top w:val="none" w:sz="0" w:space="0" w:color="auto"/>
        <w:left w:val="none" w:sz="0" w:space="0" w:color="auto"/>
        <w:bottom w:val="none" w:sz="0" w:space="0" w:color="auto"/>
        <w:right w:val="none" w:sz="0" w:space="0" w:color="auto"/>
      </w:divBdr>
    </w:div>
    <w:div w:id="681666346">
      <w:bodyDiv w:val="1"/>
      <w:marLeft w:val="0"/>
      <w:marRight w:val="0"/>
      <w:marTop w:val="0"/>
      <w:marBottom w:val="0"/>
      <w:divBdr>
        <w:top w:val="none" w:sz="0" w:space="0" w:color="auto"/>
        <w:left w:val="none" w:sz="0" w:space="0" w:color="auto"/>
        <w:bottom w:val="none" w:sz="0" w:space="0" w:color="auto"/>
        <w:right w:val="none" w:sz="0" w:space="0" w:color="auto"/>
      </w:divBdr>
    </w:div>
    <w:div w:id="723140528">
      <w:bodyDiv w:val="1"/>
      <w:marLeft w:val="0"/>
      <w:marRight w:val="0"/>
      <w:marTop w:val="0"/>
      <w:marBottom w:val="0"/>
      <w:divBdr>
        <w:top w:val="none" w:sz="0" w:space="0" w:color="auto"/>
        <w:left w:val="none" w:sz="0" w:space="0" w:color="auto"/>
        <w:bottom w:val="none" w:sz="0" w:space="0" w:color="auto"/>
        <w:right w:val="none" w:sz="0" w:space="0" w:color="auto"/>
      </w:divBdr>
    </w:div>
    <w:div w:id="740175583">
      <w:bodyDiv w:val="1"/>
      <w:marLeft w:val="0"/>
      <w:marRight w:val="0"/>
      <w:marTop w:val="0"/>
      <w:marBottom w:val="0"/>
      <w:divBdr>
        <w:top w:val="none" w:sz="0" w:space="0" w:color="auto"/>
        <w:left w:val="none" w:sz="0" w:space="0" w:color="auto"/>
        <w:bottom w:val="none" w:sz="0" w:space="0" w:color="auto"/>
        <w:right w:val="none" w:sz="0" w:space="0" w:color="auto"/>
      </w:divBdr>
    </w:div>
    <w:div w:id="765269517">
      <w:bodyDiv w:val="1"/>
      <w:marLeft w:val="0"/>
      <w:marRight w:val="0"/>
      <w:marTop w:val="0"/>
      <w:marBottom w:val="0"/>
      <w:divBdr>
        <w:top w:val="none" w:sz="0" w:space="0" w:color="auto"/>
        <w:left w:val="none" w:sz="0" w:space="0" w:color="auto"/>
        <w:bottom w:val="none" w:sz="0" w:space="0" w:color="auto"/>
        <w:right w:val="none" w:sz="0" w:space="0" w:color="auto"/>
      </w:divBdr>
    </w:div>
    <w:div w:id="771315632">
      <w:bodyDiv w:val="1"/>
      <w:marLeft w:val="0"/>
      <w:marRight w:val="0"/>
      <w:marTop w:val="0"/>
      <w:marBottom w:val="0"/>
      <w:divBdr>
        <w:top w:val="none" w:sz="0" w:space="0" w:color="auto"/>
        <w:left w:val="none" w:sz="0" w:space="0" w:color="auto"/>
        <w:bottom w:val="none" w:sz="0" w:space="0" w:color="auto"/>
        <w:right w:val="none" w:sz="0" w:space="0" w:color="auto"/>
      </w:divBdr>
    </w:div>
    <w:div w:id="780732753">
      <w:bodyDiv w:val="1"/>
      <w:marLeft w:val="0"/>
      <w:marRight w:val="0"/>
      <w:marTop w:val="0"/>
      <w:marBottom w:val="0"/>
      <w:divBdr>
        <w:top w:val="none" w:sz="0" w:space="0" w:color="auto"/>
        <w:left w:val="none" w:sz="0" w:space="0" w:color="auto"/>
        <w:bottom w:val="none" w:sz="0" w:space="0" w:color="auto"/>
        <w:right w:val="none" w:sz="0" w:space="0" w:color="auto"/>
      </w:divBdr>
    </w:div>
    <w:div w:id="790246145">
      <w:bodyDiv w:val="1"/>
      <w:marLeft w:val="0"/>
      <w:marRight w:val="0"/>
      <w:marTop w:val="0"/>
      <w:marBottom w:val="0"/>
      <w:divBdr>
        <w:top w:val="none" w:sz="0" w:space="0" w:color="auto"/>
        <w:left w:val="none" w:sz="0" w:space="0" w:color="auto"/>
        <w:bottom w:val="none" w:sz="0" w:space="0" w:color="auto"/>
        <w:right w:val="none" w:sz="0" w:space="0" w:color="auto"/>
      </w:divBdr>
    </w:div>
    <w:div w:id="794720407">
      <w:bodyDiv w:val="1"/>
      <w:marLeft w:val="0"/>
      <w:marRight w:val="0"/>
      <w:marTop w:val="0"/>
      <w:marBottom w:val="0"/>
      <w:divBdr>
        <w:top w:val="none" w:sz="0" w:space="0" w:color="auto"/>
        <w:left w:val="none" w:sz="0" w:space="0" w:color="auto"/>
        <w:bottom w:val="none" w:sz="0" w:space="0" w:color="auto"/>
        <w:right w:val="none" w:sz="0" w:space="0" w:color="auto"/>
      </w:divBdr>
    </w:div>
    <w:div w:id="802230879">
      <w:bodyDiv w:val="1"/>
      <w:marLeft w:val="0"/>
      <w:marRight w:val="0"/>
      <w:marTop w:val="0"/>
      <w:marBottom w:val="0"/>
      <w:divBdr>
        <w:top w:val="none" w:sz="0" w:space="0" w:color="auto"/>
        <w:left w:val="none" w:sz="0" w:space="0" w:color="auto"/>
        <w:bottom w:val="none" w:sz="0" w:space="0" w:color="auto"/>
        <w:right w:val="none" w:sz="0" w:space="0" w:color="auto"/>
      </w:divBdr>
    </w:div>
    <w:div w:id="817573571">
      <w:bodyDiv w:val="1"/>
      <w:marLeft w:val="0"/>
      <w:marRight w:val="0"/>
      <w:marTop w:val="0"/>
      <w:marBottom w:val="0"/>
      <w:divBdr>
        <w:top w:val="none" w:sz="0" w:space="0" w:color="auto"/>
        <w:left w:val="none" w:sz="0" w:space="0" w:color="auto"/>
        <w:bottom w:val="none" w:sz="0" w:space="0" w:color="auto"/>
        <w:right w:val="none" w:sz="0" w:space="0" w:color="auto"/>
      </w:divBdr>
    </w:div>
    <w:div w:id="827356794">
      <w:bodyDiv w:val="1"/>
      <w:marLeft w:val="0"/>
      <w:marRight w:val="0"/>
      <w:marTop w:val="0"/>
      <w:marBottom w:val="0"/>
      <w:divBdr>
        <w:top w:val="none" w:sz="0" w:space="0" w:color="auto"/>
        <w:left w:val="none" w:sz="0" w:space="0" w:color="auto"/>
        <w:bottom w:val="none" w:sz="0" w:space="0" w:color="auto"/>
        <w:right w:val="none" w:sz="0" w:space="0" w:color="auto"/>
      </w:divBdr>
    </w:div>
    <w:div w:id="828717842">
      <w:bodyDiv w:val="1"/>
      <w:marLeft w:val="0"/>
      <w:marRight w:val="0"/>
      <w:marTop w:val="0"/>
      <w:marBottom w:val="0"/>
      <w:divBdr>
        <w:top w:val="none" w:sz="0" w:space="0" w:color="auto"/>
        <w:left w:val="none" w:sz="0" w:space="0" w:color="auto"/>
        <w:bottom w:val="none" w:sz="0" w:space="0" w:color="auto"/>
        <w:right w:val="none" w:sz="0" w:space="0" w:color="auto"/>
      </w:divBdr>
    </w:div>
    <w:div w:id="834608840">
      <w:bodyDiv w:val="1"/>
      <w:marLeft w:val="0"/>
      <w:marRight w:val="0"/>
      <w:marTop w:val="0"/>
      <w:marBottom w:val="0"/>
      <w:divBdr>
        <w:top w:val="none" w:sz="0" w:space="0" w:color="auto"/>
        <w:left w:val="none" w:sz="0" w:space="0" w:color="auto"/>
        <w:bottom w:val="none" w:sz="0" w:space="0" w:color="auto"/>
        <w:right w:val="none" w:sz="0" w:space="0" w:color="auto"/>
      </w:divBdr>
    </w:div>
    <w:div w:id="837188397">
      <w:bodyDiv w:val="1"/>
      <w:marLeft w:val="0"/>
      <w:marRight w:val="0"/>
      <w:marTop w:val="0"/>
      <w:marBottom w:val="0"/>
      <w:divBdr>
        <w:top w:val="none" w:sz="0" w:space="0" w:color="auto"/>
        <w:left w:val="none" w:sz="0" w:space="0" w:color="auto"/>
        <w:bottom w:val="none" w:sz="0" w:space="0" w:color="auto"/>
        <w:right w:val="none" w:sz="0" w:space="0" w:color="auto"/>
      </w:divBdr>
    </w:div>
    <w:div w:id="845897642">
      <w:bodyDiv w:val="1"/>
      <w:marLeft w:val="0"/>
      <w:marRight w:val="0"/>
      <w:marTop w:val="0"/>
      <w:marBottom w:val="0"/>
      <w:divBdr>
        <w:top w:val="none" w:sz="0" w:space="0" w:color="auto"/>
        <w:left w:val="none" w:sz="0" w:space="0" w:color="auto"/>
        <w:bottom w:val="none" w:sz="0" w:space="0" w:color="auto"/>
        <w:right w:val="none" w:sz="0" w:space="0" w:color="auto"/>
      </w:divBdr>
    </w:div>
    <w:div w:id="850679521">
      <w:bodyDiv w:val="1"/>
      <w:marLeft w:val="0"/>
      <w:marRight w:val="0"/>
      <w:marTop w:val="0"/>
      <w:marBottom w:val="0"/>
      <w:divBdr>
        <w:top w:val="none" w:sz="0" w:space="0" w:color="auto"/>
        <w:left w:val="none" w:sz="0" w:space="0" w:color="auto"/>
        <w:bottom w:val="none" w:sz="0" w:space="0" w:color="auto"/>
        <w:right w:val="none" w:sz="0" w:space="0" w:color="auto"/>
      </w:divBdr>
    </w:div>
    <w:div w:id="870187277">
      <w:bodyDiv w:val="1"/>
      <w:marLeft w:val="0"/>
      <w:marRight w:val="0"/>
      <w:marTop w:val="0"/>
      <w:marBottom w:val="0"/>
      <w:divBdr>
        <w:top w:val="none" w:sz="0" w:space="0" w:color="auto"/>
        <w:left w:val="none" w:sz="0" w:space="0" w:color="auto"/>
        <w:bottom w:val="none" w:sz="0" w:space="0" w:color="auto"/>
        <w:right w:val="none" w:sz="0" w:space="0" w:color="auto"/>
      </w:divBdr>
    </w:div>
    <w:div w:id="877815064">
      <w:bodyDiv w:val="1"/>
      <w:marLeft w:val="0"/>
      <w:marRight w:val="0"/>
      <w:marTop w:val="0"/>
      <w:marBottom w:val="0"/>
      <w:divBdr>
        <w:top w:val="none" w:sz="0" w:space="0" w:color="auto"/>
        <w:left w:val="none" w:sz="0" w:space="0" w:color="auto"/>
        <w:bottom w:val="none" w:sz="0" w:space="0" w:color="auto"/>
        <w:right w:val="none" w:sz="0" w:space="0" w:color="auto"/>
      </w:divBdr>
      <w:divsChild>
        <w:div w:id="1292633337">
          <w:marLeft w:val="0"/>
          <w:marRight w:val="0"/>
          <w:marTop w:val="0"/>
          <w:marBottom w:val="0"/>
          <w:divBdr>
            <w:top w:val="none" w:sz="0" w:space="0" w:color="auto"/>
            <w:left w:val="none" w:sz="0" w:space="0" w:color="auto"/>
            <w:bottom w:val="none" w:sz="0" w:space="0" w:color="auto"/>
            <w:right w:val="none" w:sz="0" w:space="0" w:color="auto"/>
          </w:divBdr>
        </w:div>
        <w:div w:id="1185093994">
          <w:marLeft w:val="0"/>
          <w:marRight w:val="0"/>
          <w:marTop w:val="0"/>
          <w:marBottom w:val="0"/>
          <w:divBdr>
            <w:top w:val="none" w:sz="0" w:space="0" w:color="auto"/>
            <w:left w:val="none" w:sz="0" w:space="0" w:color="auto"/>
            <w:bottom w:val="none" w:sz="0" w:space="0" w:color="auto"/>
            <w:right w:val="none" w:sz="0" w:space="0" w:color="auto"/>
          </w:divBdr>
          <w:divsChild>
            <w:div w:id="1199128799">
              <w:marLeft w:val="0"/>
              <w:marRight w:val="0"/>
              <w:marTop w:val="0"/>
              <w:marBottom w:val="0"/>
              <w:divBdr>
                <w:top w:val="none" w:sz="0" w:space="0" w:color="auto"/>
                <w:left w:val="none" w:sz="0" w:space="0" w:color="auto"/>
                <w:bottom w:val="none" w:sz="0" w:space="0" w:color="auto"/>
                <w:right w:val="none" w:sz="0" w:space="0" w:color="auto"/>
              </w:divBdr>
              <w:divsChild>
                <w:div w:id="1632713382">
                  <w:marLeft w:val="0"/>
                  <w:marRight w:val="0"/>
                  <w:marTop w:val="0"/>
                  <w:marBottom w:val="0"/>
                  <w:divBdr>
                    <w:top w:val="none" w:sz="0" w:space="0" w:color="auto"/>
                    <w:left w:val="none" w:sz="0" w:space="0" w:color="auto"/>
                    <w:bottom w:val="none" w:sz="0" w:space="0" w:color="auto"/>
                    <w:right w:val="none" w:sz="0" w:space="0" w:color="auto"/>
                  </w:divBdr>
                  <w:divsChild>
                    <w:div w:id="2029023934">
                      <w:marLeft w:val="0"/>
                      <w:marRight w:val="0"/>
                      <w:marTop w:val="0"/>
                      <w:marBottom w:val="0"/>
                      <w:divBdr>
                        <w:top w:val="none" w:sz="0" w:space="0" w:color="auto"/>
                        <w:left w:val="none" w:sz="0" w:space="0" w:color="auto"/>
                        <w:bottom w:val="none" w:sz="0" w:space="0" w:color="auto"/>
                        <w:right w:val="none" w:sz="0" w:space="0" w:color="auto"/>
                      </w:divBdr>
                      <w:divsChild>
                        <w:div w:id="1392970113">
                          <w:marLeft w:val="0"/>
                          <w:marRight w:val="0"/>
                          <w:marTop w:val="0"/>
                          <w:marBottom w:val="0"/>
                          <w:divBdr>
                            <w:top w:val="none" w:sz="0" w:space="0" w:color="auto"/>
                            <w:left w:val="none" w:sz="0" w:space="0" w:color="auto"/>
                            <w:bottom w:val="none" w:sz="0" w:space="0" w:color="auto"/>
                            <w:right w:val="none" w:sz="0" w:space="0" w:color="auto"/>
                          </w:divBdr>
                          <w:divsChild>
                            <w:div w:id="1906646676">
                              <w:marLeft w:val="0"/>
                              <w:marRight w:val="0"/>
                              <w:marTop w:val="0"/>
                              <w:marBottom w:val="0"/>
                              <w:divBdr>
                                <w:top w:val="none" w:sz="0" w:space="0" w:color="auto"/>
                                <w:left w:val="none" w:sz="0" w:space="0" w:color="auto"/>
                                <w:bottom w:val="none" w:sz="0" w:space="0" w:color="auto"/>
                                <w:right w:val="none" w:sz="0" w:space="0" w:color="auto"/>
                              </w:divBdr>
                              <w:divsChild>
                                <w:div w:id="1318069080">
                                  <w:marLeft w:val="0"/>
                                  <w:marRight w:val="0"/>
                                  <w:marTop w:val="0"/>
                                  <w:marBottom w:val="0"/>
                                  <w:divBdr>
                                    <w:top w:val="none" w:sz="0" w:space="0" w:color="auto"/>
                                    <w:left w:val="none" w:sz="0" w:space="0" w:color="auto"/>
                                    <w:bottom w:val="none" w:sz="0" w:space="0" w:color="auto"/>
                                    <w:right w:val="none" w:sz="0" w:space="0" w:color="auto"/>
                                  </w:divBdr>
                                  <w:divsChild>
                                    <w:div w:id="1720010037">
                                      <w:marLeft w:val="0"/>
                                      <w:marRight w:val="0"/>
                                      <w:marTop w:val="0"/>
                                      <w:marBottom w:val="0"/>
                                      <w:divBdr>
                                        <w:top w:val="none" w:sz="0" w:space="0" w:color="auto"/>
                                        <w:left w:val="none" w:sz="0" w:space="0" w:color="auto"/>
                                        <w:bottom w:val="none" w:sz="0" w:space="0" w:color="auto"/>
                                        <w:right w:val="none" w:sz="0" w:space="0" w:color="auto"/>
                                      </w:divBdr>
                                      <w:divsChild>
                                        <w:div w:id="1518930821">
                                          <w:marLeft w:val="0"/>
                                          <w:marRight w:val="0"/>
                                          <w:marTop w:val="0"/>
                                          <w:marBottom w:val="0"/>
                                          <w:divBdr>
                                            <w:top w:val="none" w:sz="0" w:space="0" w:color="auto"/>
                                            <w:left w:val="none" w:sz="0" w:space="0" w:color="auto"/>
                                            <w:bottom w:val="none" w:sz="0" w:space="0" w:color="auto"/>
                                            <w:right w:val="none" w:sz="0" w:space="0" w:color="auto"/>
                                          </w:divBdr>
                                          <w:divsChild>
                                            <w:div w:id="72245586">
                                              <w:marLeft w:val="0"/>
                                              <w:marRight w:val="0"/>
                                              <w:marTop w:val="0"/>
                                              <w:marBottom w:val="0"/>
                                              <w:divBdr>
                                                <w:top w:val="none" w:sz="0" w:space="0" w:color="auto"/>
                                                <w:left w:val="none" w:sz="0" w:space="0" w:color="auto"/>
                                                <w:bottom w:val="none" w:sz="0" w:space="0" w:color="auto"/>
                                                <w:right w:val="none" w:sz="0" w:space="0" w:color="auto"/>
                                              </w:divBdr>
                                              <w:divsChild>
                                                <w:div w:id="198824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1260293">
      <w:bodyDiv w:val="1"/>
      <w:marLeft w:val="0"/>
      <w:marRight w:val="0"/>
      <w:marTop w:val="0"/>
      <w:marBottom w:val="0"/>
      <w:divBdr>
        <w:top w:val="none" w:sz="0" w:space="0" w:color="auto"/>
        <w:left w:val="none" w:sz="0" w:space="0" w:color="auto"/>
        <w:bottom w:val="none" w:sz="0" w:space="0" w:color="auto"/>
        <w:right w:val="none" w:sz="0" w:space="0" w:color="auto"/>
      </w:divBdr>
    </w:div>
    <w:div w:id="936715352">
      <w:bodyDiv w:val="1"/>
      <w:marLeft w:val="0"/>
      <w:marRight w:val="0"/>
      <w:marTop w:val="0"/>
      <w:marBottom w:val="0"/>
      <w:divBdr>
        <w:top w:val="none" w:sz="0" w:space="0" w:color="auto"/>
        <w:left w:val="none" w:sz="0" w:space="0" w:color="auto"/>
        <w:bottom w:val="none" w:sz="0" w:space="0" w:color="auto"/>
        <w:right w:val="none" w:sz="0" w:space="0" w:color="auto"/>
      </w:divBdr>
    </w:div>
    <w:div w:id="950818387">
      <w:bodyDiv w:val="1"/>
      <w:marLeft w:val="0"/>
      <w:marRight w:val="0"/>
      <w:marTop w:val="0"/>
      <w:marBottom w:val="0"/>
      <w:divBdr>
        <w:top w:val="none" w:sz="0" w:space="0" w:color="auto"/>
        <w:left w:val="none" w:sz="0" w:space="0" w:color="auto"/>
        <w:bottom w:val="none" w:sz="0" w:space="0" w:color="auto"/>
        <w:right w:val="none" w:sz="0" w:space="0" w:color="auto"/>
      </w:divBdr>
    </w:div>
    <w:div w:id="991257066">
      <w:bodyDiv w:val="1"/>
      <w:marLeft w:val="0"/>
      <w:marRight w:val="0"/>
      <w:marTop w:val="0"/>
      <w:marBottom w:val="0"/>
      <w:divBdr>
        <w:top w:val="none" w:sz="0" w:space="0" w:color="auto"/>
        <w:left w:val="none" w:sz="0" w:space="0" w:color="auto"/>
        <w:bottom w:val="none" w:sz="0" w:space="0" w:color="auto"/>
        <w:right w:val="none" w:sz="0" w:space="0" w:color="auto"/>
      </w:divBdr>
    </w:div>
    <w:div w:id="997463603">
      <w:bodyDiv w:val="1"/>
      <w:marLeft w:val="0"/>
      <w:marRight w:val="0"/>
      <w:marTop w:val="0"/>
      <w:marBottom w:val="0"/>
      <w:divBdr>
        <w:top w:val="none" w:sz="0" w:space="0" w:color="auto"/>
        <w:left w:val="none" w:sz="0" w:space="0" w:color="auto"/>
        <w:bottom w:val="none" w:sz="0" w:space="0" w:color="auto"/>
        <w:right w:val="none" w:sz="0" w:space="0" w:color="auto"/>
      </w:divBdr>
    </w:div>
    <w:div w:id="1037043042">
      <w:bodyDiv w:val="1"/>
      <w:marLeft w:val="0"/>
      <w:marRight w:val="0"/>
      <w:marTop w:val="0"/>
      <w:marBottom w:val="0"/>
      <w:divBdr>
        <w:top w:val="none" w:sz="0" w:space="0" w:color="auto"/>
        <w:left w:val="none" w:sz="0" w:space="0" w:color="auto"/>
        <w:bottom w:val="none" w:sz="0" w:space="0" w:color="auto"/>
        <w:right w:val="none" w:sz="0" w:space="0" w:color="auto"/>
      </w:divBdr>
    </w:div>
    <w:div w:id="1044258287">
      <w:bodyDiv w:val="1"/>
      <w:marLeft w:val="0"/>
      <w:marRight w:val="0"/>
      <w:marTop w:val="0"/>
      <w:marBottom w:val="0"/>
      <w:divBdr>
        <w:top w:val="none" w:sz="0" w:space="0" w:color="auto"/>
        <w:left w:val="none" w:sz="0" w:space="0" w:color="auto"/>
        <w:bottom w:val="none" w:sz="0" w:space="0" w:color="auto"/>
        <w:right w:val="none" w:sz="0" w:space="0" w:color="auto"/>
      </w:divBdr>
    </w:div>
    <w:div w:id="1097211793">
      <w:bodyDiv w:val="1"/>
      <w:marLeft w:val="0"/>
      <w:marRight w:val="0"/>
      <w:marTop w:val="0"/>
      <w:marBottom w:val="0"/>
      <w:divBdr>
        <w:top w:val="none" w:sz="0" w:space="0" w:color="auto"/>
        <w:left w:val="none" w:sz="0" w:space="0" w:color="auto"/>
        <w:bottom w:val="none" w:sz="0" w:space="0" w:color="auto"/>
        <w:right w:val="none" w:sz="0" w:space="0" w:color="auto"/>
      </w:divBdr>
    </w:div>
    <w:div w:id="1101536675">
      <w:bodyDiv w:val="1"/>
      <w:marLeft w:val="0"/>
      <w:marRight w:val="0"/>
      <w:marTop w:val="0"/>
      <w:marBottom w:val="0"/>
      <w:divBdr>
        <w:top w:val="none" w:sz="0" w:space="0" w:color="auto"/>
        <w:left w:val="none" w:sz="0" w:space="0" w:color="auto"/>
        <w:bottom w:val="none" w:sz="0" w:space="0" w:color="auto"/>
        <w:right w:val="none" w:sz="0" w:space="0" w:color="auto"/>
      </w:divBdr>
    </w:div>
    <w:div w:id="1108962216">
      <w:bodyDiv w:val="1"/>
      <w:marLeft w:val="0"/>
      <w:marRight w:val="0"/>
      <w:marTop w:val="0"/>
      <w:marBottom w:val="0"/>
      <w:divBdr>
        <w:top w:val="none" w:sz="0" w:space="0" w:color="auto"/>
        <w:left w:val="none" w:sz="0" w:space="0" w:color="auto"/>
        <w:bottom w:val="none" w:sz="0" w:space="0" w:color="auto"/>
        <w:right w:val="none" w:sz="0" w:space="0" w:color="auto"/>
      </w:divBdr>
    </w:div>
    <w:div w:id="1115447639">
      <w:bodyDiv w:val="1"/>
      <w:marLeft w:val="0"/>
      <w:marRight w:val="0"/>
      <w:marTop w:val="0"/>
      <w:marBottom w:val="0"/>
      <w:divBdr>
        <w:top w:val="none" w:sz="0" w:space="0" w:color="auto"/>
        <w:left w:val="none" w:sz="0" w:space="0" w:color="auto"/>
        <w:bottom w:val="none" w:sz="0" w:space="0" w:color="auto"/>
        <w:right w:val="none" w:sz="0" w:space="0" w:color="auto"/>
      </w:divBdr>
    </w:div>
    <w:div w:id="1120341191">
      <w:bodyDiv w:val="1"/>
      <w:marLeft w:val="0"/>
      <w:marRight w:val="0"/>
      <w:marTop w:val="0"/>
      <w:marBottom w:val="0"/>
      <w:divBdr>
        <w:top w:val="none" w:sz="0" w:space="0" w:color="auto"/>
        <w:left w:val="none" w:sz="0" w:space="0" w:color="auto"/>
        <w:bottom w:val="none" w:sz="0" w:space="0" w:color="auto"/>
        <w:right w:val="none" w:sz="0" w:space="0" w:color="auto"/>
      </w:divBdr>
    </w:div>
    <w:div w:id="1121605168">
      <w:bodyDiv w:val="1"/>
      <w:marLeft w:val="0"/>
      <w:marRight w:val="0"/>
      <w:marTop w:val="0"/>
      <w:marBottom w:val="0"/>
      <w:divBdr>
        <w:top w:val="none" w:sz="0" w:space="0" w:color="auto"/>
        <w:left w:val="none" w:sz="0" w:space="0" w:color="auto"/>
        <w:bottom w:val="none" w:sz="0" w:space="0" w:color="auto"/>
        <w:right w:val="none" w:sz="0" w:space="0" w:color="auto"/>
      </w:divBdr>
    </w:div>
    <w:div w:id="1133447804">
      <w:bodyDiv w:val="1"/>
      <w:marLeft w:val="0"/>
      <w:marRight w:val="0"/>
      <w:marTop w:val="0"/>
      <w:marBottom w:val="0"/>
      <w:divBdr>
        <w:top w:val="none" w:sz="0" w:space="0" w:color="auto"/>
        <w:left w:val="none" w:sz="0" w:space="0" w:color="auto"/>
        <w:bottom w:val="none" w:sz="0" w:space="0" w:color="auto"/>
        <w:right w:val="none" w:sz="0" w:space="0" w:color="auto"/>
      </w:divBdr>
    </w:div>
    <w:div w:id="1134173728">
      <w:bodyDiv w:val="1"/>
      <w:marLeft w:val="0"/>
      <w:marRight w:val="0"/>
      <w:marTop w:val="0"/>
      <w:marBottom w:val="0"/>
      <w:divBdr>
        <w:top w:val="none" w:sz="0" w:space="0" w:color="auto"/>
        <w:left w:val="none" w:sz="0" w:space="0" w:color="auto"/>
        <w:bottom w:val="none" w:sz="0" w:space="0" w:color="auto"/>
        <w:right w:val="none" w:sz="0" w:space="0" w:color="auto"/>
      </w:divBdr>
    </w:div>
    <w:div w:id="1153527752">
      <w:bodyDiv w:val="1"/>
      <w:marLeft w:val="0"/>
      <w:marRight w:val="0"/>
      <w:marTop w:val="0"/>
      <w:marBottom w:val="0"/>
      <w:divBdr>
        <w:top w:val="none" w:sz="0" w:space="0" w:color="auto"/>
        <w:left w:val="none" w:sz="0" w:space="0" w:color="auto"/>
        <w:bottom w:val="none" w:sz="0" w:space="0" w:color="auto"/>
        <w:right w:val="none" w:sz="0" w:space="0" w:color="auto"/>
      </w:divBdr>
      <w:divsChild>
        <w:div w:id="1231887003">
          <w:marLeft w:val="0"/>
          <w:marRight w:val="0"/>
          <w:marTop w:val="0"/>
          <w:marBottom w:val="0"/>
          <w:divBdr>
            <w:top w:val="none" w:sz="0" w:space="0" w:color="auto"/>
            <w:left w:val="none" w:sz="0" w:space="0" w:color="auto"/>
            <w:bottom w:val="none" w:sz="0" w:space="0" w:color="auto"/>
            <w:right w:val="none" w:sz="0" w:space="0" w:color="auto"/>
          </w:divBdr>
          <w:divsChild>
            <w:div w:id="949044409">
              <w:marLeft w:val="0"/>
              <w:marRight w:val="0"/>
              <w:marTop w:val="0"/>
              <w:marBottom w:val="0"/>
              <w:divBdr>
                <w:top w:val="none" w:sz="0" w:space="0" w:color="auto"/>
                <w:left w:val="none" w:sz="0" w:space="0" w:color="auto"/>
                <w:bottom w:val="none" w:sz="0" w:space="0" w:color="auto"/>
                <w:right w:val="none" w:sz="0" w:space="0" w:color="auto"/>
              </w:divBdr>
              <w:divsChild>
                <w:div w:id="1180584325">
                  <w:marLeft w:val="0"/>
                  <w:marRight w:val="0"/>
                  <w:marTop w:val="0"/>
                  <w:marBottom w:val="0"/>
                  <w:divBdr>
                    <w:top w:val="none" w:sz="0" w:space="0" w:color="auto"/>
                    <w:left w:val="none" w:sz="0" w:space="0" w:color="auto"/>
                    <w:bottom w:val="none" w:sz="0" w:space="0" w:color="auto"/>
                    <w:right w:val="none" w:sz="0" w:space="0" w:color="auto"/>
                  </w:divBdr>
                  <w:divsChild>
                    <w:div w:id="12540091">
                      <w:marLeft w:val="0"/>
                      <w:marRight w:val="0"/>
                      <w:marTop w:val="0"/>
                      <w:marBottom w:val="0"/>
                      <w:divBdr>
                        <w:top w:val="none" w:sz="0" w:space="0" w:color="auto"/>
                        <w:left w:val="none" w:sz="0" w:space="0" w:color="auto"/>
                        <w:bottom w:val="none" w:sz="0" w:space="0" w:color="auto"/>
                        <w:right w:val="none" w:sz="0" w:space="0" w:color="auto"/>
                      </w:divBdr>
                      <w:divsChild>
                        <w:div w:id="418478506">
                          <w:marLeft w:val="0"/>
                          <w:marRight w:val="0"/>
                          <w:marTop w:val="0"/>
                          <w:marBottom w:val="0"/>
                          <w:divBdr>
                            <w:top w:val="none" w:sz="0" w:space="0" w:color="auto"/>
                            <w:left w:val="none" w:sz="0" w:space="0" w:color="auto"/>
                            <w:bottom w:val="none" w:sz="0" w:space="0" w:color="auto"/>
                            <w:right w:val="none" w:sz="0" w:space="0" w:color="auto"/>
                          </w:divBdr>
                          <w:divsChild>
                            <w:div w:id="1538008146">
                              <w:marLeft w:val="0"/>
                              <w:marRight w:val="0"/>
                              <w:marTop w:val="0"/>
                              <w:marBottom w:val="0"/>
                              <w:divBdr>
                                <w:top w:val="none" w:sz="0" w:space="0" w:color="auto"/>
                                <w:left w:val="none" w:sz="0" w:space="0" w:color="auto"/>
                                <w:bottom w:val="none" w:sz="0" w:space="0" w:color="auto"/>
                                <w:right w:val="none" w:sz="0" w:space="0" w:color="auto"/>
                              </w:divBdr>
                              <w:divsChild>
                                <w:div w:id="746072092">
                                  <w:marLeft w:val="0"/>
                                  <w:marRight w:val="0"/>
                                  <w:marTop w:val="0"/>
                                  <w:marBottom w:val="0"/>
                                  <w:divBdr>
                                    <w:top w:val="none" w:sz="0" w:space="0" w:color="auto"/>
                                    <w:left w:val="none" w:sz="0" w:space="0" w:color="auto"/>
                                    <w:bottom w:val="none" w:sz="0" w:space="0" w:color="auto"/>
                                    <w:right w:val="none" w:sz="0" w:space="0" w:color="auto"/>
                                  </w:divBdr>
                                  <w:divsChild>
                                    <w:div w:id="2076665461">
                                      <w:marLeft w:val="0"/>
                                      <w:marRight w:val="0"/>
                                      <w:marTop w:val="0"/>
                                      <w:marBottom w:val="0"/>
                                      <w:divBdr>
                                        <w:top w:val="none" w:sz="0" w:space="0" w:color="auto"/>
                                        <w:left w:val="none" w:sz="0" w:space="0" w:color="auto"/>
                                        <w:bottom w:val="none" w:sz="0" w:space="0" w:color="auto"/>
                                        <w:right w:val="none" w:sz="0" w:space="0" w:color="auto"/>
                                      </w:divBdr>
                                      <w:divsChild>
                                        <w:div w:id="976690943">
                                          <w:marLeft w:val="0"/>
                                          <w:marRight w:val="0"/>
                                          <w:marTop w:val="0"/>
                                          <w:marBottom w:val="0"/>
                                          <w:divBdr>
                                            <w:top w:val="none" w:sz="0" w:space="0" w:color="auto"/>
                                            <w:left w:val="none" w:sz="0" w:space="0" w:color="auto"/>
                                            <w:bottom w:val="none" w:sz="0" w:space="0" w:color="auto"/>
                                            <w:right w:val="none" w:sz="0" w:space="0" w:color="auto"/>
                                          </w:divBdr>
                                          <w:divsChild>
                                            <w:div w:id="1320186315">
                                              <w:marLeft w:val="0"/>
                                              <w:marRight w:val="0"/>
                                              <w:marTop w:val="0"/>
                                              <w:marBottom w:val="0"/>
                                              <w:divBdr>
                                                <w:top w:val="none" w:sz="0" w:space="0" w:color="auto"/>
                                                <w:left w:val="none" w:sz="0" w:space="0" w:color="auto"/>
                                                <w:bottom w:val="none" w:sz="0" w:space="0" w:color="auto"/>
                                                <w:right w:val="none" w:sz="0" w:space="0" w:color="auto"/>
                                              </w:divBdr>
                                              <w:divsChild>
                                                <w:div w:id="268857424">
                                                  <w:marLeft w:val="0"/>
                                                  <w:marRight w:val="0"/>
                                                  <w:marTop w:val="0"/>
                                                  <w:marBottom w:val="0"/>
                                                  <w:divBdr>
                                                    <w:top w:val="none" w:sz="0" w:space="0" w:color="auto"/>
                                                    <w:left w:val="none" w:sz="0" w:space="0" w:color="auto"/>
                                                    <w:bottom w:val="none" w:sz="0" w:space="0" w:color="auto"/>
                                                    <w:right w:val="none" w:sz="0" w:space="0" w:color="auto"/>
                                                  </w:divBdr>
                                                  <w:divsChild>
                                                    <w:div w:id="157500133">
                                                      <w:marLeft w:val="0"/>
                                                      <w:marRight w:val="0"/>
                                                      <w:marTop w:val="0"/>
                                                      <w:marBottom w:val="0"/>
                                                      <w:divBdr>
                                                        <w:top w:val="none" w:sz="0" w:space="0" w:color="auto"/>
                                                        <w:left w:val="none" w:sz="0" w:space="0" w:color="auto"/>
                                                        <w:bottom w:val="none" w:sz="0" w:space="0" w:color="auto"/>
                                                        <w:right w:val="none" w:sz="0" w:space="0" w:color="auto"/>
                                                      </w:divBdr>
                                                      <w:divsChild>
                                                        <w:div w:id="417673226">
                                                          <w:marLeft w:val="0"/>
                                                          <w:marRight w:val="0"/>
                                                          <w:marTop w:val="0"/>
                                                          <w:marBottom w:val="0"/>
                                                          <w:divBdr>
                                                            <w:top w:val="none" w:sz="0" w:space="0" w:color="auto"/>
                                                            <w:left w:val="none" w:sz="0" w:space="0" w:color="auto"/>
                                                            <w:bottom w:val="none" w:sz="0" w:space="0" w:color="auto"/>
                                                            <w:right w:val="none" w:sz="0" w:space="0" w:color="auto"/>
                                                          </w:divBdr>
                                                          <w:divsChild>
                                                            <w:div w:id="1606573708">
                                                              <w:marLeft w:val="0"/>
                                                              <w:marRight w:val="0"/>
                                                              <w:marTop w:val="0"/>
                                                              <w:marBottom w:val="0"/>
                                                              <w:divBdr>
                                                                <w:top w:val="none" w:sz="0" w:space="0" w:color="auto"/>
                                                                <w:left w:val="none" w:sz="0" w:space="0" w:color="auto"/>
                                                                <w:bottom w:val="none" w:sz="0" w:space="0" w:color="auto"/>
                                                                <w:right w:val="none" w:sz="0" w:space="0" w:color="auto"/>
                                                              </w:divBdr>
                                                              <w:divsChild>
                                                                <w:div w:id="1910534886">
                                                                  <w:marLeft w:val="0"/>
                                                                  <w:marRight w:val="0"/>
                                                                  <w:marTop w:val="0"/>
                                                                  <w:marBottom w:val="0"/>
                                                                  <w:divBdr>
                                                                    <w:top w:val="none" w:sz="0" w:space="0" w:color="auto"/>
                                                                    <w:left w:val="none" w:sz="0" w:space="0" w:color="auto"/>
                                                                    <w:bottom w:val="none" w:sz="0" w:space="0" w:color="auto"/>
                                                                    <w:right w:val="none" w:sz="0" w:space="0" w:color="auto"/>
                                                                  </w:divBdr>
                                                                  <w:divsChild>
                                                                    <w:div w:id="717750934">
                                                                      <w:marLeft w:val="0"/>
                                                                      <w:marRight w:val="0"/>
                                                                      <w:marTop w:val="0"/>
                                                                      <w:marBottom w:val="0"/>
                                                                      <w:divBdr>
                                                                        <w:top w:val="none" w:sz="0" w:space="0" w:color="auto"/>
                                                                        <w:left w:val="none" w:sz="0" w:space="0" w:color="auto"/>
                                                                        <w:bottom w:val="none" w:sz="0" w:space="0" w:color="auto"/>
                                                                        <w:right w:val="none" w:sz="0" w:space="0" w:color="auto"/>
                                                                      </w:divBdr>
                                                                      <w:divsChild>
                                                                        <w:div w:id="61370874">
                                                                          <w:marLeft w:val="0"/>
                                                                          <w:marRight w:val="0"/>
                                                                          <w:marTop w:val="0"/>
                                                                          <w:marBottom w:val="0"/>
                                                                          <w:divBdr>
                                                                            <w:top w:val="none" w:sz="0" w:space="0" w:color="auto"/>
                                                                            <w:left w:val="none" w:sz="0" w:space="0" w:color="auto"/>
                                                                            <w:bottom w:val="none" w:sz="0" w:space="0" w:color="auto"/>
                                                                            <w:right w:val="none" w:sz="0" w:space="0" w:color="auto"/>
                                                                          </w:divBdr>
                                                                          <w:divsChild>
                                                                            <w:div w:id="1261523833">
                                                                              <w:marLeft w:val="0"/>
                                                                              <w:marRight w:val="0"/>
                                                                              <w:marTop w:val="0"/>
                                                                              <w:marBottom w:val="0"/>
                                                                              <w:divBdr>
                                                                                <w:top w:val="none" w:sz="0" w:space="0" w:color="auto"/>
                                                                                <w:left w:val="none" w:sz="0" w:space="0" w:color="auto"/>
                                                                                <w:bottom w:val="none" w:sz="0" w:space="0" w:color="auto"/>
                                                                                <w:right w:val="none" w:sz="0" w:space="0" w:color="auto"/>
                                                                              </w:divBdr>
                                                                              <w:divsChild>
                                                                                <w:div w:id="47917214">
                                                                                  <w:marLeft w:val="0"/>
                                                                                  <w:marRight w:val="0"/>
                                                                                  <w:marTop w:val="0"/>
                                                                                  <w:marBottom w:val="0"/>
                                                                                  <w:divBdr>
                                                                                    <w:top w:val="none" w:sz="0" w:space="0" w:color="auto"/>
                                                                                    <w:left w:val="none" w:sz="0" w:space="0" w:color="auto"/>
                                                                                    <w:bottom w:val="none" w:sz="0" w:space="0" w:color="auto"/>
                                                                                    <w:right w:val="none" w:sz="0" w:space="0" w:color="auto"/>
                                                                                  </w:divBdr>
                                                                                  <w:divsChild>
                                                                                    <w:div w:id="1141727675">
                                                                                      <w:marLeft w:val="0"/>
                                                                                      <w:marRight w:val="0"/>
                                                                                      <w:marTop w:val="0"/>
                                                                                      <w:marBottom w:val="0"/>
                                                                                      <w:divBdr>
                                                                                        <w:top w:val="none" w:sz="0" w:space="0" w:color="auto"/>
                                                                                        <w:left w:val="none" w:sz="0" w:space="0" w:color="auto"/>
                                                                                        <w:bottom w:val="none" w:sz="0" w:space="0" w:color="auto"/>
                                                                                        <w:right w:val="none" w:sz="0" w:space="0" w:color="auto"/>
                                                                                      </w:divBdr>
                                                                                      <w:divsChild>
                                                                                        <w:div w:id="733357984">
                                                                                          <w:marLeft w:val="0"/>
                                                                                          <w:marRight w:val="0"/>
                                                                                          <w:marTop w:val="0"/>
                                                                                          <w:marBottom w:val="0"/>
                                                                                          <w:divBdr>
                                                                                            <w:top w:val="none" w:sz="0" w:space="0" w:color="auto"/>
                                                                                            <w:left w:val="none" w:sz="0" w:space="0" w:color="auto"/>
                                                                                            <w:bottom w:val="none" w:sz="0" w:space="0" w:color="auto"/>
                                                                                            <w:right w:val="none" w:sz="0" w:space="0" w:color="auto"/>
                                                                                          </w:divBdr>
                                                                                          <w:divsChild>
                                                                                            <w:div w:id="775951742">
                                                                                              <w:marLeft w:val="0"/>
                                                                                              <w:marRight w:val="0"/>
                                                                                              <w:marTop w:val="0"/>
                                                                                              <w:marBottom w:val="0"/>
                                                                                              <w:divBdr>
                                                                                                <w:top w:val="none" w:sz="0" w:space="0" w:color="auto"/>
                                                                                                <w:left w:val="none" w:sz="0" w:space="0" w:color="auto"/>
                                                                                                <w:bottom w:val="none" w:sz="0" w:space="0" w:color="auto"/>
                                                                                                <w:right w:val="none" w:sz="0" w:space="0" w:color="auto"/>
                                                                                              </w:divBdr>
                                                                                              <w:divsChild>
                                                                                                <w:div w:id="2051758412">
                                                                                                  <w:marLeft w:val="0"/>
                                                                                                  <w:marRight w:val="0"/>
                                                                                                  <w:marTop w:val="0"/>
                                                                                                  <w:marBottom w:val="0"/>
                                                                                                  <w:divBdr>
                                                                                                    <w:top w:val="none" w:sz="0" w:space="0" w:color="auto"/>
                                                                                                    <w:left w:val="none" w:sz="0" w:space="0" w:color="auto"/>
                                                                                                    <w:bottom w:val="none" w:sz="0" w:space="0" w:color="auto"/>
                                                                                                    <w:right w:val="none" w:sz="0" w:space="0" w:color="auto"/>
                                                                                                  </w:divBdr>
                                                                                                  <w:divsChild>
                                                                                                    <w:div w:id="761025208">
                                                                                                      <w:marLeft w:val="0"/>
                                                                                                      <w:marRight w:val="0"/>
                                                                                                      <w:marTop w:val="0"/>
                                                                                                      <w:marBottom w:val="0"/>
                                                                                                      <w:divBdr>
                                                                                                        <w:top w:val="none" w:sz="0" w:space="0" w:color="auto"/>
                                                                                                        <w:left w:val="none" w:sz="0" w:space="0" w:color="auto"/>
                                                                                                        <w:bottom w:val="none" w:sz="0" w:space="0" w:color="auto"/>
                                                                                                        <w:right w:val="none" w:sz="0" w:space="0" w:color="auto"/>
                                                                                                      </w:divBdr>
                                                                                                      <w:divsChild>
                                                                                                        <w:div w:id="700320804">
                                                                                                          <w:marLeft w:val="0"/>
                                                                                                          <w:marRight w:val="0"/>
                                                                                                          <w:marTop w:val="0"/>
                                                                                                          <w:marBottom w:val="0"/>
                                                                                                          <w:divBdr>
                                                                                                            <w:top w:val="none" w:sz="0" w:space="0" w:color="auto"/>
                                                                                                            <w:left w:val="none" w:sz="0" w:space="0" w:color="auto"/>
                                                                                                            <w:bottom w:val="none" w:sz="0" w:space="0" w:color="auto"/>
                                                                                                            <w:right w:val="none" w:sz="0" w:space="0" w:color="auto"/>
                                                                                                          </w:divBdr>
                                                                                                          <w:divsChild>
                                                                                                            <w:div w:id="191571997">
                                                                                                              <w:marLeft w:val="0"/>
                                                                                                              <w:marRight w:val="0"/>
                                                                                                              <w:marTop w:val="0"/>
                                                                                                              <w:marBottom w:val="0"/>
                                                                                                              <w:divBdr>
                                                                                                                <w:top w:val="none" w:sz="0" w:space="0" w:color="auto"/>
                                                                                                                <w:left w:val="none" w:sz="0" w:space="0" w:color="auto"/>
                                                                                                                <w:bottom w:val="none" w:sz="0" w:space="0" w:color="auto"/>
                                                                                                                <w:right w:val="none" w:sz="0" w:space="0" w:color="auto"/>
                                                                                                              </w:divBdr>
                                                                                                              <w:divsChild>
                                                                                                                <w:div w:id="2135831174">
                                                                                                                  <w:marLeft w:val="0"/>
                                                                                                                  <w:marRight w:val="0"/>
                                                                                                                  <w:marTop w:val="0"/>
                                                                                                                  <w:marBottom w:val="0"/>
                                                                                                                  <w:divBdr>
                                                                                                                    <w:top w:val="none" w:sz="0" w:space="0" w:color="auto"/>
                                                                                                                    <w:left w:val="none" w:sz="0" w:space="0" w:color="auto"/>
                                                                                                                    <w:bottom w:val="none" w:sz="0" w:space="0" w:color="auto"/>
                                                                                                                    <w:right w:val="none" w:sz="0" w:space="0" w:color="auto"/>
                                                                                                                  </w:divBdr>
                                                                                                                  <w:divsChild>
                                                                                                                    <w:div w:id="2026202598">
                                                                                                                      <w:marLeft w:val="0"/>
                                                                                                                      <w:marRight w:val="0"/>
                                                                                                                      <w:marTop w:val="0"/>
                                                                                                                      <w:marBottom w:val="0"/>
                                                                                                                      <w:divBdr>
                                                                                                                        <w:top w:val="none" w:sz="0" w:space="0" w:color="auto"/>
                                                                                                                        <w:left w:val="none" w:sz="0" w:space="0" w:color="auto"/>
                                                                                                                        <w:bottom w:val="none" w:sz="0" w:space="0" w:color="auto"/>
                                                                                                                        <w:right w:val="none" w:sz="0" w:space="0" w:color="auto"/>
                                                                                                                      </w:divBdr>
                                                                                                                      <w:divsChild>
                                                                                                                        <w:div w:id="302394027">
                                                                                                                          <w:marLeft w:val="0"/>
                                                                                                                          <w:marRight w:val="0"/>
                                                                                                                          <w:marTop w:val="0"/>
                                                                                                                          <w:marBottom w:val="0"/>
                                                                                                                          <w:divBdr>
                                                                                                                            <w:top w:val="none" w:sz="0" w:space="0" w:color="auto"/>
                                                                                                                            <w:left w:val="none" w:sz="0" w:space="0" w:color="auto"/>
                                                                                                                            <w:bottom w:val="none" w:sz="0" w:space="0" w:color="auto"/>
                                                                                                                            <w:right w:val="none" w:sz="0" w:space="0" w:color="auto"/>
                                                                                                                          </w:divBdr>
                                                                                                                          <w:divsChild>
                                                                                                                            <w:div w:id="1345664917">
                                                                                                                              <w:marLeft w:val="0"/>
                                                                                                                              <w:marRight w:val="0"/>
                                                                                                                              <w:marTop w:val="0"/>
                                                                                                                              <w:marBottom w:val="0"/>
                                                                                                                              <w:divBdr>
                                                                                                                                <w:top w:val="none" w:sz="0" w:space="0" w:color="auto"/>
                                                                                                                                <w:left w:val="none" w:sz="0" w:space="0" w:color="auto"/>
                                                                                                                                <w:bottom w:val="none" w:sz="0" w:space="0" w:color="auto"/>
                                                                                                                                <w:right w:val="none" w:sz="0" w:space="0" w:color="auto"/>
                                                                                                                              </w:divBdr>
                                                                                                                              <w:divsChild>
                                                                                                                                <w:div w:id="1899704871">
                                                                                                                                  <w:marLeft w:val="0"/>
                                                                                                                                  <w:marRight w:val="0"/>
                                                                                                                                  <w:marTop w:val="0"/>
                                                                                                                                  <w:marBottom w:val="0"/>
                                                                                                                                  <w:divBdr>
                                                                                                                                    <w:top w:val="none" w:sz="0" w:space="0" w:color="auto"/>
                                                                                                                                    <w:left w:val="none" w:sz="0" w:space="0" w:color="auto"/>
                                                                                                                                    <w:bottom w:val="none" w:sz="0" w:space="0" w:color="auto"/>
                                                                                                                                    <w:right w:val="none" w:sz="0" w:space="0" w:color="auto"/>
                                                                                                                                  </w:divBdr>
                                                                                                                                  <w:divsChild>
                                                                                                                                    <w:div w:id="806975585">
                                                                                                                                      <w:marLeft w:val="0"/>
                                                                                                                                      <w:marRight w:val="0"/>
                                                                                                                                      <w:marTop w:val="0"/>
                                                                                                                                      <w:marBottom w:val="0"/>
                                                                                                                                      <w:divBdr>
                                                                                                                                        <w:top w:val="none" w:sz="0" w:space="0" w:color="auto"/>
                                                                                                                                        <w:left w:val="none" w:sz="0" w:space="0" w:color="auto"/>
                                                                                                                                        <w:bottom w:val="none" w:sz="0" w:space="0" w:color="auto"/>
                                                                                                                                        <w:right w:val="none" w:sz="0" w:space="0" w:color="auto"/>
                                                                                                                                      </w:divBdr>
                                                                                                                                      <w:divsChild>
                                                                                                                                        <w:div w:id="1773359959">
                                                                                                                                          <w:marLeft w:val="0"/>
                                                                                                                                          <w:marRight w:val="0"/>
                                                                                                                                          <w:marTop w:val="0"/>
                                                                                                                                          <w:marBottom w:val="0"/>
                                                                                                                                          <w:divBdr>
                                                                                                                                            <w:top w:val="none" w:sz="0" w:space="0" w:color="auto"/>
                                                                                                                                            <w:left w:val="none" w:sz="0" w:space="0" w:color="auto"/>
                                                                                                                                            <w:bottom w:val="none" w:sz="0" w:space="0" w:color="auto"/>
                                                                                                                                            <w:right w:val="none" w:sz="0" w:space="0" w:color="auto"/>
                                                                                                                                          </w:divBdr>
                                                                                                                                          <w:divsChild>
                                                                                                                                            <w:div w:id="178549095">
                                                                                                                                              <w:marLeft w:val="0"/>
                                                                                                                                              <w:marRight w:val="0"/>
                                                                                                                                              <w:marTop w:val="0"/>
                                                                                                                                              <w:marBottom w:val="0"/>
                                                                                                                                              <w:divBdr>
                                                                                                                                                <w:top w:val="none" w:sz="0" w:space="0" w:color="auto"/>
                                                                                                                                                <w:left w:val="none" w:sz="0" w:space="0" w:color="auto"/>
                                                                                                                                                <w:bottom w:val="none" w:sz="0" w:space="0" w:color="auto"/>
                                                                                                                                                <w:right w:val="none" w:sz="0" w:space="0" w:color="auto"/>
                                                                                                                                              </w:divBdr>
                                                                                                                                              <w:divsChild>
                                                                                                                                                <w:div w:id="1068117395">
                                                                                                                                                  <w:marLeft w:val="0"/>
                                                                                                                                                  <w:marRight w:val="0"/>
                                                                                                                                                  <w:marTop w:val="0"/>
                                                                                                                                                  <w:marBottom w:val="0"/>
                                                                                                                                                  <w:divBdr>
                                                                                                                                                    <w:top w:val="none" w:sz="0" w:space="0" w:color="auto"/>
                                                                                                                                                    <w:left w:val="none" w:sz="0" w:space="0" w:color="auto"/>
                                                                                                                                                    <w:bottom w:val="none" w:sz="0" w:space="0" w:color="auto"/>
                                                                                                                                                    <w:right w:val="none" w:sz="0" w:space="0" w:color="auto"/>
                                                                                                                                                  </w:divBdr>
                                                                                                                                                  <w:divsChild>
                                                                                                                                                    <w:div w:id="328023058">
                                                                                                                                                      <w:marLeft w:val="0"/>
                                                                                                                                                      <w:marRight w:val="0"/>
                                                                                                                                                      <w:marTop w:val="0"/>
                                                                                                                                                      <w:marBottom w:val="0"/>
                                                                                                                                                      <w:divBdr>
                                                                                                                                                        <w:top w:val="none" w:sz="0" w:space="0" w:color="auto"/>
                                                                                                                                                        <w:left w:val="none" w:sz="0" w:space="0" w:color="auto"/>
                                                                                                                                                        <w:bottom w:val="none" w:sz="0" w:space="0" w:color="auto"/>
                                                                                                                                                        <w:right w:val="none" w:sz="0" w:space="0" w:color="auto"/>
                                                                                                                                                      </w:divBdr>
                                                                                                                                                      <w:divsChild>
                                                                                                                                                        <w:div w:id="516965068">
                                                                                                                                                          <w:marLeft w:val="0"/>
                                                                                                                                                          <w:marRight w:val="0"/>
                                                                                                                                                          <w:marTop w:val="0"/>
                                                                                                                                                          <w:marBottom w:val="0"/>
                                                                                                                                                          <w:divBdr>
                                                                                                                                                            <w:top w:val="none" w:sz="0" w:space="0" w:color="auto"/>
                                                                                                                                                            <w:left w:val="none" w:sz="0" w:space="0" w:color="auto"/>
                                                                                                                                                            <w:bottom w:val="none" w:sz="0" w:space="0" w:color="auto"/>
                                                                                                                                                            <w:right w:val="none" w:sz="0" w:space="0" w:color="auto"/>
                                                                                                                                                          </w:divBdr>
                                                                                                                                                          <w:divsChild>
                                                                                                                                                            <w:div w:id="338849984">
                                                                                                                                                              <w:marLeft w:val="0"/>
                                                                                                                                                              <w:marRight w:val="0"/>
                                                                                                                                                              <w:marTop w:val="0"/>
                                                                                                                                                              <w:marBottom w:val="0"/>
                                                                                                                                                              <w:divBdr>
                                                                                                                                                                <w:top w:val="none" w:sz="0" w:space="0" w:color="auto"/>
                                                                                                                                                                <w:left w:val="none" w:sz="0" w:space="0" w:color="auto"/>
                                                                                                                                                                <w:bottom w:val="none" w:sz="0" w:space="0" w:color="auto"/>
                                                                                                                                                                <w:right w:val="none" w:sz="0" w:space="0" w:color="auto"/>
                                                                                                                                                              </w:divBdr>
                                                                                                                                                              <w:divsChild>
                                                                                                                                                                <w:div w:id="486676541">
                                                                                                                                                                  <w:marLeft w:val="0"/>
                                                                                                                                                                  <w:marRight w:val="0"/>
                                                                                                                                                                  <w:marTop w:val="0"/>
                                                                                                                                                                  <w:marBottom w:val="0"/>
                                                                                                                                                                  <w:divBdr>
                                                                                                                                                                    <w:top w:val="none" w:sz="0" w:space="0" w:color="auto"/>
                                                                                                                                                                    <w:left w:val="none" w:sz="0" w:space="0" w:color="auto"/>
                                                                                                                                                                    <w:bottom w:val="none" w:sz="0" w:space="0" w:color="auto"/>
                                                                                                                                                                    <w:right w:val="none" w:sz="0" w:space="0" w:color="auto"/>
                                                                                                                                                                  </w:divBdr>
                                                                                                                                                                  <w:divsChild>
                                                                                                                                                                    <w:div w:id="613751876">
                                                                                                                                                                      <w:marLeft w:val="0"/>
                                                                                                                                                                      <w:marRight w:val="0"/>
                                                                                                                                                                      <w:marTop w:val="0"/>
                                                                                                                                                                      <w:marBottom w:val="0"/>
                                                                                                                                                                      <w:divBdr>
                                                                                                                                                                        <w:top w:val="none" w:sz="0" w:space="0" w:color="auto"/>
                                                                                                                                                                        <w:left w:val="none" w:sz="0" w:space="0" w:color="auto"/>
                                                                                                                                                                        <w:bottom w:val="none" w:sz="0" w:space="0" w:color="auto"/>
                                                                                                                                                                        <w:right w:val="none" w:sz="0" w:space="0" w:color="auto"/>
                                                                                                                                                                      </w:divBdr>
                                                                                                                                                                      <w:divsChild>
                                                                                                                                                                        <w:div w:id="168252768">
                                                                                                                                                                          <w:marLeft w:val="0"/>
                                                                                                                                                                          <w:marRight w:val="0"/>
                                                                                                                                                                          <w:marTop w:val="0"/>
                                                                                                                                                                          <w:marBottom w:val="0"/>
                                                                                                                                                                          <w:divBdr>
                                                                                                                                                                            <w:top w:val="none" w:sz="0" w:space="0" w:color="auto"/>
                                                                                                                                                                            <w:left w:val="none" w:sz="0" w:space="0" w:color="auto"/>
                                                                                                                                                                            <w:bottom w:val="none" w:sz="0" w:space="0" w:color="auto"/>
                                                                                                                                                                            <w:right w:val="none" w:sz="0" w:space="0" w:color="auto"/>
                                                                                                                                                                          </w:divBdr>
                                                                                                                                                                          <w:divsChild>
                                                                                                                                                                            <w:div w:id="480778813">
                                                                                                                                                                              <w:marLeft w:val="0"/>
                                                                                                                                                                              <w:marRight w:val="0"/>
                                                                                                                                                                              <w:marTop w:val="0"/>
                                                                                                                                                                              <w:marBottom w:val="0"/>
                                                                                                                                                                              <w:divBdr>
                                                                                                                                                                                <w:top w:val="none" w:sz="0" w:space="0" w:color="auto"/>
                                                                                                                                                                                <w:left w:val="none" w:sz="0" w:space="0" w:color="auto"/>
                                                                                                                                                                                <w:bottom w:val="none" w:sz="0" w:space="0" w:color="auto"/>
                                                                                                                                                                                <w:right w:val="none" w:sz="0" w:space="0" w:color="auto"/>
                                                                                                                                                                              </w:divBdr>
                                                                                                                                                                              <w:divsChild>
                                                                                                                                                                                <w:div w:id="1670327863">
                                                                                                                                                                                  <w:marLeft w:val="0"/>
                                                                                                                                                                                  <w:marRight w:val="0"/>
                                                                                                                                                                                  <w:marTop w:val="0"/>
                                                                                                                                                                                  <w:marBottom w:val="0"/>
                                                                                                                                                                                  <w:divBdr>
                                                                                                                                                                                    <w:top w:val="none" w:sz="0" w:space="0" w:color="auto"/>
                                                                                                                                                                                    <w:left w:val="none" w:sz="0" w:space="0" w:color="auto"/>
                                                                                                                                                                                    <w:bottom w:val="none" w:sz="0" w:space="0" w:color="auto"/>
                                                                                                                                                                                    <w:right w:val="none" w:sz="0" w:space="0" w:color="auto"/>
                                                                                                                                                                                  </w:divBdr>
                                                                                                                                                                                  <w:divsChild>
                                                                                                                                                                                    <w:div w:id="914827420">
                                                                                                                                                                                      <w:marLeft w:val="0"/>
                                                                                                                                                                                      <w:marRight w:val="0"/>
                                                                                                                                                                                      <w:marTop w:val="0"/>
                                                                                                                                                                                      <w:marBottom w:val="0"/>
                                                                                                                                                                                      <w:divBdr>
                                                                                                                                                                                        <w:top w:val="none" w:sz="0" w:space="0" w:color="auto"/>
                                                                                                                                                                                        <w:left w:val="none" w:sz="0" w:space="0" w:color="auto"/>
                                                                                                                                                                                        <w:bottom w:val="none" w:sz="0" w:space="0" w:color="auto"/>
                                                                                                                                                                                        <w:right w:val="none" w:sz="0" w:space="0" w:color="auto"/>
                                                                                                                                                                                      </w:divBdr>
                                                                                                                                                                                      <w:divsChild>
                                                                                                                                                                                        <w:div w:id="2078747020">
                                                                                                                                                                                          <w:marLeft w:val="0"/>
                                                                                                                                                                                          <w:marRight w:val="0"/>
                                                                                                                                                                                          <w:marTop w:val="0"/>
                                                                                                                                                                                          <w:marBottom w:val="0"/>
                                                                                                                                                                                          <w:divBdr>
                                                                                                                                                                                            <w:top w:val="none" w:sz="0" w:space="0" w:color="auto"/>
                                                                                                                                                                                            <w:left w:val="none" w:sz="0" w:space="0" w:color="auto"/>
                                                                                                                                                                                            <w:bottom w:val="none" w:sz="0" w:space="0" w:color="auto"/>
                                                                                                                                                                                            <w:right w:val="none" w:sz="0" w:space="0" w:color="auto"/>
                                                                                                                                                                                          </w:divBdr>
                                                                                                                                                                                          <w:divsChild>
                                                                                                                                                                                            <w:div w:id="976029473">
                                                                                                                                                                                              <w:marLeft w:val="0"/>
                                                                                                                                                                                              <w:marRight w:val="0"/>
                                                                                                                                                                                              <w:marTop w:val="0"/>
                                                                                                                                                                                              <w:marBottom w:val="0"/>
                                                                                                                                                                                              <w:divBdr>
                                                                                                                                                                                                <w:top w:val="none" w:sz="0" w:space="0" w:color="auto"/>
                                                                                                                                                                                                <w:left w:val="none" w:sz="0" w:space="0" w:color="auto"/>
                                                                                                                                                                                                <w:bottom w:val="none" w:sz="0" w:space="0" w:color="auto"/>
                                                                                                                                                                                                <w:right w:val="none" w:sz="0" w:space="0" w:color="auto"/>
                                                                                                                                                                                              </w:divBdr>
                                                                                                                                                                                              <w:divsChild>
                                                                                                                                                                                                <w:div w:id="784271106">
                                                                                                                                                                                                  <w:marLeft w:val="0"/>
                                                                                                                                                                                                  <w:marRight w:val="0"/>
                                                                                                                                                                                                  <w:marTop w:val="0"/>
                                                                                                                                                                                                  <w:marBottom w:val="0"/>
                                                                                                                                                                                                  <w:divBdr>
                                                                                                                                                                                                    <w:top w:val="none" w:sz="0" w:space="0" w:color="auto"/>
                                                                                                                                                                                                    <w:left w:val="none" w:sz="0" w:space="0" w:color="auto"/>
                                                                                                                                                                                                    <w:bottom w:val="none" w:sz="0" w:space="0" w:color="auto"/>
                                                                                                                                                                                                    <w:right w:val="none" w:sz="0" w:space="0" w:color="auto"/>
                                                                                                                                                                                                  </w:divBdr>
                                                                                                                                                                                                  <w:divsChild>
                                                                                                                                                                                                    <w:div w:id="346176353">
                                                                                                                                                                                                      <w:marLeft w:val="0"/>
                                                                                                                                                                                                      <w:marRight w:val="0"/>
                                                                                                                                                                                                      <w:marTop w:val="0"/>
                                                                                                                                                                                                      <w:marBottom w:val="0"/>
                                                                                                                                                                                                      <w:divBdr>
                                                                                                                                                                                                        <w:top w:val="none" w:sz="0" w:space="0" w:color="auto"/>
                                                                                                                                                                                                        <w:left w:val="none" w:sz="0" w:space="0" w:color="auto"/>
                                                                                                                                                                                                        <w:bottom w:val="none" w:sz="0" w:space="0" w:color="auto"/>
                                                                                                                                                                                                        <w:right w:val="none" w:sz="0" w:space="0" w:color="auto"/>
                                                                                                                                                                                                      </w:divBdr>
                                                                                                                                                                                                      <w:divsChild>
                                                                                                                                                                                                        <w:div w:id="1355233366">
                                                                                                                                                                                                          <w:marLeft w:val="0"/>
                                                                                                                                                                                                          <w:marRight w:val="0"/>
                                                                                                                                                                                                          <w:marTop w:val="0"/>
                                                                                                                                                                                                          <w:marBottom w:val="0"/>
                                                                                                                                                                                                          <w:divBdr>
                                                                                                                                                                                                            <w:top w:val="none" w:sz="0" w:space="0" w:color="auto"/>
                                                                                                                                                                                                            <w:left w:val="none" w:sz="0" w:space="0" w:color="auto"/>
                                                                                                                                                                                                            <w:bottom w:val="none" w:sz="0" w:space="0" w:color="auto"/>
                                                                                                                                                                                                            <w:right w:val="none" w:sz="0" w:space="0" w:color="auto"/>
                                                                                                                                                                                                          </w:divBdr>
                                                                                                                                                                                                          <w:divsChild>
                                                                                                                                                                                                            <w:div w:id="287665677">
                                                                                                                                                                                                              <w:marLeft w:val="0"/>
                                                                                                                                                                                                              <w:marRight w:val="0"/>
                                                                                                                                                                                                              <w:marTop w:val="0"/>
                                                                                                                                                                                                              <w:marBottom w:val="0"/>
                                                                                                                                                                                                              <w:divBdr>
                                                                                                                                                                                                                <w:top w:val="none" w:sz="0" w:space="0" w:color="auto"/>
                                                                                                                                                                                                                <w:left w:val="none" w:sz="0" w:space="0" w:color="auto"/>
                                                                                                                                                                                                                <w:bottom w:val="none" w:sz="0" w:space="0" w:color="auto"/>
                                                                                                                                                                                                                <w:right w:val="none" w:sz="0" w:space="0" w:color="auto"/>
                                                                                                                                                                                                              </w:divBdr>
                                                                                                                                                                                                              <w:divsChild>
                                                                                                                                                                                                                <w:div w:id="1307395556">
                                                                                                                                                                                                                  <w:marLeft w:val="0"/>
                                                                                                                                                                                                                  <w:marRight w:val="0"/>
                                                                                                                                                                                                                  <w:marTop w:val="0"/>
                                                                                                                                                                                                                  <w:marBottom w:val="0"/>
                                                                                                                                                                                                                  <w:divBdr>
                                                                                                                                                                                                                    <w:top w:val="none" w:sz="0" w:space="0" w:color="auto"/>
                                                                                                                                                                                                                    <w:left w:val="none" w:sz="0" w:space="0" w:color="auto"/>
                                                                                                                                                                                                                    <w:bottom w:val="none" w:sz="0" w:space="0" w:color="auto"/>
                                                                                                                                                                                                                    <w:right w:val="none" w:sz="0" w:space="0" w:color="auto"/>
                                                                                                                                                                                                                  </w:divBdr>
                                                                                                                                                                                                                  <w:divsChild>
                                                                                                                                                                                                                    <w:div w:id="1001547475">
                                                                                                                                                                                                                      <w:marLeft w:val="0"/>
                                                                                                                                                                                                                      <w:marRight w:val="0"/>
                                                                                                                                                                                                                      <w:marTop w:val="0"/>
                                                                                                                                                                                                                      <w:marBottom w:val="0"/>
                                                                                                                                                                                                                      <w:divBdr>
                                                                                                                                                                                                                        <w:top w:val="none" w:sz="0" w:space="0" w:color="auto"/>
                                                                                                                                                                                                                        <w:left w:val="none" w:sz="0" w:space="0" w:color="auto"/>
                                                                                                                                                                                                                        <w:bottom w:val="none" w:sz="0" w:space="0" w:color="auto"/>
                                                                                                                                                                                                                        <w:right w:val="none" w:sz="0" w:space="0" w:color="auto"/>
                                                                                                                                                                                                                      </w:divBdr>
                                                                                                                                                                                                                      <w:divsChild>
                                                                                                                                                                                                                        <w:div w:id="854268896">
                                                                                                                                                                                                                          <w:marLeft w:val="0"/>
                                                                                                                                                                                                                          <w:marRight w:val="0"/>
                                                                                                                                                                                                                          <w:marTop w:val="0"/>
                                                                                                                                                                                                                          <w:marBottom w:val="0"/>
                                                                                                                                                                                                                          <w:divBdr>
                                                                                                                                                                                                                            <w:top w:val="none" w:sz="0" w:space="0" w:color="auto"/>
                                                                                                                                                                                                                            <w:left w:val="none" w:sz="0" w:space="0" w:color="auto"/>
                                                                                                                                                                                                                            <w:bottom w:val="none" w:sz="0" w:space="0" w:color="auto"/>
                                                                                                                                                                                                                            <w:right w:val="none" w:sz="0" w:space="0" w:color="auto"/>
                                                                                                                                                                                                                          </w:divBdr>
                                                                                                                                                                                                                        </w:div>
                                                                                                                                                                                                                        <w:div w:id="1163932700">
                                                                                                                                                                                                                          <w:marLeft w:val="0"/>
                                                                                                                                                                                                                          <w:marRight w:val="0"/>
                                                                                                                                                                                                                          <w:marTop w:val="0"/>
                                                                                                                                                                                                                          <w:marBottom w:val="0"/>
                                                                                                                                                                                                                          <w:divBdr>
                                                                                                                                                                                                                            <w:top w:val="none" w:sz="0" w:space="0" w:color="auto"/>
                                                                                                                                                                                                                            <w:left w:val="none" w:sz="0" w:space="0" w:color="auto"/>
                                                                                                                                                                                                                            <w:bottom w:val="none" w:sz="0" w:space="0" w:color="auto"/>
                                                                                                                                                                                                                            <w:right w:val="none" w:sz="0" w:space="0" w:color="auto"/>
                                                                                                                                                                                                                          </w:divBdr>
                                                                                                                                                                                                                          <w:divsChild>
                                                                                                                                                                                                                            <w:div w:id="932084723">
                                                                                                                                                                                                                              <w:marLeft w:val="0"/>
                                                                                                                                                                                                                              <w:marRight w:val="0"/>
                                                                                                                                                                                                                              <w:marTop w:val="0"/>
                                                                                                                                                                                                                              <w:marBottom w:val="0"/>
                                                                                                                                                                                                                              <w:divBdr>
                                                                                                                                                                                                                                <w:top w:val="none" w:sz="0" w:space="0" w:color="auto"/>
                                                                                                                                                                                                                                <w:left w:val="none" w:sz="0" w:space="0" w:color="auto"/>
                                                                                                                                                                                                                                <w:bottom w:val="none" w:sz="0" w:space="0" w:color="auto"/>
                                                                                                                                                                                                                                <w:right w:val="none" w:sz="0" w:space="0" w:color="auto"/>
                                                                                                                                                                                                                              </w:divBdr>
                                                                                                                                                                                                                              <w:divsChild>
                                                                                                                                                                                                                                <w:div w:id="814570592">
                                                                                                                                                                                                                                  <w:marLeft w:val="0"/>
                                                                                                                                                                                                                                  <w:marRight w:val="0"/>
                                                                                                                                                                                                                                  <w:marTop w:val="0"/>
                                                                                                                                                                                                                                  <w:marBottom w:val="0"/>
                                                                                                                                                                                                                                  <w:divBdr>
                                                                                                                                                                                                                                    <w:top w:val="none" w:sz="0" w:space="0" w:color="auto"/>
                                                                                                                                                                                                                                    <w:left w:val="none" w:sz="0" w:space="0" w:color="auto"/>
                                                                                                                                                                                                                                    <w:bottom w:val="none" w:sz="0" w:space="0" w:color="auto"/>
                                                                                                                                                                                                                                    <w:right w:val="none" w:sz="0" w:space="0" w:color="auto"/>
                                                                                                                                                                                                                                  </w:divBdr>
                                                                                                                                                                                                                                  <w:divsChild>
                                                                                                                                                                                                                                    <w:div w:id="1067990801">
                                                                                                                                                                                                                                      <w:marLeft w:val="0"/>
                                                                                                                                                                                                                                      <w:marRight w:val="0"/>
                                                                                                                                                                                                                                      <w:marTop w:val="0"/>
                                                                                                                                                                                                                                      <w:marBottom w:val="0"/>
                                                                                                                                                                                                                                      <w:divBdr>
                                                                                                                                                                                                                                        <w:top w:val="none" w:sz="0" w:space="0" w:color="auto"/>
                                                                                                                                                                                                                                        <w:left w:val="none" w:sz="0" w:space="0" w:color="auto"/>
                                                                                                                                                                                                                                        <w:bottom w:val="none" w:sz="0" w:space="0" w:color="auto"/>
                                                                                                                                                                                                                                        <w:right w:val="none" w:sz="0" w:space="0" w:color="auto"/>
                                                                                                                                                                                                                                      </w:divBdr>
                                                                                                                                                                                                                                      <w:divsChild>
                                                                                                                                                                                                                                        <w:div w:id="1607882021">
                                                                                                                                                                                                                                          <w:marLeft w:val="0"/>
                                                                                                                                                                                                                                          <w:marRight w:val="0"/>
                                                                                                                                                                                                                                          <w:marTop w:val="0"/>
                                                                                                                                                                                                                                          <w:marBottom w:val="0"/>
                                                                                                                                                                                                                                          <w:divBdr>
                                                                                                                                                                                                                                            <w:top w:val="none" w:sz="0" w:space="0" w:color="auto"/>
                                                                                                                                                                                                                                            <w:left w:val="none" w:sz="0" w:space="0" w:color="auto"/>
                                                                                                                                                                                                                                            <w:bottom w:val="none" w:sz="0" w:space="0" w:color="auto"/>
                                                                                                                                                                                                                                            <w:right w:val="none" w:sz="0" w:space="0" w:color="auto"/>
                                                                                                                                                                                                                                          </w:divBdr>
                                                                                                                                                                                                                                          <w:divsChild>
                                                                                                                                                                                                                                            <w:div w:id="1224021830">
                                                                                                                                                                                                                                              <w:marLeft w:val="0"/>
                                                                                                                                                                                                                                              <w:marRight w:val="0"/>
                                                                                                                                                                                                                                              <w:marTop w:val="0"/>
                                                                                                                                                                                                                                              <w:marBottom w:val="0"/>
                                                                                                                                                                                                                                              <w:divBdr>
                                                                                                                                                                                                                                                <w:top w:val="none" w:sz="0" w:space="0" w:color="auto"/>
                                                                                                                                                                                                                                                <w:left w:val="none" w:sz="0" w:space="0" w:color="auto"/>
                                                                                                                                                                                                                                                <w:bottom w:val="none" w:sz="0" w:space="0" w:color="auto"/>
                                                                                                                                                                                                                                                <w:right w:val="none" w:sz="0" w:space="0" w:color="auto"/>
                                                                                                                                                                                                                                              </w:divBdr>
                                                                                                                                                                                                                                              <w:divsChild>
                                                                                                                                                                                                                                                <w:div w:id="244611283">
                                                                                                                                                                                                                                                  <w:marLeft w:val="0"/>
                                                                                                                                                                                                                                                  <w:marRight w:val="0"/>
                                                                                                                                                                                                                                                  <w:marTop w:val="0"/>
                                                                                                                                                                                                                                                  <w:marBottom w:val="0"/>
                                                                                                                                                                                                                                                  <w:divBdr>
                                                                                                                                                                                                                                                    <w:top w:val="none" w:sz="0" w:space="0" w:color="auto"/>
                                                                                                                                                                                                                                                    <w:left w:val="none" w:sz="0" w:space="0" w:color="auto"/>
                                                                                                                                                                                                                                                    <w:bottom w:val="none" w:sz="0" w:space="0" w:color="auto"/>
                                                                                                                                                                                                                                                    <w:right w:val="none" w:sz="0" w:space="0" w:color="auto"/>
                                                                                                                                                                                                                                                  </w:divBdr>
                                                                                                                                                                                                                                                  <w:divsChild>
                                                                                                                                                                                                                                                    <w:div w:id="2124810825">
                                                                                                                                                                                                                                                      <w:marLeft w:val="0"/>
                                                                                                                                                                                                                                                      <w:marRight w:val="0"/>
                                                                                                                                                                                                                                                      <w:marTop w:val="0"/>
                                                                                                                                                                                                                                                      <w:marBottom w:val="0"/>
                                                                                                                                                                                                                                                      <w:divBdr>
                                                                                                                                                                                                                                                        <w:top w:val="none" w:sz="0" w:space="0" w:color="auto"/>
                                                                                                                                                                                                                                                        <w:left w:val="none" w:sz="0" w:space="0" w:color="auto"/>
                                                                                                                                                                                                                                                        <w:bottom w:val="none" w:sz="0" w:space="0" w:color="auto"/>
                                                                                                                                                                                                                                                        <w:right w:val="none" w:sz="0" w:space="0" w:color="auto"/>
                                                                                                                                                                                                                                                      </w:divBdr>
                                                                                                                                                                                                                                                      <w:divsChild>
                                                                                                                                                                                                                                                        <w:div w:id="440953699">
                                                                                                                                                                                                                                                          <w:marLeft w:val="0"/>
                                                                                                                                                                                                                                                          <w:marRight w:val="0"/>
                                                                                                                                                                                                                                                          <w:marTop w:val="0"/>
                                                                                                                                                                                                                                                          <w:marBottom w:val="0"/>
                                                                                                                                                                                                                                                          <w:divBdr>
                                                                                                                                                                                                                                                            <w:top w:val="none" w:sz="0" w:space="0" w:color="auto"/>
                                                                                                                                                                                                                                                            <w:left w:val="none" w:sz="0" w:space="0" w:color="auto"/>
                                                                                                                                                                                                                                                            <w:bottom w:val="none" w:sz="0" w:space="0" w:color="auto"/>
                                                                                                                                                                                                                                                            <w:right w:val="none" w:sz="0" w:space="0" w:color="auto"/>
                                                                                                                                                                                                                                                          </w:divBdr>
                                                                                                                                                                                                                                                          <w:divsChild>
                                                                                                                                                                                                                                                            <w:div w:id="1413163589">
                                                                                                                                                                                                                                                              <w:marLeft w:val="0"/>
                                                                                                                                                                                                                                                              <w:marRight w:val="0"/>
                                                                                                                                                                                                                                                              <w:marTop w:val="0"/>
                                                                                                                                                                                                                                                              <w:marBottom w:val="0"/>
                                                                                                                                                                                                                                                              <w:divBdr>
                                                                                                                                                                                                                                                                <w:top w:val="none" w:sz="0" w:space="0" w:color="auto"/>
                                                                                                                                                                                                                                                                <w:left w:val="none" w:sz="0" w:space="0" w:color="auto"/>
                                                                                                                                                                                                                                                                <w:bottom w:val="none" w:sz="0" w:space="0" w:color="auto"/>
                                                                                                                                                                                                                                                                <w:right w:val="none" w:sz="0" w:space="0" w:color="auto"/>
                                                                                                                                                                                                                                                              </w:divBdr>
                                                                                                                                                                                                                                                              <w:divsChild>
                                                                                                                                                                                                                                                                <w:div w:id="52625566">
                                                                                                                                                                                                                                                                  <w:marLeft w:val="0"/>
                                                                                                                                                                                                                                                                  <w:marRight w:val="0"/>
                                                                                                                                                                                                                                                                  <w:marTop w:val="0"/>
                                                                                                                                                                                                                                                                  <w:marBottom w:val="0"/>
                                                                                                                                                                                                                                                                  <w:divBdr>
                                                                                                                                                                                                                                                                    <w:top w:val="none" w:sz="0" w:space="0" w:color="auto"/>
                                                                                                                                                                                                                                                                    <w:left w:val="none" w:sz="0" w:space="0" w:color="auto"/>
                                                                                                                                                                                                                                                                    <w:bottom w:val="none" w:sz="0" w:space="0" w:color="auto"/>
                                                                                                                                                                                                                                                                    <w:right w:val="none" w:sz="0" w:space="0" w:color="auto"/>
                                                                                                                                                                                                                                                                  </w:divBdr>
                                                                                                                                                                                                                                                                  <w:divsChild>
                                                                                                                                                                                                                                                                    <w:div w:id="94326258">
                                                                                                                                                                                                                                                                      <w:marLeft w:val="0"/>
                                                                                                                                                                                                                                                                      <w:marRight w:val="0"/>
                                                                                                                                                                                                                                                                      <w:marTop w:val="0"/>
                                                                                                                                                                                                                                                                      <w:marBottom w:val="0"/>
                                                                                                                                                                                                                                                                      <w:divBdr>
                                                                                                                                                                                                                                                                        <w:top w:val="none" w:sz="0" w:space="0" w:color="auto"/>
                                                                                                                                                                                                                                                                        <w:left w:val="none" w:sz="0" w:space="0" w:color="auto"/>
                                                                                                                                                                                                                                                                        <w:bottom w:val="none" w:sz="0" w:space="0" w:color="auto"/>
                                                                                                                                                                                                                                                                        <w:right w:val="none" w:sz="0" w:space="0" w:color="auto"/>
                                                                                                                                                                                                                                                                      </w:divBdr>
                                                                                                                                                                                                                                                                      <w:divsChild>
                                                                                                                                                                                                                                                                        <w:div w:id="934557624">
                                                                                                                                                                                                                                                                          <w:marLeft w:val="0"/>
                                                                                                                                                                                                                                                                          <w:marRight w:val="0"/>
                                                                                                                                                                                                                                                                          <w:marTop w:val="0"/>
                                                                                                                                                                                                                                                                          <w:marBottom w:val="0"/>
                                                                                                                                                                                                                                                                          <w:divBdr>
                                                                                                                                                                                                                                                                            <w:top w:val="none" w:sz="0" w:space="0" w:color="auto"/>
                                                                                                                                                                                                                                                                            <w:left w:val="none" w:sz="0" w:space="0" w:color="auto"/>
                                                                                                                                                                                                                                                                            <w:bottom w:val="none" w:sz="0" w:space="0" w:color="auto"/>
                                                                                                                                                                                                                                                                            <w:right w:val="none" w:sz="0" w:space="0" w:color="auto"/>
                                                                                                                                                                                                                                                                          </w:divBdr>
                                                                                                                                                                                                                                                                          <w:divsChild>
                                                                                                                                                                                                                                                                            <w:div w:id="1321076439">
                                                                                                                                                                                                                                                                              <w:marLeft w:val="0"/>
                                                                                                                                                                                                                                                                              <w:marRight w:val="0"/>
                                                                                                                                                                                                                                                                              <w:marTop w:val="0"/>
                                                                                                                                                                                                                                                                              <w:marBottom w:val="0"/>
                                                                                                                                                                                                                                                                              <w:divBdr>
                                                                                                                                                                                                                                                                                <w:top w:val="none" w:sz="0" w:space="0" w:color="auto"/>
                                                                                                                                                                                                                                                                                <w:left w:val="none" w:sz="0" w:space="0" w:color="auto"/>
                                                                                                                                                                                                                                                                                <w:bottom w:val="none" w:sz="0" w:space="0" w:color="auto"/>
                                                                                                                                                                                                                                                                                <w:right w:val="none" w:sz="0" w:space="0" w:color="auto"/>
                                                                                                                                                                                                                                                                              </w:divBdr>
                                                                                                                                                                                                                                                                              <w:divsChild>
                                                                                                                                                                                                                                                                                <w:div w:id="1209220088">
                                                                                                                                                                                                                                                                                  <w:marLeft w:val="0"/>
                                                                                                                                                                                                                                                                                  <w:marRight w:val="0"/>
                                                                                                                                                                                                                                                                                  <w:marTop w:val="0"/>
                                                                                                                                                                                                                                                                                  <w:marBottom w:val="0"/>
                                                                                                                                                                                                                                                                                  <w:divBdr>
                                                                                                                                                                                                                                                                                    <w:top w:val="none" w:sz="0" w:space="0" w:color="auto"/>
                                                                                                                                                                                                                                                                                    <w:left w:val="none" w:sz="0" w:space="0" w:color="auto"/>
                                                                                                                                                                                                                                                                                    <w:bottom w:val="none" w:sz="0" w:space="0" w:color="auto"/>
                                                                                                                                                                                                                                                                                    <w:right w:val="none" w:sz="0" w:space="0" w:color="auto"/>
                                                                                                                                                                                                                                                                                  </w:divBdr>
                                                                                                                                                                                                                                                                                  <w:divsChild>
                                                                                                                                                                                                                                                                                    <w:div w:id="378867955">
                                                                                                                                                                                                                                                                                      <w:marLeft w:val="0"/>
                                                                                                                                                                                                                                                                                      <w:marRight w:val="0"/>
                                                                                                                                                                                                                                                                                      <w:marTop w:val="0"/>
                                                                                                                                                                                                                                                                                      <w:marBottom w:val="0"/>
                                                                                                                                                                                                                                                                                      <w:divBdr>
                                                                                                                                                                                                                                                                                        <w:top w:val="none" w:sz="0" w:space="0" w:color="auto"/>
                                                                                                                                                                                                                                                                                        <w:left w:val="none" w:sz="0" w:space="0" w:color="auto"/>
                                                                                                                                                                                                                                                                                        <w:bottom w:val="none" w:sz="0" w:space="0" w:color="auto"/>
                                                                                                                                                                                                                                                                                        <w:right w:val="none" w:sz="0" w:space="0" w:color="auto"/>
                                                                                                                                                                                                                                                                                      </w:divBdr>
                                                                                                                                                                                                                                                                                      <w:divsChild>
                                                                                                                                                                                                                                                                                        <w:div w:id="1642661457">
                                                                                                                                                                                                                                                                                          <w:marLeft w:val="0"/>
                                                                                                                                                                                                                                                                                          <w:marRight w:val="0"/>
                                                                                                                                                                                                                                                                                          <w:marTop w:val="0"/>
                                                                                                                                                                                                                                                                                          <w:marBottom w:val="0"/>
                                                                                                                                                                                                                                                                                          <w:divBdr>
                                                                                                                                                                                                                                                                                            <w:top w:val="none" w:sz="0" w:space="0" w:color="auto"/>
                                                                                                                                                                                                                                                                                            <w:left w:val="none" w:sz="0" w:space="0" w:color="auto"/>
                                                                                                                                                                                                                                                                                            <w:bottom w:val="none" w:sz="0" w:space="0" w:color="auto"/>
                                                                                                                                                                                                                                                                                            <w:right w:val="none" w:sz="0" w:space="0" w:color="auto"/>
                                                                                                                                                                                                                                                                                          </w:divBdr>
                                                                                                                                                                                                                                                                                          <w:divsChild>
                                                                                                                                                                                                                                                                                            <w:div w:id="1333030451">
                                                                                                                                                                                                                                                                                              <w:marLeft w:val="0"/>
                                                                                                                                                                                                                                                                                              <w:marRight w:val="0"/>
                                                                                                                                                                                                                                                                                              <w:marTop w:val="0"/>
                                                                                                                                                                                                                                                                                              <w:marBottom w:val="0"/>
                                                                                                                                                                                                                                                                                              <w:divBdr>
                                                                                                                                                                                                                                                                                                <w:top w:val="none" w:sz="0" w:space="0" w:color="auto"/>
                                                                                                                                                                                                                                                                                                <w:left w:val="none" w:sz="0" w:space="0" w:color="auto"/>
                                                                                                                                                                                                                                                                                                <w:bottom w:val="none" w:sz="0" w:space="0" w:color="auto"/>
                                                                                                                                                                                                                                                                                                <w:right w:val="none" w:sz="0" w:space="0" w:color="auto"/>
                                                                                                                                                                                                                                                                                              </w:divBdr>
                                                                                                                                                                                                                                                                                              <w:divsChild>
                                                                                                                                                                                                                                                                                                <w:div w:id="1354722661">
                                                                                                                                                                                                                                                                                                  <w:marLeft w:val="0"/>
                                                                                                                                                                                                                                                                                                  <w:marRight w:val="0"/>
                                                                                                                                                                                                                                                                                                  <w:marTop w:val="0"/>
                                                                                                                                                                                                                                                                                                  <w:marBottom w:val="0"/>
                                                                                                                                                                                                                                                                                                  <w:divBdr>
                                                                                                                                                                                                                                                                                                    <w:top w:val="none" w:sz="0" w:space="0" w:color="auto"/>
                                                                                                                                                                                                                                                                                                    <w:left w:val="none" w:sz="0" w:space="0" w:color="auto"/>
                                                                                                                                                                                                                                                                                                    <w:bottom w:val="none" w:sz="0" w:space="0" w:color="auto"/>
                                                                                                                                                                                                                                                                                                    <w:right w:val="none" w:sz="0" w:space="0" w:color="auto"/>
                                                                                                                                                                                                                                                                                                  </w:divBdr>
                                                                                                                                                                                                                                                                                                  <w:divsChild>
                                                                                                                                                                                                                                                                                                    <w:div w:id="1468088517">
                                                                                                                                                                                                                                                                                                      <w:marLeft w:val="0"/>
                                                                                                                                                                                                                                                                                                      <w:marRight w:val="0"/>
                                                                                                                                                                                                                                                                                                      <w:marTop w:val="0"/>
                                                                                                                                                                                                                                                                                                      <w:marBottom w:val="0"/>
                                                                                                                                                                                                                                                                                                      <w:divBdr>
                                                                                                                                                                                                                                                                                                        <w:top w:val="none" w:sz="0" w:space="0" w:color="auto"/>
                                                                                                                                                                                                                                                                                                        <w:left w:val="none" w:sz="0" w:space="0" w:color="auto"/>
                                                                                                                                                                                                                                                                                                        <w:bottom w:val="none" w:sz="0" w:space="0" w:color="auto"/>
                                                                                                                                                                                                                                                                                                        <w:right w:val="none" w:sz="0" w:space="0" w:color="auto"/>
                                                                                                                                                                                                                                                                                                      </w:divBdr>
                                                                                                                                                                                                                                                                                                      <w:divsChild>
                                                                                                                                                                                                                                                                                                        <w:div w:id="1509756389">
                                                                                                                                                                                                                                                                                                          <w:marLeft w:val="0"/>
                                                                                                                                                                                                                                                                                                          <w:marRight w:val="0"/>
                                                                                                                                                                                                                                                                                                          <w:marTop w:val="0"/>
                                                                                                                                                                                                                                                                                                          <w:marBottom w:val="0"/>
                                                                                                                                                                                                                                                                                                          <w:divBdr>
                                                                                                                                                                                                                                                                                                            <w:top w:val="none" w:sz="0" w:space="0" w:color="auto"/>
                                                                                                                                                                                                                                                                                                            <w:left w:val="none" w:sz="0" w:space="0" w:color="auto"/>
                                                                                                                                                                                                                                                                                                            <w:bottom w:val="none" w:sz="0" w:space="0" w:color="auto"/>
                                                                                                                                                                                                                                                                                                            <w:right w:val="none" w:sz="0" w:space="0" w:color="auto"/>
                                                                                                                                                                                                                                                                                                          </w:divBdr>
                                                                                                                                                                                                                                                                                                          <w:divsChild>
                                                                                                                                                                                                                                                                                                            <w:div w:id="318774956">
                                                                                                                                                                                                                                                                                                              <w:marLeft w:val="0"/>
                                                                                                                                                                                                                                                                                                              <w:marRight w:val="0"/>
                                                                                                                                                                                                                                                                                                              <w:marTop w:val="0"/>
                                                                                                                                                                                                                                                                                                              <w:marBottom w:val="0"/>
                                                                                                                                                                                                                                                                                                              <w:divBdr>
                                                                                                                                                                                                                                                                                                                <w:top w:val="none" w:sz="0" w:space="0" w:color="auto"/>
                                                                                                                                                                                                                                                                                                                <w:left w:val="none" w:sz="0" w:space="0" w:color="auto"/>
                                                                                                                                                                                                                                                                                                                <w:bottom w:val="none" w:sz="0" w:space="0" w:color="auto"/>
                                                                                                                                                                                                                                                                                                                <w:right w:val="none" w:sz="0" w:space="0" w:color="auto"/>
                                                                                                                                                                                                                                                                                                              </w:divBdr>
                                                                                                                                                                                                                                                                                                              <w:divsChild>
                                                                                                                                                                                                                                                                                                                <w:div w:id="378474849">
                                                                                                                                                                                                                                                                                                                  <w:marLeft w:val="0"/>
                                                                                                                                                                                                                                                                                                                  <w:marRight w:val="0"/>
                                                                                                                                                                                                                                                                                                                  <w:marTop w:val="0"/>
                                                                                                                                                                                                                                                                                                                  <w:marBottom w:val="0"/>
                                                                                                                                                                                                                                                                                                                  <w:divBdr>
                                                                                                                                                                                                                                                                                                                    <w:top w:val="none" w:sz="0" w:space="0" w:color="auto"/>
                                                                                                                                                                                                                                                                                                                    <w:left w:val="none" w:sz="0" w:space="0" w:color="auto"/>
                                                                                                                                                                                                                                                                                                                    <w:bottom w:val="none" w:sz="0" w:space="0" w:color="auto"/>
                                                                                                                                                                                                                                                                                                                    <w:right w:val="none" w:sz="0" w:space="0" w:color="auto"/>
                                                                                                                                                                                                                                                                                                                  </w:divBdr>
                                                                                                                                                                                                                                                                                                                  <w:divsChild>
                                                                                                                                                                                                                                                                                                                    <w:div w:id="61030764">
                                                                                                                                                                                                                                                                                                                      <w:marLeft w:val="0"/>
                                                                                                                                                                                                                                                                                                                      <w:marRight w:val="0"/>
                                                                                                                                                                                                                                                                                                                      <w:marTop w:val="0"/>
                                                                                                                                                                                                                                                                                                                      <w:marBottom w:val="0"/>
                                                                                                                                                                                                                                                                                                                      <w:divBdr>
                                                                                                                                                                                                                                                                                                                        <w:top w:val="none" w:sz="0" w:space="0" w:color="auto"/>
                                                                                                                                                                                                                                                                                                                        <w:left w:val="none" w:sz="0" w:space="0" w:color="auto"/>
                                                                                                                                                                                                                                                                                                                        <w:bottom w:val="none" w:sz="0" w:space="0" w:color="auto"/>
                                                                                                                                                                                                                                                                                                                        <w:right w:val="none" w:sz="0" w:space="0" w:color="auto"/>
                                                                                                                                                                                                                                                                                                                      </w:divBdr>
                                                                                                                                                                                                                                                                                                                      <w:divsChild>
                                                                                                                                                                                                                                                                                                                        <w:div w:id="1355305167">
                                                                                                                                                                                                                                                                                                                          <w:marLeft w:val="0"/>
                                                                                                                                                                                                                                                                                                                          <w:marRight w:val="0"/>
                                                                                                                                                                                                                                                                                                                          <w:marTop w:val="0"/>
                                                                                                                                                                                                                                                                                                                          <w:marBottom w:val="0"/>
                                                                                                                                                                                                                                                                                                                          <w:divBdr>
                                                                                                                                                                                                                                                                                                                            <w:top w:val="none" w:sz="0" w:space="0" w:color="auto"/>
                                                                                                                                                                                                                                                                                                                            <w:left w:val="none" w:sz="0" w:space="0" w:color="auto"/>
                                                                                                                                                                                                                                                                                                                            <w:bottom w:val="none" w:sz="0" w:space="0" w:color="auto"/>
                                                                                                                                                                                                                                                                                                                            <w:right w:val="none" w:sz="0" w:space="0" w:color="auto"/>
                                                                                                                                                                                                                                                                                                                          </w:divBdr>
                                                                                                                                                                                                                                                                                                                          <w:divsChild>
                                                                                                                                                                                                                                                                                                                            <w:div w:id="47925071">
                                                                                                                                                                                                                                                                                                                              <w:marLeft w:val="0"/>
                                                                                                                                                                                                                                                                                                                              <w:marRight w:val="0"/>
                                                                                                                                                                                                                                                                                                                              <w:marTop w:val="0"/>
                                                                                                                                                                                                                                                                                                                              <w:marBottom w:val="0"/>
                                                                                                                                                                                                                                                                                                                              <w:divBdr>
                                                                                                                                                                                                                                                                                                                                <w:top w:val="none" w:sz="0" w:space="0" w:color="auto"/>
                                                                                                                                                                                                                                                                                                                                <w:left w:val="none" w:sz="0" w:space="0" w:color="auto"/>
                                                                                                                                                                                                                                                                                                                                <w:bottom w:val="none" w:sz="0" w:space="0" w:color="auto"/>
                                                                                                                                                                                                                                                                                                                                <w:right w:val="none" w:sz="0" w:space="0" w:color="auto"/>
                                                                                                                                                                                                                                                                                                                              </w:divBdr>
                                                                                                                                                                                                                                                                                                                              <w:divsChild>
                                                                                                                                                                                                                                                                                                                                <w:div w:id="690764064">
                                                                                                                                                                                                                                                                                                                                  <w:marLeft w:val="0"/>
                                                                                                                                                                                                                                                                                                                                  <w:marRight w:val="0"/>
                                                                                                                                                                                                                                                                                                                                  <w:marTop w:val="0"/>
                                                                                                                                                                                                                                                                                                                                  <w:marBottom w:val="0"/>
                                                                                                                                                                                                                                                                                                                                  <w:divBdr>
                                                                                                                                                                                                                                                                                                                                    <w:top w:val="none" w:sz="0" w:space="0" w:color="auto"/>
                                                                                                                                                                                                                                                                                                                                    <w:left w:val="none" w:sz="0" w:space="0" w:color="auto"/>
                                                                                                                                                                                                                                                                                                                                    <w:bottom w:val="none" w:sz="0" w:space="0" w:color="auto"/>
                                                                                                                                                                                                                                                                                                                                    <w:right w:val="none" w:sz="0" w:space="0" w:color="auto"/>
                                                                                                                                                                                                                                                                                                                                  </w:divBdr>
                                                                                                                                                                                                                                                                                                                                  <w:divsChild>
                                                                                                                                                                                                                                                                                                                                    <w:div w:id="1368602652">
                                                                                                                                                                                                                                                                                                                                      <w:marLeft w:val="0"/>
                                                                                                                                                                                                                                                                                                                                      <w:marRight w:val="0"/>
                                                                                                                                                                                                                                                                                                                                      <w:marTop w:val="0"/>
                                                                                                                                                                                                                                                                                                                                      <w:marBottom w:val="0"/>
                                                                                                                                                                                                                                                                                                                                      <w:divBdr>
                                                                                                                                                                                                                                                                                                                                        <w:top w:val="none" w:sz="0" w:space="0" w:color="auto"/>
                                                                                                                                                                                                                                                                                                                                        <w:left w:val="none" w:sz="0" w:space="0" w:color="auto"/>
                                                                                                                                                                                                                                                                                                                                        <w:bottom w:val="none" w:sz="0" w:space="0" w:color="auto"/>
                                                                                                                                                                                                                                                                                                                                        <w:right w:val="none" w:sz="0" w:space="0" w:color="auto"/>
                                                                                                                                                                                                                                                                                                                                      </w:divBdr>
                                                                                                                                                                                                                                                                                                                                      <w:divsChild>
                                                                                                                                                                                                                                                                                                                                        <w:div w:id="816918898">
                                                                                                                                                                                                                                                                                                                                          <w:marLeft w:val="0"/>
                                                                                                                                                                                                                                                                                                                                          <w:marRight w:val="0"/>
                                                                                                                                                                                                                                                                                                                                          <w:marTop w:val="0"/>
                                                                                                                                                                                                                                                                                                                                          <w:marBottom w:val="0"/>
                                                                                                                                                                                                                                                                                                                                          <w:divBdr>
                                                                                                                                                                                                                                                                                                                                            <w:top w:val="none" w:sz="0" w:space="0" w:color="auto"/>
                                                                                                                                                                                                                                                                                                                                            <w:left w:val="none" w:sz="0" w:space="0" w:color="auto"/>
                                                                                                                                                                                                                                                                                                                                            <w:bottom w:val="none" w:sz="0" w:space="0" w:color="auto"/>
                                                                                                                                                                                                                                                                                                                                            <w:right w:val="none" w:sz="0" w:space="0" w:color="auto"/>
                                                                                                                                                                                                                                                                                                                                          </w:divBdr>
                                                                                                                                                                                                                                                                                                                                          <w:divsChild>
                                                                                                                                                                                                                                                                                                                                            <w:div w:id="490871785">
                                                                                                                                                                                                                                                                                                                                              <w:marLeft w:val="0"/>
                                                                                                                                                                                                                                                                                                                                              <w:marRight w:val="0"/>
                                                                                                                                                                                                                                                                                                                                              <w:marTop w:val="0"/>
                                                                                                                                                                                                                                                                                                                                              <w:marBottom w:val="0"/>
                                                                                                                                                                                                                                                                                                                                              <w:divBdr>
                                                                                                                                                                                                                                                                                                                                                <w:top w:val="none" w:sz="0" w:space="0" w:color="auto"/>
                                                                                                                                                                                                                                                                                                                                                <w:left w:val="none" w:sz="0" w:space="0" w:color="auto"/>
                                                                                                                                                                                                                                                                                                                                                <w:bottom w:val="none" w:sz="0" w:space="0" w:color="auto"/>
                                                                                                                                                                                                                                                                                                                                                <w:right w:val="none" w:sz="0" w:space="0" w:color="auto"/>
                                                                                                                                                                                                                                                                                                                                              </w:divBdr>
                                                                                                                                                                                                                                                                                                                                              <w:divsChild>
                                                                                                                                                                                                                                                                                                                                                <w:div w:id="363869663">
                                                                                                                                                                                                                                                                                                                                                  <w:marLeft w:val="0"/>
                                                                                                                                                                                                                                                                                                                                                  <w:marRight w:val="0"/>
                                                                                                                                                                                                                                                                                                                                                  <w:marTop w:val="0"/>
                                                                                                                                                                                                                                                                                                                                                  <w:marBottom w:val="0"/>
                                                                                                                                                                                                                                                                                                                                                  <w:divBdr>
                                                                                                                                                                                                                                                                                                                                                    <w:top w:val="none" w:sz="0" w:space="0" w:color="auto"/>
                                                                                                                                                                                                                                                                                                                                                    <w:left w:val="none" w:sz="0" w:space="0" w:color="auto"/>
                                                                                                                                                                                                                                                                                                                                                    <w:bottom w:val="none" w:sz="0" w:space="0" w:color="auto"/>
                                                                                                                                                                                                                                                                                                                                                    <w:right w:val="none" w:sz="0" w:space="0" w:color="auto"/>
                                                                                                                                                                                                                                                                                                                                                  </w:divBdr>
                                                                                                                                                                                                                                                                                                                                                  <w:divsChild>
                                                                                                                                                                                                                                                                                                                                                    <w:div w:id="1740594336">
                                                                                                                                                                                                                                                                                                                                                      <w:marLeft w:val="0"/>
                                                                                                                                                                                                                                                                                                                                                      <w:marRight w:val="0"/>
                                                                                                                                                                                                                                                                                                                                                      <w:marTop w:val="0"/>
                                                                                                                                                                                                                                                                                                                                                      <w:marBottom w:val="0"/>
                                                                                                                                                                                                                                                                                                                                                      <w:divBdr>
                                                                                                                                                                                                                                                                                                                                                        <w:top w:val="none" w:sz="0" w:space="0" w:color="auto"/>
                                                                                                                                                                                                                                                                                                                                                        <w:left w:val="none" w:sz="0" w:space="0" w:color="auto"/>
                                                                                                                                                                                                                                                                                                                                                        <w:bottom w:val="none" w:sz="0" w:space="0" w:color="auto"/>
                                                                                                                                                                                                                                                                                                                                                        <w:right w:val="none" w:sz="0" w:space="0" w:color="auto"/>
                                                                                                                                                                                                                                                                                                                                                      </w:divBdr>
                                                                                                                                                                                                                                                                                                                                                      <w:divsChild>
                                                                                                                                                                                                                                                                                                                                                        <w:div w:id="1222251677">
                                                                                                                                                                                                                                                                                                                                                          <w:marLeft w:val="0"/>
                                                                                                                                                                                                                                                                                                                                                          <w:marRight w:val="0"/>
                                                                                                                                                                                                                                                                                                                                                          <w:marTop w:val="0"/>
                                                                                                                                                                                                                                                                                                                                                          <w:marBottom w:val="0"/>
                                                                                                                                                                                                                                                                                                                                                          <w:divBdr>
                                                                                                                                                                                                                                                                                                                                                            <w:top w:val="none" w:sz="0" w:space="0" w:color="auto"/>
                                                                                                                                                                                                                                                                                                                                                            <w:left w:val="none" w:sz="0" w:space="0" w:color="auto"/>
                                                                                                                                                                                                                                                                                                                                                            <w:bottom w:val="none" w:sz="0" w:space="0" w:color="auto"/>
                                                                                                                                                                                                                                                                                                                                                            <w:right w:val="none" w:sz="0" w:space="0" w:color="auto"/>
                                                                                                                                                                                                                                                                                                                                                          </w:divBdr>
                                                                                                                                                                                                                                                                                                                                                          <w:divsChild>
                                                                                                                                                                                                                                                                                                                                                            <w:div w:id="1380782682">
                                                                                                                                                                                                                                                                                                                                                              <w:marLeft w:val="0"/>
                                                                                                                                                                                                                                                                                                                                                              <w:marRight w:val="0"/>
                                                                                                                                                                                                                                                                                                                                                              <w:marTop w:val="0"/>
                                                                                                                                                                                                                                                                                                                                                              <w:marBottom w:val="0"/>
                                                                                                                                                                                                                                                                                                                                                              <w:divBdr>
                                                                                                                                                                                                                                                                                                                                                                <w:top w:val="none" w:sz="0" w:space="0" w:color="auto"/>
                                                                                                                                                                                                                                                                                                                                                                <w:left w:val="none" w:sz="0" w:space="0" w:color="auto"/>
                                                                                                                                                                                                                                                                                                                                                                <w:bottom w:val="none" w:sz="0" w:space="0" w:color="auto"/>
                                                                                                                                                                                                                                                                                                                                                                <w:right w:val="none" w:sz="0" w:space="0" w:color="auto"/>
                                                                                                                                                                                                                                                                                                                                                              </w:divBdr>
                                                                                                                                                                                                                                                                                                                                                              <w:divsChild>
                                                                                                                                                                                                                                                                                                                                                                <w:div w:id="409238556">
                                                                                                                                                                                                                                                                                                                                                                  <w:marLeft w:val="0"/>
                                                                                                                                                                                                                                                                                                                                                                  <w:marRight w:val="0"/>
                                                                                                                                                                                                                                                                                                                                                                  <w:marTop w:val="0"/>
                                                                                                                                                                                                                                                                                                                                                                  <w:marBottom w:val="0"/>
                                                                                                                                                                                                                                                                                                                                                                  <w:divBdr>
                                                                                                                                                                                                                                                                                                                                                                    <w:top w:val="none" w:sz="0" w:space="0" w:color="auto"/>
                                                                                                                                                                                                                                                                                                                                                                    <w:left w:val="none" w:sz="0" w:space="0" w:color="auto"/>
                                                                                                                                                                                                                                                                                                                                                                    <w:bottom w:val="none" w:sz="0" w:space="0" w:color="auto"/>
                                                                                                                                                                                                                                                                                                                                                                    <w:right w:val="none" w:sz="0" w:space="0" w:color="auto"/>
                                                                                                                                                                                                                                                                                                                                                                  </w:divBdr>
                                                                                                                                                                                                                                                                                                                                                                  <w:divsChild>
                                                                                                                                                                                                                                                                                                                                                                    <w:div w:id="1683973396">
                                                                                                                                                                                                                                                                                                                                                                      <w:marLeft w:val="0"/>
                                                                                                                                                                                                                                                                                                                                                                      <w:marRight w:val="0"/>
                                                                                                                                                                                                                                                                                                                                                                      <w:marTop w:val="0"/>
                                                                                                                                                                                                                                                                                                                                                                      <w:marBottom w:val="0"/>
                                                                                                                                                                                                                                                                                                                                                                      <w:divBdr>
                                                                                                                                                                                                                                                                                                                                                                        <w:top w:val="none" w:sz="0" w:space="0" w:color="auto"/>
                                                                                                                                                                                                                                                                                                                                                                        <w:left w:val="none" w:sz="0" w:space="0" w:color="auto"/>
                                                                                                                                                                                                                                                                                                                                                                        <w:bottom w:val="none" w:sz="0" w:space="0" w:color="auto"/>
                                                                                                                                                                                                                                                                                                                                                                        <w:right w:val="none" w:sz="0" w:space="0" w:color="auto"/>
                                                                                                                                                                                                                                                                                                                                                                      </w:divBdr>
                                                                                                                                                                                                                                                                                                                                                                      <w:divsChild>
                                                                                                                                                                                                                                                                                                                                                                        <w:div w:id="1902983321">
                                                                                                                                                                                                                                                                                                                                                                          <w:marLeft w:val="0"/>
                                                                                                                                                                                                                                                                                                                                                                          <w:marRight w:val="0"/>
                                                                                                                                                                                                                                                                                                                                                                          <w:marTop w:val="0"/>
                                                                                                                                                                                                                                                                                                                                                                          <w:marBottom w:val="0"/>
                                                                                                                                                                                                                                                                                                                                                                          <w:divBdr>
                                                                                                                                                                                                                                                                                                                                                                            <w:top w:val="none" w:sz="0" w:space="0" w:color="auto"/>
                                                                                                                                                                                                                                                                                                                                                                            <w:left w:val="none" w:sz="0" w:space="0" w:color="auto"/>
                                                                                                                                                                                                                                                                                                                                                                            <w:bottom w:val="none" w:sz="0" w:space="0" w:color="auto"/>
                                                                                                                                                                                                                                                                                                                                                                            <w:right w:val="none" w:sz="0" w:space="0" w:color="auto"/>
                                                                                                                                                                                                                                                                                                                                                                          </w:divBdr>
                                                                                                                                                                                                                                                                                                                                                                          <w:divsChild>
                                                                                                                                                                                                                                                                                                                                                                            <w:div w:id="1288975907">
                                                                                                                                                                                                                                                                                                                                                                              <w:marLeft w:val="0"/>
                                                                                                                                                                                                                                                                                                                                                                              <w:marRight w:val="0"/>
                                                                                                                                                                                                                                                                                                                                                                              <w:marTop w:val="0"/>
                                                                                                                                                                                                                                                                                                                                                                              <w:marBottom w:val="0"/>
                                                                                                                                                                                                                                                                                                                                                                              <w:divBdr>
                                                                                                                                                                                                                                                                                                                                                                                <w:top w:val="none" w:sz="0" w:space="0" w:color="auto"/>
                                                                                                                                                                                                                                                                                                                                                                                <w:left w:val="none" w:sz="0" w:space="0" w:color="auto"/>
                                                                                                                                                                                                                                                                                                                                                                                <w:bottom w:val="none" w:sz="0" w:space="0" w:color="auto"/>
                                                                                                                                                                                                                                                                                                                                                                                <w:right w:val="none" w:sz="0" w:space="0" w:color="auto"/>
                                                                                                                                                                                                                                                                                                                                                                              </w:divBdr>
                                                                                                                                                                                                                                                                                                                                                                              <w:divsChild>
                                                                                                                                                                                                                                                                                                                                                                                <w:div w:id="2084180357">
                                                                                                                                                                                                                                                                                                                                                                                  <w:marLeft w:val="0"/>
                                                                                                                                                                                                                                                                                                                                                                                  <w:marRight w:val="0"/>
                                                                                                                                                                                                                                                                                                                                                                                  <w:marTop w:val="0"/>
                                                                                                                                                                                                                                                                                                                                                                                  <w:marBottom w:val="0"/>
                                                                                                                                                                                                                                                                                                                                                                                  <w:divBdr>
                                                                                                                                                                                                                                                                                                                                                                                    <w:top w:val="none" w:sz="0" w:space="0" w:color="auto"/>
                                                                                                                                                                                                                                                                                                                                                                                    <w:left w:val="none" w:sz="0" w:space="0" w:color="auto"/>
                                                                                                                                                                                                                                                                                                                                                                                    <w:bottom w:val="none" w:sz="0" w:space="0" w:color="auto"/>
                                                                                                                                                                                                                                                                                                                                                                                    <w:right w:val="none" w:sz="0" w:space="0" w:color="auto"/>
                                                                                                                                                                                                                                                                                                                                                                                  </w:divBdr>
                                                                                                                                                                                                                                                                                                                                                                                  <w:divsChild>
                                                                                                                                                                                                                                                                                                                                                                                    <w:div w:id="452990251">
                                                                                                                                                                                                                                                                                                                                                                                      <w:marLeft w:val="0"/>
                                                                                                                                                                                                                                                                                                                                                                                      <w:marRight w:val="0"/>
                                                                                                                                                                                                                                                                                                                                                                                      <w:marTop w:val="0"/>
                                                                                                                                                                                                                                                                                                                                                                                      <w:marBottom w:val="0"/>
                                                                                                                                                                                                                                                                                                                                                                                      <w:divBdr>
                                                                                                                                                                                                                                                                                                                                                                                        <w:top w:val="none" w:sz="0" w:space="0" w:color="auto"/>
                                                                                                                                                                                                                                                                                                                                                                                        <w:left w:val="none" w:sz="0" w:space="0" w:color="auto"/>
                                                                                                                                                                                                                                                                                                                                                                                        <w:bottom w:val="none" w:sz="0" w:space="0" w:color="auto"/>
                                                                                                                                                                                                                                                                                                                                                                                        <w:right w:val="none" w:sz="0" w:space="0" w:color="auto"/>
                                                                                                                                                                                                                                                                                                                                                                                      </w:divBdr>
                                                                                                                                                                                                                                                                                                                                                                                      <w:divsChild>
                                                                                                                                                                                                                                                                                                                                                                                        <w:div w:id="197548091">
                                                                                                                                                                                                                                                                                                                                                                                          <w:marLeft w:val="0"/>
                                                                                                                                                                                                                                                                                                                                                                                          <w:marRight w:val="0"/>
                                                                                                                                                                                                                                                                                                                                                                                          <w:marTop w:val="0"/>
                                                                                                                                                                                                                                                                                                                                                                                          <w:marBottom w:val="0"/>
                                                                                                                                                                                                                                                                                                                                                                                          <w:divBdr>
                                                                                                                                                                                                                                                                                                                                                                                            <w:top w:val="none" w:sz="0" w:space="0" w:color="auto"/>
                                                                                                                                                                                                                                                                                                                                                                                            <w:left w:val="none" w:sz="0" w:space="0" w:color="auto"/>
                                                                                                                                                                                                                                                                                                                                                                                            <w:bottom w:val="none" w:sz="0" w:space="0" w:color="auto"/>
                                                                                                                                                                                                                                                                                                                                                                                            <w:right w:val="none" w:sz="0" w:space="0" w:color="auto"/>
                                                                                                                                                                                                                                                                                                                                                                                          </w:divBdr>
                                                                                                                                                                                                                                                                                                                                                                                          <w:divsChild>
                                                                                                                                                                                                                                                                                                                                                                                            <w:div w:id="173304044">
                                                                                                                                                                                                                                                                                                                                                                                              <w:marLeft w:val="0"/>
                                                                                                                                                                                                                                                                                                                                                                                              <w:marRight w:val="0"/>
                                                                                                                                                                                                                                                                                                                                                                                              <w:marTop w:val="0"/>
                                                                                                                                                                                                                                                                                                                                                                                              <w:marBottom w:val="0"/>
                                                                                                                                                                                                                                                                                                                                                                                              <w:divBdr>
                                                                                                                                                                                                                                                                                                                                                                                                <w:top w:val="none" w:sz="0" w:space="0" w:color="auto"/>
                                                                                                                                                                                                                                                                                                                                                                                                <w:left w:val="none" w:sz="0" w:space="0" w:color="auto"/>
                                                                                                                                                                                                                                                                                                                                                                                                <w:bottom w:val="none" w:sz="0" w:space="0" w:color="auto"/>
                                                                                                                                                                                                                                                                                                                                                                                                <w:right w:val="none" w:sz="0" w:space="0" w:color="auto"/>
                                                                                                                                                                                                                                                                                                                                                                                              </w:divBdr>
                                                                                                                                                                                                                                                                                                                                                                                              <w:divsChild>
                                                                                                                                                                                                                                                                                                                                                                                                <w:div w:id="1338581846">
                                                                                                                                                                                                                                                                                                                                                                                                  <w:marLeft w:val="0"/>
                                                                                                                                                                                                                                                                                                                                                                                                  <w:marRight w:val="0"/>
                                                                                                                                                                                                                                                                                                                                                                                                  <w:marTop w:val="0"/>
                                                                                                                                                                                                                                                                                                                                                                                                  <w:marBottom w:val="0"/>
                                                                                                                                                                                                                                                                                                                                                                                                  <w:divBdr>
                                                                                                                                                                                                                                                                                                                                                                                                    <w:top w:val="none" w:sz="0" w:space="0" w:color="auto"/>
                                                                                                                                                                                                                                                                                                                                                                                                    <w:left w:val="none" w:sz="0" w:space="0" w:color="auto"/>
                                                                                                                                                                                                                                                                                                                                                                                                    <w:bottom w:val="none" w:sz="0" w:space="0" w:color="auto"/>
                                                                                                                                                                                                                                                                                                                                                                                                    <w:right w:val="none" w:sz="0" w:space="0" w:color="auto"/>
                                                                                                                                                                                                                                                                                                                                                                                                  </w:divBdr>
                                                                                                                                                                                                                                                                                                                                                                                                  <w:divsChild>
                                                                                                                                                                                                                                                                                                                                                                                                    <w:div w:id="511260969">
                                                                                                                                                                                                                                                                                                                                                                                                      <w:marLeft w:val="0"/>
                                                                                                                                                                                                                                                                                                                                                                                                      <w:marRight w:val="0"/>
                                                                                                                                                                                                                                                                                                                                                                                                      <w:marTop w:val="0"/>
                                                                                                                                                                                                                                                                                                                                                                                                      <w:marBottom w:val="0"/>
                                                                                                                                                                                                                                                                                                                                                                                                      <w:divBdr>
                                                                                                                                                                                                                                                                                                                                                                                                        <w:top w:val="none" w:sz="0" w:space="0" w:color="auto"/>
                                                                                                                                                                                                                                                                                                                                                                                                        <w:left w:val="none" w:sz="0" w:space="0" w:color="auto"/>
                                                                                                                                                                                                                                                                                                                                                                                                        <w:bottom w:val="none" w:sz="0" w:space="0" w:color="auto"/>
                                                                                                                                                                                                                                                                                                                                                                                                        <w:right w:val="none" w:sz="0" w:space="0" w:color="auto"/>
                                                                                                                                                                                                                                                                                                                                                                                                      </w:divBdr>
                                                                                                                                                                                                                                                                                                                                                                                                      <w:divsChild>
                                                                                                                                                                                                                                                                                                                                                                                                        <w:div w:id="1532574398">
                                                                                                                                                                                                                                                                                                                                                                                                          <w:marLeft w:val="0"/>
                                                                                                                                                                                                                                                                                                                                                                                                          <w:marRight w:val="0"/>
                                                                                                                                                                                                                                                                                                                                                                                                          <w:marTop w:val="0"/>
                                                                                                                                                                                                                                                                                                                                                                                                          <w:marBottom w:val="0"/>
                                                                                                                                                                                                                                                                                                                                                                                                          <w:divBdr>
                                                                                                                                                                                                                                                                                                                                                                                                            <w:top w:val="none" w:sz="0" w:space="0" w:color="auto"/>
                                                                                                                                                                                                                                                                                                                                                                                                            <w:left w:val="none" w:sz="0" w:space="0" w:color="auto"/>
                                                                                                                                                                                                                                                                                                                                                                                                            <w:bottom w:val="none" w:sz="0" w:space="0" w:color="auto"/>
                                                                                                                                                                                                                                                                                                                                                                                                            <w:right w:val="none" w:sz="0" w:space="0" w:color="auto"/>
                                                                                                                                                                                                                                                                                                                                                                                                          </w:divBdr>
                                                                                                                                                                                                                                                                                                                                                                                                          <w:divsChild>
                                                                                                                                                                                                                                                                                                                                                                                                            <w:div w:id="758212168">
                                                                                                                                                                                                                                                                                                                                                                                                              <w:marLeft w:val="0"/>
                                                                                                                                                                                                                                                                                                                                                                                                              <w:marRight w:val="0"/>
                                                                                                                                                                                                                                                                                                                                                                                                              <w:marTop w:val="0"/>
                                                                                                                                                                                                                                                                                                                                                                                                              <w:marBottom w:val="0"/>
                                                                                                                                                                                                                                                                                                                                                                                                              <w:divBdr>
                                                                                                                                                                                                                                                                                                                                                                                                                <w:top w:val="none" w:sz="0" w:space="0" w:color="auto"/>
                                                                                                                                                                                                                                                                                                                                                                                                                <w:left w:val="none" w:sz="0" w:space="0" w:color="auto"/>
                                                                                                                                                                                                                                                                                                                                                                                                                <w:bottom w:val="none" w:sz="0" w:space="0" w:color="auto"/>
                                                                                                                                                                                                                                                                                                                                                                                                                <w:right w:val="none" w:sz="0" w:space="0" w:color="auto"/>
                                                                                                                                                                                                                                                                                                                                                                                                              </w:divBdr>
                                                                                                                                                                                                                                                                                                                                                                                                              <w:divsChild>
                                                                                                                                                                                                                                                                                                                                                                                                                <w:div w:id="458651807">
                                                                                                                                                                                                                                                                                                                                                                                                                  <w:marLeft w:val="0"/>
                                                                                                                                                                                                                                                                                                                                                                                                                  <w:marRight w:val="0"/>
                                                                                                                                                                                                                                                                                                                                                                                                                  <w:marTop w:val="0"/>
                                                                                                                                                                                                                                                                                                                                                                                                                  <w:marBottom w:val="0"/>
                                                                                                                                                                                                                                                                                                                                                                                                                  <w:divBdr>
                                                                                                                                                                                                                                                                                                                                                                                                                    <w:top w:val="none" w:sz="0" w:space="0" w:color="auto"/>
                                                                                                                                                                                                                                                                                                                                                                                                                    <w:left w:val="none" w:sz="0" w:space="0" w:color="auto"/>
                                                                                                                                                                                                                                                                                                                                                                                                                    <w:bottom w:val="none" w:sz="0" w:space="0" w:color="auto"/>
                                                                                                                                                                                                                                                                                                                                                                                                                    <w:right w:val="none" w:sz="0" w:space="0" w:color="auto"/>
                                                                                                                                                                                                                                                                                                                                                                                                                  </w:divBdr>
                                                                                                                                                                                                                                                                                                                                                                                                                  <w:divsChild>
                                                                                                                                                                                                                                                                                                                                                                                                                    <w:div w:id="1190338419">
                                                                                                                                                                                                                                                                                                                                                                                                                      <w:marLeft w:val="0"/>
                                                                                                                                                                                                                                                                                                                                                                                                                      <w:marRight w:val="0"/>
                                                                                                                                                                                                                                                                                                                                                                                                                      <w:marTop w:val="0"/>
                                                                                                                                                                                                                                                                                                                                                                                                                      <w:marBottom w:val="0"/>
                                                                                                                                                                                                                                                                                                                                                                                                                      <w:divBdr>
                                                                                                                                                                                                                                                                                                                                                                                                                        <w:top w:val="none" w:sz="0" w:space="0" w:color="auto"/>
                                                                                                                                                                                                                                                                                                                                                                                                                        <w:left w:val="none" w:sz="0" w:space="0" w:color="auto"/>
                                                                                                                                                                                                                                                                                                                                                                                                                        <w:bottom w:val="none" w:sz="0" w:space="0" w:color="auto"/>
                                                                                                                                                                                                                                                                                                                                                                                                                        <w:right w:val="none" w:sz="0" w:space="0" w:color="auto"/>
                                                                                                                                                                                                                                                                                                                                                                                                                      </w:divBdr>
                                                                                                                                                                                                                                                                                                                                                                                                                      <w:divsChild>
                                                                                                                                                                                                                                                                                                                                                                                                                        <w:div w:id="701440206">
                                                                                                                                                                                                                                                                                                                                                                                                                          <w:marLeft w:val="0"/>
                                                                                                                                                                                                                                                                                                                                                                                                                          <w:marRight w:val="0"/>
                                                                                                                                                                                                                                                                                                                                                                                                                          <w:marTop w:val="0"/>
                                                                                                                                                                                                                                                                                                                                                                                                                          <w:marBottom w:val="0"/>
                                                                                                                                                                                                                                                                                                                                                                                                                          <w:divBdr>
                                                                                                                                                                                                                                                                                                                                                                                                                            <w:top w:val="none" w:sz="0" w:space="0" w:color="auto"/>
                                                                                                                                                                                                                                                                                                                                                                                                                            <w:left w:val="none" w:sz="0" w:space="0" w:color="auto"/>
                                                                                                                                                                                                                                                                                                                                                                                                                            <w:bottom w:val="none" w:sz="0" w:space="0" w:color="auto"/>
                                                                                                                                                                                                                                                                                                                                                                                                                            <w:right w:val="none" w:sz="0" w:space="0" w:color="auto"/>
                                                                                                                                                                                                                                                                                                                                                                                                                          </w:divBdr>
                                                                                                                                                                                                                                                                                                                                                                                                                          <w:divsChild>
                                                                                                                                                                                                                                                                                                                                                                                                                            <w:div w:id="1189179243">
                                                                                                                                                                                                                                                                                                                                                                                                                              <w:marLeft w:val="0"/>
                                                                                                                                                                                                                                                                                                                                                                                                                              <w:marRight w:val="0"/>
                                                                                                                                                                                                                                                                                                                                                                                                                              <w:marTop w:val="0"/>
                                                                                                                                                                                                                                                                                                                                                                                                                              <w:marBottom w:val="0"/>
                                                                                                                                                                                                                                                                                                                                                                                                                              <w:divBdr>
                                                                                                                                                                                                                                                                                                                                                                                                                                <w:top w:val="none" w:sz="0" w:space="0" w:color="auto"/>
                                                                                                                                                                                                                                                                                                                                                                                                                                <w:left w:val="none" w:sz="0" w:space="0" w:color="auto"/>
                                                                                                                                                                                                                                                                                                                                                                                                                                <w:bottom w:val="none" w:sz="0" w:space="0" w:color="auto"/>
                                                                                                                                                                                                                                                                                                                                                                                                                                <w:right w:val="none" w:sz="0" w:space="0" w:color="auto"/>
                                                                                                                                                                                                                                                                                                                                                                                                                              </w:divBdr>
                                                                                                                                                                                                                                                                                                                                                                                                                              <w:divsChild>
                                                                                                                                                                                                                                                                                                                                                                                                                                <w:div w:id="1143546057">
                                                                                                                                                                                                                                                                                                                                                                                                                                  <w:marLeft w:val="0"/>
                                                                                                                                                                                                                                                                                                                                                                                                                                  <w:marRight w:val="0"/>
                                                                                                                                                                                                                                                                                                                                                                                                                                  <w:marTop w:val="0"/>
                                                                                                                                                                                                                                                                                                                                                                                                                                  <w:marBottom w:val="0"/>
                                                                                                                                                                                                                                                                                                                                                                                                                                  <w:divBdr>
                                                                                                                                                                                                                                                                                                                                                                                                                                    <w:top w:val="none" w:sz="0" w:space="0" w:color="auto"/>
                                                                                                                                                                                                                                                                                                                                                                                                                                    <w:left w:val="none" w:sz="0" w:space="0" w:color="auto"/>
                                                                                                                                                                                                                                                                                                                                                                                                                                    <w:bottom w:val="none" w:sz="0" w:space="0" w:color="auto"/>
                                                                                                                                                                                                                                                                                                                                                                                                                                    <w:right w:val="none" w:sz="0" w:space="0" w:color="auto"/>
                                                                                                                                                                                                                                                                                                                                                                                                                                  </w:divBdr>
                                                                                                                                                                                                                                                                                                                                                                                                                                  <w:divsChild>
                                                                                                                                                                                                                                                                                                                                                                                                                                    <w:div w:id="1714425053">
                                                                                                                                                                                                                                                                                                                                                                                                                                      <w:marLeft w:val="0"/>
                                                                                                                                                                                                                                                                                                                                                                                                                                      <w:marRight w:val="0"/>
                                                                                                                                                                                                                                                                                                                                                                                                                                      <w:marTop w:val="0"/>
                                                                                                                                                                                                                                                                                                                                                                                                                                      <w:marBottom w:val="0"/>
                                                                                                                                                                                                                                                                                                                                                                                                                                      <w:divBdr>
                                                                                                                                                                                                                                                                                                                                                                                                                                        <w:top w:val="none" w:sz="0" w:space="0" w:color="auto"/>
                                                                                                                                                                                                                                                                                                                                                                                                                                        <w:left w:val="none" w:sz="0" w:space="0" w:color="auto"/>
                                                                                                                                                                                                                                                                                                                                                                                                                                        <w:bottom w:val="none" w:sz="0" w:space="0" w:color="auto"/>
                                                                                                                                                                                                                                                                                                                                                                                                                                        <w:right w:val="none" w:sz="0" w:space="0" w:color="auto"/>
                                                                                                                                                                                                                                                                                                                                                                                                                                      </w:divBdr>
                                                                                                                                                                                                                                                                                                                                                                                                                                      <w:divsChild>
                                                                                                                                                                                                                                                                                                                                                                                                                                        <w:div w:id="395399963">
                                                                                                                                                                                                                                                                                                                                                                                                                                          <w:marLeft w:val="0"/>
                                                                                                                                                                                                                                                                                                                                                                                                                                          <w:marRight w:val="0"/>
                                                                                                                                                                                                                                                                                                                                                                                                                                          <w:marTop w:val="0"/>
                                                                                                                                                                                                                                                                                                                                                                                                                                          <w:marBottom w:val="0"/>
                                                                                                                                                                                                                                                                                                                                                                                                                                          <w:divBdr>
                                                                                                                                                                                                                                                                                                                                                                                                                                            <w:top w:val="none" w:sz="0" w:space="0" w:color="auto"/>
                                                                                                                                                                                                                                                                                                                                                                                                                                            <w:left w:val="none" w:sz="0" w:space="0" w:color="auto"/>
                                                                                                                                                                                                                                                                                                                                                                                                                                            <w:bottom w:val="none" w:sz="0" w:space="0" w:color="auto"/>
                                                                                                                                                                                                                                                                                                                                                                                                                                            <w:right w:val="none" w:sz="0" w:space="0" w:color="auto"/>
                                                                                                                                                                                                                                                                                                                                                                                                                                          </w:divBdr>
                                                                                                                                                                                                                                                                                                                                                                                                                                          <w:divsChild>
                                                                                                                                                                                                                                                                                                                                                                                                                                            <w:div w:id="1106314880">
                                                                                                                                                                                                                                                                                                                                                                                                                                              <w:marLeft w:val="0"/>
                                                                                                                                                                                                                                                                                                                                                                                                                                              <w:marRight w:val="0"/>
                                                                                                                                                                                                                                                                                                                                                                                                                                              <w:marTop w:val="0"/>
                                                                                                                                                                                                                                                                                                                                                                                                                                              <w:marBottom w:val="0"/>
                                                                                                                                                                                                                                                                                                                                                                                                                                              <w:divBdr>
                                                                                                                                                                                                                                                                                                                                                                                                                                                <w:top w:val="none" w:sz="0" w:space="0" w:color="auto"/>
                                                                                                                                                                                                                                                                                                                                                                                                                                                <w:left w:val="none" w:sz="0" w:space="0" w:color="auto"/>
                                                                                                                                                                                                                                                                                                                                                                                                                                                <w:bottom w:val="none" w:sz="0" w:space="0" w:color="auto"/>
                                                                                                                                                                                                                                                                                                                                                                                                                                                <w:right w:val="none" w:sz="0" w:space="0" w:color="auto"/>
                                                                                                                                                                                                                                                                                                                                                                                                                                              </w:divBdr>
                                                                                                                                                                                                                                                                                                                                                                                                                                              <w:divsChild>
                                                                                                                                                                                                                                                                                                                                                                                                                                                <w:div w:id="177549057">
                                                                                                                                                                                                                                                                                                                                                                                                                                                  <w:marLeft w:val="0"/>
                                                                                                                                                                                                                                                                                                                                                                                                                                                  <w:marRight w:val="0"/>
                                                                                                                                                                                                                                                                                                                                                                                                                                                  <w:marTop w:val="0"/>
                                                                                                                                                                                                                                                                                                                                                                                                                                                  <w:marBottom w:val="0"/>
                                                                                                                                                                                                                                                                                                                                                                                                                                                  <w:divBdr>
                                                                                                                                                                                                                                                                                                                                                                                                                                                    <w:top w:val="none" w:sz="0" w:space="0" w:color="auto"/>
                                                                                                                                                                                                                                                                                                                                                                                                                                                    <w:left w:val="none" w:sz="0" w:space="0" w:color="auto"/>
                                                                                                                                                                                                                                                                                                                                                                                                                                                    <w:bottom w:val="none" w:sz="0" w:space="0" w:color="auto"/>
                                                                                                                                                                                                                                                                                                                                                                                                                                                    <w:right w:val="none" w:sz="0" w:space="0" w:color="auto"/>
                                                                                                                                                                                                                                                                                                                                                                                                                                                  </w:divBdr>
                                                                                                                                                                                                                                                                                                                                                                                                                                                  <w:divsChild>
                                                                                                                                                                                                                                                                                                                                                                                                                                                    <w:div w:id="1336884897">
                                                                                                                                                                                                                                                                                                                                                                                                                                                      <w:marLeft w:val="0"/>
                                                                                                                                                                                                                                                                                                                                                                                                                                                      <w:marRight w:val="0"/>
                                                                                                                                                                                                                                                                                                                                                                                                                                                      <w:marTop w:val="0"/>
                                                                                                                                                                                                                                                                                                                                                                                                                                                      <w:marBottom w:val="0"/>
                                                                                                                                                                                                                                                                                                                                                                                                                                                      <w:divBdr>
                                                                                                                                                                                                                                                                                                                                                                                                                                                        <w:top w:val="none" w:sz="0" w:space="0" w:color="auto"/>
                                                                                                                                                                                                                                                                                                                                                                                                                                                        <w:left w:val="none" w:sz="0" w:space="0" w:color="auto"/>
                                                                                                                                                                                                                                                                                                                                                                                                                                                        <w:bottom w:val="none" w:sz="0" w:space="0" w:color="auto"/>
                                                                                                                                                                                                                                                                                                                                                                                                                                                        <w:right w:val="none" w:sz="0" w:space="0" w:color="auto"/>
                                                                                                                                                                                                                                                                                                                                                                                                                                                      </w:divBdr>
                                                                                                                                                                                                                                                                                                                                                                                                                                                      <w:divsChild>
                                                                                                                                                                                                                                                                                                                                                                                                                                                        <w:div w:id="75675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5024110">
      <w:bodyDiv w:val="1"/>
      <w:marLeft w:val="0"/>
      <w:marRight w:val="0"/>
      <w:marTop w:val="0"/>
      <w:marBottom w:val="0"/>
      <w:divBdr>
        <w:top w:val="none" w:sz="0" w:space="0" w:color="auto"/>
        <w:left w:val="none" w:sz="0" w:space="0" w:color="auto"/>
        <w:bottom w:val="none" w:sz="0" w:space="0" w:color="auto"/>
        <w:right w:val="none" w:sz="0" w:space="0" w:color="auto"/>
      </w:divBdr>
    </w:div>
    <w:div w:id="1190291429">
      <w:bodyDiv w:val="1"/>
      <w:marLeft w:val="0"/>
      <w:marRight w:val="0"/>
      <w:marTop w:val="0"/>
      <w:marBottom w:val="0"/>
      <w:divBdr>
        <w:top w:val="none" w:sz="0" w:space="0" w:color="auto"/>
        <w:left w:val="none" w:sz="0" w:space="0" w:color="auto"/>
        <w:bottom w:val="none" w:sz="0" w:space="0" w:color="auto"/>
        <w:right w:val="none" w:sz="0" w:space="0" w:color="auto"/>
      </w:divBdr>
    </w:div>
    <w:div w:id="1190527711">
      <w:bodyDiv w:val="1"/>
      <w:marLeft w:val="0"/>
      <w:marRight w:val="0"/>
      <w:marTop w:val="0"/>
      <w:marBottom w:val="0"/>
      <w:divBdr>
        <w:top w:val="none" w:sz="0" w:space="0" w:color="auto"/>
        <w:left w:val="none" w:sz="0" w:space="0" w:color="auto"/>
        <w:bottom w:val="none" w:sz="0" w:space="0" w:color="auto"/>
        <w:right w:val="none" w:sz="0" w:space="0" w:color="auto"/>
      </w:divBdr>
    </w:div>
    <w:div w:id="1194222566">
      <w:bodyDiv w:val="1"/>
      <w:marLeft w:val="0"/>
      <w:marRight w:val="0"/>
      <w:marTop w:val="0"/>
      <w:marBottom w:val="0"/>
      <w:divBdr>
        <w:top w:val="none" w:sz="0" w:space="0" w:color="auto"/>
        <w:left w:val="none" w:sz="0" w:space="0" w:color="auto"/>
        <w:bottom w:val="none" w:sz="0" w:space="0" w:color="auto"/>
        <w:right w:val="none" w:sz="0" w:space="0" w:color="auto"/>
      </w:divBdr>
    </w:div>
    <w:div w:id="1199009066">
      <w:bodyDiv w:val="1"/>
      <w:marLeft w:val="0"/>
      <w:marRight w:val="0"/>
      <w:marTop w:val="0"/>
      <w:marBottom w:val="0"/>
      <w:divBdr>
        <w:top w:val="none" w:sz="0" w:space="0" w:color="auto"/>
        <w:left w:val="none" w:sz="0" w:space="0" w:color="auto"/>
        <w:bottom w:val="none" w:sz="0" w:space="0" w:color="auto"/>
        <w:right w:val="none" w:sz="0" w:space="0" w:color="auto"/>
      </w:divBdr>
    </w:div>
    <w:div w:id="1199707861">
      <w:bodyDiv w:val="1"/>
      <w:marLeft w:val="0"/>
      <w:marRight w:val="0"/>
      <w:marTop w:val="0"/>
      <w:marBottom w:val="0"/>
      <w:divBdr>
        <w:top w:val="none" w:sz="0" w:space="0" w:color="auto"/>
        <w:left w:val="none" w:sz="0" w:space="0" w:color="auto"/>
        <w:bottom w:val="none" w:sz="0" w:space="0" w:color="auto"/>
        <w:right w:val="none" w:sz="0" w:space="0" w:color="auto"/>
      </w:divBdr>
    </w:div>
    <w:div w:id="1209418204">
      <w:bodyDiv w:val="1"/>
      <w:marLeft w:val="0"/>
      <w:marRight w:val="0"/>
      <w:marTop w:val="0"/>
      <w:marBottom w:val="0"/>
      <w:divBdr>
        <w:top w:val="none" w:sz="0" w:space="0" w:color="auto"/>
        <w:left w:val="none" w:sz="0" w:space="0" w:color="auto"/>
        <w:bottom w:val="none" w:sz="0" w:space="0" w:color="auto"/>
        <w:right w:val="none" w:sz="0" w:space="0" w:color="auto"/>
      </w:divBdr>
    </w:div>
    <w:div w:id="1219709980">
      <w:bodyDiv w:val="1"/>
      <w:marLeft w:val="0"/>
      <w:marRight w:val="0"/>
      <w:marTop w:val="0"/>
      <w:marBottom w:val="0"/>
      <w:divBdr>
        <w:top w:val="none" w:sz="0" w:space="0" w:color="auto"/>
        <w:left w:val="none" w:sz="0" w:space="0" w:color="auto"/>
        <w:bottom w:val="none" w:sz="0" w:space="0" w:color="auto"/>
        <w:right w:val="none" w:sz="0" w:space="0" w:color="auto"/>
      </w:divBdr>
    </w:div>
    <w:div w:id="1232470177">
      <w:bodyDiv w:val="1"/>
      <w:marLeft w:val="0"/>
      <w:marRight w:val="0"/>
      <w:marTop w:val="0"/>
      <w:marBottom w:val="0"/>
      <w:divBdr>
        <w:top w:val="none" w:sz="0" w:space="0" w:color="auto"/>
        <w:left w:val="none" w:sz="0" w:space="0" w:color="auto"/>
        <w:bottom w:val="none" w:sz="0" w:space="0" w:color="auto"/>
        <w:right w:val="none" w:sz="0" w:space="0" w:color="auto"/>
      </w:divBdr>
    </w:div>
    <w:div w:id="1236089132">
      <w:bodyDiv w:val="1"/>
      <w:marLeft w:val="0"/>
      <w:marRight w:val="0"/>
      <w:marTop w:val="0"/>
      <w:marBottom w:val="0"/>
      <w:divBdr>
        <w:top w:val="none" w:sz="0" w:space="0" w:color="auto"/>
        <w:left w:val="none" w:sz="0" w:space="0" w:color="auto"/>
        <w:bottom w:val="none" w:sz="0" w:space="0" w:color="auto"/>
        <w:right w:val="none" w:sz="0" w:space="0" w:color="auto"/>
      </w:divBdr>
    </w:div>
    <w:div w:id="1237282113">
      <w:bodyDiv w:val="1"/>
      <w:marLeft w:val="0"/>
      <w:marRight w:val="0"/>
      <w:marTop w:val="0"/>
      <w:marBottom w:val="0"/>
      <w:divBdr>
        <w:top w:val="none" w:sz="0" w:space="0" w:color="auto"/>
        <w:left w:val="none" w:sz="0" w:space="0" w:color="auto"/>
        <w:bottom w:val="none" w:sz="0" w:space="0" w:color="auto"/>
        <w:right w:val="none" w:sz="0" w:space="0" w:color="auto"/>
      </w:divBdr>
    </w:div>
    <w:div w:id="1243222972">
      <w:bodyDiv w:val="1"/>
      <w:marLeft w:val="0"/>
      <w:marRight w:val="0"/>
      <w:marTop w:val="0"/>
      <w:marBottom w:val="0"/>
      <w:divBdr>
        <w:top w:val="none" w:sz="0" w:space="0" w:color="auto"/>
        <w:left w:val="none" w:sz="0" w:space="0" w:color="auto"/>
        <w:bottom w:val="none" w:sz="0" w:space="0" w:color="auto"/>
        <w:right w:val="none" w:sz="0" w:space="0" w:color="auto"/>
      </w:divBdr>
    </w:div>
    <w:div w:id="1262488492">
      <w:bodyDiv w:val="1"/>
      <w:marLeft w:val="0"/>
      <w:marRight w:val="0"/>
      <w:marTop w:val="0"/>
      <w:marBottom w:val="0"/>
      <w:divBdr>
        <w:top w:val="none" w:sz="0" w:space="0" w:color="auto"/>
        <w:left w:val="none" w:sz="0" w:space="0" w:color="auto"/>
        <w:bottom w:val="none" w:sz="0" w:space="0" w:color="auto"/>
        <w:right w:val="none" w:sz="0" w:space="0" w:color="auto"/>
      </w:divBdr>
    </w:div>
    <w:div w:id="1265923389">
      <w:bodyDiv w:val="1"/>
      <w:marLeft w:val="0"/>
      <w:marRight w:val="0"/>
      <w:marTop w:val="0"/>
      <w:marBottom w:val="0"/>
      <w:divBdr>
        <w:top w:val="none" w:sz="0" w:space="0" w:color="auto"/>
        <w:left w:val="none" w:sz="0" w:space="0" w:color="auto"/>
        <w:bottom w:val="none" w:sz="0" w:space="0" w:color="auto"/>
        <w:right w:val="none" w:sz="0" w:space="0" w:color="auto"/>
      </w:divBdr>
    </w:div>
    <w:div w:id="1283003394">
      <w:bodyDiv w:val="1"/>
      <w:marLeft w:val="0"/>
      <w:marRight w:val="0"/>
      <w:marTop w:val="0"/>
      <w:marBottom w:val="0"/>
      <w:divBdr>
        <w:top w:val="none" w:sz="0" w:space="0" w:color="auto"/>
        <w:left w:val="none" w:sz="0" w:space="0" w:color="auto"/>
        <w:bottom w:val="none" w:sz="0" w:space="0" w:color="auto"/>
        <w:right w:val="none" w:sz="0" w:space="0" w:color="auto"/>
      </w:divBdr>
    </w:div>
    <w:div w:id="1312364605">
      <w:bodyDiv w:val="1"/>
      <w:marLeft w:val="0"/>
      <w:marRight w:val="0"/>
      <w:marTop w:val="0"/>
      <w:marBottom w:val="0"/>
      <w:divBdr>
        <w:top w:val="none" w:sz="0" w:space="0" w:color="auto"/>
        <w:left w:val="none" w:sz="0" w:space="0" w:color="auto"/>
        <w:bottom w:val="none" w:sz="0" w:space="0" w:color="auto"/>
        <w:right w:val="none" w:sz="0" w:space="0" w:color="auto"/>
      </w:divBdr>
    </w:div>
    <w:div w:id="1317761709">
      <w:bodyDiv w:val="1"/>
      <w:marLeft w:val="0"/>
      <w:marRight w:val="0"/>
      <w:marTop w:val="0"/>
      <w:marBottom w:val="0"/>
      <w:divBdr>
        <w:top w:val="none" w:sz="0" w:space="0" w:color="auto"/>
        <w:left w:val="none" w:sz="0" w:space="0" w:color="auto"/>
        <w:bottom w:val="none" w:sz="0" w:space="0" w:color="auto"/>
        <w:right w:val="none" w:sz="0" w:space="0" w:color="auto"/>
      </w:divBdr>
    </w:div>
    <w:div w:id="1323970925">
      <w:bodyDiv w:val="1"/>
      <w:marLeft w:val="0"/>
      <w:marRight w:val="0"/>
      <w:marTop w:val="0"/>
      <w:marBottom w:val="0"/>
      <w:divBdr>
        <w:top w:val="none" w:sz="0" w:space="0" w:color="auto"/>
        <w:left w:val="none" w:sz="0" w:space="0" w:color="auto"/>
        <w:bottom w:val="none" w:sz="0" w:space="0" w:color="auto"/>
        <w:right w:val="none" w:sz="0" w:space="0" w:color="auto"/>
      </w:divBdr>
    </w:div>
    <w:div w:id="1326741322">
      <w:bodyDiv w:val="1"/>
      <w:marLeft w:val="0"/>
      <w:marRight w:val="0"/>
      <w:marTop w:val="0"/>
      <w:marBottom w:val="0"/>
      <w:divBdr>
        <w:top w:val="none" w:sz="0" w:space="0" w:color="auto"/>
        <w:left w:val="none" w:sz="0" w:space="0" w:color="auto"/>
        <w:bottom w:val="none" w:sz="0" w:space="0" w:color="auto"/>
        <w:right w:val="none" w:sz="0" w:space="0" w:color="auto"/>
      </w:divBdr>
    </w:div>
    <w:div w:id="1346176463">
      <w:bodyDiv w:val="1"/>
      <w:marLeft w:val="0"/>
      <w:marRight w:val="0"/>
      <w:marTop w:val="0"/>
      <w:marBottom w:val="0"/>
      <w:divBdr>
        <w:top w:val="none" w:sz="0" w:space="0" w:color="auto"/>
        <w:left w:val="none" w:sz="0" w:space="0" w:color="auto"/>
        <w:bottom w:val="none" w:sz="0" w:space="0" w:color="auto"/>
        <w:right w:val="none" w:sz="0" w:space="0" w:color="auto"/>
      </w:divBdr>
    </w:div>
    <w:div w:id="1346250422">
      <w:bodyDiv w:val="1"/>
      <w:marLeft w:val="0"/>
      <w:marRight w:val="0"/>
      <w:marTop w:val="0"/>
      <w:marBottom w:val="0"/>
      <w:divBdr>
        <w:top w:val="none" w:sz="0" w:space="0" w:color="auto"/>
        <w:left w:val="none" w:sz="0" w:space="0" w:color="auto"/>
        <w:bottom w:val="none" w:sz="0" w:space="0" w:color="auto"/>
        <w:right w:val="none" w:sz="0" w:space="0" w:color="auto"/>
      </w:divBdr>
    </w:div>
    <w:div w:id="1359314626">
      <w:bodyDiv w:val="1"/>
      <w:marLeft w:val="0"/>
      <w:marRight w:val="0"/>
      <w:marTop w:val="0"/>
      <w:marBottom w:val="0"/>
      <w:divBdr>
        <w:top w:val="none" w:sz="0" w:space="0" w:color="auto"/>
        <w:left w:val="none" w:sz="0" w:space="0" w:color="auto"/>
        <w:bottom w:val="none" w:sz="0" w:space="0" w:color="auto"/>
        <w:right w:val="none" w:sz="0" w:space="0" w:color="auto"/>
      </w:divBdr>
    </w:div>
    <w:div w:id="1368723319">
      <w:bodyDiv w:val="1"/>
      <w:marLeft w:val="0"/>
      <w:marRight w:val="0"/>
      <w:marTop w:val="0"/>
      <w:marBottom w:val="0"/>
      <w:divBdr>
        <w:top w:val="none" w:sz="0" w:space="0" w:color="auto"/>
        <w:left w:val="none" w:sz="0" w:space="0" w:color="auto"/>
        <w:bottom w:val="none" w:sz="0" w:space="0" w:color="auto"/>
        <w:right w:val="none" w:sz="0" w:space="0" w:color="auto"/>
      </w:divBdr>
    </w:div>
    <w:div w:id="1408455053">
      <w:bodyDiv w:val="1"/>
      <w:marLeft w:val="0"/>
      <w:marRight w:val="0"/>
      <w:marTop w:val="0"/>
      <w:marBottom w:val="0"/>
      <w:divBdr>
        <w:top w:val="none" w:sz="0" w:space="0" w:color="auto"/>
        <w:left w:val="none" w:sz="0" w:space="0" w:color="auto"/>
        <w:bottom w:val="none" w:sz="0" w:space="0" w:color="auto"/>
        <w:right w:val="none" w:sz="0" w:space="0" w:color="auto"/>
      </w:divBdr>
    </w:div>
    <w:div w:id="1424567146">
      <w:bodyDiv w:val="1"/>
      <w:marLeft w:val="0"/>
      <w:marRight w:val="0"/>
      <w:marTop w:val="0"/>
      <w:marBottom w:val="0"/>
      <w:divBdr>
        <w:top w:val="none" w:sz="0" w:space="0" w:color="auto"/>
        <w:left w:val="none" w:sz="0" w:space="0" w:color="auto"/>
        <w:bottom w:val="none" w:sz="0" w:space="0" w:color="auto"/>
        <w:right w:val="none" w:sz="0" w:space="0" w:color="auto"/>
      </w:divBdr>
    </w:div>
    <w:div w:id="1457063287">
      <w:bodyDiv w:val="1"/>
      <w:marLeft w:val="0"/>
      <w:marRight w:val="0"/>
      <w:marTop w:val="0"/>
      <w:marBottom w:val="0"/>
      <w:divBdr>
        <w:top w:val="none" w:sz="0" w:space="0" w:color="auto"/>
        <w:left w:val="none" w:sz="0" w:space="0" w:color="auto"/>
        <w:bottom w:val="none" w:sz="0" w:space="0" w:color="auto"/>
        <w:right w:val="none" w:sz="0" w:space="0" w:color="auto"/>
      </w:divBdr>
    </w:div>
    <w:div w:id="1495299307">
      <w:bodyDiv w:val="1"/>
      <w:marLeft w:val="0"/>
      <w:marRight w:val="0"/>
      <w:marTop w:val="0"/>
      <w:marBottom w:val="0"/>
      <w:divBdr>
        <w:top w:val="none" w:sz="0" w:space="0" w:color="auto"/>
        <w:left w:val="none" w:sz="0" w:space="0" w:color="auto"/>
        <w:bottom w:val="none" w:sz="0" w:space="0" w:color="auto"/>
        <w:right w:val="none" w:sz="0" w:space="0" w:color="auto"/>
      </w:divBdr>
    </w:div>
    <w:div w:id="1511604212">
      <w:bodyDiv w:val="1"/>
      <w:marLeft w:val="0"/>
      <w:marRight w:val="0"/>
      <w:marTop w:val="0"/>
      <w:marBottom w:val="0"/>
      <w:divBdr>
        <w:top w:val="none" w:sz="0" w:space="0" w:color="auto"/>
        <w:left w:val="none" w:sz="0" w:space="0" w:color="auto"/>
        <w:bottom w:val="none" w:sz="0" w:space="0" w:color="auto"/>
        <w:right w:val="none" w:sz="0" w:space="0" w:color="auto"/>
      </w:divBdr>
    </w:div>
    <w:div w:id="1513453658">
      <w:bodyDiv w:val="1"/>
      <w:marLeft w:val="0"/>
      <w:marRight w:val="0"/>
      <w:marTop w:val="0"/>
      <w:marBottom w:val="0"/>
      <w:divBdr>
        <w:top w:val="none" w:sz="0" w:space="0" w:color="auto"/>
        <w:left w:val="none" w:sz="0" w:space="0" w:color="auto"/>
        <w:bottom w:val="none" w:sz="0" w:space="0" w:color="auto"/>
        <w:right w:val="none" w:sz="0" w:space="0" w:color="auto"/>
      </w:divBdr>
    </w:div>
    <w:div w:id="1519736278">
      <w:bodyDiv w:val="1"/>
      <w:marLeft w:val="0"/>
      <w:marRight w:val="0"/>
      <w:marTop w:val="0"/>
      <w:marBottom w:val="0"/>
      <w:divBdr>
        <w:top w:val="none" w:sz="0" w:space="0" w:color="auto"/>
        <w:left w:val="none" w:sz="0" w:space="0" w:color="auto"/>
        <w:bottom w:val="none" w:sz="0" w:space="0" w:color="auto"/>
        <w:right w:val="none" w:sz="0" w:space="0" w:color="auto"/>
      </w:divBdr>
    </w:div>
    <w:div w:id="1545949856">
      <w:bodyDiv w:val="1"/>
      <w:marLeft w:val="0"/>
      <w:marRight w:val="0"/>
      <w:marTop w:val="0"/>
      <w:marBottom w:val="0"/>
      <w:divBdr>
        <w:top w:val="none" w:sz="0" w:space="0" w:color="auto"/>
        <w:left w:val="none" w:sz="0" w:space="0" w:color="auto"/>
        <w:bottom w:val="none" w:sz="0" w:space="0" w:color="auto"/>
        <w:right w:val="none" w:sz="0" w:space="0" w:color="auto"/>
      </w:divBdr>
    </w:div>
    <w:div w:id="1574192636">
      <w:bodyDiv w:val="1"/>
      <w:marLeft w:val="0"/>
      <w:marRight w:val="0"/>
      <w:marTop w:val="0"/>
      <w:marBottom w:val="0"/>
      <w:divBdr>
        <w:top w:val="none" w:sz="0" w:space="0" w:color="auto"/>
        <w:left w:val="none" w:sz="0" w:space="0" w:color="auto"/>
        <w:bottom w:val="none" w:sz="0" w:space="0" w:color="auto"/>
        <w:right w:val="none" w:sz="0" w:space="0" w:color="auto"/>
      </w:divBdr>
    </w:div>
    <w:div w:id="1608657245">
      <w:bodyDiv w:val="1"/>
      <w:marLeft w:val="0"/>
      <w:marRight w:val="0"/>
      <w:marTop w:val="0"/>
      <w:marBottom w:val="0"/>
      <w:divBdr>
        <w:top w:val="none" w:sz="0" w:space="0" w:color="auto"/>
        <w:left w:val="none" w:sz="0" w:space="0" w:color="auto"/>
        <w:bottom w:val="none" w:sz="0" w:space="0" w:color="auto"/>
        <w:right w:val="none" w:sz="0" w:space="0" w:color="auto"/>
      </w:divBdr>
    </w:div>
    <w:div w:id="1618491227">
      <w:bodyDiv w:val="1"/>
      <w:marLeft w:val="0"/>
      <w:marRight w:val="0"/>
      <w:marTop w:val="0"/>
      <w:marBottom w:val="0"/>
      <w:divBdr>
        <w:top w:val="none" w:sz="0" w:space="0" w:color="auto"/>
        <w:left w:val="none" w:sz="0" w:space="0" w:color="auto"/>
        <w:bottom w:val="none" w:sz="0" w:space="0" w:color="auto"/>
        <w:right w:val="none" w:sz="0" w:space="0" w:color="auto"/>
      </w:divBdr>
    </w:div>
    <w:div w:id="1621720233">
      <w:bodyDiv w:val="1"/>
      <w:marLeft w:val="0"/>
      <w:marRight w:val="0"/>
      <w:marTop w:val="0"/>
      <w:marBottom w:val="0"/>
      <w:divBdr>
        <w:top w:val="none" w:sz="0" w:space="0" w:color="auto"/>
        <w:left w:val="none" w:sz="0" w:space="0" w:color="auto"/>
        <w:bottom w:val="none" w:sz="0" w:space="0" w:color="auto"/>
        <w:right w:val="none" w:sz="0" w:space="0" w:color="auto"/>
      </w:divBdr>
    </w:div>
    <w:div w:id="1637026044">
      <w:bodyDiv w:val="1"/>
      <w:marLeft w:val="0"/>
      <w:marRight w:val="0"/>
      <w:marTop w:val="0"/>
      <w:marBottom w:val="0"/>
      <w:divBdr>
        <w:top w:val="none" w:sz="0" w:space="0" w:color="auto"/>
        <w:left w:val="none" w:sz="0" w:space="0" w:color="auto"/>
        <w:bottom w:val="none" w:sz="0" w:space="0" w:color="auto"/>
        <w:right w:val="none" w:sz="0" w:space="0" w:color="auto"/>
      </w:divBdr>
    </w:div>
    <w:div w:id="1647078597">
      <w:bodyDiv w:val="1"/>
      <w:marLeft w:val="0"/>
      <w:marRight w:val="0"/>
      <w:marTop w:val="0"/>
      <w:marBottom w:val="0"/>
      <w:divBdr>
        <w:top w:val="none" w:sz="0" w:space="0" w:color="auto"/>
        <w:left w:val="none" w:sz="0" w:space="0" w:color="auto"/>
        <w:bottom w:val="none" w:sz="0" w:space="0" w:color="auto"/>
        <w:right w:val="none" w:sz="0" w:space="0" w:color="auto"/>
      </w:divBdr>
    </w:div>
    <w:div w:id="1664628635">
      <w:bodyDiv w:val="1"/>
      <w:marLeft w:val="0"/>
      <w:marRight w:val="0"/>
      <w:marTop w:val="0"/>
      <w:marBottom w:val="0"/>
      <w:divBdr>
        <w:top w:val="none" w:sz="0" w:space="0" w:color="auto"/>
        <w:left w:val="none" w:sz="0" w:space="0" w:color="auto"/>
        <w:bottom w:val="none" w:sz="0" w:space="0" w:color="auto"/>
        <w:right w:val="none" w:sz="0" w:space="0" w:color="auto"/>
      </w:divBdr>
    </w:div>
    <w:div w:id="1669823713">
      <w:bodyDiv w:val="1"/>
      <w:marLeft w:val="0"/>
      <w:marRight w:val="0"/>
      <w:marTop w:val="0"/>
      <w:marBottom w:val="0"/>
      <w:divBdr>
        <w:top w:val="none" w:sz="0" w:space="0" w:color="auto"/>
        <w:left w:val="none" w:sz="0" w:space="0" w:color="auto"/>
        <w:bottom w:val="none" w:sz="0" w:space="0" w:color="auto"/>
        <w:right w:val="none" w:sz="0" w:space="0" w:color="auto"/>
      </w:divBdr>
    </w:div>
    <w:div w:id="1717967556">
      <w:bodyDiv w:val="1"/>
      <w:marLeft w:val="0"/>
      <w:marRight w:val="0"/>
      <w:marTop w:val="0"/>
      <w:marBottom w:val="0"/>
      <w:divBdr>
        <w:top w:val="none" w:sz="0" w:space="0" w:color="auto"/>
        <w:left w:val="none" w:sz="0" w:space="0" w:color="auto"/>
        <w:bottom w:val="none" w:sz="0" w:space="0" w:color="auto"/>
        <w:right w:val="none" w:sz="0" w:space="0" w:color="auto"/>
      </w:divBdr>
    </w:div>
    <w:div w:id="1725911258">
      <w:bodyDiv w:val="1"/>
      <w:marLeft w:val="0"/>
      <w:marRight w:val="0"/>
      <w:marTop w:val="0"/>
      <w:marBottom w:val="0"/>
      <w:divBdr>
        <w:top w:val="none" w:sz="0" w:space="0" w:color="auto"/>
        <w:left w:val="none" w:sz="0" w:space="0" w:color="auto"/>
        <w:bottom w:val="none" w:sz="0" w:space="0" w:color="auto"/>
        <w:right w:val="none" w:sz="0" w:space="0" w:color="auto"/>
      </w:divBdr>
    </w:div>
    <w:div w:id="1740442770">
      <w:bodyDiv w:val="1"/>
      <w:marLeft w:val="0"/>
      <w:marRight w:val="0"/>
      <w:marTop w:val="0"/>
      <w:marBottom w:val="0"/>
      <w:divBdr>
        <w:top w:val="none" w:sz="0" w:space="0" w:color="auto"/>
        <w:left w:val="none" w:sz="0" w:space="0" w:color="auto"/>
        <w:bottom w:val="none" w:sz="0" w:space="0" w:color="auto"/>
        <w:right w:val="none" w:sz="0" w:space="0" w:color="auto"/>
      </w:divBdr>
    </w:div>
    <w:div w:id="1783374574">
      <w:bodyDiv w:val="1"/>
      <w:marLeft w:val="0"/>
      <w:marRight w:val="0"/>
      <w:marTop w:val="0"/>
      <w:marBottom w:val="0"/>
      <w:divBdr>
        <w:top w:val="none" w:sz="0" w:space="0" w:color="auto"/>
        <w:left w:val="none" w:sz="0" w:space="0" w:color="auto"/>
        <w:bottom w:val="none" w:sz="0" w:space="0" w:color="auto"/>
        <w:right w:val="none" w:sz="0" w:space="0" w:color="auto"/>
      </w:divBdr>
    </w:div>
    <w:div w:id="1818716702">
      <w:bodyDiv w:val="1"/>
      <w:marLeft w:val="0"/>
      <w:marRight w:val="0"/>
      <w:marTop w:val="0"/>
      <w:marBottom w:val="0"/>
      <w:divBdr>
        <w:top w:val="none" w:sz="0" w:space="0" w:color="auto"/>
        <w:left w:val="none" w:sz="0" w:space="0" w:color="auto"/>
        <w:bottom w:val="none" w:sz="0" w:space="0" w:color="auto"/>
        <w:right w:val="none" w:sz="0" w:space="0" w:color="auto"/>
      </w:divBdr>
    </w:div>
    <w:div w:id="1830289885">
      <w:bodyDiv w:val="1"/>
      <w:marLeft w:val="0"/>
      <w:marRight w:val="0"/>
      <w:marTop w:val="0"/>
      <w:marBottom w:val="0"/>
      <w:divBdr>
        <w:top w:val="none" w:sz="0" w:space="0" w:color="auto"/>
        <w:left w:val="none" w:sz="0" w:space="0" w:color="auto"/>
        <w:bottom w:val="none" w:sz="0" w:space="0" w:color="auto"/>
        <w:right w:val="none" w:sz="0" w:space="0" w:color="auto"/>
      </w:divBdr>
    </w:div>
    <w:div w:id="1830708861">
      <w:bodyDiv w:val="1"/>
      <w:marLeft w:val="0"/>
      <w:marRight w:val="0"/>
      <w:marTop w:val="0"/>
      <w:marBottom w:val="0"/>
      <w:divBdr>
        <w:top w:val="none" w:sz="0" w:space="0" w:color="auto"/>
        <w:left w:val="none" w:sz="0" w:space="0" w:color="auto"/>
        <w:bottom w:val="none" w:sz="0" w:space="0" w:color="auto"/>
        <w:right w:val="none" w:sz="0" w:space="0" w:color="auto"/>
      </w:divBdr>
    </w:div>
    <w:div w:id="1839156296">
      <w:bodyDiv w:val="1"/>
      <w:marLeft w:val="0"/>
      <w:marRight w:val="0"/>
      <w:marTop w:val="0"/>
      <w:marBottom w:val="0"/>
      <w:divBdr>
        <w:top w:val="none" w:sz="0" w:space="0" w:color="auto"/>
        <w:left w:val="none" w:sz="0" w:space="0" w:color="auto"/>
        <w:bottom w:val="none" w:sz="0" w:space="0" w:color="auto"/>
        <w:right w:val="none" w:sz="0" w:space="0" w:color="auto"/>
      </w:divBdr>
    </w:div>
    <w:div w:id="1867055949">
      <w:bodyDiv w:val="1"/>
      <w:marLeft w:val="0"/>
      <w:marRight w:val="0"/>
      <w:marTop w:val="0"/>
      <w:marBottom w:val="0"/>
      <w:divBdr>
        <w:top w:val="none" w:sz="0" w:space="0" w:color="auto"/>
        <w:left w:val="none" w:sz="0" w:space="0" w:color="auto"/>
        <w:bottom w:val="none" w:sz="0" w:space="0" w:color="auto"/>
        <w:right w:val="none" w:sz="0" w:space="0" w:color="auto"/>
      </w:divBdr>
    </w:div>
    <w:div w:id="1868172875">
      <w:bodyDiv w:val="1"/>
      <w:marLeft w:val="0"/>
      <w:marRight w:val="0"/>
      <w:marTop w:val="0"/>
      <w:marBottom w:val="0"/>
      <w:divBdr>
        <w:top w:val="none" w:sz="0" w:space="0" w:color="auto"/>
        <w:left w:val="none" w:sz="0" w:space="0" w:color="auto"/>
        <w:bottom w:val="none" w:sz="0" w:space="0" w:color="auto"/>
        <w:right w:val="none" w:sz="0" w:space="0" w:color="auto"/>
      </w:divBdr>
    </w:div>
    <w:div w:id="1869178274">
      <w:bodyDiv w:val="1"/>
      <w:marLeft w:val="0"/>
      <w:marRight w:val="0"/>
      <w:marTop w:val="0"/>
      <w:marBottom w:val="0"/>
      <w:divBdr>
        <w:top w:val="none" w:sz="0" w:space="0" w:color="auto"/>
        <w:left w:val="none" w:sz="0" w:space="0" w:color="auto"/>
        <w:bottom w:val="none" w:sz="0" w:space="0" w:color="auto"/>
        <w:right w:val="none" w:sz="0" w:space="0" w:color="auto"/>
      </w:divBdr>
    </w:div>
    <w:div w:id="1879128077">
      <w:bodyDiv w:val="1"/>
      <w:marLeft w:val="0"/>
      <w:marRight w:val="0"/>
      <w:marTop w:val="0"/>
      <w:marBottom w:val="0"/>
      <w:divBdr>
        <w:top w:val="none" w:sz="0" w:space="0" w:color="auto"/>
        <w:left w:val="none" w:sz="0" w:space="0" w:color="auto"/>
        <w:bottom w:val="none" w:sz="0" w:space="0" w:color="auto"/>
        <w:right w:val="none" w:sz="0" w:space="0" w:color="auto"/>
      </w:divBdr>
    </w:div>
    <w:div w:id="1893300493">
      <w:bodyDiv w:val="1"/>
      <w:marLeft w:val="0"/>
      <w:marRight w:val="0"/>
      <w:marTop w:val="0"/>
      <w:marBottom w:val="0"/>
      <w:divBdr>
        <w:top w:val="none" w:sz="0" w:space="0" w:color="auto"/>
        <w:left w:val="none" w:sz="0" w:space="0" w:color="auto"/>
        <w:bottom w:val="none" w:sz="0" w:space="0" w:color="auto"/>
        <w:right w:val="none" w:sz="0" w:space="0" w:color="auto"/>
      </w:divBdr>
    </w:div>
    <w:div w:id="1899700844">
      <w:bodyDiv w:val="1"/>
      <w:marLeft w:val="0"/>
      <w:marRight w:val="0"/>
      <w:marTop w:val="0"/>
      <w:marBottom w:val="0"/>
      <w:divBdr>
        <w:top w:val="none" w:sz="0" w:space="0" w:color="auto"/>
        <w:left w:val="none" w:sz="0" w:space="0" w:color="auto"/>
        <w:bottom w:val="none" w:sz="0" w:space="0" w:color="auto"/>
        <w:right w:val="none" w:sz="0" w:space="0" w:color="auto"/>
      </w:divBdr>
    </w:div>
    <w:div w:id="1930233161">
      <w:bodyDiv w:val="1"/>
      <w:marLeft w:val="0"/>
      <w:marRight w:val="0"/>
      <w:marTop w:val="0"/>
      <w:marBottom w:val="0"/>
      <w:divBdr>
        <w:top w:val="none" w:sz="0" w:space="0" w:color="auto"/>
        <w:left w:val="none" w:sz="0" w:space="0" w:color="auto"/>
        <w:bottom w:val="none" w:sz="0" w:space="0" w:color="auto"/>
        <w:right w:val="none" w:sz="0" w:space="0" w:color="auto"/>
      </w:divBdr>
    </w:div>
    <w:div w:id="1955281720">
      <w:bodyDiv w:val="1"/>
      <w:marLeft w:val="0"/>
      <w:marRight w:val="0"/>
      <w:marTop w:val="0"/>
      <w:marBottom w:val="0"/>
      <w:divBdr>
        <w:top w:val="none" w:sz="0" w:space="0" w:color="auto"/>
        <w:left w:val="none" w:sz="0" w:space="0" w:color="auto"/>
        <w:bottom w:val="none" w:sz="0" w:space="0" w:color="auto"/>
        <w:right w:val="none" w:sz="0" w:space="0" w:color="auto"/>
      </w:divBdr>
    </w:div>
    <w:div w:id="1959486546">
      <w:bodyDiv w:val="1"/>
      <w:marLeft w:val="0"/>
      <w:marRight w:val="0"/>
      <w:marTop w:val="0"/>
      <w:marBottom w:val="0"/>
      <w:divBdr>
        <w:top w:val="none" w:sz="0" w:space="0" w:color="auto"/>
        <w:left w:val="none" w:sz="0" w:space="0" w:color="auto"/>
        <w:bottom w:val="none" w:sz="0" w:space="0" w:color="auto"/>
        <w:right w:val="none" w:sz="0" w:space="0" w:color="auto"/>
      </w:divBdr>
    </w:div>
    <w:div w:id="1964341470">
      <w:bodyDiv w:val="1"/>
      <w:marLeft w:val="0"/>
      <w:marRight w:val="0"/>
      <w:marTop w:val="0"/>
      <w:marBottom w:val="0"/>
      <w:divBdr>
        <w:top w:val="none" w:sz="0" w:space="0" w:color="auto"/>
        <w:left w:val="none" w:sz="0" w:space="0" w:color="auto"/>
        <w:bottom w:val="none" w:sz="0" w:space="0" w:color="auto"/>
        <w:right w:val="none" w:sz="0" w:space="0" w:color="auto"/>
      </w:divBdr>
    </w:div>
    <w:div w:id="1965111751">
      <w:bodyDiv w:val="1"/>
      <w:marLeft w:val="0"/>
      <w:marRight w:val="0"/>
      <w:marTop w:val="0"/>
      <w:marBottom w:val="0"/>
      <w:divBdr>
        <w:top w:val="none" w:sz="0" w:space="0" w:color="auto"/>
        <w:left w:val="none" w:sz="0" w:space="0" w:color="auto"/>
        <w:bottom w:val="none" w:sz="0" w:space="0" w:color="auto"/>
        <w:right w:val="none" w:sz="0" w:space="0" w:color="auto"/>
      </w:divBdr>
    </w:div>
    <w:div w:id="1984697227">
      <w:bodyDiv w:val="1"/>
      <w:marLeft w:val="0"/>
      <w:marRight w:val="0"/>
      <w:marTop w:val="0"/>
      <w:marBottom w:val="0"/>
      <w:divBdr>
        <w:top w:val="none" w:sz="0" w:space="0" w:color="auto"/>
        <w:left w:val="none" w:sz="0" w:space="0" w:color="auto"/>
        <w:bottom w:val="none" w:sz="0" w:space="0" w:color="auto"/>
        <w:right w:val="none" w:sz="0" w:space="0" w:color="auto"/>
      </w:divBdr>
    </w:div>
    <w:div w:id="1985498567">
      <w:bodyDiv w:val="1"/>
      <w:marLeft w:val="0"/>
      <w:marRight w:val="0"/>
      <w:marTop w:val="0"/>
      <w:marBottom w:val="0"/>
      <w:divBdr>
        <w:top w:val="none" w:sz="0" w:space="0" w:color="auto"/>
        <w:left w:val="none" w:sz="0" w:space="0" w:color="auto"/>
        <w:bottom w:val="none" w:sz="0" w:space="0" w:color="auto"/>
        <w:right w:val="none" w:sz="0" w:space="0" w:color="auto"/>
      </w:divBdr>
    </w:div>
    <w:div w:id="2007587735">
      <w:bodyDiv w:val="1"/>
      <w:marLeft w:val="0"/>
      <w:marRight w:val="0"/>
      <w:marTop w:val="0"/>
      <w:marBottom w:val="0"/>
      <w:divBdr>
        <w:top w:val="none" w:sz="0" w:space="0" w:color="auto"/>
        <w:left w:val="none" w:sz="0" w:space="0" w:color="auto"/>
        <w:bottom w:val="none" w:sz="0" w:space="0" w:color="auto"/>
        <w:right w:val="none" w:sz="0" w:space="0" w:color="auto"/>
      </w:divBdr>
    </w:div>
    <w:div w:id="2014337443">
      <w:bodyDiv w:val="1"/>
      <w:marLeft w:val="0"/>
      <w:marRight w:val="0"/>
      <w:marTop w:val="0"/>
      <w:marBottom w:val="0"/>
      <w:divBdr>
        <w:top w:val="none" w:sz="0" w:space="0" w:color="auto"/>
        <w:left w:val="none" w:sz="0" w:space="0" w:color="auto"/>
        <w:bottom w:val="none" w:sz="0" w:space="0" w:color="auto"/>
        <w:right w:val="none" w:sz="0" w:space="0" w:color="auto"/>
      </w:divBdr>
    </w:div>
    <w:div w:id="2015954123">
      <w:bodyDiv w:val="1"/>
      <w:marLeft w:val="0"/>
      <w:marRight w:val="0"/>
      <w:marTop w:val="0"/>
      <w:marBottom w:val="0"/>
      <w:divBdr>
        <w:top w:val="none" w:sz="0" w:space="0" w:color="auto"/>
        <w:left w:val="none" w:sz="0" w:space="0" w:color="auto"/>
        <w:bottom w:val="none" w:sz="0" w:space="0" w:color="auto"/>
        <w:right w:val="none" w:sz="0" w:space="0" w:color="auto"/>
      </w:divBdr>
    </w:div>
    <w:div w:id="2035030032">
      <w:bodyDiv w:val="1"/>
      <w:marLeft w:val="0"/>
      <w:marRight w:val="0"/>
      <w:marTop w:val="0"/>
      <w:marBottom w:val="0"/>
      <w:divBdr>
        <w:top w:val="none" w:sz="0" w:space="0" w:color="auto"/>
        <w:left w:val="none" w:sz="0" w:space="0" w:color="auto"/>
        <w:bottom w:val="none" w:sz="0" w:space="0" w:color="auto"/>
        <w:right w:val="none" w:sz="0" w:space="0" w:color="auto"/>
      </w:divBdr>
    </w:div>
    <w:div w:id="2058896722">
      <w:bodyDiv w:val="1"/>
      <w:marLeft w:val="0"/>
      <w:marRight w:val="0"/>
      <w:marTop w:val="0"/>
      <w:marBottom w:val="0"/>
      <w:divBdr>
        <w:top w:val="none" w:sz="0" w:space="0" w:color="auto"/>
        <w:left w:val="none" w:sz="0" w:space="0" w:color="auto"/>
        <w:bottom w:val="none" w:sz="0" w:space="0" w:color="auto"/>
        <w:right w:val="none" w:sz="0" w:space="0" w:color="auto"/>
      </w:divBdr>
    </w:div>
    <w:div w:id="2062704389">
      <w:bodyDiv w:val="1"/>
      <w:marLeft w:val="0"/>
      <w:marRight w:val="0"/>
      <w:marTop w:val="0"/>
      <w:marBottom w:val="0"/>
      <w:divBdr>
        <w:top w:val="none" w:sz="0" w:space="0" w:color="auto"/>
        <w:left w:val="none" w:sz="0" w:space="0" w:color="auto"/>
        <w:bottom w:val="none" w:sz="0" w:space="0" w:color="auto"/>
        <w:right w:val="none" w:sz="0" w:space="0" w:color="auto"/>
      </w:divBdr>
    </w:div>
    <w:div w:id="2064253582">
      <w:bodyDiv w:val="1"/>
      <w:marLeft w:val="0"/>
      <w:marRight w:val="0"/>
      <w:marTop w:val="0"/>
      <w:marBottom w:val="0"/>
      <w:divBdr>
        <w:top w:val="none" w:sz="0" w:space="0" w:color="auto"/>
        <w:left w:val="none" w:sz="0" w:space="0" w:color="auto"/>
        <w:bottom w:val="none" w:sz="0" w:space="0" w:color="auto"/>
        <w:right w:val="none" w:sz="0" w:space="0" w:color="auto"/>
      </w:divBdr>
    </w:div>
    <w:div w:id="2072118904">
      <w:bodyDiv w:val="1"/>
      <w:marLeft w:val="0"/>
      <w:marRight w:val="0"/>
      <w:marTop w:val="0"/>
      <w:marBottom w:val="0"/>
      <w:divBdr>
        <w:top w:val="none" w:sz="0" w:space="0" w:color="auto"/>
        <w:left w:val="none" w:sz="0" w:space="0" w:color="auto"/>
        <w:bottom w:val="none" w:sz="0" w:space="0" w:color="auto"/>
        <w:right w:val="none" w:sz="0" w:space="0" w:color="auto"/>
      </w:divBdr>
    </w:div>
    <w:div w:id="2077386906">
      <w:bodyDiv w:val="1"/>
      <w:marLeft w:val="0"/>
      <w:marRight w:val="0"/>
      <w:marTop w:val="0"/>
      <w:marBottom w:val="0"/>
      <w:divBdr>
        <w:top w:val="none" w:sz="0" w:space="0" w:color="auto"/>
        <w:left w:val="none" w:sz="0" w:space="0" w:color="auto"/>
        <w:bottom w:val="none" w:sz="0" w:space="0" w:color="auto"/>
        <w:right w:val="none" w:sz="0" w:space="0" w:color="auto"/>
      </w:divBdr>
    </w:div>
    <w:div w:id="2103063428">
      <w:bodyDiv w:val="1"/>
      <w:marLeft w:val="0"/>
      <w:marRight w:val="0"/>
      <w:marTop w:val="0"/>
      <w:marBottom w:val="0"/>
      <w:divBdr>
        <w:top w:val="none" w:sz="0" w:space="0" w:color="auto"/>
        <w:left w:val="none" w:sz="0" w:space="0" w:color="auto"/>
        <w:bottom w:val="none" w:sz="0" w:space="0" w:color="auto"/>
        <w:right w:val="none" w:sz="0" w:space="0" w:color="auto"/>
      </w:divBdr>
    </w:div>
    <w:div w:id="2116290565">
      <w:bodyDiv w:val="1"/>
      <w:marLeft w:val="0"/>
      <w:marRight w:val="0"/>
      <w:marTop w:val="0"/>
      <w:marBottom w:val="0"/>
      <w:divBdr>
        <w:top w:val="none" w:sz="0" w:space="0" w:color="auto"/>
        <w:left w:val="none" w:sz="0" w:space="0" w:color="auto"/>
        <w:bottom w:val="none" w:sz="0" w:space="0" w:color="auto"/>
        <w:right w:val="none" w:sz="0" w:space="0" w:color="auto"/>
      </w:divBdr>
    </w:div>
    <w:div w:id="2119331489">
      <w:bodyDiv w:val="1"/>
      <w:marLeft w:val="0"/>
      <w:marRight w:val="0"/>
      <w:marTop w:val="0"/>
      <w:marBottom w:val="0"/>
      <w:divBdr>
        <w:top w:val="none" w:sz="0" w:space="0" w:color="auto"/>
        <w:left w:val="none" w:sz="0" w:space="0" w:color="auto"/>
        <w:bottom w:val="none" w:sz="0" w:space="0" w:color="auto"/>
        <w:right w:val="none" w:sz="0" w:space="0" w:color="auto"/>
      </w:divBdr>
    </w:div>
    <w:div w:id="2120223320">
      <w:bodyDiv w:val="1"/>
      <w:marLeft w:val="0"/>
      <w:marRight w:val="0"/>
      <w:marTop w:val="0"/>
      <w:marBottom w:val="0"/>
      <w:divBdr>
        <w:top w:val="none" w:sz="0" w:space="0" w:color="auto"/>
        <w:left w:val="none" w:sz="0" w:space="0" w:color="auto"/>
        <w:bottom w:val="none" w:sz="0" w:space="0" w:color="auto"/>
        <w:right w:val="none" w:sz="0" w:space="0" w:color="auto"/>
      </w:divBdr>
    </w:div>
    <w:div w:id="21364129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http://www.easl.eu/_newsroom/latest-news/easl-recommendations-on-treatment-of-hepatitis-c-2014"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47</Pages>
  <Words>108192</Words>
  <Characters>616698</Characters>
  <Application>Microsoft Macintosh Word</Application>
  <DocSecurity>0</DocSecurity>
  <Lines>5139</Lines>
  <Paragraphs>1446</Paragraphs>
  <ScaleCrop>false</ScaleCrop>
  <Company>Home</Company>
  <LinksUpToDate>false</LinksUpToDate>
  <CharactersWithSpaces>723444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Lourianne Cavalcante</dc:creator>
  <cp:keywords/>
  <dc:description/>
  <cp:lastModifiedBy>Na Ma</cp:lastModifiedBy>
  <cp:revision>2</cp:revision>
  <dcterms:created xsi:type="dcterms:W3CDTF">2015-05-06T00:10:00Z</dcterms:created>
  <dcterms:modified xsi:type="dcterms:W3CDTF">2015-05-06T00:10:00Z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http://www.zotero.org/styles/nature</vt:lpwstr>
  </property>
  <property fmtid="{D5CDD505-2E9C-101B-9397-08002B2CF9AE}" pid="15" name="Mendeley Recent Style Name 6_1">
    <vt:lpwstr>Nature</vt:lpwstr>
  </property>
  <property fmtid="{D5CDD505-2E9C-101B-9397-08002B2CF9AE}" pid="16" name="Mendeley Recent Style Id 7_1">
    <vt:lpwstr>http://www.zotero.org/styles/vancouver</vt:lpwstr>
  </property>
  <property fmtid="{D5CDD505-2E9C-101B-9397-08002B2CF9AE}" pid="17" name="Mendeley Recent Style Name 7_1">
    <vt:lpwstr>Vancouver</vt:lpwstr>
  </property>
  <property fmtid="{D5CDD505-2E9C-101B-9397-08002B2CF9AE}" pid="18" name="Mendeley Recent Style Id 8_1">
    <vt:lpwstr>http://www.zotero.org/styles/world-journal-of-gastroenterology</vt:lpwstr>
  </property>
  <property fmtid="{D5CDD505-2E9C-101B-9397-08002B2CF9AE}" pid="19" name="Mendeley Recent Style Name 8_1">
    <vt:lpwstr>World Journal of Gastroenterology</vt:lpwstr>
  </property>
  <property fmtid="{D5CDD505-2E9C-101B-9397-08002B2CF9AE}" pid="20" name="Mendeley Recent Style Id 9_1">
    <vt:lpwstr>http://www.zotero.org/styles/world-journal-of-surgery</vt:lpwstr>
  </property>
  <property fmtid="{D5CDD505-2E9C-101B-9397-08002B2CF9AE}" pid="21" name="Mendeley Recent Style Name 9_1">
    <vt:lpwstr>World Journal of Surgery</vt:lpwstr>
  </property>
  <property fmtid="{D5CDD505-2E9C-101B-9397-08002B2CF9AE}" pid="22" name="Mendeley Citation Style_1">
    <vt:lpwstr>http://www.zotero.org/styles/world-journal-of-gastroenterology</vt:lpwstr>
  </property>
  <property fmtid="{D5CDD505-2E9C-101B-9397-08002B2CF9AE}" pid="23" name="Mendeley Document_1">
    <vt:lpwstr>True</vt:lpwstr>
  </property>
  <property fmtid="{D5CDD505-2E9C-101B-9397-08002B2CF9AE}" pid="24" name="Mendeley User Name_1">
    <vt:lpwstr>lourianne@gmail.com@www.mendeley.com</vt:lpwstr>
  </property>
</Properties>
</file>