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01" w:rsidRPr="00A77A01" w:rsidRDefault="00A77A01" w:rsidP="00B871E1">
      <w:pPr>
        <w:spacing w:line="360" w:lineRule="auto"/>
        <w:jc w:val="both"/>
        <w:rPr>
          <w:rFonts w:ascii="Book Antiqua" w:hAnsi="Book Antiqua"/>
        </w:rPr>
      </w:pPr>
      <w:r w:rsidRPr="00A77A01">
        <w:rPr>
          <w:rFonts w:ascii="Book Antiqua" w:hAnsi="Book Antiqua"/>
        </w:rPr>
        <w:t xml:space="preserve">Name of journal: </w:t>
      </w:r>
      <w:r w:rsidRPr="00A77A01">
        <w:rPr>
          <w:rFonts w:ascii="Book Antiqua" w:hAnsi="Book Antiqua"/>
          <w:i/>
        </w:rPr>
        <w:t>World Journal of Transplantation</w:t>
      </w:r>
    </w:p>
    <w:p w:rsidR="00A77A01" w:rsidRPr="00A77A01" w:rsidRDefault="00A77A01" w:rsidP="00B871E1">
      <w:pPr>
        <w:spacing w:line="360" w:lineRule="auto"/>
        <w:jc w:val="both"/>
        <w:rPr>
          <w:rFonts w:ascii="Book Antiqua" w:eastAsia="宋体" w:hAnsi="Book Antiqua"/>
          <w:lang w:eastAsia="zh-CN"/>
        </w:rPr>
      </w:pPr>
      <w:r w:rsidRPr="00A77A01">
        <w:rPr>
          <w:rFonts w:ascii="Book Antiqua" w:hAnsi="Book Antiqua"/>
        </w:rPr>
        <w:t xml:space="preserve">ESPS Manuscript NO: </w:t>
      </w:r>
      <w:r w:rsidRPr="00A77A01">
        <w:rPr>
          <w:rFonts w:ascii="Book Antiqua" w:eastAsia="宋体" w:hAnsi="Book Antiqua"/>
          <w:lang w:eastAsia="zh-CN"/>
        </w:rPr>
        <w:t>13855</w:t>
      </w:r>
    </w:p>
    <w:p w:rsidR="00A77A01" w:rsidRPr="00A77A01" w:rsidRDefault="00A77A01" w:rsidP="00B871E1">
      <w:pPr>
        <w:spacing w:line="360" w:lineRule="auto"/>
        <w:jc w:val="both"/>
        <w:rPr>
          <w:rFonts w:ascii="Book Antiqua" w:eastAsia="宋体" w:hAnsi="Book Antiqua"/>
          <w:lang w:eastAsia="zh-CN"/>
        </w:rPr>
      </w:pPr>
      <w:r w:rsidRPr="00A77A01">
        <w:rPr>
          <w:rFonts w:ascii="Book Antiqua" w:hAnsi="Book Antiqua"/>
        </w:rPr>
        <w:t>Columns:</w:t>
      </w:r>
      <w:r w:rsidRPr="00A77A01">
        <w:rPr>
          <w:rFonts w:ascii="Book Antiqua" w:eastAsia="宋体" w:hAnsi="Book Antiqua"/>
          <w:lang w:eastAsia="zh-CN"/>
        </w:rPr>
        <w:t xml:space="preserve"> </w:t>
      </w:r>
      <w:r w:rsidR="002F334B" w:rsidRPr="00070331">
        <w:rPr>
          <w:rFonts w:ascii="Book Antiqua" w:hAnsi="Book Antiqua"/>
          <w:szCs w:val="21"/>
        </w:rPr>
        <w:t>Topic Highlight</w:t>
      </w:r>
    </w:p>
    <w:p w:rsidR="002F334B" w:rsidRDefault="002F334B" w:rsidP="002F334B">
      <w:pPr>
        <w:spacing w:line="360" w:lineRule="auto"/>
        <w:jc w:val="both"/>
        <w:rPr>
          <w:rFonts w:ascii="Book Antiqua" w:eastAsiaTheme="minorEastAsia" w:hAnsi="Book Antiqua"/>
          <w:b/>
          <w:lang w:eastAsia="zh-CN"/>
        </w:rPr>
      </w:pPr>
    </w:p>
    <w:p w:rsidR="002F334B" w:rsidRPr="002F334B" w:rsidRDefault="002F334B" w:rsidP="002F334B">
      <w:pPr>
        <w:spacing w:line="360" w:lineRule="auto"/>
        <w:jc w:val="both"/>
        <w:rPr>
          <w:rFonts w:ascii="Book Antiqua" w:hAnsi="Book Antiqua"/>
          <w:lang w:eastAsia="zh-CN"/>
        </w:rPr>
      </w:pPr>
      <w:r w:rsidRPr="002F334B">
        <w:rPr>
          <w:rFonts w:ascii="Book Antiqua" w:hAnsi="Book Antiqua"/>
        </w:rPr>
        <w:t>Maurizio Salvadori, Professor,</w:t>
      </w:r>
      <w:r w:rsidRPr="002F334B">
        <w:rPr>
          <w:rFonts w:ascii="Book Antiqua" w:hAnsi="Book Antiqua"/>
          <w:i/>
          <w:color w:val="000000"/>
        </w:rPr>
        <w:t xml:space="preserve"> Series Editor</w:t>
      </w:r>
    </w:p>
    <w:p w:rsidR="00A77A01" w:rsidRPr="00A77A01" w:rsidRDefault="00A77A01" w:rsidP="00B871E1">
      <w:pPr>
        <w:spacing w:line="360" w:lineRule="auto"/>
        <w:jc w:val="both"/>
        <w:rPr>
          <w:rFonts w:ascii="Book Antiqua" w:eastAsiaTheme="minorEastAsia" w:hAnsi="Book Antiqua" w:cs="Arial"/>
          <w:b/>
          <w:bCs/>
          <w:lang w:eastAsia="zh-CN"/>
        </w:rPr>
      </w:pPr>
    </w:p>
    <w:p w:rsidR="0083554E" w:rsidRDefault="0083554E" w:rsidP="00B871E1">
      <w:pPr>
        <w:spacing w:line="360" w:lineRule="auto"/>
        <w:jc w:val="both"/>
        <w:rPr>
          <w:rFonts w:ascii="Book Antiqua" w:eastAsiaTheme="minorEastAsia" w:hAnsi="Book Antiqua" w:cs="Arial"/>
          <w:b/>
          <w:bCs/>
          <w:lang w:val="en-GB" w:eastAsia="zh-CN"/>
        </w:rPr>
      </w:pPr>
      <w:r w:rsidRPr="00A77A01">
        <w:rPr>
          <w:rFonts w:ascii="Book Antiqua" w:hAnsi="Book Antiqua" w:cs="Arial"/>
          <w:b/>
          <w:bCs/>
          <w:lang w:val="en-GB"/>
        </w:rPr>
        <w:t>Challeng</w:t>
      </w:r>
      <w:r w:rsidR="00D33DA7" w:rsidRPr="00A77A01">
        <w:rPr>
          <w:rFonts w:ascii="Book Antiqua" w:hAnsi="Book Antiqua" w:cs="Arial"/>
          <w:b/>
          <w:bCs/>
          <w:lang w:val="en-GB"/>
        </w:rPr>
        <w:t>es</w:t>
      </w:r>
      <w:r w:rsidRPr="00A77A01">
        <w:rPr>
          <w:rFonts w:ascii="Book Antiqua" w:hAnsi="Book Antiqua" w:cs="Arial"/>
          <w:b/>
          <w:bCs/>
          <w:lang w:val="en-GB"/>
        </w:rPr>
        <w:t xml:space="preserve"> in pediatric renal transplantation</w:t>
      </w:r>
    </w:p>
    <w:p w:rsidR="0077658C" w:rsidRPr="0077658C" w:rsidRDefault="0077658C" w:rsidP="00B871E1">
      <w:pPr>
        <w:spacing w:line="360" w:lineRule="auto"/>
        <w:jc w:val="both"/>
        <w:rPr>
          <w:rFonts w:ascii="Book Antiqua" w:eastAsiaTheme="minorEastAsia" w:hAnsi="Book Antiqua" w:cs="Arial"/>
          <w:b/>
          <w:bCs/>
          <w:lang w:val="en-GB" w:eastAsia="zh-CN"/>
        </w:rPr>
      </w:pPr>
    </w:p>
    <w:p w:rsidR="0077658C" w:rsidRPr="0077658C" w:rsidRDefault="0077658C" w:rsidP="00B871E1">
      <w:pPr>
        <w:spacing w:line="360" w:lineRule="auto"/>
        <w:jc w:val="both"/>
        <w:rPr>
          <w:rFonts w:ascii="Book Antiqua" w:hAnsi="Book Antiqua" w:cs="Arial"/>
          <w:bCs/>
          <w:lang w:val="en-GB"/>
        </w:rPr>
      </w:pPr>
      <w:r w:rsidRPr="0077658C">
        <w:rPr>
          <w:rFonts w:ascii="Book Antiqua" w:hAnsi="Book Antiqua" w:cs="Arial"/>
          <w:bCs/>
        </w:rPr>
        <w:t>Peruzzi</w:t>
      </w:r>
      <w:r w:rsidRPr="0077658C">
        <w:rPr>
          <w:rFonts w:ascii="Book Antiqua" w:eastAsiaTheme="minorEastAsia" w:hAnsi="Book Antiqua" w:cs="Arial" w:hint="eastAsia"/>
          <w:bCs/>
          <w:lang w:eastAsia="zh-CN"/>
        </w:rPr>
        <w:t xml:space="preserve"> L </w:t>
      </w:r>
      <w:r w:rsidRPr="0077658C">
        <w:rPr>
          <w:rFonts w:ascii="Book Antiqua" w:eastAsiaTheme="minorEastAsia" w:hAnsi="Book Antiqua" w:cs="Arial" w:hint="eastAsia"/>
          <w:bCs/>
          <w:i/>
          <w:lang w:eastAsia="zh-CN"/>
        </w:rPr>
        <w:t>et al.</w:t>
      </w:r>
      <w:r w:rsidRPr="0077658C">
        <w:rPr>
          <w:rFonts w:ascii="Book Antiqua" w:hAnsi="Book Antiqua" w:cs="Arial"/>
          <w:bCs/>
          <w:lang w:val="en-GB"/>
        </w:rPr>
        <w:t xml:space="preserve"> Challenges in pediatric renal transplantation</w:t>
      </w:r>
    </w:p>
    <w:p w:rsidR="0083554E" w:rsidRPr="0077658C" w:rsidRDefault="0083554E" w:rsidP="00B871E1">
      <w:pPr>
        <w:spacing w:line="360" w:lineRule="auto"/>
        <w:jc w:val="both"/>
        <w:rPr>
          <w:rFonts w:ascii="Book Antiqua" w:eastAsiaTheme="minorEastAsia" w:hAnsi="Book Antiqua" w:cs="Arial"/>
          <w:bCs/>
          <w:i/>
          <w:lang w:val="en-GB" w:eastAsia="zh-CN"/>
        </w:rPr>
      </w:pPr>
    </w:p>
    <w:p w:rsidR="0083554E" w:rsidRPr="00A77A01" w:rsidRDefault="0083554E" w:rsidP="00B871E1">
      <w:pPr>
        <w:spacing w:line="360" w:lineRule="auto"/>
        <w:jc w:val="both"/>
        <w:rPr>
          <w:rFonts w:ascii="Book Antiqua" w:eastAsiaTheme="minorEastAsia" w:hAnsi="Book Antiqua" w:cs="Arial"/>
          <w:bCs/>
          <w:lang w:eastAsia="zh-CN"/>
        </w:rPr>
      </w:pPr>
      <w:r w:rsidRPr="00A77A01">
        <w:rPr>
          <w:rFonts w:ascii="Book Antiqua" w:hAnsi="Book Antiqua" w:cs="Arial"/>
          <w:bCs/>
        </w:rPr>
        <w:t>Licia Peruzzi, Alessandro Amore</w:t>
      </w:r>
      <w:r w:rsidR="00A77A01" w:rsidRPr="00A77A01">
        <w:rPr>
          <w:rFonts w:ascii="Book Antiqua" w:eastAsiaTheme="minorEastAsia" w:hAnsi="Book Antiqua" w:cs="Arial" w:hint="eastAsia"/>
          <w:bCs/>
          <w:lang w:eastAsia="zh-CN"/>
        </w:rPr>
        <w:t>,</w:t>
      </w:r>
      <w:r w:rsidRPr="00A77A01">
        <w:rPr>
          <w:rFonts w:ascii="Book Antiqua" w:hAnsi="Book Antiqua" w:cs="Arial"/>
          <w:bCs/>
        </w:rPr>
        <w:t xml:space="preserve"> Rosanna Coppo</w:t>
      </w:r>
    </w:p>
    <w:p w:rsidR="00A77A01" w:rsidRDefault="00A77A01" w:rsidP="00B871E1">
      <w:pPr>
        <w:spacing w:line="360" w:lineRule="auto"/>
        <w:jc w:val="both"/>
        <w:rPr>
          <w:rFonts w:ascii="Book Antiqua" w:eastAsiaTheme="minorEastAsia" w:hAnsi="Book Antiqua" w:cs="Arial"/>
          <w:b/>
          <w:bCs/>
          <w:lang w:eastAsia="zh-CN"/>
        </w:rPr>
      </w:pPr>
    </w:p>
    <w:p w:rsidR="0083554E" w:rsidRPr="007F4348" w:rsidRDefault="007F4348" w:rsidP="00B871E1">
      <w:pPr>
        <w:spacing w:line="360" w:lineRule="auto"/>
        <w:jc w:val="both"/>
        <w:rPr>
          <w:rFonts w:ascii="Book Antiqua" w:eastAsiaTheme="minorEastAsia" w:hAnsi="Book Antiqua" w:cs="Arial"/>
          <w:b/>
          <w:bCs/>
          <w:lang w:eastAsia="zh-CN"/>
        </w:rPr>
      </w:pPr>
      <w:r w:rsidRPr="007F4348">
        <w:rPr>
          <w:rFonts w:ascii="Book Antiqua" w:hAnsi="Book Antiqua" w:cs="Arial"/>
          <w:b/>
          <w:bCs/>
        </w:rPr>
        <w:t>Licia Peruzzi, Alessandro Amore</w:t>
      </w:r>
      <w:r w:rsidRPr="007F4348">
        <w:rPr>
          <w:rFonts w:ascii="Book Antiqua" w:eastAsiaTheme="minorEastAsia" w:hAnsi="Book Antiqua" w:cs="Arial" w:hint="eastAsia"/>
          <w:b/>
          <w:bCs/>
          <w:lang w:eastAsia="zh-CN"/>
        </w:rPr>
        <w:t>,</w:t>
      </w:r>
      <w:r w:rsidRPr="007F4348">
        <w:rPr>
          <w:rFonts w:ascii="Book Antiqua" w:hAnsi="Book Antiqua" w:cs="Arial"/>
          <w:b/>
          <w:bCs/>
        </w:rPr>
        <w:t xml:space="preserve"> Rosanna Coppo</w:t>
      </w:r>
      <w:r w:rsidRPr="007F4348">
        <w:rPr>
          <w:rFonts w:ascii="Book Antiqua" w:eastAsiaTheme="minorEastAsia" w:hAnsi="Book Antiqua" w:cs="Arial" w:hint="eastAsia"/>
          <w:b/>
          <w:bCs/>
          <w:lang w:eastAsia="zh-CN"/>
        </w:rPr>
        <w:t>,</w:t>
      </w:r>
      <w:r>
        <w:rPr>
          <w:rFonts w:ascii="Book Antiqua" w:eastAsiaTheme="minorEastAsia" w:hAnsi="Book Antiqua" w:cs="Arial" w:hint="eastAsia"/>
          <w:b/>
          <w:bCs/>
          <w:lang w:eastAsia="zh-CN"/>
        </w:rPr>
        <w:t xml:space="preserve"> </w:t>
      </w:r>
      <w:r w:rsidR="0083554E" w:rsidRPr="00A77A01">
        <w:rPr>
          <w:rFonts w:ascii="Book Antiqua" w:hAnsi="Book Antiqua" w:cs="Arial"/>
          <w:bCs/>
        </w:rPr>
        <w:t>University-Hospital Health Agency Citt</w:t>
      </w:r>
      <w:r w:rsidR="00497B1D" w:rsidRPr="00A77A01">
        <w:rPr>
          <w:rFonts w:ascii="Book Antiqua" w:hAnsi="Book Antiqua" w:cs="Arial"/>
          <w:bCs/>
        </w:rPr>
        <w:t>à</w:t>
      </w:r>
      <w:r w:rsidR="0083554E" w:rsidRPr="00A77A01">
        <w:rPr>
          <w:rFonts w:ascii="Book Antiqua" w:hAnsi="Book Antiqua" w:cs="Arial"/>
          <w:bCs/>
        </w:rPr>
        <w:t xml:space="preserve"> della Salute e della Scienza di Torino</w:t>
      </w:r>
      <w:r>
        <w:rPr>
          <w:rFonts w:ascii="Book Antiqua" w:eastAsiaTheme="minorEastAsia" w:hAnsi="Book Antiqua" w:cs="Arial" w:hint="eastAsia"/>
          <w:bCs/>
          <w:lang w:eastAsia="zh-CN"/>
        </w:rPr>
        <w:t>,</w:t>
      </w:r>
      <w:r>
        <w:rPr>
          <w:rFonts w:ascii="Book Antiqua" w:eastAsiaTheme="minorEastAsia" w:hAnsi="Book Antiqua" w:cs="Arial" w:hint="eastAsia"/>
          <w:b/>
          <w:bCs/>
          <w:lang w:eastAsia="zh-CN"/>
        </w:rPr>
        <w:t xml:space="preserve"> </w:t>
      </w:r>
      <w:r w:rsidR="0083554E" w:rsidRPr="00A77A01">
        <w:rPr>
          <w:rFonts w:ascii="Book Antiqua" w:hAnsi="Book Antiqua" w:cs="Arial"/>
          <w:bCs/>
          <w:lang w:val="en-GB"/>
        </w:rPr>
        <w:t>Nephrology, Dialysis and Transplantation, Regina Margherita U</w:t>
      </w:r>
      <w:r w:rsidR="00497B1D" w:rsidRPr="00A77A01">
        <w:rPr>
          <w:rFonts w:ascii="Book Antiqua" w:hAnsi="Book Antiqua" w:cs="Arial"/>
          <w:bCs/>
          <w:lang w:val="en-GB"/>
        </w:rPr>
        <w:t>niversity</w:t>
      </w:r>
      <w:r w:rsidR="00036F18">
        <w:rPr>
          <w:rFonts w:ascii="Book Antiqua" w:hAnsi="Book Antiqua" w:cs="Arial"/>
          <w:bCs/>
          <w:lang w:val="en-GB"/>
        </w:rPr>
        <w:t xml:space="preserve"> Children’s</w:t>
      </w:r>
      <w:r w:rsidR="0083554E" w:rsidRPr="00A77A01">
        <w:rPr>
          <w:rFonts w:ascii="Book Antiqua" w:hAnsi="Book Antiqua" w:cs="Arial"/>
          <w:bCs/>
          <w:lang w:val="en-GB"/>
        </w:rPr>
        <w:t xml:space="preserve"> Hospital</w:t>
      </w:r>
      <w:r>
        <w:rPr>
          <w:rFonts w:ascii="Book Antiqua" w:eastAsiaTheme="minorEastAsia" w:hAnsi="Book Antiqua" w:cs="Arial" w:hint="eastAsia"/>
          <w:bCs/>
          <w:lang w:val="en-GB" w:eastAsia="zh-CN"/>
        </w:rPr>
        <w:t>,</w:t>
      </w:r>
      <w:r w:rsidRPr="007F4348">
        <w:rPr>
          <w:rFonts w:ascii="Book Antiqua" w:hAnsi="Book Antiqua" w:cs="Arial"/>
          <w:bCs/>
        </w:rPr>
        <w:t xml:space="preserve"> </w:t>
      </w:r>
      <w:r w:rsidRPr="00A77A01">
        <w:rPr>
          <w:rFonts w:ascii="Book Antiqua" w:hAnsi="Book Antiqua" w:cs="Arial"/>
          <w:bCs/>
        </w:rPr>
        <w:t>10126</w:t>
      </w:r>
      <w:r>
        <w:rPr>
          <w:rFonts w:ascii="Book Antiqua" w:eastAsiaTheme="minorEastAsia" w:hAnsi="Book Antiqua" w:cs="Arial" w:hint="eastAsia"/>
          <w:bCs/>
          <w:lang w:eastAsia="zh-CN"/>
        </w:rPr>
        <w:t xml:space="preserve"> </w:t>
      </w:r>
      <w:r w:rsidR="0083554E" w:rsidRPr="00A77A01">
        <w:rPr>
          <w:rFonts w:ascii="Book Antiqua" w:hAnsi="Book Antiqua" w:cs="Arial"/>
          <w:bCs/>
          <w:lang w:val="en-GB"/>
        </w:rPr>
        <w:t>Turin, Italy</w:t>
      </w:r>
    </w:p>
    <w:p w:rsidR="0083554E" w:rsidRPr="007F4348" w:rsidRDefault="0083554E" w:rsidP="00B871E1">
      <w:pPr>
        <w:spacing w:line="360" w:lineRule="auto"/>
        <w:jc w:val="both"/>
        <w:rPr>
          <w:rFonts w:ascii="Book Antiqua" w:hAnsi="Book Antiqua" w:cs="Arial"/>
          <w:bCs/>
        </w:rPr>
      </w:pPr>
    </w:p>
    <w:p w:rsidR="0083554E" w:rsidRDefault="0083554E" w:rsidP="00B871E1">
      <w:pPr>
        <w:spacing w:line="360" w:lineRule="auto"/>
        <w:jc w:val="both"/>
        <w:rPr>
          <w:rFonts w:ascii="Book Antiqua" w:eastAsiaTheme="minorEastAsia" w:hAnsi="Book Antiqua" w:cs="Arial"/>
          <w:bCs/>
          <w:lang w:val="en-GB" w:eastAsia="zh-CN"/>
        </w:rPr>
      </w:pPr>
      <w:r w:rsidRPr="00A77A01">
        <w:rPr>
          <w:rFonts w:ascii="Book Antiqua" w:hAnsi="Book Antiqua" w:cs="Arial"/>
          <w:b/>
          <w:bCs/>
          <w:lang w:val="en-GB"/>
        </w:rPr>
        <w:t>Author contributions</w:t>
      </w:r>
      <w:r w:rsidRPr="00A77A01">
        <w:rPr>
          <w:rFonts w:ascii="Book Antiqua" w:hAnsi="Book Antiqua" w:cs="Arial"/>
          <w:bCs/>
          <w:lang w:val="en-GB"/>
        </w:rPr>
        <w:t>: Peruzzi</w:t>
      </w:r>
      <w:r w:rsidR="007F4348">
        <w:rPr>
          <w:rFonts w:ascii="Book Antiqua" w:eastAsiaTheme="minorEastAsia" w:hAnsi="Book Antiqua" w:cs="Arial" w:hint="eastAsia"/>
          <w:bCs/>
          <w:lang w:val="en-GB" w:eastAsia="zh-CN"/>
        </w:rPr>
        <w:t xml:space="preserve"> L</w:t>
      </w:r>
      <w:r w:rsidRPr="00A77A01">
        <w:rPr>
          <w:rFonts w:ascii="Book Antiqua" w:hAnsi="Book Antiqua" w:cs="Arial"/>
          <w:bCs/>
          <w:lang w:val="en-GB"/>
        </w:rPr>
        <w:t xml:space="preserve">, Amore </w:t>
      </w:r>
      <w:r w:rsidR="007F4348">
        <w:rPr>
          <w:rFonts w:ascii="Book Antiqua" w:eastAsiaTheme="minorEastAsia" w:hAnsi="Book Antiqua" w:cs="Arial" w:hint="eastAsia"/>
          <w:bCs/>
          <w:lang w:val="en-GB" w:eastAsia="zh-CN"/>
        </w:rPr>
        <w:t xml:space="preserve">A </w:t>
      </w:r>
      <w:r w:rsidRPr="00A77A01">
        <w:rPr>
          <w:rFonts w:ascii="Book Antiqua" w:hAnsi="Book Antiqua" w:cs="Arial"/>
          <w:bCs/>
          <w:lang w:val="en-GB"/>
        </w:rPr>
        <w:t xml:space="preserve">and Coppo </w:t>
      </w:r>
      <w:r w:rsidR="007F4348">
        <w:rPr>
          <w:rFonts w:ascii="Book Antiqua" w:eastAsiaTheme="minorEastAsia" w:hAnsi="Book Antiqua" w:cs="Arial" w:hint="eastAsia"/>
          <w:bCs/>
          <w:lang w:val="en-GB" w:eastAsia="zh-CN"/>
        </w:rPr>
        <w:t xml:space="preserve">R </w:t>
      </w:r>
      <w:r w:rsidRPr="00A77A01">
        <w:rPr>
          <w:rFonts w:ascii="Book Antiqua" w:hAnsi="Book Antiqua" w:cs="Arial"/>
          <w:bCs/>
          <w:lang w:val="en-GB"/>
        </w:rPr>
        <w:t>equally reviewed the references, discussed the topic and wrote the paper</w:t>
      </w:r>
      <w:r w:rsidR="007F4348">
        <w:rPr>
          <w:rFonts w:ascii="Book Antiqua" w:eastAsiaTheme="minorEastAsia" w:hAnsi="Book Antiqua" w:cs="Arial" w:hint="eastAsia"/>
          <w:bCs/>
          <w:lang w:val="en-GB" w:eastAsia="zh-CN"/>
        </w:rPr>
        <w:t>.</w:t>
      </w:r>
    </w:p>
    <w:p w:rsidR="007F4348" w:rsidRPr="007F4348" w:rsidRDefault="007F4348" w:rsidP="00B871E1">
      <w:pPr>
        <w:spacing w:line="360" w:lineRule="auto"/>
        <w:jc w:val="both"/>
        <w:rPr>
          <w:rFonts w:ascii="Book Antiqua" w:eastAsiaTheme="minorEastAsia" w:hAnsi="Book Antiqua" w:cs="Arial"/>
          <w:bCs/>
          <w:lang w:val="en-GB" w:eastAsia="zh-CN"/>
        </w:rPr>
      </w:pPr>
    </w:p>
    <w:p w:rsidR="007F4348" w:rsidRPr="00351472" w:rsidRDefault="007F4348" w:rsidP="00B871E1">
      <w:pPr>
        <w:spacing w:line="360" w:lineRule="auto"/>
        <w:rPr>
          <w:rFonts w:ascii="Book Antiqua" w:eastAsiaTheme="minorEastAsia" w:hAnsi="Book Antiqua" w:cs="Garamond"/>
          <w:color w:val="000000"/>
          <w:lang w:eastAsia="zh-CN"/>
        </w:rPr>
      </w:pPr>
      <w:r w:rsidRPr="004C533D">
        <w:rPr>
          <w:rFonts w:ascii="Book Antiqua" w:hAnsi="Book Antiqua" w:cs="TimesNewRomanPS-BoldItalicMT"/>
          <w:b/>
          <w:bCs/>
          <w:iCs/>
          <w:color w:val="000000"/>
        </w:rPr>
        <w:t xml:space="preserve">Conflict-of-interest: </w:t>
      </w:r>
      <w:r w:rsidR="00351472" w:rsidRPr="00351472">
        <w:rPr>
          <w:rFonts w:ascii="Book Antiqua" w:eastAsiaTheme="minorEastAsia" w:hAnsi="Book Antiqua" w:cs="TimesNewRomanPS-BoldItalicMT" w:hint="eastAsia"/>
          <w:bCs/>
          <w:iCs/>
          <w:color w:val="000000"/>
          <w:lang w:eastAsia="zh-CN"/>
        </w:rPr>
        <w:t>The authors declare that they do not have compelling conflict of interests.</w:t>
      </w:r>
    </w:p>
    <w:p w:rsidR="007F4348" w:rsidRPr="007F4348" w:rsidRDefault="007F4348" w:rsidP="00B871E1">
      <w:pPr>
        <w:spacing w:line="360" w:lineRule="auto"/>
        <w:rPr>
          <w:rFonts w:ascii="Book Antiqua" w:eastAsiaTheme="minorEastAsia" w:hAnsi="Book Antiqua" w:cs="Garamond"/>
          <w:color w:val="000000"/>
          <w:lang w:eastAsia="zh-CN"/>
        </w:rPr>
      </w:pPr>
    </w:p>
    <w:p w:rsidR="007F4348" w:rsidRPr="004C533D" w:rsidRDefault="007F4348" w:rsidP="00B871E1">
      <w:pPr>
        <w:spacing w:line="360" w:lineRule="auto"/>
        <w:rPr>
          <w:rFonts w:ascii="Book Antiqua" w:hAnsi="Book Antiqua" w:cs="宋体"/>
        </w:rPr>
      </w:pPr>
      <w:r w:rsidRPr="004C533D">
        <w:rPr>
          <w:rFonts w:ascii="Book Antiqua" w:hAnsi="Book Antiqua"/>
          <w:b/>
          <w:color w:val="000000"/>
        </w:rPr>
        <w:t xml:space="preserve">Open-Access: </w:t>
      </w:r>
      <w:r w:rsidRPr="004C533D">
        <w:rPr>
          <w:rFonts w:ascii="Book Antiqua" w:hAnsi="Book Antiqua"/>
          <w:color w:val="000000"/>
        </w:rPr>
        <w:t xml:space="preserve">This article is an </w:t>
      </w:r>
      <w:r w:rsidRPr="004C533D">
        <w:rPr>
          <w:rFonts w:ascii="Book Antiqua" w:hAnsi="Book Antiqua" w:cs="宋体"/>
        </w:rPr>
        <w:t xml:space="preserve">open-access article which </w:t>
      </w:r>
      <w:r w:rsidRPr="004C533D">
        <w:rPr>
          <w:rFonts w:ascii="Book Antiqua" w:hAnsi="Book Antiqua"/>
        </w:rPr>
        <w:t xml:space="preserve">selected by an in-house editor and fully peer-reviewed by external reviewers. It </w:t>
      </w:r>
      <w:r w:rsidRPr="004C533D">
        <w:rPr>
          <w:rFonts w:ascii="Book Antiqua" w:hAnsi="Book Antiqua" w:cs="宋体"/>
        </w:rPr>
        <w:t xml:space="preserve">distributed in accordance with </w:t>
      </w:r>
      <w:r w:rsidRPr="004C533D">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3554E" w:rsidRPr="00A77A01" w:rsidRDefault="0083554E" w:rsidP="00B871E1">
      <w:pPr>
        <w:spacing w:line="360" w:lineRule="auto"/>
        <w:jc w:val="both"/>
        <w:rPr>
          <w:rFonts w:ascii="Book Antiqua" w:hAnsi="Book Antiqua" w:cs="Arial"/>
          <w:bCs/>
          <w:lang w:val="en-GB"/>
        </w:rPr>
      </w:pPr>
    </w:p>
    <w:p w:rsidR="0083554E" w:rsidRPr="007F4348" w:rsidRDefault="0083554E" w:rsidP="00B871E1">
      <w:pPr>
        <w:spacing w:line="360" w:lineRule="auto"/>
        <w:jc w:val="both"/>
        <w:rPr>
          <w:rFonts w:ascii="Book Antiqua" w:hAnsi="Book Antiqua" w:cs="Arial"/>
          <w:bCs/>
          <w:lang w:val="en-GB"/>
        </w:rPr>
      </w:pPr>
      <w:r w:rsidRPr="00A77A01">
        <w:rPr>
          <w:rFonts w:ascii="Book Antiqua" w:hAnsi="Book Antiqua" w:cs="Arial"/>
          <w:b/>
          <w:bCs/>
          <w:lang w:val="en-GB"/>
        </w:rPr>
        <w:t>Correspondence to</w:t>
      </w:r>
      <w:r w:rsidRPr="00A77A01">
        <w:rPr>
          <w:rFonts w:ascii="Book Antiqua" w:hAnsi="Book Antiqua" w:cs="Arial"/>
          <w:bCs/>
          <w:lang w:val="en-GB"/>
        </w:rPr>
        <w:t xml:space="preserve">: </w:t>
      </w:r>
      <w:r w:rsidRPr="007F4348">
        <w:rPr>
          <w:rFonts w:ascii="Book Antiqua" w:hAnsi="Book Antiqua" w:cs="Arial"/>
          <w:b/>
          <w:bCs/>
          <w:lang w:val="en-GB"/>
        </w:rPr>
        <w:t>Licia Peruzzi, MD</w:t>
      </w:r>
      <w:r w:rsidR="007F4348" w:rsidRPr="007F4348">
        <w:rPr>
          <w:rFonts w:ascii="Book Antiqua" w:eastAsiaTheme="minorEastAsia" w:hAnsi="Book Antiqua" w:cs="Arial" w:hint="eastAsia"/>
          <w:b/>
          <w:bCs/>
          <w:lang w:val="en-GB" w:eastAsia="zh-CN"/>
        </w:rPr>
        <w:t xml:space="preserve">, </w:t>
      </w:r>
      <w:r w:rsidRPr="007F4348">
        <w:rPr>
          <w:rFonts w:ascii="Book Antiqua" w:hAnsi="Book Antiqua" w:cs="Arial"/>
          <w:b/>
          <w:bCs/>
          <w:lang w:val="en-GB"/>
        </w:rPr>
        <w:t>PhD,</w:t>
      </w:r>
      <w:r w:rsidRPr="00A77A01">
        <w:rPr>
          <w:rFonts w:ascii="Book Antiqua" w:hAnsi="Book Antiqua" w:cs="Arial"/>
          <w:bCs/>
          <w:lang w:val="en-GB"/>
        </w:rPr>
        <w:t xml:space="preserve"> </w:t>
      </w:r>
      <w:r w:rsidR="007F4348" w:rsidRPr="00A77A01">
        <w:rPr>
          <w:rFonts w:ascii="Book Antiqua" w:hAnsi="Book Antiqua" w:cs="Arial"/>
          <w:bCs/>
        </w:rPr>
        <w:t>University-Hospital Health Agency Città della Salute e della Scienza di Torino</w:t>
      </w:r>
      <w:r w:rsidR="007F4348">
        <w:rPr>
          <w:rFonts w:ascii="Book Antiqua" w:eastAsiaTheme="minorEastAsia" w:hAnsi="Book Antiqua" w:cs="Arial" w:hint="eastAsia"/>
          <w:bCs/>
          <w:lang w:eastAsia="zh-CN"/>
        </w:rPr>
        <w:t xml:space="preserve">, </w:t>
      </w:r>
      <w:r w:rsidRPr="00A77A01">
        <w:rPr>
          <w:rFonts w:ascii="Book Antiqua" w:hAnsi="Book Antiqua" w:cs="Arial"/>
          <w:bCs/>
          <w:lang w:val="en-GB"/>
        </w:rPr>
        <w:t>Nephrology, Dialysis and Transplantation Unit</w:t>
      </w:r>
      <w:r w:rsidR="007F4348">
        <w:rPr>
          <w:rFonts w:ascii="Book Antiqua" w:eastAsiaTheme="minorEastAsia" w:hAnsi="Book Antiqua" w:cs="Arial" w:hint="eastAsia"/>
          <w:bCs/>
          <w:lang w:val="en-GB" w:eastAsia="zh-CN"/>
        </w:rPr>
        <w:t>,</w:t>
      </w:r>
      <w:r w:rsidRPr="00A77A01">
        <w:rPr>
          <w:rFonts w:ascii="Book Antiqua" w:hAnsi="Book Antiqua" w:cs="Arial"/>
          <w:bCs/>
          <w:lang w:val="en-GB"/>
        </w:rPr>
        <w:t xml:space="preserve"> Regina Margherita U</w:t>
      </w:r>
      <w:r w:rsidR="006553FB" w:rsidRPr="00A77A01">
        <w:rPr>
          <w:rFonts w:ascii="Book Antiqua" w:hAnsi="Book Antiqua" w:cs="Arial"/>
          <w:bCs/>
          <w:lang w:val="en-GB"/>
        </w:rPr>
        <w:t>niversity</w:t>
      </w:r>
      <w:r w:rsidRPr="00A77A01">
        <w:rPr>
          <w:rFonts w:ascii="Book Antiqua" w:hAnsi="Book Antiqua" w:cs="Arial"/>
          <w:bCs/>
          <w:lang w:val="en-GB"/>
        </w:rPr>
        <w:t xml:space="preserve"> Children’s</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 xml:space="preserve">Hospital, </w:t>
      </w:r>
      <w:r w:rsidRPr="00A77A01">
        <w:rPr>
          <w:rFonts w:ascii="Book Antiqua" w:hAnsi="Book Antiqua" w:cs="Arial"/>
          <w:bCs/>
        </w:rPr>
        <w:t>Piazza Polonia 94, 10126 Turin, Italy.</w:t>
      </w:r>
      <w:r w:rsidR="002F334B">
        <w:rPr>
          <w:rFonts w:ascii="Book Antiqua" w:eastAsiaTheme="minorEastAsia" w:hAnsi="Book Antiqua" w:cs="Arial" w:hint="eastAsia"/>
          <w:bCs/>
          <w:lang w:eastAsia="zh-CN"/>
        </w:rPr>
        <w:t xml:space="preserve"> </w:t>
      </w:r>
      <w:hyperlink r:id="rId7" w:history="1">
        <w:r w:rsidRPr="007F4348">
          <w:rPr>
            <w:rStyle w:val="Hyperlink"/>
            <w:rFonts w:ascii="Book Antiqua" w:hAnsi="Book Antiqua" w:cs="Arial"/>
            <w:bCs/>
            <w:color w:val="auto"/>
            <w:u w:val="none"/>
          </w:rPr>
          <w:t>licia.peruzzi@unito.it</w:t>
        </w:r>
      </w:hyperlink>
    </w:p>
    <w:p w:rsidR="007F4348" w:rsidRDefault="007F4348" w:rsidP="00B871E1">
      <w:pPr>
        <w:spacing w:line="360" w:lineRule="auto"/>
        <w:jc w:val="both"/>
        <w:rPr>
          <w:rFonts w:ascii="Book Antiqua" w:eastAsiaTheme="minorEastAsia" w:hAnsi="Book Antiqua" w:cs="Arial"/>
          <w:bCs/>
          <w:lang w:val="en-GB" w:eastAsia="zh-CN"/>
        </w:rPr>
      </w:pPr>
    </w:p>
    <w:p w:rsidR="0083554E" w:rsidRPr="00A77A01" w:rsidRDefault="0083554E" w:rsidP="00B871E1">
      <w:pPr>
        <w:spacing w:line="360" w:lineRule="auto"/>
        <w:jc w:val="both"/>
        <w:rPr>
          <w:rFonts w:ascii="Book Antiqua" w:hAnsi="Book Antiqua" w:cs="Arial"/>
          <w:bCs/>
          <w:lang w:val="en-GB"/>
        </w:rPr>
      </w:pPr>
      <w:r w:rsidRPr="007F4348">
        <w:rPr>
          <w:rFonts w:ascii="Book Antiqua" w:hAnsi="Book Antiqua" w:cs="Arial"/>
          <w:b/>
          <w:bCs/>
          <w:lang w:val="en-GB"/>
        </w:rPr>
        <w:t>Telephone</w:t>
      </w:r>
      <w:r w:rsidR="007F4348" w:rsidRPr="007F4348">
        <w:rPr>
          <w:rFonts w:ascii="Book Antiqua" w:eastAsiaTheme="minorEastAsia" w:hAnsi="Book Antiqua" w:cs="Arial" w:hint="eastAsia"/>
          <w:b/>
          <w:bCs/>
          <w:lang w:val="en-GB" w:eastAsia="zh-CN"/>
        </w:rPr>
        <w:t>:</w:t>
      </w:r>
      <w:r w:rsidRPr="007F4348">
        <w:rPr>
          <w:rFonts w:ascii="Book Antiqua" w:hAnsi="Book Antiqua" w:cs="Arial"/>
          <w:b/>
          <w:bCs/>
          <w:lang w:val="en-GB"/>
        </w:rPr>
        <w:t xml:space="preserve"> </w:t>
      </w:r>
      <w:r w:rsidRPr="00A77A01">
        <w:rPr>
          <w:rFonts w:ascii="Book Antiqua" w:hAnsi="Book Antiqua" w:cs="Arial"/>
          <w:bCs/>
          <w:lang w:val="en-GB"/>
        </w:rPr>
        <w:t>+39</w:t>
      </w:r>
      <w:r w:rsidR="007F4348">
        <w:rPr>
          <w:rFonts w:ascii="Book Antiqua" w:eastAsiaTheme="minorEastAsia" w:hAnsi="Book Antiqua" w:cs="Arial" w:hint="eastAsia"/>
          <w:bCs/>
          <w:lang w:val="en-GB" w:eastAsia="zh-CN"/>
        </w:rPr>
        <w:t>-</w:t>
      </w:r>
      <w:r w:rsidRPr="00A77A01">
        <w:rPr>
          <w:rFonts w:ascii="Book Antiqua" w:hAnsi="Book Antiqua" w:cs="Arial"/>
          <w:bCs/>
          <w:lang w:val="en-GB"/>
        </w:rPr>
        <w:t>01</w:t>
      </w:r>
      <w:r w:rsidR="007F4348">
        <w:rPr>
          <w:rFonts w:ascii="Book Antiqua" w:eastAsiaTheme="minorEastAsia" w:hAnsi="Book Antiqua" w:cs="Arial" w:hint="eastAsia"/>
          <w:bCs/>
          <w:lang w:val="en-GB" w:eastAsia="zh-CN"/>
        </w:rPr>
        <w:t>-</w:t>
      </w:r>
      <w:r w:rsidRPr="00A77A01">
        <w:rPr>
          <w:rFonts w:ascii="Book Antiqua" w:hAnsi="Book Antiqua" w:cs="Arial"/>
          <w:bCs/>
          <w:lang w:val="en-GB"/>
        </w:rPr>
        <w:t xml:space="preserve">13131761 </w:t>
      </w:r>
      <w:r w:rsidRPr="007F4348">
        <w:rPr>
          <w:rFonts w:ascii="Book Antiqua" w:hAnsi="Book Antiqua" w:cs="Arial"/>
          <w:b/>
          <w:bCs/>
          <w:lang w:val="en-GB"/>
        </w:rPr>
        <w:t>Fax</w:t>
      </w:r>
      <w:r w:rsidR="007F4348" w:rsidRPr="007F4348">
        <w:rPr>
          <w:rFonts w:ascii="Book Antiqua" w:eastAsiaTheme="minorEastAsia" w:hAnsi="Book Antiqua" w:cs="Arial" w:hint="eastAsia"/>
          <w:b/>
          <w:bCs/>
          <w:lang w:val="en-GB" w:eastAsia="zh-CN"/>
        </w:rPr>
        <w:t>:</w:t>
      </w:r>
      <w:r w:rsidRPr="007F4348">
        <w:rPr>
          <w:rFonts w:ascii="Book Antiqua" w:hAnsi="Book Antiqua" w:cs="Arial"/>
          <w:b/>
          <w:bCs/>
          <w:lang w:val="en-GB"/>
        </w:rPr>
        <w:t xml:space="preserve"> </w:t>
      </w:r>
      <w:r w:rsidRPr="00A77A01">
        <w:rPr>
          <w:rFonts w:ascii="Book Antiqua" w:hAnsi="Book Antiqua" w:cs="Arial"/>
          <w:bCs/>
          <w:lang w:val="en-GB"/>
        </w:rPr>
        <w:t>+39</w:t>
      </w:r>
      <w:r w:rsidR="007F4348">
        <w:rPr>
          <w:rFonts w:ascii="Book Antiqua" w:eastAsiaTheme="minorEastAsia" w:hAnsi="Book Antiqua" w:cs="Arial" w:hint="eastAsia"/>
          <w:bCs/>
          <w:lang w:val="en-GB" w:eastAsia="zh-CN"/>
        </w:rPr>
        <w:t>-</w:t>
      </w:r>
      <w:r w:rsidRPr="00A77A01">
        <w:rPr>
          <w:rFonts w:ascii="Book Antiqua" w:hAnsi="Book Antiqua" w:cs="Arial"/>
          <w:bCs/>
          <w:lang w:val="en-GB"/>
        </w:rPr>
        <w:t>01</w:t>
      </w:r>
      <w:r w:rsidR="007F4348">
        <w:rPr>
          <w:rFonts w:ascii="Book Antiqua" w:eastAsiaTheme="minorEastAsia" w:hAnsi="Book Antiqua" w:cs="Arial" w:hint="eastAsia"/>
          <w:bCs/>
          <w:lang w:val="en-GB" w:eastAsia="zh-CN"/>
        </w:rPr>
        <w:t>-</w:t>
      </w:r>
      <w:r w:rsidRPr="00A77A01">
        <w:rPr>
          <w:rFonts w:ascii="Book Antiqua" w:hAnsi="Book Antiqua" w:cs="Arial"/>
          <w:bCs/>
          <w:lang w:val="en-GB"/>
        </w:rPr>
        <w:t>16635543</w:t>
      </w:r>
    </w:p>
    <w:p w:rsidR="0083554E" w:rsidRDefault="0083554E" w:rsidP="00B871E1">
      <w:pPr>
        <w:autoSpaceDE w:val="0"/>
        <w:autoSpaceDN w:val="0"/>
        <w:adjustRightInd w:val="0"/>
        <w:spacing w:line="360" w:lineRule="auto"/>
        <w:jc w:val="both"/>
        <w:rPr>
          <w:rFonts w:ascii="Book Antiqua" w:eastAsiaTheme="minorEastAsia" w:hAnsi="Book Antiqua" w:cs="Arial"/>
          <w:lang w:val="en-GB" w:eastAsia="zh-CN"/>
        </w:rPr>
      </w:pPr>
    </w:p>
    <w:p w:rsidR="007F4348" w:rsidRDefault="007F4348" w:rsidP="00B871E1">
      <w:pPr>
        <w:spacing w:line="360" w:lineRule="auto"/>
        <w:rPr>
          <w:rFonts w:ascii="Book Antiqua" w:hAnsi="Book Antiqua"/>
          <w:b/>
        </w:rPr>
      </w:pPr>
      <w:r>
        <w:rPr>
          <w:rFonts w:ascii="Book Antiqua" w:hAnsi="Book Antiqua"/>
          <w:b/>
        </w:rPr>
        <w:t>Received:</w:t>
      </w:r>
      <w:r w:rsidRPr="007F4348">
        <w:rPr>
          <w:rFonts w:ascii="Book Antiqua" w:hAnsi="Book Antiqua"/>
        </w:rPr>
        <w:t xml:space="preserve"> </w:t>
      </w:r>
      <w:r w:rsidRPr="007F4348">
        <w:rPr>
          <w:rFonts w:ascii="Book Antiqua" w:eastAsiaTheme="minorEastAsia" w:hAnsi="Book Antiqua" w:hint="eastAsia"/>
          <w:lang w:eastAsia="zh-CN"/>
        </w:rPr>
        <w:t>September 4, 2014</w:t>
      </w:r>
      <w:r w:rsidRPr="007F4348">
        <w:rPr>
          <w:rFonts w:ascii="Book Antiqua" w:hAnsi="Book Antiqua"/>
        </w:rPr>
        <w:t xml:space="preserve"> </w:t>
      </w:r>
    </w:p>
    <w:p w:rsidR="007F4348" w:rsidRDefault="007F4348" w:rsidP="00B871E1">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Pr="007F4348">
        <w:rPr>
          <w:rFonts w:ascii="Book Antiqua" w:hAnsi="Book Antiqua"/>
        </w:rPr>
        <w:t xml:space="preserve"> </w:t>
      </w:r>
      <w:r w:rsidRPr="007F4348">
        <w:rPr>
          <w:rFonts w:ascii="Book Antiqua" w:eastAsiaTheme="minorEastAsia" w:hAnsi="Book Antiqua" w:hint="eastAsia"/>
          <w:lang w:eastAsia="zh-CN"/>
        </w:rPr>
        <w:t>September 4, 2014</w:t>
      </w:r>
    </w:p>
    <w:p w:rsidR="007F4348" w:rsidRPr="007F4348" w:rsidRDefault="007F4348" w:rsidP="00B871E1">
      <w:pPr>
        <w:spacing w:line="360" w:lineRule="auto"/>
        <w:rPr>
          <w:rFonts w:ascii="Book Antiqua" w:eastAsiaTheme="minorEastAsia" w:hAnsi="Book Antiqua"/>
          <w:b/>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7F4348">
        <w:rPr>
          <w:rFonts w:ascii="Book Antiqua" w:eastAsiaTheme="minorEastAsia" w:hAnsi="Book Antiqua" w:hint="eastAsia"/>
          <w:lang w:eastAsia="zh-CN"/>
        </w:rPr>
        <w:t>November 3, 2014</w:t>
      </w:r>
    </w:p>
    <w:p w:rsidR="007F4348" w:rsidRDefault="007F4348" w:rsidP="00B871E1">
      <w:pPr>
        <w:spacing w:line="360" w:lineRule="auto"/>
        <w:rPr>
          <w:rFonts w:ascii="Book Antiqua" w:hAnsi="Book Antiqua"/>
          <w:b/>
        </w:rPr>
      </w:pPr>
      <w:r>
        <w:rPr>
          <w:rFonts w:ascii="Book Antiqua" w:hAnsi="Book Antiqua"/>
          <w:b/>
        </w:rPr>
        <w:t xml:space="preserve">Revised: </w:t>
      </w:r>
      <w:r w:rsidRPr="007F4348">
        <w:rPr>
          <w:rFonts w:ascii="Book Antiqua" w:eastAsiaTheme="minorEastAsia" w:hAnsi="Book Antiqua" w:hint="eastAsia"/>
          <w:lang w:eastAsia="zh-CN"/>
        </w:rPr>
        <w:t xml:space="preserve">November </w:t>
      </w:r>
      <w:r>
        <w:rPr>
          <w:rFonts w:ascii="Book Antiqua" w:eastAsiaTheme="minorEastAsia" w:hAnsi="Book Antiqua" w:hint="eastAsia"/>
          <w:lang w:eastAsia="zh-CN"/>
        </w:rPr>
        <w:t>20</w:t>
      </w:r>
      <w:r w:rsidRPr="007F4348">
        <w:rPr>
          <w:rFonts w:ascii="Book Antiqua" w:eastAsiaTheme="minorEastAsia" w:hAnsi="Book Antiqua" w:hint="eastAsia"/>
          <w:lang w:eastAsia="zh-CN"/>
        </w:rPr>
        <w:t>, 2014</w:t>
      </w:r>
    </w:p>
    <w:p w:rsidR="007F4348" w:rsidRPr="001D2058" w:rsidRDefault="007F4348" w:rsidP="001D2058">
      <w:pPr>
        <w:rPr>
          <w:rFonts w:ascii="Book Antiqua" w:hAnsi="Book Antiqua"/>
          <w:iCs/>
        </w:rPr>
      </w:pPr>
      <w:r>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D2058">
        <w:rPr>
          <w:rStyle w:val="Emphasis"/>
          <w:rFonts w:ascii="Book Antiqua" w:hAnsi="Book Antiqua"/>
          <w:i w:val="0"/>
        </w:rPr>
        <w:t>December</w:t>
      </w:r>
      <w:r w:rsidR="001D2058" w:rsidRPr="00A63FB9">
        <w:rPr>
          <w:rStyle w:val="Emphasis"/>
          <w:rFonts w:ascii="Book Antiqua" w:hAnsi="Book Antiqua"/>
          <w:i w:val="0"/>
        </w:rPr>
        <w:t xml:space="preserve"> </w:t>
      </w:r>
      <w:r w:rsidR="001D2058">
        <w:rPr>
          <w:rStyle w:val="Emphasis"/>
          <w:rFonts w:ascii="Book Antiqua" w:hAnsi="Book Antiqua"/>
          <w:i w:val="0"/>
        </w:rPr>
        <w:t>3</w:t>
      </w:r>
      <w:r w:rsidR="001D2058" w:rsidRPr="00A63FB9">
        <w:rPr>
          <w:rStyle w:val="Emphasis"/>
          <w:rFonts w:ascii="Book Antiqua" w:hAnsi="Book Antiqua"/>
          <w:i w:val="0"/>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F4348" w:rsidRDefault="007F4348" w:rsidP="00B871E1">
      <w:pPr>
        <w:spacing w:line="360" w:lineRule="auto"/>
        <w:rPr>
          <w:rFonts w:ascii="Book Antiqua" w:hAnsi="Book Antiqua"/>
          <w:b/>
        </w:rPr>
      </w:pPr>
      <w:r w:rsidRPr="009659DA">
        <w:rPr>
          <w:rFonts w:ascii="Book Antiqua" w:hAnsi="Book Antiqua"/>
          <w:b/>
        </w:rPr>
        <w:t>Article in press:</w:t>
      </w:r>
    </w:p>
    <w:p w:rsidR="007F4348" w:rsidRDefault="007F4348" w:rsidP="00B871E1">
      <w:pPr>
        <w:spacing w:line="360" w:lineRule="auto"/>
        <w:rPr>
          <w:rFonts w:ascii="Book Antiqua" w:hAnsi="Book Antiqua"/>
          <w:b/>
        </w:rPr>
      </w:pPr>
      <w:r>
        <w:rPr>
          <w:rFonts w:ascii="Book Antiqua" w:hAnsi="Book Antiqua"/>
          <w:b/>
        </w:rPr>
        <w:t xml:space="preserve">Published online: </w:t>
      </w:r>
    </w:p>
    <w:p w:rsidR="007F4348" w:rsidRPr="007F4348" w:rsidRDefault="007F4348" w:rsidP="00B871E1">
      <w:pPr>
        <w:autoSpaceDE w:val="0"/>
        <w:autoSpaceDN w:val="0"/>
        <w:adjustRightInd w:val="0"/>
        <w:spacing w:line="360" w:lineRule="auto"/>
        <w:jc w:val="both"/>
        <w:rPr>
          <w:rFonts w:ascii="Book Antiqua" w:eastAsiaTheme="minorEastAsia" w:hAnsi="Book Antiqua" w:cs="Arial"/>
          <w:lang w:val="en-GB" w:eastAsia="zh-CN"/>
        </w:rPr>
      </w:pPr>
    </w:p>
    <w:p w:rsidR="0083554E" w:rsidRPr="00A77A01" w:rsidRDefault="0083554E" w:rsidP="00B871E1">
      <w:pPr>
        <w:autoSpaceDE w:val="0"/>
        <w:autoSpaceDN w:val="0"/>
        <w:adjustRightInd w:val="0"/>
        <w:spacing w:line="360" w:lineRule="auto"/>
        <w:jc w:val="both"/>
        <w:rPr>
          <w:rFonts w:ascii="Book Antiqua" w:hAnsi="Book Antiqua" w:cs="Arial"/>
          <w:b/>
          <w:lang w:val="en-GB"/>
        </w:rPr>
      </w:pPr>
      <w:r w:rsidRPr="00A77A01">
        <w:rPr>
          <w:rFonts w:ascii="Book Antiqua" w:hAnsi="Book Antiqua" w:cs="Arial"/>
          <w:b/>
          <w:lang w:val="en-GB"/>
        </w:rPr>
        <w:t>A</w:t>
      </w:r>
      <w:r w:rsidR="00A77A01" w:rsidRPr="00A77A01">
        <w:rPr>
          <w:rFonts w:ascii="Book Antiqua" w:hAnsi="Book Antiqua" w:cs="Arial"/>
          <w:b/>
          <w:lang w:val="en-GB"/>
        </w:rPr>
        <w:t>bstract</w:t>
      </w:r>
    </w:p>
    <w:p w:rsidR="0083554E" w:rsidRPr="00A77A01" w:rsidRDefault="0083554E" w:rsidP="00B871E1">
      <w:pPr>
        <w:autoSpaceDE w:val="0"/>
        <w:autoSpaceDN w:val="0"/>
        <w:adjustRightInd w:val="0"/>
        <w:spacing w:line="360" w:lineRule="auto"/>
        <w:jc w:val="both"/>
        <w:rPr>
          <w:rFonts w:ascii="Book Antiqua" w:eastAsiaTheme="minorEastAsia" w:hAnsi="Book Antiqua" w:cs="Arial"/>
          <w:b/>
          <w:lang w:val="en-GB" w:eastAsia="zh-CN"/>
        </w:rPr>
      </w:pPr>
      <w:r w:rsidRPr="00A77A01">
        <w:rPr>
          <w:rFonts w:ascii="Book Antiqua" w:hAnsi="Book Antiqua" w:cs="Arial"/>
          <w:lang w:val="en-GB"/>
        </w:rPr>
        <w:t xml:space="preserve">Transplantation in children is the best option to treat renal failure. Over the last 25 years the improvements in therapy </w:t>
      </w:r>
      <w:r w:rsidR="0012136D" w:rsidRPr="00A77A01">
        <w:rPr>
          <w:rFonts w:ascii="Book Antiqua" w:hAnsi="Book Antiqua" w:cs="Arial"/>
          <w:lang w:val="en-GB"/>
        </w:rPr>
        <w:t xml:space="preserve">have </w:t>
      </w:r>
      <w:r w:rsidRPr="00A77A01">
        <w:rPr>
          <w:rFonts w:ascii="Book Antiqua" w:hAnsi="Book Antiqua" w:cs="Arial"/>
          <w:lang w:val="en-GB"/>
        </w:rPr>
        <w:t>dramatically reduced the risk of early acute rejection and graft loss</w:t>
      </w:r>
      <w:r w:rsidR="0012136D" w:rsidRPr="00A77A01">
        <w:rPr>
          <w:rFonts w:ascii="Book Antiqua" w:hAnsi="Book Antiqua" w:cs="Arial"/>
          <w:lang w:val="en-GB"/>
        </w:rPr>
        <w:t>,</w:t>
      </w:r>
      <w:r w:rsidR="00A77A01">
        <w:rPr>
          <w:rFonts w:ascii="Book Antiqua" w:hAnsi="Book Antiqua" w:cs="Arial"/>
          <w:lang w:val="en-GB"/>
        </w:rPr>
        <w:t xml:space="preserve"> </w:t>
      </w:r>
      <w:r w:rsidR="0012136D" w:rsidRPr="00A77A01">
        <w:rPr>
          <w:rFonts w:ascii="Book Antiqua" w:hAnsi="Book Antiqua" w:cs="Arial"/>
          <w:lang w:val="en-GB"/>
        </w:rPr>
        <w:t xml:space="preserve">however </w:t>
      </w:r>
      <w:r w:rsidRPr="00A77A01">
        <w:rPr>
          <w:rFonts w:ascii="Book Antiqua" w:hAnsi="Book Antiqua" w:cs="Arial"/>
          <w:lang w:val="en-GB"/>
        </w:rPr>
        <w:t>the long term results in terms of graft survival and morbidity still require search for</w:t>
      </w:r>
      <w:r w:rsidR="006553FB" w:rsidRPr="00A77A01">
        <w:rPr>
          <w:rFonts w:ascii="Book Antiqua" w:hAnsi="Book Antiqua" w:cs="Arial"/>
          <w:lang w:val="en-GB"/>
        </w:rPr>
        <w:t xml:space="preserve"> </w:t>
      </w:r>
      <w:r w:rsidR="0012136D" w:rsidRPr="00A77A01">
        <w:rPr>
          <w:rFonts w:ascii="Book Antiqua" w:hAnsi="Book Antiqua" w:cs="Arial"/>
          <w:lang w:val="en-GB"/>
        </w:rPr>
        <w:t xml:space="preserve">new </w:t>
      </w:r>
      <w:r w:rsidRPr="00A77A01">
        <w:rPr>
          <w:rFonts w:ascii="Book Antiqua" w:hAnsi="Book Antiqua" w:cs="Arial"/>
          <w:lang w:val="en-GB"/>
        </w:rPr>
        <w:t>immunosuppressive regimen</w:t>
      </w:r>
      <w:r w:rsidR="0012136D" w:rsidRPr="00A77A01">
        <w:rPr>
          <w:rFonts w:ascii="Book Antiqua" w:hAnsi="Book Antiqua" w:cs="Arial"/>
          <w:lang w:val="en-GB"/>
        </w:rPr>
        <w:t>s</w:t>
      </w:r>
      <w:r w:rsidRPr="00A77A01">
        <w:rPr>
          <w:rFonts w:ascii="Book Antiqua" w:hAnsi="Book Antiqua" w:cs="Arial"/>
          <w:lang w:val="en-GB"/>
        </w:rPr>
        <w:t>.</w:t>
      </w:r>
      <w:r w:rsidR="00A77A01">
        <w:rPr>
          <w:rFonts w:ascii="Book Antiqua" w:eastAsiaTheme="minorEastAsia" w:hAnsi="Book Antiqua" w:cs="Arial" w:hint="eastAsia"/>
          <w:b/>
          <w:lang w:val="en-GB" w:eastAsia="zh-CN"/>
        </w:rPr>
        <w:t xml:space="preserve"> </w:t>
      </w:r>
      <w:r w:rsidR="0012136D" w:rsidRPr="00A77A01">
        <w:rPr>
          <w:rFonts w:ascii="Book Antiqua" w:hAnsi="Book Antiqua" w:cs="Arial"/>
          <w:lang w:val="en-GB"/>
        </w:rPr>
        <w:t>T</w:t>
      </w:r>
      <w:r w:rsidRPr="00A77A01">
        <w:rPr>
          <w:rFonts w:ascii="Book Antiqua" w:hAnsi="Book Antiqua" w:cs="Arial"/>
          <w:lang w:val="en-GB"/>
        </w:rPr>
        <w:t>olerance of the graft and minimization of side effects are the challenges for improving the outcome of children with a grafted kidney.</w:t>
      </w:r>
      <w:r w:rsidR="0012136D" w:rsidRPr="00A77A01">
        <w:rPr>
          <w:rFonts w:ascii="Book Antiqua" w:hAnsi="Book Antiqua" w:cs="Arial"/>
          <w:lang w:val="en-GB"/>
        </w:rPr>
        <w:t xml:space="preserve"> </w:t>
      </w:r>
      <w:r w:rsidRPr="00A77A01">
        <w:rPr>
          <w:rFonts w:ascii="Book Antiqua" w:hAnsi="Book Antiqua" w:cs="Arial"/>
          <w:lang w:val="en-GB"/>
        </w:rPr>
        <w:t>Notwithstanding the difficulties in settling in children large multicenter trials to derive statistically useful data</w:t>
      </w:r>
      <w:r w:rsidR="0012136D" w:rsidRPr="00A77A01">
        <w:rPr>
          <w:rFonts w:ascii="Book Antiqua" w:hAnsi="Book Antiqua" w:cs="Arial"/>
          <w:lang w:val="en-GB"/>
        </w:rPr>
        <w:t>,</w:t>
      </w:r>
      <w:r w:rsidRPr="00A77A01">
        <w:rPr>
          <w:rFonts w:ascii="Book Antiqua" w:hAnsi="Book Antiqua" w:cs="Arial"/>
          <w:lang w:val="en-GB"/>
        </w:rPr>
        <w:t xml:space="preserve"> many important contributions in the last years </w:t>
      </w:r>
      <w:r w:rsidR="0012136D" w:rsidRPr="00A77A01">
        <w:rPr>
          <w:rFonts w:ascii="Book Antiqua" w:hAnsi="Book Antiqua" w:cs="Arial"/>
          <w:lang w:val="en-GB"/>
        </w:rPr>
        <w:t xml:space="preserve">brought </w:t>
      </w:r>
      <w:r w:rsidRPr="00A77A01">
        <w:rPr>
          <w:rFonts w:ascii="Book Antiqua" w:hAnsi="Book Antiqua" w:cs="Arial"/>
          <w:lang w:val="en-GB"/>
        </w:rPr>
        <w:t>impor</w:t>
      </w:r>
      <w:r w:rsidR="0012136D" w:rsidRPr="00A77A01">
        <w:rPr>
          <w:rFonts w:ascii="Book Antiqua" w:hAnsi="Book Antiqua" w:cs="Arial"/>
          <w:lang w:val="en-GB"/>
        </w:rPr>
        <w:t xml:space="preserve">tant modifications in the </w:t>
      </w:r>
      <w:r w:rsidR="00ED312C" w:rsidRPr="00A77A01">
        <w:rPr>
          <w:rFonts w:ascii="Book Antiqua" w:hAnsi="Book Antiqua" w:cs="Arial"/>
          <w:lang w:val="en-GB"/>
        </w:rPr>
        <w:t>immunosuppressive</w:t>
      </w:r>
      <w:r w:rsidR="0012136D" w:rsidRPr="00A77A01">
        <w:rPr>
          <w:rFonts w:ascii="Book Antiqua" w:hAnsi="Book Antiqua" w:cs="Arial"/>
          <w:lang w:val="en-GB"/>
        </w:rPr>
        <w:t xml:space="preserve"> therapy, including</w:t>
      </w:r>
      <w:r w:rsidRPr="00A77A01">
        <w:rPr>
          <w:rFonts w:ascii="Book Antiqua" w:hAnsi="Book Antiqua" w:cs="Arial"/>
          <w:lang w:val="en-GB"/>
        </w:rPr>
        <w:t xml:space="preserve"> </w:t>
      </w:r>
      <w:r w:rsidR="0012136D" w:rsidRPr="00A77A01">
        <w:rPr>
          <w:rFonts w:ascii="Book Antiqua" w:hAnsi="Book Antiqua" w:cs="Arial"/>
          <w:lang w:val="en-GB"/>
        </w:rPr>
        <w:t xml:space="preserve">minimization protocols of </w:t>
      </w:r>
      <w:r w:rsidRPr="00A77A01">
        <w:rPr>
          <w:rFonts w:ascii="Book Antiqua" w:hAnsi="Book Antiqua" w:cs="Arial"/>
          <w:lang w:val="en-GB"/>
        </w:rPr>
        <w:t>ster</w:t>
      </w:r>
      <w:r w:rsidR="007F4348">
        <w:rPr>
          <w:rFonts w:ascii="Book Antiqua" w:hAnsi="Book Antiqua" w:cs="Arial"/>
          <w:lang w:val="en-GB"/>
        </w:rPr>
        <w:t>oids and calcineurin inhibitors</w:t>
      </w:r>
      <w:r w:rsidRPr="00A77A01">
        <w:rPr>
          <w:rFonts w:ascii="Book Antiqua" w:hAnsi="Book Antiqua" w:cs="Arial"/>
          <w:lang w:val="en-GB"/>
        </w:rPr>
        <w:t xml:space="preserve"> </w:t>
      </w:r>
      <w:r w:rsidR="0012136D" w:rsidRPr="00A77A01">
        <w:rPr>
          <w:rFonts w:ascii="Book Antiqua" w:hAnsi="Book Antiqua" w:cs="Arial"/>
          <w:lang w:val="en-GB"/>
        </w:rPr>
        <w:t>and</w:t>
      </w:r>
      <w:r w:rsidR="006553FB" w:rsidRPr="00A77A01">
        <w:rPr>
          <w:rFonts w:ascii="Book Antiqua" w:hAnsi="Book Antiqua" w:cs="Arial"/>
          <w:lang w:val="en-GB"/>
        </w:rPr>
        <w:t xml:space="preserve"> </w:t>
      </w:r>
      <w:r w:rsidRPr="00A77A01">
        <w:rPr>
          <w:rFonts w:ascii="Book Antiqua" w:hAnsi="Book Antiqua" w:cs="Arial"/>
          <w:lang w:val="en-GB"/>
        </w:rPr>
        <w:t>new induction</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drugs</w:t>
      </w:r>
      <w:r w:rsidR="00A77A01">
        <w:rPr>
          <w:rFonts w:ascii="Book Antiqua" w:eastAsiaTheme="minorEastAsia" w:hAnsi="Book Antiqua" w:cs="Arial" w:hint="eastAsia"/>
          <w:b/>
          <w:lang w:val="en-GB" w:eastAsia="zh-CN"/>
        </w:rPr>
        <w:t xml:space="preserve">. </w:t>
      </w:r>
      <w:r w:rsidR="00293109" w:rsidRPr="00A77A01">
        <w:rPr>
          <w:rFonts w:ascii="Book Antiqua" w:hAnsi="Book Antiqua" w:cs="Arial"/>
          <w:lang w:val="en-GB"/>
        </w:rPr>
        <w:t>New methods</w:t>
      </w:r>
      <w:r w:rsidR="00036F18">
        <w:rPr>
          <w:rFonts w:ascii="Book Antiqua" w:eastAsiaTheme="minorEastAsia" w:hAnsi="Book Antiqua" w:cs="Arial" w:hint="eastAsia"/>
          <w:lang w:val="en-GB" w:eastAsia="zh-CN"/>
        </w:rPr>
        <w:t xml:space="preserve"> </w:t>
      </w:r>
      <w:r w:rsidR="00293109" w:rsidRPr="00A77A01">
        <w:rPr>
          <w:rFonts w:ascii="Book Antiqua" w:hAnsi="Book Antiqua" w:cs="Arial"/>
          <w:lang w:val="en-GB"/>
        </w:rPr>
        <w:t xml:space="preserve">for </w:t>
      </w:r>
      <w:r w:rsidRPr="00A77A01">
        <w:rPr>
          <w:rFonts w:ascii="Book Antiqua" w:hAnsi="Book Antiqua" w:cs="Arial"/>
          <w:lang w:val="en-GB"/>
        </w:rPr>
        <w:t>diagno</w:t>
      </w:r>
      <w:r w:rsidR="003D4299" w:rsidRPr="00A77A01">
        <w:rPr>
          <w:rFonts w:ascii="Book Antiqua" w:hAnsi="Book Antiqua" w:cs="Arial"/>
          <w:lang w:val="en-GB"/>
        </w:rPr>
        <w:t xml:space="preserve">sis of </w:t>
      </w:r>
      <w:r w:rsidRPr="00A77A01">
        <w:rPr>
          <w:rFonts w:ascii="Book Antiqua" w:hAnsi="Book Antiqua" w:cs="Arial"/>
          <w:lang w:val="en-GB"/>
        </w:rPr>
        <w:t xml:space="preserve">anti HLA antibodies </w:t>
      </w:r>
      <w:r w:rsidR="00293109" w:rsidRPr="00A77A01">
        <w:rPr>
          <w:rFonts w:ascii="Book Antiqua" w:hAnsi="Book Antiqua" w:cs="Arial"/>
          <w:lang w:val="en-GB"/>
        </w:rPr>
        <w:t xml:space="preserve">and some new protocols to improve both </w:t>
      </w:r>
      <w:r w:rsidRPr="00A77A01">
        <w:rPr>
          <w:rFonts w:ascii="Book Antiqua" w:hAnsi="Book Antiqua" w:cs="Arial"/>
          <w:lang w:val="en-GB"/>
        </w:rPr>
        <w:t>chance</w:t>
      </w:r>
      <w:r w:rsidR="00036F18">
        <w:rPr>
          <w:rFonts w:ascii="Book Antiqua" w:eastAsiaTheme="minorEastAsia" w:hAnsi="Book Antiqua" w:cs="Arial" w:hint="eastAsia"/>
          <w:lang w:val="en-GB" w:eastAsia="zh-CN"/>
        </w:rPr>
        <w:t xml:space="preserve"> </w:t>
      </w:r>
      <w:r w:rsidR="00293109" w:rsidRPr="00A77A01">
        <w:rPr>
          <w:rFonts w:ascii="Book Antiqua" w:hAnsi="Book Antiqua" w:cs="Arial"/>
          <w:lang w:val="en-GB"/>
        </w:rPr>
        <w:t xml:space="preserve">and outcome </w:t>
      </w:r>
      <w:r w:rsidRPr="00A77A01">
        <w:rPr>
          <w:rFonts w:ascii="Book Antiqua" w:hAnsi="Book Antiqua" w:cs="Arial"/>
          <w:lang w:val="en-GB"/>
        </w:rPr>
        <w:t xml:space="preserve">of transplantation in immunized subjects </w:t>
      </w:r>
      <w:r w:rsidR="00293109" w:rsidRPr="00A77A01">
        <w:rPr>
          <w:rFonts w:ascii="Book Antiqua" w:hAnsi="Book Antiqua" w:cs="Arial"/>
          <w:lang w:val="en-GB"/>
        </w:rPr>
        <w:t xml:space="preserve">represent area of ongoing research </w:t>
      </w:r>
      <w:r w:rsidR="00D33DA7" w:rsidRPr="00A77A01">
        <w:rPr>
          <w:rFonts w:ascii="Book Antiqua" w:hAnsi="Book Antiqua" w:cs="Arial"/>
          <w:lang w:val="en-GB"/>
        </w:rPr>
        <w:t xml:space="preserve">of extreme interest </w:t>
      </w:r>
      <w:r w:rsidR="00293109" w:rsidRPr="00A77A01">
        <w:rPr>
          <w:rFonts w:ascii="Book Antiqua" w:hAnsi="Book Antiqua" w:cs="Arial"/>
          <w:lang w:val="en-GB"/>
        </w:rPr>
        <w:t>for children.</w:t>
      </w:r>
      <w:r w:rsidRPr="00A77A01">
        <w:rPr>
          <w:rFonts w:ascii="Book Antiqua" w:hAnsi="Book Antiqua" w:cs="Arial"/>
          <w:strike/>
          <w:lang w:val="en-GB"/>
        </w:rPr>
        <w:t xml:space="preserve"> </w:t>
      </w:r>
    </w:p>
    <w:p w:rsidR="0083554E" w:rsidRDefault="0083554E" w:rsidP="00B871E1">
      <w:pPr>
        <w:autoSpaceDE w:val="0"/>
        <w:autoSpaceDN w:val="0"/>
        <w:adjustRightInd w:val="0"/>
        <w:spacing w:line="360" w:lineRule="auto"/>
        <w:jc w:val="both"/>
        <w:rPr>
          <w:rFonts w:ascii="Book Antiqua" w:eastAsiaTheme="minorEastAsia" w:hAnsi="Book Antiqua" w:cs="Arial"/>
          <w:b/>
          <w:lang w:val="en-GB" w:eastAsia="zh-CN"/>
        </w:rPr>
      </w:pPr>
    </w:p>
    <w:p w:rsidR="007F4348" w:rsidRPr="004E1F0C" w:rsidRDefault="007F4348" w:rsidP="00B871E1">
      <w:pPr>
        <w:spacing w:line="360" w:lineRule="auto"/>
        <w:rPr>
          <w:rFonts w:ascii="Book Antiqua" w:hAnsi="Book Antiqua"/>
          <w:lang w:val="en-GB"/>
        </w:rPr>
      </w:pPr>
      <w:r w:rsidRPr="004E1F0C">
        <w:rPr>
          <w:rFonts w:ascii="Book Antiqua" w:hAnsi="Book Antiqua"/>
        </w:rPr>
        <w:t xml:space="preserve">© </w:t>
      </w:r>
      <w:r w:rsidRPr="004E1F0C">
        <w:rPr>
          <w:rFonts w:ascii="Book Antiqua" w:hAnsi="Book Antiqua"/>
          <w:lang w:val="en-GB"/>
        </w:rPr>
        <w:t>2014 Baishideng Publishing Group Inc. All rights reserved.</w:t>
      </w:r>
    </w:p>
    <w:p w:rsidR="007F4348" w:rsidRPr="007F4348" w:rsidRDefault="007F4348" w:rsidP="00B871E1">
      <w:pPr>
        <w:autoSpaceDE w:val="0"/>
        <w:autoSpaceDN w:val="0"/>
        <w:adjustRightInd w:val="0"/>
        <w:spacing w:line="360" w:lineRule="auto"/>
        <w:jc w:val="both"/>
        <w:rPr>
          <w:rFonts w:ascii="Book Antiqua" w:eastAsiaTheme="minorEastAsia" w:hAnsi="Book Antiqua" w:cs="Arial"/>
          <w:b/>
          <w:lang w:val="en-GB" w:eastAsia="zh-CN"/>
        </w:rPr>
      </w:pPr>
    </w:p>
    <w:p w:rsidR="0083554E" w:rsidRPr="00A77A01" w:rsidRDefault="0083554E" w:rsidP="00B871E1">
      <w:pPr>
        <w:autoSpaceDE w:val="0"/>
        <w:autoSpaceDN w:val="0"/>
        <w:adjustRightInd w:val="0"/>
        <w:spacing w:line="360" w:lineRule="auto"/>
        <w:jc w:val="both"/>
        <w:rPr>
          <w:rFonts w:ascii="Book Antiqua" w:hAnsi="Book Antiqua" w:cs="Arial"/>
          <w:b/>
          <w:lang w:val="en-GB"/>
        </w:rPr>
      </w:pPr>
      <w:r w:rsidRPr="00A77A01">
        <w:rPr>
          <w:rFonts w:ascii="Book Antiqua" w:hAnsi="Book Antiqua" w:cs="Arial"/>
          <w:b/>
          <w:lang w:val="en-GB"/>
        </w:rPr>
        <w:t xml:space="preserve">Key words: </w:t>
      </w:r>
      <w:r w:rsidR="007F4348" w:rsidRPr="007F4348">
        <w:rPr>
          <w:rFonts w:ascii="Book Antiqua" w:hAnsi="Book Antiqua" w:cs="Arial"/>
          <w:lang w:val="en-GB"/>
        </w:rPr>
        <w:t>K</w:t>
      </w:r>
      <w:r w:rsidRPr="007F4348">
        <w:rPr>
          <w:rFonts w:ascii="Book Antiqua" w:hAnsi="Book Antiqua" w:cs="Arial"/>
          <w:lang w:val="en-GB"/>
        </w:rPr>
        <w:t>idney transplantation</w:t>
      </w:r>
      <w:r w:rsidR="007F4348">
        <w:rPr>
          <w:rFonts w:ascii="Book Antiqua" w:eastAsiaTheme="minorEastAsia" w:hAnsi="Book Antiqua" w:cs="Arial" w:hint="eastAsia"/>
          <w:lang w:val="en-GB" w:eastAsia="zh-CN"/>
        </w:rPr>
        <w:t>;</w:t>
      </w:r>
      <w:r w:rsidRPr="007F4348">
        <w:rPr>
          <w:rFonts w:ascii="Book Antiqua" w:hAnsi="Book Antiqua" w:cs="Arial"/>
          <w:lang w:val="en-GB"/>
        </w:rPr>
        <w:t xml:space="preserve"> </w:t>
      </w:r>
      <w:r w:rsidR="007F4348" w:rsidRPr="007F4348">
        <w:rPr>
          <w:rFonts w:ascii="Book Antiqua" w:hAnsi="Book Antiqua" w:cs="Arial"/>
          <w:lang w:val="en-GB"/>
        </w:rPr>
        <w:t>C</w:t>
      </w:r>
      <w:r w:rsidRPr="007F4348">
        <w:rPr>
          <w:rFonts w:ascii="Book Antiqua" w:hAnsi="Book Antiqua" w:cs="Arial"/>
          <w:lang w:val="en-GB"/>
        </w:rPr>
        <w:t>hildren</w:t>
      </w:r>
      <w:r w:rsidR="007F4348">
        <w:rPr>
          <w:rFonts w:ascii="Book Antiqua" w:eastAsiaTheme="minorEastAsia" w:hAnsi="Book Antiqua" w:cs="Arial" w:hint="eastAsia"/>
          <w:lang w:val="en-GB" w:eastAsia="zh-CN"/>
        </w:rPr>
        <w:t>;</w:t>
      </w:r>
      <w:r w:rsidRPr="007F4348">
        <w:rPr>
          <w:rFonts w:ascii="Book Antiqua" w:hAnsi="Book Antiqua" w:cs="Arial"/>
          <w:lang w:val="en-GB"/>
        </w:rPr>
        <w:t xml:space="preserve"> </w:t>
      </w:r>
      <w:r w:rsidR="007F4348" w:rsidRPr="007F4348">
        <w:rPr>
          <w:rFonts w:ascii="Book Antiqua" w:hAnsi="Book Antiqua" w:cs="Arial"/>
          <w:lang w:val="en-GB"/>
        </w:rPr>
        <w:t>I</w:t>
      </w:r>
      <w:r w:rsidRPr="007F4348">
        <w:rPr>
          <w:rFonts w:ascii="Book Antiqua" w:hAnsi="Book Antiqua" w:cs="Arial"/>
          <w:lang w:val="en-GB"/>
        </w:rPr>
        <w:t>mmu</w:t>
      </w:r>
      <w:r w:rsidR="0012136D" w:rsidRPr="007F4348">
        <w:rPr>
          <w:rFonts w:ascii="Book Antiqua" w:hAnsi="Book Antiqua" w:cs="Arial"/>
          <w:lang w:val="en-GB"/>
        </w:rPr>
        <w:t>nosuppressive therapy</w:t>
      </w:r>
      <w:r w:rsidR="007F4348">
        <w:rPr>
          <w:rFonts w:ascii="Book Antiqua" w:eastAsiaTheme="minorEastAsia" w:hAnsi="Book Antiqua" w:cs="Arial" w:hint="eastAsia"/>
          <w:lang w:val="en-GB" w:eastAsia="zh-CN"/>
        </w:rPr>
        <w:t>;</w:t>
      </w:r>
      <w:r w:rsidR="0012136D" w:rsidRPr="007F4348">
        <w:rPr>
          <w:rFonts w:ascii="Book Antiqua" w:hAnsi="Book Antiqua" w:cs="Arial"/>
          <w:lang w:val="en-GB"/>
        </w:rPr>
        <w:t xml:space="preserve"> </w:t>
      </w:r>
      <w:proofErr w:type="gramStart"/>
      <w:r w:rsidR="007F4348" w:rsidRPr="007F4348">
        <w:rPr>
          <w:rFonts w:ascii="Book Antiqua" w:hAnsi="Book Antiqua" w:cs="Arial"/>
          <w:lang w:val="en-GB"/>
        </w:rPr>
        <w:t>A</w:t>
      </w:r>
      <w:r w:rsidR="0012136D" w:rsidRPr="007F4348">
        <w:rPr>
          <w:rFonts w:ascii="Book Antiqua" w:hAnsi="Book Antiqua" w:cs="Arial"/>
          <w:lang w:val="en-GB"/>
        </w:rPr>
        <w:t>cute</w:t>
      </w:r>
      <w:proofErr w:type="gramEnd"/>
      <w:r w:rsidR="0012136D" w:rsidRPr="007F4348">
        <w:rPr>
          <w:rFonts w:ascii="Book Antiqua" w:hAnsi="Book Antiqua" w:cs="Arial"/>
          <w:lang w:val="en-GB"/>
        </w:rPr>
        <w:t xml:space="preserve"> hum</w:t>
      </w:r>
      <w:r w:rsidRPr="007F4348">
        <w:rPr>
          <w:rFonts w:ascii="Book Antiqua" w:hAnsi="Book Antiqua" w:cs="Arial"/>
          <w:lang w:val="en-GB"/>
        </w:rPr>
        <w:t>oral rejection</w:t>
      </w:r>
      <w:r w:rsidR="007F4348">
        <w:rPr>
          <w:rFonts w:ascii="Book Antiqua" w:eastAsiaTheme="minorEastAsia" w:hAnsi="Book Antiqua" w:cs="Arial" w:hint="eastAsia"/>
          <w:lang w:val="en-GB" w:eastAsia="zh-CN"/>
        </w:rPr>
        <w:t>;</w:t>
      </w:r>
      <w:r w:rsidRPr="007F4348">
        <w:rPr>
          <w:rFonts w:ascii="Book Antiqua" w:hAnsi="Book Antiqua" w:cs="Arial"/>
          <w:lang w:val="en-GB"/>
        </w:rPr>
        <w:t xml:space="preserve"> </w:t>
      </w:r>
      <w:r w:rsidR="007F4348" w:rsidRPr="007F4348">
        <w:rPr>
          <w:rFonts w:ascii="Book Antiqua" w:hAnsi="Book Antiqua" w:cs="Arial"/>
          <w:lang w:val="en-GB"/>
        </w:rPr>
        <w:t>D</w:t>
      </w:r>
      <w:r w:rsidRPr="007F4348">
        <w:rPr>
          <w:rFonts w:ascii="Book Antiqua" w:hAnsi="Book Antiqua" w:cs="Arial"/>
          <w:lang w:val="en-GB"/>
        </w:rPr>
        <w:t>esensitization</w:t>
      </w:r>
    </w:p>
    <w:p w:rsidR="0083554E" w:rsidRPr="00A77A01" w:rsidRDefault="0083554E" w:rsidP="00B871E1">
      <w:pPr>
        <w:autoSpaceDE w:val="0"/>
        <w:autoSpaceDN w:val="0"/>
        <w:adjustRightInd w:val="0"/>
        <w:spacing w:line="360" w:lineRule="auto"/>
        <w:jc w:val="both"/>
        <w:rPr>
          <w:rFonts w:ascii="Book Antiqua" w:eastAsiaTheme="minorEastAsia" w:hAnsi="Book Antiqua" w:cs="Arial"/>
          <w:b/>
          <w:lang w:val="en-GB" w:eastAsia="zh-CN"/>
        </w:rPr>
      </w:pPr>
    </w:p>
    <w:p w:rsidR="007F4348" w:rsidRDefault="0083554E" w:rsidP="00B871E1">
      <w:pPr>
        <w:autoSpaceDE w:val="0"/>
        <w:autoSpaceDN w:val="0"/>
        <w:adjustRightInd w:val="0"/>
        <w:spacing w:line="360" w:lineRule="auto"/>
        <w:jc w:val="both"/>
        <w:rPr>
          <w:rFonts w:ascii="Book Antiqua" w:eastAsiaTheme="minorEastAsia" w:hAnsi="Book Antiqua" w:cs="Arial"/>
          <w:lang w:val="en-GB" w:eastAsia="zh-CN"/>
        </w:rPr>
      </w:pPr>
      <w:r w:rsidRPr="00A77A01">
        <w:rPr>
          <w:rFonts w:ascii="Book Antiqua" w:hAnsi="Book Antiqua" w:cs="Arial"/>
          <w:b/>
          <w:lang w:val="en-GB"/>
        </w:rPr>
        <w:t xml:space="preserve">Core tip: </w:t>
      </w:r>
      <w:r w:rsidRPr="00A77A01">
        <w:rPr>
          <w:rFonts w:ascii="Book Antiqua" w:hAnsi="Book Antiqua" w:cs="Arial"/>
          <w:lang w:val="en-GB"/>
        </w:rPr>
        <w:t>Several novelties in the immunosuppressive treatment regimens in kidney transplantation in children are</w:t>
      </w:r>
      <w:r w:rsidR="00150094" w:rsidRPr="00A77A01">
        <w:rPr>
          <w:rFonts w:ascii="Book Antiqua" w:hAnsi="Book Antiqua" w:cs="Arial"/>
          <w:lang w:val="en-GB"/>
        </w:rPr>
        <w:t xml:space="preserve"> </w:t>
      </w:r>
      <w:r w:rsidRPr="00A77A01">
        <w:rPr>
          <w:rFonts w:ascii="Book Antiqua" w:hAnsi="Book Antiqua" w:cs="Arial"/>
          <w:lang w:val="en-GB"/>
        </w:rPr>
        <w:t>becoming available</w:t>
      </w:r>
      <w:r w:rsidR="007F4348">
        <w:rPr>
          <w:rFonts w:ascii="Book Antiqua" w:hAnsi="Book Antiqua" w:cs="Arial"/>
          <w:lang w:val="en-GB"/>
        </w:rPr>
        <w:t>, with the aim</w:t>
      </w:r>
      <w:r w:rsidRPr="00A77A01">
        <w:rPr>
          <w:rFonts w:ascii="Book Antiqua" w:hAnsi="Book Antiqua" w:cs="Arial"/>
          <w:lang w:val="en-GB"/>
        </w:rPr>
        <w:t xml:space="preserve"> </w:t>
      </w:r>
      <w:r w:rsidR="00293109" w:rsidRPr="00A77A01">
        <w:rPr>
          <w:rFonts w:ascii="Book Antiqua" w:hAnsi="Book Antiqua" w:cs="Arial"/>
          <w:lang w:val="en-GB"/>
        </w:rPr>
        <w:t xml:space="preserve">of </w:t>
      </w:r>
      <w:r w:rsidRPr="00A77A01">
        <w:rPr>
          <w:rFonts w:ascii="Book Antiqua" w:hAnsi="Book Antiqua" w:cs="Arial"/>
          <w:lang w:val="en-GB"/>
        </w:rPr>
        <w:t>reducing the long terms side effects, particularly growth retardation, infections and malignancies</w:t>
      </w:r>
      <w:r w:rsidR="00C03CC7" w:rsidRPr="00A77A01">
        <w:rPr>
          <w:rFonts w:ascii="Book Antiqua" w:hAnsi="Book Antiqua" w:cs="Arial"/>
          <w:lang w:val="en-GB"/>
        </w:rPr>
        <w:t xml:space="preserve">, </w:t>
      </w:r>
      <w:r w:rsidRPr="00A77A01">
        <w:rPr>
          <w:rFonts w:ascii="Book Antiqua" w:hAnsi="Book Antiqua" w:cs="Arial"/>
          <w:lang w:val="en-GB"/>
        </w:rPr>
        <w:t xml:space="preserve">as well as improving the long term survival of the graft through a better treatment of chronic rejection. Moreover new induction drugs and specific protocols addressed to sensitized subjects may widen the possibility to receive a graft even for highly immunized children. These innovative aspects of therapy in kidney transplantation in children are reviewed. </w:t>
      </w:r>
    </w:p>
    <w:p w:rsidR="007F4348" w:rsidRPr="007F4348" w:rsidRDefault="007F4348" w:rsidP="00B871E1">
      <w:pPr>
        <w:spacing w:line="360" w:lineRule="auto"/>
        <w:jc w:val="both"/>
        <w:rPr>
          <w:rFonts w:ascii="Book Antiqua" w:eastAsiaTheme="minorEastAsia" w:hAnsi="Book Antiqua" w:cs="Arial"/>
          <w:bCs/>
          <w:i/>
          <w:lang w:val="en-GB" w:eastAsia="zh-CN"/>
        </w:rPr>
      </w:pPr>
    </w:p>
    <w:p w:rsidR="007F4348" w:rsidRPr="007F4348" w:rsidRDefault="007F4348" w:rsidP="00B871E1">
      <w:pPr>
        <w:spacing w:line="360" w:lineRule="auto"/>
        <w:jc w:val="both"/>
        <w:rPr>
          <w:rFonts w:ascii="Book Antiqua" w:eastAsiaTheme="minorEastAsia" w:hAnsi="Book Antiqua" w:cs="Arial"/>
          <w:b/>
          <w:bCs/>
          <w:lang w:val="en-GB" w:eastAsia="zh-CN"/>
        </w:rPr>
      </w:pPr>
      <w:r w:rsidRPr="00A77A01">
        <w:rPr>
          <w:rFonts w:ascii="Book Antiqua" w:hAnsi="Book Antiqua" w:cs="Arial"/>
          <w:bCs/>
        </w:rPr>
        <w:t>Peruzzi</w:t>
      </w:r>
      <w:r>
        <w:rPr>
          <w:rFonts w:ascii="Book Antiqua" w:eastAsiaTheme="minorEastAsia" w:hAnsi="Book Antiqua" w:cs="Arial" w:hint="eastAsia"/>
          <w:bCs/>
          <w:lang w:eastAsia="zh-CN"/>
        </w:rPr>
        <w:t xml:space="preserve"> L</w:t>
      </w:r>
      <w:r w:rsidRPr="00A77A01">
        <w:rPr>
          <w:rFonts w:ascii="Book Antiqua" w:hAnsi="Book Antiqua" w:cs="Arial"/>
          <w:bCs/>
        </w:rPr>
        <w:t>, Amore</w:t>
      </w:r>
      <w:r>
        <w:rPr>
          <w:rFonts w:ascii="Book Antiqua" w:eastAsiaTheme="minorEastAsia" w:hAnsi="Book Antiqua" w:cs="Arial" w:hint="eastAsia"/>
          <w:bCs/>
          <w:lang w:eastAsia="zh-CN"/>
        </w:rPr>
        <w:t xml:space="preserve"> A</w:t>
      </w:r>
      <w:r w:rsidRPr="00A77A01">
        <w:rPr>
          <w:rFonts w:ascii="Book Antiqua" w:eastAsiaTheme="minorEastAsia" w:hAnsi="Book Antiqua" w:cs="Arial" w:hint="eastAsia"/>
          <w:bCs/>
          <w:lang w:eastAsia="zh-CN"/>
        </w:rPr>
        <w:t>,</w:t>
      </w:r>
      <w:r w:rsidRPr="00A77A01">
        <w:rPr>
          <w:rFonts w:ascii="Book Antiqua" w:hAnsi="Book Antiqua" w:cs="Arial"/>
          <w:bCs/>
        </w:rPr>
        <w:t xml:space="preserve"> Coppo</w:t>
      </w:r>
      <w:r>
        <w:rPr>
          <w:rFonts w:ascii="Book Antiqua" w:eastAsiaTheme="minorEastAsia" w:hAnsi="Book Antiqua" w:cs="Arial" w:hint="eastAsia"/>
          <w:bCs/>
          <w:lang w:eastAsia="zh-CN"/>
        </w:rPr>
        <w:t xml:space="preserve"> R.</w:t>
      </w:r>
      <w:r w:rsidRPr="007F4348">
        <w:rPr>
          <w:rFonts w:ascii="Book Antiqua" w:hAnsi="Book Antiqua" w:cs="Arial"/>
          <w:bCs/>
          <w:lang w:val="en-GB"/>
        </w:rPr>
        <w:t xml:space="preserve"> Challenges in pediatric renal transplantation</w:t>
      </w:r>
      <w:r>
        <w:rPr>
          <w:rFonts w:ascii="Book Antiqua" w:eastAsiaTheme="minorEastAsia" w:hAnsi="Book Antiqua" w:cs="Arial" w:hint="eastAsia"/>
          <w:bCs/>
          <w:lang w:val="en-GB" w:eastAsia="zh-CN"/>
        </w:rPr>
        <w:t xml:space="preserve">. </w:t>
      </w:r>
      <w:r w:rsidRPr="00C341A0">
        <w:rPr>
          <w:rFonts w:ascii="Book Antiqua" w:hAnsi="Book Antiqua"/>
          <w:i/>
          <w:iCs/>
        </w:rPr>
        <w:t>World J Transplant</w:t>
      </w:r>
      <w:r>
        <w:rPr>
          <w:rFonts w:ascii="Book Antiqua" w:eastAsiaTheme="minorEastAsia" w:hAnsi="Book Antiqua" w:hint="eastAsia"/>
          <w:i/>
          <w:iCs/>
          <w:lang w:eastAsia="zh-CN"/>
        </w:rPr>
        <w:t xml:space="preserve"> </w:t>
      </w:r>
      <w:r>
        <w:rPr>
          <w:rFonts w:ascii="Book Antiqua" w:eastAsiaTheme="minorEastAsia" w:hAnsi="Book Antiqua" w:hint="eastAsia"/>
          <w:iCs/>
          <w:lang w:eastAsia="zh-CN"/>
        </w:rPr>
        <w:t>2014; In press</w:t>
      </w:r>
    </w:p>
    <w:p w:rsidR="007F4348" w:rsidRPr="007F4348" w:rsidRDefault="007F4348" w:rsidP="00B871E1">
      <w:pPr>
        <w:spacing w:line="360" w:lineRule="auto"/>
        <w:jc w:val="both"/>
        <w:rPr>
          <w:rFonts w:ascii="Book Antiqua" w:eastAsiaTheme="minorEastAsia" w:hAnsi="Book Antiqua" w:cs="Arial"/>
          <w:bCs/>
          <w:lang w:eastAsia="zh-CN"/>
        </w:rPr>
      </w:pPr>
    </w:p>
    <w:p w:rsidR="0083554E" w:rsidRPr="007F4348" w:rsidRDefault="0083554E" w:rsidP="00B871E1">
      <w:pPr>
        <w:autoSpaceDE w:val="0"/>
        <w:autoSpaceDN w:val="0"/>
        <w:adjustRightInd w:val="0"/>
        <w:spacing w:line="360" w:lineRule="auto"/>
        <w:jc w:val="both"/>
        <w:rPr>
          <w:rFonts w:ascii="Book Antiqua" w:hAnsi="Book Antiqua" w:cs="Arial"/>
          <w:lang w:val="en-GB"/>
        </w:rPr>
      </w:pPr>
      <w:r w:rsidRPr="00A77A01">
        <w:rPr>
          <w:rFonts w:ascii="Book Antiqua" w:hAnsi="Book Antiqua" w:cs="Arial"/>
          <w:b/>
          <w:lang w:val="en-GB"/>
        </w:rPr>
        <w:t xml:space="preserve">INTRODUCTION </w:t>
      </w:r>
    </w:p>
    <w:p w:rsidR="0083554E" w:rsidRPr="00A77A01" w:rsidRDefault="0083554E" w:rsidP="00B871E1">
      <w:pPr>
        <w:autoSpaceDE w:val="0"/>
        <w:autoSpaceDN w:val="0"/>
        <w:adjustRightInd w:val="0"/>
        <w:spacing w:line="360" w:lineRule="auto"/>
        <w:jc w:val="both"/>
        <w:rPr>
          <w:rFonts w:ascii="Book Antiqua" w:hAnsi="Book Antiqua" w:cs="Arial"/>
          <w:b/>
          <w:lang w:val="en-GB"/>
        </w:rPr>
      </w:pPr>
      <w:r w:rsidRPr="00A77A01">
        <w:rPr>
          <w:rFonts w:ascii="Book Antiqua" w:hAnsi="Book Antiqua" w:cs="Arial"/>
          <w:lang w:val="en-GB"/>
        </w:rPr>
        <w:t xml:space="preserve">In children and adolescents affected by chronic renal failure the treatment of choice </w:t>
      </w:r>
      <w:r w:rsidR="003632EA" w:rsidRPr="00A77A01">
        <w:rPr>
          <w:rFonts w:ascii="Book Antiqua" w:hAnsi="Book Antiqua" w:cs="Arial"/>
          <w:lang w:val="en-GB"/>
        </w:rPr>
        <w:t>is kidney transplant.</w:t>
      </w:r>
      <w:r w:rsidRPr="00A77A01">
        <w:rPr>
          <w:rFonts w:ascii="Book Antiqua" w:hAnsi="Book Antiqua" w:cs="Arial"/>
          <w:b/>
          <w:lang w:val="en-GB"/>
        </w:rPr>
        <w:t xml:space="preserve"> </w:t>
      </w:r>
      <w:r w:rsidRPr="00A77A01">
        <w:rPr>
          <w:rFonts w:ascii="Book Antiqua" w:hAnsi="Book Antiqua" w:cs="Arial"/>
          <w:lang w:val="en-GB"/>
        </w:rPr>
        <w:t>Transplantation</w:t>
      </w:r>
      <w:r w:rsidR="003632EA" w:rsidRPr="00A77A01">
        <w:rPr>
          <w:rFonts w:ascii="Book Antiqua" w:hAnsi="Book Antiqua" w:cs="Arial"/>
          <w:lang w:val="en-GB"/>
        </w:rPr>
        <w:t xml:space="preserve"> indeed,</w:t>
      </w:r>
      <w:r w:rsidRPr="00A77A01">
        <w:rPr>
          <w:rFonts w:ascii="Book Antiqua" w:hAnsi="Book Antiqua" w:cs="Arial"/>
          <w:lang w:val="en-GB"/>
        </w:rPr>
        <w:t xml:space="preserve"> is advocated</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even before dialysis as the best option to treat the metabolic, p</w:t>
      </w:r>
      <w:r w:rsidR="0044619B" w:rsidRPr="00A77A01">
        <w:rPr>
          <w:rFonts w:ascii="Book Antiqua" w:hAnsi="Book Antiqua" w:cs="Arial"/>
          <w:lang w:val="en-GB"/>
        </w:rPr>
        <w:t>sy</w:t>
      </w:r>
      <w:r w:rsidRPr="00A77A01">
        <w:rPr>
          <w:rFonts w:ascii="Book Antiqua" w:hAnsi="Book Antiqua" w:cs="Arial"/>
          <w:lang w:val="en-GB"/>
        </w:rPr>
        <w:t>chological and</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familiar derangement induced by renal failure. </w:t>
      </w:r>
    </w:p>
    <w:p w:rsidR="0083554E" w:rsidRPr="00A77A01" w:rsidRDefault="0083554E" w:rsidP="00B871E1">
      <w:pPr>
        <w:autoSpaceDE w:val="0"/>
        <w:autoSpaceDN w:val="0"/>
        <w:adjustRightInd w:val="0"/>
        <w:spacing w:line="360" w:lineRule="auto"/>
        <w:ind w:firstLineChars="100" w:firstLine="240"/>
        <w:jc w:val="both"/>
        <w:rPr>
          <w:rFonts w:ascii="Book Antiqua" w:hAnsi="Book Antiqua" w:cs="Arial"/>
          <w:b/>
          <w:lang w:val="en-GB"/>
        </w:rPr>
      </w:pPr>
      <w:r w:rsidRPr="00A77A01">
        <w:rPr>
          <w:rFonts w:ascii="Book Antiqua" w:hAnsi="Book Antiqua" w:cs="Arial"/>
          <w:lang w:val="en-GB"/>
        </w:rPr>
        <w:t xml:space="preserve">Over the last 25 years remarkable improvements have been reached not only in terms of graft and patient survival </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"10.1542/peds.2014-0124", "ISSN" : "1098-4275", "PMID" : "24616364", "author" : [ { "dropping-particle" : "", "family" : "Patel", "given" : "Uptal D", "non-dropping-particle" : "", "parse-names" : false, "suffix" : "" } ], "container-title" : "Pediatrics", "id" : "ITEM-1", "issue" : "4", "issued" : { "date-parts" : [ [ "2014", "4" ] ] }, "page" : "734-5", "title" : "Outcomes after pediatric kidney transplantation improving: how can we do even better?", "type" : "article-journal", "volume" : "133" }, "uris" : [ "http://www.mendeley.com/documents/?uuid=62fd9fa0-f362-43ab-a3ac-23b2ef0e2edf" ] }, { "id" : "ITEM-2", "itemData" : { "DOI" : "10.1542/peds.2013-2775", "ISSN" : "1098-4275", "PMID" : "24616363", "abstract" : "OBJECTIVE: To investigate changes in pediatric kidney transplant outcomes over time and potential variations in these changes between the early and late posttransplant periods and across subgroups based on recipient, donor, and transplant characteristics.\n\nMETHODS: Using multiple logistic regression and multivariable Cox models, graft and patient outcomes were analyzed in 17,446 pediatric kidney-only transplants performed in the United States between 1987 and 2012.\n\nRESULTS: Ten-year patient and graft survival rates were 90.5% and 60.2%, respectively, after transplantation in 2001, compared with 77.6% and 46.8% after transplantation in 1987. Primary nonfunction and delayed graft function occurred in 3.3% and 5.3%, respectively, of transplants performed in 2011, compared with 15.4% and 19.7% of those performed in 1987. Adjusted for recipient, donor, and transplant characteristics, these improvements corresponded to a 5% decreased hazard of graft loss, 5% decreased hazard of death, 10% decreased odds of primary nonfunction, and 5% decreased odds of delayed graft function with each more recent year of transplantation. Graft survival improvements were lower in adolescent and female recipients, those receiving pretransplant dialysis, and those with focal segmental glomerulosclerosis. Patient survival improvements were higher in those with elevated peak panel reactive antibody. Both patient and graft survival improvements were most pronounced in the first posttransplant year.\n\nCONCLUSIONS: Outcomes after pediatric kidney transplantation have improved dramatically over time for all recipient subgroups, especially for highly sensitized recipients. Most improvement in graft and patient survival has come in the first year after transplantation, highlighting the need for continued progress in long-term outcomes.", "author" : [ { "dropping-particle" : "", "family" : "Arendonk", "given" : "Kyle J", "non-dropping-particle" : "Van", "parse-names" : false, "suffix" : "" }, { "dropping-particle" : "", "family" : "Boyarsky", "given" : "Brian J", "non-dropping-particle" : "", "parse-names" : false, "suffix" : "" }, { "dropping-particle" : "", "family" : "Orandi", "given" : "Babak J", "non-dropping-particle" : "", "parse-names" : false, "suffix" : "" }, { "dropping-particle" : "", "family" : "James", "given" : "Nathan T", "non-dropping-particle" : "", "parse-names" : false, "suffix" : "" }, { "dropping-particle" : "", "family" : "Smith", "given" : "Jodi M", "non-dropping-particle" : "", "parse-names" : false, "suffix" : "" }, { "dropping-particle" : "", "family" : "Colombani", "given" : "Paul M", "non-dropping-particle" : "", "parse-names" : false, "suffix" : "" }, { "dropping-particle" : "", "family" : "Segev", "given" : "Dorry L", "non-dropping-particle" : "", "parse-names" : false, "suffix" : "" } ], "container-title" : "Pediatrics", "id" : "ITEM-2", "issue" : "4", "issued" : { "date-parts" : [ [ "2014", "4" ] ] }, "page" : "594-601", "title" : "National trends over 25 years in pediatric kidney transplant outcomes.", "type" : "article-journal", "volume" : "133" }, "uris" : [ "http://www.mendeley.com/documents/?uuid=6e5a40ef-c6ef-4e66-b7a0-70be032044ab" ] } ], "mendeley" : { "previouslyFormattedCitation" : "&lt;sup&gt;[1,2]&lt;/sup&gt;"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[1,2]</w:t>
      </w:r>
      <w:r w:rsidR="00F54A93" w:rsidRPr="00A77A01">
        <w:rPr>
          <w:rFonts w:ascii="Book Antiqua" w:hAnsi="Book Antiqua" w:cs="Arial"/>
          <w:lang w:val="en-GB"/>
        </w:rPr>
        <w:fldChar w:fldCharType="end"/>
      </w:r>
      <w:r w:rsidRPr="00A77A01">
        <w:rPr>
          <w:rFonts w:ascii="Book Antiqua" w:hAnsi="Book Antiqua" w:cs="Arial"/>
          <w:lang w:val="en-GB"/>
        </w:rPr>
        <w:t xml:space="preserve"> but also</w:t>
      </w:r>
      <w:r w:rsidR="00036F18">
        <w:rPr>
          <w:rFonts w:ascii="Book Antiqua" w:eastAsiaTheme="minorEastAsia" w:hAnsi="Book Antiqua" w:cs="Arial" w:hint="eastAsia"/>
          <w:lang w:val="en-GB" w:eastAsia="zh-CN"/>
        </w:rPr>
        <w:t xml:space="preserve"> </w:t>
      </w:r>
      <w:r w:rsidR="003632EA" w:rsidRPr="00A77A01">
        <w:rPr>
          <w:rFonts w:ascii="Book Antiqua" w:hAnsi="Book Antiqua" w:cs="Arial"/>
          <w:lang w:val="en-GB"/>
        </w:rPr>
        <w:t>for</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comorbidities and full rehabilitation </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"10.1007/s00467-008-0779-0", "ISSN" : "0931-041X", "PMID" : "18301925", "abstract" : "Short-term renal allograft survival in children has improved. It is therefore important to determine the factors leading to long-term graft function. To this end, we evaluated patients in the NAPTRCS registry who were &lt;12 years old when they received their renal transplant between 1987 and 1993. Children with 10 years of post-transplant follow-up were compared to those in whom the transplant failed within 10 years. Children with a failed transplant within 10 years of the surgery tended to be older, female, and non-Caucasian; they also manifested obstructive uropathy less often and had focal segmental glomerulosclerosis more often, and they received more deceased donor kidneys. Children with a failed renal transplant had fewer HLA donor and recipient matches, received pre-transplant dialysis compared to a preemptive transplant, required dialysis in the first week post-transplant, and required more antihypertensives the first month post-transplant. Allograft function was examined at 10 years. Patients with continued allograft function and a serum creatinine &lt;or=2 mg/dl at 10 years tended to be female and younger, received a younger donor kidney, and received a primary transplant. Serum creatinine, estimated glomerular filtration rate, weight Z score at 10 years, azathioprine use at 10 years, and antihypertensive use at transplant significantly predicted allograft function beyond 10 years. Pediatric transplant physicians should optimize the factors associated with improved long-term allograft function.", "author" : [ { "dropping-particle" : "", "family" : "Ellis", "given" : "Eileen N", "non-dropping-particle" : "", "parse-names" : false, "suffix" : "" }, { "dropping-particle" : "", "family" : "Martz", "given" : "Karen", "non-dropping-particle" : "", "parse-names" : false, "suffix" : "" }, { "dropping-particle" : "", "family" : "Talley", "given" : "Lynya", "non-dropping-particle" : "", "parse-names" : false, "suffix" : "" }, { "dropping-particle" : "", "family" : "Ilyas", "given" : "Mohammad", "non-dropping-particle" : "", "parse-names" : false, "suffix" : "" }, { "dropping-particle" : "", "family" : "Pennington", "given" : "Kathy L", "non-dropping-particle" : "", "parse-names" : false, "suffix" : "" }, { "dropping-particle" : "", "family" : "Blaszak", "given" : "Richard T", "non-dropping-particle" : "", "parse-names" : false, "suffix" : "" } ], "container-title" : "Pediatric nephrology (Berlin, Germany)", "id" : "ITEM-1", "issue" : "7", "issued" : { "date-parts" : [ [ "2008", "7" ] ] }, "page" : "1149-55", "title" : "Factors related to long-term renal transplant function in children.", "type" : "article-journal", "volume" : "23" }, "uris" : [ "http://www.mendeley.com/documents/?uuid=f7fb3e85-308c-48e8-b834-171e66d160ba" ] } ], "mendeley" : { "previouslyFormattedCitation" : "&lt;sup&gt;[3]&lt;/sup&gt;"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[3]</w:t>
      </w:r>
      <w:r w:rsidR="00F54A93" w:rsidRPr="00A77A01">
        <w:rPr>
          <w:rFonts w:ascii="Book Antiqua" w:hAnsi="Book Antiqua" w:cs="Arial"/>
          <w:lang w:val="en-GB"/>
        </w:rPr>
        <w:fldChar w:fldCharType="end"/>
      </w:r>
      <w:r w:rsidR="003632EA" w:rsidRPr="00A77A01">
        <w:rPr>
          <w:rFonts w:ascii="Book Antiqua" w:hAnsi="Book Antiqua" w:cs="Arial"/>
          <w:lang w:val="en-GB"/>
        </w:rPr>
        <w:t>.</w:t>
      </w:r>
      <w:r w:rsidRPr="00A77A01">
        <w:rPr>
          <w:rFonts w:ascii="Book Antiqua" w:hAnsi="Book Antiqua" w:cs="Arial"/>
          <w:lang w:val="en-GB"/>
        </w:rPr>
        <w:t xml:space="preserve"> </w:t>
      </w:r>
      <w:r w:rsidR="003632EA" w:rsidRPr="00A77A01">
        <w:rPr>
          <w:rFonts w:ascii="Book Antiqua" w:hAnsi="Book Antiqua" w:cs="Arial"/>
          <w:lang w:val="en-GB"/>
        </w:rPr>
        <w:t>H</w:t>
      </w:r>
      <w:r w:rsidRPr="00A77A01">
        <w:rPr>
          <w:rFonts w:ascii="Book Antiqua" w:hAnsi="Book Antiqua" w:cs="Arial"/>
          <w:lang w:val="en-GB"/>
        </w:rPr>
        <w:t xml:space="preserve">owever the optimal </w:t>
      </w:r>
      <w:r w:rsidR="00497B1D" w:rsidRPr="00A77A01">
        <w:rPr>
          <w:rFonts w:ascii="Book Antiqua" w:hAnsi="Book Antiqua" w:cs="Arial"/>
          <w:lang w:val="en-GB"/>
        </w:rPr>
        <w:t>immunosuppressive</w:t>
      </w:r>
      <w:r w:rsidRPr="00A77A01">
        <w:rPr>
          <w:rFonts w:ascii="Book Antiqua" w:hAnsi="Book Antiqua" w:cs="Arial"/>
          <w:lang w:val="en-GB"/>
        </w:rPr>
        <w:t xml:space="preserve"> and supportive treatments assuring long term and high quality survival have not been standardized</w:t>
      </w:r>
      <w:r w:rsidR="00D33DA7" w:rsidRPr="00A77A01">
        <w:rPr>
          <w:rFonts w:ascii="Book Antiqua" w:hAnsi="Book Antiqua" w:cs="Arial"/>
          <w:lang w:val="en-GB"/>
        </w:rPr>
        <w:t xml:space="preserve"> yet</w:t>
      </w:r>
      <w:r w:rsidRPr="00A77A01">
        <w:rPr>
          <w:rFonts w:ascii="Book Antiqua" w:hAnsi="Book Antiqua" w:cs="Arial"/>
          <w:lang w:val="en-GB"/>
        </w:rPr>
        <w:t>.</w:t>
      </w:r>
    </w:p>
    <w:p w:rsidR="0083554E" w:rsidRPr="00A77A01" w:rsidRDefault="0083554E" w:rsidP="00B871E1">
      <w:pPr>
        <w:autoSpaceDE w:val="0"/>
        <w:autoSpaceDN w:val="0"/>
        <w:adjustRightInd w:val="0"/>
        <w:spacing w:line="360" w:lineRule="auto"/>
        <w:ind w:firstLineChars="100" w:firstLine="240"/>
        <w:jc w:val="both"/>
        <w:rPr>
          <w:rFonts w:ascii="Book Antiqua" w:hAnsi="Book Antiqua" w:cs="Arial"/>
          <w:b/>
          <w:lang w:val="en-GB"/>
        </w:rPr>
      </w:pPr>
      <w:r w:rsidRPr="00A77A01">
        <w:rPr>
          <w:rFonts w:ascii="Book Antiqua" w:hAnsi="Book Antiqua" w:cs="Arial"/>
          <w:lang w:val="en-GB"/>
        </w:rPr>
        <w:t>The immunosuppressive regimens ad</w:t>
      </w:r>
      <w:r w:rsidR="00B871E1">
        <w:rPr>
          <w:rFonts w:ascii="Book Antiqua" w:hAnsi="Book Antiqua" w:cs="Arial"/>
          <w:lang w:val="en-GB"/>
        </w:rPr>
        <w:t>opted in the last 25 years have</w:t>
      </w:r>
      <w:r w:rsidRPr="00A77A01">
        <w:rPr>
          <w:rFonts w:ascii="Book Antiqua" w:hAnsi="Book Antiqua" w:cs="Arial"/>
          <w:lang w:val="en-GB"/>
        </w:rPr>
        <w:t xml:space="preserve"> dramatically reduced the risk of acute rejection and graft loss within the first months after transplant but </w:t>
      </w:r>
      <w:r w:rsidR="00D33DA7" w:rsidRPr="00A77A01">
        <w:rPr>
          <w:rFonts w:ascii="Book Antiqua" w:hAnsi="Book Antiqua" w:cs="Arial"/>
          <w:lang w:val="en-GB"/>
        </w:rPr>
        <w:t>c</w:t>
      </w:r>
      <w:r w:rsidRPr="00A77A01">
        <w:rPr>
          <w:rFonts w:ascii="Book Antiqua" w:hAnsi="Book Antiqua" w:cs="Arial"/>
          <w:lang w:val="en-GB"/>
        </w:rPr>
        <w:t xml:space="preserve">oncerning the long term results the rate of graft loss is still high, particularly in </w:t>
      </w:r>
      <w:r w:rsidR="003632EA" w:rsidRPr="00A77A01">
        <w:rPr>
          <w:rFonts w:ascii="Book Antiqua" w:hAnsi="Book Antiqua" w:cs="Arial"/>
          <w:lang w:val="en-GB"/>
        </w:rPr>
        <w:t xml:space="preserve">patients </w:t>
      </w:r>
      <w:r w:rsidRPr="00A77A01">
        <w:rPr>
          <w:rFonts w:ascii="Book Antiqua" w:hAnsi="Book Antiqua" w:cs="Arial"/>
          <w:lang w:val="en-GB"/>
        </w:rPr>
        <w:t>receiving a transplant as small children and facing adolescence with an aged graft. They are bearing the cumulative</w:t>
      </w:r>
      <w:r w:rsidR="00B871E1">
        <w:rPr>
          <w:rFonts w:ascii="Book Antiqua" w:hAnsi="Book Antiqua" w:cs="Arial"/>
          <w:lang w:val="en-GB"/>
        </w:rPr>
        <w:t xml:space="preserve"> risks of prolonged therapies, </w:t>
      </w:r>
      <w:r w:rsidRPr="00A77A01">
        <w:rPr>
          <w:rFonts w:ascii="Book Antiqua" w:hAnsi="Book Antiqua" w:cs="Arial"/>
          <w:lang w:val="en-GB"/>
        </w:rPr>
        <w:t>malignancies, infections and cardio vascular diseases. Cardiovascular risk</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is one of the most important aspects clarified in recent years as conditioning patient survival and requiring a proactive and systemic preventive</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approach since the early phases of renal failure</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"10.1111/petr.12174", "ISSN" : "1399-3046", "PMID" : "24134654", "abstract" : "Cardiovascular-related mortality is 100-fold higher in pediatric renal transplant recipients than in the age-matched general population. Seventy-seven post-renal transplant children's charts were reviewed for cardiovascular risk factors at two and six months after transplantation (short term) and at two yr after transplantation and the last follow-up visit (mean 7.14 \u00b1 3.5 yr) (long term). Significant reduction was seen in cardiovascular risk factors prevalence from two months after transplantation to last follow-up respectively: Hypertension from 52.1% to 14%, hypercholesterolemia from 48.7% to 33%, hypertriglyceridemia from 50% to 12.5%, anemia from 29.6% to 18.3%, hyperparathyroidism from 32% to 18.3% and hyperglycemia from 11.7% to 10%, and left ventricular hypertrophy from 25.8% at short term to 15%. There was an increase in the prevalence of obesity from 1.5% to 3.9% and of CKD 3-5 from 4.75% to 24%. The need for antihypertensive treatment decreased from 54% to 42%, and the percentage of patients controlled by one medication rose from 26% to 34%, whereas the percentage controlled by 2, 3, and 4 medications decreased from 21.9%, 5.5%, and 1.4% to 6%, 2%, and 0. Children after renal transplantation appear to have high rates of cardiovascular risk factors, mainly on short-term follow-up.", "author" : [ { "dropping-particle" : "", "family" : "Kaidar", "given" : "Maital", "non-dropping-particle" : "", "parse-names" : false, "suffix" : "" }, { "dropping-particle" : "", "family" : "Berant", "given" : "Michael", "non-dropping-particle" : "", "parse-names" : false, "suffix" : "" }, { "dropping-particle" : "", "family" : "Krauze", "given" : "Irit", "non-dropping-particle" : "", "parse-names" : false, "suffix" : "" }, { "dropping-particle" : "", "family" : "Cleper", "given" : "Roxana", "non-dropping-particle" : "", "parse-names" : false, "suffix" : "" }, { "dropping-particle" : "", "family" : "Mor", "given" : "Eitan", "non-dropping-particle" : "", "parse-names" : false, "suffix" : "" }, { "dropping-particle" : "", "family" : "Bar-Nathan", "given" : "Nathan", "non-dropping-particle" : "", "parse-names" : false, "suffix" : "" }, { "dropping-particle" : "", "family" : "Davidovits", "given" : "Miriam", "non-dropping-particle" : "", "parse-names" : false, "suffix" : "" } ], "container-title" : "Pediatric transplantation", "id" : "ITEM-1", "issue" : "1", "issued" : { "date-parts" : [ [ "2014", "2" ] ] }, "page" : "23-8", "title" : "Cardiovascular risk factors in children after kidney transplantation--from short-term to long-term follow-up.", "type" : "article-journal", "volume" : "18" }, "uris" : [ "http://www.mendeley.com/documents/?uuid=6548b61d-083b-4c04-9974-53f78714a0a2" ] } ], "mendeley" : { "previouslyFormattedCitation" : "&lt;sup&gt;[4]&lt;/sup&gt;"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[4]</w:t>
      </w:r>
      <w:r w:rsidR="00F54A93" w:rsidRPr="00A77A01">
        <w:rPr>
          <w:rFonts w:ascii="Book Antiqua" w:hAnsi="Book Antiqua" w:cs="Arial"/>
          <w:lang w:val="en-GB"/>
        </w:rPr>
        <w:fldChar w:fldCharType="end"/>
      </w:r>
      <w:r w:rsidRPr="00A77A01">
        <w:rPr>
          <w:rFonts w:ascii="Book Antiqua" w:hAnsi="Book Antiqua" w:cs="Arial"/>
          <w:lang w:val="en-GB"/>
        </w:rPr>
        <w:t xml:space="preserve">. </w:t>
      </w:r>
    </w:p>
    <w:p w:rsidR="0083554E" w:rsidRPr="00A77A01" w:rsidRDefault="0083554E" w:rsidP="00B871E1">
      <w:pPr>
        <w:autoSpaceDE w:val="0"/>
        <w:autoSpaceDN w:val="0"/>
        <w:adjustRightInd w:val="0"/>
        <w:spacing w:line="360" w:lineRule="auto"/>
        <w:ind w:firstLineChars="100" w:firstLine="240"/>
        <w:jc w:val="both"/>
        <w:rPr>
          <w:rFonts w:ascii="Book Antiqua" w:hAnsi="Book Antiqua" w:cs="Arial"/>
          <w:b/>
          <w:lang w:val="en-GB"/>
        </w:rPr>
      </w:pPr>
      <w:r w:rsidRPr="00A77A01">
        <w:rPr>
          <w:rFonts w:ascii="Book Antiqua" w:hAnsi="Book Antiqua" w:cs="Arial"/>
          <w:lang w:val="en-GB"/>
        </w:rPr>
        <w:t>While primary non function and delayed graft function reduction have allowed progressive improvements of short term allograft survival, data on the long run are still not fully satisfactory</w:t>
      </w:r>
      <w:r w:rsidR="003632EA" w:rsidRPr="00A77A01">
        <w:rPr>
          <w:rFonts w:ascii="Book Antiqua" w:hAnsi="Book Antiqua" w:cs="Arial"/>
          <w:lang w:val="en-GB"/>
        </w:rPr>
        <w:t>. O</w:t>
      </w:r>
      <w:r w:rsidRPr="00A77A01">
        <w:rPr>
          <w:rFonts w:ascii="Book Antiqua" w:hAnsi="Book Antiqua" w:cs="Arial"/>
          <w:lang w:val="en-GB"/>
        </w:rPr>
        <w:t>ptimal management of chronic allograft nephropathy remains one of the critical challenges to improve long-term kidney transplant outcomes in children.</w:t>
      </w:r>
      <w:r w:rsidRPr="00A77A01">
        <w:rPr>
          <w:rFonts w:ascii="Book Antiqua" w:hAnsi="Book Antiqua" w:cs="Arial"/>
          <w:b/>
          <w:lang w:val="en-GB"/>
        </w:rPr>
        <w:t xml:space="preserve"> </w:t>
      </w:r>
      <w:r w:rsidR="003632EA" w:rsidRPr="00A77A01">
        <w:rPr>
          <w:rFonts w:ascii="Book Antiqua" w:hAnsi="Book Antiqua" w:cs="Arial"/>
          <w:lang w:val="en-GB"/>
        </w:rPr>
        <w:t>Both i</w:t>
      </w:r>
      <w:r w:rsidRPr="00A77A01">
        <w:rPr>
          <w:rFonts w:ascii="Book Antiqua" w:hAnsi="Book Antiqua" w:cs="Arial"/>
          <w:lang w:val="en-GB"/>
        </w:rPr>
        <w:t>mmunologic and non immunologic factors are involved in the pathogenesis of chronic allograft nephropathy, often in a subclinical</w:t>
      </w:r>
      <w:r w:rsidR="003632EA" w:rsidRPr="00A77A01">
        <w:rPr>
          <w:rFonts w:ascii="Book Antiqua" w:hAnsi="Book Antiqua" w:cs="Arial"/>
          <w:lang w:val="en-GB"/>
        </w:rPr>
        <w:t xml:space="preserve"> way</w:t>
      </w:r>
      <w:r w:rsidRPr="00A77A01">
        <w:rPr>
          <w:rFonts w:ascii="Book Antiqua" w:hAnsi="Book Antiqua" w:cs="Arial"/>
          <w:lang w:val="en-GB"/>
        </w:rPr>
        <w:t>, and great efforts are</w:t>
      </w:r>
      <w:r w:rsidR="00312B27" w:rsidRPr="00A77A01">
        <w:rPr>
          <w:rFonts w:ascii="Book Antiqua" w:hAnsi="Book Antiqua" w:cs="Arial"/>
          <w:lang w:val="en-GB"/>
        </w:rPr>
        <w:t xml:space="preserve"> frequently</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required for prompt diagnosis and appropriate treatment.</w:t>
      </w:r>
      <w:r w:rsidRPr="00A77A01">
        <w:rPr>
          <w:rFonts w:ascii="Book Antiqua" w:hAnsi="Book Antiqua" w:cs="Arial"/>
          <w:b/>
          <w:lang w:val="en-GB"/>
        </w:rPr>
        <w:t xml:space="preserve"> </w:t>
      </w:r>
      <w:r w:rsidRPr="00A77A01">
        <w:rPr>
          <w:rFonts w:ascii="Book Antiqua" w:hAnsi="Book Antiqua" w:cs="Arial"/>
          <w:lang w:val="en-GB"/>
        </w:rPr>
        <w:t>The search for non invasive markers of immunological damage has not produced so far predictive and satisfactory tools to avoid the graft biopsy and</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protocol biopsies </w:t>
      </w:r>
      <w:r w:rsidR="00312B27" w:rsidRPr="00A77A01">
        <w:rPr>
          <w:rFonts w:ascii="Book Antiqua" w:hAnsi="Book Antiqua" w:cs="Arial"/>
          <w:lang w:val="en-GB"/>
        </w:rPr>
        <w:t xml:space="preserve">often </w:t>
      </w:r>
      <w:r w:rsidRPr="00A77A01">
        <w:rPr>
          <w:rFonts w:ascii="Book Antiqua" w:hAnsi="Book Antiqua" w:cs="Arial"/>
          <w:lang w:val="en-GB"/>
        </w:rPr>
        <w:t>are</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advocated also in children for better follow up</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"10.1542/peds.2013-2775", "ISSN" : "1098-4275", "PMID" : "24616363", "abstract" : "OBJECTIVE: To investigate changes in pediatric kidney transplant outcomes over time and potential variations in these changes between the early and late posttransplant periods and across subgroups based on recipient, donor, and transplant characteristics.\n\nMETHODS: Using multiple logistic regression and multivariable Cox models, graft and patient outcomes were analyzed in 17,446 pediatric kidney-only transplants performed in the United States between 1987 and 2012.\n\nRESULTS: Ten-year patient and graft survival rates were 90.5% and 60.2%, respectively, after transplantation in 2001, compared with 77.6% and 46.8% after transplantation in 1987. Primary nonfunction and delayed graft function occurred in 3.3% and 5.3%, respectively, of transplants performed in 2011, compared with 15.4% and 19.7% of those performed in 1987. Adjusted for recipient, donor, and transplant characteristics, these improvements corresponded to a 5% decreased hazard of graft loss, 5% decreased hazard of death, 10% decreased odds of primary nonfunction, and 5% decreased odds of delayed graft function with each more recent year of transplantation. Graft survival improvements were lower in adolescent and female recipients, those receiving pretransplant dialysis, and those with focal segmental glomerulosclerosis. Patient survival improvements were higher in those with elevated peak panel reactive antibody. Both patient and graft survival improvements were most pronounced in the first posttransplant year.\n\nCONCLUSIONS: Outcomes after pediatric kidney transplantation have improved dramatically over time for all recipient subgroups, especially for highly sensitized recipients. Most improvement in graft and patient survival has come in the first year after transplantation, highlighting the need for continued progress in long-term outcomes.", "author" : [ { "dropping-particle" : "", "family" : "Arendonk", "given" : "Kyle J", "non-dropping-particle" : "Van", "parse-names" : false, "suffix" : "" }, { "dropping-particle" : "", "family" : "Boyarsky", "given" : "Brian J", "non-dropping-particle" : "", "parse-names" : false, "suffix" : "" }, { "dropping-particle" : "", "family" : "Orandi", "given" : "Babak J", "non-dropping-particle" : "", "parse-names" : false, "suffix" : "" }, { "dropping-particle" : "", "family" : "James", "given" : "Nathan T", "non-dropping-particle" : "", "parse-names" : false, "suffix" : "" }, { "dropping-particle" : "", "family" : "Smith", "given" : "Jodi M", "non-dropping-particle" : "", "parse-names" : false, "suffix" : "" }, { "dropping-particle" : "", "family" : "Colombani", "given" : "Paul M", "non-dropping-particle" : "", "parse-names" : false, "suffix" : "" }, { "dropping-particle" : "", "family" : "Segev", "given" : "Dorry L", "non-dropping-particle" : "", "parse-names" : false, "suffix" : "" } ], "container-title" : "Pediatrics", "id" : "ITEM-1", "issue" : "4", "issued" : { "date-parts" : [ [ "2014", "4" ] ] }, "page" : "594-601", "title" : "National trends over 25 years in pediatric kidney transplant outcomes.", "type" : "article-journal", "volume" : "133" }, "uris" : [ "http://www.mendeley.com/documents/?uuid=6e5a40ef-c6ef-4e66-b7a0-70be032044ab" ] } ], "mendeley" : { "previouslyFormattedCitation" : "&lt;sup&gt;[2]&lt;/sup&gt;"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[2]</w:t>
      </w:r>
      <w:r w:rsidR="00F54A93" w:rsidRPr="00A77A01">
        <w:rPr>
          <w:rFonts w:ascii="Book Antiqua" w:hAnsi="Book Antiqua" w:cs="Arial"/>
          <w:lang w:val="en-GB"/>
        </w:rPr>
        <w:fldChar w:fldCharType="end"/>
      </w:r>
      <w:r w:rsidRPr="00A77A01">
        <w:rPr>
          <w:rFonts w:ascii="Book Antiqua" w:hAnsi="Book Antiqua" w:cs="Arial"/>
          <w:lang w:val="en-GB"/>
        </w:rPr>
        <w:t>.</w:t>
      </w:r>
    </w:p>
    <w:p w:rsidR="0083554E" w:rsidRPr="00A77A01" w:rsidRDefault="0083554E" w:rsidP="00B871E1">
      <w:pPr>
        <w:autoSpaceDE w:val="0"/>
        <w:autoSpaceDN w:val="0"/>
        <w:adjustRightInd w:val="0"/>
        <w:spacing w:line="360" w:lineRule="auto"/>
        <w:ind w:firstLineChars="100" w:firstLine="240"/>
        <w:jc w:val="both"/>
        <w:rPr>
          <w:rFonts w:ascii="Book Antiqua" w:hAnsi="Book Antiqua" w:cs="Arial"/>
          <w:b/>
          <w:lang w:val="en-GB"/>
        </w:rPr>
      </w:pPr>
      <w:r w:rsidRPr="00A77A01">
        <w:rPr>
          <w:rFonts w:ascii="Book Antiqua" w:hAnsi="Book Antiqua" w:cs="Arial"/>
          <w:lang w:val="en-GB"/>
        </w:rPr>
        <w:t>The utopistic search for an ideal immunosuppressive regimen able to allow tolerance of the graft and the minimization of the side effects due to over</w:t>
      </w:r>
      <w:r w:rsidR="00B871E1">
        <w:rPr>
          <w:rFonts w:ascii="Book Antiqua" w:eastAsiaTheme="minorEastAsia" w:hAnsi="Book Antiqua" w:cs="Arial" w:hint="eastAsia"/>
          <w:lang w:val="en-GB" w:eastAsia="zh-CN"/>
        </w:rPr>
        <w:t xml:space="preserve"> </w:t>
      </w:r>
      <w:r w:rsidRPr="00A77A01">
        <w:rPr>
          <w:rFonts w:ascii="Book Antiqua" w:hAnsi="Book Antiqua" w:cs="Arial"/>
          <w:lang w:val="en-GB"/>
        </w:rPr>
        <w:t>- or under</w:t>
      </w:r>
      <w:r w:rsidR="00B871E1">
        <w:rPr>
          <w:rFonts w:ascii="Book Antiqua" w:eastAsiaTheme="minorEastAsia" w:hAnsi="Book Antiqua" w:cs="Arial" w:hint="eastAsia"/>
          <w:lang w:val="en-GB" w:eastAsia="zh-CN"/>
        </w:rPr>
        <w:t xml:space="preserve"> </w:t>
      </w:r>
      <w:r w:rsidR="00B871E1">
        <w:rPr>
          <w:rFonts w:ascii="Book Antiqua" w:hAnsi="Book Antiqua" w:cs="Arial"/>
          <w:lang w:val="en-GB"/>
        </w:rPr>
        <w:t>- immunosuppression</w:t>
      </w:r>
      <w:r w:rsidRPr="00A77A01">
        <w:rPr>
          <w:rFonts w:ascii="Book Antiqua" w:hAnsi="Book Antiqua" w:cs="Arial"/>
          <w:lang w:val="en-GB"/>
        </w:rPr>
        <w:t xml:space="preserve"> in children</w:t>
      </w:r>
      <w:r w:rsidR="00312B27" w:rsidRPr="00A77A01">
        <w:rPr>
          <w:rFonts w:ascii="Book Antiqua" w:hAnsi="Book Antiqua" w:cs="Arial"/>
          <w:lang w:val="en-GB"/>
        </w:rPr>
        <w:t xml:space="preserve"> match</w:t>
      </w:r>
      <w:r w:rsidRPr="00A77A01">
        <w:rPr>
          <w:rFonts w:ascii="Book Antiqua" w:hAnsi="Book Antiqua" w:cs="Arial"/>
          <w:lang w:val="en-GB"/>
        </w:rPr>
        <w:t xml:space="preserve"> with the difficulties in settling multicenter trials with</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sufficiently large number of enrolled</w:t>
      </w:r>
      <w:r w:rsidR="00312B27" w:rsidRPr="00A77A01">
        <w:rPr>
          <w:rFonts w:ascii="Book Antiqua" w:hAnsi="Book Antiqua" w:cs="Arial"/>
          <w:lang w:val="en-GB"/>
        </w:rPr>
        <w:t xml:space="preserve"> patients</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to derive statistically useful data. </w:t>
      </w:r>
    </w:p>
    <w:p w:rsidR="0083554E" w:rsidRPr="00A77A01" w:rsidRDefault="0083554E" w:rsidP="00B871E1">
      <w:pPr>
        <w:spacing w:line="360" w:lineRule="auto"/>
        <w:ind w:firstLineChars="100" w:firstLine="240"/>
        <w:jc w:val="both"/>
        <w:rPr>
          <w:rFonts w:ascii="Book Antiqua" w:hAnsi="Book Antiqua" w:cs="Arial"/>
          <w:bCs/>
          <w:lang w:val="en-GB"/>
        </w:rPr>
      </w:pPr>
      <w:r w:rsidRPr="00A77A01">
        <w:rPr>
          <w:rFonts w:ascii="Book Antiqua" w:hAnsi="Book Antiqua" w:cs="Arial"/>
          <w:lang w:val="en-GB"/>
        </w:rPr>
        <w:t>However, several pivotal studies have consistently improved the perspective outcome of children with a grafted kidney, assessing new challenging frontiers in this delicate area.</w:t>
      </w:r>
    </w:p>
    <w:p w:rsidR="0083554E" w:rsidRPr="00A77A01" w:rsidRDefault="0083554E" w:rsidP="00B871E1">
      <w:pPr>
        <w:pStyle w:val="NormalWeb"/>
        <w:spacing w:before="0" w:beforeAutospacing="0" w:after="0" w:afterAutospacing="0" w:line="360" w:lineRule="auto"/>
        <w:jc w:val="both"/>
        <w:textAlignment w:val="baseline"/>
        <w:rPr>
          <w:rFonts w:ascii="Book Antiqua" w:hAnsi="Book Antiqua" w:cs="Arial"/>
          <w:b/>
          <w:u w:val="single"/>
          <w:lang w:val="en-GB"/>
        </w:rPr>
      </w:pPr>
    </w:p>
    <w:p w:rsidR="0083554E" w:rsidRPr="00B871E1" w:rsidRDefault="0083554E" w:rsidP="00B871E1">
      <w:pPr>
        <w:pStyle w:val="NormalWeb"/>
        <w:spacing w:before="0" w:beforeAutospacing="0" w:after="0" w:afterAutospacing="0" w:line="360" w:lineRule="auto"/>
        <w:jc w:val="both"/>
        <w:textAlignment w:val="baseline"/>
        <w:rPr>
          <w:rFonts w:ascii="Book Antiqua" w:eastAsiaTheme="minorEastAsia" w:hAnsi="Book Antiqua" w:cs="Arial"/>
          <w:b/>
          <w:caps/>
          <w:lang w:val="en-GB" w:eastAsia="zh-CN"/>
        </w:rPr>
      </w:pPr>
      <w:r w:rsidRPr="00A77A01">
        <w:rPr>
          <w:rFonts w:ascii="Book Antiqua" w:hAnsi="Book Antiqua" w:cs="Arial"/>
          <w:b/>
          <w:caps/>
          <w:lang w:val="en-GB"/>
        </w:rPr>
        <w:t>Steroid minimization, early interruption and avoidance in pa</w:t>
      </w:r>
      <w:r w:rsidR="00B871E1">
        <w:rPr>
          <w:rFonts w:ascii="Book Antiqua" w:hAnsi="Book Antiqua" w:cs="Arial"/>
          <w:b/>
          <w:caps/>
          <w:lang w:val="en-GB"/>
        </w:rPr>
        <w:t>ediatric kidney transplantation</w:t>
      </w:r>
    </w:p>
    <w:p w:rsidR="0083554E" w:rsidRPr="00A77A01" w:rsidRDefault="0083554E" w:rsidP="00B871E1">
      <w:pPr>
        <w:pStyle w:val="NormalWeb"/>
        <w:spacing w:before="0" w:beforeAutospacing="0" w:after="0" w:afterAutospacing="0" w:line="360" w:lineRule="auto"/>
        <w:jc w:val="both"/>
        <w:textAlignment w:val="baseline"/>
        <w:rPr>
          <w:rFonts w:ascii="Book Antiqua" w:hAnsi="Book Antiqua" w:cs="Arial"/>
          <w:lang w:val="en-GB"/>
        </w:rPr>
      </w:pPr>
      <w:r w:rsidRPr="00A77A01">
        <w:rPr>
          <w:rFonts w:ascii="Book Antiqua" w:hAnsi="Book Antiqua" w:cs="Arial"/>
          <w:lang w:val="en-GB"/>
        </w:rPr>
        <w:t xml:space="preserve"> For more than 40 years steroid therapy has been a cornerstone of immunosuppressive therapy in renal transplantation. Despite their effectiveness, steroids are associated with severe well known side effects including glucose intolerance</w:t>
      </w:r>
      <w:r w:rsidR="00312B27" w:rsidRPr="00A77A01">
        <w:rPr>
          <w:rFonts w:ascii="Book Antiqua" w:hAnsi="Book Antiqua" w:cs="Arial"/>
          <w:lang w:val="en-GB"/>
        </w:rPr>
        <w:t>,</w:t>
      </w:r>
      <w:r w:rsidRPr="00A77A01">
        <w:rPr>
          <w:rFonts w:ascii="Book Antiqua" w:hAnsi="Book Antiqua" w:cs="Arial"/>
          <w:lang w:val="en-GB"/>
        </w:rPr>
        <w:t xml:space="preserve"> diabetes, hypertension, hyperlipidemia, cataract formation, osteoporosis</w:t>
      </w:r>
      <w:r w:rsidR="00312B27" w:rsidRPr="00A77A01">
        <w:rPr>
          <w:rFonts w:ascii="Book Antiqua" w:hAnsi="Book Antiqua" w:cs="Arial"/>
          <w:lang w:val="en-GB"/>
        </w:rPr>
        <w:t xml:space="preserve">, </w:t>
      </w:r>
      <w:r w:rsidRPr="00A77A01">
        <w:rPr>
          <w:rFonts w:ascii="Book Antiqua" w:hAnsi="Book Antiqua" w:cs="Arial"/>
          <w:lang w:val="en-GB"/>
        </w:rPr>
        <w:t xml:space="preserve">fractures, mood and cosmetic changes. In children, steroid therapy has the additional very important drawback of marked growth retardation. Because of these side effects, </w:t>
      </w:r>
      <w:r w:rsidR="00312B27" w:rsidRPr="00A77A01">
        <w:rPr>
          <w:rFonts w:ascii="Book Antiqua" w:hAnsi="Book Antiqua" w:cs="Arial"/>
          <w:lang w:val="en-GB"/>
        </w:rPr>
        <w:t xml:space="preserve">many </w:t>
      </w:r>
      <w:r w:rsidRPr="00A77A01">
        <w:rPr>
          <w:rFonts w:ascii="Book Antiqua" w:hAnsi="Book Antiqua" w:cs="Arial"/>
          <w:lang w:val="en-GB"/>
        </w:rPr>
        <w:t>efforts have been made on trying to withdraw, minimize or avoid steroid therapy in p</w:t>
      </w:r>
      <w:r w:rsidR="00B871E1">
        <w:rPr>
          <w:rFonts w:ascii="Book Antiqua" w:hAnsi="Book Antiqua" w:cs="Arial"/>
          <w:lang w:val="en-GB"/>
        </w:rPr>
        <w:t>aediatric renal transplantation</w:t>
      </w:r>
      <w:r w:rsidRPr="00A77A01">
        <w:rPr>
          <w:rFonts w:ascii="Book Antiqua" w:hAnsi="Book Antiqua" w:cs="Arial"/>
          <w:lang w:val="en-GB"/>
        </w:rPr>
        <w:t>.</w:t>
      </w:r>
    </w:p>
    <w:p w:rsidR="0083554E" w:rsidRPr="00A77A01" w:rsidRDefault="0083554E" w:rsidP="00B871E1">
      <w:pPr>
        <w:spacing w:line="360" w:lineRule="auto"/>
        <w:ind w:firstLineChars="100" w:firstLine="240"/>
        <w:jc w:val="both"/>
        <w:rPr>
          <w:rFonts w:ascii="Book Antiqua" w:hAnsi="Book Antiqua" w:cs="Arial"/>
          <w:lang w:val="en-GB"/>
        </w:rPr>
      </w:pPr>
      <w:r w:rsidRPr="00A77A01">
        <w:rPr>
          <w:rFonts w:ascii="Book Antiqua" w:hAnsi="Book Antiqua" w:cs="Arial"/>
          <w:lang w:val="en-GB"/>
        </w:rPr>
        <w:t>The early attempts of steroid withdraw</w:t>
      </w:r>
      <w:r w:rsidR="00B871E1">
        <w:rPr>
          <w:rFonts w:ascii="Book Antiqua" w:hAnsi="Book Antiqua" w:cs="Arial"/>
          <w:lang w:val="en-GB"/>
        </w:rPr>
        <w:t>al after kidney transplantation</w:t>
      </w:r>
      <w:r w:rsidRPr="00A77A01">
        <w:rPr>
          <w:rFonts w:ascii="Book Antiqua" w:hAnsi="Book Antiqua" w:cs="Arial"/>
          <w:lang w:val="en-GB"/>
        </w:rPr>
        <w:t xml:space="preserve"> in children were perfo</w:t>
      </w:r>
      <w:r w:rsidR="00B871E1">
        <w:rPr>
          <w:rFonts w:ascii="Book Antiqua" w:hAnsi="Book Antiqua" w:cs="Arial"/>
          <w:lang w:val="en-GB"/>
        </w:rPr>
        <w:t>rmed in the late 80</w:t>
      </w:r>
      <w:r w:rsidR="00B871E1">
        <w:rPr>
          <w:rFonts w:ascii="Book Antiqua" w:eastAsiaTheme="minorEastAsia" w:hAnsi="Book Antiqua" w:cs="Arial" w:hint="eastAsia"/>
          <w:lang w:val="en-GB" w:eastAsia="zh-CN"/>
        </w:rPr>
        <w:t xml:space="preserve"> </w:t>
      </w:r>
      <w:r w:rsidR="00B871E1">
        <w:rPr>
          <w:rFonts w:ascii="Book Antiqua" w:hAnsi="Book Antiqua" w:cs="Arial"/>
          <w:lang w:val="en-GB"/>
        </w:rPr>
        <w:t>thies (1987-</w:t>
      </w:r>
      <w:r w:rsidRPr="00A77A01">
        <w:rPr>
          <w:rFonts w:ascii="Book Antiqua" w:hAnsi="Book Antiqua" w:cs="Arial"/>
          <w:lang w:val="en-GB"/>
        </w:rPr>
        <w:t>1990)</w:t>
      </w:r>
      <w:r w:rsidR="00312B27" w:rsidRPr="00A77A01">
        <w:rPr>
          <w:rFonts w:ascii="Book Antiqua" w:hAnsi="Book Antiqua" w:cs="Arial"/>
          <w:lang w:val="en-GB"/>
        </w:rPr>
        <w:t>.</w:t>
      </w:r>
      <w:r w:rsidRPr="00A77A01">
        <w:rPr>
          <w:rFonts w:ascii="Book Antiqua" w:hAnsi="Book Antiqua" w:cs="Arial"/>
          <w:lang w:val="en-GB"/>
        </w:rPr>
        <w:t xml:space="preserve"> </w:t>
      </w:r>
      <w:r w:rsidR="00312B27" w:rsidRPr="00A77A01">
        <w:rPr>
          <w:rFonts w:ascii="Book Antiqua" w:hAnsi="Book Antiqua" w:cs="Arial"/>
          <w:lang w:val="en-GB"/>
        </w:rPr>
        <w:t>H</w:t>
      </w:r>
      <w:r w:rsidRPr="00A77A01">
        <w:rPr>
          <w:rFonts w:ascii="Book Antiqua" w:hAnsi="Book Antiqua" w:cs="Arial"/>
          <w:lang w:val="en-GB"/>
        </w:rPr>
        <w:t>owever the high rate of acut</w:t>
      </w:r>
      <w:r w:rsidR="00B871E1">
        <w:rPr>
          <w:rFonts w:ascii="Book Antiqua" w:hAnsi="Book Antiqua" w:cs="Arial"/>
          <w:lang w:val="en-GB"/>
        </w:rPr>
        <w:t>e rejections observed suggested</w:t>
      </w:r>
      <w:r w:rsidRPr="00A77A01">
        <w:rPr>
          <w:rFonts w:ascii="Book Antiqua" w:hAnsi="Book Antiqua" w:cs="Arial"/>
          <w:lang w:val="en-GB"/>
        </w:rPr>
        <w:t xml:space="preserve"> the need of steroids for maintenance therapy in paediatric</w:t>
      </w:r>
      <w:r w:rsidR="00312B27" w:rsidRPr="00A77A01">
        <w:rPr>
          <w:rFonts w:ascii="Book Antiqua" w:hAnsi="Book Antiqua" w:cs="Arial"/>
          <w:lang w:val="en-GB"/>
        </w:rPr>
        <w:t xml:space="preserve"> patients</w:t>
      </w:r>
      <w:r w:rsidRPr="00A77A01">
        <w:rPr>
          <w:rFonts w:ascii="Book Antiqua" w:hAnsi="Book Antiqua" w:cs="Arial"/>
          <w:lang w:val="en-GB"/>
        </w:rPr>
        <w:t xml:space="preserve">. </w:t>
      </w:r>
    </w:p>
    <w:p w:rsidR="0083554E" w:rsidRPr="00A77A01" w:rsidRDefault="0083554E" w:rsidP="00B871E1">
      <w:pPr>
        <w:spacing w:line="360" w:lineRule="auto"/>
        <w:ind w:firstLineChars="100" w:firstLine="240"/>
        <w:jc w:val="both"/>
        <w:rPr>
          <w:rFonts w:ascii="Book Antiqua" w:hAnsi="Book Antiqua" w:cs="Arial"/>
          <w:lang w:val="en-GB"/>
        </w:rPr>
      </w:pPr>
      <w:r w:rsidRPr="00A77A01">
        <w:rPr>
          <w:rFonts w:ascii="Book Antiqua" w:hAnsi="Book Antiqua" w:cs="Arial"/>
          <w:lang w:val="en-GB"/>
        </w:rPr>
        <w:t>The introduction of new powerful immunosuppressive agents and new effective induction therapy</w:t>
      </w:r>
      <w:r w:rsidR="00312B27" w:rsidRPr="00A77A01">
        <w:rPr>
          <w:rFonts w:ascii="Book Antiqua" w:hAnsi="Book Antiqua" w:cs="Arial"/>
          <w:lang w:val="en-GB"/>
        </w:rPr>
        <w:t xml:space="preserve"> led to the development</w:t>
      </w:r>
      <w:r w:rsidRPr="00A77A01">
        <w:rPr>
          <w:rFonts w:ascii="Book Antiqua" w:hAnsi="Book Antiqua" w:cs="Arial"/>
          <w:lang w:val="en-GB"/>
        </w:rPr>
        <w:t xml:space="preserve"> in the last years</w:t>
      </w:r>
      <w:r w:rsidR="00312B27" w:rsidRPr="00A77A01">
        <w:rPr>
          <w:rFonts w:ascii="Book Antiqua" w:hAnsi="Book Antiqua" w:cs="Arial"/>
          <w:lang w:val="en-GB"/>
        </w:rPr>
        <w:t xml:space="preserve"> of</w:t>
      </w:r>
      <w:r w:rsidR="00B871E1">
        <w:rPr>
          <w:rFonts w:ascii="Book Antiqua" w:hAnsi="Book Antiqua" w:cs="Arial"/>
          <w:lang w:val="en-GB"/>
        </w:rPr>
        <w:t xml:space="preserve"> new trials aimed at</w:t>
      </w:r>
      <w:r w:rsidRPr="00A77A01">
        <w:rPr>
          <w:rFonts w:ascii="Book Antiqua" w:hAnsi="Book Antiqua" w:cs="Arial"/>
          <w:lang w:val="en-GB"/>
        </w:rPr>
        <w:t xml:space="preserve"> steroi</w:t>
      </w:r>
      <w:r w:rsidR="00B871E1">
        <w:rPr>
          <w:rFonts w:ascii="Book Antiqua" w:hAnsi="Book Antiqua" w:cs="Arial"/>
          <w:lang w:val="en-GB"/>
        </w:rPr>
        <w:t>d early withdrawal or avoidance</w:t>
      </w:r>
      <w:r w:rsidRPr="00A77A01">
        <w:rPr>
          <w:rFonts w:ascii="Book Antiqua" w:hAnsi="Book Antiqua" w:cs="Arial"/>
          <w:lang w:val="en-GB"/>
        </w:rPr>
        <w:t xml:space="preserve"> in children.</w:t>
      </w:r>
    </w:p>
    <w:p w:rsidR="0083554E" w:rsidRPr="00A77A01" w:rsidRDefault="0083554E" w:rsidP="00036F18">
      <w:pPr>
        <w:spacing w:line="360" w:lineRule="auto"/>
        <w:ind w:firstLineChars="100" w:firstLine="240"/>
        <w:jc w:val="both"/>
        <w:rPr>
          <w:rFonts w:ascii="Book Antiqua" w:hAnsi="Book Antiqua" w:cs="Arial"/>
          <w:lang w:val="en-GB"/>
        </w:rPr>
      </w:pPr>
      <w:r w:rsidRPr="00A77A01">
        <w:rPr>
          <w:rFonts w:ascii="Book Antiqua" w:hAnsi="Book Antiqua" w:cs="Arial"/>
          <w:lang w:val="en-GB"/>
        </w:rPr>
        <w:t>One of the</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first</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report was </w:t>
      </w:r>
      <w:r w:rsidR="00036F18">
        <w:rPr>
          <w:rFonts w:ascii="Book Antiqua" w:hAnsi="Book Antiqua" w:cs="Arial"/>
          <w:lang w:val="en-GB"/>
        </w:rPr>
        <w:t>the randomized controlled trial</w:t>
      </w:r>
      <w:r w:rsidRPr="00A77A01">
        <w:rPr>
          <w:rFonts w:ascii="Book Antiqua" w:hAnsi="Book Antiqua" w:cs="Arial"/>
          <w:lang w:val="en-GB"/>
        </w:rPr>
        <w:t xml:space="preserve"> (RCT) from Benfiels </w:t>
      </w:r>
      <w:r w:rsidRPr="00B871E1">
        <w:rPr>
          <w:rFonts w:ascii="Book Antiqua" w:hAnsi="Book Antiqua" w:cs="Arial"/>
          <w:i/>
          <w:lang w:val="en-GB"/>
        </w:rPr>
        <w:t>et al</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"10.1111/j.1600-6143.2009.02767.x", "ISSN" : "1600-6143", "PMID" : "19663893", "abstract" : "In an effort to reduce rejection, extend allograft survival and minimize complications, we hypothesized that robust immunosuppression during the first 6 months after transplantation would allow for the safe withdrawal of steroids. A total of 274 pediatric subjects were enrolled and received an anti-CD25 antibody, sirolimus, calcineurin inhibitor and steroids. At 6 months after transplantation, subjects were randomized to steroid withdrawal (n=73) versus continued low-dose steroids (n=59). This study was stopped prior to target enrollment because of the incidence of post-transplant lymphoproliferative disorder. At the time of study termination, 132 subjects had been randomized and were available for analysis. At 18 months after transplantation, there was no difference in the standardized height z score; however, the standardized height velocity was greater in the steroid withdrawal group compared to the control group (p=0.033). There were no differences in acute rejection episodes between treatment groups. The 3-year allograft survival rate was 84.5% in the control group and 98.6% in the steroid withdrawal group (p=0.002). The immunosuppressive protocol utilized in this study allowed for the withdrawal of steroids without an increased risk of rejection or allograft loss. However, the complications associated with the use of this immunosuppressive protocol were too high to recommend its routine use in pediatric patients.", "author" : [ { "dropping-particle" : "", "family" : "Benfield", "given" : "M R", "non-dropping-particle" : "", "parse-names" : false, "suffix" : "" }, { "dropping-particle" : "", "family" : "Bartosh", "given" : "S", "non-dropping-particle" : "", "parse-names" : false, "suffix" : "" }, { "dropping-particle" : "", "family" : "Ikle", "given" : "D", "non-dropping-particle" : "", "parse-names" : false, "suffix" : "" }, { "dropping-particle" : "", "family" : "Warshaw", "given" : "B", "non-dropping-particle" : "", "parse-names" : false, "suffix" : "" }, { "dropping-particle" : "", "family" : "Bridges", "given" : "N", "non-dropping-particle" : "", "parse-names" : false, "suffix" : "" }, { "dropping-particle" : "", "family" : "Morrison", "given" : "Y", "non-dropping-particle" : "", "parse-names" : false, "suffix" : "" }, { "dropping-particle" : "", "family" : "Harmon", "given" : "W", "non-dropping-particle" : "", "parse-names" : false, "suffix" : "" } ], "container-title" : "American journal of transplantation : official journal of the American Society of Transplantation and the American Society of Transplant Surgeons", "id" : "ITEM-1", "issue" : "1", "issued" : { "date-parts" : [ [ "2010", "1" ] ] }, "page" : "81-8", "title" : "A randomized double-blind, placebo controlled trial of steroid withdrawal after pediatric renal transplantation.", "type" : "article-journal", "volume" : "10" }, "uris" : [ "http://www.mendeley.com/documents/?uuid=b5620e4b-5b4a-4633-8947-193bf2911bf0" ] } ], "mendeley" : { "previouslyFormattedCitation" : "&lt;sup&gt;[5]&lt;/sup&gt;"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[5]</w:t>
      </w:r>
      <w:r w:rsidR="00F54A93" w:rsidRPr="00A77A01">
        <w:rPr>
          <w:rFonts w:ascii="Book Antiqua" w:hAnsi="Book Antiqua" w:cs="Arial"/>
          <w:lang w:val="en-GB"/>
        </w:rPr>
        <w:fldChar w:fldCharType="end"/>
      </w:r>
      <w:r w:rsidRPr="00A77A01">
        <w:rPr>
          <w:rFonts w:ascii="Book Antiqua" w:hAnsi="Book Antiqua" w:cs="Arial"/>
          <w:lang w:val="en-GB"/>
        </w:rPr>
        <w:t xml:space="preserve">, who used anti CD25 monoclonal Ab (basiliximab), sirolimus, </w:t>
      </w:r>
      <w:r w:rsidR="00497B1D" w:rsidRPr="00A77A01">
        <w:rPr>
          <w:rFonts w:ascii="Book Antiqua" w:hAnsi="Book Antiqua" w:cs="Arial"/>
          <w:lang w:val="en-GB"/>
        </w:rPr>
        <w:t>calcineurin</w:t>
      </w:r>
      <w:r w:rsidRPr="00A77A01">
        <w:rPr>
          <w:rFonts w:ascii="Book Antiqua" w:hAnsi="Book Antiqua" w:cs="Arial"/>
          <w:lang w:val="en-GB"/>
        </w:rPr>
        <w:t xml:space="preserve"> inhibitors (CNIs) and steroids for 6 mo. Before randomization a renal biopsy was performed in each case. </w:t>
      </w:r>
      <w:r w:rsidR="00312B27" w:rsidRPr="00A77A01">
        <w:rPr>
          <w:rFonts w:ascii="Book Antiqua" w:hAnsi="Book Antiqua" w:cs="Arial"/>
          <w:lang w:val="en-GB"/>
        </w:rPr>
        <w:t xml:space="preserve">Fifty nine </w:t>
      </w:r>
      <w:r w:rsidR="002312A2" w:rsidRPr="00A77A01">
        <w:rPr>
          <w:rFonts w:ascii="Book Antiqua" w:hAnsi="Book Antiqua" w:cs="Arial"/>
          <w:lang w:val="en-GB"/>
        </w:rPr>
        <w:t>o</w:t>
      </w:r>
      <w:r w:rsidRPr="00A77A01">
        <w:rPr>
          <w:rFonts w:ascii="Book Antiqua" w:hAnsi="Book Antiqua" w:cs="Arial"/>
          <w:lang w:val="en-GB"/>
        </w:rPr>
        <w:t>f</w:t>
      </w:r>
      <w:r w:rsidR="00312B27" w:rsidRPr="00A77A01">
        <w:rPr>
          <w:rFonts w:ascii="Book Antiqua" w:hAnsi="Book Antiqua" w:cs="Arial"/>
          <w:lang w:val="en-GB"/>
        </w:rPr>
        <w:t xml:space="preserve"> the</w:t>
      </w:r>
      <w:r w:rsidRPr="00A77A01">
        <w:rPr>
          <w:rFonts w:ascii="Book Antiqua" w:hAnsi="Book Antiqua" w:cs="Arial"/>
          <w:lang w:val="en-GB"/>
        </w:rPr>
        <w:t xml:space="preserve"> 132</w:t>
      </w:r>
      <w:r w:rsidR="00312B27" w:rsidRPr="00A77A01">
        <w:rPr>
          <w:rFonts w:ascii="Book Antiqua" w:hAnsi="Book Antiqua" w:cs="Arial"/>
          <w:lang w:val="en-GB"/>
        </w:rPr>
        <w:t xml:space="preserve"> enrolled</w:t>
      </w:r>
      <w:r w:rsidR="00B871E1">
        <w:rPr>
          <w:rFonts w:ascii="Book Antiqua" w:hAnsi="Book Antiqua" w:cs="Arial"/>
          <w:lang w:val="en-GB"/>
        </w:rPr>
        <w:t xml:space="preserve"> children</w:t>
      </w:r>
      <w:r w:rsidRPr="00A77A01">
        <w:rPr>
          <w:rFonts w:ascii="Book Antiqua" w:hAnsi="Book Antiqua" w:cs="Arial"/>
          <w:lang w:val="en-GB"/>
        </w:rPr>
        <w:t xml:space="preserve"> were randomized to maintain 0.15 mg/</w:t>
      </w:r>
      <w:r w:rsidR="00B871E1" w:rsidRPr="00A77A01">
        <w:rPr>
          <w:rFonts w:ascii="Book Antiqua" w:hAnsi="Book Antiqua" w:cs="Arial"/>
          <w:lang w:val="en-GB"/>
        </w:rPr>
        <w:t>k</w:t>
      </w:r>
      <w:r w:rsidRPr="00A77A01">
        <w:rPr>
          <w:rFonts w:ascii="Book Antiqua" w:hAnsi="Book Antiqua" w:cs="Arial"/>
          <w:lang w:val="en-GB"/>
        </w:rPr>
        <w:t>g</w:t>
      </w:r>
      <w:r w:rsidR="00B871E1">
        <w:rPr>
          <w:rFonts w:ascii="Book Antiqua" w:eastAsiaTheme="minorEastAsia" w:hAnsi="Book Antiqua" w:cs="Arial" w:hint="eastAsia"/>
          <w:lang w:val="en-GB" w:eastAsia="zh-CN"/>
        </w:rPr>
        <w:t xml:space="preserve"> per </w:t>
      </w:r>
      <w:r w:rsidRPr="00A77A01">
        <w:rPr>
          <w:rFonts w:ascii="Book Antiqua" w:hAnsi="Book Antiqua" w:cs="Arial"/>
          <w:lang w:val="en-GB"/>
        </w:rPr>
        <w:t xml:space="preserve">day of prednisone </w:t>
      </w:r>
      <w:r w:rsidR="00312B27" w:rsidRPr="00A77A01">
        <w:rPr>
          <w:rFonts w:ascii="Book Antiqua" w:hAnsi="Book Antiqua" w:cs="Arial"/>
          <w:lang w:val="en-GB"/>
        </w:rPr>
        <w:t xml:space="preserve">while the remaining </w:t>
      </w:r>
      <w:r w:rsidRPr="00A77A01">
        <w:rPr>
          <w:rFonts w:ascii="Book Antiqua" w:hAnsi="Book Antiqua" w:cs="Arial"/>
          <w:lang w:val="en-GB"/>
        </w:rPr>
        <w:t>73</w:t>
      </w:r>
      <w:r w:rsidR="00312B27" w:rsidRPr="00A77A01">
        <w:rPr>
          <w:rFonts w:ascii="Book Antiqua" w:hAnsi="Book Antiqua" w:cs="Arial"/>
          <w:lang w:val="en-GB"/>
        </w:rPr>
        <w:t xml:space="preserve"> children</w:t>
      </w:r>
      <w:r w:rsidRPr="00A77A01">
        <w:rPr>
          <w:rFonts w:ascii="Book Antiqua" w:hAnsi="Book Antiqua" w:cs="Arial"/>
          <w:lang w:val="en-GB"/>
        </w:rPr>
        <w:t xml:space="preserve"> to steroid withdrawal. There was a trend (</w:t>
      </w:r>
      <w:r w:rsidR="00B871E1" w:rsidRPr="00B871E1">
        <w:rPr>
          <w:rFonts w:ascii="Book Antiqua" w:hAnsi="Book Antiqua" w:cs="Arial"/>
          <w:i/>
          <w:lang w:val="en-GB"/>
        </w:rPr>
        <w:t>P</w:t>
      </w:r>
      <w:r w:rsidR="00B871E1">
        <w:rPr>
          <w:rFonts w:ascii="Book Antiqua" w:eastAsiaTheme="minorEastAsia" w:hAnsi="Book Antiqua" w:cs="Arial" w:hint="eastAsia"/>
          <w:lang w:val="en-GB" w:eastAsia="zh-CN"/>
        </w:rPr>
        <w:t xml:space="preserve"> </w:t>
      </w:r>
      <w:r w:rsidRPr="00A77A01">
        <w:rPr>
          <w:rFonts w:ascii="Book Antiqua" w:hAnsi="Book Antiqua" w:cs="Arial"/>
          <w:lang w:val="en-GB"/>
        </w:rPr>
        <w:t>&lt;</w:t>
      </w:r>
      <w:r w:rsidR="00B871E1">
        <w:rPr>
          <w:rFonts w:ascii="Book Antiqua" w:eastAsiaTheme="minorEastAsia" w:hAnsi="Book Antiqua" w:cs="Arial" w:hint="eastAsia"/>
          <w:lang w:val="en-GB" w:eastAsia="zh-CN"/>
        </w:rPr>
        <w:t xml:space="preserve"> </w:t>
      </w:r>
      <w:r w:rsidR="00B871E1">
        <w:rPr>
          <w:rFonts w:ascii="Book Antiqua" w:hAnsi="Book Antiqua" w:cs="Arial"/>
          <w:lang w:val="en-GB"/>
        </w:rPr>
        <w:t>0.06) of</w:t>
      </w:r>
      <w:r w:rsidRPr="00A77A01">
        <w:rPr>
          <w:rFonts w:ascii="Book Antiqua" w:hAnsi="Book Antiqua" w:cs="Arial"/>
          <w:lang w:val="en-GB"/>
        </w:rPr>
        <w:t xml:space="preserve"> increased frequency of acute rejection in the steroid-free g</w:t>
      </w:r>
      <w:r w:rsidR="00B871E1">
        <w:rPr>
          <w:rFonts w:ascii="Book Antiqua" w:hAnsi="Book Antiqua" w:cs="Arial"/>
          <w:lang w:val="en-GB"/>
        </w:rPr>
        <w:t>roup,</w:t>
      </w:r>
      <w:r w:rsidR="00312B27" w:rsidRPr="00A77A01">
        <w:rPr>
          <w:rFonts w:ascii="Book Antiqua" w:hAnsi="Book Antiqua" w:cs="Arial"/>
          <w:lang w:val="en-GB"/>
        </w:rPr>
        <w:t xml:space="preserve"> and moreover, after</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three years follow-up</w:t>
      </w:r>
      <w:r w:rsidR="00312B27" w:rsidRPr="00A77A01">
        <w:rPr>
          <w:rFonts w:ascii="Book Antiqua" w:hAnsi="Book Antiqua" w:cs="Arial"/>
          <w:lang w:val="en-GB"/>
        </w:rPr>
        <w:t>,</w:t>
      </w:r>
      <w:r w:rsidRPr="00A77A01">
        <w:rPr>
          <w:rFonts w:ascii="Book Antiqua" w:hAnsi="Book Antiqua" w:cs="Arial"/>
          <w:lang w:val="en-GB"/>
        </w:rPr>
        <w:t xml:space="preserve"> frequency of graft loss or death in the steroid-free group</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became statistically significant (</w:t>
      </w:r>
      <w:r w:rsidR="00B871E1" w:rsidRPr="00B871E1">
        <w:rPr>
          <w:rFonts w:ascii="Book Antiqua" w:hAnsi="Book Antiqua" w:cs="Arial"/>
          <w:i/>
          <w:lang w:val="en-GB"/>
        </w:rPr>
        <w:t>P</w:t>
      </w:r>
      <w:r w:rsidR="00B871E1">
        <w:rPr>
          <w:rFonts w:ascii="Book Antiqua" w:eastAsiaTheme="minorEastAsia" w:hAnsi="Book Antiqua" w:cs="Arial" w:hint="eastAsia"/>
          <w:lang w:val="en-GB" w:eastAsia="zh-CN"/>
        </w:rPr>
        <w:t xml:space="preserve"> </w:t>
      </w:r>
      <w:r w:rsidRPr="00A77A01">
        <w:rPr>
          <w:rFonts w:ascii="Book Antiqua" w:hAnsi="Book Antiqua" w:cs="Arial"/>
          <w:lang w:val="en-GB"/>
        </w:rPr>
        <w:t xml:space="preserve">&lt; 0.002). </w:t>
      </w:r>
      <w:r w:rsidR="00312B27" w:rsidRPr="00A77A01">
        <w:rPr>
          <w:rFonts w:ascii="Book Antiqua" w:hAnsi="Book Antiqua" w:cs="Arial"/>
          <w:lang w:val="en-GB"/>
        </w:rPr>
        <w:t>T</w:t>
      </w:r>
      <w:r w:rsidR="00B871E1">
        <w:rPr>
          <w:rFonts w:ascii="Book Antiqua" w:hAnsi="Book Antiqua" w:cs="Arial"/>
          <w:lang w:val="en-GB"/>
        </w:rPr>
        <w:t>he study started in 2001</w:t>
      </w:r>
      <w:r w:rsidR="00A4770B" w:rsidRPr="00A77A01">
        <w:rPr>
          <w:rFonts w:ascii="Book Antiqua" w:hAnsi="Book Antiqua" w:cs="Arial"/>
          <w:lang w:val="en-GB"/>
        </w:rPr>
        <w:t xml:space="preserve"> </w:t>
      </w:r>
      <w:r w:rsidR="002312A2" w:rsidRPr="00A77A01">
        <w:rPr>
          <w:rFonts w:ascii="Book Antiqua" w:hAnsi="Book Antiqua" w:cs="Arial"/>
          <w:lang w:val="en-GB"/>
        </w:rPr>
        <w:t xml:space="preserve">but was </w:t>
      </w:r>
      <w:r w:rsidR="00A4770B" w:rsidRPr="00A77A01">
        <w:rPr>
          <w:rFonts w:ascii="Book Antiqua" w:hAnsi="Book Antiqua" w:cs="Arial"/>
          <w:lang w:val="en-GB"/>
        </w:rPr>
        <w:t>discontinued</w:t>
      </w:r>
      <w:r w:rsidRPr="00A77A01">
        <w:rPr>
          <w:rFonts w:ascii="Book Antiqua" w:hAnsi="Book Antiqua" w:cs="Arial"/>
          <w:lang w:val="en-GB"/>
        </w:rPr>
        <w:t xml:space="preserve"> in 2004 because of an unanticipated high risk of post-transplant lymphoproliferative disorders (PTLD). In the steroid-free group, 106/107 children treated for &gt; 6 mo had at least one adverse event during the first 6 mo and most worrying, 10 children developed PTLD. From this study it was concluded t</w:t>
      </w:r>
      <w:r w:rsidR="00B871E1">
        <w:rPr>
          <w:rFonts w:ascii="Book Antiqua" w:hAnsi="Book Antiqua" w:cs="Arial"/>
          <w:lang w:val="en-GB"/>
        </w:rPr>
        <w:t xml:space="preserve">hat in children it is possible </w:t>
      </w:r>
      <w:r w:rsidRPr="00A77A01">
        <w:rPr>
          <w:rFonts w:ascii="Book Antiqua" w:hAnsi="Book Antiqua" w:cs="Arial"/>
          <w:lang w:val="en-GB"/>
        </w:rPr>
        <w:t>to withdraw or avoid steroids if other immunosuppressive agents are given in large doses</w:t>
      </w:r>
      <w:r w:rsidR="00BD3BD0" w:rsidRPr="00A77A01">
        <w:rPr>
          <w:rFonts w:ascii="Book Antiqua" w:hAnsi="Book Antiqua" w:cs="Arial"/>
          <w:lang w:val="en-GB"/>
        </w:rPr>
        <w:t>;</w:t>
      </w:r>
      <w:r w:rsidRPr="00A77A01">
        <w:rPr>
          <w:rFonts w:ascii="Book Antiqua" w:hAnsi="Book Antiqua" w:cs="Arial"/>
          <w:lang w:val="en-GB"/>
        </w:rPr>
        <w:t xml:space="preserve"> however high immunosuppression carries an increased risk of PTLD, which was considered unacceptable.</w:t>
      </w:r>
    </w:p>
    <w:p w:rsidR="0083554E" w:rsidRPr="00A77A01" w:rsidRDefault="0083554E" w:rsidP="00B871E1">
      <w:pPr>
        <w:spacing w:line="360" w:lineRule="auto"/>
        <w:ind w:firstLineChars="100" w:firstLine="240"/>
        <w:jc w:val="both"/>
        <w:rPr>
          <w:rFonts w:ascii="Book Antiqua" w:hAnsi="Book Antiqua" w:cs="Arial"/>
          <w:lang w:val="en-GB"/>
        </w:rPr>
      </w:pPr>
      <w:r w:rsidRPr="00A77A01">
        <w:rPr>
          <w:rFonts w:ascii="Book Antiqua" w:hAnsi="Book Antiqua" w:cs="Arial"/>
          <w:lang w:val="en-GB"/>
        </w:rPr>
        <w:t>More satisfying</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data came from the</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TWIST RCT led by R. Grenda</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in Europe</w:t>
      </w:r>
      <w:r w:rsidR="00F54A93" w:rsidRPr="00A77A01">
        <w:rPr>
          <w:rFonts w:ascii="Book Antiqua" w:hAnsi="Book Antiqua" w:cs="Arial"/>
          <w:lang w:val="en-GB"/>
        </w:rPr>
        <w:fldChar w:fldCharType="begin" w:fldLock="1"/>
      </w:r>
      <w:r w:rsidRPr="00A77A01">
        <w:rPr>
          <w:rFonts w:ascii="Book Antiqua" w:hAnsi="Book Antiqua" w:cs="Arial"/>
          <w:lang w:val="en-GB"/>
        </w:rPr>
        <w:instrText>ADDIN CSL_CITATION { "citationItems" : [ { "id" : "ITEM-1", "itemData" : { "DOI" : "10.1111/j.1399-3046.2010.01403.x", "ISSN" : "1399-3046", "PMID" : "20874824", "abstract" : "\u2002 Clinically important adverse events associated with the use of corticosteroids post-transplantation include hypertension, dyslipidemia, impaired glucose metabolism (including diabetes mellitus), growth retardation, bone fractures, and cosmetic problems. Over recent years, a number of studies have investigated the effect of minimizing exposure to corticosteroids in post-transplant immunosuppression protocols in both adults and children. In pediatric patients, several different approaches have been evaluated, including late steroid withdrawal, early steroid withdrawal, and complete steroid avoidance with or without poly- or monoclonal antibody induction and a variety of maintenance immunosuppressants. This manuscript reviews the key studies and documents the specific clinical benefits associated with steroid minimization. The development of PTLD and bone marrow suppression has been a major safety concern in some of these studies. These studies and other adverse effects are discussed.", "author" : [ { "dropping-particle" : "", "family" : "Grenda", "given" : "Ryszard", "non-dropping-particle" : "", "parse-names" : false, "suffix" : "" }, { "dropping-particle" : "", "family" : "Webb", "given" : "Nicholas J a", "non-dropping-particle" : "", "parse-names" : false, "suffix" : "" } ], "container-title" : "Pediatric transplantation", "id" : "ITEM-1", "issue" : "8", "issued" : { "date-parts" : [ [ "2010", "12" ] ] }, "page" : "961-7", "title" : "Steroid minimization in pediatric renal transplantation: Early withdrawal or avoidance?", "type" : "article-journal", "volume" : "14" }, "uris" : [ "http://www.mendeley.com/documents/?uuid=0aef720f-77af-49ee-a49e-f4a0ee19342e" ] } ], "mendeley" : { "previouslyFormattedCitation" : "&lt;sup&gt;[6]&lt;/sup&gt;" }, "properties" : { "noteIndex" : 0 }, "schema" : "https://github.com/citation-style-language/schema/raw/master/csl-citation.json" }</w:instrText>
      </w:r>
      <w:r w:rsidR="00F54A93" w:rsidRPr="00A77A01">
        <w:rPr>
          <w:rFonts w:ascii="Book Antiqua" w:hAnsi="Book Antiqua" w:cs="Arial"/>
          <w:lang w:val="en-GB"/>
        </w:rPr>
        <w:fldChar w:fldCharType="separate"/>
      </w:r>
      <w:r w:rsidRPr="00A77A01">
        <w:rPr>
          <w:rFonts w:ascii="Book Antiqua" w:hAnsi="Book Antiqua" w:cs="Arial"/>
          <w:noProof/>
          <w:vertAlign w:val="superscript"/>
          <w:lang w:val="en-GB"/>
        </w:rPr>
        <w:t>[6]</w:t>
      </w:r>
      <w:r w:rsidR="00F54A93" w:rsidRPr="00A77A01">
        <w:rPr>
          <w:rFonts w:ascii="Book Antiqua" w:hAnsi="Book Antiqua" w:cs="Arial"/>
          <w:lang w:val="en-GB"/>
        </w:rPr>
        <w:fldChar w:fldCharType="end"/>
      </w:r>
      <w:r w:rsidRPr="00A77A01">
        <w:rPr>
          <w:rFonts w:ascii="Book Antiqua" w:hAnsi="Book Antiqua" w:cs="Arial"/>
          <w:lang w:val="en-GB"/>
        </w:rPr>
        <w:t xml:space="preserve"> aimed at investigating the effect of steroid withdrawal on children’s</w:t>
      </w:r>
      <w:r w:rsidR="00B871E1">
        <w:rPr>
          <w:rFonts w:ascii="Book Antiqua" w:hAnsi="Book Antiqua" w:cs="Arial"/>
          <w:lang w:val="en-GB"/>
        </w:rPr>
        <w:t xml:space="preserve"> growth. All 220 children were</w:t>
      </w:r>
      <w:r w:rsidRPr="00A77A01">
        <w:rPr>
          <w:rFonts w:ascii="Book Antiqua" w:hAnsi="Book Antiqua" w:cs="Arial"/>
          <w:lang w:val="en-GB"/>
        </w:rPr>
        <w:t xml:space="preserve"> treated with</w:t>
      </w:r>
      <w:r w:rsidRPr="00A77A01">
        <w:rPr>
          <w:rFonts w:ascii="Book Antiqua" w:hAnsi="Book Antiqua" w:cs="Arial"/>
          <w:lang w:val="en-US"/>
        </w:rPr>
        <w:t xml:space="preserve"> daclizumab 1</w:t>
      </w:r>
      <w:r w:rsidR="00B871E1">
        <w:rPr>
          <w:rFonts w:ascii="Book Antiqua" w:eastAsiaTheme="minorEastAsia" w:hAnsi="Book Antiqua" w:cs="Arial" w:hint="eastAsia"/>
          <w:lang w:val="en-US" w:eastAsia="zh-CN"/>
        </w:rPr>
        <w:t xml:space="preserve"> </w:t>
      </w:r>
      <w:r w:rsidRPr="00A77A01">
        <w:rPr>
          <w:rFonts w:ascii="Book Antiqua" w:hAnsi="Book Antiqua" w:cs="Arial"/>
          <w:lang w:val="en-US"/>
        </w:rPr>
        <w:t>mg/</w:t>
      </w:r>
      <w:r w:rsidR="00B871E1" w:rsidRPr="00A77A01">
        <w:rPr>
          <w:rFonts w:ascii="Book Antiqua" w:hAnsi="Book Antiqua" w:cs="Arial"/>
          <w:lang w:val="en-US"/>
        </w:rPr>
        <w:t>k</w:t>
      </w:r>
      <w:r w:rsidRPr="00A77A01">
        <w:rPr>
          <w:rFonts w:ascii="Book Antiqua" w:hAnsi="Book Antiqua" w:cs="Arial"/>
          <w:lang w:val="en-US"/>
        </w:rPr>
        <w:t>g at transplantation and at day 14,</w:t>
      </w:r>
      <w:r w:rsidRPr="00A77A01">
        <w:rPr>
          <w:rFonts w:ascii="Book Antiqua" w:hAnsi="Book Antiqua" w:cs="Arial"/>
          <w:lang w:val="en-GB"/>
        </w:rPr>
        <w:t xml:space="preserve"> tacrolimus (TAC) 0.3 mg/kg</w:t>
      </w:r>
      <w:r w:rsidR="00B871E1">
        <w:rPr>
          <w:rFonts w:ascii="Book Antiqua" w:eastAsiaTheme="minorEastAsia" w:hAnsi="Book Antiqua" w:cs="Arial" w:hint="eastAsia"/>
          <w:lang w:val="en-GB" w:eastAsia="zh-CN"/>
        </w:rPr>
        <w:t xml:space="preserve"> per </w:t>
      </w:r>
      <w:r w:rsidRPr="00A77A01">
        <w:rPr>
          <w:rFonts w:ascii="Book Antiqua" w:hAnsi="Book Antiqua" w:cs="Arial"/>
          <w:lang w:val="en-GB"/>
        </w:rPr>
        <w:t>day (target through levels 10-20 ng/m</w:t>
      </w:r>
      <w:r w:rsidR="00B871E1" w:rsidRPr="00A77A01">
        <w:rPr>
          <w:rFonts w:ascii="Book Antiqua" w:hAnsi="Book Antiqua" w:cs="Arial"/>
          <w:lang w:val="en-GB"/>
        </w:rPr>
        <w:t>L</w:t>
      </w:r>
      <w:r w:rsidRPr="00A77A01">
        <w:rPr>
          <w:rFonts w:ascii="Book Antiqua" w:hAnsi="Book Antiqua" w:cs="Arial"/>
          <w:lang w:val="en-GB"/>
        </w:rPr>
        <w:t xml:space="preserve"> on days 0-21; 5-15 ng/</w:t>
      </w:r>
      <w:r w:rsidR="00036F18" w:rsidRPr="00A77A01">
        <w:rPr>
          <w:rFonts w:ascii="Book Antiqua" w:hAnsi="Book Antiqua" w:cs="Arial"/>
          <w:lang w:val="en-GB"/>
        </w:rPr>
        <w:t>mL</w:t>
      </w:r>
      <w:r w:rsidR="00036F18">
        <w:rPr>
          <w:rFonts w:ascii="Book Antiqua" w:eastAsiaTheme="minorEastAsia" w:hAnsi="Book Antiqua" w:cs="Arial" w:hint="eastAsia"/>
          <w:lang w:val="en-GB" w:eastAsia="zh-CN"/>
        </w:rPr>
        <w:t xml:space="preserve"> </w:t>
      </w:r>
      <w:r w:rsidRPr="00A77A01">
        <w:rPr>
          <w:rFonts w:ascii="Book Antiqua" w:hAnsi="Book Antiqua" w:cs="Arial"/>
          <w:lang w:val="en-GB"/>
        </w:rPr>
        <w:t>on days 22-186) in combination with mycofenolate mofetil (MMF) 1200 mg/m</w:t>
      </w:r>
      <w:r w:rsidRPr="00B871E1">
        <w:rPr>
          <w:rFonts w:ascii="Book Antiqua" w:hAnsi="Book Antiqua" w:cs="Arial"/>
          <w:vertAlign w:val="superscript"/>
          <w:lang w:val="en-GB"/>
        </w:rPr>
        <w:t>2</w:t>
      </w:r>
      <w:r w:rsidR="00B871E1">
        <w:rPr>
          <w:rFonts w:ascii="Book Antiqua" w:eastAsiaTheme="minorEastAsia" w:hAnsi="Book Antiqua" w:cs="Arial" w:hint="eastAsia"/>
          <w:lang w:val="en-GB" w:eastAsia="zh-CN"/>
        </w:rPr>
        <w:t xml:space="preserve"> per </w:t>
      </w:r>
      <w:r w:rsidR="00036F18">
        <w:rPr>
          <w:rFonts w:ascii="Book Antiqua" w:hAnsi="Book Antiqua" w:cs="Arial"/>
          <w:lang w:val="en-GB"/>
        </w:rPr>
        <w:t>day for 2 wk</w:t>
      </w:r>
      <w:r w:rsidRPr="00A77A01">
        <w:rPr>
          <w:rFonts w:ascii="Book Antiqua" w:hAnsi="Book Antiqua" w:cs="Arial"/>
          <w:lang w:val="en-GB"/>
        </w:rPr>
        <w:t>, followed by 600 mg/m</w:t>
      </w:r>
      <w:r w:rsidRPr="00B871E1">
        <w:rPr>
          <w:rFonts w:ascii="Book Antiqua" w:hAnsi="Book Antiqua" w:cs="Arial"/>
          <w:vertAlign w:val="superscript"/>
          <w:lang w:val="en-GB"/>
        </w:rPr>
        <w:t>2</w:t>
      </w:r>
      <w:r w:rsidR="00B871E1">
        <w:rPr>
          <w:rFonts w:ascii="Book Antiqua" w:eastAsiaTheme="minorEastAsia" w:hAnsi="Book Antiqua" w:cs="Arial" w:hint="eastAsia"/>
          <w:lang w:val="en-GB" w:eastAsia="zh-CN"/>
        </w:rPr>
        <w:t xml:space="preserve"> per </w:t>
      </w:r>
      <w:r w:rsidRPr="00A77A01">
        <w:rPr>
          <w:rFonts w:ascii="Book Antiqua" w:hAnsi="Book Antiqua" w:cs="Arial"/>
          <w:lang w:val="en-GB"/>
        </w:rPr>
        <w:t>day. In addition to these drugs, children were randomized to a) arm with steroid withdrawal, assuming</w:t>
      </w:r>
      <w:r w:rsidR="00036F18">
        <w:rPr>
          <w:rFonts w:ascii="Book Antiqua" w:eastAsiaTheme="minorEastAsia" w:hAnsi="Book Antiqua" w:cs="Arial" w:hint="eastAsia"/>
          <w:lang w:val="en-GB" w:eastAsia="zh-CN"/>
        </w:rPr>
        <w:t xml:space="preserve"> </w:t>
      </w:r>
      <w:r w:rsidRPr="00A77A01">
        <w:rPr>
          <w:rFonts w:ascii="Book Antiqua" w:hAnsi="Book Antiqua" w:cs="Arial"/>
          <w:lang w:val="en-US"/>
        </w:rPr>
        <w:t xml:space="preserve">methylprednisolone </w:t>
      </w:r>
      <w:r w:rsidRPr="00A77A01">
        <w:rPr>
          <w:rFonts w:ascii="Book Antiqua" w:hAnsi="Book Antiqua" w:cs="Arial"/>
          <w:lang w:val="en-GB"/>
        </w:rPr>
        <w:t>(</w:t>
      </w:r>
      <w:r w:rsidRPr="00A77A01">
        <w:rPr>
          <w:rFonts w:ascii="Book Antiqua" w:hAnsi="Book Antiqua" w:cs="Arial"/>
          <w:lang w:val="en-US"/>
        </w:rPr>
        <w:t>MP) 300-600 mg/m</w:t>
      </w:r>
      <w:r w:rsidRPr="00B871E1">
        <w:rPr>
          <w:rFonts w:ascii="Book Antiqua" w:hAnsi="Book Antiqua" w:cs="Arial"/>
          <w:vertAlign w:val="superscript"/>
          <w:lang w:val="en-US"/>
        </w:rPr>
        <w:t>2</w:t>
      </w:r>
      <w:r w:rsidRPr="00A77A01">
        <w:rPr>
          <w:rFonts w:ascii="Book Antiqua" w:hAnsi="Book Antiqua" w:cs="Arial"/>
          <w:lang w:val="en-US"/>
        </w:rPr>
        <w:t>, with daily reduction (60, 40, 30, 20 mg/m</w:t>
      </w:r>
      <w:r w:rsidRPr="00B871E1">
        <w:rPr>
          <w:rFonts w:ascii="Book Antiqua" w:hAnsi="Book Antiqua" w:cs="Arial"/>
          <w:vertAlign w:val="superscript"/>
          <w:lang w:val="en-US"/>
        </w:rPr>
        <w:t>2</w:t>
      </w:r>
      <w:r w:rsidRPr="00A77A01">
        <w:rPr>
          <w:rFonts w:ascii="Book Antiqua" w:hAnsi="Book Antiqua" w:cs="Arial"/>
          <w:lang w:val="en-US"/>
        </w:rPr>
        <w:t>) and</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discontinuation at day 5; b) arm with steroids: MP 300-600 mg/m</w:t>
      </w:r>
      <w:r w:rsidRPr="00B871E1">
        <w:rPr>
          <w:rFonts w:ascii="Book Antiqua" w:hAnsi="Book Antiqua" w:cs="Arial"/>
          <w:vertAlign w:val="superscript"/>
          <w:lang w:val="en-US"/>
        </w:rPr>
        <w:t xml:space="preserve">2 </w:t>
      </w:r>
      <w:r w:rsidRPr="00A77A01">
        <w:rPr>
          <w:rFonts w:ascii="Book Antiqua" w:hAnsi="Book Antiqua" w:cs="Arial"/>
          <w:lang w:val="en-US"/>
        </w:rPr>
        <w:t>and 40</w:t>
      </w:r>
      <w:r w:rsidR="00B871E1">
        <w:rPr>
          <w:rFonts w:ascii="Book Antiqua" w:eastAsiaTheme="minorEastAsia" w:hAnsi="Book Antiqua" w:cs="Arial" w:hint="eastAsia"/>
          <w:lang w:val="en-US" w:eastAsia="zh-CN"/>
        </w:rPr>
        <w:t xml:space="preserve"> </w:t>
      </w:r>
      <w:r w:rsidRPr="00A77A01">
        <w:rPr>
          <w:rFonts w:ascii="Book Antiqua" w:hAnsi="Book Antiqua" w:cs="Arial"/>
          <w:lang w:val="en-US"/>
        </w:rPr>
        <w:t>mg/m</w:t>
      </w:r>
      <w:r w:rsidRPr="00B871E1">
        <w:rPr>
          <w:rFonts w:ascii="Book Antiqua" w:hAnsi="Book Antiqua" w:cs="Arial"/>
          <w:vertAlign w:val="superscript"/>
          <w:lang w:val="en-US"/>
        </w:rPr>
        <w:t>2</w:t>
      </w:r>
      <w:r w:rsidRPr="00A77A01">
        <w:rPr>
          <w:rFonts w:ascii="Book Antiqua" w:hAnsi="Book Antiqua" w:cs="Arial"/>
          <w:lang w:val="en-US"/>
        </w:rPr>
        <w:t xml:space="preserve"> days 2-7, reduced</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from day 43 to 183 at discretion of investigators. </w:t>
      </w:r>
    </w:p>
    <w:p w:rsidR="0083554E" w:rsidRPr="00A77A01" w:rsidRDefault="0083554E" w:rsidP="00B871E1">
      <w:pPr>
        <w:spacing w:line="360" w:lineRule="auto"/>
        <w:ind w:firstLineChars="100" w:firstLine="240"/>
        <w:jc w:val="both"/>
        <w:rPr>
          <w:rFonts w:ascii="Book Antiqua" w:hAnsi="Book Antiqua" w:cs="Arial"/>
          <w:lang w:val="en-US"/>
        </w:rPr>
      </w:pPr>
      <w:r w:rsidRPr="00A77A01">
        <w:rPr>
          <w:rFonts w:ascii="Book Antiqua" w:hAnsi="Book Antiqua" w:cs="Arial"/>
          <w:lang w:val="en-US"/>
        </w:rPr>
        <w:t xml:space="preserve">The primary end point was fully achieved in pre-pubertal children, who showed a significant benefit from steroid early discontinuation in modification of height standard deviation score (SDS). In the latter group, the absolute change in mean height at 6 </w:t>
      </w:r>
      <w:proofErr w:type="gramStart"/>
      <w:r w:rsidRPr="00A77A01">
        <w:rPr>
          <w:rFonts w:ascii="Book Antiqua" w:hAnsi="Book Antiqua" w:cs="Arial"/>
          <w:lang w:val="en-US"/>
        </w:rPr>
        <w:t>mo</w:t>
      </w:r>
      <w:proofErr w:type="gramEnd"/>
      <w:r w:rsidRPr="00A77A01">
        <w:rPr>
          <w:rFonts w:ascii="Book Antiqua" w:hAnsi="Book Antiqua" w:cs="Arial"/>
          <w:lang w:val="en-US"/>
        </w:rPr>
        <w:t xml:space="preserve"> was significantly better. The estimated rate of children free from biopsy proven acute rejection at protocol biopsy performed after 6 </w:t>
      </w:r>
      <w:proofErr w:type="gramStart"/>
      <w:r w:rsidRPr="00A77A01">
        <w:rPr>
          <w:rFonts w:ascii="Book Antiqua" w:hAnsi="Book Antiqua" w:cs="Arial"/>
          <w:lang w:val="en-US"/>
        </w:rPr>
        <w:t>mo</w:t>
      </w:r>
      <w:proofErr w:type="gramEnd"/>
      <w:r w:rsidRPr="00A77A01">
        <w:rPr>
          <w:rFonts w:ascii="Book Antiqua" w:hAnsi="Book Antiqua" w:cs="Arial"/>
          <w:lang w:val="en-US"/>
        </w:rPr>
        <w:t xml:space="preserve"> was 89% </w:t>
      </w:r>
      <w:r w:rsidRPr="00036F18">
        <w:rPr>
          <w:rFonts w:ascii="Book Antiqua" w:hAnsi="Book Antiqua" w:cs="Arial"/>
          <w:i/>
          <w:lang w:val="en-US"/>
        </w:rPr>
        <w:t>vs</w:t>
      </w:r>
      <w:r w:rsidRPr="00A77A01">
        <w:rPr>
          <w:rFonts w:ascii="Book Antiqua" w:hAnsi="Book Antiqua" w:cs="Arial"/>
          <w:lang w:val="en-US"/>
        </w:rPr>
        <w:t xml:space="preserve"> 92%, thus not proving any statistical difference between children with or without steroid discontinuation. </w:t>
      </w:r>
      <w:r w:rsidRPr="00A77A01">
        <w:rPr>
          <w:rFonts w:ascii="Book Antiqua" w:hAnsi="Book Antiqua" w:cs="Arial"/>
          <w:lang w:val="en-GB"/>
        </w:rPr>
        <w:t>Outcome of rejection, as well as gr</w:t>
      </w:r>
      <w:r w:rsidR="00036F18">
        <w:rPr>
          <w:rFonts w:ascii="Book Antiqua" w:hAnsi="Book Antiqua" w:cs="Arial"/>
          <w:lang w:val="en-GB"/>
        </w:rPr>
        <w:t>aft and patients’ survival were</w:t>
      </w:r>
      <w:r w:rsidRPr="00A77A01">
        <w:rPr>
          <w:rFonts w:ascii="Book Antiqua" w:hAnsi="Book Antiqua" w:cs="Arial"/>
          <w:lang w:val="en-GB"/>
        </w:rPr>
        <w:t xml:space="preserve"> similar in the two groups. However, the follow-up was very short, being six months only.</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GB"/>
        </w:rPr>
        <w:t xml:space="preserve">There was a need for longer follow-up, provided by the </w:t>
      </w:r>
      <w:r w:rsidRPr="00A77A01">
        <w:rPr>
          <w:rFonts w:ascii="Book Antiqua" w:hAnsi="Book Antiqua" w:cs="Arial"/>
          <w:lang w:val="en-US"/>
        </w:rPr>
        <w:t>S</w:t>
      </w:r>
      <w:r w:rsidR="00036F18">
        <w:rPr>
          <w:rFonts w:ascii="Book Antiqua" w:hAnsi="Book Antiqua" w:cs="Arial"/>
          <w:lang w:val="en-US"/>
        </w:rPr>
        <w:t>tanford University group, which</w:t>
      </w:r>
      <w:r w:rsidRPr="00A77A01">
        <w:rPr>
          <w:rFonts w:ascii="Book Antiqua" w:hAnsi="Book Antiqua" w:cs="Arial"/>
          <w:lang w:val="en-US"/>
        </w:rPr>
        <w:t xml:space="preserve"> has been the leader in</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trying the steroid minimization strategy. Sarwal </w:t>
      </w:r>
      <w:r w:rsidRPr="00036F18">
        <w:rPr>
          <w:rFonts w:ascii="Book Antiqua" w:hAnsi="Book Antiqua" w:cs="Arial"/>
          <w:i/>
          <w:lang w:val="en-US"/>
        </w:rPr>
        <w:t>et al</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"10.1111/j.1600-6143.2012.04145.x", "ISSN" : "1600-6143", "PMID" : "22694755", "abstract" : "To determine whether steroid avoidance in pediatric kidney transplantation is safe and efficacious, a randomized, multicenter trial was performed in 12 pediatric kidney transplant centers. One hundred thirty children receiving primary kidney transplants were randomized to steroid-free (SF) or steroid-based (SB) immunosuppression, with concomitant tacrolimus, mycophenolate and standard dose daclizumab (SB group) or extended dose daclizumab (SF group). Follow-up was 3 years posttransplant. Standardized height Z-score change after 3 years follow-up was -0.99 \u00b1 2.20 in SF versus -0.93 \u00b1 1.11 in SB; p = 0.825. In subgroup analysis, recipients under 5 years of age showed improved linear growth with SF compared to SB treatment (change in standardized height Z-score at 3 years -0.43 \u00b1 1.15 vs. -1.07 \u00b1 1.14; p = 0.019). There were no differences in the rates of biopsy-proven acute rejection at 3 years after transplantation (16.7% in SF vs. 17.1% in SB; p = 0.94). Patient survival was 100% in both arms; graft survival was 95% in the SF and 90% in the SB arms (p = 0.30) at 3 years follow-up. Over the 3 year follow-up period, the SF group showed lower systolic BP (p = 0.017) and lower cholesterol levels (p = 0.034). In conclusion, complete steroid avoidance is safe and effective in unsensitized children receiving primary kidney transplants.", "author" : [ { "dropping-particle" : "", "family" : "Sarwal", "given" : "M M", "non-dropping-particle" : "", "parse-names" : false, "suffix" : "" }, { "dropping-particle" : "", "family" : "Ettenger", "given" : "R B", "non-dropping-particle" : "", "parse-names" : false, "suffix" : "" }, { "dropping-particle" : "", "family" : "Dharnidharka", "given" : "V", "non-dropping-particle" : "", "parse-names" : false, "suffix" : "" }, { "dropping-particle" : "", "family" : "Benfield", "given" : "M", "non-dropping-particle" : "", "parse-names" : false, "suffix" : "" }, { "dropping-particle" : "", "family" : "Mathias", "given" : "R", "non-dropping-particle" : "", "parse-names" : false, "suffix" : "" }, { "dropping-particle" : "", "family" : "Portale", "given" : "A", "non-dropping-particle" : "", "parse-names" : false, "suffix" : "" }, { "dropping-particle" : "", "family" : "McDonald", "given" : "R", "non-dropping-particle" : "", "parse-names" : false, "suffix" : "" }, { "dropping-particle" : "", "family" : "Harmon", "given" : "W", "non-dropping-particle" : "", "parse-names" : false, "suffix" : "" }, { "dropping-particle" : "", "family" : "Kershaw", "given" : "D", "non-dropping-particle" : "", "parse-names" : false, "suffix" : "" }, { "dropping-particle" : "", "family" : "Vehaskari", "given" : "V M", "non-dropping-particle" : "", "parse-names" : false, "suffix" : "" }, { "dropping-particle" : "", "family" : "Kamil", "given" : "E", "non-dropping-particle" : "", "parse-names" : false, "suffix" : "" }, { "dropping-particle" : "", "family" : "Baluarte", "given" : "H J", "non-dropping-particle" : "", "parse-names" : false, "suffix" : "" }, { "dropping-particle" : "", "family" : "Warady", "given" : "B", "non-dropping-particle" : "", "parse-names" : false, "suffix" : "" }, { "dropping-particle" : "", "family" : "Tang", "given" : "L", "non-dropping-particle" : "", "parse-names" : false, "suffix" : "" }, { "dropping-particle" : "", "family" : "Liu", "given" : "J", "non-dropping-particle" : "", "parse-names" : false, "suffix" : "" }, { "dropping-particle" : "", "family" : "Li", "given" : "L", "non-dropping-particle" : "", "parse-names" : false, "suffix" : "" }, { "dropping-particle" : "", "family" : "Naesens", "given" : "M", "non-dropping-particle" : "", "parse-names" : false, "suffix" : "" }, { "dropping-particle" : "", "family" : "Sigdel", "given" : "T", "non-dropping-particle" : "", "parse-names" : false, "suffix" : "" }, { "dropping-particle" : "", "family" : "Waskerwitz", "given" : "Janie", "non-dropping-particle" : "", "parse-names" : false, "suffix" : "" }, { "dropping-particle" : "", "family" : "Salvatierra", "given" : "O", "non-dropping-particle" : "", "parse-names" : false, "suffix" : "" } ], "container-title" : "American journal of transplantation : official journal of the American Society of Transplantation and the American Society of Transplant Surgeons", "id" : "ITEM-1", "issue" : "10", "issued" : { "date-parts" : [ [ "2012", "10" ] ] }, "page" : "2719-29", "title" : "Complete steroid avoidance is effective and safe in children with renal transplants: a multicenter randomized trial with three-year follow-up.", "type" : "article-journal", "volume" : "12" }, "uris" : [ "http://www.mendeley.com/documents/?uuid=78649cd4-2b82-41b0-950c-77c8fd8e7d8b" ] } ], "mendeley" : { "previouslyFormattedCitation" : "&lt;sup&gt;[7]&lt;/sup&gt;"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[7]</w:t>
      </w:r>
      <w:r w:rsidR="00F54A93" w:rsidRPr="00A77A01">
        <w:rPr>
          <w:rFonts w:ascii="Book Antiqua" w:hAnsi="Book Antiqua" w:cs="Arial"/>
          <w:lang w:val="en-US"/>
        </w:rPr>
        <w:fldChar w:fldCharType="end"/>
      </w:r>
      <w:r w:rsidRPr="00A77A01">
        <w:rPr>
          <w:rFonts w:ascii="Book Antiqua" w:hAnsi="Book Antiqua" w:cs="Arial"/>
          <w:lang w:val="en-US"/>
        </w:rPr>
        <w:t xml:space="preserve"> addressed to complete steroid avoidance in a multicenter RCT with three years of follow-up. The protocol was based</w:t>
      </w:r>
      <w:r w:rsidR="00036F18">
        <w:rPr>
          <w:rFonts w:ascii="Book Antiqua" w:hAnsi="Book Antiqua" w:cs="Arial"/>
          <w:lang w:val="en-US"/>
        </w:rPr>
        <w:t xml:space="preserve"> on a common treatment with TAC</w:t>
      </w:r>
      <w:r w:rsidRPr="00A77A01">
        <w:rPr>
          <w:rFonts w:ascii="Book Antiqua" w:hAnsi="Book Antiqua" w:cs="Arial"/>
          <w:lang w:val="en-US"/>
        </w:rPr>
        <w:t xml:space="preserve"> 0.15 mg/kg</w:t>
      </w:r>
      <w:r w:rsidR="00036F18">
        <w:rPr>
          <w:rFonts w:ascii="Book Antiqua" w:eastAsiaTheme="minorEastAsia" w:hAnsi="Book Antiqua" w:cs="Arial" w:hint="eastAsia"/>
          <w:lang w:val="en-US" w:eastAsia="zh-CN"/>
        </w:rPr>
        <w:t xml:space="preserve"> per </w:t>
      </w:r>
      <w:r w:rsidRPr="00A77A01">
        <w:rPr>
          <w:rFonts w:ascii="Book Antiqua" w:hAnsi="Book Antiqua" w:cs="Arial"/>
          <w:lang w:val="en-US"/>
        </w:rPr>
        <w:t>day (12-14 ng/m</w:t>
      </w:r>
      <w:r w:rsidR="00036F18" w:rsidRPr="00A77A01">
        <w:rPr>
          <w:rFonts w:ascii="Book Antiqua" w:hAnsi="Book Antiqua" w:cs="Arial"/>
          <w:lang w:val="en-US"/>
        </w:rPr>
        <w:t xml:space="preserve">L </w:t>
      </w:r>
      <w:r w:rsidRPr="00A77A01">
        <w:rPr>
          <w:rFonts w:ascii="Book Antiqua" w:hAnsi="Book Antiqua" w:cs="Arial"/>
          <w:lang w:val="en-US"/>
        </w:rPr>
        <w:t>day 0-7; 10-12 ng/m</w:t>
      </w:r>
      <w:r w:rsidR="00036F18" w:rsidRPr="00A77A01">
        <w:rPr>
          <w:rFonts w:ascii="Book Antiqua" w:hAnsi="Book Antiqua" w:cs="Arial"/>
          <w:lang w:val="en-US"/>
        </w:rPr>
        <w:t>L</w:t>
      </w:r>
      <w:r w:rsidRPr="00A77A01">
        <w:rPr>
          <w:rFonts w:ascii="Book Antiqua" w:hAnsi="Book Antiqua" w:cs="Arial"/>
          <w:lang w:val="en-US"/>
        </w:rPr>
        <w:t xml:space="preserve"> from 2</w:t>
      </w:r>
      <w:r w:rsidRPr="00036F18">
        <w:rPr>
          <w:rFonts w:ascii="Book Antiqua" w:hAnsi="Book Antiqua" w:cs="Arial"/>
          <w:vertAlign w:val="superscript"/>
          <w:lang w:val="en-US"/>
        </w:rPr>
        <w:t>nd</w:t>
      </w:r>
      <w:r w:rsidRPr="00A77A01">
        <w:rPr>
          <w:rFonts w:ascii="Book Antiqua" w:hAnsi="Book Antiqua" w:cs="Arial"/>
          <w:lang w:val="en-US"/>
        </w:rPr>
        <w:t xml:space="preserve"> w; 4-6 ng/m</w:t>
      </w:r>
      <w:r w:rsidR="00036F18" w:rsidRPr="00A77A01">
        <w:rPr>
          <w:rFonts w:ascii="Book Antiqua" w:hAnsi="Book Antiqua" w:cs="Arial"/>
          <w:lang w:val="en-US"/>
        </w:rPr>
        <w:t>L</w:t>
      </w:r>
      <w:r w:rsidRPr="00A77A01">
        <w:rPr>
          <w:rFonts w:ascii="Book Antiqua" w:hAnsi="Book Antiqua" w:cs="Arial"/>
          <w:lang w:val="en-US"/>
        </w:rPr>
        <w:t xml:space="preserve"> at 1 y and 3-5 ng/m</w:t>
      </w:r>
      <w:r w:rsidR="00036F18" w:rsidRPr="00A77A01">
        <w:rPr>
          <w:rFonts w:ascii="Book Antiqua" w:hAnsi="Book Antiqua" w:cs="Arial"/>
          <w:lang w:val="en-US"/>
        </w:rPr>
        <w:t>L</w:t>
      </w:r>
      <w:r w:rsidRPr="00A77A01">
        <w:rPr>
          <w:rFonts w:ascii="Book Antiqua" w:hAnsi="Book Antiqua" w:cs="Arial"/>
          <w:lang w:val="en-US"/>
        </w:rPr>
        <w:t xml:space="preserve"> after 1</w:t>
      </w:r>
      <w:r w:rsidRPr="00036F18">
        <w:rPr>
          <w:rFonts w:ascii="Book Antiqua" w:hAnsi="Book Antiqua" w:cs="Arial"/>
          <w:vertAlign w:val="superscript"/>
          <w:lang w:val="en-US"/>
        </w:rPr>
        <w:t>th</w:t>
      </w:r>
      <w:r w:rsidRPr="00A77A01">
        <w:rPr>
          <w:rFonts w:ascii="Book Antiqua" w:hAnsi="Book Antiqua" w:cs="Arial"/>
          <w:lang w:val="en-US"/>
        </w:rPr>
        <w:t xml:space="preserve"> y) in association with</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MMF: 1200 mg/m</w:t>
      </w:r>
      <w:r w:rsidRPr="00036F18">
        <w:rPr>
          <w:rFonts w:ascii="Book Antiqua" w:hAnsi="Book Antiqua" w:cs="Arial"/>
          <w:vertAlign w:val="superscript"/>
          <w:lang w:val="en-US"/>
        </w:rPr>
        <w:t>2</w:t>
      </w:r>
      <w:r w:rsidR="00036F18">
        <w:rPr>
          <w:rFonts w:ascii="Book Antiqua" w:eastAsiaTheme="minorEastAsia" w:hAnsi="Book Antiqua" w:cs="Arial" w:hint="eastAsia"/>
          <w:lang w:val="en-US" w:eastAsia="zh-CN"/>
        </w:rPr>
        <w:t xml:space="preserve"> per </w:t>
      </w:r>
      <w:r w:rsidRPr="00A77A01">
        <w:rPr>
          <w:rFonts w:ascii="Book Antiqua" w:hAnsi="Book Antiqua" w:cs="Arial"/>
          <w:lang w:val="en-US"/>
        </w:rPr>
        <w:t>day for 2 d, than 600-900 mg/m</w:t>
      </w:r>
      <w:r w:rsidRPr="00036F18">
        <w:rPr>
          <w:rFonts w:ascii="Book Antiqua" w:hAnsi="Book Antiqua" w:cs="Arial"/>
          <w:vertAlign w:val="superscript"/>
          <w:lang w:val="en-US"/>
        </w:rPr>
        <w:t>2</w:t>
      </w:r>
      <w:r w:rsidR="00036F18">
        <w:rPr>
          <w:rFonts w:ascii="Book Antiqua" w:eastAsiaTheme="minorEastAsia" w:hAnsi="Book Antiqua" w:cs="Arial" w:hint="eastAsia"/>
          <w:lang w:val="en-US" w:eastAsia="zh-CN"/>
        </w:rPr>
        <w:t xml:space="preserve"> per </w:t>
      </w:r>
      <w:r w:rsidRPr="00A77A01">
        <w:rPr>
          <w:rFonts w:ascii="Book Antiqua" w:hAnsi="Book Antiqua" w:cs="Arial"/>
          <w:lang w:val="en-US"/>
        </w:rPr>
        <w:t>day.</w:t>
      </w:r>
      <w:r w:rsidR="00150094" w:rsidRPr="00A77A01">
        <w:rPr>
          <w:rFonts w:ascii="Book Antiqua" w:hAnsi="Book Antiqua" w:cs="Arial"/>
          <w:lang w:val="en-US"/>
        </w:rPr>
        <w:t xml:space="preserve"> </w:t>
      </w:r>
      <w:r w:rsidRPr="00A77A01">
        <w:rPr>
          <w:rFonts w:ascii="Book Antiqua" w:hAnsi="Book Antiqua" w:cs="Arial"/>
          <w:lang w:val="en-US"/>
        </w:rPr>
        <w:t>Children were ra</w:t>
      </w:r>
      <w:r w:rsidR="00036F18">
        <w:rPr>
          <w:rFonts w:ascii="Book Antiqua" w:hAnsi="Book Antiqua" w:cs="Arial"/>
          <w:lang w:val="en-US"/>
        </w:rPr>
        <w:t>ndomized in two arms, including</w:t>
      </w:r>
      <w:r w:rsidR="00036F18">
        <w:rPr>
          <w:rFonts w:ascii="Book Antiqua" w:eastAsiaTheme="minorEastAsia" w:hAnsi="Book Antiqua" w:cs="Arial" w:hint="eastAsia"/>
          <w:lang w:val="en-US" w:eastAsia="zh-CN"/>
        </w:rPr>
        <w:t>:</w:t>
      </w:r>
      <w:r w:rsidRPr="00A77A01">
        <w:rPr>
          <w:rFonts w:ascii="Book Antiqua" w:hAnsi="Book Antiqua" w:cs="Arial"/>
          <w:lang w:val="en-US"/>
        </w:rPr>
        <w:t xml:space="preserve"> </w:t>
      </w:r>
      <w:r w:rsidR="00036F18">
        <w:rPr>
          <w:rFonts w:ascii="Book Antiqua" w:eastAsiaTheme="minorEastAsia" w:hAnsi="Book Antiqua" w:cs="Arial" w:hint="eastAsia"/>
          <w:lang w:val="en-US" w:eastAsia="zh-CN"/>
        </w:rPr>
        <w:t>(1</w:t>
      </w:r>
      <w:r w:rsidRPr="00A77A01">
        <w:rPr>
          <w:rFonts w:ascii="Book Antiqua" w:hAnsi="Book Antiqua" w:cs="Arial"/>
          <w:lang w:val="en-US"/>
        </w:rPr>
        <w:t>) Steroid free arm, daclizumab 2</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mg/</w:t>
      </w:r>
      <w:r w:rsidR="00036F18" w:rsidRPr="00A77A01">
        <w:rPr>
          <w:rFonts w:ascii="Book Antiqua" w:hAnsi="Book Antiqua" w:cs="Arial"/>
          <w:lang w:val="en-US"/>
        </w:rPr>
        <w:t>k</w:t>
      </w:r>
      <w:r w:rsidRPr="00A77A01">
        <w:rPr>
          <w:rFonts w:ascii="Book Antiqua" w:hAnsi="Book Antiqua" w:cs="Arial"/>
          <w:lang w:val="en-US"/>
        </w:rPr>
        <w:t>g pre transplant, at weeks 2,</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4,</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6,</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8,</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11 and months 4,</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5,</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6; </w:t>
      </w:r>
      <w:r w:rsidR="00036F18">
        <w:rPr>
          <w:rFonts w:ascii="Book Antiqua" w:eastAsiaTheme="minorEastAsia" w:hAnsi="Book Antiqua" w:cs="Arial" w:hint="eastAsia"/>
          <w:lang w:val="en-US" w:eastAsia="zh-CN"/>
        </w:rPr>
        <w:t>(2</w:t>
      </w:r>
      <w:r w:rsidRPr="00A77A01">
        <w:rPr>
          <w:rFonts w:ascii="Book Antiqua" w:hAnsi="Book Antiqua" w:cs="Arial"/>
          <w:lang w:val="en-US"/>
        </w:rPr>
        <w:t>) Steroid based arm, daclizumab 1</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mg/</w:t>
      </w:r>
      <w:r w:rsidR="00036F18" w:rsidRPr="00A77A01">
        <w:rPr>
          <w:rFonts w:ascii="Book Antiqua" w:hAnsi="Book Antiqua" w:cs="Arial"/>
          <w:lang w:val="en-US"/>
        </w:rPr>
        <w:t>k</w:t>
      </w:r>
      <w:r w:rsidRPr="00A77A01">
        <w:rPr>
          <w:rFonts w:ascii="Book Antiqua" w:hAnsi="Book Antiqua" w:cs="Arial"/>
          <w:lang w:val="en-US"/>
        </w:rPr>
        <w:t>g pre transplantation, at weeks 2,</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4,</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6,</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8. </w:t>
      </w:r>
      <w:r w:rsidRPr="00A77A01">
        <w:rPr>
          <w:rFonts w:ascii="Book Antiqua" w:hAnsi="Book Antiqua" w:cs="Arial"/>
          <w:bCs/>
          <w:lang w:val="en-US"/>
        </w:rPr>
        <w:t>Moreover, prednisone was given, MP 10 mg/</w:t>
      </w:r>
      <w:r w:rsidR="00036F18" w:rsidRPr="00A77A01">
        <w:rPr>
          <w:rFonts w:ascii="Book Antiqua" w:hAnsi="Book Antiqua" w:cs="Arial"/>
          <w:bCs/>
          <w:lang w:val="en-US"/>
        </w:rPr>
        <w:t>k</w:t>
      </w:r>
      <w:r w:rsidRPr="00A77A01">
        <w:rPr>
          <w:rFonts w:ascii="Book Antiqua" w:hAnsi="Book Antiqua" w:cs="Arial"/>
          <w:bCs/>
          <w:lang w:val="en-US"/>
        </w:rPr>
        <w:t>g perioperatively, followed by 2 mg/</w:t>
      </w:r>
      <w:r w:rsidR="00036F18" w:rsidRPr="00A77A01">
        <w:rPr>
          <w:rFonts w:ascii="Book Antiqua" w:hAnsi="Book Antiqua" w:cs="Arial"/>
          <w:bCs/>
          <w:lang w:val="en-US"/>
        </w:rPr>
        <w:t>k</w:t>
      </w:r>
      <w:r w:rsidRPr="00A77A01">
        <w:rPr>
          <w:rFonts w:ascii="Book Antiqua" w:hAnsi="Book Antiqua" w:cs="Arial"/>
          <w:bCs/>
          <w:lang w:val="en-US"/>
        </w:rPr>
        <w:t>g and 0.5, 0.3, 0.2, 0.1, 0.15, 0.1 mg/</w:t>
      </w:r>
      <w:r w:rsidR="00036F18" w:rsidRPr="00A77A01">
        <w:rPr>
          <w:rFonts w:ascii="Book Antiqua" w:hAnsi="Book Antiqua" w:cs="Arial"/>
          <w:bCs/>
          <w:lang w:val="en-US"/>
        </w:rPr>
        <w:t>k</w:t>
      </w:r>
      <w:r w:rsidRPr="00A77A01">
        <w:rPr>
          <w:rFonts w:ascii="Book Antiqua" w:hAnsi="Book Antiqua" w:cs="Arial"/>
          <w:bCs/>
          <w:lang w:val="en-US"/>
        </w:rPr>
        <w:t>g</w:t>
      </w:r>
      <w:r w:rsidR="00036F18">
        <w:rPr>
          <w:rFonts w:ascii="Book Antiqua" w:eastAsiaTheme="minorEastAsia" w:hAnsi="Book Antiqua" w:cs="Arial" w:hint="eastAsia"/>
          <w:bCs/>
          <w:lang w:val="en-US" w:eastAsia="zh-CN"/>
        </w:rPr>
        <w:t xml:space="preserve"> per </w:t>
      </w:r>
      <w:r w:rsidRPr="00A77A01">
        <w:rPr>
          <w:rFonts w:ascii="Book Antiqua" w:hAnsi="Book Antiqua" w:cs="Arial"/>
          <w:bCs/>
          <w:lang w:val="en-US"/>
        </w:rPr>
        <w:t>day at the end of weeks 1,</w:t>
      </w:r>
      <w:r w:rsidR="00036F18">
        <w:rPr>
          <w:rFonts w:ascii="Book Antiqua" w:eastAsiaTheme="minorEastAsia" w:hAnsi="Book Antiqua" w:cs="Arial" w:hint="eastAsia"/>
          <w:bCs/>
          <w:lang w:val="en-US" w:eastAsia="zh-CN"/>
        </w:rPr>
        <w:t xml:space="preserve"> </w:t>
      </w:r>
      <w:r w:rsidRPr="00A77A01">
        <w:rPr>
          <w:rFonts w:ascii="Book Antiqua" w:hAnsi="Book Antiqua" w:cs="Arial"/>
          <w:bCs/>
          <w:lang w:val="en-US"/>
        </w:rPr>
        <w:t>2,</w:t>
      </w:r>
      <w:r w:rsidR="00036F18">
        <w:rPr>
          <w:rFonts w:ascii="Book Antiqua" w:eastAsiaTheme="minorEastAsia" w:hAnsi="Book Antiqua" w:cs="Arial" w:hint="eastAsia"/>
          <w:bCs/>
          <w:lang w:val="en-US" w:eastAsia="zh-CN"/>
        </w:rPr>
        <w:t xml:space="preserve"> </w:t>
      </w:r>
      <w:r w:rsidRPr="00A77A01">
        <w:rPr>
          <w:rFonts w:ascii="Book Antiqua" w:hAnsi="Book Antiqua" w:cs="Arial"/>
          <w:bCs/>
          <w:lang w:val="en-US"/>
        </w:rPr>
        <w:t>4,</w:t>
      </w:r>
      <w:r w:rsidR="00036F18">
        <w:rPr>
          <w:rFonts w:ascii="Book Antiqua" w:eastAsiaTheme="minorEastAsia" w:hAnsi="Book Antiqua" w:cs="Arial" w:hint="eastAsia"/>
          <w:bCs/>
          <w:lang w:val="en-US" w:eastAsia="zh-CN"/>
        </w:rPr>
        <w:t xml:space="preserve"> </w:t>
      </w:r>
      <w:r w:rsidRPr="00A77A01">
        <w:rPr>
          <w:rFonts w:ascii="Book Antiqua" w:hAnsi="Book Antiqua" w:cs="Arial"/>
          <w:bCs/>
          <w:lang w:val="en-US"/>
        </w:rPr>
        <w:t>6,</w:t>
      </w:r>
      <w:r w:rsidR="00036F18">
        <w:rPr>
          <w:rFonts w:ascii="Book Antiqua" w:eastAsiaTheme="minorEastAsia" w:hAnsi="Book Antiqua" w:cs="Arial" w:hint="eastAsia"/>
          <w:bCs/>
          <w:lang w:val="en-US" w:eastAsia="zh-CN"/>
        </w:rPr>
        <w:t xml:space="preserve"> </w:t>
      </w:r>
      <w:r w:rsidRPr="00A77A01">
        <w:rPr>
          <w:rFonts w:ascii="Book Antiqua" w:hAnsi="Book Antiqua" w:cs="Arial"/>
          <w:bCs/>
          <w:lang w:val="en-US"/>
        </w:rPr>
        <w:t>16. The dose of 0.1 mg/</w:t>
      </w:r>
      <w:r w:rsidR="00036F18" w:rsidRPr="00A77A01">
        <w:rPr>
          <w:rFonts w:ascii="Book Antiqua" w:hAnsi="Book Antiqua" w:cs="Arial"/>
          <w:bCs/>
          <w:lang w:val="en-US"/>
        </w:rPr>
        <w:t>k</w:t>
      </w:r>
      <w:r w:rsidRPr="00A77A01">
        <w:rPr>
          <w:rFonts w:ascii="Book Antiqua" w:hAnsi="Book Antiqua" w:cs="Arial"/>
          <w:bCs/>
          <w:lang w:val="en-US"/>
        </w:rPr>
        <w:t>g</w:t>
      </w:r>
      <w:r w:rsidR="00036F18">
        <w:rPr>
          <w:rFonts w:ascii="Book Antiqua" w:hAnsi="Book Antiqua" w:cs="Arial"/>
          <w:bCs/>
          <w:lang w:val="en-US"/>
        </w:rPr>
        <w:t xml:space="preserve"> was achieved no later than six</w:t>
      </w:r>
      <w:r w:rsidRPr="00A77A01">
        <w:rPr>
          <w:rFonts w:ascii="Book Antiqua" w:hAnsi="Book Antiqua" w:cs="Arial"/>
          <w:bCs/>
          <w:lang w:val="en-US"/>
        </w:rPr>
        <w:t xml:space="preserve"> months post transplantation.</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After three years of follow-up no significant difference in estimated glomerular filtration rate (e-GFR) was found between the two</w:t>
      </w:r>
      <w:r w:rsidR="00BD3BD0" w:rsidRPr="00A77A01">
        <w:rPr>
          <w:rFonts w:ascii="Book Antiqua" w:hAnsi="Book Antiqua" w:cs="Arial"/>
          <w:lang w:val="en-US"/>
        </w:rPr>
        <w:t xml:space="preserve"> groups</w:t>
      </w:r>
      <w:r w:rsidR="00036F18">
        <w:rPr>
          <w:rFonts w:ascii="Book Antiqua" w:hAnsi="Book Antiqua" w:cs="Arial"/>
          <w:lang w:val="en-US"/>
        </w:rPr>
        <w:t xml:space="preserve"> </w:t>
      </w:r>
      <w:r w:rsidRPr="00A77A01">
        <w:rPr>
          <w:rFonts w:ascii="Book Antiqua" w:hAnsi="Book Antiqua" w:cs="Arial"/>
          <w:lang w:val="en-US"/>
        </w:rPr>
        <w:t>as well as in protocol biopsies at 6, 12 and 24 mo,</w:t>
      </w:r>
      <w:r w:rsidR="00BD3BD0" w:rsidRPr="00A77A01">
        <w:rPr>
          <w:rFonts w:ascii="Book Antiqua" w:hAnsi="Book Antiqua" w:cs="Arial"/>
          <w:lang w:val="en-US"/>
        </w:rPr>
        <w:t xml:space="preserve"> despite</w:t>
      </w:r>
      <w:r w:rsidRPr="00A77A01">
        <w:rPr>
          <w:rFonts w:ascii="Book Antiqua" w:hAnsi="Book Antiqua" w:cs="Arial"/>
          <w:lang w:val="en-US"/>
        </w:rPr>
        <w:t xml:space="preserve"> some borderline changes were slightly more frequent in the steroid-free group. This observation induced further subanalysis on subclinical inflammation and chronic renal graft injury in children who underwent this NIH organized RCT</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"10.1111/j.1600-6143.2012.04144.x", "ISSN" : "1600-6143", "PMID" : "22694733", "abstract" : "Steroid avoidance is safe and effective in children receiving kidney transplants in terms of graft function and survival, but the effects on allograft histology are unknown. In this multicenter trial, 130 pediatric renal transplant recipients were randomized to steroid-free (SF; n = 60) or steroid-based (SB; n = 70) immunosuppression, and underwent renal allograft biopsies at the time of graft dysfunction and per protocol at implantation and 6, 12 and 24 months after transplantation. Clinical follow-up was 3 years posttransplant. Subclinical acute rejection was present in 10.6% SF versus 11.3% SB biopsies at 6 months (p = 0.91), 0% SF versus 4.3% SB biopsies at 1 year (p = 0.21) and 0% versus 4.8% at 2 years (p = 0.20). Clinical acute rejection was present in 13.3% SF and 11.4% SB patients by 1 year (p = 0.74) and in 16.7% SF and 17.1% SB patients by 3 years (p = 0.94) after transplantation. The cumulative incidence of antibody-mediated rejection was 6.7% in SF and 2.9% in SB by 3 years after transplantation (p = 0.30). There was a significant increase in chronic histological damage over time (p &lt; 0.001), without difference between SF and SB patients. Smaller recipient size and higher donor age were the main risk factors for chronic histological injury in posttransplant biopsies.", "author" : [ { "dropping-particle" : "", "family" : "Naesens", "given" : "M", "non-dropping-particle" : "", "parse-names" : false, "suffix" : "" }, { "dropping-particle" : "", "family" : "Salvatierra", "given" : "O", "non-dropping-particle" : "", "parse-names" : false, "suffix" : "" }, { "dropping-particle" : "", "family" : "Benfield", "given" : "M", "non-dropping-particle" : "", "parse-names" : false, "suffix" : "" }, { "dropping-particle" : "", "family" : "Ettenger", "given" : "R B", "non-dropping-particle" : "", "parse-names" : false, "suffix" : "" }, { "dropping-particle" : "", "family" : "Dharnidharka", "given" : "V", "non-dropping-particle" : "", "parse-names" : false, "suffix" : "" }, { "dropping-particle" : "", "family" : "Harmon", "given" : "W", "non-dropping-particle" : "", "parse-names" : false, "suffix" : "" }, { "dropping-particle" : "", "family" : "Mathias", "given" : "R", "non-dropping-particle" : "", "parse-names" : false, "suffix" : "" }, { "dropping-particle" : "", "family" : "Sarwal", "given" : "M M", "non-dropping-particle" : "", "parse-names" : false, "suffix" : "" } ], "container-title" : "American journal of transplantation : official journal of the American Society of Transplantation and the American Society of Transplant Surgeons", "id" : "ITEM-1", "issue" : "10", "issued" : { "date-parts" : [ [ "2012", "10" ] ] }, "page" : "2730-43", "title" : "Subclinical inflammation and chronic renal allograft injury in a randomized trial on steroid avoidance in pediatric kidney transplantation.", "type" : "article-journal", "volume" : "12" }, "uris" : [ "http://www.mendeley.com/documents/?uuid=39d2f11d-7c50-44eb-a640-e8d09de7b304" ] } ], "mendeley" : { "previouslyFormattedCitation" : "&lt;sup&gt;[8]&lt;/sup&gt;"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[8]</w:t>
      </w:r>
      <w:r w:rsidR="00F54A93" w:rsidRPr="00A77A01">
        <w:rPr>
          <w:rFonts w:ascii="Book Antiqua" w:hAnsi="Book Antiqua" w:cs="Arial"/>
          <w:lang w:val="en-US"/>
        </w:rPr>
        <w:fldChar w:fldCharType="end"/>
      </w:r>
      <w:r w:rsidRPr="00A77A01">
        <w:rPr>
          <w:rFonts w:ascii="Book Antiqua" w:hAnsi="Book Antiqua" w:cs="Arial"/>
          <w:lang w:val="en-US"/>
        </w:rPr>
        <w:t>. No difference b</w:t>
      </w:r>
      <w:r w:rsidR="00036F18">
        <w:rPr>
          <w:rFonts w:ascii="Book Antiqua" w:hAnsi="Book Antiqua" w:cs="Arial"/>
          <w:lang w:val="en-US"/>
        </w:rPr>
        <w:t>etween steroid and steroid free</w:t>
      </w:r>
      <w:r w:rsidRPr="00A77A01">
        <w:rPr>
          <w:rFonts w:ascii="Book Antiqua" w:hAnsi="Book Antiqua" w:cs="Arial"/>
          <w:lang w:val="en-US"/>
        </w:rPr>
        <w:t xml:space="preserve"> regimens was found as far as T mediated rejection or T mediated borderline changes were concerned. There was a significant increase in blood pressure in children on steroids in comparison to those without it as well as an increase in cholesterol. Changes in height-Z score from baseline tended to</w:t>
      </w:r>
      <w:r w:rsidR="00036F18">
        <w:rPr>
          <w:rFonts w:ascii="Book Antiqua" w:hAnsi="Book Antiqua" w:cs="Arial"/>
          <w:lang w:val="en-US"/>
        </w:rPr>
        <w:t xml:space="preserve"> be different in the two groups</w:t>
      </w:r>
      <w:r w:rsidRPr="00A77A01">
        <w:rPr>
          <w:rFonts w:ascii="Book Antiqua" w:hAnsi="Book Antiqua" w:cs="Arial"/>
          <w:lang w:val="en-US"/>
        </w:rPr>
        <w:t xml:space="preserve"> over the first months after transplantation (as observed in TWIST RCT) but this effect was lost after one year of transplantation. From this RCT it was concluded that three year follow up of steroid free regimen in unsensitized recipients at first transplantation with double dose of daclizumab in comparison to children on steroids was safe and did not increase the frequency of PTLD. However, no significant difference was observed in linear growth at three years even though at 6 </w:t>
      </w:r>
      <w:proofErr w:type="gramStart"/>
      <w:r w:rsidRPr="00A77A01">
        <w:rPr>
          <w:rFonts w:ascii="Book Antiqua" w:hAnsi="Book Antiqua" w:cs="Arial"/>
          <w:lang w:val="en-US"/>
        </w:rPr>
        <w:t>mo</w:t>
      </w:r>
      <w:proofErr w:type="gramEnd"/>
      <w:r w:rsidRPr="00A77A01">
        <w:rPr>
          <w:rFonts w:ascii="Book Antiqua" w:hAnsi="Book Antiqua" w:cs="Arial"/>
          <w:lang w:val="en-US"/>
        </w:rPr>
        <w:t xml:space="preserve"> there was a better growth in the steroid free group. In this study 13% of children had a failure to maintain steroid-free regimen and had a worse prognosis </w:t>
      </w:r>
      <w:r w:rsidR="00BD3BD0" w:rsidRPr="00A77A01">
        <w:rPr>
          <w:rFonts w:ascii="Book Antiqua" w:hAnsi="Book Antiqua" w:cs="Arial"/>
          <w:lang w:val="en-US"/>
        </w:rPr>
        <w:t xml:space="preserve">compared to </w:t>
      </w:r>
      <w:r w:rsidRPr="00A77A01">
        <w:rPr>
          <w:rFonts w:ascii="Book Antiqua" w:hAnsi="Book Antiqua" w:cs="Arial"/>
          <w:lang w:val="en-US"/>
        </w:rPr>
        <w:t xml:space="preserve">those who maintained the steroid-free protocol, mostly due to difficulty to control acute rejection or to recurrence of original glomerulonephritis. </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 xml:space="preserve">A recent systematic review by Pascual </w:t>
      </w:r>
      <w:r w:rsidRPr="00036F18">
        <w:rPr>
          <w:rFonts w:ascii="Book Antiqua" w:hAnsi="Book Antiqua" w:cs="Arial"/>
          <w:i/>
          <w:lang w:val="en-US"/>
        </w:rPr>
        <w:t>et al</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"10.1093/ndt/gfr374", "ISSN" : "1460-2385", "PMID" : "21785040", "abstract" : "BACKGROUND: The safety and efficacy of early steroid withdrawal or avoidance in patients receiving a kidney transplant (KT) are controversial.\n\nMETHODS: We performed a systematic review and a meta-analysis of the randomized controlled studies about steroid avoidance or withdrawal after a few days in patients receiving a KT and treated with antibody induction and cyclosporine (CsA) or tacrolimus (Tac) plus mycophenolate mofetil (MMF) (nine available studies and 1934 participants).\n\nRESULTS: Death and graft loss (including or excluding death with function) were similar in steroid avoidance and control patients, with no differences between CsA and Tac studies. After steroid avoidance, acute rejection was more frequent than conventional steroid use in CsA trials [risk ratios (RR) 1.59, 95% confidence intervals (95% CI) 1.01-2.49] but not when Tac was used (RR 1.06, 95% CI 0.79-1.42). Steroid avoidance was associated with less frequent new-onset diabetes mellitus, but this decrease was only evident with CsA (RR 0.54, 95% CI 0.30-0.98), whereas this difference was not significant analysing Tac studies (RR 0.75, 95% CI 0.32-1.77). Despite this trend, the corresponding interaction tests were not statistically significant (P = 0.140 and P = 0.535, for acute rejection and new-onset diabetes mellitus, respectively). Serum creatinine, creatinine clearance, mean blood pressure, serum cholesterol and serum triglycerides were similar in both groups.\n\nCONCLUSIONS: Steroid avoidance or early withdrawal within the first 2 weeks is safe in KT recipients receiving induction with anti-interleukin-2 receptor antibodies or thymoglobulin and a drug regimen based on calcineurin inhibitor and MMF. However, the real benefits remain unclear.", "author" : [ { "dropping-particle" : "", "family" : "Pascual", "given" : "Julio", "non-dropping-particle" : "", "parse-names" : false, "suffix" : "" }, { "dropping-particle" : "", "family" : "Royuela", "given" : "Ana", "non-dropping-particle" : "", "parse-names" : false, "suffix" : "" }, { "dropping-particle" : "", "family" : "Galeano", "given" : "Cristina", "non-dropping-particle" : "", "parse-names" : false, "suffix" : "" }, { "dropping-particle" : "", "family" : "Crespo", "given" : "Marta", "non-dropping-particle" : "", "parse-names" : false, "suffix" : "" }, { "dropping-particle" : "", "family" : "Zamora", "given" : "Javier", "non-dropping-particle" : "", "parse-names" : false, "suffix" : "" } ], "container-title" : "Nephrology, dialysis, transplantation : official publication of the European Dialysis and Transplant Association - European Renal Association", "id" : "ITEM-1", "issue" : "2", "issued" : { "date-parts" : [ [ "2012", "2" ] ] }, "page" : "825-32", "title" : "Very early steroid withdrawal or complete avoidance for kidney transplant recipients: a systematic review.", "type" : "article-journal", "volume" : "27" }, "uris" : [ "http://www.mendeley.com/documents/?uuid=c10b1fac-a8e7-4470-910f-bc1651442fc9" ] } ], "mendeley" : { "previouslyFormattedCitation" : "&lt;sup&gt;[9]&lt;/sup&gt;"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[9]</w:t>
      </w:r>
      <w:r w:rsidR="00F54A93" w:rsidRPr="00A77A01">
        <w:rPr>
          <w:rFonts w:ascii="Book Antiqua" w:hAnsi="Book Antiqua" w:cs="Arial"/>
          <w:lang w:val="en-US"/>
        </w:rPr>
        <w:fldChar w:fldCharType="end"/>
      </w:r>
      <w:r w:rsidRPr="00A77A01">
        <w:rPr>
          <w:rFonts w:ascii="Book Antiqua" w:hAnsi="Book Antiqua" w:cs="Arial"/>
          <w:lang w:val="en-US"/>
        </w:rPr>
        <w:t xml:space="preserve"> including children and adults, concluded that the issue of steroid withdrawal is still cont</w:t>
      </w:r>
      <w:r w:rsidR="00036F18">
        <w:rPr>
          <w:rFonts w:ascii="Book Antiqua" w:hAnsi="Book Antiqua" w:cs="Arial"/>
          <w:lang w:val="en-US"/>
        </w:rPr>
        <w:t>roversial. After analysis of 9</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RCT and 1934 subjects investigated, death and graft loss were similar in steroid avoidance and control patients, with no differences between CsA and TAC studies. After steroid avoidance, acute rejection was more frequent than conventional steroid use in CsA trials but not when TAC was used. Steroid avoidance was associated with less frequent new-onset diabetes mellitus, but this decrease was only evident with CsA, whereas this difference was not significant analyzing</w:t>
      </w:r>
      <w:r w:rsidR="003A4D3D" w:rsidRPr="00A77A01">
        <w:rPr>
          <w:rFonts w:ascii="Book Antiqua" w:hAnsi="Book Antiqua" w:cs="Arial"/>
          <w:lang w:val="en-US"/>
        </w:rPr>
        <w:t xml:space="preserve"> </w:t>
      </w:r>
      <w:r w:rsidRPr="00A77A01">
        <w:rPr>
          <w:rFonts w:ascii="Book Antiqua" w:hAnsi="Book Antiqua" w:cs="Arial"/>
          <w:lang w:val="en-US"/>
        </w:rPr>
        <w:t xml:space="preserve">TAC studies. Despite this trend, the corresponding interaction tests were not statistically significant for acute rejection and new-onset diabetes mellitus, respectively. </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The conclusions from this meta-analysis were that steroid avoidance or early withdrawal within the first two weeks is safe in kidney transplant recipients receiving induction with anti-interleukin-2 receptor antibodies or thymoglobulin and a drug regimen based on calcineurin inhibitor and MMF. However, the real benefits remain unclear.</w:t>
      </w:r>
    </w:p>
    <w:p w:rsidR="0083554E" w:rsidRPr="00A77A01" w:rsidRDefault="0083554E" w:rsidP="00B871E1">
      <w:pPr>
        <w:spacing w:line="360" w:lineRule="auto"/>
        <w:jc w:val="both"/>
        <w:rPr>
          <w:rFonts w:ascii="Book Antiqua" w:hAnsi="Book Antiqua" w:cs="Arial"/>
          <w:lang w:val="en-US"/>
        </w:rPr>
      </w:pPr>
    </w:p>
    <w:p w:rsidR="0083554E" w:rsidRPr="00A77A01" w:rsidRDefault="0083554E" w:rsidP="00B871E1">
      <w:pPr>
        <w:spacing w:line="360" w:lineRule="auto"/>
        <w:jc w:val="both"/>
        <w:rPr>
          <w:rFonts w:ascii="Book Antiqua" w:hAnsi="Book Antiqua" w:cs="Arial"/>
          <w:b/>
          <w:caps/>
          <w:lang w:val="en-US"/>
        </w:rPr>
      </w:pPr>
      <w:r w:rsidRPr="00A77A01">
        <w:rPr>
          <w:rFonts w:ascii="Book Antiqua" w:hAnsi="Book Antiqua" w:cs="Arial"/>
          <w:b/>
          <w:caps/>
          <w:lang w:val="en-US"/>
        </w:rPr>
        <w:t>Calcineurin INHIBITORS–free protocols in paediatric renal transplantation</w:t>
      </w:r>
    </w:p>
    <w:p w:rsidR="0083554E" w:rsidRPr="00A77A01" w:rsidRDefault="0083554E" w:rsidP="00B871E1">
      <w:pPr>
        <w:spacing w:line="360" w:lineRule="auto"/>
        <w:jc w:val="both"/>
        <w:rPr>
          <w:rFonts w:ascii="Book Antiqua" w:hAnsi="Book Antiqua" w:cs="Arial"/>
          <w:lang w:val="en-US"/>
        </w:rPr>
      </w:pPr>
      <w:r w:rsidRPr="00A77A01">
        <w:rPr>
          <w:rFonts w:ascii="Book Antiqua" w:hAnsi="Book Antiqua" w:cs="Arial"/>
          <w:lang w:val="en-US"/>
        </w:rPr>
        <w:t>CNI carr</w:t>
      </w:r>
      <w:r w:rsidR="00036F18">
        <w:rPr>
          <w:rFonts w:ascii="Book Antiqua" w:hAnsi="Book Antiqua" w:cs="Arial"/>
          <w:lang w:val="en-US"/>
        </w:rPr>
        <w:t>y</w:t>
      </w:r>
      <w:r w:rsidRPr="00A77A01">
        <w:rPr>
          <w:rFonts w:ascii="Book Antiqua" w:hAnsi="Book Antiqua" w:cs="Arial"/>
          <w:lang w:val="en-US"/>
        </w:rPr>
        <w:t xml:space="preserve"> relevant side effects, including hirsutism, hypertension, diabetes, seizures and renal </w:t>
      </w:r>
      <w:proofErr w:type="gramStart"/>
      <w:r w:rsidRPr="00A77A01">
        <w:rPr>
          <w:rFonts w:ascii="Book Antiqua" w:hAnsi="Book Antiqua" w:cs="Arial"/>
          <w:lang w:val="en-US"/>
        </w:rPr>
        <w:t>toxicity which</w:t>
      </w:r>
      <w:proofErr w:type="gramEnd"/>
      <w:r w:rsidRPr="00A77A01">
        <w:rPr>
          <w:rFonts w:ascii="Book Antiqua" w:hAnsi="Book Antiqua" w:cs="Arial"/>
          <w:lang w:val="en-US"/>
        </w:rPr>
        <w:t xml:space="preserve"> contributes to long term graft loss. Hence the search for CNI free protocols is one of the frontiers for renal transplantation in children. The Renal transplantation Center in Atlanta</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reported a</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five-year experience using sirolimus (SRL)-based, CNI-free immunosuppression in pediatric renal transplantation</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"10.1111/j.1399-3046.2011.01477.x", "ISSN" : "1399-3046", "PMID" : "21338459", "abstract" : "From December 2003 to December 2008, we employed a protocol for withdrawing TAC and converting to SRL in a cohort of low-risk renal pediatric transplant recipients. We report our experience in these children with respect to graft survival, AR episodes, renal function, and adverse events. All patients received basiliximab induction and TAC, MMF, and prednisone. Criteria for conversion to SRL included first transplants without histologic evidence for AR on three-month surveillance biopsies. Patient exclusion criteria included AR prior to or before surveillance biopsies, polyoma (BK) virus nephropathy, a history of nephrotic syndrome, or multiple organ transplants. Fifty-one of 137 patients who received transplants from December 2003 to December 2008 met criteria for withdrawal of TAC and were converted to SRL. SRL was discontinued in 11 children because of adverse events within 12 months after conversion. Among the remaining 40 patients, actuarial graft survival was 91% at five yr. AR occurred in 13% of patients within one yr after conversion. Complications from SRL included aphthous ulcers (30%); viremia with BK virus (20%), EBV (13%), and CMV (3%); proteinuria (7%); elevated cholesterol (7%); diabetes mellitus (2%); thrombocytopenia (2%); erectile dysfunction (2%); and lymph edema (2%). SRL was discontinued in 20%, predominantly for aphthous ulcers. Our experience with SRL-based immunosuppression demonstrates that a CNI-free regimen can be successful in lower-risk patients meeting our selection criteria. Aphthous ulcers and BK virus viremia were the most prevalent adverse events.", "author" : [ { "dropping-particle" : "", "family" : "Hymes", "given" : "Leonard C", "non-dropping-particle" : "", "parse-names" : false, "suffix" : "" }, { "dropping-particle" : "", "family" : "Warshaw", "given" : "Barry L", "non-dropping-particle" : "", "parse-names" : false, "suffix" : "" } ], "container-title" : "Pediatric transplantation", "id" : "ITEM-1", "issue" : "4", "issued" : { "date-parts" : [ [ "2011", "6" ] ] }, "page" : "437-41", "title" : "Five-year experience using sirolimus-based, calcineurin inhibitor-free immunosuppression in pediatric renal transplantation.", "type" : "article-journal", "volume" : "15" }, "uris" : [ "http://www.mendeley.com/documents/?uuid=6925c0fe-30c3-4d31-b27a-7cf6168ab7a3" ] } ], "mendeley" : { "previouslyFormattedCitation" : "&lt;sup&gt;[10]&lt;/sup&gt;"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[10]</w:t>
      </w:r>
      <w:r w:rsidR="00F54A93" w:rsidRPr="00A77A01">
        <w:rPr>
          <w:rFonts w:ascii="Book Antiqua" w:hAnsi="Book Antiqua" w:cs="Arial"/>
          <w:lang w:val="en-US"/>
        </w:rPr>
        <w:fldChar w:fldCharType="end"/>
      </w:r>
      <w:r w:rsidR="00036F18">
        <w:rPr>
          <w:rFonts w:ascii="Book Antiqua" w:hAnsi="Book Antiqua" w:cs="Arial"/>
          <w:lang w:val="en-US"/>
        </w:rPr>
        <w:t>. A</w:t>
      </w:r>
      <w:r w:rsidRPr="00A77A01">
        <w:rPr>
          <w:rFonts w:ascii="Book Antiqua" w:hAnsi="Book Antiqua" w:cs="Arial"/>
          <w:lang w:val="en-US"/>
        </w:rPr>
        <w:t xml:space="preserve"> cohort of low-risk renal pediatric transplant recipients wa</w:t>
      </w:r>
      <w:r w:rsidR="00036F18">
        <w:rPr>
          <w:rFonts w:ascii="Book Antiqua" w:hAnsi="Book Antiqua" w:cs="Arial"/>
          <w:lang w:val="en-US"/>
        </w:rPr>
        <w:t>s switched from TAC to SRL. All</w:t>
      </w:r>
      <w:r w:rsidRPr="00A77A01">
        <w:rPr>
          <w:rFonts w:ascii="Book Antiqua" w:hAnsi="Book Antiqua" w:cs="Arial"/>
          <w:lang w:val="en-US"/>
        </w:rPr>
        <w:t xml:space="preserve"> children received basiliximab induction and TAC, M</w:t>
      </w:r>
      <w:r w:rsidR="00036F18">
        <w:rPr>
          <w:rFonts w:ascii="Book Antiqua" w:hAnsi="Book Antiqua" w:cs="Arial"/>
          <w:lang w:val="en-US"/>
        </w:rPr>
        <w:t xml:space="preserve">MF, and prednisone. Conversion </w:t>
      </w:r>
      <w:r w:rsidRPr="00A77A01">
        <w:rPr>
          <w:rFonts w:ascii="Book Antiqua" w:hAnsi="Book Antiqua" w:cs="Arial"/>
          <w:lang w:val="en-US"/>
        </w:rPr>
        <w:t>was pursued in cases at first transplant without history of nephrotic syndrome</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and without histologic evidence for acute rejection at three months after transplantation. Fifty-one children were converted from TAC to SRL. SRL was discontinued in 11 cases over the first year because of adverse events</w:t>
      </w:r>
      <w:r w:rsidR="003A4D3D" w:rsidRPr="00A77A01">
        <w:rPr>
          <w:rFonts w:ascii="Book Antiqua" w:hAnsi="Book Antiqua" w:cs="Arial"/>
          <w:lang w:val="en-US"/>
        </w:rPr>
        <w:t>, particularly in 20% of the cases for aphtous ulcers</w:t>
      </w:r>
      <w:r w:rsidRPr="00A77A01">
        <w:rPr>
          <w:rFonts w:ascii="Book Antiqua" w:hAnsi="Book Antiqua" w:cs="Arial"/>
          <w:lang w:val="en-US"/>
        </w:rPr>
        <w:t xml:space="preserve">. The remaining 40 children had 91% graft survival at five years. Acute rejection </w:t>
      </w:r>
      <w:r w:rsidR="00036F18">
        <w:rPr>
          <w:rFonts w:ascii="Book Antiqua" w:hAnsi="Book Antiqua" w:cs="Arial"/>
          <w:lang w:val="en-US"/>
        </w:rPr>
        <w:t>was detected in 13% of patients</w:t>
      </w:r>
      <w:r w:rsidRPr="00A77A01">
        <w:rPr>
          <w:rFonts w:ascii="Book Antiqua" w:hAnsi="Book Antiqua" w:cs="Arial"/>
          <w:lang w:val="en-US"/>
        </w:rPr>
        <w:t xml:space="preserve"> during the first year after conversion. BK viremia was detected in 20% and proteinuria in 7%. This study concluded t</w:t>
      </w:r>
      <w:r w:rsidR="00036F18">
        <w:rPr>
          <w:rFonts w:ascii="Book Antiqua" w:hAnsi="Book Antiqua" w:cs="Arial"/>
          <w:lang w:val="en-US"/>
        </w:rPr>
        <w:t>hat SRL-based immunosuppression</w:t>
      </w:r>
      <w:r w:rsidRPr="00A77A01">
        <w:rPr>
          <w:rFonts w:ascii="Book Antiqua" w:hAnsi="Book Antiqua" w:cs="Arial"/>
          <w:lang w:val="en-US"/>
        </w:rPr>
        <w:t xml:space="preserve"> associated with a CNI-free regimen can be successful in selected lower-risk patients, though the side effects are relevant. </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A very relevant issue in children transplantation is growth since</w:t>
      </w:r>
      <w:r w:rsidR="00232E8B" w:rsidRPr="00A77A01">
        <w:rPr>
          <w:rFonts w:ascii="Book Antiqua" w:hAnsi="Book Antiqua" w:cs="Arial"/>
          <w:lang w:val="en-US"/>
        </w:rPr>
        <w:t xml:space="preserve"> h</w:t>
      </w:r>
      <w:r w:rsidRPr="00A77A01">
        <w:rPr>
          <w:rFonts w:ascii="Book Antiqua" w:hAnsi="Book Antiqua" w:cs="Arial"/>
          <w:lang w:val="en-US"/>
        </w:rPr>
        <w:t>eight is compromised by</w:t>
      </w:r>
      <w:r w:rsidR="003A4D3D" w:rsidRPr="00A77A01">
        <w:rPr>
          <w:rFonts w:ascii="Book Antiqua" w:hAnsi="Book Antiqua" w:cs="Arial"/>
          <w:lang w:val="en-US"/>
        </w:rPr>
        <w:t xml:space="preserve"> previous</w:t>
      </w:r>
      <w:r w:rsidRPr="00A77A01">
        <w:rPr>
          <w:rFonts w:ascii="Book Antiqua" w:hAnsi="Book Antiqua" w:cs="Arial"/>
          <w:lang w:val="en-US"/>
        </w:rPr>
        <w:t xml:space="preserve"> long term-uremia</w:t>
      </w:r>
      <w:r w:rsidR="003A4D3D" w:rsidRPr="00A77A01">
        <w:rPr>
          <w:rFonts w:ascii="Book Antiqua" w:hAnsi="Book Antiqua" w:cs="Arial"/>
          <w:lang w:val="en-US"/>
        </w:rPr>
        <w:t xml:space="preserve">, </w:t>
      </w:r>
      <w:r w:rsidRPr="00A77A01">
        <w:rPr>
          <w:rFonts w:ascii="Book Antiqua" w:hAnsi="Book Antiqua" w:cs="Arial"/>
          <w:lang w:val="en-US"/>
        </w:rPr>
        <w:t>dialysis treatment, and children undergoing renal transplantation have to face the need of steroids</w:t>
      </w:r>
      <w:r w:rsidR="003A4D3D" w:rsidRPr="00A77A01">
        <w:rPr>
          <w:rFonts w:ascii="Book Antiqua" w:hAnsi="Book Antiqua" w:cs="Arial"/>
          <w:lang w:val="en-US"/>
        </w:rPr>
        <w:t xml:space="preserve"> after transplant</w:t>
      </w:r>
      <w:r w:rsidRPr="00A77A01">
        <w:rPr>
          <w:rFonts w:ascii="Book Antiqua" w:hAnsi="Book Antiqua" w:cs="Arial"/>
          <w:lang w:val="en-US"/>
        </w:rPr>
        <w:t>, which further limit</w:t>
      </w:r>
      <w:r w:rsidR="00150094" w:rsidRPr="00A77A01">
        <w:rPr>
          <w:rFonts w:ascii="Book Antiqua" w:hAnsi="Book Antiqua" w:cs="Arial"/>
          <w:lang w:val="en-US"/>
        </w:rPr>
        <w:t>s</w:t>
      </w:r>
      <w:r w:rsidRPr="00A77A01">
        <w:rPr>
          <w:rFonts w:ascii="Book Antiqua" w:hAnsi="Book Antiqua" w:cs="Arial"/>
          <w:lang w:val="en-US"/>
        </w:rPr>
        <w:t xml:space="preserve"> the possibility of attaining a satisfactory final height. A report from Heidelberg Group has recently investigated the growth in</w:t>
      </w:r>
      <w:r w:rsidR="00036F18">
        <w:rPr>
          <w:rFonts w:ascii="Book Antiqua" w:eastAsiaTheme="minorEastAsia" w:hAnsi="Book Antiqua" w:cs="Arial" w:hint="eastAsia"/>
          <w:lang w:val="en-US" w:eastAsia="zh-CN"/>
        </w:rPr>
        <w:t xml:space="preserve"> </w:t>
      </w:r>
      <w:r w:rsidR="00497B1D" w:rsidRPr="00A77A01">
        <w:rPr>
          <w:rFonts w:ascii="Book Antiqua" w:hAnsi="Book Antiqua" w:cs="Arial"/>
          <w:lang w:val="en-US"/>
        </w:rPr>
        <w:t>pediatric</w:t>
      </w:r>
      <w:r w:rsidRPr="00A77A01">
        <w:rPr>
          <w:rFonts w:ascii="Book Antiqua" w:hAnsi="Book Antiqua" w:cs="Arial"/>
          <w:lang w:val="en-US"/>
        </w:rPr>
        <w:t xml:space="preserve"> kidney transplant recipients on an everolimus- versus an MMF-based steroid-free immunosuppressive regimen</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"10.1111/tri.12148", "ISSN" : "1432-2277", "PMID" : "23865768", "abstract" : "Concerns have been raised that mammalian target of rapamycin inhibitors in pediatric transplant recipients might interfere with longitudinal bone growth by inhibition of growth factor signaling and growth plate chondrocyte proliferation. We therefore undertook a prospective nested, case-control study on longitudinal growth over 2 years in steroid-free pediatric renal transplant recipients. Fourteen patients on a steroid-free maintenance immunosuppressive regimen consisting of low-dose everolimus (EVR) in conjunction with low-dose cyclosporine (CsA) were compared to a matched cohort of 14 steroid-free patients on a standard dose mycophenolate mofetil (MMF) regimen in conjunction with a standard dose calcineurin inhibitor (CNI). The mean change in height standard deviation (SD) score in the first study year was 0.31 \u00b1 0.71 SD score in the EVR group compared to 0.31 \u00b1 0.64 SD score in the MMF group (P = 0.20). For the entire study period of 2 years, the change in height SD score in the EVR group was 0.43 \u00b1 0.81 SDS compared to 0.75 \u00b1 0.85 SDS in the MMF group (P = 0.32). The percentage of prepubertal patients experiencing catch-up growth, defined as an increase in height SD score \u22650.5 in 2 years, was similar in the EVR group (5/8, 65%) and the MMF group (6/8, 75%; P = 1.00). Longitudinal growth over 2 years in steroid-free pediatric patients on low-dose EVR and CsA is not different to that of a matched steroid-free control group on an immunosuppressive regimen with standard-dose CNI and MMF. Hence, low-dose EVR does not appear to negatively impact short-term growth in pediatric renal transplant recipients.", "author" : [ { "dropping-particle" : "", "family" : "Billing", "given" : "Heiko", "non-dropping-particle" : "", "parse-names" : false, "suffix" : "" }, { "dropping-particle" : "", "family" : "Burmeister", "given" : "Greta", "non-dropping-particle" : "", "parse-names" : false, "suffix" : "" }, { "dropping-particle" : "", "family" : "Plotnicki", "given" : "Lukasz", "non-dropping-particle" : "", "parse-names" : false, "suffix" : "" }, { "dropping-particle" : "", "family" : "Ahlenstiel", "given" : "Thurid", "non-dropping-particle" : "", "parse-names" : false, "suffix" : "" }, { "dropping-particle" : "", "family" : "Fichtner", "given" : "Alexander", "non-dropping-particle" : "", "parse-names" : false, "suffix" : "" }, { "dropping-particle" : "", "family" : "Sander", "given" : "Anja", "non-dropping-particle" : "", "parse-names" : false, "suffix" : "" }, { "dropping-particle" : "", "family" : "H\u00f6cker", "given" : "Britta", "non-dropping-particle" : "", "parse-names" : false, "suffix" : "" }, { "dropping-particle" : "", "family" : "T\u00f6nshoff", "given" : "Burkhard", "non-dropping-particle" : "", "parse-names" : false, "suffix" : "" }, { "dropping-particle" : "", "family" : "Pape", "given" : "Lars", "non-dropping-particle" : "", "parse-names" : false, "suffix" : "" } ], "container-title" : "Transplant international : official journal of the European Society for Organ Transplantation", "id" : "ITEM-1", "issue" : "9", "issued" : { "date-parts" : [ [ "2013", "9" ] ] }, "page" : "903-9", "title" : "Longitudinal growth on an everolimus- versus an MMF-based steroid-free immunosuppressive regimen in paediatric renal transplant recipients.", "type" : "article-journal", "volume" : "26" }, "uris" : [ "http://www.mendeley.com/documents/?uuid=84a90b18-5da5-46b9-ad48-f68ba9a40a3d" ] } ], "mendeley" : { "previouslyFormattedCitation" : "&lt;sup&gt;[11]&lt;/sup&gt;"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[11]</w:t>
      </w:r>
      <w:r w:rsidR="00F54A93" w:rsidRPr="00A77A01">
        <w:rPr>
          <w:rFonts w:ascii="Book Antiqua" w:hAnsi="Book Antiqua" w:cs="Arial"/>
          <w:lang w:val="en-US"/>
        </w:rPr>
        <w:fldChar w:fldCharType="end"/>
      </w:r>
      <w:r w:rsidRPr="00A77A01">
        <w:rPr>
          <w:rFonts w:ascii="Book Antiqua" w:hAnsi="Book Antiqua" w:cs="Arial"/>
          <w:lang w:val="en-GB"/>
        </w:rPr>
        <w:t xml:space="preserve">. </w:t>
      </w:r>
      <w:r w:rsidRPr="00A77A01">
        <w:rPr>
          <w:rFonts w:ascii="Book Antiqua" w:hAnsi="Book Antiqua" w:cs="Arial"/>
          <w:lang w:val="en-US"/>
        </w:rPr>
        <w:t>Indeed some concern</w:t>
      </w:r>
      <w:r w:rsidR="00036F18">
        <w:rPr>
          <w:rFonts w:ascii="Book Antiqua" w:hAnsi="Book Antiqua" w:cs="Arial"/>
          <w:lang w:val="en-US"/>
        </w:rPr>
        <w:t>s</w:t>
      </w:r>
      <w:r w:rsidRPr="00A77A01">
        <w:rPr>
          <w:rFonts w:ascii="Book Antiqua" w:hAnsi="Book Antiqua" w:cs="Arial"/>
          <w:lang w:val="en-US"/>
        </w:rPr>
        <w:t xml:space="preserve"> </w:t>
      </w:r>
      <w:r w:rsidR="00232E8B" w:rsidRPr="00A77A01">
        <w:rPr>
          <w:rFonts w:ascii="Book Antiqua" w:hAnsi="Book Antiqua" w:cs="Arial"/>
          <w:lang w:val="en-US"/>
        </w:rPr>
        <w:t xml:space="preserve">were </w:t>
      </w:r>
      <w:r w:rsidRPr="00A77A01">
        <w:rPr>
          <w:rFonts w:ascii="Book Antiqua" w:hAnsi="Book Antiqua" w:cs="Arial"/>
          <w:lang w:val="en-US"/>
        </w:rPr>
        <w:t xml:space="preserve">raised about the possible interference of mammalian target of rapamycin inhibitors (mTORi) in pediatric transplant recipients with bone growth by inhibition of growth factor signaling and growth plate chondrocyte proliferation. The study focused on longitudinal growth over 2 </w:t>
      </w:r>
      <w:r w:rsidR="00036F18">
        <w:rPr>
          <w:rFonts w:ascii="Book Antiqua" w:hAnsi="Book Antiqua" w:cs="Arial"/>
          <w:lang w:val="en-US"/>
        </w:rPr>
        <w:t>years in steroid-free pediatric</w:t>
      </w:r>
      <w:r w:rsidRPr="00A77A01">
        <w:rPr>
          <w:rFonts w:ascii="Book Antiqua" w:hAnsi="Book Antiqua" w:cs="Arial"/>
          <w:lang w:val="en-US"/>
        </w:rPr>
        <w:t xml:space="preserve"> kidney transplant recipients. Fourteen children on a steroid-free maintenance immunosuppressive regimen with low-dose everolimus (EVR) associated with low-dose CsA were compared to 14 children o</w:t>
      </w:r>
      <w:r w:rsidR="00036F18">
        <w:rPr>
          <w:rFonts w:ascii="Book Antiqua" w:hAnsi="Book Antiqua" w:cs="Arial"/>
          <w:lang w:val="en-US"/>
        </w:rPr>
        <w:t>n steroid-free</w:t>
      </w:r>
      <w:r w:rsidRPr="00A77A01">
        <w:rPr>
          <w:rFonts w:ascii="Book Antiqua" w:hAnsi="Book Antiqua" w:cs="Arial"/>
          <w:lang w:val="en-US"/>
        </w:rPr>
        <w:t xml:space="preserve"> protocol and standard MMF</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regimen in conjunction with a standard CNI dose. No difference in change in height standard deviation score was detected between EVR and MMF groups. Similarly, the percentage of prepubertal patients experiencing catch-up </w:t>
      </w:r>
      <w:proofErr w:type="gramStart"/>
      <w:r w:rsidRPr="00A77A01">
        <w:rPr>
          <w:rFonts w:ascii="Book Antiqua" w:hAnsi="Book Antiqua" w:cs="Arial"/>
          <w:lang w:val="en-US"/>
        </w:rPr>
        <w:t>growth,</w:t>
      </w:r>
      <w:proofErr w:type="gramEnd"/>
      <w:r w:rsidRPr="00A77A01">
        <w:rPr>
          <w:rFonts w:ascii="Book Antiqua" w:hAnsi="Book Antiqua" w:cs="Arial"/>
          <w:lang w:val="en-US"/>
        </w:rPr>
        <w:t xml:space="preserve"> was similar in children in the two protocols. The Authors concluded that low-dose EVR </w:t>
      </w:r>
      <w:r w:rsidR="00036F18">
        <w:rPr>
          <w:rFonts w:ascii="Book Antiqua" w:hAnsi="Book Antiqua" w:cs="Arial"/>
          <w:lang w:val="en-US"/>
        </w:rPr>
        <w:t>does not have a negative impact</w:t>
      </w:r>
      <w:r w:rsidRPr="00A77A01">
        <w:rPr>
          <w:rFonts w:ascii="Book Antiqua" w:hAnsi="Book Antiqua" w:cs="Arial"/>
          <w:lang w:val="en-US"/>
        </w:rPr>
        <w:t xml:space="preserve"> on growth in pediatric renal transplant recipients.</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 xml:space="preserve">A recently proposed drug for </w:t>
      </w:r>
      <w:r w:rsidR="00036F18">
        <w:rPr>
          <w:rFonts w:ascii="Book Antiqua" w:hAnsi="Book Antiqua" w:cs="Arial"/>
          <w:lang w:val="en-US"/>
        </w:rPr>
        <w:t>CNI free protocol is belatacept</w:t>
      </w:r>
      <w:r w:rsidRPr="00A77A01">
        <w:rPr>
          <w:rFonts w:ascii="Book Antiqua" w:hAnsi="Book Antiqua" w:cs="Arial"/>
          <w:lang w:val="en-US"/>
        </w:rPr>
        <w:t xml:space="preserve"> (which differs </w:t>
      </w:r>
      <w:r w:rsidR="000B59B5" w:rsidRPr="00A77A01">
        <w:rPr>
          <w:rFonts w:ascii="Book Antiqua" w:hAnsi="Book Antiqua" w:cs="Arial"/>
          <w:lang w:val="en-US"/>
        </w:rPr>
        <w:t>from abatacept</w:t>
      </w:r>
      <w:r w:rsidR="00C37380" w:rsidRPr="00A77A01">
        <w:rPr>
          <w:rFonts w:ascii="Book Antiqua" w:hAnsi="Book Antiqua" w:cs="Arial"/>
          <w:lang w:val="en-US"/>
        </w:rPr>
        <w:t xml:space="preserve"> </w:t>
      </w:r>
      <w:r w:rsidR="000B59B5" w:rsidRPr="00A77A01">
        <w:rPr>
          <w:rFonts w:ascii="Book Antiqua" w:hAnsi="Book Antiqua" w:cs="Arial"/>
          <w:lang w:val="en-US"/>
        </w:rPr>
        <w:t xml:space="preserve">only for </w:t>
      </w:r>
      <w:r w:rsidRPr="00A77A01">
        <w:rPr>
          <w:rFonts w:ascii="Book Antiqua" w:hAnsi="Book Antiqua" w:cs="Arial"/>
          <w:lang w:val="en-US"/>
        </w:rPr>
        <w:t xml:space="preserve">two aminoacids), a fusion protein constituted by the Fc fragment of human IgG1 linked to the extracellular domain of CTLA-4, which is crucial for T-cell costimulation. In pediatric kidney transplantation belatacept is a promising agent for allowing steroid-free and CNI free </w:t>
      </w:r>
      <w:r w:rsidR="00497B1D" w:rsidRPr="00A77A01">
        <w:rPr>
          <w:rFonts w:ascii="Book Antiqua" w:hAnsi="Book Antiqua" w:cs="Arial"/>
          <w:lang w:val="en-US"/>
        </w:rPr>
        <w:t>immunosuppression</w:t>
      </w:r>
      <w:r w:rsidRPr="00A77A01">
        <w:rPr>
          <w:rFonts w:ascii="Book Antiqua" w:hAnsi="Book Antiqua" w:cs="Arial"/>
          <w:lang w:val="en-US"/>
        </w:rPr>
        <w:t>. In a recent report</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"10.1111/ajt.12712", "ISSN" : "1600-6143", "PMID" : "24684552", "abstract" : "Kidney transplantation remains limited by toxicities of calcineurin inhibitors (CNIs) and steroids. Belatacept is a less toxic CNI alternative, but existing regimens rely on steroids and have higher rejection rates. Experimentally, donor bone marrow and sirolimus promote belatacept's efficacy. To investigate a belatacept-based regimen without CNIs or steroids, we transplanted recipients of live donor kidneys using alemtuzumab induction, monthly belatacept and daily sirolimus. Patients were randomized 1:1 to receive unfractionated donor bone marrow. After 1 year, patients were allowed to wean from sirolimus. Patients were followed clinically and with surveillance biopsies. Twenty patients were transplanted, all successfully. Mean creatinine (estimated GFR) was 1.10 \u00b1 0.07 mg/dL (89 \u00b1 3.56 mL/min) and 1.13 \u00b1 0.07 mg/dL (and 88 \u00b1 3.48 mL/min) at 12 and 36 months, respectively. Excellent results were achieved irrespective of bone marrow infusion. Ten patients elected oral immunosuppressant weaning, seven of whom were maintained rejection-free on monotherapy belatacept. Those failing to wean were successfully maintained on belatacept-based regimens supplemented by oral immunosuppression. Seven patients declined immunosuppressant weaning and three patients were denied weaning for associated medical conditions; all remained rejection-free. Belatacept and sirolimus effectively prevent kidney allograft rejection without CNIs or steroids when used following alemtuzumab induction. Selected, immunologically low-risk patients can be maintained solely on once monthly intravenous belatacept.", "author" : [ { "dropping-particle" : "", "family" : "Kirk", "given" : "A D", "non-dropping-particle" : "", "parse-names" : false, "suffix" : "" }, { "dropping-particle" : "", "family" : "Guasch", "given" : "A", "non-dropping-particle" : "", "parse-names" : false, "suffix" : "" }, { "dropping-particle" : "", "family" : "Xu", "given" : "H", "non-dropping-particle" : "", "parse-names" : false, "suffix" : "" }, { "dropping-particle" : "", "family" : "Cheeseman", "given" : "J", "non-dropping-particle" : "", "parse-names" : false, "suffix" : "" }, { "dropping-particle" : "", "family" : "Mead", "given" : "S I", "non-dropping-particle" : "", "parse-names" : false, "suffix" : "" }, { "dropping-particle" : "", "family" : "Ghali", "given" : "A", "non-dropping-particle" : "", "parse-names" : false, "suffix" : "" }, { "dropping-particle" : "", "family" : "Mehta", "given" : "A K", "non-dropping-particle" : "", "parse-names" : false, "suffix" : "" }, { "dropping-particle" : "", "family" : "Wu", "given" : "D", "non-dropping-particle" : "", "parse-names" : false, "suffix" : "" }, { "dropping-particle" : "", "family" : "Gebel", "given" : "H", "non-dropping-particle" : "", "parse-names" : false, "suffix" : "" }, { "dropping-particle" : "", "family" : "Bray", "given" : "R", "non-dropping-particle" : "", "parse-names" : false, "suffix" : "" }, { "dropping-particle" : "", "family" : "Horan", "given" : "J", "non-dropping-particle" : "", "parse-names" : false, "suffix" : "" }, { "dropping-particle" : "", "family" : "Kean", "given" : "L S", "non-dropping-particle" : "", "parse-names" : false, "suffix" : "" }, { "dropping-particle" : "", "family" : "Larsen", "given" : "C P", "non-dropping-particle" : "", "parse-names" : false, "suffix" : "" }, { "dropping-particle" : "", "family" : "Pearson", "given" : "T C", "non-dropping-particle" : "", "parse-names" : false, "suffix" : "" } ], "container-title" : "American journal of transplantation : official journal of the American Society of Transplantation and the American Society of Transplant Surgeons", "id" : "ITEM-1", "issue" : "5", "issued" : { "date-parts" : [ [ "2014", "5" ] ] }, "page" : "1142-51", "title" : "Renal transplantation using belatacept without maintenance steroids or calcineurin inhibitors.", "type" : "article-journal", "volume" : "14" }, "uris" : [ "http://www.mendeley.com/documents/?uuid=b63c5f13-8021-4043-a1a7-e08113c4de03" ] } ], "mendeley" : { "previouslyFormattedCitation" : "&lt;sup&gt;[12]&lt;/sup&gt;"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[12]</w:t>
      </w:r>
      <w:r w:rsidR="00F54A93" w:rsidRPr="00A77A01">
        <w:rPr>
          <w:rFonts w:ascii="Book Antiqua" w:hAnsi="Book Antiqua" w:cs="Arial"/>
          <w:lang w:val="en-US"/>
        </w:rPr>
        <w:fldChar w:fldCharType="end"/>
      </w:r>
      <w:r w:rsidRPr="00A77A01">
        <w:rPr>
          <w:rFonts w:ascii="Book Antiqua" w:hAnsi="Book Antiqua" w:cs="Arial"/>
          <w:lang w:val="en-US"/>
        </w:rPr>
        <w:t xml:space="preserve"> in </w:t>
      </w:r>
      <w:r w:rsidR="000B59B5" w:rsidRPr="00A77A01">
        <w:rPr>
          <w:rFonts w:ascii="Book Antiqua" w:hAnsi="Book Antiqua" w:cs="Arial"/>
          <w:lang w:val="en-US"/>
        </w:rPr>
        <w:t>living donor kidney</w:t>
      </w:r>
      <w:r w:rsidR="00232E8B" w:rsidRPr="00A77A01">
        <w:rPr>
          <w:rFonts w:ascii="Book Antiqua" w:hAnsi="Book Antiqua" w:cs="Arial"/>
          <w:lang w:val="en-US"/>
        </w:rPr>
        <w:t xml:space="preserve"> </w:t>
      </w:r>
      <w:r w:rsidRPr="00A77A01">
        <w:rPr>
          <w:rFonts w:ascii="Book Antiqua" w:hAnsi="Book Antiqua" w:cs="Arial"/>
          <w:lang w:val="en-US"/>
        </w:rPr>
        <w:t>transplant</w:t>
      </w:r>
      <w:r w:rsidR="000B59B5" w:rsidRPr="00A77A01">
        <w:rPr>
          <w:rFonts w:ascii="Book Antiqua" w:hAnsi="Book Antiqua" w:cs="Arial"/>
          <w:lang w:val="en-US"/>
        </w:rPr>
        <w:t xml:space="preserve"> </w:t>
      </w:r>
      <w:r w:rsidRPr="00A77A01">
        <w:rPr>
          <w:rFonts w:ascii="Book Antiqua" w:hAnsi="Book Antiqua" w:cs="Arial"/>
          <w:lang w:val="en-US"/>
        </w:rPr>
        <w:t>belatacept was used monthly in association with daily sirolimus. Belatacept and sirolimus effectively prevent</w:t>
      </w:r>
      <w:r w:rsidR="00232E8B" w:rsidRPr="00A77A01">
        <w:rPr>
          <w:rFonts w:ascii="Book Antiqua" w:hAnsi="Book Antiqua" w:cs="Arial"/>
          <w:lang w:val="en-US"/>
        </w:rPr>
        <w:t>ed</w:t>
      </w:r>
      <w:r w:rsidRPr="00A77A01">
        <w:rPr>
          <w:rFonts w:ascii="Book Antiqua" w:hAnsi="Book Antiqua" w:cs="Arial"/>
          <w:lang w:val="en-US"/>
        </w:rPr>
        <w:t xml:space="preserve"> kidney allograft rejection without CNIs or steroids when used following alemtuzumab induction. The effect of a similar protocol in children is under investigation. </w:t>
      </w:r>
    </w:p>
    <w:p w:rsidR="0083554E" w:rsidRPr="00A77A01" w:rsidRDefault="0083554E" w:rsidP="00B871E1">
      <w:pPr>
        <w:spacing w:line="360" w:lineRule="auto"/>
        <w:jc w:val="both"/>
        <w:rPr>
          <w:rFonts w:ascii="Book Antiqua" w:hAnsi="Book Antiqua" w:cs="Arial"/>
          <w:lang w:val="en-US"/>
        </w:rPr>
      </w:pPr>
    </w:p>
    <w:p w:rsidR="0083554E" w:rsidRPr="00036F18" w:rsidRDefault="0083554E" w:rsidP="00B871E1">
      <w:pPr>
        <w:spacing w:line="360" w:lineRule="auto"/>
        <w:jc w:val="both"/>
        <w:rPr>
          <w:rFonts w:ascii="Book Antiqua" w:eastAsiaTheme="minorEastAsia" w:hAnsi="Book Antiqua" w:cs="Arial"/>
          <w:b/>
          <w:caps/>
          <w:lang w:val="en-US" w:eastAsia="zh-CN"/>
        </w:rPr>
      </w:pPr>
      <w:r w:rsidRPr="00A77A01">
        <w:rPr>
          <w:rFonts w:ascii="Book Antiqua" w:hAnsi="Book Antiqua" w:cs="Arial"/>
          <w:b/>
          <w:caps/>
          <w:lang w:val="en-US"/>
        </w:rPr>
        <w:t xml:space="preserve">New induction protocols for renal transplantation in </w:t>
      </w:r>
      <w:r w:rsidR="00036F18">
        <w:rPr>
          <w:rFonts w:ascii="Book Antiqua" w:hAnsi="Book Antiqua" w:cs="Arial"/>
          <w:b/>
          <w:caps/>
          <w:lang w:val="en-US"/>
        </w:rPr>
        <w:t>children</w:t>
      </w:r>
    </w:p>
    <w:p w:rsidR="0083554E" w:rsidRPr="00A77A01" w:rsidRDefault="0083554E" w:rsidP="00B871E1">
      <w:pPr>
        <w:tabs>
          <w:tab w:val="left" w:pos="4320"/>
        </w:tabs>
        <w:spacing w:line="360" w:lineRule="auto"/>
        <w:jc w:val="both"/>
        <w:rPr>
          <w:rFonts w:ascii="Book Antiqua" w:hAnsi="Book Antiqua" w:cs="Arial"/>
          <w:lang w:val="en-US"/>
        </w:rPr>
      </w:pPr>
      <w:r w:rsidRPr="00A77A01">
        <w:rPr>
          <w:rFonts w:ascii="Book Antiqua" w:hAnsi="Book Antiqua" w:cs="Arial"/>
          <w:lang w:val="en-US"/>
        </w:rPr>
        <w:t>Alemtuzumab (Campath-1H) a humanized monoclonal antibody directed against CD52, is a new interesting option for induction with good results also in children</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"10.1097/TP.0b013e3181fc8937", "ISSN" : "1534-6080", "PMID" : "20935596", "abstract" : "BACKGROUND: Given the recent withdrawal of daclizumab (DAC), the safety and efficacy of thymoglobulin (TMG) was tested as an alternative induction agent for steroid-free (SF) immunosuppression in pediatric kidney transplant recipients.\n\nMETHODS: Thirteen pediatric renal transplant recipients meeting defined high-risk criteria at transplantation were offered TMG induction and SF immunosuppression with maintenance mycophenolate mofetil and tacrolimus between October 2008 and January 2010. Patients were closely monitored at baseline, 3, 6, 9, and 12 months posttransplant for protocol biopsy and clinical outcomes. Outcomes were compared with 13 consecutively transplanted low-risk patients receiving an established DAC-based SF protocol (Sarwal et al., WA, American Transplant Congress 2003).\n\nRESULTS: There was a significant trend for overall decrease in the absolute lymphocyte counts in TMG group (F=5.86, mixed model group effect P=0.02), predominately at 3 months compared with DAC group (0.7\u00b10.6 vs. 2.1\u00b11.0, P=0.0004); however, lymphocyte count was recovered and was back to reference range by 6 months in TMG. There was trend toward more subclinical cytomegalovirus (15% vs. 0%) and BK viremia (17% vs. 0%) in the TMG group, with no differences in the incidence of subclinical Epstein Barr virus viremia (23% vs. 31%) or clinical viral disease. Mean graft function was excellent, and with a minimum follow-up of 6 months, there were no episodes of acute rejection.\n\nCONCLUSION: TMG seems to be a safe alternative induction strategy in patients for SF immunosuppression in pediatric renal transplantation. Extended follow-up and greater enrollment are necessary to fully explore the impact of TMG dosing on viral replication posttransplantation.", "author" : [ { "dropping-particle" : "", "family" : "Li", "given" : "Li", "non-dropping-particle" : "", "parse-names" : false, "suffix" : "" }, { "dropping-particle" : "", "family" : "Chaudhuri", "given" : "Abanti", "non-dropping-particle" : "", "parse-names" : false, "suffix" : "" }, { "dropping-particle" : "", "family" : "Chen", "given" : "Amery", "non-dropping-particle" : "", "parse-names" : false, "suffix" : "" }, { "dropping-particle" : "", "family" : "Zhao", "given" : "Xinmeng", "non-dropping-particle" : "", "parse-names" : false, "suffix" : "" }, { "dropping-particle" : "", "family" : "Bezchinsky", "given" : "Maria", "non-dropping-particle" : "", "parse-names" : false, "suffix" : "" }, { "dropping-particle" : "", "family" : "Concepcion", "given" : "Waldo", "non-dropping-particle" : "", "parse-names" : false, "suffix" : "" }, { "dropping-particle" : "", "family" : "Salvatierra", "given" : "Oscar", "non-dropping-particle" : "", "parse-names" : false, "suffix" : "" }, { "dropping-particle" : "", "family" : "Sarwal", "given" : "Minnie M", "non-dropping-particle" : "", "parse-names" : false, "suffix" : "" } ], "container-title" : "Transplantation", "id" : "ITEM-1", "issue" : "12", "issued" : { "date-parts" : [ [ "2010", "12", "27" ] ] }, "page" : "1516-20", "title" : "Efficacy and safety of thymoglobulin induction as an alternative approach for steroid-free maintenance immunosuppression in pediatric renal transplantation.", "type" : "article-journal", "volume" : "90" }, "uris" : [ "http://www.mendeley.com/documents/?uuid=581ad69f-b880-4a77-920c-67b412fb08ea" ] }, { "id" : "ITEM-2", "itemData" : { "DOI" : "10.1681/ASN.2011040360", "ISSN" : "1533-3450", "PMID" : "22052056", "abstract" : "The incidence of developing circulating anti-human leukocyte antigen antibodies and the kinetics of T cell depletion and recovery among pediatric renal transplant recipients who receive alemtuzumab induction therapy are unknown. In a collaborative endeavor to minimize maintenance immunosuppression in pediatric renal transplant recipients, we enrolled 35 participants from four centers and treated them with alemtuzumab induction therapy and a steroid-free, calcineurin-inhibitor-withdrawal maintenance regimen. At 3 months after transplant, there was greater depletion of CD4(+) than CD8(+) T cells within the total, naive, memory, and effector memory subsets, although depletion of the central memory subset was similar for CD4(+) and CD8(+) cells. Although CD8(+) T cells recovered faster than CD4(+) subsets overall, they failed to return to pretransplant levels by 24 months after transplant. There was no evidence for greater recovery of either CD4(+) or CD8(+) memory cells than na\u00efve cells. Alemtuzumab relatively spared CD4(+)CD25(+)FoxP3(+) regulatory T cells, resulting in a rise in their numbers relative to total CD4(+) cells and a ratio that remained at least at pretransplant levels throughout the study period. Seven participants (20%) developed anti-human leukocyte antigen antibodies without adversely affecting allograft function or histology on 2-year biopsies. Long-term follow-up is underway to assess the potential benefits of this regimen in children.", "author" : [ { "dropping-particle" : "", "family" : "Serres", "given" : "Sacha a", "non-dropping-particle" : "De", "parse-names" : false, "suffix" : "" }, { "dropping-particle" : "", "family" : "Mfarrej", "given" : "Bechara G", "non-dropping-particle" : "", "parse-names" : false, "suffix" : "" }, { "dropping-particle" : "", "family" : "Magee", "given" : "Ciara N", "non-dropping-particle" : "", "parse-names" : false, "suffix" : "" }, { "dropping-particle" : "", "family" : "Benitez", "given" : "Fanny", "non-dropping-particle" : "", "parse-names" : false, "suffix" : "" }, { "dropping-particle" : "", "family" : "Ashoor", "given" : "Isa", "non-dropping-particle" : "", "parse-names" : false, "suffix" : "" }, { "dropping-particle" : "", "family" : "Sayegh", "given" : "Mohamed H", "non-dropping-particle" : "", "parse-names" : false, "suffix" : "" }, { "dropping-particle" : "", "family" : "Harmon", "given" : "William E", "non-dropping-particle" : "", "parse-names" : false, "suffix" : "" }, { "dropping-particle" : "", "family" : "Najafian", "given" : "Nader", "non-dropping-particle" : "", "parse-names" : false, "suffix" : "" } ], "container-title" : "Journal of the American Society of Nephrology : JASN", "id" : "ITEM-2", "issue" : "1", "issued" : { "date-parts" : [ [ "2012", "1" ] ] }, "page" : "174-82", "title" : "Immune profile of pediatric renal transplant recipients following alemtuzumab induction.", "type" : "article-journal", "volume" : "23" }, "uris" : [ "http://www.mendeley.com/documents/?uuid=9e4de4e4-307c-41b7-868f-19864f78b388" ] } ], "mendeley" : { "previouslyFormattedCitation" : "&lt;sup&gt;[13,14]&lt;/sup&gt;"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[13,14]</w:t>
      </w:r>
      <w:r w:rsidR="00F54A93" w:rsidRPr="00A77A01">
        <w:rPr>
          <w:rFonts w:ascii="Book Antiqua" w:hAnsi="Book Antiqua" w:cs="Arial"/>
          <w:lang w:val="en-US"/>
        </w:rPr>
        <w:fldChar w:fldCharType="end"/>
      </w:r>
      <w:r w:rsidRPr="00A77A01">
        <w:rPr>
          <w:rFonts w:ascii="Book Antiqua" w:hAnsi="Book Antiqua" w:cs="Arial"/>
          <w:lang w:val="en-US"/>
        </w:rPr>
        <w:t xml:space="preserve"> Alemtuzumab </w:t>
      </w:r>
      <w:r w:rsidR="00087C6D" w:rsidRPr="00A77A01">
        <w:rPr>
          <w:rFonts w:ascii="Book Antiqua" w:hAnsi="Book Antiqua" w:cs="Arial"/>
          <w:lang w:val="en-US"/>
        </w:rPr>
        <w:t>recognizes</w:t>
      </w:r>
      <w:r w:rsidRPr="00A77A01">
        <w:rPr>
          <w:rFonts w:ascii="Book Antiqua" w:hAnsi="Book Antiqua" w:cs="Arial"/>
          <w:lang w:val="en-US"/>
        </w:rPr>
        <w:t xml:space="preserve"> CD52, a glycoprotein expressed on T and B</w:t>
      </w:r>
      <w:r w:rsidR="003B03A1" w:rsidRPr="00A77A01">
        <w:rPr>
          <w:rFonts w:ascii="Book Antiqua" w:hAnsi="Book Antiqua" w:cs="Arial"/>
          <w:lang w:val="en-US"/>
        </w:rPr>
        <w:t xml:space="preserve"> </w:t>
      </w:r>
      <w:r w:rsidR="00087C6D" w:rsidRPr="00A77A01">
        <w:rPr>
          <w:rFonts w:ascii="Book Antiqua" w:hAnsi="Book Antiqua" w:cs="Arial"/>
          <w:lang w:val="en-US"/>
        </w:rPr>
        <w:t>lymphocytes</w:t>
      </w:r>
      <w:r w:rsidRPr="00A77A01">
        <w:rPr>
          <w:rFonts w:ascii="Book Antiqua" w:hAnsi="Book Antiqua" w:cs="Arial"/>
          <w:lang w:val="en-US"/>
        </w:rPr>
        <w:t>, monocytes and natural killer cells</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"10.1182/blood-2002-04-1093", "ISSN" : "0006-4971", "PMID" : "12393688", "abstract" : "Alemtuzumab (anti-CD52; Campath 1-H) depletes both host and donor T cells when used in preparative regimens for allogeneic transplantation. This promotes engraftment even after nonmyeloablative conditioning and limits graft-versus-host disease (GVHD) even after unrelated or major histocompatibility complex (MHC) disparate allografts. We asked whether anti-CD52 differentially targets antigen-presenting cells (APCs), in addition to depleting T cells. Monocyte-derived dendritic cells (moDCs) expressed abundant CD52 as expected. Langerhans cells (LCs) and dermal-interstitial DCs (DDC-IDCs), however, never expressed CD52. Immunostaining of skin and gut confirmed the absence of CD52 on these resident DC populations under both steady-state and inflammatory conditions. Although anti-CD52 functions primarily by antibody-dependent cellular cytotoxicity (ADCC) in vivo, assessment of its activity in vitro included complement-dependent lysis of CD52(+) cells. Anti-CD52 did not impair DC-T-cell adhesion, diminish DC-stimulated T-cell proliferation, or alter moDC development in vitro. We propose that anti-CD52 abrogates GVHD not only by T-cell depletion, but also by removing moDCs and their precursors. This would mitigate moDC phagocytosis and presentation of host-derived antigens to donor T cells in the inflammatory peritransplantation environment, thereby limiting GVHD. The sparing of LCs and DDC-IDCs by anti-CD52, as well as the recovery of donor-derived moDCs in a less inflammatory environment later after transplantation, may allow all these DCs to exert formative roles in graft-versus-tumor (GVT) reactions and immune reconstitution. Whether these results support a separation of deleterious from beneficial graft-host interactions at the level of antigen presentation, rather than solely at the level of T cells, will require further evaluation.", "author" : [ { "dropping-particle" : "", "family" : "Ratzinger", "given" : "Gudrun", "non-dropping-particle" : "", "parse-names" : false, "suffix" : "" }, { "dropping-particle" : "", "family" : "Reagan", "given" : "John L", "non-dropping-particle" : "", "parse-names" : false, "suffix" : "" }, { "dropping-particle" : "", "family" : "Heller", "given" : "Glenn", "non-dropping-particle" : "", "parse-names" : false, "suffix" : "" }, { "dropping-particle" : "", "family" : "Busam", "given" : "Klaus J", "non-dropping-particle" : "", "parse-names" : false, "suffix" : "" }, { "dropping-particle" : "", "family" : "Young", "given" : "James W", "non-dropping-particle" : "", "parse-names" : false, "suffix" : "" } ], "container-title" : "Blood", "id" : "ITEM-1", "issue" : "4", "issued" : { "date-parts" : [ [ "2003", "2", "15" ] ] }, "page" : "1422-9", "title" : "Differential CD52 expression by distinct myeloid dendritic cell subsets: implications for alemtuzumab activity at the level of antigen presentation in allogeneic graft-host interactions in transplantation.", "type" : "article-journal", "volume" : "101" }, "uris" : [ "http://www.mendeley.com/documents/?uuid=7eb98876-d73d-476a-bea8-0b9f63b0850e" ] }, { "id" : "ITEM-2", "itemData" : { "DOI" : "10.1097/01.TP.0000071362.99021.D9", "ISSN" : "0041-1337", "PMID" : "12865797", "abstract" : "BACKGROUND: Profound T-cell depletion before allotransplantation with gradual posttransplant T-cell repopulation induces a state of donor-specific immune hyporesponsiveness or tolerance in some animal models. Alemtuzumab (Campath-1H, Millennium Pharmaceuticals, Cambridge, MA) is a humanized CD52-specific monoclonal antibody that produces profound T-cell depletion in humans and reduces the need for maintenance immunosuppression after renal transplantation. We therefore performed a study to determine if pretransplant T-cell depletion with alemtuzumab would induce tolerance in human renal allografts and to evaluate the nature of the alloimmune response in the setting of T-cell depletion.\n\nMETHODS: Seven nonsensitized recipients of living-donor kidneys were treated perioperatively with alemtuzumab and followed postoperatively without maintenance immunosuppression. Patients were evaluated clinically by peripheral flow cytometry, protocol biopsies evaluated immunohistochemically, and real-time polymerase chain reaction-based transcriptional analysis.\n\nRESULTS: Lymphocyte depletion was profound in the periphery and secondary lymphoid tissues. All patients developed reversible rejection episodes within the first month that were characterized by predominantly monocytic (not lymphocytic) infiltrates with only rare T cells in the peripheral blood or allograft. These episodes were responsive to treatment with steroids or sirolimus or both. After therapy, patients remained rejection-free on reduced immunosuppression, generally monotherapy sirolimus, despite the recovery of lymphocytes to normal levels.\n\nCONCLUSIONS: T-cell depletion alone does not induce tolerance in humans. These data underscore a prominent role for early responding monocytes in human allograft rejection.", "author" : [ { "dropping-particle" : "", "family" : "Kirk", "given" : "Allan D", "non-dropping-particle" : "", "parse-names" : false, "suffix" : "" }, { "dropping-particle" : "", "family" : "Hale", "given" : "Douglas A", "non-dropping-particle" : "", "parse-names" : false, "suffix" : "" }, { "dropping-particle" : "", "family" : "Mannon", "given" : "Roslyn B", "non-dropping-particle" : "", "parse-names" : false, "suffix" : "" }, { "dropping-particle" : "", "family" : "Kleiner", "given" : "David E", "non-dropping-particle" : "", "parse-names" : false, "suffix" : "" }, { "dropping-particle" : "", "family" : "Hoffmann", "given" : "Steven C", "non-dropping-particle" : "", "parse-names" : false, "suffix" : "" }, { "dropping-particle" : "", "family" : "Kampen", "given" : "Robert L", "non-dropping-particle" : "", "parse-names" : false, "suffix" : "" }, { "dropping-particle" : "", "family" : "Cendales", "given" : "Linda K", "non-dropping-particle" : "", "parse-names" : false, "suffix" : "" }, { "dropping-particle" : "", "family" : "Tadaki", "given" : "Douglas K", "non-dropping-particle" : "", "parse-names" : false, "suffix" : "" }, { "dropping-particle" : "", "family" : "Harlan", "given" : "David M", "non-dropping-particle" : "", "parse-names" : false, "suffix" : "" }, { "dropping-particle" : "", "family" : "Swanson", "given" : "S John", "non-dropping-particle" : "", "parse-names" : false, "suffix" : "" } ], "container-title" : "Transplantation", "id" : "ITEM-2", "issue" : "1", "issued" : { "date-parts" : [ [ "2003", "7", "15" ] ] }, "page" : "120-9", "title" : "Results from a human renal allograft tolerance trial evaluating the humanized CD52-specific monoclonal antibody alemtuzumab (CAMPATH-1H).", "type" : "article-journal", "volume" : "76" }, "uris" : [ "http://www.mendeley.com/documents/?uuid=acafa501-3844-4eff-ba34-b90ce66abfb3" ] } ], "mendeley" : { "previouslyFormattedCitation" : "&lt;sup&gt;[15,16]&lt;/sup&gt;"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[15,16]</w:t>
      </w:r>
      <w:r w:rsidR="00F54A93" w:rsidRPr="00A77A01">
        <w:rPr>
          <w:rFonts w:ascii="Book Antiqua" w:hAnsi="Book Antiqua" w:cs="Arial"/>
          <w:lang w:val="en-US"/>
        </w:rPr>
        <w:fldChar w:fldCharType="end"/>
      </w:r>
      <w:r w:rsidR="00087C6D" w:rsidRPr="00A77A01">
        <w:rPr>
          <w:rFonts w:ascii="Book Antiqua" w:hAnsi="Book Antiqua" w:cs="Arial"/>
          <w:lang w:val="en-US"/>
        </w:rPr>
        <w:t>.</w:t>
      </w:r>
      <w:r w:rsidR="003B03A1" w:rsidRPr="00A77A01">
        <w:rPr>
          <w:rFonts w:ascii="Book Antiqua" w:hAnsi="Book Antiqua" w:cs="Arial"/>
          <w:lang w:val="en-US"/>
        </w:rPr>
        <w:t xml:space="preserve"> </w:t>
      </w:r>
      <w:r w:rsidR="00087C6D" w:rsidRPr="00A77A01">
        <w:rPr>
          <w:rFonts w:ascii="Book Antiqua" w:hAnsi="Book Antiqua" w:cs="Arial"/>
          <w:lang w:val="en-US"/>
        </w:rPr>
        <w:t xml:space="preserve">This drug </w:t>
      </w:r>
      <w:r w:rsidRPr="00A77A01">
        <w:rPr>
          <w:rFonts w:ascii="Book Antiqua" w:hAnsi="Book Antiqua" w:cs="Arial"/>
          <w:lang w:val="en-US"/>
        </w:rPr>
        <w:t>is the most efficient presently available lymphocyte-depleting agents, inducing, after a single administration</w:t>
      </w:r>
      <w:r w:rsidR="00576052" w:rsidRPr="00A77A01">
        <w:rPr>
          <w:rFonts w:ascii="Book Antiqua" w:hAnsi="Book Antiqua" w:cs="Arial"/>
          <w:lang w:val="en-US"/>
        </w:rPr>
        <w:t>,</w:t>
      </w:r>
      <w:r w:rsidRPr="00A77A01">
        <w:rPr>
          <w:rFonts w:ascii="Book Antiqua" w:hAnsi="Book Antiqua" w:cs="Arial"/>
          <w:lang w:val="en-US"/>
        </w:rPr>
        <w:t xml:space="preserve"> a prompt and prolonged depletion of circulating lymphocytes. Alemtuzumab was used since 1998</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"10.1016/S0140-6736(05)77739-4", "ISSN" : "0140-6736", "PMID" : "9734890", "author" : [ { "dropping-particle" : "", "family" : "Calne", "given" : "R", "non-dropping-particle" : "", "parse-names" : false, "suffix" : "" }, { "dropping-particle" : "", "family" : "Friend", "given" : "P", "non-dropping-particle" : "", "parse-names" : false, "suffix" : "" }, { "dropping-particle" : "", "family" : "Moffatt", "given" : "S", "non-dropping-particle" : "", "parse-names" : false, "suffix" : "" }, { "dropping-particle" : "", "family" : "Bradley", "given" : "A", "non-dropping-particle" : "", "parse-names" : false, "suffix" : "" }, { "dropping-particle" : "", "family" : "Hale", "given" : "G", "non-dropping-particle" : "", "parse-names" : false, "suffix" : "" }, { "dropping-particle" : "", "family" : "Firth", "given" : "J", "non-dropping-particle" : "", "parse-names" : false, "suffix" : "" }, { "dropping-particle" : "", "family" : "Bradley", "given" : "J", "non-dropping-particle" : "", "parse-names" : false, "suffix" : "" }, { "dropping-particle" : "", "family" : "Smith", "given" : "K", "non-dropping-particle" : "", "parse-names" : false, "suffix" : "" }, { "dropping-particle" : "", "family" : "Waldmann", "given" : "H", "non-dropping-particle" : "", "parse-names" : false, "suffix" : "" } ], "container-title" : "Lancet", "id" : "ITEM-1", "issue" : "9117", "issued" : { "date-parts" : [ [ "1998", "6", "6" ] ] }, "page" : "1701-2", "title" : "Prope tolerance, perioperative campath 1H, and low-dose cyclosporin monotherapy in renal allograft recipients.", "type" : "article-journal", "volume" : "351" }, "uris" : [ "http://www.mendeley.com/documents/?uuid=d46deeaa-2814-4cf2-b7e9-7d1f0bfa9311" ] } ], "mendeley" : { "previouslyFormattedCitation" : "&lt;sup&gt;[17]&lt;/sup&gt;"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[17]</w:t>
      </w:r>
      <w:r w:rsidR="00F54A93" w:rsidRPr="00A77A01">
        <w:rPr>
          <w:rFonts w:ascii="Book Antiqua" w:hAnsi="Book Antiqua" w:cs="Arial"/>
          <w:lang w:val="en-US"/>
        </w:rPr>
        <w:fldChar w:fldCharType="end"/>
      </w:r>
      <w:r w:rsidRPr="00A77A01">
        <w:rPr>
          <w:rFonts w:ascii="Book Antiqua" w:hAnsi="Book Antiqua" w:cs="Arial"/>
          <w:lang w:val="en-US"/>
        </w:rPr>
        <w:t xml:space="preserve"> with the interesting result of allowing a low-dose CsA monotherapy. Recent RCT in adults have shown lower frequency of acute rejection in comparison to basiliximab in patients non at high immunological risk</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"10.1016/S0140-6736(14)61095-3", "ISSN" : "01406736", "author" : [ { "dropping-particle" : "", "family" : "Study", "given" : "The", "non-dropping-particle" : "", "parse-names" : false, "suffix" : "" }, { "dropping-particle" : "", "family" : "Group", "given" : "Collaborative", "non-dropping-particle" : "", "parse-names" : false, "suffix" : "" } ], "container-title" : "The Lancet", "id" : "ITEM-1", "issue" : "14", "issued" : { "date-parts" : [ [ "2014", "7" ] ] }, "page" : "1-7", "publisher" : "Elsevier Ltd", "title" : "Alemtuzumab-based induction treatment versus basiliximab-based induction treatment in kidney transplantation (the 3C Study): a randomised trial", "type" : "article-journal", "volume" : "6736" }, "uris" : [ "http://www.mendeley.com/documents/?uuid=7495675b-2f73-4a71-a608-1ab1cf0327d4" ] }, { "id" : "ITEM-2", "itemData" : { "DOI" : "10.1016/S0140-6736(14)61174-0", "ISSN" : "1474-547X", "PMID" : "25078307", "author" : [ { "dropping-particle" : "", "family" : "Kuypers", "given" : "Dirk R J", "non-dropping-particle" : "", "parse-names" : false, "suffix" : "" } ], "container-title" : "Lancet", "id" : "ITEM-2", "issue" : "14", "issued" : { "date-parts" : [ [ "2014", "7", "26" ] ] }, "page" : "10-11", "publisher" : "Elsevier Ltd", "title" : "Alemtuzumab induction therapy in kidney transplantation.", "type" : "article-journal", "volume" : "6736" }, "uris" : [ "http://www.mendeley.com/documents/?uuid=00e028a5-1991-4b4d-a7c6-b6d93984be62" ] } ], "mendeley" : { "previouslyFormattedCitation" : "&lt;sup&gt;[18,19]&lt;/sup&gt;"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[18,19]</w:t>
      </w:r>
      <w:r w:rsidR="00F54A93" w:rsidRPr="00A77A01">
        <w:rPr>
          <w:rFonts w:ascii="Book Antiqua" w:hAnsi="Book Antiqua" w:cs="Arial"/>
          <w:lang w:val="en-US"/>
        </w:rPr>
        <w:fldChar w:fldCharType="end"/>
      </w:r>
      <w:r w:rsidRPr="00A77A01">
        <w:rPr>
          <w:rFonts w:ascii="Book Antiqua" w:hAnsi="Book Antiqua" w:cs="Arial"/>
          <w:lang w:val="en-US"/>
        </w:rPr>
        <w:t>. In children the first relevant experience was from Kidney Transplantation Center in Moskow, as Kaabak</w:t>
      </w:r>
      <w:r w:rsidRPr="00036F18">
        <w:rPr>
          <w:rFonts w:ascii="Book Antiqua" w:hAnsi="Book Antiqua" w:cs="Arial"/>
          <w:i/>
          <w:lang w:val="en-US"/>
        </w:rPr>
        <w:t xml:space="preserve"> et al</w:t>
      </w:r>
      <w:r w:rsidR="00036F18" w:rsidRPr="00A77A01">
        <w:rPr>
          <w:rFonts w:ascii="Book Antiqua" w:hAnsi="Book Antiqua" w:cs="Arial"/>
          <w:lang w:val="en-US"/>
        </w:rPr>
        <w:fldChar w:fldCharType="begin" w:fldLock="1"/>
      </w:r>
      <w:r w:rsidR="00036F18" w:rsidRPr="00A77A01">
        <w:rPr>
          <w:rFonts w:ascii="Book Antiqua" w:hAnsi="Book Antiqua" w:cs="Arial"/>
          <w:lang w:val="en-US"/>
        </w:rPr>
        <w:instrText>ADDIN CSL_CITATION { "citationItems" : [ { "id" : "ITEM-1", "itemData" : { "DOI" : "10.1111/petr.12048", "ISSN" : "1399-3046", "PMID" : "23442101", "abstract" : "Recipient parenchymal lymphatic cells are crucial for direct and indirect pathways of allorecognition. We proposed that alemtuzumab, being infused several weeks pretransplant could eradicate peripheral lymphatic cells and promote donor-specific tolerance. We present here a single center, retrospective review of 101 consecutive living-donor kidney transplantations to pediatric patients aged from seven month to 18 yr, performed between September 2006 and April 2010. Immunosupression protocol included two 30 mg doses of alemtuzumab: first given 12-29 d prior to transplantation and second at the time of transplantation. Maintenance immunosupression was based on combination of low dose and wide range CNI and mycophenolate. Patients were followed for 3.8 \u00b1 1.4 yr and protocol biopsies were taken one month, one, and three yr post transplant. The Kaplan-Meier graft and patient survival was 96% and 97% for one yr, 89% and 93% for three yr. Biopsy proven acute rejection developed in 26% patients at one yr and in 35% at two yr, no rejections occurred beyond two yr. We conclude that alemtuzumab pretreatment prior to living related donor kidney transplantation allows to reach satisfactory middle-term results in pediatric patients with wide range and low CNI concentrations.", "author" : [ { "dropping-particle" : "", "family" : "Kaabak", "given" : "Michael M", "non-dropping-particle" : "", "parse-names" : false, "suffix" : "" }, { "dropping-particle" : "", "family" : "Babenko", "given" : "Nadezda N", "non-dropping-particle" : "", "parse-names" : false, "suffix" : "" }, { "dropping-particle" : "V", "family" : "Samsonov", "given" : "Dmitry", "non-dropping-particle" : "", "parse-names" : false, "suffix" : "" }, { "dropping-particle" : "", "family" : "Sandrikov", "given" : "Valery a", "non-dropping-particle" : "", "parse-names" : false, "suffix" : "" }, { "dropping-particle" : "", "family" : "Maschan", "given" : "Alexey a", "non-dropping-particle" : "", "parse-names" : false, "suffix" : "" }, { "dropping-particle" : "", "family" : "Zokoev", "given" : "Alan K", "non-dropping-particle" : "", "parse-names" : false, "suffix" : "" } ], "container-title" : "Pediatric transplantation", "id" : "ITEM-1", "issue" : "2", "issued" : { "date-parts" : [ [ "2013", "3" ] ] }, "page" : "168-78", "title" : "Alemtuzumab induction in pediatric kidney transplantation.", "type" : "article-journal", "volume" : "17" }, "uris" : [ "http://www.mendeley.com/documents/?uuid=6a3b9135-4381-460d-8486-d8fb052c1963" ] } ], "mendeley" : { "previouslyFormattedCitation" : "&lt;sup&gt;[20]&lt;/sup&gt;" }, "properties" : { "noteIndex" : 0 }, "schema" : "https://github.com/citation-style-language/schema/raw/master/csl-citation.json" }</w:instrText>
      </w:r>
      <w:r w:rsidR="00036F18" w:rsidRPr="00A77A01">
        <w:rPr>
          <w:rFonts w:ascii="Book Antiqua" w:hAnsi="Book Antiqua" w:cs="Arial"/>
          <w:lang w:val="en-US"/>
        </w:rPr>
        <w:fldChar w:fldCharType="separate"/>
      </w:r>
      <w:r w:rsidR="00036F18" w:rsidRPr="00A77A01">
        <w:rPr>
          <w:rFonts w:ascii="Book Antiqua" w:hAnsi="Book Antiqua" w:cs="Arial"/>
          <w:noProof/>
          <w:vertAlign w:val="superscript"/>
          <w:lang w:val="en-US"/>
        </w:rPr>
        <w:t>[20]</w:t>
      </w:r>
      <w:r w:rsidR="00036F18" w:rsidRPr="00A77A01">
        <w:rPr>
          <w:rFonts w:ascii="Book Antiqua" w:hAnsi="Book Antiqua" w:cs="Arial"/>
          <w:lang w:val="en-US"/>
        </w:rPr>
        <w:fldChar w:fldCharType="end"/>
      </w:r>
      <w:r w:rsidRPr="00A77A01">
        <w:rPr>
          <w:rFonts w:ascii="Book Antiqua" w:hAnsi="Book Antiqua" w:cs="Arial"/>
          <w:lang w:val="en-US"/>
        </w:rPr>
        <w:t xml:space="preserve"> reported, in living related </w:t>
      </w:r>
      <w:r w:rsidR="00497B1D" w:rsidRPr="00A77A01">
        <w:rPr>
          <w:rFonts w:ascii="Book Antiqua" w:hAnsi="Book Antiqua" w:cs="Arial"/>
          <w:lang w:val="en-US"/>
        </w:rPr>
        <w:t>pediatric</w:t>
      </w:r>
      <w:r w:rsidRPr="00A77A01">
        <w:rPr>
          <w:rFonts w:ascii="Book Antiqua" w:hAnsi="Book Antiqua" w:cs="Arial"/>
          <w:lang w:val="en-US"/>
        </w:rPr>
        <w:t xml:space="preserve"> renal transplants. The rationale was to eradicate peripheral lymphomonocytes and induce donor- specific tolerance, by infusing</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two doses of 30 mg alemtuzumab, one 12-29 d prior to transplantation and the other at</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surgery. They reported a large experience on 101 living-donor kidney transplantations in pediatric recipients. The maintenance immunosuppression included low doses CNI and MMF. The mean follow-up </w:t>
      </w:r>
      <w:r w:rsidR="00036F18">
        <w:rPr>
          <w:rFonts w:ascii="Book Antiqua" w:hAnsi="Book Antiqua" w:cs="Arial"/>
          <w:lang w:val="en-US"/>
        </w:rPr>
        <w:t>was 3 years. Graft survival was</w:t>
      </w:r>
      <w:r w:rsidRPr="00A77A01">
        <w:rPr>
          <w:rFonts w:ascii="Book Antiqua" w:hAnsi="Book Antiqua" w:cs="Arial"/>
          <w:lang w:val="en-US"/>
        </w:rPr>
        <w:t xml:space="preserve"> 96% at one year and 89% at three years. Acute rejection was detected at protocol biopsies in 26% of children at one year and in 35% at two years, while no rejection was detected thereafter. The conclusion from this study were that alemtuzumab pretreatment before living related kidney transplantation is a good option allowing a reduction in usual doses of CNI and obtaining satisfactory middle-term results. </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A subsequent study performed by the Portland Group of pediatric kidney transplantation</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"10.1111/petr.12159", "ISSN" : "1399-3046", "PMID" : "24164824", "abstract" : "ALA induction in transplantation has been shown to reduce the need for maintenance immunosuppression. We report the outcome of 25 pediatric renal transplants between 2007 and 2010 using ALA induction followed by tacrolimus maintenance monotherapy. Patient ages were 1-19\u00a0yr (mean 14\u00a0\u00b1\u00a04.1\u00a0yr). Time of follow-up was 7-51\u00a0months (mean 26\u00a0\u00b1\u00a013\u00a0months). Tacrolimus monotherapy was maintained in 48% of patients, and glucocorticoids were avoided in 80% of recipients. Mean plasma creatinine and GFR at one\u00a0yr post-transplant were 0.88\u00a0\u00b1\u00a00.3\u00a0mg/dL and 104.4\u00a0\u00b1\u00a025\u00a0mL/min/1.73m(2) , respectively. One, two, and three-yr actuarial patient and graft survival rates were 100%. The incidence of early AR (&lt;12\u00a0months after transplantation) was 12%, while the incidence of late AR (after 12\u00a0months) was 16%. Forty-four percent of the recipients recovered normal, baseline renal function after an episode of AR, and 44% had persistent renal dysfunction (plasma creatinine 1.0-1.8\u00a0mg/dL). One graft was lost four\u00a0yr after transplantation due to medication non-compliance. Four (16%) patients developed BK or CMV infection. In our experience, ALA induction with tacrolimus monotherapy resulted in excellent short- and mid-term patient and graft survival in low-immunologic risk pediatric renal transplant recipients.", "author" : [ { "dropping-particle" : "", "family" : "Sung", "given" : "Jennifer", "non-dropping-particle" : "", "parse-names" : false, "suffix" : "" }, { "dropping-particle" : "", "family" : "Barry", "given" : "John M", "non-dropping-particle" : "", "parse-names" : false, "suffix" : "" }, { "dropping-particle" : "", "family" : "Jenkins", "given" : "Randy", "non-dropping-particle" : "", "parse-names" : false, "suffix" : "" }, { "dropping-particle" : "", "family" : "Rozansky", "given" : "David", "non-dropping-particle" : "", "parse-names" : false, "suffix" : "" }, { "dropping-particle" : "", "family" : "Iragorri", "given" : "Sandra", "non-dropping-particle" : "", "parse-names" : false, "suffix" : "" }, { "dropping-particle" : "", "family" : "Conlin", "given" : "Michael", "non-dropping-particle" : "", "parse-names" : false, "suffix" : "" }, { "dropping-particle" : "", "family" : "Al-Uzri", "given" : "Amira", "non-dropping-particle" : "", "parse-names" : false, "suffix" : "" } ], "container-title" : "Pediatric transplantation", "id" : "ITEM-1", "issue" : "8", "issued" : { "date-parts" : [ [ "2013", "12" ] ] }, "page" : "718-25", "title" : "Alemtuzumab induction with tacrolimus monotherapy in 25 pediatric renal transplant recipients.", "type" : "article-journal", "volume" : "17" }, "uris" : [ "http://www.mendeley.com/documents/?uuid=857d7256-1ea9-4ddc-9208-7eaef27a32b4" ] } ], "mendeley" : { "previouslyFormattedCitation" : "&lt;sup&gt;[21]&lt;/sup&gt;"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[21]</w:t>
      </w:r>
      <w:r w:rsidR="00F54A93" w:rsidRPr="00A77A01">
        <w:rPr>
          <w:rFonts w:ascii="Book Antiqua" w:hAnsi="Book Antiqua" w:cs="Arial"/>
          <w:lang w:val="en-US"/>
        </w:rPr>
        <w:fldChar w:fldCharType="end"/>
      </w:r>
      <w:r w:rsidRPr="00A77A01">
        <w:rPr>
          <w:rFonts w:ascii="Book Antiqua" w:hAnsi="Book Antiqua" w:cs="Arial"/>
          <w:lang w:val="en-US"/>
        </w:rPr>
        <w:t xml:space="preserve"> investigated the effects of alemtuzumab, 0.5 mg/</w:t>
      </w:r>
      <w:r w:rsidR="00036F18" w:rsidRPr="00A77A01">
        <w:rPr>
          <w:rFonts w:ascii="Book Antiqua" w:hAnsi="Book Antiqua" w:cs="Arial"/>
          <w:lang w:val="en-US"/>
        </w:rPr>
        <w:t>k</w:t>
      </w:r>
      <w:r w:rsidRPr="00A77A01">
        <w:rPr>
          <w:rFonts w:ascii="Book Antiqua" w:hAnsi="Book Antiqua" w:cs="Arial"/>
          <w:lang w:val="en-US"/>
        </w:rPr>
        <w:t>g for a maximum of 30 mg, in</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25 children undergoing cadaveric kidney transplantation, in whom the drug was given after anesthesia, before kidney transplantation. MP was given 10 mg/</w:t>
      </w:r>
      <w:r w:rsidR="00036F18" w:rsidRPr="00A77A01">
        <w:rPr>
          <w:rFonts w:ascii="Book Antiqua" w:hAnsi="Book Antiqua" w:cs="Arial"/>
          <w:lang w:val="en-US"/>
        </w:rPr>
        <w:t>k</w:t>
      </w:r>
      <w:r w:rsidRPr="00A77A01">
        <w:rPr>
          <w:rFonts w:ascii="Book Antiqua" w:hAnsi="Book Antiqua" w:cs="Arial"/>
          <w:lang w:val="en-US"/>
        </w:rPr>
        <w:t>g peri-operatively and before revascularization. Children received steroid therapy for other four days. TAC as monotherapy was initiated at day 1 (</w:t>
      </w:r>
      <w:r w:rsidR="00DA3C8A" w:rsidRPr="00A77A01">
        <w:rPr>
          <w:rFonts w:ascii="Book Antiqua" w:hAnsi="Book Antiqua" w:cs="Arial"/>
          <w:lang w:val="en-US"/>
        </w:rPr>
        <w:t xml:space="preserve">target through levels of </w:t>
      </w:r>
      <w:r w:rsidRPr="00A77A01">
        <w:rPr>
          <w:rFonts w:ascii="Book Antiqua" w:hAnsi="Book Antiqua" w:cs="Arial"/>
          <w:lang w:val="en-US"/>
        </w:rPr>
        <w:t xml:space="preserve">8-10 </w:t>
      </w:r>
      <w:r w:rsidR="00DA3C8A" w:rsidRPr="00A77A01">
        <w:rPr>
          <w:rFonts w:ascii="Book Antiqua" w:hAnsi="Book Antiqua" w:cs="Arial"/>
          <w:lang w:val="en-US"/>
        </w:rPr>
        <w:t>n</w:t>
      </w:r>
      <w:r w:rsidRPr="00A77A01">
        <w:rPr>
          <w:rFonts w:ascii="Book Antiqua" w:hAnsi="Book Antiqua" w:cs="Arial"/>
          <w:lang w:val="en-US"/>
        </w:rPr>
        <w:t>g/m</w:t>
      </w:r>
      <w:r w:rsidR="00036F18" w:rsidRPr="00A77A01">
        <w:rPr>
          <w:rFonts w:ascii="Book Antiqua" w:hAnsi="Book Antiqua" w:cs="Arial"/>
          <w:lang w:val="en-US"/>
        </w:rPr>
        <w:t>L</w:t>
      </w:r>
      <w:r w:rsidRPr="00A77A01">
        <w:rPr>
          <w:rFonts w:ascii="Book Antiqua" w:hAnsi="Book Antiqua" w:cs="Arial"/>
          <w:lang w:val="en-US"/>
        </w:rPr>
        <w:t xml:space="preserve"> over 6 mo, then 6-8 ng/m</w:t>
      </w:r>
      <w:r w:rsidR="00036F18" w:rsidRPr="00A77A01">
        <w:rPr>
          <w:rFonts w:ascii="Book Antiqua" w:hAnsi="Book Antiqua" w:cs="Arial"/>
          <w:lang w:val="en-US"/>
        </w:rPr>
        <w:t>L</w:t>
      </w:r>
      <w:r w:rsidRPr="00A77A01">
        <w:rPr>
          <w:rFonts w:ascii="Book Antiqua" w:hAnsi="Book Antiqua" w:cs="Arial"/>
          <w:lang w:val="en-US"/>
        </w:rPr>
        <w:t>). MMF was added only in cases of high immunological risk or prolonged delayed graft function. Over a mean follow-up of two years, TAC monotherapy was maintained in 48% of children, and steroids were avoided in 80%. The actuarial survival rate at 3 years was 100%.Acute rejection rate was 12% within the first year and 16% in the following two years. The frequency of BK or CMV infection was 16%.</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The Authors concluded that alemtuzumab induction with T</w:t>
      </w:r>
      <w:r w:rsidR="00036F18">
        <w:rPr>
          <w:rFonts w:ascii="Book Antiqua" w:hAnsi="Book Antiqua" w:cs="Arial"/>
          <w:lang w:val="en-US"/>
        </w:rPr>
        <w:t>AC monotherapy is a good option</w:t>
      </w:r>
      <w:r w:rsidRPr="00A77A01">
        <w:rPr>
          <w:rFonts w:ascii="Book Antiqua" w:hAnsi="Book Antiqua" w:cs="Arial"/>
          <w:lang w:val="en-US"/>
        </w:rPr>
        <w:t xml:space="preserve"> for </w:t>
      </w:r>
      <w:r w:rsidR="00DA3C8A" w:rsidRPr="00A77A01">
        <w:rPr>
          <w:rFonts w:ascii="Book Antiqua" w:hAnsi="Book Antiqua" w:cs="Arial"/>
          <w:lang w:val="en-US"/>
        </w:rPr>
        <w:t xml:space="preserve">children with </w:t>
      </w:r>
      <w:r w:rsidRPr="00A77A01">
        <w:rPr>
          <w:rFonts w:ascii="Book Antiqua" w:hAnsi="Book Antiqua" w:cs="Arial"/>
          <w:lang w:val="en-US"/>
        </w:rPr>
        <w:t>low immunologic</w:t>
      </w:r>
      <w:r w:rsidR="00DA3C8A" w:rsidRPr="00A77A01">
        <w:rPr>
          <w:rFonts w:ascii="Book Antiqua" w:hAnsi="Book Antiqua" w:cs="Arial"/>
          <w:lang w:val="en-US"/>
        </w:rPr>
        <w:t>al</w:t>
      </w:r>
      <w:r w:rsidRPr="00A77A01">
        <w:rPr>
          <w:rFonts w:ascii="Book Antiqua" w:hAnsi="Book Antiqua" w:cs="Arial"/>
          <w:lang w:val="en-US"/>
        </w:rPr>
        <w:t xml:space="preserve"> risk </w:t>
      </w:r>
      <w:r w:rsidR="00DA3C8A" w:rsidRPr="00A77A01">
        <w:rPr>
          <w:rFonts w:ascii="Book Antiqua" w:hAnsi="Book Antiqua" w:cs="Arial"/>
          <w:lang w:val="en-US"/>
        </w:rPr>
        <w:t xml:space="preserve">ensuring </w:t>
      </w:r>
      <w:r w:rsidRPr="00A77A01">
        <w:rPr>
          <w:rFonts w:ascii="Book Antiqua" w:hAnsi="Book Antiqua" w:cs="Arial"/>
          <w:lang w:val="en-US"/>
        </w:rPr>
        <w:t>excellent short and medium-term follow-up outcome.</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A recent report</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provided</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 xml:space="preserve">interesting results of 7 years follow-up in children treated with alemtuzumab and corticosteroid minimization after cadaveric renal transplantation </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"10.1111/petr.12253", "ISSN" : "1399-3046", "PMID" : "24712738", "abstract" : "Alemtuzumab is a monoclonal antibody targeting CD52 receptors on B and T lymphocytes and is an effective induction agent in pediatric renal transplantation. We report a seven-yr experience using alemtuzumab induction and steroid-free protocol in the pediatric population as safe and effective. Twenty-one pediatric deceased donor renal transplants were performed at a single academic institution. All received induction with single-dose alemtuzumab and were maintained on a steroid-free protocol using TAC and MMF immunosuppression. There were 15 males and six females in the study whose ages ranged from one to 19 yr. The average follow-up was 32 months (range from 12 to 78.2 months and median 33.7 \u00b1 23.7 months). All patients had immediate graft function. Graft survival was 95%, and patient survival was 100%. Mean 12 and 36 months eGFR were 63.33 \u00b1 21.01 and 59.90 \u00b1 15.27 mL/min/1.73m(2), respectively. Three patients developed acute T-cell-mediated rejection due to non-adherence while no recipients developed cytomegalovirus infection, PTLD, or polyoma BK viral nephropathy. Steroid avoidance with single-dose alemtuzumab induction provides adequate and safe immunosuppression in pediatric deceased donor renal transplant recipients receiving TAC and low-dose MMF maintenance therapy.", "author" : [ { "dropping-particle" : "", "family" : "Supe-Markovina", "given" : "Katarina", "non-dropping-particle" : "", "parse-names" : false, "suffix" : "" }, { "dropping-particle" : "", "family" : "Melquist", "given" : "Jonathan J", "non-dropping-particle" : "", "parse-names" : false, "suffix" : "" }, { "dropping-particle" : "", "family" : "Connolly", "given" : "Deirdre", "non-dropping-particle" : "", "parse-names" : false, "suffix" : "" }, { "dropping-particle" : "", "family" : "DiCarlo", "given" : "Heather N", "non-dropping-particle" : "", "parse-names" : false, "suffix" : "" }, { "dropping-particle" : "", "family" : "Waltzer", "given" : "Wayne C", "non-dropping-particle" : "", "parse-names" : false, "suffix" : "" }, { "dropping-particle" : "", "family" : "Fine", "given" : "Richard N", "non-dropping-particle" : "", "parse-names" : false, "suffix" : "" }, { "dropping-particle" : "", "family" : "Darras", "given" : "Frank S", "non-dropping-particle" : "", "parse-names" : false, "suffix" : "" } ], "container-title" : "Pediatric transplantation", "id" : "ITEM-1", "issue" : "4", "issued" : { "date-parts" : [ [ "2014", "7" ] ] }, "page" : "363-8", "title" : "Alemtuzumab with corticosteroid minimization for pediatric deceased donor renal transplantation: a seven-yr experience.", "type" : "article-journal", "volume" : "18" }, "uris" : [ "http://www.mendeley.com/documents/?uuid=3d44f0db-95f2-421b-92f7-b9874d1f3ac6" ] } ], "mendeley" : { "previouslyFormattedCitation" : "&lt;sup&gt;[22]&lt;/sup&gt;"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[22]</w:t>
      </w:r>
      <w:r w:rsidR="00F54A93" w:rsidRPr="00A77A01">
        <w:rPr>
          <w:rFonts w:ascii="Book Antiqua" w:hAnsi="Book Antiqua" w:cs="Arial"/>
          <w:lang w:val="en-US"/>
        </w:rPr>
        <w:fldChar w:fldCharType="end"/>
      </w:r>
      <w:r w:rsidRPr="00A77A01">
        <w:rPr>
          <w:rFonts w:ascii="Book Antiqua" w:hAnsi="Book Antiqua" w:cs="Arial"/>
          <w:lang w:val="en-US"/>
        </w:rPr>
        <w:t xml:space="preserve">. The maintenance therapy was a steroid-free regimen with TAC and MMF immunosuppression. All children had immediate graft function and graft survival was excellent (95%). No patient had cytomegalovirus infection, PTLD or polyoma BK nephropathy. The conclusion of this study was that steroid avoidance provided </w:t>
      </w:r>
      <w:r w:rsidR="00DA3C8A" w:rsidRPr="00A77A01">
        <w:rPr>
          <w:rFonts w:ascii="Book Antiqua" w:hAnsi="Book Antiqua" w:cs="Arial"/>
          <w:lang w:val="en-US"/>
        </w:rPr>
        <w:t xml:space="preserve">a </w:t>
      </w:r>
      <w:r w:rsidRPr="00A77A01">
        <w:rPr>
          <w:rFonts w:ascii="Book Antiqua" w:hAnsi="Book Antiqua" w:cs="Arial"/>
          <w:lang w:val="en-US"/>
        </w:rPr>
        <w:t>good outcome with adequate immunosuppression after single-dose alemtuzu</w:t>
      </w:r>
      <w:r w:rsidR="00036F18">
        <w:rPr>
          <w:rFonts w:ascii="Book Antiqua" w:hAnsi="Book Antiqua" w:cs="Arial"/>
          <w:lang w:val="en-US"/>
        </w:rPr>
        <w:t>mab with maintenance therapy of</w:t>
      </w:r>
      <w:r w:rsidRPr="00A77A01">
        <w:rPr>
          <w:rFonts w:ascii="Book Antiqua" w:hAnsi="Book Antiqua" w:cs="Arial"/>
          <w:lang w:val="en-US"/>
        </w:rPr>
        <w:t xml:space="preserve"> </w:t>
      </w:r>
      <w:r w:rsidR="00DA3C8A" w:rsidRPr="00A77A01">
        <w:rPr>
          <w:rFonts w:ascii="Book Antiqua" w:hAnsi="Book Antiqua" w:cs="Arial"/>
          <w:lang w:val="en-US"/>
        </w:rPr>
        <w:t xml:space="preserve">with </w:t>
      </w:r>
      <w:r w:rsidRPr="00A77A01">
        <w:rPr>
          <w:rFonts w:ascii="Book Antiqua" w:hAnsi="Book Antiqua" w:cs="Arial"/>
          <w:lang w:val="en-US"/>
        </w:rPr>
        <w:t xml:space="preserve">TAC and low-dose MMF. </w:t>
      </w:r>
    </w:p>
    <w:p w:rsidR="0083554E" w:rsidRPr="00A77A01" w:rsidRDefault="0083554E" w:rsidP="00B871E1">
      <w:pPr>
        <w:spacing w:line="360" w:lineRule="auto"/>
        <w:jc w:val="both"/>
        <w:rPr>
          <w:rFonts w:ascii="Book Antiqua" w:hAnsi="Book Antiqua" w:cs="Arial"/>
          <w:b/>
          <w:lang w:val="en-US"/>
        </w:rPr>
      </w:pPr>
    </w:p>
    <w:p w:rsidR="0083554E" w:rsidRPr="00A77A01" w:rsidRDefault="0083554E" w:rsidP="00B871E1">
      <w:pPr>
        <w:spacing w:line="360" w:lineRule="auto"/>
        <w:jc w:val="both"/>
        <w:rPr>
          <w:rFonts w:ascii="Book Antiqua" w:hAnsi="Book Antiqua" w:cs="Arial"/>
          <w:b/>
          <w:caps/>
          <w:lang w:val="en-US"/>
        </w:rPr>
      </w:pPr>
      <w:r w:rsidRPr="00A77A01">
        <w:rPr>
          <w:rFonts w:ascii="Book Antiqua" w:hAnsi="Book Antiqua" w:cs="Arial"/>
          <w:b/>
          <w:caps/>
          <w:lang w:val="en-US"/>
        </w:rPr>
        <w:t>Desensitization protocols in children</w:t>
      </w:r>
    </w:p>
    <w:p w:rsidR="0083554E" w:rsidRPr="00A77A01" w:rsidRDefault="0083554E" w:rsidP="00B871E1">
      <w:pPr>
        <w:pStyle w:val="content"/>
        <w:spacing w:before="0" w:beforeAutospacing="0" w:after="0" w:afterAutospacing="0" w:line="360" w:lineRule="auto"/>
        <w:jc w:val="both"/>
        <w:rPr>
          <w:rFonts w:ascii="Book Antiqua" w:hAnsi="Book Antiqua" w:cs="Arial"/>
          <w:bCs/>
          <w:lang w:val="en-GB"/>
        </w:rPr>
      </w:pPr>
      <w:r w:rsidRPr="00A77A01">
        <w:rPr>
          <w:rFonts w:ascii="Book Antiqua" w:hAnsi="Book Antiqua" w:cs="Arial"/>
          <w:bCs/>
          <w:lang w:val="en-GB"/>
        </w:rPr>
        <w:t>Over the last years a growing interest has been focused on donor-specific antibodies (DSA Ab) for a previously unsuspected role in graft function and survival</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"10.5500/wjt.v4.i1.1", "ISSN" : "2220-3230", "PMID" : "24669363", "abstract" : "Allo-antibodies, particularly when donor specific, are one of the most important factors that cause both early and late graft dysfunction. The authors review the current state of the art concerning this important issue in renal transplantation. Many antibodies have been recognized as mediators of renal injury. In particular donor-specific-Human Leukocyte Antigens antibodies appear to play a major role. New techniques, such as solid phase techniques and Luminex, have revealed these antibodies from patient sera. Other new techniques have uncovered alloantibodies and signs of complement activation in renal biopsy specimens. It has been acknowledged that the old concept of chronic renal injury caused by calcineurine inhibitors toxicity should be replaced in many cases by alloantibodies acting against the graft. In addition, the number of patients on waiting lists with preformed anti-human leukocyte antigens (HLA) antibodies is increasing, primarily from patients with a history of renal transplant failure already been sensitized. We should distinguish early and late acute antibody-mediated rejection from chronic antibody-mediated rejection. The latter often manifets late during the course of the post-transplant period and may be difficult to recognize if specific techniques are not applied. Different therapeutic strategies are used to control antibody-induced damage. These strategies may be applied prior to transplantation or, in the case of acute antibody-mediated rejection, after transplantation. Many new drugs are appearing at the horizon; however, these drugs are far from the clinic because they are in phase\u2005I-II of clinical trials. Thus the pipeline for the near future appears almost empty.", "author" : [ { "dropping-particle" : "", "family" : "Salvadori", "given" : "Maurizio", "non-dropping-particle" : "", "parse-names" : false, "suffix" : "" }, { "dropping-particle" : "", "family" : "Bertoni", "given" : "Elisabetta", "non-dropping-particle" : "", "parse-names" : false, "suffix" : "" } ], "container-title" : "World journal of transplantation", "id" : "ITEM-1", "issue" : "1", "issued" : { "date-parts" : [ [ "2014", "3", "24" ] ] }, "page" : "1-17", "title" : "Impact of donor-specific antibodies on the outcomes of kidney graft: Pathophysiology, clinical, therapy.", "type" : "article-journal", "volume" : "4" }, "uris" : [ "http://www.mendeley.com/documents/?uuid=27b1d1b8-6359-40a9-8b0a-a2d98378225b" ] } ], "mendeley" : { "previouslyFormattedCitation" : "&lt;sup&gt;[23]&lt;/sup&gt;"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[23]</w:t>
      </w:r>
      <w:r w:rsidR="00F54A93" w:rsidRPr="00A77A01">
        <w:rPr>
          <w:rFonts w:ascii="Book Antiqua" w:hAnsi="Book Antiqua" w:cs="Arial"/>
          <w:bCs/>
          <w:lang w:val="en-GB"/>
        </w:rPr>
        <w:fldChar w:fldCharType="end"/>
      </w:r>
      <w:r w:rsidRPr="00A77A01">
        <w:rPr>
          <w:rFonts w:ascii="Book Antiqua" w:hAnsi="Book Antiqua" w:cs="Arial"/>
          <w:bCs/>
          <w:lang w:val="en-GB"/>
        </w:rPr>
        <w:t>. Acute antibody-mediated graft rejection is a problem involving children as well as adults, but even more relevant is becoming the role of DSA Ab as one of the mayor causes of graft loss</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"10.1007/s00467-014-2851-2", "ISSN" : "1432-198X", "PMID" : "24865478", "abstract" : "Acute antibody-mediated rejection is a diagnostic challenge in renal transplantation medicine. However, it is an important diagnosis to make, since chronic antibody-mediated rejection (CAMR) is the main cause of long-term graft loss. Antibody-mediated rejection is diagnosed by detecting donor-specific antibodies (DSAs) in the blood in combination with observing typical histomorphological signs in kidney biopsy, as described in the Banff classification. Therapy is based on the removal of DSAs by administering intravenous immunoglobulins (IVIGs), plasmapheresis, or immunoadsorption. Reoccurrence of antibodies is diminished by the use of rituximab, increased immunosuppression, and in some cases additional experimental substances. A combination of these techniques has been shown to be successful in the majority of cases of acute and chronic antibody-mediated rejection. Routine DSA monitoring is warranted for early detection of antibody-mediated rejection.", "author" : [ { "dropping-particle" : "", "family" : "Pape", "given" : "Lars", "non-dropping-particle" : "", "parse-names" : false, "suffix" : "" }, { "dropping-particle" : "", "family" : "Becker", "given" : "Jan U", "non-dropping-particle" : "", "parse-names" : false, "suffix" : "" }, { "dropping-particle" : "", "family" : "Immenschuh", "given" : "Stephan", "non-dropping-particle" : "", "parse-names" : false, "suffix" : "" }, { "dropping-particle" : "", "family" : "Ahlenstiel", "given" : "Thurid", "non-dropping-particle" : "", "parse-names" : false, "suffix" : "" } ], "container-title" : "Pediatric nephrology (Berlin, Germany)", "id" : "ITEM-1", "issued" : { "date-parts" : [ [ "2014", "5", "28" ] ] }, "title" : "Acute and chronic antibody-mediated rejection in pediatric kidney transplantation.", "type" : "article-journal" }, "uris" : [ "http://www.mendeley.com/documents/?uuid=71806581-96f5-45a6-86f4-4b63ee4e5b8b" ] } ], "mendeley" : { "previouslyFormattedCitation" : "&lt;sup&gt;[24]&lt;/sup&gt;"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[24]</w:t>
      </w:r>
      <w:r w:rsidR="00F54A93" w:rsidRPr="00A77A01">
        <w:rPr>
          <w:rFonts w:ascii="Book Antiqua" w:hAnsi="Book Antiqua" w:cs="Arial"/>
          <w:bCs/>
          <w:lang w:val="en-GB"/>
        </w:rPr>
        <w:fldChar w:fldCharType="end"/>
      </w:r>
      <w:r w:rsidRPr="00A77A01">
        <w:rPr>
          <w:rFonts w:ascii="Book Antiqua" w:hAnsi="Book Antiqua" w:cs="Arial"/>
          <w:bCs/>
          <w:lang w:val="en-GB"/>
        </w:rPr>
        <w:t>. Children candidates to a kidney transplant, particularly after a first failed graft, more often than in the past present with antibodies against HLA antigens, often at high titres, raising the problem of the risk of hyperacute or acute humoral rejections and reducing the chances of being transplanted</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"10.1681/ASN.2012070663", "ISSN" : "1533-3450", "PMID" : "23449533", "abstract" : "The development of anti-donor humoral responses after transplantation associates with higher risks for acute rejection and 1-year graft survival in adults, but the influence of humoral immunity on transplant outcomes in children is not well understood. Here, we studied the evolution of humoral immunity in low-risk pediatric patients during the first 2 years after renal transplantation. Using data from 130 pediatric renal transplant patients randomized to steroid-free (SF) or steroid-based (SB) immunosuppression in the NIH-SNSO1 trial, we correlated the presence of serum anti-HLA antibodies to donor HLA antigens (donor-specific antibodies) and serum MHC class 1-related chain A (MICA) antibody with both clinical outcomes and histology identified on protocol biopsies at 0, 6, 12, and 24 months. We detected de novo antibodies after transplant in 24% (23% of SF group and 25% of SB group), most often after the first year. Overall, 22% developed anti-HLA antibodies, of which 6% were donor-specific antibodies, and 6% developed anti-MICA antibody. Presence of these antibodies de novo associated with significantly higher risks for acute rejection (P=0.02), chronic graft injury (P=0.02), and decline in graft function (P=0.02). In summary, antibodies to HLA and MICA antigens appear in approximately 25% of unsensitized pediatric patients, placing them at greater risk for acute and chronic rejection with accelerated loss of graft function. Avoiding steroids does not seem to modify this incidence. Whether serial assessments of these antibodies after transplant could guide individual tailoring of immunosuppression requires additional study.", "author" : [ { "dropping-particle" : "", "family" : "Chaudhuri", "given" : "Abanti", "non-dropping-particle" : "", "parse-names" : false, "suffix" : "" }, { "dropping-particle" : "", "family" : "Ozawa", "given" : "Mikki", "non-dropping-particle" : "", "parse-names" : false, "suffix" : "" }, { "dropping-particle" : "", "family" : "Everly", "given" : "Matthew J", "non-dropping-particle" : "", "parse-names" : false, "suffix" : "" }, { "dropping-particle" : "", "family" : "Ettenger", "given" : "Robert", "non-dropping-particle" : "", "parse-names" : false, "suffix" : "" }, { "dropping-particle" : "", "family" : "Dharnidharka", "given" : "Vikas", "non-dropping-particle" : "", "parse-names" : false, "suffix" : "" }, { "dropping-particle" : "", "family" : "Benfield", "given" : "Mark", "non-dropping-particle" : "", "parse-names" : false, "suffix" : "" }, { "dropping-particle" : "", "family" : "Mathias", "given" : "Robert", "non-dropping-particle" : "", "parse-names" : false, "suffix" : "" }, { "dropping-particle" : "", "family" : "Portale", "given" : "Anthony", "non-dropping-particle" : "", "parse-names" : false, "suffix" : "" }, { "dropping-particle" : "", "family" : "McDonald", "given" : "Ruth", "non-dropping-particle" : "", "parse-names" : false, "suffix" : "" }, { "dropping-particle" : "", "family" : "Harmon", "given" : "William", "non-dropping-particle" : "", "parse-names" : false, "suffix" : "" }, { "dropping-particle" : "", "family" : "Kershaw", "given" : "David", "non-dropping-particle" : "", "parse-names" : false, "suffix" : "" }, { "dropping-particle" : "", "family" : "Vehaskari", "given" : "V Matti", "non-dropping-particle" : "", "parse-names" : false, "suffix" : "" }, { "dropping-particle" : "", "family" : "Kamil", "given" : "Elaine", "non-dropping-particle" : "", "parse-names" : false, "suffix" : "" }, { "dropping-particle" : "", "family" : "Baluarte", "given" : "H Jorge", "non-dropping-particle" : "", "parse-names" : false, "suffix" : "" }, { "dropping-particle" : "", "family" : "Warady", "given" : "Bradley", "non-dropping-particle" : "", "parse-names" : false, "suffix" : "" }, { "dropping-particle" : "", "family" : "Li", "given" : "Li", "non-dropping-particle" : "", "parse-names" : false, "suffix" : "" }, { "dropping-particle" : "", "family" : "Sigdel", "given" : "Tara K", "non-dropping-particle" : "", "parse-names" : false, "suffix" : "" }, { "dropping-particle" : "", "family" : "Hsieh", "given" : "Szu-chuan", "non-dropping-particle" : "", "parse-names" : false, "suffix" : "" }, { "dropping-particle" : "", "family" : "Dai", "given" : "Hong", "non-dropping-particle" : "", "parse-names" : false, "suffix" : "" }, { "dropping-particle" : "", "family" : "Naesens", "given" : "Maarten", "non-dropping-particle" : "", "parse-names" : false, "suffix" : "" }, { "dropping-particle" : "", "family" : "Waskerwitz", "given" : "Janie", "non-dropping-particle" : "", "parse-names" : false, "suffix" : "" }, { "dropping-particle" : "", "family" : "Salvatierra", "given" : "Oscar", "non-dropping-particle" : "", "parse-names" : false, "suffix" : "" }, { "dropping-particle" : "", "family" : "Terasaki", "given" : "Paul I", "non-dropping-particle" : "", "parse-names" : false, "suffix" : "" }, { "dropping-particle" : "", "family" : "Sarwal", "given" : "Minnie M", "non-dropping-particle" : "", "parse-names" : false, "suffix" : "" } ], "container-title" : "Journal of the American Society of Nephrology : JASN", "id" : "ITEM-1", "issue" : "4", "issued" : { "date-parts" : [ [ "2013", "3", "29" ] ] }, "page" : "655-64", "publisher" : "American Society of Nephrology", "title" : "The clinical impact of humoral immunity in pediatric renal transplantation.", "type" : "article-journal", "volume" : "24" }, "uris" : [ "http://www.mendeley.com/documents/?uuid=1c05c442-74c8-4a0b-ad09-8693faa6eec8" ] }, { "id" : "ITEM-2", "itemData" : { "DOI" : "10.1111/j.1600-6143.2012.04251.x", "ISSN" : "1600-6143", "PMID" : "22959074", "abstract" : "The emerging role of humoral immunity in the pathogenesis of chronic allograft damage has prompted research aimed at assessing the role of anti-HLA antibody (Ab) monitoring as a tool to predict allograft outcome. Data on the natural history of allografts in children developing de novo Ab after transplantation are limited. Utilizing sera collected pretransplant, and serially posttransplant, we retrospectively evaluated 82 consecutive primary pediatric kidney recipients, without pretransplant donor-specific antibodies (DSA), for de novo Ab occurrence, and compared results with clinical-pathologic data. At 4.3-year follow up, 19 patients (23%) developed de novo DSA whereas 24 had de novo non-DSA (NDSA, 29%). DSA appeared at a median time of 24 months after transplantation and were mostly directed to HLA-DQ antigens. Among the 82 patients, eight developed late/chronic active C4d+ antibody-mediated rejection (AMR), and four C4d-negative AMR. Late AMR correlated with DSA (p &lt; 0.01), whose development preceded AMR by 1-year median time. Patients with DSA had a median serum creatinine of 1.44 mg/dL at follow up, significantly higher than NDSA and Ab-negative patients (p &lt; 0.005). In our pediatric cohort, DSA identify patients at risk of renal dysfunction, AMR and graft loss; treatment started at Ab emergence might prevent AMR occurrence and/or progression to graft failure.", "author" : [ { "dropping-particle" : "", "family" : "Ginevri", "given" : "F", "non-dropping-particle" : "", "parse-names" : false, "suffix" : "" }, { "dropping-particle" : "", "family" : "Nocera", "given" : "a", "non-dropping-particle" : "", "parse-names" : false, "suffix" : "" }, { "dropping-particle" : "", "family" : "Comoli", "given" : "P", "non-dropping-particle" : "", "parse-names" : false, "suffix" : "" }, { "dropping-particle" : "", "family" : "Innocente", "given" : "a", "non-dropping-particle" : "", "parse-names" : false, "suffix" : "" }, { "dropping-particle" : "", "family" : "Cioni", "given" : "M", "non-dropping-particle" : "", "parse-names" : false, "suffix" : "" }, { "dropping-particle" : "", "family" : "Parodi", "given" : "a", "non-dropping-particle" : "", "parse-names" : false, "suffix" : "" }, { "dropping-particle" : "", "family" : "Fontana", "given" : "I", "non-dropping-particle" : "", "parse-names" : false, "suffix" : "" }, { "dropping-particle" : "", "family" : "Magnasco", "given" : "a", "non-dropping-particle" : "", "parse-names" : false, "suffix" : "" }, { "dropping-particle" : "", "family" : "Nocco", "given" : "a", "non-dropping-particle" : "", "parse-names" : false, "suffix" : "" }, { "dropping-particle" : "", "family" : "Tagliamacco", "given" : "a", "non-dropping-particle" : "", "parse-names" : false, "suffix" : "" }, { "dropping-particle" : "", "family" : "Sementa", "given" : "a", "non-dropping-particle" : "", "parse-names" : false, "suffix" : "" }, { "dropping-particle" : "", "family" : "Ceriolo", "given" : "P", "non-dropping-particle" : "", "parse-names" : false, "suffix" : "" }, { "dropping-particle" : "", "family" : "Ghio", "given" : "L", "non-dropping-particle" : "", "parse-names" : false, "suffix" : "" }, { "dropping-particle" : "", "family" : "Zecca", "given" : "M", "non-dropping-particle" : "", "parse-names" : false, "suffix" : "" }, { "dropping-particle" : "", "family" : "Cardillo", "given" : "M", "non-dropping-particle" : "", "parse-names" : false, "suffix" : "" }, { "dropping-particle" : "", "family" : "Garibotto", "given" : "G", "non-dropping-particle" : "", "parse-names" : false, "suffix" : "" }, { "dropping-particle" : "", "family" : "Ghiggeri", "given" : "G M", "non-dropping-particle" : "", "parse-names" : false, "suffix" : "" }, { "dropping-particle" : "", "family" : "Poli", "given" : "F", "non-dropping-particle" : "", "parse-names" : false, "suffix" : "" } ], "container-title" : "American journal of transplantation : official journal of the American Society of Transplantation and the American Society of Transplant Surgeons", "id" : "ITEM-2", "issue" : "12", "issued" : { "date-parts" : [ [ "2012", "12" ] ] }, "page" : "3355-62", "title" : "Posttransplant de novo donor-specific hla antibodies identify pediatric kidney recipients at risk for late antibody-mediated rejection.", "type" : "article-journal", "volume" : "12" }, "uris" : [ "http://www.mendeley.com/documents/?uuid=01104cae-2062-4083-8139-a841b4c2707d" ] } ], "mendeley" : { "previouslyFormattedCitation" : "&lt;sup&gt;[25,26]&lt;/sup&gt;"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[25,26]</w:t>
      </w:r>
      <w:r w:rsidR="00F54A93" w:rsidRPr="00A77A01">
        <w:rPr>
          <w:rFonts w:ascii="Book Antiqua" w:hAnsi="Book Antiqua" w:cs="Arial"/>
          <w:bCs/>
          <w:lang w:val="en-GB"/>
        </w:rPr>
        <w:fldChar w:fldCharType="end"/>
      </w:r>
      <w:r w:rsidRPr="00A77A01">
        <w:rPr>
          <w:rFonts w:ascii="Book Antiqua" w:hAnsi="Book Antiqua" w:cs="Arial"/>
          <w:bCs/>
          <w:lang w:val="en-GB"/>
        </w:rPr>
        <w:t>. The new flow cytometry based techniques used to investigate the presence of anti HLA antibodies have a much higher sensitivity than complement dependent cytotoxicity</w:t>
      </w:r>
      <w:r w:rsidR="007B5B12" w:rsidRPr="00A77A01">
        <w:rPr>
          <w:rFonts w:ascii="Book Antiqua" w:hAnsi="Book Antiqua" w:cs="Arial"/>
          <w:bCs/>
          <w:lang w:val="en-GB"/>
        </w:rPr>
        <w:t xml:space="preserve"> assays</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and are able to reveal panels of antibodies whose capacity to bind complement and induce antibody mediated lysis of target cells is not ascertained. For some years the true role of these low titres antibodies has not been clearly defined: hyperacute rejection is not common but either acute rejection and a chronic damage induced by these antibodies has been demonstrated</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"10.5500/wjt.v4.i1.1", "ISSN" : "2220-3230", "PMID" : "24669363", "abstract" : "Allo-antibodies, particularly when donor specific, are one of the most important factors that cause both early and late graft dysfunction. The authors review the current state of the art concerning this important issue in renal transplantation. Many antibodies have been recognized as mediators of renal injury. In particular donor-specific-Human Leukocyte Antigens antibodies appear to play a major role. New techniques, such as solid phase techniques and Luminex, have revealed these antibodies from patient sera. Other new techniques have uncovered alloantibodies and signs of complement activation in renal biopsy specimens. It has been acknowledged that the old concept of chronic renal injury caused by calcineurine inhibitors toxicity should be replaced in many cases by alloantibodies acting against the graft. In addition, the number of patients on waiting lists with preformed anti-human leukocyte antigens (HLA) antibodies is increasing, primarily from patients with a history of renal transplant failure already been sensitized. We should distinguish early and late acute antibody-mediated rejection from chronic antibody-mediated rejection. The latter often manifets late during the course of the post-transplant period and may be difficult to recognize if specific techniques are not applied. Different therapeutic strategies are used to control antibody-induced damage. These strategies may be applied prior to transplantation or, in the case of acute antibody-mediated rejection, after transplantation. Many new drugs are appearing at the horizon; however, these drugs are far from the clinic because they are in phase\u2005I-II of clinical trials. Thus the pipeline for the near future appears almost empty.", "author" : [ { "dropping-particle" : "", "family" : "Salvadori", "given" : "Maurizio", "non-dropping-particle" : "", "parse-names" : false, "suffix" : "" }, { "dropping-particle" : "", "family" : "Bertoni", "given" : "Elisabetta", "non-dropping-particle" : "", "parse-names" : false, "suffix" : "" } ], "container-title" : "World journal of transplantation", "id" : "ITEM-1", "issue" : "1", "issued" : { "date-parts" : [ [ "2014", "3", "24" ] ] }, "page" : "1-17", "title" : "Impact of donor-specific antibodies on the outcomes of kidney graft: Pathophysiology, clinical, therapy.", "type" : "article-journal", "volume" : "4" }, "uris" : [ "http://www.mendeley.com/documents/?uuid=27b1d1b8-6359-40a9-8b0a-a2d98378225b" ] }, { "id" : "ITEM-2", "itemData" : { "DOI" : "10.1007/s00467-014-2851-2", "ISSN" : "1432-198X", "PMID" : "24865478", "abstract" : "Acute antibody-mediated rejection is a diagnostic challenge in renal transplantation medicine. However, it is an important diagnosis to make, since chronic antibody-mediated rejection (CAMR) is the main cause of long-term graft loss. Antibody-mediated rejection is diagnosed by detecting donor-specific antibodies (DSAs) in the blood in combination with observing typical histomorphological signs in kidney biopsy, as described in the Banff classification. Therapy is based on the removal of DSAs by administering intravenous immunoglobulins (IVIGs), plasmapheresis, or immunoadsorption. Reoccurrence of antibodies is diminished by the use of rituximab, increased immunosuppression, and in some cases additional experimental substances. A combination of these techniques has been shown to be successful in the majority of cases of acute and chronic antibody-mediated rejection. Routine DSA monitoring is warranted for early detection of antibody-mediated rejection.", "author" : [ { "dropping-particle" : "", "family" : "Pape", "given" : "Lars", "non-dropping-particle" : "", "parse-names" : false, "suffix" : "" }, { "dropping-particle" : "", "family" : "Becker", "given" : "Jan U", "non-dropping-particle" : "", "parse-names" : false, "suffix" : "" }, { "dropping-particle" : "", "family" : "Immenschuh", "given" : "Stephan", "non-dropping-particle" : "", "parse-names" : false, "suffix" : "" }, { "dropping-particle" : "", "family" : "Ahlenstiel", "given" : "Thurid", "non-dropping-particle" : "", "parse-names" : false, "suffix" : "" } ], "container-title" : "Pediatric nephrology (Berlin, Germany)", "id" : "ITEM-2", "issued" : { "date-parts" : [ [ "2014", "5", "28" ] ] }, "title" : "Acute and chronic antibody-mediated rejection in pediatric kidney transplantation.", "type" : "article-journal" }, "uris" : [ "http://www.mendeley.com/documents/?uuid=71806581-96f5-45a6-86f4-4b63ee4e5b8b" ] } ], "mendeley" : { "previouslyFormattedCitation" : "&lt;sup&gt;[23,24]&lt;/sup&gt;"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[23,24]</w:t>
      </w:r>
      <w:r w:rsidR="00F54A93" w:rsidRPr="00A77A01">
        <w:rPr>
          <w:rFonts w:ascii="Book Antiqua" w:hAnsi="Book Antiqua" w:cs="Arial"/>
          <w:bCs/>
          <w:lang w:val="en-GB"/>
        </w:rPr>
        <w:fldChar w:fldCharType="end"/>
      </w:r>
      <w:r w:rsidRPr="00A77A01">
        <w:rPr>
          <w:rFonts w:ascii="Book Antiqua" w:hAnsi="Book Antiqua" w:cs="Arial"/>
          <w:bCs/>
          <w:lang w:val="en-GB"/>
        </w:rPr>
        <w:t>.</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Sensitization may occur after blood transfusion with red blood cells not appropriately washed or filtered, however the main origin of sensitization is a previous transplant</w:t>
      </w:r>
      <w:r w:rsidR="00576052" w:rsidRPr="00A77A01">
        <w:rPr>
          <w:rFonts w:ascii="Book Antiqua" w:hAnsi="Book Antiqua" w:cs="Arial"/>
          <w:bCs/>
          <w:lang w:val="en-GB"/>
        </w:rPr>
        <w:t>.</w:t>
      </w:r>
      <w:r w:rsidRPr="00A77A01">
        <w:rPr>
          <w:rFonts w:ascii="Book Antiqua" w:hAnsi="Book Antiqua" w:cs="Arial"/>
          <w:bCs/>
          <w:lang w:val="en-GB"/>
        </w:rPr>
        <w:t xml:space="preserve"> </w:t>
      </w:r>
      <w:r w:rsidR="00576052" w:rsidRPr="00A77A01">
        <w:rPr>
          <w:rFonts w:ascii="Book Antiqua" w:hAnsi="Book Antiqua" w:cs="Arial"/>
          <w:bCs/>
          <w:lang w:val="en-GB"/>
        </w:rPr>
        <w:t>P</w:t>
      </w:r>
      <w:r w:rsidRPr="00A77A01">
        <w:rPr>
          <w:rFonts w:ascii="Book Antiqua" w:hAnsi="Book Antiqua" w:cs="Arial"/>
          <w:bCs/>
          <w:lang w:val="en-GB"/>
        </w:rPr>
        <w:t xml:space="preserve">roteins as well as stem cells of donor origin have been demonstrated to be persistently present even after removal of the graft, being able to maintain </w:t>
      </w:r>
      <w:r w:rsidR="007B5B12" w:rsidRPr="00A77A01">
        <w:rPr>
          <w:rFonts w:ascii="Book Antiqua" w:hAnsi="Book Antiqua" w:cs="Arial"/>
          <w:bCs/>
          <w:lang w:val="en-GB"/>
        </w:rPr>
        <w:t xml:space="preserve">the </w:t>
      </w:r>
      <w:r w:rsidRPr="00A77A01">
        <w:rPr>
          <w:rFonts w:ascii="Book Antiqua" w:hAnsi="Book Antiqua" w:cs="Arial"/>
          <w:bCs/>
          <w:lang w:val="en-GB"/>
        </w:rPr>
        <w:t>persistence of immunological stimulus</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"10.1681/ASN.2012070663", "ISSN" : "1533-3450", "PMID" : "23449533", "abstract" : "The development of anti-donor humoral responses after transplantation associates with higher risks for acute rejection and 1-year graft survival in adults, but the influence of humoral immunity on transplant outcomes in children is not well understood. Here, we studied the evolution of humoral immunity in low-risk pediatric patients during the first 2 years after renal transplantation. Using data from 130 pediatric renal transplant patients randomized to steroid-free (SF) or steroid-based (SB) immunosuppression in the NIH-SNSO1 trial, we correlated the presence of serum anti-HLA antibodies to donor HLA antigens (donor-specific antibodies) and serum MHC class 1-related chain A (MICA) antibody with both clinical outcomes and histology identified on protocol biopsies at 0, 6, 12, and 24 months. We detected de novo antibodies after transplant in 24% (23% of SF group and 25% of SB group), most often after the first year. Overall, 22% developed anti-HLA antibodies, of which 6% were donor-specific antibodies, and 6% developed anti-MICA antibody. Presence of these antibodies de novo associated with significantly higher risks for acute rejection (P=0.02), chronic graft injury (P=0.02), and decline in graft function (P=0.02). In summary, antibodies to HLA and MICA antigens appear in approximately 25% of unsensitized pediatric patients, placing them at greater risk for acute and chronic rejection with accelerated loss of graft function. Avoiding steroids does not seem to modify this incidence. Whether serial assessments of these antibodies after transplant could guide individual tailoring of immunosuppression requires additional study.", "author" : [ { "dropping-particle" : "", "family" : "Chaudhuri", "given" : "Abanti", "non-dropping-particle" : "", "parse-names" : false, "suffix" : "" }, { "dropping-particle" : "", "family" : "Ozawa", "given" : "Mikki", "non-dropping-particle" : "", "parse-names" : false, "suffix" : "" }, { "dropping-particle" : "", "family" : "Everly", "given" : "Matthew J", "non-dropping-particle" : "", "parse-names" : false, "suffix" : "" }, { "dropping-particle" : "", "family" : "Ettenger", "given" : "Robert", "non-dropping-particle" : "", "parse-names" : false, "suffix" : "" }, { "dropping-particle" : "", "family" : "Dharnidharka", "given" : "Vikas", "non-dropping-particle" : "", "parse-names" : false, "suffix" : "" }, { "dropping-particle" : "", "family" : "Benfield", "given" : "Mark", "non-dropping-particle" : "", "parse-names" : false, "suffix" : "" }, { "dropping-particle" : "", "family" : "Mathias", "given" : "Robert", "non-dropping-particle" : "", "parse-names" : false, "suffix" : "" }, { "dropping-particle" : "", "family" : "Portale", "given" : "Anthony", "non-dropping-particle" : "", "parse-names" : false, "suffix" : "" }, { "dropping-particle" : "", "family" : "McDonald", "given" : "Ruth", "non-dropping-particle" : "", "parse-names" : false, "suffix" : "" }, { "dropping-particle" : "", "family" : "Harmon", "given" : "William", "non-dropping-particle" : "", "parse-names" : false, "suffix" : "" }, { "dropping-particle" : "", "family" : "Kershaw", "given" : "David", "non-dropping-particle" : "", "parse-names" : false, "suffix" : "" }, { "dropping-particle" : "", "family" : "Vehaskari", "given" : "V Matti", "non-dropping-particle" : "", "parse-names" : false, "suffix" : "" }, { "dropping-particle" : "", "family" : "Kamil", "given" : "Elaine", "non-dropping-particle" : "", "parse-names" : false, "suffix" : "" }, { "dropping-particle" : "", "family" : "Baluarte", "given" : "H Jorge", "non-dropping-particle" : "", "parse-names" : false, "suffix" : "" }, { "dropping-particle" : "", "family" : "Warady", "given" : "Bradley", "non-dropping-particle" : "", "parse-names" : false, "suffix" : "" }, { "dropping-particle" : "", "family" : "Li", "given" : "Li", "non-dropping-particle" : "", "parse-names" : false, "suffix" : "" }, { "dropping-particle" : "", "family" : "Sigdel", "given" : "Tara K", "non-dropping-particle" : "", "parse-names" : false, "suffix" : "" }, { "dropping-particle" : "", "family" : "Hsieh", "given" : "Szu-chuan", "non-dropping-particle" : "", "parse-names" : false, "suffix" : "" }, { "dropping-particle" : "", "family" : "Dai", "given" : "Hong", "non-dropping-particle" : "", "parse-names" : false, "suffix" : "" }, { "dropping-particle" : "", "family" : "Naesens", "given" : "Maarten", "non-dropping-particle" : "", "parse-names" : false, "suffix" : "" }, { "dropping-particle" : "", "family" : "Waskerwitz", "given" : "Janie", "non-dropping-particle" : "", "parse-names" : false, "suffix" : "" }, { "dropping-particle" : "", "family" : "Salvatierra", "given" : "Oscar", "non-dropping-particle" : "", "parse-names" : false, "suffix" : "" }, { "dropping-particle" : "", "family" : "Terasaki", "given" : "Paul I", "non-dropping-particle" : "", "parse-names" : false, "suffix" : "" }, { "dropping-particle" : "", "family" : "Sarwal", "given" : "Minnie M", "non-dropping-particle" : "", "parse-names" : false, "suffix" : "" } ], "container-title" : "Journal of the American Society of Nephrology : JASN", "id" : "ITEM-1", "issue" : "4", "issued" : { "date-parts" : [ [ "2013", "3", "29" ] ] }, "page" : "655-64", "publisher" : "American Society of Nephrology", "title" : "The clinical impact of humoral immunity in pediatric renal transplantation.", "type" : "article-journal", "volume" : "24" }, "uris" : [ "http://www.mendeley.com/documents/?uuid=1c05c442-74c8-4a0b-ad09-8693faa6eec8" ] } ], "mendeley" : { "previouslyFormattedCitation" : "&lt;sup&gt;[25]&lt;/sup&gt;"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[25]</w:t>
      </w:r>
      <w:r w:rsidR="00F54A93" w:rsidRPr="00A77A01">
        <w:rPr>
          <w:rFonts w:ascii="Book Antiqua" w:hAnsi="Book Antiqua" w:cs="Arial"/>
          <w:bCs/>
          <w:lang w:val="en-GB"/>
        </w:rPr>
        <w:fldChar w:fldCharType="end"/>
      </w:r>
      <w:r w:rsidRPr="00A77A01">
        <w:rPr>
          <w:rFonts w:ascii="Book Antiqua" w:hAnsi="Book Antiqua" w:cs="Arial"/>
          <w:bCs/>
          <w:lang w:val="en-GB"/>
        </w:rPr>
        <w:t>. De novo antibodies, most</w:t>
      </w:r>
      <w:r w:rsidR="007B5B12" w:rsidRPr="00A77A01">
        <w:rPr>
          <w:rFonts w:ascii="Book Antiqua" w:hAnsi="Book Antiqua" w:cs="Arial"/>
          <w:bCs/>
          <w:lang w:val="en-GB"/>
        </w:rPr>
        <w:t>ly</w:t>
      </w:r>
      <w:r w:rsidRPr="00A77A01">
        <w:rPr>
          <w:rFonts w:ascii="Book Antiqua" w:hAnsi="Book Antiqua" w:cs="Arial"/>
          <w:bCs/>
          <w:lang w:val="en-GB"/>
        </w:rPr>
        <w:t xml:space="preserve"> directed against HLA, have been detected in a US multicenter report in up to 24% of children with renal transplant</w:t>
      </w:r>
      <w:r w:rsidR="007B5B12" w:rsidRPr="00A77A01">
        <w:rPr>
          <w:rFonts w:ascii="Book Antiqua" w:hAnsi="Book Antiqua" w:cs="Arial"/>
          <w:bCs/>
          <w:lang w:val="en-GB"/>
        </w:rPr>
        <w:t>.</w:t>
      </w:r>
      <w:r w:rsidRPr="00A77A01">
        <w:rPr>
          <w:rFonts w:ascii="Book Antiqua" w:hAnsi="Book Antiqua" w:cs="Arial"/>
          <w:bCs/>
          <w:lang w:val="en-GB"/>
        </w:rPr>
        <w:t xml:space="preserve"> </w:t>
      </w:r>
      <w:r w:rsidR="00036F18">
        <w:rPr>
          <w:rFonts w:ascii="Book Antiqua" w:eastAsiaTheme="minorEastAsia" w:hAnsi="Book Antiqua" w:cs="Arial" w:hint="eastAsia"/>
          <w:bCs/>
          <w:lang w:val="en-GB" w:eastAsia="zh-CN"/>
        </w:rPr>
        <w:t>Six percent</w:t>
      </w:r>
      <w:r w:rsidRPr="00A77A01">
        <w:rPr>
          <w:rFonts w:ascii="Book Antiqua" w:hAnsi="Book Antiqua" w:cs="Arial"/>
          <w:bCs/>
          <w:lang w:val="en-GB"/>
        </w:rPr>
        <w:t xml:space="preserve"> </w:t>
      </w:r>
      <w:r w:rsidR="001607A3" w:rsidRPr="00A77A01">
        <w:rPr>
          <w:rFonts w:ascii="Book Antiqua" w:hAnsi="Book Antiqua" w:cs="Arial"/>
          <w:bCs/>
          <w:lang w:val="en-GB"/>
        </w:rPr>
        <w:t>of these antibodies</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 xml:space="preserve">were DSA Ab and 6% anti MHC class 1 related chain A (MICA), </w:t>
      </w:r>
      <w:r w:rsidR="001607A3" w:rsidRPr="00A77A01">
        <w:rPr>
          <w:rFonts w:ascii="Book Antiqua" w:hAnsi="Book Antiqua" w:cs="Arial"/>
          <w:bCs/>
          <w:lang w:val="en-GB"/>
        </w:rPr>
        <w:t xml:space="preserve">and were equally found </w:t>
      </w:r>
      <w:r w:rsidRPr="00A77A01">
        <w:rPr>
          <w:rFonts w:ascii="Book Antiqua" w:hAnsi="Book Antiqua" w:cs="Arial"/>
          <w:bCs/>
          <w:lang w:val="en-GB"/>
        </w:rPr>
        <w:t>either on steroid-free or steroid-based regimens</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"10.1681/ASN.2012070663", "ISSN" : "1533-3450", "PMID" : "23449533", "abstract" : "The development of anti-donor humoral responses after transplantation associates with higher risks for acute rejection and 1-year graft survival in adults, but the influence of humoral immunity on transplant outcomes in children is not well understood. Here, we studied the evolution of humoral immunity in low-risk pediatric patients during the first 2 years after renal transplantation. Using data from 130 pediatric renal transplant patients randomized to steroid-free (SF) or steroid-based (SB) immunosuppression in the NIH-SNSO1 trial, we correlated the presence of serum anti-HLA antibodies to donor HLA antigens (donor-specific antibodies) and serum MHC class 1-related chain A (MICA) antibody with both clinical outcomes and histology identified on protocol biopsies at 0, 6, 12, and 24 months. We detected de novo antibodies after transplant in 24% (23% of SF group and 25% of SB group), most often after the first year. Overall, 22% developed anti-HLA antibodies, of which 6% were donor-specific antibodies, and 6% developed anti-MICA antibody. Presence of these antibodies de novo associated with significantly higher risks for acute rejection (P=0.02), chronic graft injury (P=0.02), and decline in graft function (P=0.02). In summary, antibodies to HLA and MICA antigens appear in approximately 25% of unsensitized pediatric patients, placing them at greater risk for acute and chronic rejection with accelerated loss of graft function. Avoiding steroids does not seem to modify this incidence. Whether serial assessments of these antibodies after transplant could guide individual tailoring of immunosuppression requires additional study.", "author" : [ { "dropping-particle" : "", "family" : "Chaudhuri", "given" : "Abanti", "non-dropping-particle" : "", "parse-names" : false, "suffix" : "" }, { "dropping-particle" : "", "family" : "Ozawa", "given" : "Mikki", "non-dropping-particle" : "", "parse-names" : false, "suffix" : "" }, { "dropping-particle" : "", "family" : "Everly", "given" : "Matthew J", "non-dropping-particle" : "", "parse-names" : false, "suffix" : "" }, { "dropping-particle" : "", "family" : "Ettenger", "given" : "Robert", "non-dropping-particle" : "", "parse-names" : false, "suffix" : "" }, { "dropping-particle" : "", "family" : "Dharnidharka", "given" : "Vikas", "non-dropping-particle" : "", "parse-names" : false, "suffix" : "" }, { "dropping-particle" : "", "family" : "Benfield", "given" : "Mark", "non-dropping-particle" : "", "parse-names" : false, "suffix" : "" }, { "dropping-particle" : "", "family" : "Mathias", "given" : "Robert", "non-dropping-particle" : "", "parse-names" : false, "suffix" : "" }, { "dropping-particle" : "", "family" : "Portale", "given" : "Anthony", "non-dropping-particle" : "", "parse-names" : false, "suffix" : "" }, { "dropping-particle" : "", "family" : "McDonald", "given" : "Ruth", "non-dropping-particle" : "", "parse-names" : false, "suffix" : "" }, { "dropping-particle" : "", "family" : "Harmon", "given" : "William", "non-dropping-particle" : "", "parse-names" : false, "suffix" : "" }, { "dropping-particle" : "", "family" : "Kershaw", "given" : "David", "non-dropping-particle" : "", "parse-names" : false, "suffix" : "" }, { "dropping-particle" : "", "family" : "Vehaskari", "given" : "V Matti", "non-dropping-particle" : "", "parse-names" : false, "suffix" : "" }, { "dropping-particle" : "", "family" : "Kamil", "given" : "Elaine", "non-dropping-particle" : "", "parse-names" : false, "suffix" : "" }, { "dropping-particle" : "", "family" : "Baluarte", "given" : "H Jorge", "non-dropping-particle" : "", "parse-names" : false, "suffix" : "" }, { "dropping-particle" : "", "family" : "Warady", "given" : "Bradley", "non-dropping-particle" : "", "parse-names" : false, "suffix" : "" }, { "dropping-particle" : "", "family" : "Li", "given" : "Li", "non-dropping-particle" : "", "parse-names" : false, "suffix" : "" }, { "dropping-particle" : "", "family" : "Sigdel", "given" : "Tara K", "non-dropping-particle" : "", "parse-names" : false, "suffix" : "" }, { "dropping-particle" : "", "family" : "Hsieh", "given" : "Szu-chuan", "non-dropping-particle" : "", "parse-names" : false, "suffix" : "" }, { "dropping-particle" : "", "family" : "Dai", "given" : "Hong", "non-dropping-particle" : "", "parse-names" : false, "suffix" : "" }, { "dropping-particle" : "", "family" : "Naesens", "given" : "Maarten", "non-dropping-particle" : "", "parse-names" : false, "suffix" : "" }, { "dropping-particle" : "", "family" : "Waskerwitz", "given" : "Janie", "non-dropping-particle" : "", "parse-names" : false, "suffix" : "" }, { "dropping-particle" : "", "family" : "Salvatierra", "given" : "Oscar", "non-dropping-particle" : "", "parse-names" : false, "suffix" : "" }, { "dropping-particle" : "", "family" : "Terasaki", "given" : "Paul I", "non-dropping-particle" : "", "parse-names" : false, "suffix" : "" }, { "dropping-particle" : "", "family" : "Sarwal", "given" : "Minnie M", "non-dropping-particle" : "", "parse-names" : false, "suffix" : "" } ], "container-title" : "Journal of the American Society of Nephrology : JASN", "id" : "ITEM-1", "issue" : "4", "issued" : { "date-parts" : [ [ "2013", "3", "29" ] ] }, "page" : "655-64", "publisher" : "American Society of Nephrology", "title" : "The clinical impact of humoral immunity in pediatric renal transplantation.", "type" : "article-journal", "volume" : "24" }, "uris" : [ "http://www.mendeley.com/documents/?uuid=1c05c442-74c8-4a0b-ad09-8693faa6eec8" ] } ], "mendeley" : { "previouslyFormattedCitation" : "&lt;sup&gt;[25]&lt;/sup&gt;"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[25]</w:t>
      </w:r>
      <w:r w:rsidR="00F54A93" w:rsidRPr="00A77A01">
        <w:rPr>
          <w:rFonts w:ascii="Book Antiqua" w:hAnsi="Book Antiqua" w:cs="Arial"/>
          <w:bCs/>
          <w:lang w:val="en-GB"/>
        </w:rPr>
        <w:fldChar w:fldCharType="end"/>
      </w:r>
      <w:r w:rsidRPr="00A77A01">
        <w:rPr>
          <w:rFonts w:ascii="Book Antiqua" w:hAnsi="Book Antiqua" w:cs="Arial"/>
          <w:bCs/>
          <w:lang w:val="en-GB"/>
        </w:rPr>
        <w:t>. The presence of anti HLA and anti MICA Ab was significantly associated with acute and chronic rejection with faster graft loss. Similar results were reported by a single center Italian study</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"10.1111/j.1600-6143.2012.04251.x", "ISSN" : "1600-6143", "PMID" : "22959074", "abstract" : "The emerging role of humoral immunity in the pathogenesis of chronic allograft damage has prompted research aimed at assessing the role of anti-HLA antibody (Ab) monitoring as a tool to predict allograft outcome. Data on the natural history of allografts in children developing de novo Ab after transplantation are limited. Utilizing sera collected pretransplant, and serially posttransplant, we retrospectively evaluated 82 consecutive primary pediatric kidney recipients, without pretransplant donor-specific antibodies (DSA), for de novo Ab occurrence, and compared results with clinical-pathologic data. At 4.3-year follow up, 19 patients (23%) developed de novo DSA whereas 24 had de novo non-DSA (NDSA, 29%). DSA appeared at a median time of 24 months after transplantation and were mostly directed to HLA-DQ antigens. Among the 82 patients, eight developed late/chronic active C4d+ antibody-mediated rejection (AMR), and four C4d-negative AMR. Late AMR correlated with DSA (p &lt; 0.01), whose development preceded AMR by 1-year median time. Patients with DSA had a median serum creatinine of 1.44 mg/dL at follow up, significantly higher than NDSA and Ab-negative patients (p &lt; 0.005). In our pediatric cohort, DSA identify patients at risk of renal dysfunction, AMR and graft loss; treatment started at Ab emergence might prevent AMR occurrence and/or progression to graft failure.", "author" : [ { "dropping-particle" : "", "family" : "Ginevri", "given" : "F", "non-dropping-particle" : "", "parse-names" : false, "suffix" : "" }, { "dropping-particle" : "", "family" : "Nocera", "given" : "a", "non-dropping-particle" : "", "parse-names" : false, "suffix" : "" }, { "dropping-particle" : "", "family" : "Comoli", "given" : "P", "non-dropping-particle" : "", "parse-names" : false, "suffix" : "" }, { "dropping-particle" : "", "family" : "Innocente", "given" : "a", "non-dropping-particle" : "", "parse-names" : false, "suffix" : "" }, { "dropping-particle" : "", "family" : "Cioni", "given" : "M", "non-dropping-particle" : "", "parse-names" : false, "suffix" : "" }, { "dropping-particle" : "", "family" : "Parodi", "given" : "a", "non-dropping-particle" : "", "parse-names" : false, "suffix" : "" }, { "dropping-particle" : "", "family" : "Fontana", "given" : "I", "non-dropping-particle" : "", "parse-names" : false, "suffix" : "" }, { "dropping-particle" : "", "family" : "Magnasco", "given" : "a", "non-dropping-particle" : "", "parse-names" : false, "suffix" : "" }, { "dropping-particle" : "", "family" : "Nocco", "given" : "a", "non-dropping-particle" : "", "parse-names" : false, "suffix" : "" }, { "dropping-particle" : "", "family" : "Tagliamacco", "given" : "a", "non-dropping-particle" : "", "parse-names" : false, "suffix" : "" }, { "dropping-particle" : "", "family" : "Sementa", "given" : "a", "non-dropping-particle" : "", "parse-names" : false, "suffix" : "" }, { "dropping-particle" : "", "family" : "Ceriolo", "given" : "P", "non-dropping-particle" : "", "parse-names" : false, "suffix" : "" }, { "dropping-particle" : "", "family" : "Ghio", "given" : "L", "non-dropping-particle" : "", "parse-names" : false, "suffix" : "" }, { "dropping-particle" : "", "family" : "Zecca", "given" : "M", "non-dropping-particle" : "", "parse-names" : false, "suffix" : "" }, { "dropping-particle" : "", "family" : "Cardillo", "given" : "M", "non-dropping-particle" : "", "parse-names" : false, "suffix" : "" }, { "dropping-particle" : "", "family" : "Garibotto", "given" : "G", "non-dropping-particle" : "", "parse-names" : false, "suffix" : "" }, { "dropping-particle" : "", "family" : "Ghiggeri", "given" : "G M", "non-dropping-particle" : "", "parse-names" : false, "suffix" : "" }, { "dropping-particle" : "", "family" : "Poli", "given" : "F", "non-dropping-particle" : "", "parse-names" : false, "suffix" : "" } ], "container-title" : "American journal of transplantation : official journal of the American Society of Transplantation and the American Society of Transplant Surgeons", "id" : "ITEM-1", "issue" : "12", "issued" : { "date-parts" : [ [ "2012", "12" ] ] }, "page" : "3355-62", "title" : "Posttransplant de novo donor-specific hla antibodies identify pediatric kidney recipients at risk for late antibody-mediated rejection.", "type" : "article-journal", "volume" : "12" }, "uris" : [ "http://www.mendeley.com/documents/?uuid=01104cae-2062-4083-8139-a841b4c2707d" ] } ], "mendeley" : { "previouslyFormattedCitation" : "&lt;sup&gt;[26]&lt;/sup&gt;"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[26]</w:t>
      </w:r>
      <w:r w:rsidR="00F54A93" w:rsidRPr="00A77A01">
        <w:rPr>
          <w:rFonts w:ascii="Book Antiqua" w:hAnsi="Book Antiqua" w:cs="Arial"/>
          <w:bCs/>
          <w:lang w:val="en-GB"/>
        </w:rPr>
        <w:fldChar w:fldCharType="end"/>
      </w:r>
      <w:r w:rsidRPr="00A77A01">
        <w:rPr>
          <w:rFonts w:ascii="Book Antiqua" w:hAnsi="Book Antiqua" w:cs="Arial"/>
          <w:bCs/>
          <w:lang w:val="en-GB"/>
        </w:rPr>
        <w:t xml:space="preserve"> in 82 children who underwent kidney transplantation, without prior DSA Ab: 23% of this cohort developed after 4 years of follow-up de novo DSA Ab, mostly directed against HLA-DQ antigens. A significant correlation was found between DSA Ab and chronic antibody-mediated rejection. The conclusion of both studies</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"10.1681/ASN.2012070663", "ISSN" : "1533-3450", "PMID" : "23449533", "abstract" : "The development of anti-donor humoral responses after transplantation associates with higher risks for acute rejection and 1-year graft survival in adults, but the influence of humoral immunity on transplant outcomes in children is not well understood. Here, we studied the evolution of humoral immunity in low-risk pediatric patients during the first 2 years after renal transplantation. Using data from 130 pediatric renal transplant patients randomized to steroid-free (SF) or steroid-based (SB) immunosuppression in the NIH-SNSO1 trial, we correlated the presence of serum anti-HLA antibodies to donor HLA antigens (donor-specific antibodies) and serum MHC class 1-related chain A (MICA) antibody with both clinical outcomes and histology identified on protocol biopsies at 0, 6, 12, and 24 months. We detected de novo antibodies after transplant in 24% (23% of SF group and 25% of SB group), most often after the first year. Overall, 22% developed anti-HLA antibodies, of which 6% were donor-specific antibodies, and 6% developed anti-MICA antibody. Presence of these antibodies de novo associated with significantly higher risks for acute rejection (P=0.02), chronic graft injury (P=0.02), and decline in graft function (P=0.02). In summary, antibodies to HLA and MICA antigens appear in approximately 25% of unsensitized pediatric patients, placing them at greater risk for acute and chronic rejection with accelerated loss of graft function. Avoiding steroids does not seem to modify this incidence. Whether serial assessments of these antibodies after transplant could guide individual tailoring of immunosuppression requires additional study.", "author" : [ { "dropping-particle" : "", "family" : "Chaudhuri", "given" : "Abanti", "non-dropping-particle" : "", "parse-names" : false, "suffix" : "" }, { "dropping-particle" : "", "family" : "Ozawa", "given" : "Mikki", "non-dropping-particle" : "", "parse-names" : false, "suffix" : "" }, { "dropping-particle" : "", "family" : "Everly", "given" : "Matthew J", "non-dropping-particle" : "", "parse-names" : false, "suffix" : "" }, { "dropping-particle" : "", "family" : "Ettenger", "given" : "Robert", "non-dropping-particle" : "", "parse-names" : false, "suffix" : "" }, { "dropping-particle" : "", "family" : "Dharnidharka", "given" : "Vikas", "non-dropping-particle" : "", "parse-names" : false, "suffix" : "" }, { "dropping-particle" : "", "family" : "Benfield", "given" : "Mark", "non-dropping-particle" : "", "parse-names" : false, "suffix" : "" }, { "dropping-particle" : "", "family" : "Mathias", "given" : "Robert", "non-dropping-particle" : "", "parse-names" : false, "suffix" : "" }, { "dropping-particle" : "", "family" : "Portale", "given" : "Anthony", "non-dropping-particle" : "", "parse-names" : false, "suffix" : "" }, { "dropping-particle" : "", "family" : "McDonald", "given" : "Ruth", "non-dropping-particle" : "", "parse-names" : false, "suffix" : "" }, { "dropping-particle" : "", "family" : "Harmon", "given" : "William", "non-dropping-particle" : "", "parse-names" : false, "suffix" : "" }, { "dropping-particle" : "", "family" : "Kershaw", "given" : "David", "non-dropping-particle" : "", "parse-names" : false, "suffix" : "" }, { "dropping-particle" : "", "family" : "Vehaskari", "given" : "V Matti", "non-dropping-particle" : "", "parse-names" : false, "suffix" : "" }, { "dropping-particle" : "", "family" : "Kamil", "given" : "Elaine", "non-dropping-particle" : "", "parse-names" : false, "suffix" : "" }, { "dropping-particle" : "", "family" : "Baluarte", "given" : "H Jorge", "non-dropping-particle" : "", "parse-names" : false, "suffix" : "" }, { "dropping-particle" : "", "family" : "Warady", "given" : "Bradley", "non-dropping-particle" : "", "parse-names" : false, "suffix" : "" }, { "dropping-particle" : "", "family" : "Li", "given" : "Li", "non-dropping-particle" : "", "parse-names" : false, "suffix" : "" }, { "dropping-particle" : "", "family" : "Sigdel", "given" : "Tara K", "non-dropping-particle" : "", "parse-names" : false, "suffix" : "" }, { "dropping-particle" : "", "family" : "Hsieh", "given" : "Szu-chuan", "non-dropping-particle" : "", "parse-names" : false, "suffix" : "" }, { "dropping-particle" : "", "family" : "Dai", "given" : "Hong", "non-dropping-particle" : "", "parse-names" : false, "suffix" : "" }, { "dropping-particle" : "", "family" : "Naesens", "given" : "Maarten", "non-dropping-particle" : "", "parse-names" : false, "suffix" : "" }, { "dropping-particle" : "", "family" : "Waskerwitz", "given" : "Janie", "non-dropping-particle" : "", "parse-names" : false, "suffix" : "" }, { "dropping-particle" : "", "family" : "Salvatierra", "given" : "Oscar", "non-dropping-particle" : "", "parse-names" : false, "suffix" : "" }, { "dropping-particle" : "", "family" : "Terasaki", "given" : "Paul I", "non-dropping-particle" : "", "parse-names" : false, "suffix" : "" }, { "dropping-particle" : "", "family" : "Sarwal", "given" : "Minnie M", "non-dropping-particle" : "", "parse-names" : false, "suffix" : "" } ], "container-title" : "Journal of the American Society of Nephrology : JASN", "id" : "ITEM-1", "issue" : "4", "issued" : { "date-parts" : [ [ "2013", "3", "29" ] ] }, "page" : "655-64", "publisher" : "American Society of Nephrology", "title" : "The clinical impact of humoral immunity in pediatric renal transplantation.", "type" : "article-journal", "volume" : "24" }, "uris" : [ "http://www.mendeley.com/documents/?uuid=1c05c442-74c8-4a0b-ad09-8693faa6eec8" ] }, { "id" : "ITEM-2", "itemData" : { "DOI" : "10.1111/j.1600-6143.2012.04251.x", "ISSN" : "1600-6143", "PMID" : "22959074", "abstract" : "The emerging role of humoral immunity in the pathogenesis of chronic allograft damage has prompted research aimed at assessing the role of anti-HLA antibody (Ab) monitoring as a tool to predict allograft outcome. Data on the natural history of allografts in children developing de novo Ab after transplantation are limited. Utilizing sera collected pretransplant, and serially posttransplant, we retrospectively evaluated 82 consecutive primary pediatric kidney recipients, without pretransplant donor-specific antibodies (DSA), for de novo Ab occurrence, and compared results with clinical-pathologic data. At 4.3-year follow up, 19 patients (23%) developed de novo DSA whereas 24 had de novo non-DSA (NDSA, 29%). DSA appeared at a median time of 24 months after transplantation and were mostly directed to HLA-DQ antigens. Among the 82 patients, eight developed late/chronic active C4d+ antibody-mediated rejection (AMR), and four C4d-negative AMR. Late AMR correlated with DSA (p &lt; 0.01), whose development preceded AMR by 1-year median time. Patients with DSA had a median serum creatinine of 1.44 mg/dL at follow up, significantly higher than NDSA and Ab-negative patients (p &lt; 0.005). In our pediatric cohort, DSA identify patients at risk of renal dysfunction, AMR and graft loss; treatment started at Ab emergence might prevent AMR occurrence and/or progression to graft failure.", "author" : [ { "dropping-particle" : "", "family" : "Ginevri", "given" : "F", "non-dropping-particle" : "", "parse-names" : false, "suffix" : "" }, { "dropping-particle" : "", "family" : "Nocera", "given" : "a", "non-dropping-particle" : "", "parse-names" : false, "suffix" : "" }, { "dropping-particle" : "", "family" : "Comoli", "given" : "P", "non-dropping-particle" : "", "parse-names" : false, "suffix" : "" }, { "dropping-particle" : "", "family" : "Innocente", "given" : "a", "non-dropping-particle" : "", "parse-names" : false, "suffix" : "" }, { "dropping-particle" : "", "family" : "Cioni", "given" : "M", "non-dropping-particle" : "", "parse-names" : false, "suffix" : "" }, { "dropping-particle" : "", "family" : "Parodi", "given" : "a", "non-dropping-particle" : "", "parse-names" : false, "suffix" : "" }, { "dropping-particle" : "", "family" : "Fontana", "given" : "I", "non-dropping-particle" : "", "parse-names" : false, "suffix" : "" }, { "dropping-particle" : "", "family" : "Magnasco", "given" : "a", "non-dropping-particle" : "", "parse-names" : false, "suffix" : "" }, { "dropping-particle" : "", "family" : "Nocco", "given" : "a", "non-dropping-particle" : "", "parse-names" : false, "suffix" : "" }, { "dropping-particle" : "", "family" : "Tagliamacco", "given" : "a", "non-dropping-particle" : "", "parse-names" : false, "suffix" : "" }, { "dropping-particle" : "", "family" : "Sementa", "given" : "a", "non-dropping-particle" : "", "parse-names" : false, "suffix" : "" }, { "dropping-particle" : "", "family" : "Ceriolo", "given" : "P", "non-dropping-particle" : "", "parse-names" : false, "suffix" : "" }, { "dropping-particle" : "", "family" : "Ghio", "given" : "L", "non-dropping-particle" : "", "parse-names" : false, "suffix" : "" }, { "dropping-particle" : "", "family" : "Zecca", "given" : "M", "non-dropping-particle" : "", "parse-names" : false, "suffix" : "" }, { "dropping-particle" : "", "family" : "Cardillo", "given" : "M", "non-dropping-particle" : "", "parse-names" : false, "suffix" : "" }, { "dropping-particle" : "", "family" : "Garibotto", "given" : "G", "non-dropping-particle" : "", "parse-names" : false, "suffix" : "" }, { "dropping-particle" : "", "family" : "Ghiggeri", "given" : "G M", "non-dropping-particle" : "", "parse-names" : false, "suffix" : "" }, { "dropping-particle" : "", "family" : "Poli", "given" : "F", "non-dropping-particle" : "", "parse-names" : false, "suffix" : "" } ], "container-title" : "American journal of transplantation : official journal of the American Society of Transplantation and the American Society of Transplant Surgeons", "id" : "ITEM-2", "issue" : "12", "issued" : { "date-parts" : [ [ "2012", "12" ] ] }, "page" : "3355-62", "title" : "Posttransplant de novo donor-specific hla antibodies identify pediatric kidney recipients at risk for late antibody-mediated rejection.", "type" : "article-journal", "volume" : "12" }, "uris" : [ "http://www.mendeley.com/documents/?uuid=01104cae-2062-4083-8139-a841b4c2707d" ] } ], "mendeley" : { "previouslyFormattedCitation" : "&lt;sup&gt;[25,26]&lt;/sup&gt;"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[25,26]</w:t>
      </w:r>
      <w:r w:rsidR="00F54A93" w:rsidRPr="00A77A01">
        <w:rPr>
          <w:rFonts w:ascii="Book Antiqua" w:hAnsi="Book Antiqua" w:cs="Arial"/>
          <w:bCs/>
          <w:lang w:val="en-GB"/>
        </w:rPr>
        <w:fldChar w:fldCharType="end"/>
      </w:r>
      <w:r w:rsidRPr="00A77A01">
        <w:rPr>
          <w:rFonts w:ascii="Book Antiqua" w:hAnsi="Book Antiqua" w:cs="Arial"/>
          <w:bCs/>
          <w:lang w:val="en-GB"/>
        </w:rPr>
        <w:t xml:space="preserve"> were that children developing DSA Ab are at risk of graft dysfunction and that there is the need of developing new strategies to prevent antibody mediated graft damage and progression to graft failure. </w:t>
      </w:r>
    </w:p>
    <w:p w:rsidR="0083554E" w:rsidRPr="00A77A01" w:rsidRDefault="00DC7D5C"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In candidates to a kidney transplant p</w:t>
      </w:r>
      <w:r w:rsidR="0083554E" w:rsidRPr="00A77A01">
        <w:rPr>
          <w:rFonts w:ascii="Book Antiqua" w:hAnsi="Book Antiqua" w:cs="Arial"/>
          <w:bCs/>
          <w:lang w:val="en-GB"/>
        </w:rPr>
        <w:t>ersistent large panel of antibodies against HLA and PRA &gt;</w:t>
      </w:r>
      <w:r w:rsidR="00036F18">
        <w:rPr>
          <w:rFonts w:ascii="Book Antiqua" w:eastAsiaTheme="minorEastAsia" w:hAnsi="Book Antiqua" w:cs="Arial" w:hint="eastAsia"/>
          <w:bCs/>
          <w:lang w:val="en-GB" w:eastAsia="zh-CN"/>
        </w:rPr>
        <w:t xml:space="preserve"> </w:t>
      </w:r>
      <w:r w:rsidR="0083554E" w:rsidRPr="00A77A01">
        <w:rPr>
          <w:rFonts w:ascii="Book Antiqua" w:hAnsi="Book Antiqua" w:cs="Arial"/>
          <w:bCs/>
          <w:lang w:val="en-GB"/>
        </w:rPr>
        <w:t xml:space="preserve">50% require a desensitization approach for </w:t>
      </w:r>
      <w:r w:rsidRPr="00A77A01">
        <w:rPr>
          <w:rFonts w:ascii="Book Antiqua" w:hAnsi="Book Antiqua" w:cs="Arial"/>
          <w:bCs/>
          <w:lang w:val="en-GB"/>
        </w:rPr>
        <w:t>increasing the</w:t>
      </w:r>
      <w:r w:rsidR="0083554E" w:rsidRPr="00A77A01">
        <w:rPr>
          <w:rFonts w:ascii="Book Antiqua" w:hAnsi="Book Antiqua" w:cs="Arial"/>
          <w:bCs/>
          <w:lang w:val="en-GB"/>
        </w:rPr>
        <w:t xml:space="preserve"> chance of receiving a graft</w:t>
      </w:r>
      <w:r w:rsidR="00576052" w:rsidRPr="00A77A01">
        <w:rPr>
          <w:rFonts w:ascii="Book Antiqua" w:hAnsi="Book Antiqua" w:cs="Arial"/>
          <w:bCs/>
          <w:lang w:val="en-GB"/>
        </w:rPr>
        <w:t>.</w:t>
      </w:r>
      <w:r w:rsidR="0083554E" w:rsidRPr="00A77A01">
        <w:rPr>
          <w:rFonts w:ascii="Book Antiqua" w:hAnsi="Book Antiqua" w:cs="Arial"/>
          <w:bCs/>
          <w:lang w:val="en-GB"/>
        </w:rPr>
        <w:t xml:space="preserve"> </w:t>
      </w:r>
      <w:r w:rsidR="00576052" w:rsidRPr="00A77A01">
        <w:rPr>
          <w:rFonts w:ascii="Book Antiqua" w:hAnsi="Book Antiqua" w:cs="Arial"/>
          <w:bCs/>
          <w:lang w:val="en-GB"/>
        </w:rPr>
        <w:t>S</w:t>
      </w:r>
      <w:r w:rsidR="0083554E" w:rsidRPr="00A77A01">
        <w:rPr>
          <w:rFonts w:ascii="Book Antiqua" w:hAnsi="Book Antiqua" w:cs="Arial"/>
          <w:bCs/>
          <w:lang w:val="en-GB"/>
        </w:rPr>
        <w:t xml:space="preserve">everal protocols have been proposed also in children aiming at reducing the antibody titres. The desensitizing protocols include removal of DSA by high-dose </w:t>
      </w:r>
      <w:r w:rsidR="0083554E" w:rsidRPr="00036F18">
        <w:rPr>
          <w:rFonts w:ascii="Book Antiqua" w:hAnsi="Book Antiqua" w:cs="Arial"/>
          <w:bCs/>
          <w:i/>
          <w:lang w:val="en-GB"/>
        </w:rPr>
        <w:t>i.v.</w:t>
      </w:r>
      <w:r w:rsidR="0083554E" w:rsidRPr="00A77A01">
        <w:rPr>
          <w:rFonts w:ascii="Book Antiqua" w:hAnsi="Book Antiqua" w:cs="Arial"/>
          <w:bCs/>
          <w:lang w:val="en-GB"/>
        </w:rPr>
        <w:t xml:space="preserve"> immunog</w:t>
      </w:r>
      <w:r w:rsidR="00036F18">
        <w:rPr>
          <w:rFonts w:ascii="Book Antiqua" w:hAnsi="Book Antiqua" w:cs="Arial"/>
          <w:bCs/>
          <w:lang w:val="en-GB"/>
        </w:rPr>
        <w:t>lobulins administration (IVIg),</w:t>
      </w:r>
      <w:r w:rsidR="0083554E" w:rsidRPr="00A77A01">
        <w:rPr>
          <w:rFonts w:ascii="Book Antiqua" w:hAnsi="Book Antiqua" w:cs="Arial"/>
          <w:bCs/>
          <w:lang w:val="en-GB"/>
        </w:rPr>
        <w:t xml:space="preserve"> plasmapheresis, immunoadsorption, </w:t>
      </w:r>
      <w:r w:rsidR="00576052" w:rsidRPr="00A77A01">
        <w:rPr>
          <w:rFonts w:ascii="Book Antiqua" w:hAnsi="Book Antiqua" w:cs="Arial"/>
          <w:bCs/>
          <w:lang w:val="en-GB"/>
        </w:rPr>
        <w:t>or</w:t>
      </w:r>
      <w:r w:rsidR="0083554E" w:rsidRPr="00A77A01">
        <w:rPr>
          <w:rFonts w:ascii="Book Antiqua" w:hAnsi="Book Antiqua" w:cs="Arial"/>
          <w:bCs/>
          <w:lang w:val="en-GB"/>
        </w:rPr>
        <w:t xml:space="preserve"> a combination of the two</w:t>
      </w:r>
      <w:r w:rsidR="00036F18">
        <w:rPr>
          <w:rFonts w:ascii="Book Antiqua" w:eastAsiaTheme="minorEastAsia" w:hAnsi="Book Antiqua" w:cs="Arial" w:hint="eastAsia"/>
          <w:bCs/>
          <w:lang w:val="en-GB" w:eastAsia="zh-CN"/>
        </w:rPr>
        <w:t xml:space="preserve"> </w:t>
      </w:r>
      <w:r w:rsidR="0083554E" w:rsidRPr="00A77A01">
        <w:rPr>
          <w:rFonts w:ascii="Book Antiqua" w:hAnsi="Book Antiqua" w:cs="Arial"/>
          <w:bCs/>
          <w:lang w:val="en-GB"/>
        </w:rPr>
        <w:t xml:space="preserve">approaches. In the attempt of reducing recurrence of DSA Ab, rituximab has been introduced in the last years. In some cases immunosuppression with alkylating agents is </w:t>
      </w:r>
      <w:r w:rsidRPr="00A77A01">
        <w:rPr>
          <w:rFonts w:ascii="Book Antiqua" w:hAnsi="Book Antiqua" w:cs="Arial"/>
          <w:bCs/>
          <w:lang w:val="en-GB"/>
        </w:rPr>
        <w:t xml:space="preserve">also </w:t>
      </w:r>
      <w:r w:rsidR="0083554E" w:rsidRPr="00A77A01">
        <w:rPr>
          <w:rFonts w:ascii="Book Antiqua" w:hAnsi="Book Antiqua" w:cs="Arial"/>
          <w:bCs/>
          <w:lang w:val="en-GB"/>
        </w:rPr>
        <w:t>considered</w:t>
      </w:r>
      <w:r w:rsidR="00F54A93" w:rsidRPr="00A77A01">
        <w:rPr>
          <w:rFonts w:ascii="Book Antiqua" w:hAnsi="Book Antiqua" w:cs="Arial"/>
          <w:bCs/>
          <w:lang w:val="en-GB"/>
        </w:rPr>
        <w:fldChar w:fldCharType="begin" w:fldLock="1"/>
      </w:r>
      <w:r w:rsidR="0083554E" w:rsidRPr="00A77A01">
        <w:rPr>
          <w:rFonts w:ascii="Book Antiqua" w:hAnsi="Book Antiqua" w:cs="Arial"/>
          <w:bCs/>
          <w:lang w:val="en-GB"/>
        </w:rPr>
        <w:instrText>ADDIN CSL_CITATION { "citationItems" : [ { "id" : "ITEM-1", "itemData" : { "DOI" : "10.5500/wjt.v4.i1.1", "ISSN" : "2220-3230", "PMID" : "24669363", "abstract" : "Allo-antibodies, particularly when donor specific, are one of the most important factors that cause both early and late graft dysfunction. The authors review the current state of the art concerning this important issue in renal transplantation. Many antibodies have been recognized as mediators of renal injury. In particular donor-specific-Human Leukocyte Antigens antibodies appear to play a major role. New techniques, such as solid phase techniques and Luminex, have revealed these antibodies from patient sera. Other new techniques have uncovered alloantibodies and signs of complement activation in renal biopsy specimens. It has been acknowledged that the old concept of chronic renal injury caused by calcineurine inhibitors toxicity should be replaced in many cases by alloantibodies acting against the graft. In addition, the number of patients on waiting lists with preformed anti-human leukocyte antigens (HLA) antibodies is increasing, primarily from patients with a history of renal transplant failure already been sensitized. We should distinguish early and late acute antibody-mediated rejection from chronic antibody-mediated rejection. The latter often manifets late during the course of the post-transplant period and may be difficult to recognize if specific techniques are not applied. Different therapeutic strategies are used to control antibody-induced damage. These strategies may be applied prior to transplantation or, in the case of acute antibody-mediated rejection, after transplantation. Many new drugs are appearing at the horizon; however, these drugs are far from the clinic because they are in phase\u2005I-II of clinical trials. Thus the pipeline for the near future appears almost empty.", "author" : [ { "dropping-particle" : "", "family" : "Salvadori", "given" : "Maurizio", "non-dropping-particle" : "", "parse-names" : false, "suffix" : "" }, { "dropping-particle" : "", "family" : "Bertoni", "given" : "Elisabetta", "non-dropping-particle" : "", "parse-names" : false, "suffix" : "" } ], "container-title" : "World journal of transplantation", "id" : "ITEM-1", "issue" : "1", "issued" : { "date-parts" : [ [ "2014", "3", "24" ] ] }, "page" : "1-17", "title" : "Impact of donor-specific antibodies on the outcomes of kidney graft: Pathophysiology, clinical, therapy.", "type" : "article-journal", "volume" : "4" }, "uris" : [ "http://www.mendeley.com/documents/?uuid=27b1d1b8-6359-40a9-8b0a-a2d98378225b" ] } ], "mendeley" : { "previouslyFormattedCitation" : "&lt;sup&gt;[23]&lt;/sup&gt;"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0083554E" w:rsidRPr="00A77A01">
        <w:rPr>
          <w:rFonts w:ascii="Book Antiqua" w:hAnsi="Book Antiqua" w:cs="Arial"/>
          <w:bCs/>
          <w:noProof/>
          <w:vertAlign w:val="superscript"/>
          <w:lang w:val="en-GB"/>
        </w:rPr>
        <w:t>[23]</w:t>
      </w:r>
      <w:r w:rsidR="00F54A93" w:rsidRPr="00A77A01">
        <w:rPr>
          <w:rFonts w:ascii="Book Antiqua" w:hAnsi="Book Antiqua" w:cs="Arial"/>
          <w:bCs/>
          <w:lang w:val="en-GB"/>
        </w:rPr>
        <w:fldChar w:fldCharType="end"/>
      </w:r>
      <w:r w:rsidR="0083554E" w:rsidRPr="00A77A01">
        <w:rPr>
          <w:rFonts w:ascii="Book Antiqua" w:hAnsi="Book Antiqua" w:cs="Arial"/>
          <w:bCs/>
          <w:lang w:val="en-GB"/>
        </w:rPr>
        <w:t xml:space="preserve">. The major drawbacks of these protocols are the risk of infections and the rebound of antibodies allowing a short </w:t>
      </w:r>
      <w:r w:rsidRPr="00A77A01">
        <w:rPr>
          <w:rFonts w:ascii="Book Antiqua" w:hAnsi="Book Antiqua" w:cs="Arial"/>
          <w:bCs/>
          <w:lang w:val="en-GB"/>
        </w:rPr>
        <w:t xml:space="preserve">window interval </w:t>
      </w:r>
      <w:r w:rsidR="0083554E" w:rsidRPr="00A77A01">
        <w:rPr>
          <w:rFonts w:ascii="Book Antiqua" w:hAnsi="Book Antiqua" w:cs="Arial"/>
          <w:bCs/>
          <w:lang w:val="en-GB"/>
        </w:rPr>
        <w:t>ti</w:t>
      </w:r>
      <w:r w:rsidR="00036F18">
        <w:rPr>
          <w:rFonts w:ascii="Book Antiqua" w:hAnsi="Book Antiqua" w:cs="Arial"/>
          <w:bCs/>
          <w:lang w:val="en-GB"/>
        </w:rPr>
        <w:t xml:space="preserve">me for receiving a transplant, </w:t>
      </w:r>
      <w:r w:rsidRPr="00A77A01">
        <w:rPr>
          <w:rFonts w:ascii="Book Antiqua" w:hAnsi="Book Antiqua" w:cs="Arial"/>
          <w:bCs/>
          <w:lang w:val="en-GB"/>
        </w:rPr>
        <w:t xml:space="preserve">requiring </w:t>
      </w:r>
      <w:r w:rsidR="0083554E" w:rsidRPr="00A77A01">
        <w:rPr>
          <w:rFonts w:ascii="Book Antiqua" w:hAnsi="Book Antiqua" w:cs="Arial"/>
          <w:bCs/>
          <w:lang w:val="en-GB"/>
        </w:rPr>
        <w:t xml:space="preserve">repeated desensitization if a suitable donor is not found. In pediatric age, due to low numbers of desensitized patients there is a lack of large studies. </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 xml:space="preserve">Most protocols are based on intravenous immunoglobulins which in children have been reported to be effective even when used alone in significantly reducing PRA. Al-Uzri </w:t>
      </w:r>
      <w:r w:rsidRPr="00036F18">
        <w:rPr>
          <w:rFonts w:ascii="Book Antiqua" w:hAnsi="Book Antiqua" w:cs="Arial"/>
          <w:bCs/>
          <w:i/>
          <w:lang w:val="en-GB"/>
        </w:rPr>
        <w:t>et al</w:t>
      </w:r>
      <w:r w:rsidR="00036F18" w:rsidRPr="00A77A01">
        <w:rPr>
          <w:rFonts w:ascii="Book Antiqua" w:hAnsi="Book Antiqua" w:cs="Arial"/>
          <w:bCs/>
          <w:lang w:val="en-GB"/>
        </w:rPr>
        <w:fldChar w:fldCharType="begin" w:fldLock="1"/>
      </w:r>
      <w:r w:rsidR="00036F18" w:rsidRPr="00A77A01">
        <w:rPr>
          <w:rFonts w:ascii="Book Antiqua" w:hAnsi="Book Antiqua" w:cs="Arial"/>
          <w:bCs/>
          <w:lang w:val="en-GB"/>
        </w:rPr>
        <w:instrText>ADDIN CSL_CITATION { "citationItems" : [ { "id" : "ITEM-1", "itemData" : { "DOI" : "10.1034/j.1399-3046.2002.01055.x", "ISSN" : "13973142", "author" : [ { "dropping-particle" : "", "family" : "Al-Uzri", "given" : "Amira Y.", "non-dropping-particle" : "", "parse-names" : false, "suffix" : "" }, { "dropping-particle" : "", "family" : "Seltz", "given" : "Barry", "non-dropping-particle" : "", "parse-names" : false, "suffix" : "" }, { "dropping-particle" : "", "family" : "Yorgin", "given" : "Peter D.", "non-dropping-particle" : "", "parse-names" : false, "suffix" : "" }, { "dropping-particle" : "", "family" : "Spier", "given" : "Catherine M.", "non-dropping-particle" : "", "parse-names" : false, "suffix" : "" }, { "dropping-particle" : "", "family" : "Andreoni", "given" : "Kenneth", "non-dropping-particle" : "", "parse-names" : false, "suffix" : "" } ], "container-title" : "Pediatric Transplantation", "id" : "ITEM-1", "issue" : "2", "issued" : { "date-parts" : [ [ "2002", "4" ] ] }, "page" : "161-165", "title" : "Successful renal transplant outcome after intravenous gamma-globulin treatment of a highly sensitized pediatric recipient", "type" : "article-journal", "volume" : "6" }, "uris" : [ "http://www.mendeley.com/documents/?uuid=722b586c-f7b9-49ed-b593-e03bd810db74" ] } ], "mendeley" : { "previouslyFormattedCitation" : "&lt;sup&gt;[27]&lt;/sup&gt;" }, "properties" : { "noteIndex" : 0 }, "schema" : "https://github.com/citation-style-language/schema/raw/master/csl-citation.json" }</w:instrText>
      </w:r>
      <w:r w:rsidR="00036F18" w:rsidRPr="00A77A01">
        <w:rPr>
          <w:rFonts w:ascii="Book Antiqua" w:hAnsi="Book Antiqua" w:cs="Arial"/>
          <w:bCs/>
          <w:lang w:val="en-GB"/>
        </w:rPr>
        <w:fldChar w:fldCharType="separate"/>
      </w:r>
      <w:r w:rsidR="00036F18" w:rsidRPr="00A77A01">
        <w:rPr>
          <w:rFonts w:ascii="Book Antiqua" w:hAnsi="Book Antiqua" w:cs="Arial"/>
          <w:bCs/>
          <w:noProof/>
          <w:vertAlign w:val="superscript"/>
          <w:lang w:val="en-GB"/>
        </w:rPr>
        <w:t>[27]</w:t>
      </w:r>
      <w:r w:rsidR="00036F18" w:rsidRPr="00A77A01">
        <w:rPr>
          <w:rFonts w:ascii="Book Antiqua" w:hAnsi="Book Antiqua" w:cs="Arial"/>
          <w:bCs/>
          <w:lang w:val="en-GB"/>
        </w:rPr>
        <w:fldChar w:fldCharType="end"/>
      </w:r>
      <w:r w:rsidRPr="00A77A01">
        <w:rPr>
          <w:rFonts w:ascii="Book Antiqua" w:hAnsi="Book Antiqua" w:cs="Arial"/>
          <w:bCs/>
          <w:lang w:val="en-GB"/>
        </w:rPr>
        <w:t xml:space="preserve"> showed that weekly infusion for three consecutive weeks every 12 </w:t>
      </w:r>
      <w:r w:rsidR="00036F18">
        <w:rPr>
          <w:rFonts w:ascii="Book Antiqua" w:hAnsi="Book Antiqua" w:cs="Arial"/>
          <w:lang w:val="en-GB"/>
        </w:rPr>
        <w:t>wk</w:t>
      </w:r>
      <w:r w:rsidRPr="00A77A01">
        <w:rPr>
          <w:rFonts w:ascii="Book Antiqua" w:hAnsi="Book Antiqua" w:cs="Arial"/>
          <w:bCs/>
          <w:lang w:val="en-GB"/>
        </w:rPr>
        <w:t xml:space="preserve"> of</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 xml:space="preserve">high-dose (500 mg/kg) Immunoglobulins reduced PRA to zero, </w:t>
      </w:r>
      <w:r w:rsidR="0001249D" w:rsidRPr="00A77A01">
        <w:rPr>
          <w:rFonts w:ascii="Book Antiqua" w:hAnsi="Book Antiqua" w:cs="Arial"/>
          <w:bCs/>
          <w:lang w:val="en-GB"/>
        </w:rPr>
        <w:t>and the effect lasted</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for over three years. Tyan reported a case where IVIG were successfully used to reduce PRA from 95% to 15% and allow retransplant in a 13 years old boy</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"ISSN" : "0041-1337", "PMID" : "8116041", "abstract" : "Patients awaiting solid organ transplantation who are highly sensitized to HLA antigens remain problematic in terms of finding compatible (crossmatch-negative) donors. We have used intravenous gammaglobulin (IVIG; 10% Gamimune N) to determine both its efficacy in reducing panel-reactive antibodies in vitro and the prognostic value of the in vitro testing for in vivo efficacy. In 18 patients with PRAs ranging from 40 to 100% (mean: 77%) we found a reduction in absolute PRA of 4-70% (mean decrease: 35%; percent inhibition: 4-100%; residual PRA 0-96%). In 7 cases, the residual antibody specificity could be easily determined and often appeared to include a short HLA-A2. This was independent of A2 subtype as determined by PCR-SSOP. Testing the IVIG on a panel of 21 HLA reagent alloantisera resulted in heterogeneous inhibitory patterns (7 complete, 3 partial, 8 differential, 3 none) independent of titer or specificity. In vivo administration to a 13-year-old kidney patient awaiting retransplant resulted in a PRA drop from 95% to 15% and successful retransplantation (now 11 months post-transplant). More impressively, successive in vivo administration of IVIG to a sensitized (anti-HLA-A2, A68, A69; B57, B58) heart transplant candidate resulted in successful transplantation with an A2+ histoincompatible heart. The patient experienced only one subclinical humoral rejection in the first 5 months posttransplant. Biochemical studies to determine the effective component of IVIG show that it is the IgG fraction and not soluble antigen or the minor IgM or IgA contaminants that is responsible. This suggests an antiidiotypic modulation of anti-HLA antibodies in vitro and in vivo.", "author" : [ { "dropping-particle" : "", "family" : "Tyan", "given" : "D B", "non-dropping-particle" : "", "parse-names" : false, "suffix" : "" }, { "dropping-particle" : "", "family" : "Li", "given" : "V A", "non-dropping-particle" : "", "parse-names" : false, "suffix" : "" }, { "dropping-particle" : "", "family" : "Czer", "given" : "L", "non-dropping-particle" : "", "parse-names" : false, "suffix" : "" }, { "dropping-particle" : "", "family" : "Trento", "given" : "A", "non-dropping-particle" : "", "parse-names" : false, "suffix" : "" }, { "dropping-particle" : "", "family" : "Jordan", "given" : "S C", "non-dropping-particle" : "", "parse-names" : false, "suffix" : "" } ], "container-title" : "Transplantation", "id" : "ITEM-1", "issue" : "4", "issued" : { "date-parts" : [ [ "1994", "2", "27" ] ] }, "page" : "553-62", "title" : "Intravenous immunoglobulin suppression of HLA alloantibody in highly sensitized transplant candidates and transplantation with a histoincompatible organ.", "type" : "article-journal", "volume" : "57" }, "uris" : [ "http://www.mendeley.com/documents/?uuid=be65dc24-da01-4523-9c95-c5b3da3eaec2" ] } ], "mendeley" : { "previouslyFormattedCitation" : "&lt;sup&gt;[28]&lt;/sup&gt;"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[28]</w:t>
      </w:r>
      <w:r w:rsidR="00F54A93" w:rsidRPr="00A77A01">
        <w:rPr>
          <w:rFonts w:ascii="Book Antiqua" w:hAnsi="Book Antiqua" w:cs="Arial"/>
          <w:bCs/>
          <w:lang w:val="en-GB"/>
        </w:rPr>
        <w:fldChar w:fldCharType="end"/>
      </w:r>
      <w:r w:rsidRPr="00A77A01">
        <w:rPr>
          <w:rFonts w:ascii="Book Antiqua" w:hAnsi="Book Antiqua" w:cs="Arial"/>
          <w:bCs/>
          <w:lang w:val="en-GB"/>
        </w:rPr>
        <w:t>.</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 xml:space="preserve">In adults Immunoglobulin infusion alone have not produced satisfactory results, hence different protocols of combination treatment with other drugs or </w:t>
      </w:r>
      <w:r w:rsidR="00036F18">
        <w:rPr>
          <w:rFonts w:ascii="Book Antiqua" w:hAnsi="Book Antiqua" w:cs="Arial"/>
          <w:bCs/>
          <w:lang w:val="en-GB"/>
        </w:rPr>
        <w:t xml:space="preserve">procedures have been tried and </w:t>
      </w:r>
      <w:r w:rsidRPr="00A77A01">
        <w:rPr>
          <w:rFonts w:ascii="Book Antiqua" w:hAnsi="Book Antiqua" w:cs="Arial"/>
          <w:bCs/>
          <w:lang w:val="en-GB"/>
        </w:rPr>
        <w:t>adopted al</w:t>
      </w:r>
      <w:r w:rsidR="00036F18">
        <w:rPr>
          <w:rFonts w:ascii="Book Antiqua" w:hAnsi="Book Antiqua" w:cs="Arial"/>
          <w:bCs/>
          <w:lang w:val="en-GB"/>
        </w:rPr>
        <w:t>so in children. The combination</w:t>
      </w:r>
      <w:r w:rsidR="00576052" w:rsidRPr="00A77A01">
        <w:rPr>
          <w:rFonts w:ascii="Book Antiqua" w:hAnsi="Book Antiqua" w:cs="Arial"/>
          <w:bCs/>
          <w:lang w:val="en-GB"/>
        </w:rPr>
        <w:t xml:space="preserve"> of</w:t>
      </w:r>
      <w:r w:rsidR="0044619B" w:rsidRPr="00A77A01">
        <w:rPr>
          <w:rFonts w:ascii="Book Antiqua" w:hAnsi="Book Antiqua" w:cs="Arial"/>
          <w:bCs/>
          <w:lang w:val="en-GB"/>
        </w:rPr>
        <w:t xml:space="preserve"> </w:t>
      </w:r>
      <w:r w:rsidRPr="00A77A01">
        <w:rPr>
          <w:rFonts w:ascii="Book Antiqua" w:hAnsi="Book Antiqua" w:cs="Arial"/>
          <w:bCs/>
          <w:lang w:val="en-GB"/>
        </w:rPr>
        <w:t>rituximab</w:t>
      </w:r>
      <w:r w:rsidR="00576052" w:rsidRPr="00A77A01">
        <w:rPr>
          <w:rFonts w:ascii="Book Antiqua" w:hAnsi="Book Antiqua" w:cs="Arial"/>
          <w:bCs/>
          <w:lang w:val="en-GB"/>
        </w:rPr>
        <w:t xml:space="preserve"> with plasmapheresis</w:t>
      </w:r>
      <w:r w:rsidRPr="00A77A01">
        <w:rPr>
          <w:rFonts w:ascii="Book Antiqua" w:hAnsi="Book Antiqua" w:cs="Arial"/>
          <w:bCs/>
          <w:lang w:val="en-GB"/>
        </w:rPr>
        <w:t xml:space="preserve"> </w:t>
      </w:r>
      <w:r w:rsidR="008E71AF" w:rsidRPr="00A77A01">
        <w:rPr>
          <w:rFonts w:ascii="Book Antiqua" w:hAnsi="Book Antiqua" w:cs="Arial"/>
          <w:bCs/>
          <w:lang w:val="en-GB"/>
        </w:rPr>
        <w:t xml:space="preserve">was able to maintain over longer time the immunoglobulin depleting effect of plasmapheresis </w:t>
      </w:r>
      <w:r w:rsidRPr="00A77A01">
        <w:rPr>
          <w:rFonts w:ascii="Book Antiqua" w:hAnsi="Book Antiqua" w:cs="Arial"/>
          <w:bCs/>
          <w:lang w:val="en-GB"/>
        </w:rPr>
        <w:t xml:space="preserve">maintaining the lowering effect so as to </w:t>
      </w:r>
      <w:r w:rsidR="00036F18">
        <w:rPr>
          <w:rFonts w:ascii="Book Antiqua" w:hAnsi="Book Antiqua" w:cs="Arial"/>
          <w:bCs/>
          <w:lang w:val="en-GB"/>
        </w:rPr>
        <w:t>allow the use of this protocol</w:t>
      </w:r>
      <w:r w:rsidRPr="00A77A01">
        <w:rPr>
          <w:rFonts w:ascii="Book Antiqua" w:hAnsi="Book Antiqua" w:cs="Arial"/>
          <w:bCs/>
          <w:lang w:val="en-GB"/>
        </w:rPr>
        <w:t xml:space="preserve"> also in deceased-donor transplant. </w:t>
      </w:r>
      <w:r w:rsidR="00576052" w:rsidRPr="00A77A01">
        <w:rPr>
          <w:rFonts w:ascii="Book Antiqua" w:hAnsi="Book Antiqua" w:cs="Arial"/>
          <w:bCs/>
          <w:lang w:val="en-GB"/>
        </w:rPr>
        <w:t xml:space="preserve">Rituximab cannot by </w:t>
      </w:r>
      <w:r w:rsidR="00FA39A5" w:rsidRPr="00A77A01">
        <w:rPr>
          <w:rFonts w:ascii="Book Antiqua" w:hAnsi="Book Antiqua" w:cs="Arial"/>
          <w:bCs/>
          <w:lang w:val="en-GB"/>
        </w:rPr>
        <w:t>itself reduce anti HLA antibody level, but can preve</w:t>
      </w:r>
      <w:r w:rsidR="008E71AF" w:rsidRPr="00A77A01">
        <w:rPr>
          <w:rFonts w:ascii="Book Antiqua" w:hAnsi="Book Antiqua" w:cs="Arial"/>
          <w:bCs/>
          <w:lang w:val="en-GB"/>
        </w:rPr>
        <w:t>n</w:t>
      </w:r>
      <w:r w:rsidR="00FA39A5" w:rsidRPr="00A77A01">
        <w:rPr>
          <w:rFonts w:ascii="Book Antiqua" w:hAnsi="Book Antiqua" w:cs="Arial"/>
          <w:bCs/>
          <w:lang w:val="en-GB"/>
        </w:rPr>
        <w:t>t clonal B cells expansion and consequently DSA production.</w:t>
      </w:r>
      <w:r w:rsidRPr="00A77A01">
        <w:rPr>
          <w:rFonts w:ascii="Book Antiqua" w:hAnsi="Book Antiqua" w:cs="Arial"/>
          <w:bCs/>
          <w:lang w:val="en-GB"/>
        </w:rPr>
        <w:t xml:space="preserve"> The advantage of rituximab (1 g/1.73</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m</w:t>
      </w:r>
      <w:r w:rsidRPr="00036F18">
        <w:rPr>
          <w:rFonts w:ascii="Book Antiqua" w:hAnsi="Book Antiqua" w:cs="Arial"/>
          <w:bCs/>
          <w:vertAlign w:val="superscript"/>
          <w:lang w:val="en-GB"/>
        </w:rPr>
        <w:t>2</w:t>
      </w:r>
      <w:r w:rsidRPr="00A77A01">
        <w:rPr>
          <w:rFonts w:ascii="Book Antiqua" w:hAnsi="Book Antiqua" w:cs="Arial"/>
          <w:bCs/>
          <w:lang w:val="en-GB"/>
        </w:rPr>
        <w:t>) for children is the wide experience in pediatric nephrotic syndrome which reported low incidence of infections and of major complications and effects lasting sometimes even one year, avoiding the need for vascular access and repeated procedures, like in the case of plasma</w:t>
      </w:r>
      <w:r w:rsidR="008E71AF" w:rsidRPr="00A77A01">
        <w:rPr>
          <w:rFonts w:ascii="Book Antiqua" w:hAnsi="Book Antiqua" w:cs="Arial"/>
          <w:bCs/>
          <w:lang w:val="en-GB"/>
        </w:rPr>
        <w:t>ph</w:t>
      </w:r>
      <w:r w:rsidRPr="00A77A01">
        <w:rPr>
          <w:rFonts w:ascii="Book Antiqua" w:hAnsi="Book Antiqua" w:cs="Arial"/>
          <w:bCs/>
          <w:lang w:val="en-GB"/>
        </w:rPr>
        <w:t>eresis. Rituximab was given in some protocols after plasmapheresis</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"10.1038/ki.2014.261", "ISSN" : "1523-1755", "PMID" : "25054778", "abstract" : "Rituximab has been used to increase the efficacy of desensitization protocols for human leukocyte antigen (HLA)-incompatible kidney transplantation; however, controlled comparisons have not been reported. Here we examined 256 post-transplant HLA antibody levels in 25 recipients desensitized with and 25 without rituximab induction, to determine the impact of B-cell depletion. We found significantly less HLA antibody rebound in the rituximab-treated patients (7% of donor-specific antibodies (DSAs) and 33% of non-DSAs) compared with a control cohort desensitized and transplanted without rituximab (32% DSAs and 55% non-DSAs). The magnitude of the increase was significantly larger among patients who did not receive rituximab. Interestingly, in rituximab-treated patients, of the 39 HLA antibodies that increased post transplant, 34 were specific for HLA mismatches present in previous allografts or pregnancies, implying limited efficacy in memory B-cell depletion. Compared with controls, rituximab-treated patients had a significantly greater mean reduction in DSA (-2505 vs. -292 mean fluorescence intensity), but a similar rate of DSA persistence (52% in rituximab treated-and 40% in non-treated recipients). Thus, rituximab induction in HLA-incompatible recipients reduced the incidence and magnitude of HLA antibody rebound, but did not affect DSA elimination, antibody-mediated rejection, or 5-year allograft survival when compared with recipients desensitized and transplanted without rituximab.Kidney International advance online publication, 23 July 2014; doi:10.1038/ki.2014.261.", "author" : [ { "dropping-particle" : "", "family" : "Jackson", "given" : "Annette M", "non-dropping-particle" : "", "parse-names" : false, "suffix" : "" }, { "dropping-particle" : "", "family" : "Kraus", "given" : "Edward S", "non-dropping-particle" : "", "parse-names" : false, "suffix" : "" }, { "dropping-particle" : "", "family" : "Orandi", "given" : "Babak J", "non-dropping-particle" : "", "parse-names" : false, "suffix" : "" }, { "dropping-particle" : "", "family" : "Segev", "given" : "Dorry L", "non-dropping-particle" : "", "parse-names" : false, "suffix" : "" }, { "dropping-particle" : "", "family" : "Montgomery", "given" : "Robert a", "non-dropping-particle" : "", "parse-names" : false, "suffix" : "" }, { "dropping-particle" : "", "family" : "Zachary", "given" : "Andrea a", "non-dropping-particle" : "", "parse-names" : false, "suffix" : "" } ], "container-title" : "Kidney international", "id" : "ITEM-1", "issue" : "May", "issued" : { "date-parts" : [ [ "2014", "7", "23" ] ] }, "page" : "1-8", "publisher" : "Nature Publishing Group", "title" : "A closer look at rituximab induction on HLA antibody rebound following HLA-incompatible kidney transplantation.", "type" : "article-journal" }, "uris" : [ "http://www.mendeley.com/documents/?uuid=51b6f147-3bc2-4e26-b183-ba8f1f99320c" ] } ], "mendeley" : { "previouslyFormattedCitation" : "&lt;sup&gt;[29]&lt;/sup&gt;"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[29]</w:t>
      </w:r>
      <w:r w:rsidR="00F54A93" w:rsidRPr="00A77A01">
        <w:rPr>
          <w:rFonts w:ascii="Book Antiqua" w:hAnsi="Book Antiqua" w:cs="Arial"/>
          <w:bCs/>
          <w:lang w:val="en-GB"/>
        </w:rPr>
        <w:fldChar w:fldCharType="end"/>
      </w:r>
      <w:r w:rsidRPr="00A77A01">
        <w:rPr>
          <w:rFonts w:ascii="Book Antiqua" w:hAnsi="Book Antiqua" w:cs="Arial"/>
          <w:bCs/>
          <w:lang w:val="en-GB"/>
        </w:rPr>
        <w:t xml:space="preserve">. </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 xml:space="preserve">Billing and Toenshoff </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"10.1097/TP.0b013e3181880b35", "ISSN" : "1534-6080", "PMID" : "19005402", "abstract" : "BACKGROUND: Chronic antibody-mediated rejection (CAMR) of renal allografts has recently been recognized as a defined nosologic entity. The outcome of CAMR is poor; there is no established treatment protocol for this condition. We therefore initiated a pilot study on treatment of CAMR with an antihumoral regimen consisting of high-dose intravenous immunoglobulin (IVIG) and the chimeric anti-CD20 antibody rituximab.\n\nMETHODS: Six pediatric renal transplant recipients with CAMR received four weekly doses of IVIG (1 g/kg body weight per dose), followed by a single dose of rituximab (375 mg/m2 body surface area) 1 week after the last IVIG infusion. Renal allograft biopsies were evaluated using the Banff '05 classification. Human leukocyte antigen-specific antibodies were detected by panel-reactive lymphocytotoxicity and solid phase ELISA assays.\n\nRESULTS: Median glomerular filtration rate during 6 months before intervention dropped by 25 (range, 11-26) mL/min/1.73 m2 (P&lt;0.05) and increased in response to antihumoral therapy by 21 (-14 to +30) 6 months (P&lt;0.05) and by 19 (-14 to +23) mL/min/1.73 m2 12 months (P=0.063) after start of treatment. Glomerular filtration rate improved or stabilized in 4 patients; the two nonresponders had the highest degree of transplant glomerulopathy, the highest degree of C4d deposition in peritubular capillaries and pronounced interstitial inflammation. The treatment regimen was well tolerated.\n\nCONCLUSION: This pilot study demonstrates that CAMR in pediatric renal transplant recipients can be treated successfully and safely with a combination of IVIG and rituximab. This observation should encourage more extensive studies to evaluate this new treatment strategy.", "author" : [ { "dropping-particle" : "", "family" : "Billing", "given" : "Heiko", "non-dropping-particle" : "", "parse-names" : false, "suffix" : "" }, { "dropping-particle" : "", "family" : "Rieger", "given" : "Susanne", "non-dropping-particle" : "", "parse-names" : false, "suffix" : "" }, { "dropping-particle" : "", "family" : "Ovens", "given" : "J\u00f6rg", "non-dropping-particle" : "", "parse-names" : false, "suffix" : "" }, { "dropping-particle" : "", "family" : "S\u00fcsal", "given" : "Caner", "non-dropping-particle" : "", "parse-names" : false, "suffix" : "" }, { "dropping-particle" : "", "family" : "Melk", "given" : "Anette", "non-dropping-particle" : "", "parse-names" : false, "suffix" : "" }, { "dropping-particle" : "", "family" : "Waldherr", "given" : "R\u00fcdiger", "non-dropping-particle" : "", "parse-names" : false, "suffix" : "" }, { "dropping-particle" : "", "family" : "Opelz", "given" : "Gerhard", "non-dropping-particle" : "", "parse-names" : false, "suffix" : "" }, { "dropping-particle" : "", "family" : "T\u00f6nshoff", "given" : "Burkhard", "non-dropping-particle" : "", "parse-names" : false, "suffix" : "" } ], "container-title" : "Transplantation", "id" : "ITEM-1", "issue" : "9", "issued" : { "date-parts" : [ [ "2008", "11", "15" ] ] }, "page" : "1214-21", "title" : "Successful treatment of chronic antibody-mediated rejection with IVIG and rituximab in pediatric renal transplant recipients.", "type" : "article-journal", "volume" : "86" }, "uris" : [ "http://www.mendeley.com/documents/?uuid=76d91ae4-605b-4c1e-af5e-b0c29fbbedf1" ] } ], "mendeley" : { "previouslyFormattedCitation" : "&lt;sup&gt;[30]&lt;/sup&gt;"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[30]</w:t>
      </w:r>
      <w:r w:rsidR="00F54A93" w:rsidRPr="00A77A01">
        <w:rPr>
          <w:rFonts w:ascii="Book Antiqua" w:hAnsi="Book Antiqua" w:cs="Arial"/>
          <w:bCs/>
          <w:lang w:val="en-GB"/>
        </w:rPr>
        <w:fldChar w:fldCharType="end"/>
      </w:r>
      <w:r w:rsidRPr="00A77A01">
        <w:rPr>
          <w:rFonts w:ascii="Book Antiqua" w:hAnsi="Book Antiqua" w:cs="Arial"/>
          <w:bCs/>
          <w:lang w:val="en-GB"/>
        </w:rPr>
        <w:t xml:space="preserve"> treated children with active chronic DSA Ab rejection with 4 weekly doses of 1g/</w:t>
      </w:r>
      <w:r w:rsidR="00036F18" w:rsidRPr="00A77A01">
        <w:rPr>
          <w:rFonts w:ascii="Book Antiqua" w:hAnsi="Book Antiqua" w:cs="Arial"/>
          <w:bCs/>
          <w:lang w:val="en-GB"/>
        </w:rPr>
        <w:t>k</w:t>
      </w:r>
      <w:r w:rsidRPr="00A77A01">
        <w:rPr>
          <w:rFonts w:ascii="Book Antiqua" w:hAnsi="Book Antiqua" w:cs="Arial"/>
          <w:bCs/>
          <w:lang w:val="en-GB"/>
        </w:rPr>
        <w:t>g IVIg followed by one single dose of rituximab (375 mg/m</w:t>
      </w:r>
      <w:r w:rsidRPr="00036F18">
        <w:rPr>
          <w:rFonts w:ascii="Book Antiqua" w:hAnsi="Book Antiqua" w:cs="Arial"/>
          <w:bCs/>
          <w:vertAlign w:val="superscript"/>
          <w:lang w:val="en-GB"/>
        </w:rPr>
        <w:t>2</w:t>
      </w:r>
      <w:r w:rsidRPr="00A77A01">
        <w:rPr>
          <w:rFonts w:ascii="Book Antiqua" w:hAnsi="Book Antiqua" w:cs="Arial"/>
          <w:bCs/>
          <w:lang w:val="en-GB"/>
        </w:rPr>
        <w:t>). They reported a significant</w:t>
      </w:r>
      <w:r w:rsidR="008E002B" w:rsidRPr="00A77A01">
        <w:rPr>
          <w:rFonts w:ascii="Book Antiqua" w:hAnsi="Book Antiqua" w:cs="Arial"/>
          <w:bCs/>
          <w:lang w:val="en-GB"/>
        </w:rPr>
        <w:t>ly</w:t>
      </w:r>
      <w:r w:rsidRPr="00A77A01">
        <w:rPr>
          <w:rFonts w:ascii="Book Antiqua" w:hAnsi="Book Antiqua" w:cs="Arial"/>
          <w:bCs/>
          <w:lang w:val="en-GB"/>
        </w:rPr>
        <w:t xml:space="preserve"> lower loss of GFR over 6 mo </w:t>
      </w:r>
      <w:r w:rsidR="008E71AF" w:rsidRPr="00A77A01">
        <w:rPr>
          <w:rFonts w:ascii="Book Antiqua" w:hAnsi="Book Antiqua" w:cs="Arial"/>
          <w:bCs/>
          <w:lang w:val="en-GB"/>
        </w:rPr>
        <w:t xml:space="preserve">of </w:t>
      </w:r>
      <w:r w:rsidRPr="00A77A01">
        <w:rPr>
          <w:rFonts w:ascii="Book Antiqua" w:hAnsi="Book Antiqua" w:cs="Arial"/>
          <w:bCs/>
          <w:lang w:val="en-GB"/>
        </w:rPr>
        <w:t>treatment in 4/6 cases. These results were confirmed in a larger trial enrolling 20 children followed over 2 years, with a response rate (evaluated as reduction of GFR loss) in 70% of the patients. Meanwhile, there was a reduction of 60% of antibodies against both HLA class I and Class II</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"10.1111/j.1432-2277.2012.01544.x", "ISSN" : "1432-2277", "PMID" : "22897111", "abstract" : "Chronic antibody-mediated rejection (AMR) is the major cause of late renal allograft loss. There is, however, no established treatment for this condition. We report the results of a prospective pilot study on an antihumoral therapy (AHT) consisting of high-dose intravenous immunoglobulin G (IVIG) and rituximab in 20 paediatric renal transplant recipients. Donor-specific HLA antibodies (HLA DSA) were quantified by Luminex-based bead array technology. Loss of eGFR decreased significantly from 7.6 ml/min/1.73 m\u00b2 during 6 months prior to AHT to 2.1 ml/min/1.73 m\u00b2 (P = 0.0013) during 6 months after AHT. Fourteen patients (70%) responded: nine of nine patients (100%) without and five of 11 (45%) with transplant glomerulopathy (P = 0.014). C4d positivity in PTC decreased from 40 \u00b1 18.5% in the index biopsy to 11.6 \u00b1 12.2% (P = 0.002) in the follow-up biopsy. In four of nine biopsies (44%) C4d staining turned negative. During 2\u2003years of follow-up, the median loss of eGFR in each of the four 6-month periods remained significantly lower compared with prior to AHT. Class I DSA declined in response to AHT by 61% (p = 0.044), class II DSA by 63% (p = 0.033) 12 months after intervention. AHT with IVIG and rituximab significantly reduces or stabilizes the progressive loss of transplant function in paediatric patients with chronic AMR over an observation period of 2 years, apparently by lowering circulating DSA and reducing intrarenal complement activation.", "author" : [ { "dropping-particle" : "", "family" : "Billing", "given" : "Heiko", "non-dropping-particle" : "", "parse-names" : false, "suffix" : "" }, { "dropping-particle" : "", "family" : "Rieger", "given" : "Susanne", "non-dropping-particle" : "", "parse-names" : false, "suffix" : "" }, { "dropping-particle" : "", "family" : "S\u00fcsal", "given" : "Caner", "non-dropping-particle" : "", "parse-names" : false, "suffix" : "" }, { "dropping-particle" : "", "family" : "Waldherr", "given" : "R\u00fcdiger", "non-dropping-particle" : "", "parse-names" : false, "suffix" : "" }, { "dropping-particle" : "", "family" : "Opelz", "given" : "Gerhard", "non-dropping-particle" : "", "parse-names" : false, "suffix" : "" }, { "dropping-particle" : "", "family" : "W\u00fchl", "given" : "Elke", "non-dropping-particle" : "", "parse-names" : false, "suffix" : "" }, { "dropping-particle" : "", "family" : "T\u00f6nshoff", "given" : "Burkhard", "non-dropping-particle" : "", "parse-names" : false, "suffix" : "" } ], "container-title" : "Transplant international : official journal of the European Society for Organ Transplantation", "id" : "ITEM-1", "issue" : "11", "issued" : { "date-parts" : [ [ "2012", "11" ] ] }, "page" : "1165-73", "title" : "IVIG and rituximab for treatment of chronic antibody-mediated rejection: a prospective study in paediatric renal transplantation with a 2-year follow-up.", "type" : "article-journal", "volume" : "25" }, "uris" : [ "http://www.mendeley.com/documents/?uuid=106df8ea-b3c9-4555-9ed2-20f78338e936" ] } ], "mendeley" : { "previouslyFormattedCitation" : "&lt;sup&gt;[31]&lt;/sup&gt;"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[31]</w:t>
      </w:r>
      <w:r w:rsidR="00F54A93" w:rsidRPr="00A77A01">
        <w:rPr>
          <w:rFonts w:ascii="Book Antiqua" w:hAnsi="Book Antiqua" w:cs="Arial"/>
          <w:bCs/>
          <w:lang w:val="en-GB"/>
        </w:rPr>
        <w:fldChar w:fldCharType="end"/>
      </w:r>
      <w:r w:rsidRPr="00A77A01">
        <w:rPr>
          <w:rFonts w:ascii="Book Antiqua" w:hAnsi="Book Antiqua" w:cs="Arial"/>
          <w:bCs/>
          <w:lang w:val="en-GB"/>
        </w:rPr>
        <w:t>.</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Another drug used to successfully prevent or reduce DSA Ab is MMF (390 to 500 mg/m</w:t>
      </w:r>
      <w:r w:rsidRPr="00A77A01">
        <w:rPr>
          <w:rFonts w:ascii="Book Antiqua" w:hAnsi="Book Antiqua" w:cs="Arial"/>
          <w:bCs/>
          <w:vertAlign w:val="superscript"/>
          <w:lang w:val="en-GB"/>
        </w:rPr>
        <w:t>2</w:t>
      </w:r>
      <w:r w:rsidR="00036F18">
        <w:rPr>
          <w:rFonts w:ascii="Book Antiqua" w:eastAsiaTheme="minorEastAsia" w:hAnsi="Book Antiqua" w:cs="Arial" w:hint="eastAsia"/>
          <w:bCs/>
          <w:lang w:val="en-GB" w:eastAsia="zh-CN"/>
        </w:rPr>
        <w:t xml:space="preserve"> per </w:t>
      </w:r>
      <w:r w:rsidRPr="00A77A01">
        <w:rPr>
          <w:rFonts w:ascii="Book Antiqua" w:hAnsi="Book Antiqua" w:cs="Arial"/>
          <w:bCs/>
          <w:lang w:val="en-GB"/>
        </w:rPr>
        <w:t>d</w:t>
      </w:r>
      <w:r w:rsidR="00036F18">
        <w:rPr>
          <w:rFonts w:ascii="Book Antiqua" w:eastAsiaTheme="minorEastAsia" w:hAnsi="Book Antiqua" w:cs="Arial" w:hint="eastAsia"/>
          <w:bCs/>
          <w:lang w:val="en-GB" w:eastAsia="zh-CN"/>
        </w:rPr>
        <w:t>ay</w:t>
      </w:r>
      <w:r w:rsidRPr="00A77A01">
        <w:rPr>
          <w:rFonts w:ascii="Book Antiqua" w:hAnsi="Book Antiqua" w:cs="Arial"/>
          <w:bCs/>
          <w:lang w:val="en-GB"/>
        </w:rPr>
        <w:t>) , which gave satisfactory results in a 4</w:t>
      </w:r>
      <w:r w:rsidR="00036F18">
        <w:rPr>
          <w:rFonts w:ascii="Book Antiqua" w:eastAsiaTheme="minorEastAsia" w:hAnsi="Book Antiqua" w:cs="Arial" w:hint="eastAsia"/>
          <w:bCs/>
          <w:lang w:val="en-GB" w:eastAsia="zh-CN"/>
        </w:rPr>
        <w:t>-</w:t>
      </w:r>
      <w:r w:rsidRPr="00A77A01">
        <w:rPr>
          <w:rFonts w:ascii="Book Antiqua" w:hAnsi="Book Antiqua" w:cs="Arial"/>
          <w:bCs/>
          <w:lang w:val="en-GB"/>
        </w:rPr>
        <w:t>year</w:t>
      </w:r>
      <w:r w:rsidR="00036F18">
        <w:rPr>
          <w:rFonts w:ascii="Book Antiqua" w:eastAsiaTheme="minorEastAsia" w:hAnsi="Book Antiqua" w:cs="Arial" w:hint="eastAsia"/>
          <w:bCs/>
          <w:lang w:val="en-GB" w:eastAsia="zh-CN"/>
        </w:rPr>
        <w:t>-</w:t>
      </w:r>
      <w:r w:rsidRPr="00A77A01">
        <w:rPr>
          <w:rFonts w:ascii="Book Antiqua" w:hAnsi="Book Antiqua" w:cs="Arial"/>
          <w:bCs/>
          <w:lang w:val="en-GB"/>
        </w:rPr>
        <w:t>old child</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"10.1111/j.1399-3046.2005.00469.x", "ISSN" : "1397-3142", "PMID" : "16677363", "abstract" : "Sensitization, as measured by panel reactive antibodies (PRAs), occurs as a result of previous organ transplantation, blood transfusions, or pregnancy. The high-PRA levels increase the risk of complications during transplantation and may result in long time duration for future transplants. Mycophenolate mofetil (MMF) has been shown to decrease lymphocyte proliferation and antibody formation. We report the use of prophylactic MMF in preventing the formation of PRAs in a pediatric renal transplant recipient with multiple donor exposures. A four-yr-old girl received an unsuccessful living-related renal transplant in February 2003 and was subject to multiple blood transfusions in the perioperative period. MMF, 500 mg/m2/day in two divided doses, achieved suppression of PRAs to less than 20% and allowed successful renal transplantation within nine months. No side effects occurred. This approach may reduce the risk of sensitization in future potential organ donor recipients in similar situations.", "author" : [ { "dropping-particle" : "", "family" : "Wong", "given" : "Hubert", "non-dropping-particle" : "", "parse-names" : false, "suffix" : "" }, { "dropping-particle" : "", "family" : "Laberge", "given" : "Robert", "non-dropping-particle" : "", "parse-names" : false, "suffix" : "" }, { "dropping-particle" : "", "family" : "Harvey", "given" : "Elizabeth", "non-dropping-particle" : "", "parse-names" : false, "suffix" : "" }, { "dropping-particle" : "", "family" : "Filler", "given" : "Guido", "non-dropping-particle" : "", "parse-names" : false, "suffix" : "" } ], "container-title" : "Pediatric transplantation", "id" : "ITEM-1", "issue" : "3", "issued" : { "date-parts" : [ [ "2006", "5" ] ] }, "page" : "367-70", "title" : "Preventing sensitization with mycophenolate mofetil in a pediatric kidney recipient.", "type" : "article-journal", "volume" : "10" }, "uris" : [ "http://www.mendeley.com/documents/?uuid=3aff2780-18e3-4a77-a047-250e67ba8fa1" ] } ], "mendeley" : { "previouslyFormattedCitation" : "&lt;sup&gt;[32]&lt;/sup&gt;"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[32]</w:t>
      </w:r>
      <w:r w:rsidR="00F54A93" w:rsidRPr="00A77A01">
        <w:rPr>
          <w:rFonts w:ascii="Book Antiqua" w:hAnsi="Book Antiqua" w:cs="Arial"/>
          <w:bCs/>
          <w:lang w:val="en-GB"/>
        </w:rPr>
        <w:fldChar w:fldCharType="end"/>
      </w:r>
      <w:r w:rsidRPr="00A77A01">
        <w:rPr>
          <w:rFonts w:ascii="Book Antiqua" w:hAnsi="Book Antiqua" w:cs="Arial"/>
          <w:bCs/>
          <w:lang w:val="en-GB"/>
        </w:rPr>
        <w:t xml:space="preserve">. </w:t>
      </w:r>
    </w:p>
    <w:p w:rsidR="0083554E" w:rsidRPr="00A77A01" w:rsidRDefault="0083554E" w:rsidP="00036F18">
      <w:pPr>
        <w:pStyle w:val="content"/>
        <w:spacing w:before="0" w:beforeAutospacing="0" w:after="0" w:afterAutospacing="0" w:line="360" w:lineRule="auto"/>
        <w:ind w:firstLineChars="100" w:firstLine="240"/>
        <w:jc w:val="both"/>
        <w:rPr>
          <w:rFonts w:ascii="Book Antiqua" w:hAnsi="Book Antiqua" w:cs="Arial"/>
          <w:bCs/>
          <w:lang w:val="en-GB"/>
        </w:rPr>
      </w:pPr>
      <w:r w:rsidRPr="00A77A01">
        <w:rPr>
          <w:rFonts w:ascii="Book Antiqua" w:hAnsi="Book Antiqua" w:cs="Arial"/>
          <w:bCs/>
          <w:lang w:val="en-GB"/>
        </w:rPr>
        <w:t>New treatments</w:t>
      </w:r>
      <w:r w:rsidR="00FA39A5" w:rsidRPr="00A77A01">
        <w:rPr>
          <w:rFonts w:ascii="Book Antiqua" w:hAnsi="Book Antiqua" w:cs="Arial"/>
          <w:bCs/>
          <w:lang w:val="en-GB"/>
        </w:rPr>
        <w:t>, like Eculizumab which is a complement inhibitor directed against terminal complement protein C5, and the proteasome inhibitor Bortezomib, are</w:t>
      </w:r>
      <w:r w:rsidRPr="00A77A01">
        <w:rPr>
          <w:rFonts w:ascii="Book Antiqua" w:hAnsi="Book Antiqua" w:cs="Arial"/>
          <w:bCs/>
          <w:lang w:val="en-GB"/>
        </w:rPr>
        <w:t xml:space="preserve"> theoretically useful to block the final effects of preformed anti HLA antibodies and</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their noxious effect</w:t>
      </w:r>
      <w:r w:rsidR="00FA39A5" w:rsidRPr="00A77A01">
        <w:rPr>
          <w:rFonts w:ascii="Book Antiqua" w:hAnsi="Book Antiqua" w:cs="Arial"/>
          <w:bCs/>
          <w:lang w:val="en-GB"/>
        </w:rPr>
        <w:t>,</w:t>
      </w:r>
      <w:r w:rsidRPr="00A77A01">
        <w:rPr>
          <w:rFonts w:ascii="Book Antiqua" w:hAnsi="Book Antiqua" w:cs="Arial"/>
          <w:bCs/>
          <w:lang w:val="en-GB"/>
        </w:rPr>
        <w:t xml:space="preserve"> but still not yet experienced in sensitized children</w:t>
      </w:r>
      <w:r w:rsidR="00FA39A5" w:rsidRPr="00A77A01">
        <w:rPr>
          <w:rFonts w:ascii="Book Antiqua" w:hAnsi="Book Antiqua" w:cs="Arial"/>
          <w:bCs/>
          <w:lang w:val="en-GB"/>
        </w:rPr>
        <w:t xml:space="preserve">. </w:t>
      </w:r>
      <w:r w:rsidRPr="00A77A01">
        <w:rPr>
          <w:rFonts w:ascii="Book Antiqua" w:hAnsi="Book Antiqua" w:cs="Arial"/>
          <w:bCs/>
          <w:lang w:val="en-GB"/>
        </w:rPr>
        <w:t>A recent</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retrospective study reported 4 cases of children with grafted kidneys</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who were treated with bortezomib for high levels of DSA and acute antibody mediated rejection</w:t>
      </w:r>
      <w:r w:rsidR="00F54A93" w:rsidRPr="00A77A01">
        <w:rPr>
          <w:rFonts w:ascii="Book Antiqua" w:hAnsi="Book Antiqua" w:cs="Arial"/>
          <w:bCs/>
          <w:lang w:val="en-GB"/>
        </w:rPr>
        <w:fldChar w:fldCharType="begin" w:fldLock="1"/>
      </w:r>
      <w:r w:rsidRPr="00A77A01">
        <w:rPr>
          <w:rFonts w:ascii="Book Antiqua" w:hAnsi="Book Antiqua" w:cs="Arial"/>
          <w:bCs/>
          <w:lang w:val="en-GB"/>
        </w:rPr>
        <w:instrText>ADDIN CSL_CITATION { "citationItems" : [ { "id" : "ITEM-1", "itemData" : { "DOI" : "10.1111/petr.12274", "ISSN" : "1399-3046", "PMID" : "24814755", "abstract" : "AMR is increasingly being recognized as an important cause of renal allograft injury, contributing to significant morbidity and graft loss. There are few controlled trials and no well-established treatment guidelines for AMR in renal transplant recipients. We retrospectively reviewed the outcome of four pediatric renal transplant recipients on a steroid minimization immunosuppression protocol treated with bortezomib for elevated DSA and acute AMR from 2012 to 2013. All patients received four doses of bortezomib 1.3\u00a0mg/m(2) given on days one, four, eight, and 11. All patients also received other treatments prior to bortezomib, which may have included rituximab, methylprednisolone, plasmapheresis, and/or IVIg. While bortezomib in addition to other therapies significantly decreased DSA titers, DSA remained very elevated months after treatment. All four patients had immediate improvement or stabilization of renal function but one eventually lost her graft. There were no adverse events related to bortezomib six\u00a0months after treatment.", "author" : [ { "dropping-particle" : "", "family" : "Nguyen", "given" : "Stephanie", "non-dropping-particle" : "", "parse-names" : false, "suffix" : "" }, { "dropping-particle" : "", "family" : "Gallay", "given" : "Brian", "non-dropping-particle" : "", "parse-names" : false, "suffix" : "" }, { "dropping-particle" : "", "family" : "Butani", "given" : "Lavjay", "non-dropping-particle" : "", "parse-names" : false, "suffix" : "" } ], "container-title" : "Pediatric transplantation", "id" : "ITEM-1", "issue" : "5", "issued" : { "date-parts" : [ [ "2014", "8" ] ] }, "page" : "463-8", "title" : "Efficacy of bortezomib for reducing donor-specific antibodies in children and adolescents on a steroid minimization regimen.", "type" : "article-journal", "volume" : "18" }, "uris" : [ "http://www.mendeley.com/documents/?uuid=26b9f694-6169-4e50-b692-8f6761e0ff05" ] } ], "mendeley" : { "previouslyFormattedCitation" : "&lt;sup&gt;[33]&lt;/sup&gt;" }, "properties" : { "noteIndex" : 0 }, "schema" : "https://github.com/citation-style-language/schema/raw/master/csl-citation.json" }</w:instrText>
      </w:r>
      <w:r w:rsidR="00F54A93" w:rsidRPr="00A77A01">
        <w:rPr>
          <w:rFonts w:ascii="Book Antiqua" w:hAnsi="Book Antiqua" w:cs="Arial"/>
          <w:bCs/>
          <w:lang w:val="en-GB"/>
        </w:rPr>
        <w:fldChar w:fldCharType="separate"/>
      </w:r>
      <w:r w:rsidRPr="00A77A01">
        <w:rPr>
          <w:rFonts w:ascii="Book Antiqua" w:hAnsi="Book Antiqua" w:cs="Arial"/>
          <w:bCs/>
          <w:noProof/>
          <w:vertAlign w:val="superscript"/>
          <w:lang w:val="en-GB"/>
        </w:rPr>
        <w:t>[33]</w:t>
      </w:r>
      <w:r w:rsidR="00F54A93" w:rsidRPr="00A77A01">
        <w:rPr>
          <w:rFonts w:ascii="Book Antiqua" w:hAnsi="Book Antiqua" w:cs="Arial"/>
          <w:bCs/>
          <w:lang w:val="en-GB"/>
        </w:rPr>
        <w:fldChar w:fldCharType="end"/>
      </w:r>
      <w:r w:rsidRPr="00A77A01">
        <w:rPr>
          <w:rFonts w:ascii="Book Antiqua" w:hAnsi="Book Antiqua" w:cs="Arial"/>
          <w:bCs/>
          <w:lang w:val="en-GB"/>
        </w:rPr>
        <w:t>. Children received four doses of bortezomib 1.3 mg/m</w:t>
      </w:r>
      <w:r w:rsidRPr="00036F18">
        <w:rPr>
          <w:rFonts w:ascii="Book Antiqua" w:hAnsi="Book Antiqua" w:cs="Arial"/>
          <w:bCs/>
          <w:vertAlign w:val="superscript"/>
          <w:lang w:val="en-GB"/>
        </w:rPr>
        <w:t>2</w:t>
      </w:r>
      <w:r w:rsidRPr="00A77A01">
        <w:rPr>
          <w:rFonts w:ascii="Book Antiqua" w:hAnsi="Book Antiqua" w:cs="Arial"/>
          <w:bCs/>
          <w:lang w:val="en-GB"/>
        </w:rPr>
        <w:t xml:space="preserve"> at day 1,</w:t>
      </w:r>
      <w:r w:rsidR="0090791C" w:rsidRPr="00A77A01">
        <w:rPr>
          <w:rFonts w:ascii="Book Antiqua" w:hAnsi="Book Antiqua" w:cs="Arial"/>
          <w:bCs/>
          <w:lang w:val="en-GB"/>
        </w:rPr>
        <w:t xml:space="preserve"> </w:t>
      </w:r>
      <w:r w:rsidRPr="00A77A01">
        <w:rPr>
          <w:rFonts w:ascii="Book Antiqua" w:hAnsi="Book Antiqua" w:cs="Arial"/>
          <w:bCs/>
          <w:lang w:val="en-GB"/>
        </w:rPr>
        <w:t>4,</w:t>
      </w:r>
      <w:r w:rsidR="0090791C" w:rsidRPr="00A77A01">
        <w:rPr>
          <w:rFonts w:ascii="Book Antiqua" w:hAnsi="Book Antiqua" w:cs="Arial"/>
          <w:bCs/>
          <w:lang w:val="en-GB"/>
        </w:rPr>
        <w:t xml:space="preserve"> </w:t>
      </w:r>
      <w:r w:rsidR="00036F18">
        <w:rPr>
          <w:rFonts w:ascii="Book Antiqua" w:hAnsi="Book Antiqua" w:cs="Arial"/>
          <w:bCs/>
          <w:lang w:val="en-GB"/>
        </w:rPr>
        <w:t>8 and 11. All of them</w:t>
      </w:r>
      <w:r w:rsidRPr="00A77A01">
        <w:rPr>
          <w:rFonts w:ascii="Book Antiqua" w:hAnsi="Book Antiqua" w:cs="Arial"/>
          <w:bCs/>
          <w:lang w:val="en-GB"/>
        </w:rPr>
        <w:t xml:space="preserve"> </w:t>
      </w:r>
      <w:r w:rsidR="0090791C" w:rsidRPr="00A77A01">
        <w:rPr>
          <w:rFonts w:ascii="Book Antiqua" w:hAnsi="Book Antiqua" w:cs="Arial"/>
          <w:bCs/>
          <w:lang w:val="en-GB"/>
        </w:rPr>
        <w:t xml:space="preserve">were </w:t>
      </w:r>
      <w:r w:rsidRPr="00A77A01">
        <w:rPr>
          <w:rFonts w:ascii="Book Antiqua" w:hAnsi="Book Antiqua" w:cs="Arial"/>
          <w:bCs/>
          <w:lang w:val="en-GB"/>
        </w:rPr>
        <w:t>treated with various drug combinations, including rituximab, methylprednisolone, plasmapheresis or IVIg. The conclusion from this limited series were that bortezomib therapy is an effective and safe method</w:t>
      </w:r>
      <w:r w:rsidRPr="00A77A01">
        <w:rPr>
          <w:rFonts w:ascii="Book Antiqua" w:hAnsi="Book Antiqua" w:cs="Arial"/>
          <w:bCs/>
          <w:strike/>
          <w:lang w:val="en-GB"/>
        </w:rPr>
        <w:t>s</w:t>
      </w:r>
      <w:r w:rsidRPr="00A77A01">
        <w:rPr>
          <w:rFonts w:ascii="Book Antiqua" w:hAnsi="Book Antiqua" w:cs="Arial"/>
          <w:bCs/>
          <w:lang w:val="en-GB"/>
        </w:rPr>
        <w:t xml:space="preserve"> for a rapid reduction in DSA levels, although its effectiveness from the clinical point of view was not</w:t>
      </w:r>
      <w:r w:rsidR="00036F18">
        <w:rPr>
          <w:rFonts w:ascii="Book Antiqua" w:eastAsiaTheme="minorEastAsia" w:hAnsi="Book Antiqua" w:cs="Arial" w:hint="eastAsia"/>
          <w:bCs/>
          <w:lang w:val="en-GB" w:eastAsia="zh-CN"/>
        </w:rPr>
        <w:t xml:space="preserve"> </w:t>
      </w:r>
      <w:r w:rsidRPr="00A77A01">
        <w:rPr>
          <w:rFonts w:ascii="Book Antiqua" w:hAnsi="Book Antiqua" w:cs="Arial"/>
          <w:bCs/>
          <w:lang w:val="en-GB"/>
        </w:rPr>
        <w:t xml:space="preserve">clearly </w:t>
      </w:r>
      <w:r w:rsidR="005106CF" w:rsidRPr="00A77A01">
        <w:rPr>
          <w:rFonts w:ascii="Book Antiqua" w:hAnsi="Book Antiqua" w:cs="Arial"/>
          <w:bCs/>
          <w:lang w:val="en-GB"/>
        </w:rPr>
        <w:t xml:space="preserve">defined </w:t>
      </w:r>
      <w:r w:rsidRPr="00A77A01">
        <w:rPr>
          <w:rFonts w:ascii="Book Antiqua" w:hAnsi="Book Antiqua" w:cs="Arial"/>
          <w:bCs/>
          <w:lang w:val="en-GB"/>
        </w:rPr>
        <w:t>in this preliminary experience in children.</w:t>
      </w:r>
    </w:p>
    <w:p w:rsidR="0083554E" w:rsidRPr="00A77A01" w:rsidRDefault="0083554E" w:rsidP="00B871E1">
      <w:pPr>
        <w:spacing w:line="360" w:lineRule="auto"/>
        <w:jc w:val="both"/>
        <w:rPr>
          <w:rFonts w:ascii="Book Antiqua" w:hAnsi="Book Antiqua" w:cs="Arial"/>
          <w:b/>
          <w:caps/>
          <w:lang w:val="en-US"/>
        </w:rPr>
      </w:pPr>
    </w:p>
    <w:p w:rsidR="0083554E" w:rsidRPr="00A77A01" w:rsidRDefault="0083554E" w:rsidP="00B871E1">
      <w:pPr>
        <w:spacing w:line="360" w:lineRule="auto"/>
        <w:jc w:val="both"/>
        <w:rPr>
          <w:rFonts w:ascii="Book Antiqua" w:hAnsi="Book Antiqua" w:cs="Arial"/>
          <w:b/>
          <w:caps/>
          <w:lang w:val="en-US"/>
        </w:rPr>
      </w:pPr>
      <w:r w:rsidRPr="00A77A01">
        <w:rPr>
          <w:rFonts w:ascii="Book Antiqua" w:hAnsi="Book Antiqua" w:cs="Arial"/>
          <w:b/>
          <w:caps/>
          <w:lang w:val="en-US"/>
        </w:rPr>
        <w:t>Conclusion</w:t>
      </w:r>
    </w:p>
    <w:p w:rsidR="0083554E" w:rsidRPr="00A77A01" w:rsidRDefault="0083554E" w:rsidP="00B871E1">
      <w:pPr>
        <w:spacing w:line="360" w:lineRule="auto"/>
        <w:jc w:val="both"/>
        <w:rPr>
          <w:rFonts w:ascii="Book Antiqua" w:hAnsi="Book Antiqua" w:cs="Arial"/>
          <w:lang w:val="en-US"/>
        </w:rPr>
      </w:pPr>
      <w:r w:rsidRPr="00A77A01">
        <w:rPr>
          <w:rFonts w:ascii="Book Antiqua" w:hAnsi="Book Antiqua" w:cs="Arial"/>
          <w:lang w:val="en-US"/>
        </w:rPr>
        <w:t xml:space="preserve">In agreement with a recent systematic review performed by the Cochrane group </w:t>
      </w:r>
      <w:r w:rsidR="00F54A93" w:rsidRPr="00A77A01">
        <w:rPr>
          <w:rFonts w:ascii="Book Antiqua" w:hAnsi="Book Antiqua" w:cs="Arial"/>
          <w:lang w:val="en-US"/>
        </w:rPr>
        <w:fldChar w:fldCharType="begin" w:fldLock="1"/>
      </w:r>
      <w:r w:rsidRPr="00A77A01">
        <w:rPr>
          <w:rFonts w:ascii="Book Antiqua" w:hAnsi="Book Antiqua" w:cs="Arial"/>
          <w:lang w:val="en-US"/>
        </w:rPr>
        <w:instrText>ADDIN CSL_CITATION { "citationItems" : [ { "id" : "ITEM-1", "itemData" : { "DOI" : "10.1097/MOT.0b013e3283651b35", "ISSN" : "1531-7013", "PMID" : "23995377", "abstract" : "PURPOSE OF REVIEW: To highlight the current trends in immunosuppression and their application to paediatric transplantation informed by the systematic reviews and randomized controlled trials: new induction agents, steroid avoidance, calcineurin minimization and desensitization protocols.\n\nRECENT FINDINGS: Newer induction agents, belatacept and alemtuzumab, are associated with serious side-effects, and interleukin-2 receptor antagonists remain the preferred agents in children. Steroid-free regimens may improve growth and, compared with steroid-containing regimens, have similar short to medium term graft survival, although long-term outcomes are uncertain. Mammalian target of rapamycin inhibitors, sirolimus and everolimus, when used in recipients as primary immunosuppression to avoid calcineurin exposure, results in poorer graft survival. Although desensitization is being performed more frequently, the relative benefits and harms of regimens used are uncertain.\n\nSUMMARY: There is growing evidence for the use of steroid-free immunosuppression regimens in children to maximize growth. Further trials with a focus on long-term graft survival are needed to establish the role of desensitization protocols in organ transplantation in children.", "author" : [ { "dropping-particle" : "", "family" : "Kim", "given" : "Siah", "non-dropping-particle" : "", "parse-names" : false, "suffix" : "" }, { "dropping-particle" : "", "family" : "Webster", "given" : "Angela C", "non-dropping-particle" : "", "parse-names" : false, "suffix" : "" }, { "dropping-particle" : "", "family" : "Craig", "given" : "Jonathan C", "non-dropping-particle" : "", "parse-names" : false, "suffix" : "" } ], "container-title" : "Current opinion in organ transplantation", "id" : "ITEM-1", "issued" : { "date-parts" : [ [ "2013", "8", "29" ] ] }, "title" : "Current trends in immunosuppression following organ transplantation in children.", "type" : "article-journal" }, "uris" : [ "http://www.mendeley.com/documents/?uuid=870c2ab5-92c2-4115-a0c5-dcf3b83463c6" ] } ], "mendeley" : { "previouslyFormattedCitation" : "&lt;sup&gt;[34]&lt;/sup&gt;" }, "properties" : { "noteIndex" : 0 }, "schema" : "https://github.com/citation-style-language/schema/raw/master/csl-citation.json" }</w:instrText>
      </w:r>
      <w:r w:rsidR="00F54A93" w:rsidRPr="00A77A01">
        <w:rPr>
          <w:rFonts w:ascii="Book Antiqua" w:hAnsi="Book Antiqua" w:cs="Arial"/>
          <w:lang w:val="en-US"/>
        </w:rPr>
        <w:fldChar w:fldCharType="separate"/>
      </w:r>
      <w:r w:rsidRPr="00A77A01">
        <w:rPr>
          <w:rFonts w:ascii="Book Antiqua" w:hAnsi="Book Antiqua" w:cs="Arial"/>
          <w:noProof/>
          <w:vertAlign w:val="superscript"/>
          <w:lang w:val="en-US"/>
        </w:rPr>
        <w:t>[34]</w:t>
      </w:r>
      <w:r w:rsidR="00F54A93" w:rsidRPr="00A77A01">
        <w:rPr>
          <w:rFonts w:ascii="Book Antiqua" w:hAnsi="Book Antiqua" w:cs="Arial"/>
          <w:lang w:val="en-US"/>
        </w:rPr>
        <w:fldChar w:fldCharType="end"/>
      </w:r>
      <w:r w:rsidRPr="00A77A01">
        <w:rPr>
          <w:rFonts w:ascii="Book Antiqua" w:hAnsi="Book Antiqua" w:cs="Arial"/>
          <w:lang w:val="en-US"/>
        </w:rPr>
        <w:t xml:space="preserve"> to highlight the current trends in immunosuppression</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in</w:t>
      </w:r>
      <w:r w:rsidR="00036F18">
        <w:rPr>
          <w:rFonts w:ascii="Book Antiqua" w:eastAsiaTheme="minorEastAsia" w:hAnsi="Book Antiqua" w:cs="Arial" w:hint="eastAsia"/>
          <w:lang w:val="en-US" w:eastAsia="zh-CN"/>
        </w:rPr>
        <w:t xml:space="preserve"> </w:t>
      </w:r>
      <w:r w:rsidR="00497B1D" w:rsidRPr="00A77A01">
        <w:rPr>
          <w:rFonts w:ascii="Book Antiqua" w:hAnsi="Book Antiqua" w:cs="Arial"/>
          <w:lang w:val="en-US"/>
        </w:rPr>
        <w:t>pediatric</w:t>
      </w:r>
      <w:r w:rsidRPr="00A77A01">
        <w:rPr>
          <w:rFonts w:ascii="Book Antiqua" w:hAnsi="Book Antiqua" w:cs="Arial"/>
          <w:lang w:val="en-US"/>
        </w:rPr>
        <w:t xml:space="preserve"> renal transplantation, when we focus on challenging new frontiers for these children, we still fa</w:t>
      </w:r>
      <w:r w:rsidR="00036F18">
        <w:rPr>
          <w:rFonts w:ascii="Book Antiqua" w:hAnsi="Book Antiqua" w:cs="Arial"/>
          <w:lang w:val="en-US"/>
        </w:rPr>
        <w:t>ce an uncertain horizon. Newly</w:t>
      </w:r>
      <w:r w:rsidRPr="00A77A01">
        <w:rPr>
          <w:rFonts w:ascii="Book Antiqua" w:hAnsi="Book Antiqua" w:cs="Arial"/>
          <w:lang w:val="en-US"/>
        </w:rPr>
        <w:t xml:space="preserve"> proposed drugs, including belatacept and alemtuzumab, carry serious side-effects, and interleukin-2 receptor antagonists remain the safest and effective agents for pediatric kidney transplantation. The new steroid-free regimens can improve growth and not hamper graft survival over a short follow-up, however, long-term outcome remains to be determined. MTOR inhibitors, sirolimus and everolimus, are a promising option for primary immunosuppression as CNI sparing agents, however beneficial</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results</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on long term graft survival are still to be proven. Desensitization protocols are being perfor</w:t>
      </w:r>
      <w:r w:rsidR="00036F18">
        <w:rPr>
          <w:rFonts w:ascii="Book Antiqua" w:hAnsi="Book Antiqua" w:cs="Arial"/>
          <w:lang w:val="en-US"/>
        </w:rPr>
        <w:t>med, but benefits and harms are</w:t>
      </w:r>
      <w:r w:rsidRPr="00A77A01">
        <w:rPr>
          <w:rFonts w:ascii="Book Antiqua" w:hAnsi="Book Antiqua" w:cs="Arial"/>
          <w:lang w:val="en-US"/>
        </w:rPr>
        <w:t xml:space="preserve"> still to be analyzed and</w:t>
      </w:r>
      <w:r w:rsidR="00036F18">
        <w:rPr>
          <w:rFonts w:ascii="Book Antiqua" w:eastAsiaTheme="minorEastAsia" w:hAnsi="Book Antiqua" w:cs="Arial" w:hint="eastAsia"/>
          <w:lang w:val="en-US" w:eastAsia="zh-CN"/>
        </w:rPr>
        <w:t xml:space="preserve"> </w:t>
      </w:r>
      <w:r w:rsidRPr="00A77A01">
        <w:rPr>
          <w:rFonts w:ascii="Book Antiqua" w:hAnsi="Book Antiqua" w:cs="Arial"/>
          <w:lang w:val="en-US"/>
        </w:rPr>
        <w:t>long-term graft survival analysis studies are needed.</w:t>
      </w:r>
    </w:p>
    <w:p w:rsidR="0083554E" w:rsidRPr="00A77A01" w:rsidRDefault="0083554E" w:rsidP="00036F18">
      <w:pPr>
        <w:spacing w:line="360" w:lineRule="auto"/>
        <w:ind w:firstLineChars="100" w:firstLine="240"/>
        <w:jc w:val="both"/>
        <w:rPr>
          <w:rFonts w:ascii="Book Antiqua" w:hAnsi="Book Antiqua" w:cs="Arial"/>
          <w:lang w:val="en-US"/>
        </w:rPr>
      </w:pPr>
      <w:r w:rsidRPr="00A77A01">
        <w:rPr>
          <w:rFonts w:ascii="Book Antiqua" w:hAnsi="Book Antiqua" w:cs="Arial"/>
          <w:lang w:val="en-US"/>
        </w:rPr>
        <w:t>In spite of these apparently non optimistic considerations, the improvement of the short and long term results of kidney transplantation in children have been so impressive over the last decades, that we optimistically think that the new frontiers presently representing a challenge will be achieved in a few years as consistent point for f</w:t>
      </w:r>
      <w:r w:rsidR="00036F18">
        <w:rPr>
          <w:rFonts w:ascii="Book Antiqua" w:hAnsi="Book Antiqua" w:cs="Arial"/>
          <w:lang w:val="en-US"/>
        </w:rPr>
        <w:t>urther improving the outcome of</w:t>
      </w:r>
      <w:r w:rsidRPr="00A77A01">
        <w:rPr>
          <w:rFonts w:ascii="Book Antiqua" w:hAnsi="Book Antiqua" w:cs="Arial"/>
          <w:lang w:val="en-US"/>
        </w:rPr>
        <w:t xml:space="preserve"> kidney transplanted children.</w:t>
      </w:r>
    </w:p>
    <w:p w:rsidR="0083554E" w:rsidRPr="00DF743A" w:rsidRDefault="0083554E" w:rsidP="00DF743A">
      <w:pPr>
        <w:spacing w:line="360" w:lineRule="auto"/>
        <w:jc w:val="both"/>
        <w:rPr>
          <w:rFonts w:ascii="Book Antiqua" w:eastAsiaTheme="minorEastAsia" w:hAnsi="Book Antiqua" w:cs="Arial"/>
          <w:lang w:val="en-US" w:eastAsia="zh-CN"/>
        </w:rPr>
      </w:pPr>
    </w:p>
    <w:p w:rsidR="0083554E" w:rsidRPr="00DF743A" w:rsidRDefault="00036F18" w:rsidP="00DF743A">
      <w:pPr>
        <w:spacing w:line="360" w:lineRule="auto"/>
        <w:jc w:val="both"/>
        <w:rPr>
          <w:rFonts w:ascii="Book Antiqua" w:hAnsi="Book Antiqua" w:cs="Arial"/>
          <w:b/>
          <w:lang w:val="en-US"/>
        </w:rPr>
      </w:pPr>
      <w:r w:rsidRPr="00DF743A">
        <w:rPr>
          <w:rFonts w:ascii="Book Antiqua" w:hAnsi="Book Antiqua" w:cs="Arial"/>
          <w:b/>
          <w:lang w:val="en-US"/>
        </w:rPr>
        <w:t>REFERENCES</w:t>
      </w:r>
    </w:p>
    <w:p w:rsidR="00DF743A" w:rsidRPr="00DF743A" w:rsidRDefault="00DF743A" w:rsidP="00DF743A">
      <w:pPr>
        <w:spacing w:line="360" w:lineRule="auto"/>
        <w:jc w:val="both"/>
        <w:rPr>
          <w:rFonts w:ascii="Book Antiqua" w:eastAsia="宋体" w:hAnsi="Book Antiqua" w:cs="宋体"/>
          <w:color w:val="000000"/>
          <w:lang w:val="en-US" w:eastAsia="zh-CN"/>
        </w:rPr>
      </w:pPr>
      <w:proofErr w:type="gramStart"/>
      <w:r w:rsidRPr="00DF743A">
        <w:rPr>
          <w:rFonts w:ascii="Book Antiqua" w:eastAsia="宋体" w:hAnsi="Book Antiqua" w:cs="宋体"/>
          <w:color w:val="000000"/>
          <w:lang w:val="en-US" w:eastAsia="zh-CN"/>
        </w:rPr>
        <w:t>1 </w:t>
      </w:r>
      <w:r w:rsidRPr="00DF743A">
        <w:rPr>
          <w:rFonts w:ascii="Book Antiqua" w:eastAsia="宋体" w:hAnsi="Book Antiqua" w:cs="宋体"/>
          <w:b/>
          <w:bCs/>
          <w:color w:val="000000"/>
          <w:lang w:val="en-US" w:eastAsia="zh-CN"/>
        </w:rPr>
        <w:t>Patel UD</w:t>
      </w:r>
      <w:r w:rsidRPr="00DF743A">
        <w:rPr>
          <w:rFonts w:ascii="Book Antiqua" w:eastAsia="宋体" w:hAnsi="Book Antiqua" w:cs="宋体"/>
          <w:color w:val="000000"/>
          <w:lang w:val="en-US" w:eastAsia="zh-CN"/>
        </w:rPr>
        <w:t>.</w:t>
      </w:r>
      <w:proofErr w:type="gramEnd"/>
      <w:r w:rsidRPr="00DF743A">
        <w:rPr>
          <w:rFonts w:ascii="Book Antiqua" w:eastAsia="宋体" w:hAnsi="Book Antiqua" w:cs="宋体"/>
          <w:color w:val="000000"/>
          <w:lang w:val="en-US" w:eastAsia="zh-CN"/>
        </w:rPr>
        <w:t xml:space="preserve"> Outcomes after pediatric kidney transplantation improving: how can we do even better? </w:t>
      </w:r>
      <w:r w:rsidRPr="00DF743A">
        <w:rPr>
          <w:rFonts w:ascii="Book Antiqua" w:eastAsia="宋体" w:hAnsi="Book Antiqua" w:cs="宋体"/>
          <w:i/>
          <w:iCs/>
          <w:color w:val="000000"/>
          <w:lang w:val="en-US" w:eastAsia="zh-CN"/>
        </w:rPr>
        <w:t>Pediatrics</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133</w:t>
      </w:r>
      <w:r w:rsidRPr="00DF743A">
        <w:rPr>
          <w:rFonts w:ascii="Book Antiqua" w:eastAsia="宋体" w:hAnsi="Book Antiqua" w:cs="宋体"/>
          <w:color w:val="000000"/>
          <w:lang w:val="en-US" w:eastAsia="zh-CN"/>
        </w:rPr>
        <w:t>: 734-735 [PMID: 24616364 DOI: 10.1542/peds.2014-0124]</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2 </w:t>
      </w:r>
      <w:r w:rsidRPr="00DF743A">
        <w:rPr>
          <w:rFonts w:ascii="Book Antiqua" w:eastAsia="宋体" w:hAnsi="Book Antiqua" w:cs="宋体"/>
          <w:b/>
          <w:bCs/>
          <w:color w:val="000000"/>
          <w:lang w:val="en-US" w:eastAsia="zh-CN"/>
        </w:rPr>
        <w:t>Van Arendonk KJ</w:t>
      </w:r>
      <w:r w:rsidRPr="00DF743A">
        <w:rPr>
          <w:rFonts w:ascii="Book Antiqua" w:eastAsia="宋体" w:hAnsi="Book Antiqua" w:cs="宋体"/>
          <w:color w:val="000000"/>
          <w:lang w:val="en-US" w:eastAsia="zh-CN"/>
        </w:rPr>
        <w:t>, Boyarsky BJ, Orandi BJ, James NT, Smith JM, Colombani PM, Segev DL. National trends over 25 years in pediatric kidney transplant outcomes. </w:t>
      </w:r>
      <w:r w:rsidRPr="00DF743A">
        <w:rPr>
          <w:rFonts w:ascii="Book Antiqua" w:eastAsia="宋体" w:hAnsi="Book Antiqua" w:cs="宋体"/>
          <w:i/>
          <w:iCs/>
          <w:color w:val="000000"/>
          <w:lang w:val="en-US" w:eastAsia="zh-CN"/>
        </w:rPr>
        <w:t>Pediatrics</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133</w:t>
      </w:r>
      <w:r w:rsidRPr="00DF743A">
        <w:rPr>
          <w:rFonts w:ascii="Book Antiqua" w:eastAsia="宋体" w:hAnsi="Book Antiqua" w:cs="宋体"/>
          <w:color w:val="000000"/>
          <w:lang w:val="en-US" w:eastAsia="zh-CN"/>
        </w:rPr>
        <w:t>: 594-601 [PMID: 24616363 DOI: 10.1542/peds.2013-2775]</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3 </w:t>
      </w:r>
      <w:r w:rsidRPr="00DF743A">
        <w:rPr>
          <w:rFonts w:ascii="Book Antiqua" w:eastAsia="宋体" w:hAnsi="Book Antiqua" w:cs="宋体"/>
          <w:b/>
          <w:bCs/>
          <w:color w:val="000000"/>
          <w:lang w:val="en-US" w:eastAsia="zh-CN"/>
        </w:rPr>
        <w:t>Ellis EN</w:t>
      </w:r>
      <w:r w:rsidRPr="00DF743A">
        <w:rPr>
          <w:rFonts w:ascii="Book Antiqua" w:eastAsia="宋体" w:hAnsi="Book Antiqua" w:cs="宋体"/>
          <w:color w:val="000000"/>
          <w:lang w:val="en-US" w:eastAsia="zh-CN"/>
        </w:rPr>
        <w:t>, Martz K, Talley L, Ilyas M, Pennington KL, Blaszak RT. Factors related to long-term renal transplant function in children. </w:t>
      </w:r>
      <w:r w:rsidRPr="00DF743A">
        <w:rPr>
          <w:rFonts w:ascii="Book Antiqua" w:eastAsia="宋体" w:hAnsi="Book Antiqua" w:cs="宋体"/>
          <w:i/>
          <w:iCs/>
          <w:color w:val="000000"/>
          <w:lang w:val="en-US" w:eastAsia="zh-CN"/>
        </w:rPr>
        <w:t>Pediatr Nephrol</w:t>
      </w:r>
      <w:r w:rsidRPr="00DF743A">
        <w:rPr>
          <w:rFonts w:ascii="Book Antiqua" w:eastAsia="宋体" w:hAnsi="Book Antiqua" w:cs="宋体"/>
          <w:color w:val="000000"/>
          <w:lang w:val="en-US" w:eastAsia="zh-CN"/>
        </w:rPr>
        <w:t> 2008; </w:t>
      </w:r>
      <w:r w:rsidRPr="00DF743A">
        <w:rPr>
          <w:rFonts w:ascii="Book Antiqua" w:eastAsia="宋体" w:hAnsi="Book Antiqua" w:cs="宋体"/>
          <w:b/>
          <w:bCs/>
          <w:color w:val="000000"/>
          <w:lang w:val="en-US" w:eastAsia="zh-CN"/>
        </w:rPr>
        <w:t>23</w:t>
      </w:r>
      <w:r w:rsidRPr="00DF743A">
        <w:rPr>
          <w:rFonts w:ascii="Book Antiqua" w:eastAsia="宋体" w:hAnsi="Book Antiqua" w:cs="宋体"/>
          <w:color w:val="000000"/>
          <w:lang w:val="en-US" w:eastAsia="zh-CN"/>
        </w:rPr>
        <w:t>: 1149-1155 [PMID: 18301925 DOI: 10.1007/s00467-008-0779-0]</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4 </w:t>
      </w:r>
      <w:r w:rsidRPr="00DF743A">
        <w:rPr>
          <w:rFonts w:ascii="Book Antiqua" w:eastAsia="宋体" w:hAnsi="Book Antiqua" w:cs="宋体"/>
          <w:b/>
          <w:bCs/>
          <w:color w:val="000000"/>
          <w:lang w:val="en-US" w:eastAsia="zh-CN"/>
        </w:rPr>
        <w:t>Kaidar M</w:t>
      </w:r>
      <w:r w:rsidRPr="00DF743A">
        <w:rPr>
          <w:rFonts w:ascii="Book Antiqua" w:eastAsia="宋体" w:hAnsi="Book Antiqua" w:cs="宋体"/>
          <w:color w:val="000000"/>
          <w:lang w:val="en-US" w:eastAsia="zh-CN"/>
        </w:rPr>
        <w:t>, Berant M, Krauze I, Cleper R, Mor E, Bar-Nathan N, Davidovits M. Cardiovascular risk factors in children after kidney transplantation--from short-term to long-term follow-up.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18</w:t>
      </w:r>
      <w:r w:rsidRPr="00DF743A">
        <w:rPr>
          <w:rFonts w:ascii="Book Antiqua" w:eastAsia="宋体" w:hAnsi="Book Antiqua" w:cs="宋体"/>
          <w:color w:val="000000"/>
          <w:lang w:val="en-US" w:eastAsia="zh-CN"/>
        </w:rPr>
        <w:t>: 23-28 [PMID: 24134654 DOI: 10.1111/petr.12174]</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5 </w:t>
      </w:r>
      <w:r w:rsidRPr="00DF743A">
        <w:rPr>
          <w:rFonts w:ascii="Book Antiqua" w:eastAsia="宋体" w:hAnsi="Book Antiqua" w:cs="宋体"/>
          <w:b/>
          <w:bCs/>
          <w:color w:val="000000"/>
          <w:lang w:val="en-US" w:eastAsia="zh-CN"/>
        </w:rPr>
        <w:t>Benfield MR</w:t>
      </w:r>
      <w:r w:rsidRPr="00DF743A">
        <w:rPr>
          <w:rFonts w:ascii="Book Antiqua" w:eastAsia="宋体" w:hAnsi="Book Antiqua" w:cs="宋体"/>
          <w:color w:val="000000"/>
          <w:lang w:val="en-US" w:eastAsia="zh-CN"/>
        </w:rPr>
        <w:t>, Bartosh S, Ikle D, Warshaw B, Bridges N, Morrison Y, Harmon W. A randomized double-blind, placebo controlled trial of steroid withdrawal after pediatric renal transplantation. </w:t>
      </w:r>
      <w:r w:rsidRPr="00DF743A">
        <w:rPr>
          <w:rFonts w:ascii="Book Antiqua" w:eastAsia="宋体" w:hAnsi="Book Antiqua" w:cs="宋体"/>
          <w:i/>
          <w:iCs/>
          <w:color w:val="000000"/>
          <w:lang w:val="en-US" w:eastAsia="zh-CN"/>
        </w:rPr>
        <w:t>Am J Transplant</w:t>
      </w:r>
      <w:r w:rsidRPr="00DF743A">
        <w:rPr>
          <w:rFonts w:ascii="Book Antiqua" w:eastAsia="宋体" w:hAnsi="Book Antiqua" w:cs="宋体"/>
          <w:color w:val="000000"/>
          <w:lang w:val="en-US" w:eastAsia="zh-CN"/>
        </w:rPr>
        <w:t> 2010; </w:t>
      </w:r>
      <w:r w:rsidRPr="00DF743A">
        <w:rPr>
          <w:rFonts w:ascii="Book Antiqua" w:eastAsia="宋体" w:hAnsi="Book Antiqua" w:cs="宋体"/>
          <w:b/>
          <w:bCs/>
          <w:color w:val="000000"/>
          <w:lang w:val="en-US" w:eastAsia="zh-CN"/>
        </w:rPr>
        <w:t>10</w:t>
      </w:r>
      <w:r w:rsidRPr="00DF743A">
        <w:rPr>
          <w:rFonts w:ascii="Book Antiqua" w:eastAsia="宋体" w:hAnsi="Book Antiqua" w:cs="宋体"/>
          <w:color w:val="000000"/>
          <w:lang w:val="en-US" w:eastAsia="zh-CN"/>
        </w:rPr>
        <w:t>: 81-88 [PMID: 19663893 DOI: 10.1111/j.1600-6143.2009.02767.x]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6 </w:t>
      </w:r>
      <w:r w:rsidRPr="00DF743A">
        <w:rPr>
          <w:rFonts w:ascii="Book Antiqua" w:eastAsia="宋体" w:hAnsi="Book Antiqua" w:cs="宋体"/>
          <w:b/>
          <w:bCs/>
          <w:color w:val="000000"/>
          <w:lang w:val="en-US" w:eastAsia="zh-CN"/>
        </w:rPr>
        <w:t>Grenda R</w:t>
      </w:r>
      <w:r w:rsidRPr="00DF743A">
        <w:rPr>
          <w:rFonts w:ascii="Book Antiqua" w:eastAsia="宋体" w:hAnsi="Book Antiqua" w:cs="宋体"/>
          <w:color w:val="000000"/>
          <w:lang w:val="en-US" w:eastAsia="zh-CN"/>
        </w:rPr>
        <w:t>, Webb NJ. Steroid minimization in pediatric renal transplantation: Early withdrawal or avoidance?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2010; </w:t>
      </w:r>
      <w:r w:rsidRPr="00DF743A">
        <w:rPr>
          <w:rFonts w:ascii="Book Antiqua" w:eastAsia="宋体" w:hAnsi="Book Antiqua" w:cs="宋体"/>
          <w:b/>
          <w:bCs/>
          <w:color w:val="000000"/>
          <w:lang w:val="en-US" w:eastAsia="zh-CN"/>
        </w:rPr>
        <w:t>14</w:t>
      </w:r>
      <w:r w:rsidRPr="00DF743A">
        <w:rPr>
          <w:rFonts w:ascii="Book Antiqua" w:eastAsia="宋体" w:hAnsi="Book Antiqua" w:cs="宋体"/>
          <w:color w:val="000000"/>
          <w:lang w:val="en-US" w:eastAsia="zh-CN"/>
        </w:rPr>
        <w:t>: 961-967 [PMID: 20874824 DOI: 10.1111/j.1399-3046.2010.01403.x]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7 </w:t>
      </w:r>
      <w:r w:rsidRPr="00DF743A">
        <w:rPr>
          <w:rFonts w:ascii="Book Antiqua" w:eastAsia="宋体" w:hAnsi="Book Antiqua" w:cs="宋体"/>
          <w:b/>
          <w:bCs/>
          <w:color w:val="000000"/>
          <w:lang w:val="en-US" w:eastAsia="zh-CN"/>
        </w:rPr>
        <w:t>Sarwal MM</w:t>
      </w:r>
      <w:r w:rsidRPr="00DF743A">
        <w:rPr>
          <w:rFonts w:ascii="Book Antiqua" w:eastAsia="宋体" w:hAnsi="Book Antiqua" w:cs="宋体"/>
          <w:color w:val="000000"/>
          <w:lang w:val="en-US" w:eastAsia="zh-CN"/>
        </w:rPr>
        <w:t>, Ettenger RB, Dharnidharka V, Benfield M, Mathias R, Portale A, McDonald R, Harmon W, Kershaw D, Vehaskari VM, Kamil E, Baluarte HJ, Warady B, Tang L, Liu J, Li L, Naesens M, Sigdel T, Waskerwitz J, Salvatierra O. Complete steroid avoidance is effective and safe in children with renal transplants: a multicenter randomized trial with three-year follow-up. </w:t>
      </w:r>
      <w:r w:rsidRPr="00DF743A">
        <w:rPr>
          <w:rFonts w:ascii="Book Antiqua" w:eastAsia="宋体" w:hAnsi="Book Antiqua" w:cs="宋体"/>
          <w:i/>
          <w:iCs/>
          <w:color w:val="000000"/>
          <w:lang w:val="en-US" w:eastAsia="zh-CN"/>
        </w:rPr>
        <w:t>Am J Transplant</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12</w:t>
      </w:r>
      <w:r w:rsidRPr="00DF743A">
        <w:rPr>
          <w:rFonts w:ascii="Book Antiqua" w:eastAsia="宋体" w:hAnsi="Book Antiqua" w:cs="宋体"/>
          <w:color w:val="000000"/>
          <w:lang w:val="en-US" w:eastAsia="zh-CN"/>
        </w:rPr>
        <w:t>: 2719-2729 [PMID: 22694755 DOI: 10.1111/j.1600-6143.2012.04145.x]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8 </w:t>
      </w:r>
      <w:r w:rsidRPr="00DF743A">
        <w:rPr>
          <w:rFonts w:ascii="Book Antiqua" w:eastAsia="宋体" w:hAnsi="Book Antiqua" w:cs="宋体"/>
          <w:b/>
          <w:bCs/>
          <w:color w:val="000000"/>
          <w:lang w:val="en-US" w:eastAsia="zh-CN"/>
        </w:rPr>
        <w:t>Naesens M</w:t>
      </w:r>
      <w:r w:rsidRPr="00DF743A">
        <w:rPr>
          <w:rFonts w:ascii="Book Antiqua" w:eastAsia="宋体" w:hAnsi="Book Antiqua" w:cs="宋体"/>
          <w:color w:val="000000"/>
          <w:lang w:val="en-US" w:eastAsia="zh-CN"/>
        </w:rPr>
        <w:t>, Salvatierra O, Benfield M, Ettenger RB, Dharnidharka V, Harmon W, Mathias R, Sarwal MM. Subclinical inflammation and chronic renal allograft injury in a randomized trial on steroid avoidance in pediatric kidney transplantation. </w:t>
      </w:r>
      <w:r w:rsidRPr="00DF743A">
        <w:rPr>
          <w:rFonts w:ascii="Book Antiqua" w:eastAsia="宋体" w:hAnsi="Book Antiqua" w:cs="宋体"/>
          <w:i/>
          <w:iCs/>
          <w:color w:val="000000"/>
          <w:lang w:val="en-US" w:eastAsia="zh-CN"/>
        </w:rPr>
        <w:t>Am J Transplant</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12</w:t>
      </w:r>
      <w:r w:rsidRPr="00DF743A">
        <w:rPr>
          <w:rFonts w:ascii="Book Antiqua" w:eastAsia="宋体" w:hAnsi="Book Antiqua" w:cs="宋体"/>
          <w:color w:val="000000"/>
          <w:lang w:val="en-US" w:eastAsia="zh-CN"/>
        </w:rPr>
        <w:t>: 2730-2743 [PMID: 22694733 DOI: 10.1111/j.1600-6143.2012.04144.x]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9 </w:t>
      </w:r>
      <w:r w:rsidRPr="00DF743A">
        <w:rPr>
          <w:rFonts w:ascii="Book Antiqua" w:eastAsia="宋体" w:hAnsi="Book Antiqua" w:cs="宋体"/>
          <w:b/>
          <w:bCs/>
          <w:color w:val="000000"/>
          <w:lang w:val="en-US" w:eastAsia="zh-CN"/>
        </w:rPr>
        <w:t>Pascual J</w:t>
      </w:r>
      <w:r w:rsidRPr="00DF743A">
        <w:rPr>
          <w:rFonts w:ascii="Book Antiqua" w:eastAsia="宋体" w:hAnsi="Book Antiqua" w:cs="宋体"/>
          <w:color w:val="000000"/>
          <w:lang w:val="en-US" w:eastAsia="zh-CN"/>
        </w:rPr>
        <w:t>, Royuela A, Galeano C, Crespo M, Zamora J. Very early steroid withdrawal or complete avoidance for kidney transplant recipients: a systematic review. </w:t>
      </w:r>
      <w:r w:rsidRPr="00DF743A">
        <w:rPr>
          <w:rFonts w:ascii="Book Antiqua" w:eastAsia="宋体" w:hAnsi="Book Antiqua" w:cs="宋体"/>
          <w:i/>
          <w:iCs/>
          <w:color w:val="000000"/>
          <w:lang w:val="en-US" w:eastAsia="zh-CN"/>
        </w:rPr>
        <w:t>Nephrol Dial Transplant</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27</w:t>
      </w:r>
      <w:r w:rsidRPr="00DF743A">
        <w:rPr>
          <w:rFonts w:ascii="Book Antiqua" w:eastAsia="宋体" w:hAnsi="Book Antiqua" w:cs="宋体"/>
          <w:color w:val="000000"/>
          <w:lang w:val="en-US" w:eastAsia="zh-CN"/>
        </w:rPr>
        <w:t>: 825-832 [PMID: 21785040 DOI: 10.1093/ndt/gfr374]</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10 </w:t>
      </w:r>
      <w:r w:rsidRPr="00DF743A">
        <w:rPr>
          <w:rFonts w:ascii="Book Antiqua" w:eastAsia="宋体" w:hAnsi="Book Antiqua" w:cs="宋体"/>
          <w:b/>
          <w:bCs/>
          <w:color w:val="000000"/>
          <w:lang w:val="en-US" w:eastAsia="zh-CN"/>
        </w:rPr>
        <w:t>Hymes LC</w:t>
      </w:r>
      <w:r w:rsidRPr="00DF743A">
        <w:rPr>
          <w:rFonts w:ascii="Book Antiqua" w:eastAsia="宋体" w:hAnsi="Book Antiqua" w:cs="宋体"/>
          <w:color w:val="000000"/>
          <w:lang w:val="en-US" w:eastAsia="zh-CN"/>
        </w:rPr>
        <w:t>, Warshaw BL. Five-year experience using sirolimus-based, calcineurin inhibitor-free immunosuppression in pediatric renal transplantation.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2011; </w:t>
      </w:r>
      <w:r w:rsidRPr="00DF743A">
        <w:rPr>
          <w:rFonts w:ascii="Book Antiqua" w:eastAsia="宋体" w:hAnsi="Book Antiqua" w:cs="宋体"/>
          <w:b/>
          <w:bCs/>
          <w:color w:val="000000"/>
          <w:lang w:val="en-US" w:eastAsia="zh-CN"/>
        </w:rPr>
        <w:t>15</w:t>
      </w:r>
      <w:r w:rsidRPr="00DF743A">
        <w:rPr>
          <w:rFonts w:ascii="Book Antiqua" w:eastAsia="宋体" w:hAnsi="Book Antiqua" w:cs="宋体"/>
          <w:color w:val="000000"/>
          <w:lang w:val="en-US" w:eastAsia="zh-CN"/>
        </w:rPr>
        <w:t>: 437-441 [PMID: 21338459 DOI: 10.1111/j.1399-3046.2011.01477.x]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11 </w:t>
      </w:r>
      <w:r w:rsidRPr="00DF743A">
        <w:rPr>
          <w:rFonts w:ascii="Book Antiqua" w:eastAsia="宋体" w:hAnsi="Book Antiqua" w:cs="宋体"/>
          <w:b/>
          <w:bCs/>
          <w:color w:val="000000"/>
          <w:lang w:val="en-US" w:eastAsia="zh-CN"/>
        </w:rPr>
        <w:t>Billing H</w:t>
      </w:r>
      <w:r w:rsidRPr="00DF743A">
        <w:rPr>
          <w:rFonts w:ascii="Book Antiqua" w:eastAsia="宋体" w:hAnsi="Book Antiqua" w:cs="宋体"/>
          <w:color w:val="000000"/>
          <w:lang w:val="en-US" w:eastAsia="zh-CN"/>
        </w:rPr>
        <w:t>, Burmeister G, Plotnicki L, Ahlenstiel T, Fichtner A, Sander A, Höcker B, Tönshoff B, Pape L. Longitudinal growth on an everolimus- versus an MMF-based steroid-free immunosuppressive regimen in paediatric renal transplant recipients. </w:t>
      </w:r>
      <w:r w:rsidRPr="00DF743A">
        <w:rPr>
          <w:rFonts w:ascii="Book Antiqua" w:eastAsia="宋体" w:hAnsi="Book Antiqua" w:cs="宋体"/>
          <w:i/>
          <w:iCs/>
          <w:color w:val="000000"/>
          <w:lang w:val="en-US" w:eastAsia="zh-CN"/>
        </w:rPr>
        <w:t>Transpl Int</w:t>
      </w:r>
      <w:r w:rsidRPr="00DF743A">
        <w:rPr>
          <w:rFonts w:ascii="Book Antiqua" w:eastAsia="宋体" w:hAnsi="Book Antiqua" w:cs="宋体"/>
          <w:color w:val="000000"/>
          <w:lang w:val="en-US" w:eastAsia="zh-CN"/>
        </w:rPr>
        <w:t> 2013; </w:t>
      </w:r>
      <w:r w:rsidRPr="00DF743A">
        <w:rPr>
          <w:rFonts w:ascii="Book Antiqua" w:eastAsia="宋体" w:hAnsi="Book Antiqua" w:cs="宋体"/>
          <w:b/>
          <w:bCs/>
          <w:color w:val="000000"/>
          <w:lang w:val="en-US" w:eastAsia="zh-CN"/>
        </w:rPr>
        <w:t>26</w:t>
      </w:r>
      <w:r w:rsidRPr="00DF743A">
        <w:rPr>
          <w:rFonts w:ascii="Book Antiqua" w:eastAsia="宋体" w:hAnsi="Book Antiqua" w:cs="宋体"/>
          <w:color w:val="000000"/>
          <w:lang w:val="en-US" w:eastAsia="zh-CN"/>
        </w:rPr>
        <w:t>: 903-909 [PMID: 23865768 DOI: 10.1111/tri.12148]</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12 </w:t>
      </w:r>
      <w:r w:rsidRPr="00DF743A">
        <w:rPr>
          <w:rFonts w:ascii="Book Antiqua" w:eastAsia="宋体" w:hAnsi="Book Antiqua" w:cs="宋体"/>
          <w:b/>
          <w:bCs/>
          <w:color w:val="000000"/>
          <w:lang w:val="en-US" w:eastAsia="zh-CN"/>
        </w:rPr>
        <w:t>Kirk AD</w:t>
      </w:r>
      <w:r w:rsidRPr="00DF743A">
        <w:rPr>
          <w:rFonts w:ascii="Book Antiqua" w:eastAsia="宋体" w:hAnsi="Book Antiqua" w:cs="宋体"/>
          <w:color w:val="000000"/>
          <w:lang w:val="en-US" w:eastAsia="zh-CN"/>
        </w:rPr>
        <w:t xml:space="preserve">, Guasch A, Xu H, Cheeseman J, Mead SI, Ghali A, Mehta AK, Wu D, Gebel H, Bray R, Horan J, Kean LS, Larsen CP, Pearson TC. </w:t>
      </w:r>
      <w:proofErr w:type="gramStart"/>
      <w:r w:rsidRPr="00DF743A">
        <w:rPr>
          <w:rFonts w:ascii="Book Antiqua" w:eastAsia="宋体" w:hAnsi="Book Antiqua" w:cs="宋体"/>
          <w:color w:val="000000"/>
          <w:lang w:val="en-US" w:eastAsia="zh-CN"/>
        </w:rPr>
        <w:t>Renal transplantation using belatacept without maintenance steroids or calcineurin inhibitors.</w:t>
      </w:r>
      <w:proofErr w:type="gramEnd"/>
      <w:r w:rsidRPr="00DF743A">
        <w:rPr>
          <w:rFonts w:ascii="Book Antiqua" w:eastAsia="宋体" w:hAnsi="Book Antiqua" w:cs="宋体"/>
          <w:color w:val="000000"/>
          <w:lang w:val="en-US" w:eastAsia="zh-CN"/>
        </w:rPr>
        <w:t> </w:t>
      </w:r>
      <w:r w:rsidRPr="00DF743A">
        <w:rPr>
          <w:rFonts w:ascii="Book Antiqua" w:eastAsia="宋体" w:hAnsi="Book Antiqua" w:cs="宋体"/>
          <w:i/>
          <w:iCs/>
          <w:color w:val="000000"/>
          <w:lang w:val="en-US" w:eastAsia="zh-CN"/>
        </w:rPr>
        <w:t>Am J Transplant</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14</w:t>
      </w:r>
      <w:r w:rsidRPr="00DF743A">
        <w:rPr>
          <w:rFonts w:ascii="Book Antiqua" w:eastAsia="宋体" w:hAnsi="Book Antiqua" w:cs="宋体"/>
          <w:color w:val="000000"/>
          <w:lang w:val="en-US" w:eastAsia="zh-CN"/>
        </w:rPr>
        <w:t>: 1142-1151 [PMID: 24684552 DOI: 10.1111/ajt.12712]</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13 </w:t>
      </w:r>
      <w:r w:rsidRPr="00DF743A">
        <w:rPr>
          <w:rFonts w:ascii="Book Antiqua" w:eastAsia="宋体" w:hAnsi="Book Antiqua" w:cs="宋体"/>
          <w:b/>
          <w:bCs/>
          <w:color w:val="000000"/>
          <w:lang w:val="en-US" w:eastAsia="zh-CN"/>
        </w:rPr>
        <w:t>Li L</w:t>
      </w:r>
      <w:r w:rsidRPr="00DF743A">
        <w:rPr>
          <w:rFonts w:ascii="Book Antiqua" w:eastAsia="宋体" w:hAnsi="Book Antiqua" w:cs="宋体"/>
          <w:color w:val="000000"/>
          <w:lang w:val="en-US" w:eastAsia="zh-CN"/>
        </w:rPr>
        <w:t>, Chaudhuri A, Chen A, Zhao X, Bezchinsky M, Concepcion W, Salvatierra O, Sarwal MM. Efficacy and safety of thymoglobulin induction as an alternative approach for steroid-free maintenance immunosuppression in pediatric renal transplantation. </w:t>
      </w:r>
      <w:r w:rsidRPr="00DF743A">
        <w:rPr>
          <w:rFonts w:ascii="Book Antiqua" w:eastAsia="宋体" w:hAnsi="Book Antiqua" w:cs="宋体"/>
          <w:i/>
          <w:iCs/>
          <w:color w:val="000000"/>
          <w:lang w:val="en-US" w:eastAsia="zh-CN"/>
        </w:rPr>
        <w:t>Transplantation</w:t>
      </w:r>
      <w:r w:rsidRPr="00DF743A">
        <w:rPr>
          <w:rFonts w:ascii="Book Antiqua" w:eastAsia="宋体" w:hAnsi="Book Antiqua" w:cs="宋体"/>
          <w:color w:val="000000"/>
          <w:lang w:val="en-US" w:eastAsia="zh-CN"/>
        </w:rPr>
        <w:t> 2010; </w:t>
      </w:r>
      <w:r w:rsidRPr="00DF743A">
        <w:rPr>
          <w:rFonts w:ascii="Book Antiqua" w:eastAsia="宋体" w:hAnsi="Book Antiqua" w:cs="宋体"/>
          <w:b/>
          <w:bCs/>
          <w:color w:val="000000"/>
          <w:lang w:val="en-US" w:eastAsia="zh-CN"/>
        </w:rPr>
        <w:t>90</w:t>
      </w:r>
      <w:r w:rsidRPr="00DF743A">
        <w:rPr>
          <w:rFonts w:ascii="Book Antiqua" w:eastAsia="宋体" w:hAnsi="Book Antiqua" w:cs="宋体"/>
          <w:color w:val="000000"/>
          <w:lang w:val="en-US" w:eastAsia="zh-CN"/>
        </w:rPr>
        <w:t>: 1516-1520 [PMID: 20935596 DOI: 10.1097/TP.0b013e3181fc8937]</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14 </w:t>
      </w:r>
      <w:r w:rsidRPr="00DF743A">
        <w:rPr>
          <w:rFonts w:ascii="Book Antiqua" w:eastAsia="宋体" w:hAnsi="Book Antiqua" w:cs="宋体"/>
          <w:b/>
          <w:bCs/>
          <w:color w:val="000000"/>
          <w:lang w:val="en-US" w:eastAsia="zh-CN"/>
        </w:rPr>
        <w:t>De Serres SA</w:t>
      </w:r>
      <w:r w:rsidRPr="00DF743A">
        <w:rPr>
          <w:rFonts w:ascii="Book Antiqua" w:eastAsia="宋体" w:hAnsi="Book Antiqua" w:cs="宋体"/>
          <w:color w:val="000000"/>
          <w:lang w:val="en-US" w:eastAsia="zh-CN"/>
        </w:rPr>
        <w:t>, Mfarrej BG, Magee CN, Benitez F, Ashoor I, Sayegh MH, Harmon WE, Najafian N. Immune profile of pediatric renal transplant recipients following alemtuzumab induction. </w:t>
      </w:r>
      <w:r w:rsidRPr="00DF743A">
        <w:rPr>
          <w:rFonts w:ascii="Book Antiqua" w:eastAsia="宋体" w:hAnsi="Book Antiqua" w:cs="宋体"/>
          <w:i/>
          <w:iCs/>
          <w:color w:val="000000"/>
          <w:lang w:val="en-US" w:eastAsia="zh-CN"/>
        </w:rPr>
        <w:t>J Am Soc Nephrol</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23</w:t>
      </w:r>
      <w:r w:rsidRPr="00DF743A">
        <w:rPr>
          <w:rFonts w:ascii="Book Antiqua" w:eastAsia="宋体" w:hAnsi="Book Antiqua" w:cs="宋体"/>
          <w:color w:val="000000"/>
          <w:lang w:val="en-US" w:eastAsia="zh-CN"/>
        </w:rPr>
        <w:t>: 174-182 [PMID: 22052056 DOI: 10.1681/ASN.2011040360]</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15 </w:t>
      </w:r>
      <w:r w:rsidRPr="00DF743A">
        <w:rPr>
          <w:rFonts w:ascii="Book Antiqua" w:eastAsia="宋体" w:hAnsi="Book Antiqua" w:cs="宋体"/>
          <w:b/>
          <w:bCs/>
          <w:color w:val="000000"/>
          <w:lang w:val="en-US" w:eastAsia="zh-CN"/>
        </w:rPr>
        <w:t>Ratzinger G</w:t>
      </w:r>
      <w:r w:rsidRPr="00DF743A">
        <w:rPr>
          <w:rFonts w:ascii="Book Antiqua" w:eastAsia="宋体" w:hAnsi="Book Antiqua" w:cs="宋体"/>
          <w:color w:val="000000"/>
          <w:lang w:val="en-US" w:eastAsia="zh-CN"/>
        </w:rPr>
        <w:t>, Reagan JL, Heller G, Busam KJ, Young JW. Differential CD52 expression by distinct myeloid dendritic cell subsets: implications for alemtuzumab activity at the level of antigen presentation in allogeneic graft-host interactions in transplantation. </w:t>
      </w:r>
      <w:r w:rsidRPr="00DF743A">
        <w:rPr>
          <w:rFonts w:ascii="Book Antiqua" w:eastAsia="宋体" w:hAnsi="Book Antiqua" w:cs="宋体"/>
          <w:i/>
          <w:iCs/>
          <w:color w:val="000000"/>
          <w:lang w:val="en-US" w:eastAsia="zh-CN"/>
        </w:rPr>
        <w:t>Blood</w:t>
      </w:r>
      <w:r w:rsidRPr="00DF743A">
        <w:rPr>
          <w:rFonts w:ascii="Book Antiqua" w:eastAsia="宋体" w:hAnsi="Book Antiqua" w:cs="宋体"/>
          <w:color w:val="000000"/>
          <w:lang w:val="en-US" w:eastAsia="zh-CN"/>
        </w:rPr>
        <w:t> 2003; </w:t>
      </w:r>
      <w:r w:rsidRPr="00DF743A">
        <w:rPr>
          <w:rFonts w:ascii="Book Antiqua" w:eastAsia="宋体" w:hAnsi="Book Antiqua" w:cs="宋体"/>
          <w:b/>
          <w:bCs/>
          <w:color w:val="000000"/>
          <w:lang w:val="en-US" w:eastAsia="zh-CN"/>
        </w:rPr>
        <w:t>101</w:t>
      </w:r>
      <w:r w:rsidRPr="00DF743A">
        <w:rPr>
          <w:rFonts w:ascii="Book Antiqua" w:eastAsia="宋体" w:hAnsi="Book Antiqua" w:cs="宋体"/>
          <w:color w:val="000000"/>
          <w:lang w:val="en-US" w:eastAsia="zh-CN"/>
        </w:rPr>
        <w:t>: 1422-1429 [PMID: 12393688 DOI: 10.1182/blood-2002-04-1093]</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16 </w:t>
      </w:r>
      <w:r w:rsidRPr="00DF743A">
        <w:rPr>
          <w:rFonts w:ascii="Book Antiqua" w:eastAsia="宋体" w:hAnsi="Book Antiqua" w:cs="宋体"/>
          <w:b/>
          <w:bCs/>
          <w:color w:val="000000"/>
          <w:lang w:val="en-US" w:eastAsia="zh-CN"/>
        </w:rPr>
        <w:t>Kirk AD</w:t>
      </w:r>
      <w:r w:rsidRPr="00DF743A">
        <w:rPr>
          <w:rFonts w:ascii="Book Antiqua" w:eastAsia="宋体" w:hAnsi="Book Antiqua" w:cs="宋体"/>
          <w:color w:val="000000"/>
          <w:lang w:val="en-US" w:eastAsia="zh-CN"/>
        </w:rPr>
        <w:t>, Hale DA, Mannon RB, Kleiner DE, Hoffmann SC, Kampen RL, Cendales LK, Tadaki DK, Harlan DM, Swanson SJ. Results from a human renal allograft tolerance trial evaluating the humanized CD52-specific monoclonal antibody alemtuzumab (CAMPATH-1H). </w:t>
      </w:r>
      <w:r w:rsidRPr="00DF743A">
        <w:rPr>
          <w:rFonts w:ascii="Book Antiqua" w:eastAsia="宋体" w:hAnsi="Book Antiqua" w:cs="宋体"/>
          <w:i/>
          <w:iCs/>
          <w:color w:val="000000"/>
          <w:lang w:val="en-US" w:eastAsia="zh-CN"/>
        </w:rPr>
        <w:t>Transplantation</w:t>
      </w:r>
      <w:r w:rsidRPr="00DF743A">
        <w:rPr>
          <w:rFonts w:ascii="Book Antiqua" w:eastAsia="宋体" w:hAnsi="Book Antiqua" w:cs="宋体"/>
          <w:color w:val="000000"/>
          <w:lang w:val="en-US" w:eastAsia="zh-CN"/>
        </w:rPr>
        <w:t> 2003; </w:t>
      </w:r>
      <w:r w:rsidRPr="00DF743A">
        <w:rPr>
          <w:rFonts w:ascii="Book Antiqua" w:eastAsia="宋体" w:hAnsi="Book Antiqua" w:cs="宋体"/>
          <w:b/>
          <w:bCs/>
          <w:color w:val="000000"/>
          <w:lang w:val="en-US" w:eastAsia="zh-CN"/>
        </w:rPr>
        <w:t>76</w:t>
      </w:r>
      <w:r w:rsidRPr="00DF743A">
        <w:rPr>
          <w:rFonts w:ascii="Book Antiqua" w:eastAsia="宋体" w:hAnsi="Book Antiqua" w:cs="宋体"/>
          <w:color w:val="000000"/>
          <w:lang w:val="en-US" w:eastAsia="zh-CN"/>
        </w:rPr>
        <w:t>: 120-129 [PMID: 12865797 DOI: 10.1097/01.TP.0000071362.99021.D9]</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17 </w:t>
      </w:r>
      <w:r w:rsidRPr="00DF743A">
        <w:rPr>
          <w:rFonts w:ascii="Book Antiqua" w:eastAsia="宋体" w:hAnsi="Book Antiqua" w:cs="宋体"/>
          <w:b/>
          <w:bCs/>
          <w:color w:val="000000"/>
          <w:lang w:val="en-US" w:eastAsia="zh-CN"/>
        </w:rPr>
        <w:t>Calne R</w:t>
      </w:r>
      <w:r w:rsidRPr="00DF743A">
        <w:rPr>
          <w:rFonts w:ascii="Book Antiqua" w:eastAsia="宋体" w:hAnsi="Book Antiqua" w:cs="宋体"/>
          <w:color w:val="000000"/>
          <w:lang w:val="en-US" w:eastAsia="zh-CN"/>
        </w:rPr>
        <w:t>, Friend P, Moffatt S, Bradley A, Hale G, Firth J, Bradley J, Smith K, Waldmann H. Prope tolerance, perioperative campath 1H, and low-dose cyclosporin monotherapy in renal allograft recipients. </w:t>
      </w:r>
      <w:r w:rsidRPr="00DF743A">
        <w:rPr>
          <w:rFonts w:ascii="Book Antiqua" w:eastAsia="宋体" w:hAnsi="Book Antiqua" w:cs="宋体"/>
          <w:i/>
          <w:iCs/>
          <w:color w:val="000000"/>
          <w:lang w:val="en-US" w:eastAsia="zh-CN"/>
        </w:rPr>
        <w:t>Lancet</w:t>
      </w:r>
      <w:r w:rsidRPr="00DF743A">
        <w:rPr>
          <w:rFonts w:ascii="Book Antiqua" w:eastAsia="宋体" w:hAnsi="Book Antiqua" w:cs="宋体"/>
          <w:color w:val="000000"/>
          <w:lang w:val="en-US" w:eastAsia="zh-CN"/>
        </w:rPr>
        <w:t> 1998; </w:t>
      </w:r>
      <w:r w:rsidRPr="00DF743A">
        <w:rPr>
          <w:rFonts w:ascii="Book Antiqua" w:eastAsia="宋体" w:hAnsi="Book Antiqua" w:cs="宋体"/>
          <w:b/>
          <w:bCs/>
          <w:color w:val="000000"/>
          <w:lang w:val="en-US" w:eastAsia="zh-CN"/>
        </w:rPr>
        <w:t>351</w:t>
      </w:r>
      <w:r w:rsidRPr="00DF743A">
        <w:rPr>
          <w:rFonts w:ascii="Book Antiqua" w:eastAsia="宋体" w:hAnsi="Book Antiqua" w:cs="宋体"/>
          <w:color w:val="000000"/>
          <w:lang w:val="en-US" w:eastAsia="zh-CN"/>
        </w:rPr>
        <w:t>: 1701-1702 [PMID: 9734890 DOI: 10.1016/S0140-6736(05)77739-4]</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 xml:space="preserve">18 </w:t>
      </w:r>
      <w:r w:rsidRPr="00DF743A">
        <w:rPr>
          <w:rFonts w:ascii="Book Antiqua" w:hAnsi="Book Antiqua" w:cs="Arial"/>
          <w:b/>
          <w:noProof/>
          <w:lang w:val="en-GB"/>
        </w:rPr>
        <w:t>Study T</w:t>
      </w:r>
      <w:r w:rsidRPr="00A77A01">
        <w:rPr>
          <w:rFonts w:ascii="Book Antiqua" w:hAnsi="Book Antiqua" w:cs="Arial"/>
          <w:noProof/>
          <w:lang w:val="en-GB"/>
        </w:rPr>
        <w:t>, Group C.</w:t>
      </w:r>
      <w:r w:rsidRPr="00DF743A">
        <w:rPr>
          <w:rFonts w:ascii="Book Antiqua" w:eastAsia="宋体" w:hAnsi="Book Antiqua" w:cs="宋体"/>
          <w:color w:val="000000"/>
          <w:lang w:val="en-US" w:eastAsia="zh-CN"/>
        </w:rPr>
        <w:t xml:space="preserve"> Alemtuzumab-based induction treatment versus basiliximab-based induction treatment in kidney transplantation (the 3C Study): a randomised trial. </w:t>
      </w:r>
      <w:r w:rsidRPr="00DF743A">
        <w:rPr>
          <w:rFonts w:ascii="Book Antiqua" w:eastAsia="宋体" w:hAnsi="Book Antiqua" w:cs="宋体"/>
          <w:i/>
          <w:iCs/>
          <w:color w:val="000000"/>
          <w:lang w:val="en-US" w:eastAsia="zh-CN"/>
        </w:rPr>
        <w:t>Lancet</w:t>
      </w:r>
      <w:r w:rsidRPr="00DF743A">
        <w:rPr>
          <w:rFonts w:ascii="Book Antiqua" w:eastAsia="宋体" w:hAnsi="Book Antiqua" w:cs="宋体"/>
          <w:color w:val="000000"/>
          <w:lang w:val="en-US" w:eastAsia="zh-CN"/>
        </w:rPr>
        <w:t> 2014; </w:t>
      </w:r>
      <w:r w:rsidRPr="00DF743A">
        <w:rPr>
          <w:rFonts w:ascii="Book Antiqua" w:eastAsia="宋体" w:hAnsi="Book Antiqua" w:cs="宋体" w:hint="eastAsia"/>
          <w:b/>
          <w:color w:val="000000"/>
          <w:lang w:val="en-US" w:eastAsia="zh-CN"/>
        </w:rPr>
        <w:t>6736</w:t>
      </w:r>
      <w:r w:rsidRPr="00DF743A">
        <w:rPr>
          <w:rFonts w:ascii="Book Antiqua" w:eastAsia="宋体" w:hAnsi="Book Antiqua" w:cs="宋体"/>
          <w:b/>
          <w:color w:val="000000"/>
          <w:lang w:val="en-US" w:eastAsia="zh-CN"/>
        </w:rPr>
        <w:t>:</w:t>
      </w:r>
      <w:r>
        <w:rPr>
          <w:rFonts w:ascii="Book Antiqua" w:eastAsia="宋体" w:hAnsi="Book Antiqua" w:cs="宋体" w:hint="eastAsia"/>
          <w:color w:val="000000"/>
          <w:lang w:val="en-US" w:eastAsia="zh-CN"/>
        </w:rPr>
        <w:t xml:space="preserve"> 1-7</w:t>
      </w:r>
      <w:r w:rsidRPr="00DF743A">
        <w:rPr>
          <w:rFonts w:ascii="Book Antiqua" w:eastAsia="宋体" w:hAnsi="Book Antiqua" w:cs="宋体"/>
          <w:color w:val="000000"/>
          <w:lang w:val="en-US" w:eastAsia="zh-CN"/>
        </w:rPr>
        <w:t xml:space="preserve"> [PMID: 25078310 DOI: 10.1016/S0140-6736(14)61095-3]</w:t>
      </w:r>
    </w:p>
    <w:p w:rsidR="00DF743A" w:rsidRPr="00DF743A" w:rsidRDefault="00DF743A" w:rsidP="00DF743A">
      <w:pPr>
        <w:spacing w:line="360" w:lineRule="auto"/>
        <w:jc w:val="both"/>
        <w:rPr>
          <w:rFonts w:ascii="Book Antiqua" w:eastAsia="宋体" w:hAnsi="Book Antiqua" w:cs="宋体"/>
          <w:color w:val="000000"/>
          <w:lang w:val="en-US" w:eastAsia="zh-CN"/>
        </w:rPr>
      </w:pPr>
      <w:proofErr w:type="gramStart"/>
      <w:r w:rsidRPr="00DF743A">
        <w:rPr>
          <w:rFonts w:ascii="Book Antiqua" w:eastAsia="宋体" w:hAnsi="Book Antiqua" w:cs="宋体"/>
          <w:color w:val="000000"/>
          <w:lang w:val="en-US" w:eastAsia="zh-CN"/>
        </w:rPr>
        <w:t>19</w:t>
      </w:r>
      <w:r>
        <w:rPr>
          <w:rFonts w:ascii="Book Antiqua" w:eastAsia="宋体" w:hAnsi="Book Antiqua" w:cs="宋体" w:hint="eastAsia"/>
          <w:color w:val="000000"/>
          <w:lang w:val="en-US" w:eastAsia="zh-CN"/>
        </w:rPr>
        <w:t xml:space="preserve"> </w:t>
      </w:r>
      <w:r w:rsidRPr="00DF743A">
        <w:rPr>
          <w:rFonts w:ascii="Book Antiqua" w:hAnsi="Book Antiqua" w:cs="Arial"/>
          <w:b/>
          <w:noProof/>
          <w:lang w:val="en-GB"/>
        </w:rPr>
        <w:t>Kuypers DRJ.</w:t>
      </w:r>
      <w:proofErr w:type="gramEnd"/>
      <w:r w:rsidRPr="00DF743A">
        <w:rPr>
          <w:rFonts w:ascii="Book Antiqua" w:eastAsia="宋体" w:hAnsi="Book Antiqua" w:cs="宋体"/>
          <w:color w:val="000000"/>
          <w:lang w:val="en-US" w:eastAsia="zh-CN"/>
        </w:rPr>
        <w:t xml:space="preserve"> </w:t>
      </w:r>
      <w:proofErr w:type="gramStart"/>
      <w:r w:rsidRPr="00DF743A">
        <w:rPr>
          <w:rFonts w:ascii="Book Antiqua" w:eastAsia="宋体" w:hAnsi="Book Antiqua" w:cs="宋体"/>
          <w:color w:val="000000"/>
          <w:lang w:val="en-US" w:eastAsia="zh-CN"/>
        </w:rPr>
        <w:t>Alemtuzumab induction therapy in kidney transplantation.</w:t>
      </w:r>
      <w:proofErr w:type="gramEnd"/>
      <w:r w:rsidRPr="00DF743A">
        <w:rPr>
          <w:rFonts w:ascii="Book Antiqua" w:eastAsia="宋体" w:hAnsi="Book Antiqua" w:cs="宋体"/>
          <w:color w:val="000000"/>
          <w:lang w:val="en-US" w:eastAsia="zh-CN"/>
        </w:rPr>
        <w:t> </w:t>
      </w:r>
      <w:r w:rsidRPr="00DF743A">
        <w:rPr>
          <w:rFonts w:ascii="Book Antiqua" w:eastAsia="宋体" w:hAnsi="Book Antiqua" w:cs="宋体"/>
          <w:i/>
          <w:iCs/>
          <w:color w:val="000000"/>
          <w:lang w:val="en-US" w:eastAsia="zh-CN"/>
        </w:rPr>
        <w:t>Lancet</w:t>
      </w:r>
      <w:r w:rsidRPr="00DF743A">
        <w:rPr>
          <w:rFonts w:ascii="Book Antiqua" w:eastAsia="宋体" w:hAnsi="Book Antiqua" w:cs="宋体"/>
          <w:color w:val="000000"/>
          <w:lang w:val="en-US" w:eastAsia="zh-CN"/>
        </w:rPr>
        <w:t> 2014; </w:t>
      </w:r>
      <w:r>
        <w:rPr>
          <w:rFonts w:ascii="Book Antiqua" w:eastAsia="宋体" w:hAnsi="Book Antiqua" w:cs="宋体" w:hint="eastAsia"/>
          <w:color w:val="000000"/>
          <w:lang w:val="en-US" w:eastAsia="zh-CN"/>
        </w:rPr>
        <w:t>6736</w:t>
      </w:r>
      <w:r w:rsidRPr="00DF743A">
        <w:rPr>
          <w:rFonts w:ascii="Book Antiqua" w:eastAsia="宋体" w:hAnsi="Book Antiqua" w:cs="宋体"/>
          <w:color w:val="000000"/>
          <w:lang w:val="en-US" w:eastAsia="zh-CN"/>
        </w:rPr>
        <w:t xml:space="preserve">: </w:t>
      </w:r>
      <w:r>
        <w:rPr>
          <w:rFonts w:ascii="Book Antiqua" w:eastAsia="宋体" w:hAnsi="Book Antiqua" w:cs="宋体" w:hint="eastAsia"/>
          <w:color w:val="000000"/>
          <w:lang w:val="en-US" w:eastAsia="zh-CN"/>
        </w:rPr>
        <w:t xml:space="preserve">10-11 </w:t>
      </w:r>
      <w:r w:rsidRPr="00DF743A">
        <w:rPr>
          <w:rFonts w:ascii="Book Antiqua" w:eastAsia="宋体" w:hAnsi="Book Antiqua" w:cs="宋体"/>
          <w:color w:val="000000"/>
          <w:lang w:val="en-US" w:eastAsia="zh-CN"/>
        </w:rPr>
        <w:t>[PMID: 25078307 DOI: 10.1016/S0140-6736(14)61174-0]</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20 </w:t>
      </w:r>
      <w:r w:rsidRPr="00DF743A">
        <w:rPr>
          <w:rFonts w:ascii="Book Antiqua" w:eastAsia="宋体" w:hAnsi="Book Antiqua" w:cs="宋体"/>
          <w:b/>
          <w:bCs/>
          <w:color w:val="000000"/>
          <w:lang w:val="en-US" w:eastAsia="zh-CN"/>
        </w:rPr>
        <w:t>Kaabak MM</w:t>
      </w:r>
      <w:r w:rsidRPr="00DF743A">
        <w:rPr>
          <w:rFonts w:ascii="Book Antiqua" w:eastAsia="宋体" w:hAnsi="Book Antiqua" w:cs="宋体"/>
          <w:color w:val="000000"/>
          <w:lang w:val="en-US" w:eastAsia="zh-CN"/>
        </w:rPr>
        <w:t xml:space="preserve">, Babenko NN, Samsonov DV, Sandrikov VA, Maschan AA, Zokoev AK. </w:t>
      </w:r>
      <w:proofErr w:type="gramStart"/>
      <w:r w:rsidRPr="00DF743A">
        <w:rPr>
          <w:rFonts w:ascii="Book Antiqua" w:eastAsia="宋体" w:hAnsi="Book Antiqua" w:cs="宋体"/>
          <w:color w:val="000000"/>
          <w:lang w:val="en-US" w:eastAsia="zh-CN"/>
        </w:rPr>
        <w:t>Alemtuzumab induction in pediatric kidney transplantation.</w:t>
      </w:r>
      <w:proofErr w:type="gramEnd"/>
      <w:r w:rsidRPr="00DF743A">
        <w:rPr>
          <w:rFonts w:ascii="Book Antiqua" w:eastAsia="宋体" w:hAnsi="Book Antiqua" w:cs="宋体"/>
          <w:color w:val="000000"/>
          <w:lang w:val="en-US" w:eastAsia="zh-CN"/>
        </w:rPr>
        <w:t>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2013; </w:t>
      </w:r>
      <w:r w:rsidRPr="00DF743A">
        <w:rPr>
          <w:rFonts w:ascii="Book Antiqua" w:eastAsia="宋体" w:hAnsi="Book Antiqua" w:cs="宋体"/>
          <w:b/>
          <w:bCs/>
          <w:color w:val="000000"/>
          <w:lang w:val="en-US" w:eastAsia="zh-CN"/>
        </w:rPr>
        <w:t>17</w:t>
      </w:r>
      <w:r w:rsidRPr="00DF743A">
        <w:rPr>
          <w:rFonts w:ascii="Book Antiqua" w:eastAsia="宋体" w:hAnsi="Book Antiqua" w:cs="宋体"/>
          <w:color w:val="000000"/>
          <w:lang w:val="en-US" w:eastAsia="zh-CN"/>
        </w:rPr>
        <w:t>: 168-178 [PMID: 23442101 DOI: 10.1111/petr.12048]</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21 </w:t>
      </w:r>
      <w:r w:rsidRPr="00DF743A">
        <w:rPr>
          <w:rFonts w:ascii="Book Antiqua" w:eastAsia="宋体" w:hAnsi="Book Antiqua" w:cs="宋体"/>
          <w:b/>
          <w:bCs/>
          <w:color w:val="000000"/>
          <w:lang w:val="en-US" w:eastAsia="zh-CN"/>
        </w:rPr>
        <w:t>Sung J</w:t>
      </w:r>
      <w:r w:rsidRPr="00DF743A">
        <w:rPr>
          <w:rFonts w:ascii="Book Antiqua" w:eastAsia="宋体" w:hAnsi="Book Antiqua" w:cs="宋体"/>
          <w:color w:val="000000"/>
          <w:lang w:val="en-US" w:eastAsia="zh-CN"/>
        </w:rPr>
        <w:t>, Barry JM, Jenkins R, Rozansky D, Iragorri S, Conlin M, Al-Uzri A. Alemtuzumab induction with tacrolimus monotherapy in 25 pediatric renal transplant recipients.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2013; </w:t>
      </w:r>
      <w:r w:rsidRPr="00DF743A">
        <w:rPr>
          <w:rFonts w:ascii="Book Antiqua" w:eastAsia="宋体" w:hAnsi="Book Antiqua" w:cs="宋体"/>
          <w:b/>
          <w:bCs/>
          <w:color w:val="000000"/>
          <w:lang w:val="en-US" w:eastAsia="zh-CN"/>
        </w:rPr>
        <w:t>17</w:t>
      </w:r>
      <w:r w:rsidRPr="00DF743A">
        <w:rPr>
          <w:rFonts w:ascii="Book Antiqua" w:eastAsia="宋体" w:hAnsi="Book Antiqua" w:cs="宋体"/>
          <w:color w:val="000000"/>
          <w:lang w:val="en-US" w:eastAsia="zh-CN"/>
        </w:rPr>
        <w:t>: 718-725 [PMID: 24164824 DOI: 10.1111/petr.12159]</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22 </w:t>
      </w:r>
      <w:r w:rsidRPr="00DF743A">
        <w:rPr>
          <w:rFonts w:ascii="Book Antiqua" w:eastAsia="宋体" w:hAnsi="Book Antiqua" w:cs="宋体"/>
          <w:b/>
          <w:bCs/>
          <w:color w:val="000000"/>
          <w:lang w:val="en-US" w:eastAsia="zh-CN"/>
        </w:rPr>
        <w:t>Supe-Markovina K</w:t>
      </w:r>
      <w:r w:rsidRPr="00DF743A">
        <w:rPr>
          <w:rFonts w:ascii="Book Antiqua" w:eastAsia="宋体" w:hAnsi="Book Antiqua" w:cs="宋体"/>
          <w:color w:val="000000"/>
          <w:lang w:val="en-US" w:eastAsia="zh-CN"/>
        </w:rPr>
        <w:t>, Melquist JJ, Connolly D, DiCarlo HN, Waltzer WC, Fine RN, Darras FS. Alemtuzumab with corticosteroid minimization for pediatric deceased donor renal transplantation: a seven-yr experience.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18</w:t>
      </w:r>
      <w:r w:rsidRPr="00DF743A">
        <w:rPr>
          <w:rFonts w:ascii="Book Antiqua" w:eastAsia="宋体" w:hAnsi="Book Antiqua" w:cs="宋体"/>
          <w:color w:val="000000"/>
          <w:lang w:val="en-US" w:eastAsia="zh-CN"/>
        </w:rPr>
        <w:t>: 363-368 [PMID: 24712738 DOI: 10.1111/petr.12253]</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23 </w:t>
      </w:r>
      <w:r w:rsidRPr="00DF743A">
        <w:rPr>
          <w:rFonts w:ascii="Book Antiqua" w:eastAsia="宋体" w:hAnsi="Book Antiqua" w:cs="宋体"/>
          <w:b/>
          <w:bCs/>
          <w:color w:val="000000"/>
          <w:lang w:val="en-US" w:eastAsia="zh-CN"/>
        </w:rPr>
        <w:t>Salvadori M</w:t>
      </w:r>
      <w:r w:rsidRPr="00DF743A">
        <w:rPr>
          <w:rFonts w:ascii="Book Antiqua" w:eastAsia="宋体" w:hAnsi="Book Antiqua" w:cs="宋体"/>
          <w:color w:val="000000"/>
          <w:lang w:val="en-US" w:eastAsia="zh-CN"/>
        </w:rPr>
        <w:t>, Bertoni E. Impact of donor-specific antibodies on the outcomes of kidney graft: Pathophysiology, clinical, therapy. </w:t>
      </w:r>
      <w:r w:rsidRPr="00DF743A">
        <w:rPr>
          <w:rFonts w:ascii="Book Antiqua" w:eastAsia="宋体" w:hAnsi="Book Antiqua" w:cs="宋体"/>
          <w:i/>
          <w:iCs/>
          <w:color w:val="000000"/>
          <w:lang w:val="en-US" w:eastAsia="zh-CN"/>
        </w:rPr>
        <w:t>World J Transplant</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4</w:t>
      </w:r>
      <w:r w:rsidRPr="00DF743A">
        <w:rPr>
          <w:rFonts w:ascii="Book Antiqua" w:eastAsia="宋体" w:hAnsi="Book Antiqua" w:cs="宋体"/>
          <w:color w:val="000000"/>
          <w:lang w:val="en-US" w:eastAsia="zh-CN"/>
        </w:rPr>
        <w:t>: 1-17 [PMID: 24669363 DOI: 10.5500/wjt.v4.i1.1]</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 xml:space="preserve">24 </w:t>
      </w:r>
      <w:r w:rsidRPr="00DF743A">
        <w:rPr>
          <w:rFonts w:ascii="Book Antiqua" w:hAnsi="Book Antiqua" w:cs="Arial"/>
          <w:b/>
          <w:noProof/>
          <w:lang w:val="en-GB"/>
        </w:rPr>
        <w:t>Pape L,</w:t>
      </w:r>
      <w:r w:rsidRPr="00A77A01">
        <w:rPr>
          <w:rFonts w:ascii="Book Antiqua" w:hAnsi="Book Antiqua" w:cs="Arial"/>
          <w:noProof/>
          <w:lang w:val="en-GB"/>
        </w:rPr>
        <w:t xml:space="preserve"> Becker JU, Immenschuh S, Ahlenstiel T.</w:t>
      </w:r>
      <w:r w:rsidRPr="00DF743A">
        <w:rPr>
          <w:rFonts w:ascii="Book Antiqua" w:eastAsia="宋体" w:hAnsi="Book Antiqua" w:cs="宋体"/>
          <w:color w:val="000000"/>
          <w:lang w:val="en-US" w:eastAsia="zh-CN"/>
        </w:rPr>
        <w:t xml:space="preserve"> Acute and chronic antibody-mediated rejection in pediatric kidney transplantation. </w:t>
      </w:r>
      <w:r w:rsidRPr="00DF743A">
        <w:rPr>
          <w:rFonts w:ascii="Book Antiqua" w:eastAsia="宋体" w:hAnsi="Book Antiqua" w:cs="宋体"/>
          <w:i/>
          <w:iCs/>
          <w:color w:val="000000"/>
          <w:lang w:val="en-US" w:eastAsia="zh-CN"/>
        </w:rPr>
        <w:t>Pediatr Nephrol</w:t>
      </w:r>
      <w:r w:rsidRPr="00DF743A">
        <w:rPr>
          <w:rFonts w:ascii="Book Antiqua" w:eastAsia="宋体" w:hAnsi="Book Antiqua" w:cs="宋体"/>
          <w:color w:val="000000"/>
          <w:lang w:val="en-US" w:eastAsia="zh-CN"/>
        </w:rPr>
        <w:t> </w:t>
      </w:r>
      <w:r>
        <w:rPr>
          <w:rFonts w:ascii="Book Antiqua" w:eastAsia="宋体" w:hAnsi="Book Antiqua" w:cs="宋体"/>
          <w:color w:val="000000"/>
          <w:lang w:val="en-US" w:eastAsia="zh-CN"/>
        </w:rPr>
        <w:t>2014</w:t>
      </w:r>
      <w:r>
        <w:rPr>
          <w:rFonts w:ascii="Book Antiqua" w:eastAsia="宋体" w:hAnsi="Book Antiqua" w:cs="宋体" w:hint="eastAsia"/>
          <w:color w:val="000000"/>
          <w:lang w:val="en-US" w:eastAsia="zh-CN"/>
        </w:rPr>
        <w:t xml:space="preserve"> </w:t>
      </w:r>
      <w:r w:rsidRPr="00DF743A">
        <w:rPr>
          <w:rFonts w:ascii="Book Antiqua" w:eastAsia="宋体" w:hAnsi="Book Antiqua" w:cs="宋体"/>
          <w:color w:val="000000"/>
          <w:lang w:val="en-US" w:eastAsia="zh-CN"/>
        </w:rPr>
        <w:t>[PMID: 24865478 DOI: 10.1007/s00467-014-2851-2]</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25 </w:t>
      </w:r>
      <w:r w:rsidRPr="00DF743A">
        <w:rPr>
          <w:rFonts w:ascii="Book Antiqua" w:eastAsia="宋体" w:hAnsi="Book Antiqua" w:cs="宋体"/>
          <w:b/>
          <w:bCs/>
          <w:color w:val="000000"/>
          <w:lang w:val="en-US" w:eastAsia="zh-CN"/>
        </w:rPr>
        <w:t>Chaudhuri A</w:t>
      </w:r>
      <w:r w:rsidRPr="00DF743A">
        <w:rPr>
          <w:rFonts w:ascii="Book Antiqua" w:eastAsia="宋体" w:hAnsi="Book Antiqua" w:cs="宋体"/>
          <w:color w:val="000000"/>
          <w:lang w:val="en-US" w:eastAsia="zh-CN"/>
        </w:rPr>
        <w:t xml:space="preserve">, Ozawa M, Everly MJ, Ettenger R, Dharnidharka V, Benfield M, Mathias R, Portale A, McDonald R, Harmon W, Kershaw D, Vehaskari VM, Kamil E, Baluarte HJ, Warady B, Li L, Sigdel TK, Hsieh SC, Dai H, Naesens M, Waskerwitz J, Salvatierra O, Terasaki PI, Sarwal MM. </w:t>
      </w:r>
      <w:proofErr w:type="gramStart"/>
      <w:r w:rsidRPr="00DF743A">
        <w:rPr>
          <w:rFonts w:ascii="Book Antiqua" w:eastAsia="宋体" w:hAnsi="Book Antiqua" w:cs="宋体"/>
          <w:color w:val="000000"/>
          <w:lang w:val="en-US" w:eastAsia="zh-CN"/>
        </w:rPr>
        <w:t>The clinical impact of humoral immunity in pediatric renal transplantation.</w:t>
      </w:r>
      <w:proofErr w:type="gramEnd"/>
      <w:r w:rsidRPr="00DF743A">
        <w:rPr>
          <w:rFonts w:ascii="Book Antiqua" w:eastAsia="宋体" w:hAnsi="Book Antiqua" w:cs="宋体"/>
          <w:color w:val="000000"/>
          <w:lang w:val="en-US" w:eastAsia="zh-CN"/>
        </w:rPr>
        <w:t> </w:t>
      </w:r>
      <w:r w:rsidRPr="00DF743A">
        <w:rPr>
          <w:rFonts w:ascii="Book Antiqua" w:eastAsia="宋体" w:hAnsi="Book Antiqua" w:cs="宋体"/>
          <w:i/>
          <w:iCs/>
          <w:color w:val="000000"/>
          <w:lang w:val="en-US" w:eastAsia="zh-CN"/>
        </w:rPr>
        <w:t>J Am Soc Nephrol</w:t>
      </w:r>
      <w:r w:rsidRPr="00DF743A">
        <w:rPr>
          <w:rFonts w:ascii="Book Antiqua" w:eastAsia="宋体" w:hAnsi="Book Antiqua" w:cs="宋体"/>
          <w:color w:val="000000"/>
          <w:lang w:val="en-US" w:eastAsia="zh-CN"/>
        </w:rPr>
        <w:t> 2013; </w:t>
      </w:r>
      <w:r w:rsidRPr="00DF743A">
        <w:rPr>
          <w:rFonts w:ascii="Book Antiqua" w:eastAsia="宋体" w:hAnsi="Book Antiqua" w:cs="宋体"/>
          <w:b/>
          <w:bCs/>
          <w:color w:val="000000"/>
          <w:lang w:val="en-US" w:eastAsia="zh-CN"/>
        </w:rPr>
        <w:t>24</w:t>
      </w:r>
      <w:r w:rsidRPr="00DF743A">
        <w:rPr>
          <w:rFonts w:ascii="Book Antiqua" w:eastAsia="宋体" w:hAnsi="Book Antiqua" w:cs="宋体"/>
          <w:color w:val="000000"/>
          <w:lang w:val="en-US" w:eastAsia="zh-CN"/>
        </w:rPr>
        <w:t>: 655-664 [PMID: 23449533 DOI: 10.1681/ASN.2012070663]</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26 </w:t>
      </w:r>
      <w:r w:rsidRPr="00DF743A">
        <w:rPr>
          <w:rFonts w:ascii="Book Antiqua" w:eastAsia="宋体" w:hAnsi="Book Antiqua" w:cs="宋体"/>
          <w:b/>
          <w:bCs/>
          <w:color w:val="000000"/>
          <w:lang w:val="en-US" w:eastAsia="zh-CN"/>
        </w:rPr>
        <w:t>Ginevri F</w:t>
      </w:r>
      <w:r w:rsidRPr="00DF743A">
        <w:rPr>
          <w:rFonts w:ascii="Book Antiqua" w:eastAsia="宋体" w:hAnsi="Book Antiqua" w:cs="宋体"/>
          <w:color w:val="000000"/>
          <w:lang w:val="en-US" w:eastAsia="zh-CN"/>
        </w:rPr>
        <w:t>, Nocera A, Comoli P, Innocente A, Cioni M, Parodi A, Fontana I, Magnasco A, Nocco A, Tagliamacco A, Sementa A, Ceriolo P, Ghio L, Zecca M, Cardillo M, Garibotto G, Ghiggeri GM, Poli F. Posttransplant de novo donor-specific hla antibodies identify pediatric kidney recipients at risk for late antibody-mediated rejection. </w:t>
      </w:r>
      <w:r w:rsidRPr="00DF743A">
        <w:rPr>
          <w:rFonts w:ascii="Book Antiqua" w:eastAsia="宋体" w:hAnsi="Book Antiqua" w:cs="宋体"/>
          <w:i/>
          <w:iCs/>
          <w:color w:val="000000"/>
          <w:lang w:val="en-US" w:eastAsia="zh-CN"/>
        </w:rPr>
        <w:t>Am J Transplant</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12</w:t>
      </w:r>
      <w:r w:rsidRPr="00DF743A">
        <w:rPr>
          <w:rFonts w:ascii="Book Antiqua" w:eastAsia="宋体" w:hAnsi="Book Antiqua" w:cs="宋体"/>
          <w:color w:val="000000"/>
          <w:lang w:val="en-US" w:eastAsia="zh-CN"/>
        </w:rPr>
        <w:t>: 3355-3362 [PMID: 22959074 DOI: 10.1111/j.1600-6143.2012.04251.x]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27 </w:t>
      </w:r>
      <w:r w:rsidRPr="00DF743A">
        <w:rPr>
          <w:rFonts w:ascii="Book Antiqua" w:eastAsia="宋体" w:hAnsi="Book Antiqua" w:cs="宋体"/>
          <w:b/>
          <w:bCs/>
          <w:color w:val="000000"/>
          <w:lang w:val="en-US" w:eastAsia="zh-CN"/>
        </w:rPr>
        <w:t>Al-Uzri AY</w:t>
      </w:r>
      <w:r w:rsidRPr="00DF743A">
        <w:rPr>
          <w:rFonts w:ascii="Book Antiqua" w:eastAsia="宋体" w:hAnsi="Book Antiqua" w:cs="宋体"/>
          <w:color w:val="000000"/>
          <w:lang w:val="en-US" w:eastAsia="zh-CN"/>
        </w:rPr>
        <w:t>, Seltz B, Yorgin PD, Spier CM, Andreoni K. Successful renal transplant outcome after intravenous gamma-globulin treatment of a highly sensitized pediatric recipient.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2002; </w:t>
      </w:r>
      <w:r w:rsidRPr="00DF743A">
        <w:rPr>
          <w:rFonts w:ascii="Book Antiqua" w:eastAsia="宋体" w:hAnsi="Book Antiqua" w:cs="宋体"/>
          <w:b/>
          <w:bCs/>
          <w:color w:val="000000"/>
          <w:lang w:val="en-US" w:eastAsia="zh-CN"/>
        </w:rPr>
        <w:t>6</w:t>
      </w:r>
      <w:r w:rsidRPr="00DF743A">
        <w:rPr>
          <w:rFonts w:ascii="Book Antiqua" w:eastAsia="宋体" w:hAnsi="Book Antiqua" w:cs="宋体"/>
          <w:color w:val="000000"/>
          <w:lang w:val="en-US" w:eastAsia="zh-CN"/>
        </w:rPr>
        <w:t>: 161-165 [PMID: 12000474 DOI: 10.1034/j.1399-3046.2002.01055.x]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28 </w:t>
      </w:r>
      <w:r w:rsidRPr="00DF743A">
        <w:rPr>
          <w:rFonts w:ascii="Book Antiqua" w:eastAsia="宋体" w:hAnsi="Book Antiqua" w:cs="宋体"/>
          <w:b/>
          <w:bCs/>
          <w:color w:val="000000"/>
          <w:lang w:val="en-US" w:eastAsia="zh-CN"/>
        </w:rPr>
        <w:t>Tyan DB</w:t>
      </w:r>
      <w:r w:rsidRPr="00DF743A">
        <w:rPr>
          <w:rFonts w:ascii="Book Antiqua" w:eastAsia="宋体" w:hAnsi="Book Antiqua" w:cs="宋体"/>
          <w:color w:val="000000"/>
          <w:lang w:val="en-US" w:eastAsia="zh-CN"/>
        </w:rPr>
        <w:t>, Li VA, Czer L, Trento A, Jordan SC. Intravenous immunoglobulin suppression of HLA alloantibody in highly sensitized transplant candidates and transplantation with a histoincompatible organ. </w:t>
      </w:r>
      <w:r w:rsidRPr="00DF743A">
        <w:rPr>
          <w:rFonts w:ascii="Book Antiqua" w:eastAsia="宋体" w:hAnsi="Book Antiqua" w:cs="宋体"/>
          <w:i/>
          <w:iCs/>
          <w:color w:val="000000"/>
          <w:lang w:val="en-US" w:eastAsia="zh-CN"/>
        </w:rPr>
        <w:t>Transplantation</w:t>
      </w:r>
      <w:r w:rsidRPr="00DF743A">
        <w:rPr>
          <w:rFonts w:ascii="Book Antiqua" w:eastAsia="宋体" w:hAnsi="Book Antiqua" w:cs="宋体"/>
          <w:color w:val="000000"/>
          <w:lang w:val="en-US" w:eastAsia="zh-CN"/>
        </w:rPr>
        <w:t> 1994; </w:t>
      </w:r>
      <w:r w:rsidRPr="00DF743A">
        <w:rPr>
          <w:rFonts w:ascii="Book Antiqua" w:eastAsia="宋体" w:hAnsi="Book Antiqua" w:cs="宋体"/>
          <w:b/>
          <w:bCs/>
          <w:color w:val="000000"/>
          <w:lang w:val="en-US" w:eastAsia="zh-CN"/>
        </w:rPr>
        <w:t>57</w:t>
      </w:r>
      <w:r w:rsidRPr="00DF743A">
        <w:rPr>
          <w:rFonts w:ascii="Book Antiqua" w:eastAsia="宋体" w:hAnsi="Book Antiqua" w:cs="宋体"/>
          <w:color w:val="000000"/>
          <w:lang w:val="en-US" w:eastAsia="zh-CN"/>
        </w:rPr>
        <w:t>: 553-562 [PMID: 8116041]</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 xml:space="preserve">29 </w:t>
      </w:r>
      <w:r w:rsidRPr="00DF743A">
        <w:rPr>
          <w:rFonts w:ascii="Book Antiqua" w:hAnsi="Book Antiqua" w:cs="Arial"/>
          <w:b/>
          <w:noProof/>
          <w:lang w:val="en-GB"/>
        </w:rPr>
        <w:t>Jackson AM</w:t>
      </w:r>
      <w:r w:rsidRPr="00A77A01">
        <w:rPr>
          <w:rFonts w:ascii="Book Antiqua" w:hAnsi="Book Antiqua" w:cs="Arial"/>
          <w:noProof/>
          <w:lang w:val="en-GB"/>
        </w:rPr>
        <w:t>, Kraus ES, Orandi BJ, Segev DL, Montgomery RA</w:t>
      </w:r>
      <w:r>
        <w:rPr>
          <w:rFonts w:ascii="Book Antiqua" w:hAnsi="Book Antiqua" w:cs="Arial"/>
          <w:noProof/>
          <w:lang w:val="en-GB"/>
        </w:rPr>
        <w:t>, Zachary A</w:t>
      </w:r>
      <w:r w:rsidRPr="00A77A01">
        <w:rPr>
          <w:rFonts w:ascii="Book Antiqua" w:hAnsi="Book Antiqua" w:cs="Arial"/>
          <w:noProof/>
          <w:lang w:val="en-GB"/>
        </w:rPr>
        <w:t>A.</w:t>
      </w:r>
      <w:r w:rsidRPr="00DF743A">
        <w:rPr>
          <w:rFonts w:ascii="Book Antiqua" w:eastAsia="宋体" w:hAnsi="Book Antiqua" w:cs="宋体"/>
          <w:color w:val="000000"/>
          <w:lang w:val="en-US" w:eastAsia="zh-CN"/>
        </w:rPr>
        <w:t xml:space="preserve"> A closer look at rituximab induction on HLA antibody rebound following HLA-incompatible kidney transplantation. </w:t>
      </w:r>
      <w:r w:rsidRPr="00DF743A">
        <w:rPr>
          <w:rFonts w:ascii="Book Antiqua" w:eastAsia="宋体" w:hAnsi="Book Antiqua" w:cs="宋体"/>
          <w:i/>
          <w:iCs/>
          <w:color w:val="000000"/>
          <w:lang w:val="en-US" w:eastAsia="zh-CN"/>
        </w:rPr>
        <w:t>Kidney Int</w:t>
      </w:r>
      <w:r w:rsidRPr="00DF743A">
        <w:rPr>
          <w:rFonts w:ascii="Book Antiqua" w:eastAsia="宋体" w:hAnsi="Book Antiqua" w:cs="宋体"/>
          <w:color w:val="000000"/>
          <w:lang w:val="en-US" w:eastAsia="zh-CN"/>
        </w:rPr>
        <w:t> </w:t>
      </w:r>
      <w:r>
        <w:rPr>
          <w:rFonts w:ascii="Book Antiqua" w:eastAsia="宋体" w:hAnsi="Book Antiqua" w:cs="宋体"/>
          <w:color w:val="000000"/>
          <w:lang w:val="en-US" w:eastAsia="zh-CN"/>
        </w:rPr>
        <w:t>2014</w:t>
      </w:r>
      <w:r w:rsidRPr="00DF743A">
        <w:rPr>
          <w:rFonts w:ascii="Book Antiqua" w:eastAsia="宋体" w:hAnsi="Book Antiqua" w:cs="宋体"/>
          <w:color w:val="000000"/>
          <w:lang w:val="en-US" w:eastAsia="zh-CN"/>
        </w:rPr>
        <w:t xml:space="preserve"> [PMID: 25054778 DOI: 10.1038/ki.2014.261]</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30 </w:t>
      </w:r>
      <w:r w:rsidRPr="00DF743A">
        <w:rPr>
          <w:rFonts w:ascii="Book Antiqua" w:eastAsia="宋体" w:hAnsi="Book Antiqua" w:cs="宋体"/>
          <w:b/>
          <w:bCs/>
          <w:color w:val="000000"/>
          <w:lang w:val="en-US" w:eastAsia="zh-CN"/>
        </w:rPr>
        <w:t>Billing H</w:t>
      </w:r>
      <w:r w:rsidRPr="00DF743A">
        <w:rPr>
          <w:rFonts w:ascii="Book Antiqua" w:eastAsia="宋体" w:hAnsi="Book Antiqua" w:cs="宋体"/>
          <w:color w:val="000000"/>
          <w:lang w:val="en-US" w:eastAsia="zh-CN"/>
        </w:rPr>
        <w:t>, Rieger S, Ovens J, Süsal C, Melk A, Waldherr R, Opelz G, Tönshoff B. Successful treatment of chronic antibody-mediated rejection with IVIG and rituximab in pediatric renal transplant recipients. </w:t>
      </w:r>
      <w:r w:rsidRPr="00DF743A">
        <w:rPr>
          <w:rFonts w:ascii="Book Antiqua" w:eastAsia="宋体" w:hAnsi="Book Antiqua" w:cs="宋体"/>
          <w:i/>
          <w:iCs/>
          <w:color w:val="000000"/>
          <w:lang w:val="en-US" w:eastAsia="zh-CN"/>
        </w:rPr>
        <w:t>Transplantation</w:t>
      </w:r>
      <w:r w:rsidRPr="00DF743A">
        <w:rPr>
          <w:rFonts w:ascii="Book Antiqua" w:eastAsia="宋体" w:hAnsi="Book Antiqua" w:cs="宋体"/>
          <w:color w:val="000000"/>
          <w:lang w:val="en-US" w:eastAsia="zh-CN"/>
        </w:rPr>
        <w:t> 2008; </w:t>
      </w:r>
      <w:r w:rsidRPr="00DF743A">
        <w:rPr>
          <w:rFonts w:ascii="Book Antiqua" w:eastAsia="宋体" w:hAnsi="Book Antiqua" w:cs="宋体"/>
          <w:b/>
          <w:bCs/>
          <w:color w:val="000000"/>
          <w:lang w:val="en-US" w:eastAsia="zh-CN"/>
        </w:rPr>
        <w:t>86</w:t>
      </w:r>
      <w:r w:rsidRPr="00DF743A">
        <w:rPr>
          <w:rFonts w:ascii="Book Antiqua" w:eastAsia="宋体" w:hAnsi="Book Antiqua" w:cs="宋体"/>
          <w:color w:val="000000"/>
          <w:lang w:val="en-US" w:eastAsia="zh-CN"/>
        </w:rPr>
        <w:t>: 1214-1221 [PMID: 19005402 DOI: 10.1097/TP.0b013e3181880b35]</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31 </w:t>
      </w:r>
      <w:r w:rsidRPr="00DF743A">
        <w:rPr>
          <w:rFonts w:ascii="Book Antiqua" w:eastAsia="宋体" w:hAnsi="Book Antiqua" w:cs="宋体"/>
          <w:b/>
          <w:bCs/>
          <w:color w:val="000000"/>
          <w:lang w:val="en-US" w:eastAsia="zh-CN"/>
        </w:rPr>
        <w:t>Billing H</w:t>
      </w:r>
      <w:r w:rsidRPr="00DF743A">
        <w:rPr>
          <w:rFonts w:ascii="Book Antiqua" w:eastAsia="宋体" w:hAnsi="Book Antiqua" w:cs="宋体"/>
          <w:color w:val="000000"/>
          <w:lang w:val="en-US" w:eastAsia="zh-CN"/>
        </w:rPr>
        <w:t>, Rieger S, Süsal C, Waldherr R, Opelz G, Wühl E, Tönshoff B. IVIG and rituximab for treatment of chronic antibody-mediated rejection: a prospective study in paediatric renal transplantation with a 2-year follow-up. </w:t>
      </w:r>
      <w:r w:rsidRPr="00DF743A">
        <w:rPr>
          <w:rFonts w:ascii="Book Antiqua" w:eastAsia="宋体" w:hAnsi="Book Antiqua" w:cs="宋体"/>
          <w:i/>
          <w:iCs/>
          <w:color w:val="000000"/>
          <w:lang w:val="en-US" w:eastAsia="zh-CN"/>
        </w:rPr>
        <w:t>Transpl Int</w:t>
      </w:r>
      <w:r w:rsidRPr="00DF743A">
        <w:rPr>
          <w:rFonts w:ascii="Book Antiqua" w:eastAsia="宋体" w:hAnsi="Book Antiqua" w:cs="宋体"/>
          <w:color w:val="000000"/>
          <w:lang w:val="en-US" w:eastAsia="zh-CN"/>
        </w:rPr>
        <w:t> 2012; </w:t>
      </w:r>
      <w:r w:rsidRPr="00DF743A">
        <w:rPr>
          <w:rFonts w:ascii="Book Antiqua" w:eastAsia="宋体" w:hAnsi="Book Antiqua" w:cs="宋体"/>
          <w:b/>
          <w:bCs/>
          <w:color w:val="000000"/>
          <w:lang w:val="en-US" w:eastAsia="zh-CN"/>
        </w:rPr>
        <w:t>25</w:t>
      </w:r>
      <w:r w:rsidRPr="00DF743A">
        <w:rPr>
          <w:rFonts w:ascii="Book Antiqua" w:eastAsia="宋体" w:hAnsi="Book Antiqua" w:cs="宋体"/>
          <w:color w:val="000000"/>
          <w:lang w:val="en-US" w:eastAsia="zh-CN"/>
        </w:rPr>
        <w:t>: 1165-1173 [PMID: 22897111 DOI: 10.1111/j.1432-2277.2012.01544.x]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32 </w:t>
      </w:r>
      <w:r w:rsidRPr="00DF743A">
        <w:rPr>
          <w:rFonts w:ascii="Book Antiqua" w:eastAsia="宋体" w:hAnsi="Book Antiqua" w:cs="宋体"/>
          <w:b/>
          <w:bCs/>
          <w:color w:val="000000"/>
          <w:lang w:val="en-US" w:eastAsia="zh-CN"/>
        </w:rPr>
        <w:t>Wong H</w:t>
      </w:r>
      <w:r w:rsidRPr="00DF743A">
        <w:rPr>
          <w:rFonts w:ascii="Book Antiqua" w:eastAsia="宋体" w:hAnsi="Book Antiqua" w:cs="宋体"/>
          <w:color w:val="000000"/>
          <w:lang w:val="en-US" w:eastAsia="zh-CN"/>
        </w:rPr>
        <w:t>, Laberge R, Harvey E, Filler G. Preventing sensitization with mycophenolate mofetil in a pediatric kidney recipient.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2006; </w:t>
      </w:r>
      <w:r w:rsidRPr="00DF743A">
        <w:rPr>
          <w:rFonts w:ascii="Book Antiqua" w:eastAsia="宋体" w:hAnsi="Book Antiqua" w:cs="宋体"/>
          <w:b/>
          <w:bCs/>
          <w:color w:val="000000"/>
          <w:lang w:val="en-US" w:eastAsia="zh-CN"/>
        </w:rPr>
        <w:t>10</w:t>
      </w:r>
      <w:r w:rsidRPr="00DF743A">
        <w:rPr>
          <w:rFonts w:ascii="Book Antiqua" w:eastAsia="宋体" w:hAnsi="Book Antiqua" w:cs="宋体"/>
          <w:color w:val="000000"/>
          <w:lang w:val="en-US" w:eastAsia="zh-CN"/>
        </w:rPr>
        <w:t>: 367-370 [PMID: 16677363 DOI: 10.1111/j.1399-3046.2005.00469.x]</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33 </w:t>
      </w:r>
      <w:r w:rsidRPr="00DF743A">
        <w:rPr>
          <w:rFonts w:ascii="Book Antiqua" w:eastAsia="宋体" w:hAnsi="Book Antiqua" w:cs="宋体"/>
          <w:b/>
          <w:bCs/>
          <w:color w:val="000000"/>
          <w:lang w:val="en-US" w:eastAsia="zh-CN"/>
        </w:rPr>
        <w:t>Nguyen S</w:t>
      </w:r>
      <w:r w:rsidRPr="00DF743A">
        <w:rPr>
          <w:rFonts w:ascii="Book Antiqua" w:eastAsia="宋体" w:hAnsi="Book Antiqua" w:cs="宋体"/>
          <w:color w:val="000000"/>
          <w:lang w:val="en-US" w:eastAsia="zh-CN"/>
        </w:rPr>
        <w:t>, Gallay B, Butani L. Efficacy of bortezomib for reducing donor-specific antibodies in children and adolescents on a steroid minimization regimen. </w:t>
      </w:r>
      <w:r w:rsidRPr="00DF743A">
        <w:rPr>
          <w:rFonts w:ascii="Book Antiqua" w:eastAsia="宋体" w:hAnsi="Book Antiqua" w:cs="宋体"/>
          <w:i/>
          <w:iCs/>
          <w:color w:val="000000"/>
          <w:lang w:val="en-US" w:eastAsia="zh-CN"/>
        </w:rPr>
        <w:t>Pediatr Transplant</w:t>
      </w:r>
      <w:r w:rsidRPr="00DF743A">
        <w:rPr>
          <w:rFonts w:ascii="Book Antiqua" w:eastAsia="宋体" w:hAnsi="Book Antiqua" w:cs="宋体"/>
          <w:color w:val="000000"/>
          <w:lang w:val="en-US" w:eastAsia="zh-CN"/>
        </w:rPr>
        <w:t> 2014; </w:t>
      </w:r>
      <w:r w:rsidRPr="00DF743A">
        <w:rPr>
          <w:rFonts w:ascii="Book Antiqua" w:eastAsia="宋体" w:hAnsi="Book Antiqua" w:cs="宋体"/>
          <w:b/>
          <w:bCs/>
          <w:color w:val="000000"/>
          <w:lang w:val="en-US" w:eastAsia="zh-CN"/>
        </w:rPr>
        <w:t>18</w:t>
      </w:r>
      <w:r w:rsidRPr="00DF743A">
        <w:rPr>
          <w:rFonts w:ascii="Book Antiqua" w:eastAsia="宋体" w:hAnsi="Book Antiqua" w:cs="宋体"/>
          <w:color w:val="000000"/>
          <w:lang w:val="en-US" w:eastAsia="zh-CN"/>
        </w:rPr>
        <w:t>: 463-468 [PMID: 24814755 DOI: 10.1111/petr.12274]</w:t>
      </w:r>
    </w:p>
    <w:p w:rsidR="00DF743A" w:rsidRPr="00DF743A" w:rsidRDefault="00DF743A" w:rsidP="00DF743A">
      <w:pPr>
        <w:spacing w:line="360" w:lineRule="auto"/>
        <w:jc w:val="both"/>
        <w:rPr>
          <w:rFonts w:ascii="Book Antiqua" w:eastAsia="宋体" w:hAnsi="Book Antiqua" w:cs="宋体"/>
          <w:color w:val="000000"/>
          <w:lang w:val="en-US" w:eastAsia="zh-CN"/>
        </w:rPr>
      </w:pPr>
      <w:r w:rsidRPr="00DF743A">
        <w:rPr>
          <w:rFonts w:ascii="Book Antiqua" w:eastAsia="宋体" w:hAnsi="Book Antiqua" w:cs="宋体"/>
          <w:color w:val="000000"/>
          <w:lang w:val="en-US" w:eastAsia="zh-CN"/>
        </w:rPr>
        <w:t xml:space="preserve">34 </w:t>
      </w:r>
      <w:r w:rsidRPr="00DF743A">
        <w:rPr>
          <w:rFonts w:ascii="Book Antiqua" w:hAnsi="Book Antiqua" w:cs="Arial"/>
          <w:b/>
          <w:noProof/>
          <w:lang w:val="en-GB"/>
        </w:rPr>
        <w:t xml:space="preserve">Kim S, </w:t>
      </w:r>
      <w:r w:rsidRPr="00A77A01">
        <w:rPr>
          <w:rFonts w:ascii="Book Antiqua" w:hAnsi="Book Antiqua" w:cs="Arial"/>
          <w:noProof/>
          <w:lang w:val="en-GB"/>
        </w:rPr>
        <w:t>Webster AC, Craig JC.</w:t>
      </w:r>
      <w:r w:rsidRPr="00DF743A">
        <w:rPr>
          <w:rFonts w:ascii="Book Antiqua" w:eastAsia="宋体" w:hAnsi="Book Antiqua" w:cs="宋体"/>
          <w:color w:val="000000"/>
          <w:lang w:val="en-US" w:eastAsia="zh-CN"/>
        </w:rPr>
        <w:t xml:space="preserve"> </w:t>
      </w:r>
      <w:proofErr w:type="gramStart"/>
      <w:r w:rsidRPr="00DF743A">
        <w:rPr>
          <w:rFonts w:ascii="Book Antiqua" w:eastAsia="宋体" w:hAnsi="Book Antiqua" w:cs="宋体"/>
          <w:color w:val="000000"/>
          <w:lang w:val="en-US" w:eastAsia="zh-CN"/>
        </w:rPr>
        <w:t>Current trends in immunosuppression following organ transplantation in children.</w:t>
      </w:r>
      <w:proofErr w:type="gramEnd"/>
      <w:r w:rsidRPr="00DF743A">
        <w:rPr>
          <w:rFonts w:ascii="Book Antiqua" w:eastAsia="宋体" w:hAnsi="Book Antiqua" w:cs="宋体"/>
          <w:color w:val="000000"/>
          <w:lang w:val="en-US" w:eastAsia="zh-CN"/>
        </w:rPr>
        <w:t> </w:t>
      </w:r>
      <w:r w:rsidRPr="00DF743A">
        <w:rPr>
          <w:rFonts w:ascii="Book Antiqua" w:eastAsia="宋体" w:hAnsi="Book Antiqua" w:cs="宋体"/>
          <w:i/>
          <w:iCs/>
          <w:color w:val="000000"/>
          <w:lang w:val="en-US" w:eastAsia="zh-CN"/>
        </w:rPr>
        <w:t>Curr Opin Organ Transplant</w:t>
      </w:r>
      <w:r w:rsidRPr="00DF743A">
        <w:rPr>
          <w:rFonts w:ascii="Book Antiqua" w:eastAsia="宋体" w:hAnsi="Book Antiqua" w:cs="宋体"/>
          <w:color w:val="000000"/>
          <w:lang w:val="en-US" w:eastAsia="zh-CN"/>
        </w:rPr>
        <w:t> </w:t>
      </w:r>
      <w:r>
        <w:rPr>
          <w:rFonts w:ascii="Book Antiqua" w:eastAsia="宋体" w:hAnsi="Book Antiqua" w:cs="宋体"/>
          <w:color w:val="000000"/>
          <w:lang w:val="en-US" w:eastAsia="zh-CN"/>
        </w:rPr>
        <w:t>2013</w:t>
      </w:r>
      <w:r w:rsidRPr="00DF743A">
        <w:rPr>
          <w:rFonts w:ascii="Book Antiqua" w:eastAsia="宋体" w:hAnsi="Book Antiqua" w:cs="宋体"/>
          <w:color w:val="000000"/>
          <w:lang w:val="en-US" w:eastAsia="zh-CN"/>
        </w:rPr>
        <w:t xml:space="preserve"> [PMID: 23995377 DOI: 10.1097/MOT.0b013e3283651b35]</w:t>
      </w:r>
    </w:p>
    <w:p w:rsidR="0083554E" w:rsidRPr="00DF743A" w:rsidRDefault="0083554E" w:rsidP="00DF743A">
      <w:pPr>
        <w:spacing w:line="360" w:lineRule="auto"/>
        <w:jc w:val="both"/>
        <w:rPr>
          <w:rFonts w:ascii="Book Antiqua" w:eastAsiaTheme="minorEastAsia" w:hAnsi="Book Antiqua" w:cs="Arial"/>
          <w:lang w:val="en-US" w:eastAsia="zh-CN"/>
        </w:rPr>
      </w:pPr>
    </w:p>
    <w:p w:rsidR="00036F18" w:rsidRPr="00DF743A" w:rsidRDefault="00036F18" w:rsidP="00DF743A">
      <w:pPr>
        <w:pStyle w:val="PlainText"/>
        <w:spacing w:line="360" w:lineRule="auto"/>
        <w:jc w:val="right"/>
        <w:rPr>
          <w:rFonts w:ascii="Book Antiqua" w:hAnsi="Book Antiqua"/>
          <w:b/>
          <w:sz w:val="24"/>
          <w:szCs w:val="24"/>
        </w:rPr>
      </w:pPr>
      <w:r w:rsidRPr="00DF743A">
        <w:rPr>
          <w:rFonts w:ascii="Book Antiqua" w:hAnsi="Book Antiqua"/>
          <w:b/>
          <w:sz w:val="24"/>
          <w:szCs w:val="24"/>
        </w:rPr>
        <w:t xml:space="preserve">P-Reviewer: </w:t>
      </w:r>
      <w:r w:rsidRPr="00DF743A">
        <w:rPr>
          <w:rFonts w:ascii="Book Antiqua" w:hAnsi="Book Antiqua" w:cs="Tahoma"/>
          <w:color w:val="000000"/>
          <w:sz w:val="24"/>
          <w:szCs w:val="24"/>
        </w:rPr>
        <w:t>Garcia-Roca R, Trimarchi H</w:t>
      </w:r>
      <w:r w:rsidRPr="00DF743A">
        <w:rPr>
          <w:rFonts w:ascii="Book Antiqua" w:hAnsi="Book Antiqua"/>
          <w:b/>
          <w:sz w:val="24"/>
          <w:szCs w:val="24"/>
        </w:rPr>
        <w:t xml:space="preserve"> S-Editor: </w:t>
      </w:r>
      <w:r w:rsidRPr="00DF743A">
        <w:rPr>
          <w:rFonts w:ascii="Book Antiqua" w:hAnsi="Book Antiqua"/>
          <w:sz w:val="24"/>
          <w:szCs w:val="24"/>
        </w:rPr>
        <w:t>Ji FF</w:t>
      </w:r>
      <w:r w:rsidRPr="00DF743A">
        <w:rPr>
          <w:rFonts w:ascii="Book Antiqua" w:hAnsi="Book Antiqua"/>
          <w:b/>
          <w:sz w:val="24"/>
          <w:szCs w:val="24"/>
        </w:rPr>
        <w:t xml:space="preserve"> L-Editor: E-Editor:</w:t>
      </w:r>
    </w:p>
    <w:p w:rsidR="00036F18" w:rsidRPr="00036F18" w:rsidRDefault="00036F18" w:rsidP="00B871E1">
      <w:pPr>
        <w:spacing w:line="360" w:lineRule="auto"/>
        <w:jc w:val="both"/>
        <w:rPr>
          <w:rFonts w:ascii="Book Antiqua" w:eastAsiaTheme="minorEastAsia" w:hAnsi="Book Antiqua" w:cs="Arial"/>
          <w:lang w:val="en-US" w:eastAsia="zh-CN"/>
        </w:rPr>
      </w:pPr>
    </w:p>
    <w:sectPr w:rsidR="00036F18" w:rsidRPr="00036F18" w:rsidSect="00097F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1C" w:rsidRDefault="0091501C" w:rsidP="00A77A01">
      <w:r>
        <w:separator/>
      </w:r>
    </w:p>
  </w:endnote>
  <w:endnote w:type="continuationSeparator" w:id="0">
    <w:p w:rsidR="0091501C" w:rsidRDefault="0091501C" w:rsidP="00A7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1C" w:rsidRDefault="0091501C" w:rsidP="00A77A01">
      <w:r>
        <w:separator/>
      </w:r>
    </w:p>
  </w:footnote>
  <w:footnote w:type="continuationSeparator" w:id="0">
    <w:p w:rsidR="0091501C" w:rsidRDefault="0091501C" w:rsidP="00A7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51"/>
    <w:rsid w:val="0001249D"/>
    <w:rsid w:val="00036F18"/>
    <w:rsid w:val="00087C6D"/>
    <w:rsid w:val="00097F05"/>
    <w:rsid w:val="000B59B5"/>
    <w:rsid w:val="000F7098"/>
    <w:rsid w:val="000F72D0"/>
    <w:rsid w:val="00105B23"/>
    <w:rsid w:val="0012136D"/>
    <w:rsid w:val="00150094"/>
    <w:rsid w:val="001607A3"/>
    <w:rsid w:val="00191DEE"/>
    <w:rsid w:val="001D06A6"/>
    <w:rsid w:val="001D2058"/>
    <w:rsid w:val="00211842"/>
    <w:rsid w:val="00212AAE"/>
    <w:rsid w:val="00216B75"/>
    <w:rsid w:val="00226CD8"/>
    <w:rsid w:val="002312A2"/>
    <w:rsid w:val="00232E8B"/>
    <w:rsid w:val="00270AE6"/>
    <w:rsid w:val="00271F7C"/>
    <w:rsid w:val="00293109"/>
    <w:rsid w:val="002973B9"/>
    <w:rsid w:val="002F334B"/>
    <w:rsid w:val="002F6660"/>
    <w:rsid w:val="00312B27"/>
    <w:rsid w:val="00351472"/>
    <w:rsid w:val="003632EA"/>
    <w:rsid w:val="00385B9E"/>
    <w:rsid w:val="003A4D3D"/>
    <w:rsid w:val="003B03A1"/>
    <w:rsid w:val="003D4299"/>
    <w:rsid w:val="003F5D89"/>
    <w:rsid w:val="004411B9"/>
    <w:rsid w:val="0044619B"/>
    <w:rsid w:val="00497B1D"/>
    <w:rsid w:val="004B5A90"/>
    <w:rsid w:val="004D52F1"/>
    <w:rsid w:val="005106CF"/>
    <w:rsid w:val="00576052"/>
    <w:rsid w:val="005A6958"/>
    <w:rsid w:val="00602711"/>
    <w:rsid w:val="00615A29"/>
    <w:rsid w:val="006553FB"/>
    <w:rsid w:val="006E4849"/>
    <w:rsid w:val="0074127D"/>
    <w:rsid w:val="00764A51"/>
    <w:rsid w:val="00772724"/>
    <w:rsid w:val="0077658C"/>
    <w:rsid w:val="0078318D"/>
    <w:rsid w:val="007A4519"/>
    <w:rsid w:val="007B5B12"/>
    <w:rsid w:val="007F4348"/>
    <w:rsid w:val="0083554E"/>
    <w:rsid w:val="00843615"/>
    <w:rsid w:val="008733AB"/>
    <w:rsid w:val="00891B5D"/>
    <w:rsid w:val="008960C7"/>
    <w:rsid w:val="008D5032"/>
    <w:rsid w:val="008E002B"/>
    <w:rsid w:val="008E71AF"/>
    <w:rsid w:val="00904AEF"/>
    <w:rsid w:val="0090791C"/>
    <w:rsid w:val="0091501C"/>
    <w:rsid w:val="0092757D"/>
    <w:rsid w:val="00A26DFE"/>
    <w:rsid w:val="00A36771"/>
    <w:rsid w:val="00A4770B"/>
    <w:rsid w:val="00A568AE"/>
    <w:rsid w:val="00A77A01"/>
    <w:rsid w:val="00AC4D1A"/>
    <w:rsid w:val="00AC527C"/>
    <w:rsid w:val="00B227AA"/>
    <w:rsid w:val="00B346A2"/>
    <w:rsid w:val="00B47674"/>
    <w:rsid w:val="00B871E1"/>
    <w:rsid w:val="00BD3BD0"/>
    <w:rsid w:val="00C03CC7"/>
    <w:rsid w:val="00C17297"/>
    <w:rsid w:val="00C37380"/>
    <w:rsid w:val="00C51041"/>
    <w:rsid w:val="00C6210A"/>
    <w:rsid w:val="00CC4F6F"/>
    <w:rsid w:val="00CF141D"/>
    <w:rsid w:val="00CF2E05"/>
    <w:rsid w:val="00D029D2"/>
    <w:rsid w:val="00D33DA7"/>
    <w:rsid w:val="00D41FFB"/>
    <w:rsid w:val="00D761CE"/>
    <w:rsid w:val="00DA3C8A"/>
    <w:rsid w:val="00DC7D5C"/>
    <w:rsid w:val="00DD4D87"/>
    <w:rsid w:val="00DF743A"/>
    <w:rsid w:val="00E21D0D"/>
    <w:rsid w:val="00E51074"/>
    <w:rsid w:val="00E71E8C"/>
    <w:rsid w:val="00E7235B"/>
    <w:rsid w:val="00EA68ED"/>
    <w:rsid w:val="00ED312C"/>
    <w:rsid w:val="00EF192B"/>
    <w:rsid w:val="00F055E8"/>
    <w:rsid w:val="00F14A3C"/>
    <w:rsid w:val="00F54A93"/>
    <w:rsid w:val="00FA39A5"/>
    <w:rsid w:val="00FB6601"/>
    <w:rsid w:val="00FE27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5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4A51"/>
    <w:pPr>
      <w:spacing w:before="100" w:beforeAutospacing="1" w:after="100" w:afterAutospacing="1"/>
    </w:pPr>
  </w:style>
  <w:style w:type="character" w:styleId="Hyperlink">
    <w:name w:val="Hyperlink"/>
    <w:basedOn w:val="DefaultParagraphFont"/>
    <w:rsid w:val="00764A51"/>
    <w:rPr>
      <w:rFonts w:cs="Times New Roman"/>
      <w:color w:val="0000FF"/>
      <w:u w:val="single"/>
    </w:rPr>
  </w:style>
  <w:style w:type="character" w:customStyle="1" w:styleId="apple-converted-space">
    <w:name w:val="apple-converted-space"/>
    <w:basedOn w:val="DefaultParagraphFont"/>
    <w:rsid w:val="00764A51"/>
    <w:rPr>
      <w:rFonts w:cs="Times New Roman"/>
    </w:rPr>
  </w:style>
  <w:style w:type="paragraph" w:customStyle="1" w:styleId="content">
    <w:name w:val="content"/>
    <w:basedOn w:val="Normal"/>
    <w:rsid w:val="00764A51"/>
    <w:pPr>
      <w:spacing w:before="100" w:beforeAutospacing="1" w:after="100" w:afterAutospacing="1"/>
    </w:pPr>
  </w:style>
  <w:style w:type="paragraph" w:customStyle="1" w:styleId="1">
    <w:name w:val="标题1"/>
    <w:basedOn w:val="Normal"/>
    <w:rsid w:val="00764A51"/>
    <w:pPr>
      <w:spacing w:before="100" w:beforeAutospacing="1" w:after="100" w:afterAutospacing="1"/>
    </w:pPr>
    <w:rPr>
      <w:lang w:eastAsia="it-IT"/>
    </w:rPr>
  </w:style>
  <w:style w:type="paragraph" w:customStyle="1" w:styleId="desc">
    <w:name w:val="desc"/>
    <w:basedOn w:val="Normal"/>
    <w:rsid w:val="00764A51"/>
    <w:pPr>
      <w:spacing w:before="100" w:beforeAutospacing="1" w:after="100" w:afterAutospacing="1"/>
    </w:pPr>
    <w:rPr>
      <w:lang w:eastAsia="it-IT"/>
    </w:rPr>
  </w:style>
  <w:style w:type="paragraph" w:customStyle="1" w:styleId="details">
    <w:name w:val="details"/>
    <w:basedOn w:val="Normal"/>
    <w:rsid w:val="00764A51"/>
    <w:pPr>
      <w:spacing w:before="100" w:beforeAutospacing="1" w:after="100" w:afterAutospacing="1"/>
    </w:pPr>
    <w:rPr>
      <w:lang w:eastAsia="it-IT"/>
    </w:rPr>
  </w:style>
  <w:style w:type="character" w:customStyle="1" w:styleId="jrnl">
    <w:name w:val="jrnl"/>
    <w:basedOn w:val="DefaultParagraphFont"/>
    <w:rsid w:val="00764A51"/>
    <w:rPr>
      <w:rFonts w:cs="Times New Roman"/>
    </w:rPr>
  </w:style>
  <w:style w:type="paragraph" w:styleId="BalloonText">
    <w:name w:val="Balloon Text"/>
    <w:basedOn w:val="Normal"/>
    <w:link w:val="BalloonTextChar"/>
    <w:uiPriority w:val="99"/>
    <w:semiHidden/>
    <w:unhideWhenUsed/>
    <w:rsid w:val="003632EA"/>
    <w:rPr>
      <w:rFonts w:ascii="Tahoma" w:hAnsi="Tahoma" w:cs="Tahoma"/>
      <w:sz w:val="16"/>
      <w:szCs w:val="16"/>
    </w:rPr>
  </w:style>
  <w:style w:type="character" w:customStyle="1" w:styleId="BalloonTextChar">
    <w:name w:val="Balloon Text Char"/>
    <w:basedOn w:val="DefaultParagraphFont"/>
    <w:link w:val="BalloonText"/>
    <w:uiPriority w:val="99"/>
    <w:semiHidden/>
    <w:rsid w:val="003632EA"/>
    <w:rPr>
      <w:rFonts w:ascii="Tahoma" w:hAnsi="Tahoma" w:cs="Tahoma"/>
      <w:sz w:val="16"/>
      <w:szCs w:val="16"/>
      <w:lang w:eastAsia="ja-JP"/>
    </w:rPr>
  </w:style>
  <w:style w:type="paragraph" w:styleId="Revision">
    <w:name w:val="Revision"/>
    <w:hidden/>
    <w:uiPriority w:val="99"/>
    <w:semiHidden/>
    <w:rsid w:val="003632EA"/>
    <w:rPr>
      <w:sz w:val="24"/>
      <w:szCs w:val="24"/>
      <w:lang w:eastAsia="ja-JP"/>
    </w:rPr>
  </w:style>
  <w:style w:type="paragraph" w:styleId="Header">
    <w:name w:val="header"/>
    <w:basedOn w:val="Normal"/>
    <w:link w:val="HeaderChar"/>
    <w:uiPriority w:val="99"/>
    <w:unhideWhenUsed/>
    <w:rsid w:val="00A77A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A01"/>
    <w:rPr>
      <w:sz w:val="18"/>
      <w:szCs w:val="18"/>
      <w:lang w:eastAsia="ja-JP"/>
    </w:rPr>
  </w:style>
  <w:style w:type="paragraph" w:styleId="Footer">
    <w:name w:val="footer"/>
    <w:basedOn w:val="Normal"/>
    <w:link w:val="FooterChar"/>
    <w:uiPriority w:val="99"/>
    <w:unhideWhenUsed/>
    <w:rsid w:val="00A77A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7A01"/>
    <w:rPr>
      <w:sz w:val="18"/>
      <w:szCs w:val="18"/>
      <w:lang w:eastAsia="ja-JP"/>
    </w:rPr>
  </w:style>
  <w:style w:type="character" w:styleId="CommentReference">
    <w:name w:val="annotation reference"/>
    <w:basedOn w:val="DefaultParagraphFont"/>
    <w:uiPriority w:val="99"/>
    <w:semiHidden/>
    <w:unhideWhenUsed/>
    <w:rsid w:val="007F4348"/>
    <w:rPr>
      <w:sz w:val="21"/>
      <w:szCs w:val="21"/>
    </w:rPr>
  </w:style>
  <w:style w:type="paragraph" w:styleId="CommentText">
    <w:name w:val="annotation text"/>
    <w:basedOn w:val="Normal"/>
    <w:link w:val="CommentTextChar"/>
    <w:uiPriority w:val="99"/>
    <w:semiHidden/>
    <w:unhideWhenUsed/>
    <w:rsid w:val="007F4348"/>
  </w:style>
  <w:style w:type="character" w:customStyle="1" w:styleId="CommentTextChar">
    <w:name w:val="Comment Text Char"/>
    <w:basedOn w:val="DefaultParagraphFont"/>
    <w:link w:val="CommentText"/>
    <w:uiPriority w:val="99"/>
    <w:semiHidden/>
    <w:rsid w:val="007F4348"/>
    <w:rPr>
      <w:sz w:val="24"/>
      <w:szCs w:val="24"/>
      <w:lang w:eastAsia="ja-JP"/>
    </w:rPr>
  </w:style>
  <w:style w:type="paragraph" w:styleId="CommentSubject">
    <w:name w:val="annotation subject"/>
    <w:basedOn w:val="CommentText"/>
    <w:next w:val="CommentText"/>
    <w:link w:val="CommentSubjectChar"/>
    <w:uiPriority w:val="99"/>
    <w:semiHidden/>
    <w:unhideWhenUsed/>
    <w:rsid w:val="007F4348"/>
    <w:rPr>
      <w:b/>
      <w:bCs/>
    </w:rPr>
  </w:style>
  <w:style w:type="character" w:customStyle="1" w:styleId="CommentSubjectChar">
    <w:name w:val="Comment Subject Char"/>
    <w:basedOn w:val="CommentTextChar"/>
    <w:link w:val="CommentSubject"/>
    <w:uiPriority w:val="99"/>
    <w:semiHidden/>
    <w:rsid w:val="007F4348"/>
    <w:rPr>
      <w:b/>
      <w:bCs/>
      <w:sz w:val="24"/>
      <w:szCs w:val="24"/>
      <w:lang w:eastAsia="ja-JP"/>
    </w:rPr>
  </w:style>
  <w:style w:type="paragraph" w:styleId="PlainText">
    <w:name w:val="Plain Text"/>
    <w:basedOn w:val="Normal"/>
    <w:link w:val="PlainTextChar"/>
    <w:rsid w:val="00036F1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36F18"/>
    <w:rPr>
      <w:rFonts w:ascii="宋体" w:eastAsia="宋体" w:hAnsi="Courier New" w:cs="Courier New"/>
      <w:kern w:val="2"/>
      <w:sz w:val="21"/>
      <w:szCs w:val="21"/>
      <w:lang w:val="en-US" w:eastAsia="zh-CN"/>
    </w:rPr>
  </w:style>
  <w:style w:type="character" w:styleId="Emphasis">
    <w:name w:val="Emphasis"/>
    <w:qFormat/>
    <w:rsid w:val="001D205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5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4A51"/>
    <w:pPr>
      <w:spacing w:before="100" w:beforeAutospacing="1" w:after="100" w:afterAutospacing="1"/>
    </w:pPr>
  </w:style>
  <w:style w:type="character" w:styleId="Hyperlink">
    <w:name w:val="Hyperlink"/>
    <w:basedOn w:val="DefaultParagraphFont"/>
    <w:rsid w:val="00764A51"/>
    <w:rPr>
      <w:rFonts w:cs="Times New Roman"/>
      <w:color w:val="0000FF"/>
      <w:u w:val="single"/>
    </w:rPr>
  </w:style>
  <w:style w:type="character" w:customStyle="1" w:styleId="apple-converted-space">
    <w:name w:val="apple-converted-space"/>
    <w:basedOn w:val="DefaultParagraphFont"/>
    <w:rsid w:val="00764A51"/>
    <w:rPr>
      <w:rFonts w:cs="Times New Roman"/>
    </w:rPr>
  </w:style>
  <w:style w:type="paragraph" w:customStyle="1" w:styleId="content">
    <w:name w:val="content"/>
    <w:basedOn w:val="Normal"/>
    <w:rsid w:val="00764A51"/>
    <w:pPr>
      <w:spacing w:before="100" w:beforeAutospacing="1" w:after="100" w:afterAutospacing="1"/>
    </w:pPr>
  </w:style>
  <w:style w:type="paragraph" w:customStyle="1" w:styleId="1">
    <w:name w:val="标题1"/>
    <w:basedOn w:val="Normal"/>
    <w:rsid w:val="00764A51"/>
    <w:pPr>
      <w:spacing w:before="100" w:beforeAutospacing="1" w:after="100" w:afterAutospacing="1"/>
    </w:pPr>
    <w:rPr>
      <w:lang w:eastAsia="it-IT"/>
    </w:rPr>
  </w:style>
  <w:style w:type="paragraph" w:customStyle="1" w:styleId="desc">
    <w:name w:val="desc"/>
    <w:basedOn w:val="Normal"/>
    <w:rsid w:val="00764A51"/>
    <w:pPr>
      <w:spacing w:before="100" w:beforeAutospacing="1" w:after="100" w:afterAutospacing="1"/>
    </w:pPr>
    <w:rPr>
      <w:lang w:eastAsia="it-IT"/>
    </w:rPr>
  </w:style>
  <w:style w:type="paragraph" w:customStyle="1" w:styleId="details">
    <w:name w:val="details"/>
    <w:basedOn w:val="Normal"/>
    <w:rsid w:val="00764A51"/>
    <w:pPr>
      <w:spacing w:before="100" w:beforeAutospacing="1" w:after="100" w:afterAutospacing="1"/>
    </w:pPr>
    <w:rPr>
      <w:lang w:eastAsia="it-IT"/>
    </w:rPr>
  </w:style>
  <w:style w:type="character" w:customStyle="1" w:styleId="jrnl">
    <w:name w:val="jrnl"/>
    <w:basedOn w:val="DefaultParagraphFont"/>
    <w:rsid w:val="00764A51"/>
    <w:rPr>
      <w:rFonts w:cs="Times New Roman"/>
    </w:rPr>
  </w:style>
  <w:style w:type="paragraph" w:styleId="BalloonText">
    <w:name w:val="Balloon Text"/>
    <w:basedOn w:val="Normal"/>
    <w:link w:val="BalloonTextChar"/>
    <w:uiPriority w:val="99"/>
    <w:semiHidden/>
    <w:unhideWhenUsed/>
    <w:rsid w:val="003632EA"/>
    <w:rPr>
      <w:rFonts w:ascii="Tahoma" w:hAnsi="Tahoma" w:cs="Tahoma"/>
      <w:sz w:val="16"/>
      <w:szCs w:val="16"/>
    </w:rPr>
  </w:style>
  <w:style w:type="character" w:customStyle="1" w:styleId="BalloonTextChar">
    <w:name w:val="Balloon Text Char"/>
    <w:basedOn w:val="DefaultParagraphFont"/>
    <w:link w:val="BalloonText"/>
    <w:uiPriority w:val="99"/>
    <w:semiHidden/>
    <w:rsid w:val="003632EA"/>
    <w:rPr>
      <w:rFonts w:ascii="Tahoma" w:hAnsi="Tahoma" w:cs="Tahoma"/>
      <w:sz w:val="16"/>
      <w:szCs w:val="16"/>
      <w:lang w:eastAsia="ja-JP"/>
    </w:rPr>
  </w:style>
  <w:style w:type="paragraph" w:styleId="Revision">
    <w:name w:val="Revision"/>
    <w:hidden/>
    <w:uiPriority w:val="99"/>
    <w:semiHidden/>
    <w:rsid w:val="003632EA"/>
    <w:rPr>
      <w:sz w:val="24"/>
      <w:szCs w:val="24"/>
      <w:lang w:eastAsia="ja-JP"/>
    </w:rPr>
  </w:style>
  <w:style w:type="paragraph" w:styleId="Header">
    <w:name w:val="header"/>
    <w:basedOn w:val="Normal"/>
    <w:link w:val="HeaderChar"/>
    <w:uiPriority w:val="99"/>
    <w:unhideWhenUsed/>
    <w:rsid w:val="00A77A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A01"/>
    <w:rPr>
      <w:sz w:val="18"/>
      <w:szCs w:val="18"/>
      <w:lang w:eastAsia="ja-JP"/>
    </w:rPr>
  </w:style>
  <w:style w:type="paragraph" w:styleId="Footer">
    <w:name w:val="footer"/>
    <w:basedOn w:val="Normal"/>
    <w:link w:val="FooterChar"/>
    <w:uiPriority w:val="99"/>
    <w:unhideWhenUsed/>
    <w:rsid w:val="00A77A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7A01"/>
    <w:rPr>
      <w:sz w:val="18"/>
      <w:szCs w:val="18"/>
      <w:lang w:eastAsia="ja-JP"/>
    </w:rPr>
  </w:style>
  <w:style w:type="character" w:styleId="CommentReference">
    <w:name w:val="annotation reference"/>
    <w:basedOn w:val="DefaultParagraphFont"/>
    <w:uiPriority w:val="99"/>
    <w:semiHidden/>
    <w:unhideWhenUsed/>
    <w:rsid w:val="007F4348"/>
    <w:rPr>
      <w:sz w:val="21"/>
      <w:szCs w:val="21"/>
    </w:rPr>
  </w:style>
  <w:style w:type="paragraph" w:styleId="CommentText">
    <w:name w:val="annotation text"/>
    <w:basedOn w:val="Normal"/>
    <w:link w:val="CommentTextChar"/>
    <w:uiPriority w:val="99"/>
    <w:semiHidden/>
    <w:unhideWhenUsed/>
    <w:rsid w:val="007F4348"/>
  </w:style>
  <w:style w:type="character" w:customStyle="1" w:styleId="CommentTextChar">
    <w:name w:val="Comment Text Char"/>
    <w:basedOn w:val="DefaultParagraphFont"/>
    <w:link w:val="CommentText"/>
    <w:uiPriority w:val="99"/>
    <w:semiHidden/>
    <w:rsid w:val="007F4348"/>
    <w:rPr>
      <w:sz w:val="24"/>
      <w:szCs w:val="24"/>
      <w:lang w:eastAsia="ja-JP"/>
    </w:rPr>
  </w:style>
  <w:style w:type="paragraph" w:styleId="CommentSubject">
    <w:name w:val="annotation subject"/>
    <w:basedOn w:val="CommentText"/>
    <w:next w:val="CommentText"/>
    <w:link w:val="CommentSubjectChar"/>
    <w:uiPriority w:val="99"/>
    <w:semiHidden/>
    <w:unhideWhenUsed/>
    <w:rsid w:val="007F4348"/>
    <w:rPr>
      <w:b/>
      <w:bCs/>
    </w:rPr>
  </w:style>
  <w:style w:type="character" w:customStyle="1" w:styleId="CommentSubjectChar">
    <w:name w:val="Comment Subject Char"/>
    <w:basedOn w:val="CommentTextChar"/>
    <w:link w:val="CommentSubject"/>
    <w:uiPriority w:val="99"/>
    <w:semiHidden/>
    <w:rsid w:val="007F4348"/>
    <w:rPr>
      <w:b/>
      <w:bCs/>
      <w:sz w:val="24"/>
      <w:szCs w:val="24"/>
      <w:lang w:eastAsia="ja-JP"/>
    </w:rPr>
  </w:style>
  <w:style w:type="paragraph" w:styleId="PlainText">
    <w:name w:val="Plain Text"/>
    <w:basedOn w:val="Normal"/>
    <w:link w:val="PlainTextChar"/>
    <w:rsid w:val="00036F1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36F18"/>
    <w:rPr>
      <w:rFonts w:ascii="宋体" w:eastAsia="宋体" w:hAnsi="Courier New" w:cs="Courier New"/>
      <w:kern w:val="2"/>
      <w:sz w:val="21"/>
      <w:szCs w:val="21"/>
      <w:lang w:val="en-US" w:eastAsia="zh-CN"/>
    </w:rPr>
  </w:style>
  <w:style w:type="character" w:styleId="Emphasis">
    <w:name w:val="Emphasis"/>
    <w:qFormat/>
    <w:rsid w:val="001D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48221">
      <w:bodyDiv w:val="1"/>
      <w:marLeft w:val="0"/>
      <w:marRight w:val="0"/>
      <w:marTop w:val="0"/>
      <w:marBottom w:val="0"/>
      <w:divBdr>
        <w:top w:val="none" w:sz="0" w:space="0" w:color="auto"/>
        <w:left w:val="none" w:sz="0" w:space="0" w:color="auto"/>
        <w:bottom w:val="none" w:sz="0" w:space="0" w:color="auto"/>
        <w:right w:val="none" w:sz="0" w:space="0" w:color="auto"/>
      </w:divBdr>
      <w:divsChild>
        <w:div w:id="248005266">
          <w:marLeft w:val="0"/>
          <w:marRight w:val="0"/>
          <w:marTop w:val="0"/>
          <w:marBottom w:val="0"/>
          <w:divBdr>
            <w:top w:val="none" w:sz="0" w:space="0" w:color="auto"/>
            <w:left w:val="none" w:sz="0" w:space="0" w:color="auto"/>
            <w:bottom w:val="none" w:sz="0" w:space="0" w:color="auto"/>
            <w:right w:val="none" w:sz="0" w:space="0" w:color="auto"/>
          </w:divBdr>
        </w:div>
        <w:div w:id="112023723">
          <w:marLeft w:val="0"/>
          <w:marRight w:val="0"/>
          <w:marTop w:val="0"/>
          <w:marBottom w:val="0"/>
          <w:divBdr>
            <w:top w:val="none" w:sz="0" w:space="0" w:color="auto"/>
            <w:left w:val="none" w:sz="0" w:space="0" w:color="auto"/>
            <w:bottom w:val="none" w:sz="0" w:space="0" w:color="auto"/>
            <w:right w:val="none" w:sz="0" w:space="0" w:color="auto"/>
          </w:divBdr>
        </w:div>
        <w:div w:id="921184238">
          <w:marLeft w:val="0"/>
          <w:marRight w:val="0"/>
          <w:marTop w:val="0"/>
          <w:marBottom w:val="0"/>
          <w:divBdr>
            <w:top w:val="none" w:sz="0" w:space="0" w:color="auto"/>
            <w:left w:val="none" w:sz="0" w:space="0" w:color="auto"/>
            <w:bottom w:val="none" w:sz="0" w:space="0" w:color="auto"/>
            <w:right w:val="none" w:sz="0" w:space="0" w:color="auto"/>
          </w:divBdr>
        </w:div>
        <w:div w:id="1900357966">
          <w:marLeft w:val="0"/>
          <w:marRight w:val="0"/>
          <w:marTop w:val="0"/>
          <w:marBottom w:val="0"/>
          <w:divBdr>
            <w:top w:val="none" w:sz="0" w:space="0" w:color="auto"/>
            <w:left w:val="none" w:sz="0" w:space="0" w:color="auto"/>
            <w:bottom w:val="none" w:sz="0" w:space="0" w:color="auto"/>
            <w:right w:val="none" w:sz="0" w:space="0" w:color="auto"/>
          </w:divBdr>
        </w:div>
        <w:div w:id="809638393">
          <w:marLeft w:val="0"/>
          <w:marRight w:val="0"/>
          <w:marTop w:val="0"/>
          <w:marBottom w:val="0"/>
          <w:divBdr>
            <w:top w:val="none" w:sz="0" w:space="0" w:color="auto"/>
            <w:left w:val="none" w:sz="0" w:space="0" w:color="auto"/>
            <w:bottom w:val="none" w:sz="0" w:space="0" w:color="auto"/>
            <w:right w:val="none" w:sz="0" w:space="0" w:color="auto"/>
          </w:divBdr>
        </w:div>
        <w:div w:id="1762486891">
          <w:marLeft w:val="0"/>
          <w:marRight w:val="0"/>
          <w:marTop w:val="0"/>
          <w:marBottom w:val="0"/>
          <w:divBdr>
            <w:top w:val="none" w:sz="0" w:space="0" w:color="auto"/>
            <w:left w:val="none" w:sz="0" w:space="0" w:color="auto"/>
            <w:bottom w:val="none" w:sz="0" w:space="0" w:color="auto"/>
            <w:right w:val="none" w:sz="0" w:space="0" w:color="auto"/>
          </w:divBdr>
        </w:div>
        <w:div w:id="772164889">
          <w:marLeft w:val="0"/>
          <w:marRight w:val="0"/>
          <w:marTop w:val="0"/>
          <w:marBottom w:val="0"/>
          <w:divBdr>
            <w:top w:val="none" w:sz="0" w:space="0" w:color="auto"/>
            <w:left w:val="none" w:sz="0" w:space="0" w:color="auto"/>
            <w:bottom w:val="none" w:sz="0" w:space="0" w:color="auto"/>
            <w:right w:val="none" w:sz="0" w:space="0" w:color="auto"/>
          </w:divBdr>
        </w:div>
        <w:div w:id="1500730708">
          <w:marLeft w:val="0"/>
          <w:marRight w:val="0"/>
          <w:marTop w:val="0"/>
          <w:marBottom w:val="0"/>
          <w:divBdr>
            <w:top w:val="none" w:sz="0" w:space="0" w:color="auto"/>
            <w:left w:val="none" w:sz="0" w:space="0" w:color="auto"/>
            <w:bottom w:val="none" w:sz="0" w:space="0" w:color="auto"/>
            <w:right w:val="none" w:sz="0" w:space="0" w:color="auto"/>
          </w:divBdr>
        </w:div>
        <w:div w:id="190072620">
          <w:marLeft w:val="0"/>
          <w:marRight w:val="0"/>
          <w:marTop w:val="0"/>
          <w:marBottom w:val="0"/>
          <w:divBdr>
            <w:top w:val="none" w:sz="0" w:space="0" w:color="auto"/>
            <w:left w:val="none" w:sz="0" w:space="0" w:color="auto"/>
            <w:bottom w:val="none" w:sz="0" w:space="0" w:color="auto"/>
            <w:right w:val="none" w:sz="0" w:space="0" w:color="auto"/>
          </w:divBdr>
        </w:div>
        <w:div w:id="1866823589">
          <w:marLeft w:val="0"/>
          <w:marRight w:val="0"/>
          <w:marTop w:val="0"/>
          <w:marBottom w:val="0"/>
          <w:divBdr>
            <w:top w:val="none" w:sz="0" w:space="0" w:color="auto"/>
            <w:left w:val="none" w:sz="0" w:space="0" w:color="auto"/>
            <w:bottom w:val="none" w:sz="0" w:space="0" w:color="auto"/>
            <w:right w:val="none" w:sz="0" w:space="0" w:color="auto"/>
          </w:divBdr>
        </w:div>
        <w:div w:id="333846728">
          <w:marLeft w:val="0"/>
          <w:marRight w:val="0"/>
          <w:marTop w:val="0"/>
          <w:marBottom w:val="0"/>
          <w:divBdr>
            <w:top w:val="none" w:sz="0" w:space="0" w:color="auto"/>
            <w:left w:val="none" w:sz="0" w:space="0" w:color="auto"/>
            <w:bottom w:val="none" w:sz="0" w:space="0" w:color="auto"/>
            <w:right w:val="none" w:sz="0" w:space="0" w:color="auto"/>
          </w:divBdr>
        </w:div>
        <w:div w:id="925964469">
          <w:marLeft w:val="0"/>
          <w:marRight w:val="0"/>
          <w:marTop w:val="0"/>
          <w:marBottom w:val="0"/>
          <w:divBdr>
            <w:top w:val="none" w:sz="0" w:space="0" w:color="auto"/>
            <w:left w:val="none" w:sz="0" w:space="0" w:color="auto"/>
            <w:bottom w:val="none" w:sz="0" w:space="0" w:color="auto"/>
            <w:right w:val="none" w:sz="0" w:space="0" w:color="auto"/>
          </w:divBdr>
        </w:div>
        <w:div w:id="1917782870">
          <w:marLeft w:val="0"/>
          <w:marRight w:val="0"/>
          <w:marTop w:val="0"/>
          <w:marBottom w:val="0"/>
          <w:divBdr>
            <w:top w:val="none" w:sz="0" w:space="0" w:color="auto"/>
            <w:left w:val="none" w:sz="0" w:space="0" w:color="auto"/>
            <w:bottom w:val="none" w:sz="0" w:space="0" w:color="auto"/>
            <w:right w:val="none" w:sz="0" w:space="0" w:color="auto"/>
          </w:divBdr>
        </w:div>
        <w:div w:id="1972244282">
          <w:marLeft w:val="0"/>
          <w:marRight w:val="0"/>
          <w:marTop w:val="0"/>
          <w:marBottom w:val="0"/>
          <w:divBdr>
            <w:top w:val="none" w:sz="0" w:space="0" w:color="auto"/>
            <w:left w:val="none" w:sz="0" w:space="0" w:color="auto"/>
            <w:bottom w:val="none" w:sz="0" w:space="0" w:color="auto"/>
            <w:right w:val="none" w:sz="0" w:space="0" w:color="auto"/>
          </w:divBdr>
        </w:div>
        <w:div w:id="800541790">
          <w:marLeft w:val="0"/>
          <w:marRight w:val="0"/>
          <w:marTop w:val="0"/>
          <w:marBottom w:val="0"/>
          <w:divBdr>
            <w:top w:val="none" w:sz="0" w:space="0" w:color="auto"/>
            <w:left w:val="none" w:sz="0" w:space="0" w:color="auto"/>
            <w:bottom w:val="none" w:sz="0" w:space="0" w:color="auto"/>
            <w:right w:val="none" w:sz="0" w:space="0" w:color="auto"/>
          </w:divBdr>
        </w:div>
        <w:div w:id="1421411434">
          <w:marLeft w:val="0"/>
          <w:marRight w:val="0"/>
          <w:marTop w:val="0"/>
          <w:marBottom w:val="0"/>
          <w:divBdr>
            <w:top w:val="none" w:sz="0" w:space="0" w:color="auto"/>
            <w:left w:val="none" w:sz="0" w:space="0" w:color="auto"/>
            <w:bottom w:val="none" w:sz="0" w:space="0" w:color="auto"/>
            <w:right w:val="none" w:sz="0" w:space="0" w:color="auto"/>
          </w:divBdr>
        </w:div>
        <w:div w:id="1653680563">
          <w:marLeft w:val="0"/>
          <w:marRight w:val="0"/>
          <w:marTop w:val="0"/>
          <w:marBottom w:val="0"/>
          <w:divBdr>
            <w:top w:val="none" w:sz="0" w:space="0" w:color="auto"/>
            <w:left w:val="none" w:sz="0" w:space="0" w:color="auto"/>
            <w:bottom w:val="none" w:sz="0" w:space="0" w:color="auto"/>
            <w:right w:val="none" w:sz="0" w:space="0" w:color="auto"/>
          </w:divBdr>
        </w:div>
        <w:div w:id="991370211">
          <w:marLeft w:val="0"/>
          <w:marRight w:val="0"/>
          <w:marTop w:val="0"/>
          <w:marBottom w:val="0"/>
          <w:divBdr>
            <w:top w:val="none" w:sz="0" w:space="0" w:color="auto"/>
            <w:left w:val="none" w:sz="0" w:space="0" w:color="auto"/>
            <w:bottom w:val="none" w:sz="0" w:space="0" w:color="auto"/>
            <w:right w:val="none" w:sz="0" w:space="0" w:color="auto"/>
          </w:divBdr>
        </w:div>
        <w:div w:id="1393195123">
          <w:marLeft w:val="0"/>
          <w:marRight w:val="0"/>
          <w:marTop w:val="0"/>
          <w:marBottom w:val="0"/>
          <w:divBdr>
            <w:top w:val="none" w:sz="0" w:space="0" w:color="auto"/>
            <w:left w:val="none" w:sz="0" w:space="0" w:color="auto"/>
            <w:bottom w:val="none" w:sz="0" w:space="0" w:color="auto"/>
            <w:right w:val="none" w:sz="0" w:space="0" w:color="auto"/>
          </w:divBdr>
        </w:div>
        <w:div w:id="2052343631">
          <w:marLeft w:val="0"/>
          <w:marRight w:val="0"/>
          <w:marTop w:val="0"/>
          <w:marBottom w:val="0"/>
          <w:divBdr>
            <w:top w:val="none" w:sz="0" w:space="0" w:color="auto"/>
            <w:left w:val="none" w:sz="0" w:space="0" w:color="auto"/>
            <w:bottom w:val="none" w:sz="0" w:space="0" w:color="auto"/>
            <w:right w:val="none" w:sz="0" w:space="0" w:color="auto"/>
          </w:divBdr>
        </w:div>
        <w:div w:id="1331372944">
          <w:marLeft w:val="0"/>
          <w:marRight w:val="0"/>
          <w:marTop w:val="0"/>
          <w:marBottom w:val="0"/>
          <w:divBdr>
            <w:top w:val="none" w:sz="0" w:space="0" w:color="auto"/>
            <w:left w:val="none" w:sz="0" w:space="0" w:color="auto"/>
            <w:bottom w:val="none" w:sz="0" w:space="0" w:color="auto"/>
            <w:right w:val="none" w:sz="0" w:space="0" w:color="auto"/>
          </w:divBdr>
        </w:div>
        <w:div w:id="1509635846">
          <w:marLeft w:val="0"/>
          <w:marRight w:val="0"/>
          <w:marTop w:val="0"/>
          <w:marBottom w:val="0"/>
          <w:divBdr>
            <w:top w:val="none" w:sz="0" w:space="0" w:color="auto"/>
            <w:left w:val="none" w:sz="0" w:space="0" w:color="auto"/>
            <w:bottom w:val="none" w:sz="0" w:space="0" w:color="auto"/>
            <w:right w:val="none" w:sz="0" w:space="0" w:color="auto"/>
          </w:divBdr>
        </w:div>
        <w:div w:id="25522675">
          <w:marLeft w:val="0"/>
          <w:marRight w:val="0"/>
          <w:marTop w:val="0"/>
          <w:marBottom w:val="0"/>
          <w:divBdr>
            <w:top w:val="none" w:sz="0" w:space="0" w:color="auto"/>
            <w:left w:val="none" w:sz="0" w:space="0" w:color="auto"/>
            <w:bottom w:val="none" w:sz="0" w:space="0" w:color="auto"/>
            <w:right w:val="none" w:sz="0" w:space="0" w:color="auto"/>
          </w:divBdr>
        </w:div>
        <w:div w:id="850682644">
          <w:marLeft w:val="0"/>
          <w:marRight w:val="0"/>
          <w:marTop w:val="0"/>
          <w:marBottom w:val="0"/>
          <w:divBdr>
            <w:top w:val="none" w:sz="0" w:space="0" w:color="auto"/>
            <w:left w:val="none" w:sz="0" w:space="0" w:color="auto"/>
            <w:bottom w:val="none" w:sz="0" w:space="0" w:color="auto"/>
            <w:right w:val="none" w:sz="0" w:space="0" w:color="auto"/>
          </w:divBdr>
        </w:div>
        <w:div w:id="586617848">
          <w:marLeft w:val="0"/>
          <w:marRight w:val="0"/>
          <w:marTop w:val="0"/>
          <w:marBottom w:val="0"/>
          <w:divBdr>
            <w:top w:val="none" w:sz="0" w:space="0" w:color="auto"/>
            <w:left w:val="none" w:sz="0" w:space="0" w:color="auto"/>
            <w:bottom w:val="none" w:sz="0" w:space="0" w:color="auto"/>
            <w:right w:val="none" w:sz="0" w:space="0" w:color="auto"/>
          </w:divBdr>
        </w:div>
        <w:div w:id="719936135">
          <w:marLeft w:val="0"/>
          <w:marRight w:val="0"/>
          <w:marTop w:val="0"/>
          <w:marBottom w:val="0"/>
          <w:divBdr>
            <w:top w:val="none" w:sz="0" w:space="0" w:color="auto"/>
            <w:left w:val="none" w:sz="0" w:space="0" w:color="auto"/>
            <w:bottom w:val="none" w:sz="0" w:space="0" w:color="auto"/>
            <w:right w:val="none" w:sz="0" w:space="0" w:color="auto"/>
          </w:divBdr>
        </w:div>
        <w:div w:id="492994319">
          <w:marLeft w:val="0"/>
          <w:marRight w:val="0"/>
          <w:marTop w:val="0"/>
          <w:marBottom w:val="0"/>
          <w:divBdr>
            <w:top w:val="none" w:sz="0" w:space="0" w:color="auto"/>
            <w:left w:val="none" w:sz="0" w:space="0" w:color="auto"/>
            <w:bottom w:val="none" w:sz="0" w:space="0" w:color="auto"/>
            <w:right w:val="none" w:sz="0" w:space="0" w:color="auto"/>
          </w:divBdr>
        </w:div>
        <w:div w:id="29186694">
          <w:marLeft w:val="0"/>
          <w:marRight w:val="0"/>
          <w:marTop w:val="0"/>
          <w:marBottom w:val="0"/>
          <w:divBdr>
            <w:top w:val="none" w:sz="0" w:space="0" w:color="auto"/>
            <w:left w:val="none" w:sz="0" w:space="0" w:color="auto"/>
            <w:bottom w:val="none" w:sz="0" w:space="0" w:color="auto"/>
            <w:right w:val="none" w:sz="0" w:space="0" w:color="auto"/>
          </w:divBdr>
        </w:div>
        <w:div w:id="1685596760">
          <w:marLeft w:val="0"/>
          <w:marRight w:val="0"/>
          <w:marTop w:val="0"/>
          <w:marBottom w:val="0"/>
          <w:divBdr>
            <w:top w:val="none" w:sz="0" w:space="0" w:color="auto"/>
            <w:left w:val="none" w:sz="0" w:space="0" w:color="auto"/>
            <w:bottom w:val="none" w:sz="0" w:space="0" w:color="auto"/>
            <w:right w:val="none" w:sz="0" w:space="0" w:color="auto"/>
          </w:divBdr>
        </w:div>
        <w:div w:id="2069330216">
          <w:marLeft w:val="0"/>
          <w:marRight w:val="0"/>
          <w:marTop w:val="0"/>
          <w:marBottom w:val="0"/>
          <w:divBdr>
            <w:top w:val="none" w:sz="0" w:space="0" w:color="auto"/>
            <w:left w:val="none" w:sz="0" w:space="0" w:color="auto"/>
            <w:bottom w:val="none" w:sz="0" w:space="0" w:color="auto"/>
            <w:right w:val="none" w:sz="0" w:space="0" w:color="auto"/>
          </w:divBdr>
        </w:div>
        <w:div w:id="425153654">
          <w:marLeft w:val="0"/>
          <w:marRight w:val="0"/>
          <w:marTop w:val="0"/>
          <w:marBottom w:val="0"/>
          <w:divBdr>
            <w:top w:val="none" w:sz="0" w:space="0" w:color="auto"/>
            <w:left w:val="none" w:sz="0" w:space="0" w:color="auto"/>
            <w:bottom w:val="none" w:sz="0" w:space="0" w:color="auto"/>
            <w:right w:val="none" w:sz="0" w:space="0" w:color="auto"/>
          </w:divBdr>
        </w:div>
        <w:div w:id="1478452076">
          <w:marLeft w:val="0"/>
          <w:marRight w:val="0"/>
          <w:marTop w:val="0"/>
          <w:marBottom w:val="0"/>
          <w:divBdr>
            <w:top w:val="none" w:sz="0" w:space="0" w:color="auto"/>
            <w:left w:val="none" w:sz="0" w:space="0" w:color="auto"/>
            <w:bottom w:val="none" w:sz="0" w:space="0" w:color="auto"/>
            <w:right w:val="none" w:sz="0" w:space="0" w:color="auto"/>
          </w:divBdr>
        </w:div>
        <w:div w:id="1577006835">
          <w:marLeft w:val="0"/>
          <w:marRight w:val="0"/>
          <w:marTop w:val="0"/>
          <w:marBottom w:val="0"/>
          <w:divBdr>
            <w:top w:val="none" w:sz="0" w:space="0" w:color="auto"/>
            <w:left w:val="none" w:sz="0" w:space="0" w:color="auto"/>
            <w:bottom w:val="none" w:sz="0" w:space="0" w:color="auto"/>
            <w:right w:val="none" w:sz="0" w:space="0" w:color="auto"/>
          </w:divBdr>
        </w:div>
        <w:div w:id="85060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cia.peruzzi@unito.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26854</Words>
  <Characters>153070</Characters>
  <Application>Microsoft Macintosh Word</Application>
  <DocSecurity>0</DocSecurity>
  <Lines>1275</Lines>
  <Paragraphs>359</Paragraphs>
  <ScaleCrop>false</ScaleCrop>
  <HeadingPairs>
    <vt:vector size="2" baseType="variant">
      <vt:variant>
        <vt:lpstr>Titolo</vt:lpstr>
      </vt:variant>
      <vt:variant>
        <vt:i4>1</vt:i4>
      </vt:variant>
    </vt:vector>
  </HeadingPairs>
  <TitlesOfParts>
    <vt:vector size="1" baseType="lpstr">
      <vt:lpstr>Challenging frontiers in pediatric renal transplantation</vt:lpstr>
    </vt:vector>
  </TitlesOfParts>
  <Company/>
  <LinksUpToDate>false</LinksUpToDate>
  <CharactersWithSpaces>179565</CharactersWithSpaces>
  <SharedDoc>false</SharedDoc>
  <HLinks>
    <vt:vector size="6" baseType="variant">
      <vt:variant>
        <vt:i4>458874</vt:i4>
      </vt:variant>
      <vt:variant>
        <vt:i4>0</vt:i4>
      </vt:variant>
      <vt:variant>
        <vt:i4>0</vt:i4>
      </vt:variant>
      <vt:variant>
        <vt:i4>5</vt:i4>
      </vt:variant>
      <vt:variant>
        <vt:lpwstr>mailto:licia.peruzzi@unito.it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frontiers in pediatric renal transplantation</dc:title>
  <dc:creator>rosanna.coppo</dc:creator>
  <cp:lastModifiedBy>NA MA</cp:lastModifiedBy>
  <cp:revision>2</cp:revision>
  <dcterms:created xsi:type="dcterms:W3CDTF">2014-12-03T22:29:00Z</dcterms:created>
  <dcterms:modified xsi:type="dcterms:W3CDTF">2014-12-03T22:29:00Z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liciaperuzzi@hotmail.com@www.mendeley.com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http://www.zotero.org/styles/critical-care-medicine</vt:lpwstr>
  </property>
  <property fmtid="{D5CDD505-2E9C-101B-9397-08002B2CF9AE}" pid="12" name="Mendeley Recent Style Name 3_1">
    <vt:lpwstr>Critical Care Medicine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http://www.zotero.org/styles/springer-basic-author-date</vt:lpwstr>
  </property>
  <property fmtid="{D5CDD505-2E9C-101B-9397-08002B2CF9AE}" pid="18" name="Mendeley Recent Style Name 6_1">
    <vt:lpwstr>Springer Basic (author-date)</vt:lpwstr>
  </property>
  <property fmtid="{D5CDD505-2E9C-101B-9397-08002B2CF9AE}" pid="19" name="Mendeley Recent Style Id 7_1">
    <vt:lpwstr>http://www.zotero.org/styles/springer-basic-brackets</vt:lpwstr>
  </property>
  <property fmtid="{D5CDD505-2E9C-101B-9397-08002B2CF9AE}" pid="20" name="Mendeley Recent Style Name 7_1">
    <vt:lpwstr>Springer Basic (numeric, brackets)</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Vancouver (brackets)</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